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pPr>
      <w:r>
        <w:rPr/>
        <w:drawing>
          <wp:inline distT="0" distB="0" distL="0" distR="0">
            <wp:extent cx="4943856" cy="760780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943856" cy="7607808"/>
                    </a:xfrm>
                    <a:prstGeom prst="rect">
                      <a:avLst/>
                    </a:prstGeom>
                  </pic:spPr>
                </pic:pic>
              </a:graphicData>
            </a:graphic>
          </wp:inline>
        </w:drawing>
      </w:r>
      <w:r>
        <w:rPr/>
      </w:r>
    </w:p>
    <w:p>
      <w:pPr>
        <w:spacing w:after="0"/>
        <w:sectPr>
          <w:type w:val="continuous"/>
          <w:pgSz w:w="7790" w:h="11990"/>
          <w:pgMar w:top="0" w:bottom="0" w:left="0" w:right="0"/>
        </w:sectPr>
      </w:pPr>
    </w:p>
    <w:p>
      <w:pPr>
        <w:pStyle w:val="BodyText"/>
      </w:pPr>
    </w:p>
    <w:p>
      <w:pPr>
        <w:pStyle w:val="BodyText"/>
        <w:spacing w:before="1"/>
        <w:rPr>
          <w:sz w:val="27"/>
        </w:rPr>
      </w:pPr>
    </w:p>
    <w:p>
      <w:pPr>
        <w:spacing w:line="249" w:lineRule="auto" w:before="23"/>
        <w:ind w:left="1236" w:right="107" w:firstLine="418"/>
        <w:jc w:val="right"/>
        <w:rPr>
          <w:b/>
          <w:sz w:val="60"/>
        </w:rPr>
      </w:pPr>
      <w:r>
        <w:rPr>
          <w:b/>
          <w:color w:val="231F20"/>
          <w:sz w:val="60"/>
        </w:rPr>
        <w:t>Trabajo global </w:t>
      </w:r>
      <w:r>
        <w:rPr>
          <w:color w:val="231F20"/>
          <w:sz w:val="44"/>
        </w:rPr>
        <w:t>y </w:t>
      </w:r>
      <w:r>
        <w:rPr>
          <w:b/>
          <w:color w:val="231F20"/>
          <w:sz w:val="60"/>
        </w:rPr>
        <w:t>desigualdades </w:t>
      </w:r>
      <w:r>
        <w:rPr>
          <w:color w:val="231F20"/>
          <w:sz w:val="44"/>
        </w:rPr>
        <w:t>en el </w:t>
      </w:r>
      <w:r>
        <w:rPr>
          <w:b/>
          <w:color w:val="231F20"/>
          <w:sz w:val="60"/>
        </w:rPr>
        <w:t>mercado laboral</w:t>
      </w:r>
    </w:p>
    <w:p>
      <w:pPr>
        <w:spacing w:after="0" w:line="249" w:lineRule="auto"/>
        <w:jc w:val="right"/>
        <w:rPr>
          <w:sz w:val="60"/>
        </w:rPr>
        <w:sectPr>
          <w:pgSz w:w="7770" w:h="11740"/>
          <w:pgMar w:top="1080" w:bottom="280" w:left="1060" w:right="740"/>
        </w:sectPr>
      </w:pPr>
    </w:p>
    <w:p>
      <w:pPr>
        <w:spacing w:before="49"/>
        <w:ind w:left="829" w:right="1110" w:firstLine="0"/>
        <w:jc w:val="center"/>
        <w:rPr>
          <w:b/>
          <w:sz w:val="18"/>
        </w:rPr>
      </w:pPr>
      <w:r>
        <w:rPr>
          <w:b/>
          <w:color w:val="231F20"/>
          <w:sz w:val="18"/>
        </w:rPr>
        <w:t>Universidad Autónoma del Estado de México</w:t>
      </w:r>
    </w:p>
    <w:p>
      <w:pPr>
        <w:pStyle w:val="BodyText"/>
        <w:rPr>
          <w:b/>
          <w:sz w:val="18"/>
        </w:rPr>
      </w:pPr>
    </w:p>
    <w:p>
      <w:pPr>
        <w:spacing w:before="124"/>
        <w:ind w:left="829" w:right="1110" w:firstLine="0"/>
        <w:jc w:val="center"/>
        <w:rPr>
          <w:sz w:val="16"/>
        </w:rPr>
      </w:pPr>
      <w:r>
        <w:rPr>
          <w:color w:val="231F20"/>
          <w:sz w:val="16"/>
        </w:rPr>
        <w:t>Dr. en D. Jorge Olvera García</w:t>
      </w:r>
    </w:p>
    <w:p>
      <w:pPr>
        <w:spacing w:before="76"/>
        <w:ind w:left="829" w:right="1110" w:firstLine="0"/>
        <w:jc w:val="center"/>
        <w:rPr>
          <w:i/>
          <w:sz w:val="16"/>
        </w:rPr>
      </w:pPr>
      <w:r>
        <w:rPr>
          <w:i/>
          <w:color w:val="231F20"/>
          <w:sz w:val="16"/>
        </w:rPr>
        <w:t>Rector</w:t>
      </w:r>
    </w:p>
    <w:p>
      <w:pPr>
        <w:spacing w:before="76"/>
        <w:ind w:left="829" w:right="1110" w:firstLine="0"/>
        <w:jc w:val="center"/>
        <w:rPr>
          <w:sz w:val="16"/>
        </w:rPr>
      </w:pPr>
      <w:r>
        <w:rPr>
          <w:color w:val="231F20"/>
          <w:sz w:val="16"/>
        </w:rPr>
        <w:t>Dr. en Ed. Alfredo Barrera Baca</w:t>
      </w:r>
    </w:p>
    <w:p>
      <w:pPr>
        <w:spacing w:before="76"/>
        <w:ind w:left="829" w:right="1110" w:firstLine="0"/>
        <w:jc w:val="center"/>
        <w:rPr>
          <w:i/>
          <w:sz w:val="16"/>
        </w:rPr>
      </w:pPr>
      <w:r>
        <w:rPr>
          <w:i/>
          <w:color w:val="231F20"/>
          <w:sz w:val="16"/>
        </w:rPr>
        <w:t>Secretario  de Docencia</w:t>
      </w:r>
    </w:p>
    <w:p>
      <w:pPr>
        <w:spacing w:before="76"/>
        <w:ind w:left="829" w:right="1110" w:firstLine="0"/>
        <w:jc w:val="center"/>
        <w:rPr>
          <w:sz w:val="16"/>
        </w:rPr>
      </w:pPr>
      <w:r>
        <w:rPr>
          <w:color w:val="231F20"/>
          <w:sz w:val="16"/>
        </w:rPr>
        <w:t>Dra. en Est. Lat. Ángeles María del Rosario Pérez Bernal</w:t>
      </w:r>
    </w:p>
    <w:p>
      <w:pPr>
        <w:spacing w:before="76"/>
        <w:ind w:left="829" w:right="1110" w:firstLine="0"/>
        <w:jc w:val="center"/>
        <w:rPr>
          <w:i/>
          <w:sz w:val="16"/>
        </w:rPr>
      </w:pPr>
      <w:r>
        <w:rPr>
          <w:i/>
          <w:color w:val="231F20"/>
          <w:sz w:val="16"/>
        </w:rPr>
        <w:t>Secretaria de Investigación y Estudios Avanzados</w:t>
      </w:r>
    </w:p>
    <w:p>
      <w:pPr>
        <w:spacing w:before="76"/>
        <w:ind w:left="829" w:right="1110" w:firstLine="0"/>
        <w:jc w:val="center"/>
        <w:rPr>
          <w:sz w:val="16"/>
        </w:rPr>
      </w:pPr>
      <w:r>
        <w:rPr>
          <w:color w:val="231F20"/>
          <w:sz w:val="16"/>
        </w:rPr>
        <w:t>Dr. en D. Hiram Raúl Piña Libién</w:t>
      </w:r>
    </w:p>
    <w:p>
      <w:pPr>
        <w:spacing w:before="76"/>
        <w:ind w:left="829" w:right="1110" w:firstLine="0"/>
        <w:jc w:val="center"/>
        <w:rPr>
          <w:i/>
          <w:sz w:val="16"/>
        </w:rPr>
      </w:pPr>
      <w:r>
        <w:rPr>
          <w:i/>
          <w:color w:val="231F20"/>
          <w:sz w:val="16"/>
        </w:rPr>
        <w:t>Secretario de Rectoría</w:t>
      </w:r>
    </w:p>
    <w:p>
      <w:pPr>
        <w:spacing w:before="76"/>
        <w:ind w:left="829" w:right="1110" w:firstLine="0"/>
        <w:jc w:val="center"/>
        <w:rPr>
          <w:sz w:val="16"/>
        </w:rPr>
      </w:pPr>
      <w:r>
        <w:rPr>
          <w:color w:val="231F20"/>
          <w:sz w:val="16"/>
        </w:rPr>
        <w:t>M. en E. P. Ivett Tinoco García</w:t>
      </w:r>
    </w:p>
    <w:p>
      <w:pPr>
        <w:spacing w:before="76"/>
        <w:ind w:left="829" w:right="1110" w:firstLine="0"/>
        <w:jc w:val="center"/>
        <w:rPr>
          <w:i/>
          <w:sz w:val="16"/>
        </w:rPr>
      </w:pPr>
      <w:r>
        <w:rPr>
          <w:i/>
          <w:color w:val="231F20"/>
          <w:sz w:val="16"/>
        </w:rPr>
        <w:t>Secretaria de Difusión Cultural</w:t>
      </w:r>
    </w:p>
    <w:p>
      <w:pPr>
        <w:spacing w:before="76"/>
        <w:ind w:left="829" w:right="1110" w:firstLine="0"/>
        <w:jc w:val="center"/>
        <w:rPr>
          <w:sz w:val="16"/>
        </w:rPr>
      </w:pPr>
      <w:r>
        <w:rPr>
          <w:color w:val="231F20"/>
          <w:sz w:val="16"/>
        </w:rPr>
        <w:t>M. en C. Ed. Fam. María de los Ángeles Bernal García</w:t>
      </w:r>
    </w:p>
    <w:p>
      <w:pPr>
        <w:spacing w:before="76"/>
        <w:ind w:left="829" w:right="1110" w:firstLine="0"/>
        <w:jc w:val="center"/>
        <w:rPr>
          <w:i/>
          <w:sz w:val="16"/>
        </w:rPr>
      </w:pPr>
      <w:r>
        <w:rPr>
          <w:i/>
          <w:color w:val="231F20"/>
          <w:sz w:val="16"/>
        </w:rPr>
        <w:t>Secretaria de Extensión y Vinculación</w:t>
      </w:r>
    </w:p>
    <w:p>
      <w:pPr>
        <w:spacing w:before="76"/>
        <w:ind w:left="829" w:right="1110" w:firstLine="0"/>
        <w:jc w:val="center"/>
        <w:rPr>
          <w:sz w:val="16"/>
        </w:rPr>
      </w:pPr>
      <w:r>
        <w:rPr>
          <w:color w:val="231F20"/>
          <w:sz w:val="16"/>
        </w:rPr>
        <w:t>M. en A. Ed. Yolanda Ballesteros Sentíes</w:t>
      </w:r>
    </w:p>
    <w:p>
      <w:pPr>
        <w:spacing w:before="76"/>
        <w:ind w:left="829" w:right="1110" w:firstLine="0"/>
        <w:jc w:val="center"/>
        <w:rPr>
          <w:i/>
          <w:sz w:val="16"/>
        </w:rPr>
      </w:pPr>
      <w:r>
        <w:rPr>
          <w:i/>
          <w:color w:val="231F20"/>
          <w:sz w:val="16"/>
        </w:rPr>
        <w:t>Secretaria de Cooperación Internacional</w:t>
      </w:r>
    </w:p>
    <w:p>
      <w:pPr>
        <w:spacing w:before="76"/>
        <w:ind w:left="829" w:right="1110" w:firstLine="0"/>
        <w:jc w:val="center"/>
        <w:rPr>
          <w:sz w:val="16"/>
        </w:rPr>
      </w:pPr>
      <w:r>
        <w:rPr>
          <w:color w:val="231F20"/>
          <w:sz w:val="16"/>
        </w:rPr>
        <w:t>M. en E. Javier González Martínez</w:t>
      </w:r>
    </w:p>
    <w:p>
      <w:pPr>
        <w:spacing w:before="76"/>
        <w:ind w:left="829" w:right="1109" w:firstLine="0"/>
        <w:jc w:val="center"/>
        <w:rPr>
          <w:i/>
          <w:sz w:val="16"/>
        </w:rPr>
      </w:pPr>
      <w:r>
        <w:rPr>
          <w:i/>
          <w:color w:val="231F20"/>
          <w:sz w:val="16"/>
        </w:rPr>
        <w:t>Secretario de Administración</w:t>
      </w:r>
    </w:p>
    <w:p>
      <w:pPr>
        <w:spacing w:before="76"/>
        <w:ind w:left="829" w:right="1110" w:firstLine="0"/>
        <w:jc w:val="center"/>
        <w:rPr>
          <w:sz w:val="16"/>
        </w:rPr>
      </w:pPr>
      <w:r>
        <w:rPr>
          <w:color w:val="231F20"/>
          <w:sz w:val="16"/>
        </w:rPr>
        <w:t>Dr. en C. Pol. Manuel Hernández Luna</w:t>
      </w:r>
    </w:p>
    <w:p>
      <w:pPr>
        <w:spacing w:before="76"/>
        <w:ind w:left="829" w:right="1110" w:firstLine="0"/>
        <w:jc w:val="center"/>
        <w:rPr>
          <w:i/>
          <w:sz w:val="16"/>
        </w:rPr>
      </w:pPr>
      <w:r>
        <w:rPr>
          <w:i/>
          <w:color w:val="231F20"/>
          <w:sz w:val="16"/>
        </w:rPr>
        <w:t>Secretario de Planeación y Desarrollo Institucional</w:t>
      </w:r>
    </w:p>
    <w:p>
      <w:pPr>
        <w:spacing w:before="76"/>
        <w:ind w:left="829" w:right="1110" w:firstLine="0"/>
        <w:jc w:val="center"/>
        <w:rPr>
          <w:sz w:val="16"/>
        </w:rPr>
      </w:pPr>
      <w:r>
        <w:rPr>
          <w:color w:val="231F20"/>
          <w:sz w:val="16"/>
        </w:rPr>
        <w:t>M. en D. José Benjamín Bernal Suárez</w:t>
      </w:r>
    </w:p>
    <w:p>
      <w:pPr>
        <w:spacing w:before="76"/>
        <w:ind w:left="829" w:right="1110" w:firstLine="0"/>
        <w:jc w:val="center"/>
        <w:rPr>
          <w:i/>
          <w:sz w:val="16"/>
        </w:rPr>
      </w:pPr>
      <w:r>
        <w:rPr>
          <w:i/>
          <w:color w:val="231F20"/>
          <w:sz w:val="16"/>
        </w:rPr>
        <w:t>Abogado General</w:t>
      </w:r>
    </w:p>
    <w:p>
      <w:pPr>
        <w:pStyle w:val="BodyText"/>
        <w:spacing w:before="3"/>
        <w:rPr>
          <w:i/>
        </w:rPr>
      </w:pPr>
    </w:p>
    <w:p>
      <w:pPr>
        <w:spacing w:before="0"/>
        <w:ind w:left="829" w:right="1110" w:firstLine="0"/>
        <w:jc w:val="center"/>
        <w:rPr>
          <w:b/>
          <w:sz w:val="18"/>
        </w:rPr>
      </w:pPr>
      <w:r>
        <w:rPr>
          <w:b/>
          <w:color w:val="231F20"/>
          <w:sz w:val="18"/>
        </w:rPr>
        <w:t>Facultad de Ciencias Políticas y Sociales</w:t>
      </w:r>
    </w:p>
    <w:p>
      <w:pPr>
        <w:pStyle w:val="BodyText"/>
        <w:rPr>
          <w:b/>
          <w:sz w:val="18"/>
        </w:rPr>
      </w:pPr>
    </w:p>
    <w:p>
      <w:pPr>
        <w:spacing w:before="124"/>
        <w:ind w:left="829" w:right="1110" w:firstLine="0"/>
        <w:jc w:val="center"/>
        <w:rPr>
          <w:sz w:val="16"/>
        </w:rPr>
      </w:pPr>
      <w:r>
        <w:rPr>
          <w:color w:val="231F20"/>
          <w:sz w:val="16"/>
        </w:rPr>
        <w:t>Mtra. en Com. Jannet Valero Vilchis</w:t>
      </w:r>
    </w:p>
    <w:p>
      <w:pPr>
        <w:spacing w:before="76"/>
        <w:ind w:left="829" w:right="1110" w:firstLine="0"/>
        <w:jc w:val="center"/>
        <w:rPr>
          <w:i/>
          <w:sz w:val="16"/>
        </w:rPr>
      </w:pPr>
      <w:r>
        <w:rPr>
          <w:i/>
          <w:color w:val="231F20"/>
          <w:sz w:val="16"/>
        </w:rPr>
        <w:t>Directora</w:t>
      </w:r>
    </w:p>
    <w:p>
      <w:pPr>
        <w:spacing w:before="76"/>
        <w:ind w:left="829" w:right="1110" w:firstLine="0"/>
        <w:jc w:val="center"/>
        <w:rPr>
          <w:sz w:val="16"/>
        </w:rPr>
      </w:pPr>
      <w:r>
        <w:rPr>
          <w:color w:val="231F20"/>
          <w:sz w:val="16"/>
        </w:rPr>
        <w:t>M. en E. P. D. Laura Elizabeth Benhumea González</w:t>
      </w:r>
    </w:p>
    <w:p>
      <w:pPr>
        <w:spacing w:before="76"/>
        <w:ind w:left="829" w:right="1110" w:firstLine="0"/>
        <w:jc w:val="center"/>
        <w:rPr>
          <w:i/>
          <w:sz w:val="16"/>
        </w:rPr>
      </w:pPr>
      <w:r>
        <w:rPr>
          <w:i/>
          <w:color w:val="231F20"/>
          <w:sz w:val="16"/>
        </w:rPr>
        <w:t>Subdirectora Académica</w:t>
      </w:r>
    </w:p>
    <w:p>
      <w:pPr>
        <w:spacing w:before="76"/>
        <w:ind w:left="829" w:right="1110" w:firstLine="0"/>
        <w:jc w:val="center"/>
        <w:rPr>
          <w:sz w:val="16"/>
        </w:rPr>
      </w:pPr>
      <w:r>
        <w:rPr>
          <w:color w:val="231F20"/>
          <w:sz w:val="16"/>
        </w:rPr>
        <w:t>Lic. Aurea Carmen Estrada de Jesús</w:t>
      </w:r>
    </w:p>
    <w:p>
      <w:pPr>
        <w:spacing w:before="76"/>
        <w:ind w:left="829" w:right="1110" w:firstLine="0"/>
        <w:jc w:val="center"/>
        <w:rPr>
          <w:i/>
          <w:sz w:val="16"/>
        </w:rPr>
      </w:pPr>
      <w:r>
        <w:rPr>
          <w:i/>
          <w:color w:val="231F20"/>
          <w:sz w:val="16"/>
        </w:rPr>
        <w:t>Subdirectora Administrativa</w:t>
      </w:r>
    </w:p>
    <w:p>
      <w:pPr>
        <w:spacing w:line="338" w:lineRule="auto" w:before="76"/>
        <w:ind w:left="1409" w:right="1690" w:hanging="1"/>
        <w:jc w:val="center"/>
        <w:rPr>
          <w:i/>
          <w:sz w:val="16"/>
        </w:rPr>
      </w:pPr>
      <w:r>
        <w:rPr>
          <w:color w:val="231F20"/>
          <w:sz w:val="16"/>
        </w:rPr>
        <w:t>Dra. Martha Elisa Nateras González </w:t>
      </w:r>
      <w:r>
        <w:rPr>
          <w:i/>
          <w:color w:val="231F20"/>
          <w:sz w:val="16"/>
        </w:rPr>
        <w:t>Coordinadora de Estudios de</w:t>
      </w:r>
      <w:r>
        <w:rPr>
          <w:i/>
          <w:color w:val="231F20"/>
          <w:spacing w:val="-7"/>
          <w:sz w:val="16"/>
        </w:rPr>
        <w:t> </w:t>
      </w:r>
      <w:r>
        <w:rPr>
          <w:i/>
          <w:color w:val="231F20"/>
          <w:sz w:val="16"/>
        </w:rPr>
        <w:t>Posgrado </w:t>
      </w:r>
      <w:r>
        <w:rPr>
          <w:color w:val="231F20"/>
          <w:sz w:val="16"/>
        </w:rPr>
        <w:t>Prof. Martín Olivares Orozco </w:t>
      </w:r>
      <w:r>
        <w:rPr>
          <w:i/>
          <w:color w:val="231F20"/>
          <w:sz w:val="16"/>
        </w:rPr>
        <w:t>Coordinador de Difusión</w:t>
      </w:r>
      <w:r>
        <w:rPr>
          <w:i/>
          <w:color w:val="231F20"/>
          <w:spacing w:val="-13"/>
          <w:sz w:val="16"/>
        </w:rPr>
        <w:t> </w:t>
      </w:r>
      <w:r>
        <w:rPr>
          <w:i/>
          <w:color w:val="231F20"/>
          <w:sz w:val="16"/>
        </w:rPr>
        <w:t>Cultural</w:t>
      </w:r>
    </w:p>
    <w:p>
      <w:pPr>
        <w:spacing w:before="3"/>
        <w:ind w:left="829" w:right="1110" w:firstLine="0"/>
        <w:jc w:val="center"/>
        <w:rPr>
          <w:sz w:val="16"/>
        </w:rPr>
      </w:pPr>
      <w:r>
        <w:rPr>
          <w:color w:val="231F20"/>
          <w:sz w:val="16"/>
        </w:rPr>
        <w:t>Lic. Carlos Alberto Reyes Araujo</w:t>
      </w:r>
    </w:p>
    <w:p>
      <w:pPr>
        <w:spacing w:line="338" w:lineRule="auto" w:before="76"/>
        <w:ind w:left="1739" w:right="2021" w:firstLine="0"/>
        <w:jc w:val="center"/>
        <w:rPr>
          <w:i/>
          <w:sz w:val="16"/>
        </w:rPr>
      </w:pPr>
      <w:r>
        <w:rPr>
          <w:i/>
          <w:color w:val="231F20"/>
          <w:sz w:val="16"/>
        </w:rPr>
        <w:t>Coordinador de Extensión </w:t>
      </w:r>
      <w:r>
        <w:rPr>
          <w:color w:val="231F20"/>
          <w:sz w:val="16"/>
        </w:rPr>
        <w:t>Mtro. Ricardo Ramírez Nieto </w:t>
      </w:r>
      <w:r>
        <w:rPr>
          <w:i/>
          <w:color w:val="231F20"/>
          <w:sz w:val="16"/>
        </w:rPr>
        <w:t>Coordinador de Vinculación</w:t>
      </w:r>
    </w:p>
    <w:p>
      <w:pPr>
        <w:spacing w:after="0" w:line="338" w:lineRule="auto"/>
        <w:jc w:val="center"/>
        <w:rPr>
          <w:sz w:val="16"/>
        </w:rPr>
        <w:sectPr>
          <w:pgSz w:w="7770" w:h="11740"/>
          <w:pgMar w:top="740" w:bottom="280" w:left="1060" w:right="1060"/>
        </w:sectPr>
      </w:pPr>
    </w:p>
    <w:p>
      <w:pPr>
        <w:pStyle w:val="BodyText"/>
        <w:rPr>
          <w:i/>
        </w:rPr>
      </w:pPr>
      <w:r>
        <w:rPr/>
        <w:drawing>
          <wp:anchor distT="0" distB="0" distL="0" distR="0" allowOverlap="1" layoutInCell="1" locked="0" behindDoc="1" simplePos="0" relativeHeight="268098599">
            <wp:simplePos x="0" y="0"/>
            <wp:positionH relativeFrom="page">
              <wp:posOffset>2248573</wp:posOffset>
            </wp:positionH>
            <wp:positionV relativeFrom="page">
              <wp:posOffset>6347047</wp:posOffset>
            </wp:positionV>
            <wp:extent cx="1105990" cy="283368"/>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05990" cy="283368"/>
                    </a:xfrm>
                    <a:prstGeom prst="rect">
                      <a:avLst/>
                    </a:prstGeom>
                  </pic:spPr>
                </pic:pic>
              </a:graphicData>
            </a:graphic>
          </wp:anchor>
        </w:drawing>
      </w:r>
    </w:p>
    <w:p>
      <w:pPr>
        <w:pStyle w:val="BodyText"/>
        <w:rPr>
          <w:i/>
        </w:rPr>
      </w:pPr>
    </w:p>
    <w:p>
      <w:pPr>
        <w:pStyle w:val="BodyText"/>
        <w:rPr>
          <w:i/>
        </w:rPr>
      </w:pPr>
    </w:p>
    <w:p>
      <w:pPr>
        <w:pStyle w:val="BodyText"/>
        <w:rPr>
          <w:i/>
        </w:rPr>
      </w:pPr>
    </w:p>
    <w:p>
      <w:pPr>
        <w:pStyle w:val="BodyText"/>
        <w:spacing w:before="5"/>
        <w:rPr>
          <w:i/>
          <w:sz w:val="16"/>
        </w:rPr>
      </w:pPr>
    </w:p>
    <w:p>
      <w:pPr>
        <w:spacing w:line="249" w:lineRule="auto" w:before="23"/>
        <w:ind w:left="1276" w:right="107" w:firstLine="418"/>
        <w:jc w:val="right"/>
        <w:rPr>
          <w:b/>
          <w:sz w:val="60"/>
        </w:rPr>
      </w:pPr>
      <w:r>
        <w:rPr>
          <w:b/>
          <w:color w:val="231F20"/>
          <w:sz w:val="60"/>
        </w:rPr>
        <w:t>Trabajo global </w:t>
      </w:r>
      <w:r>
        <w:rPr>
          <w:color w:val="231F20"/>
          <w:sz w:val="44"/>
        </w:rPr>
        <w:t>y </w:t>
      </w:r>
      <w:r>
        <w:rPr>
          <w:b/>
          <w:color w:val="231F20"/>
          <w:sz w:val="60"/>
        </w:rPr>
        <w:t>desigualdades </w:t>
      </w:r>
      <w:r>
        <w:rPr>
          <w:color w:val="231F20"/>
          <w:sz w:val="44"/>
        </w:rPr>
        <w:t>en el </w:t>
      </w:r>
      <w:r>
        <w:rPr>
          <w:b/>
          <w:color w:val="231F20"/>
          <w:sz w:val="60"/>
        </w:rPr>
        <w:t>mercado laboral</w:t>
      </w:r>
    </w:p>
    <w:p>
      <w:pPr>
        <w:pStyle w:val="BodyText"/>
        <w:rPr>
          <w:b/>
          <w:sz w:val="60"/>
        </w:rPr>
      </w:pPr>
    </w:p>
    <w:p>
      <w:pPr>
        <w:pStyle w:val="BodyText"/>
        <w:spacing w:before="10"/>
        <w:rPr>
          <w:b/>
          <w:sz w:val="80"/>
        </w:rPr>
      </w:pPr>
    </w:p>
    <w:p>
      <w:pPr>
        <w:pStyle w:val="Heading3"/>
        <w:spacing w:line="271" w:lineRule="auto"/>
        <w:ind w:left="3141" w:right="108" w:hanging="110"/>
        <w:jc w:val="right"/>
      </w:pPr>
      <w:r>
        <w:rPr>
          <w:color w:val="231F20"/>
        </w:rPr>
        <w:t>Dídimo Castillo Fernández Norma Baca Tavira Rosalba Todaro Cavallero</w:t>
      </w:r>
    </w:p>
    <w:p>
      <w:pPr>
        <w:spacing w:before="113"/>
        <w:ind w:left="41" w:right="108" w:firstLine="0"/>
        <w:jc w:val="right"/>
        <w:rPr>
          <w:sz w:val="26"/>
        </w:rPr>
      </w:pPr>
      <w:r>
        <w:rPr>
          <w:color w:val="231F20"/>
          <w:sz w:val="26"/>
        </w:rPr>
        <w:t>(Coordinadores)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8"/>
        </w:rPr>
      </w:pPr>
      <w:r>
        <w:rPr/>
        <w:pict>
          <v:group style="position:absolute;margin-left:56.442902pt;margin-top:12.451141pt;width:289.650pt;height:42.85pt;mso-position-horizontal-relative:page;mso-position-vertical-relative:paragraph;z-index:0;mso-wrap-distance-left:0;mso-wrap-distance-right:0" coordorigin="1129,249" coordsize="5793,857">
            <v:shape style="position:absolute;left:2342;top:316;width:767;height:729" type="#_x0000_t75" stroked="false">
              <v:imagedata r:id="rId7" o:title=""/>
            </v:shape>
            <v:shape style="position:absolute;left:5574;top:510;width:1242;height:538" type="#_x0000_t75" stroked="false">
              <v:imagedata r:id="rId8" o:title=""/>
            </v:shape>
            <v:shape style="position:absolute;left:1133;top:249;width:850;height:784" type="#_x0000_t75" stroked="false">
              <v:imagedata r:id="rId9" o:title=""/>
            </v:shape>
            <v:line style="position:absolute" from="1134,1101" to="6917,1101" stroked="true" strokeweight=".5pt" strokecolor="#000000"/>
            <w10:wrap type="topAndBottom"/>
          </v:group>
        </w:pict>
      </w:r>
    </w:p>
    <w:p>
      <w:pPr>
        <w:spacing w:after="0"/>
        <w:rPr>
          <w:sz w:val="18"/>
        </w:rPr>
        <w:sectPr>
          <w:pgSz w:w="7770" w:h="11740"/>
          <w:pgMar w:top="1080" w:bottom="280" w:left="1020" w:right="740"/>
        </w:sectPr>
      </w:pPr>
    </w:p>
    <w:p>
      <w:pPr>
        <w:spacing w:line="302" w:lineRule="auto" w:before="65"/>
        <w:ind w:left="110" w:right="792" w:firstLine="0"/>
        <w:jc w:val="left"/>
        <w:rPr>
          <w:sz w:val="18"/>
        </w:rPr>
      </w:pPr>
      <w:r>
        <w:rPr>
          <w:color w:val="231F20"/>
          <w:sz w:val="18"/>
        </w:rPr>
        <w:t>Este libro fue arbitrado por pares académicos. Se privilegia con el aval de las instituciones coeditoras.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35"/>
        <w:ind w:left="110" w:right="0" w:firstLine="0"/>
        <w:jc w:val="both"/>
        <w:rPr>
          <w:i/>
          <w:sz w:val="18"/>
        </w:rPr>
      </w:pPr>
      <w:r>
        <w:rPr>
          <w:i/>
          <w:color w:val="231F20"/>
          <w:sz w:val="18"/>
        </w:rPr>
        <w:t>Trabajo global y desigualdades en el mercado laboral</w:t>
      </w:r>
    </w:p>
    <w:p>
      <w:pPr>
        <w:spacing w:before="53"/>
        <w:ind w:left="110" w:right="0" w:firstLine="0"/>
        <w:jc w:val="both"/>
        <w:rPr>
          <w:sz w:val="18"/>
        </w:rPr>
      </w:pPr>
      <w:r>
        <w:rPr>
          <w:color w:val="231F20"/>
          <w:sz w:val="18"/>
        </w:rPr>
        <w:t>Primera edición, enero de 2016</w:t>
      </w:r>
    </w:p>
    <w:p>
      <w:pPr>
        <w:pStyle w:val="BodyText"/>
        <w:rPr>
          <w:sz w:val="18"/>
        </w:rPr>
      </w:pPr>
    </w:p>
    <w:p>
      <w:pPr>
        <w:spacing w:line="302" w:lineRule="auto" w:before="106"/>
        <w:ind w:left="290" w:right="2356" w:hanging="180"/>
        <w:jc w:val="left"/>
        <w:rPr>
          <w:sz w:val="18"/>
        </w:rPr>
      </w:pPr>
      <w:r>
        <w:rPr>
          <w:color w:val="231F20"/>
          <w:sz w:val="18"/>
        </w:rPr>
        <w:t>© Universidad Autónoma del Estado de México Facultad de Ciencias Políticas y Sociales</w:t>
      </w:r>
    </w:p>
    <w:p>
      <w:pPr>
        <w:pStyle w:val="BodyText"/>
        <w:spacing w:before="8"/>
        <w:rPr>
          <w:sz w:val="22"/>
        </w:rPr>
      </w:pPr>
    </w:p>
    <w:p>
      <w:pPr>
        <w:spacing w:line="302" w:lineRule="auto" w:before="0"/>
        <w:ind w:left="110" w:right="3086" w:firstLine="0"/>
        <w:jc w:val="left"/>
        <w:rPr>
          <w:sz w:val="18"/>
        </w:rPr>
      </w:pPr>
      <w:r>
        <w:rPr>
          <w:color w:val="231F20"/>
          <w:sz w:val="18"/>
        </w:rPr>
        <w:t>Derechos reservados conforme a la ley ISBN: 978-607-8336-77-7</w:t>
      </w:r>
    </w:p>
    <w:p>
      <w:pPr>
        <w:pStyle w:val="BodyText"/>
        <w:spacing w:before="8"/>
        <w:rPr>
          <w:sz w:val="22"/>
        </w:rPr>
      </w:pPr>
    </w:p>
    <w:p>
      <w:pPr>
        <w:spacing w:before="0"/>
        <w:ind w:left="110" w:right="0" w:firstLine="0"/>
        <w:jc w:val="both"/>
        <w:rPr>
          <w:sz w:val="18"/>
        </w:rPr>
      </w:pPr>
      <w:r>
        <w:rPr>
          <w:color w:val="231F20"/>
          <w:sz w:val="18"/>
        </w:rPr>
        <w:t>Imagen de portada:</w:t>
      </w:r>
    </w:p>
    <w:p>
      <w:pPr>
        <w:spacing w:before="53"/>
        <w:ind w:left="110" w:right="0" w:firstLine="0"/>
        <w:jc w:val="both"/>
        <w:rPr>
          <w:sz w:val="18"/>
        </w:rPr>
      </w:pPr>
      <w:r>
        <w:rPr>
          <w:color w:val="231F20"/>
          <w:sz w:val="18"/>
        </w:rPr>
        <w:t>Vitral de Susana Ortiz Castañeda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19"/>
        </w:rPr>
      </w:pPr>
    </w:p>
    <w:p>
      <w:pPr>
        <w:spacing w:line="302" w:lineRule="auto" w:before="1"/>
        <w:ind w:left="110" w:right="110" w:firstLine="0"/>
        <w:jc w:val="both"/>
        <w:rPr>
          <w:sz w:val="18"/>
        </w:rPr>
      </w:pPr>
      <w:r>
        <w:rPr>
          <w:color w:val="231F20"/>
          <w:sz w:val="18"/>
        </w:rPr>
        <w:t>Queda</w:t>
      </w:r>
      <w:r>
        <w:rPr>
          <w:color w:val="231F20"/>
          <w:spacing w:val="-4"/>
          <w:sz w:val="18"/>
        </w:rPr>
        <w:t> </w:t>
      </w:r>
      <w:r>
        <w:rPr>
          <w:color w:val="231F20"/>
          <w:sz w:val="18"/>
        </w:rPr>
        <w:t>prohibida</w:t>
      </w:r>
      <w:r>
        <w:rPr>
          <w:color w:val="231F20"/>
          <w:spacing w:val="-5"/>
          <w:sz w:val="18"/>
        </w:rPr>
        <w:t> </w:t>
      </w:r>
      <w:r>
        <w:rPr>
          <w:color w:val="231F20"/>
          <w:sz w:val="18"/>
        </w:rPr>
        <w:t>la</w:t>
      </w:r>
      <w:r>
        <w:rPr>
          <w:color w:val="231F20"/>
          <w:spacing w:val="-5"/>
          <w:sz w:val="18"/>
        </w:rPr>
        <w:t> </w:t>
      </w:r>
      <w:r>
        <w:rPr>
          <w:color w:val="231F20"/>
          <w:sz w:val="18"/>
        </w:rPr>
        <w:t>reproducción</w:t>
      </w:r>
      <w:r>
        <w:rPr>
          <w:color w:val="231F20"/>
          <w:spacing w:val="-5"/>
          <w:sz w:val="18"/>
        </w:rPr>
        <w:t> </w:t>
      </w:r>
      <w:r>
        <w:rPr>
          <w:color w:val="231F20"/>
          <w:sz w:val="18"/>
        </w:rPr>
        <w:t>parcial</w:t>
      </w:r>
      <w:r>
        <w:rPr>
          <w:color w:val="231F20"/>
          <w:spacing w:val="-5"/>
          <w:sz w:val="18"/>
        </w:rPr>
        <w:t> </w:t>
      </w:r>
      <w:r>
        <w:rPr>
          <w:color w:val="231F20"/>
          <w:sz w:val="18"/>
        </w:rPr>
        <w:t>o</w:t>
      </w:r>
      <w:r>
        <w:rPr>
          <w:color w:val="231F20"/>
          <w:spacing w:val="-5"/>
          <w:sz w:val="18"/>
        </w:rPr>
        <w:t> </w:t>
      </w:r>
      <w:r>
        <w:rPr>
          <w:color w:val="231F20"/>
          <w:sz w:val="18"/>
        </w:rPr>
        <w:t>total,</w:t>
      </w:r>
      <w:r>
        <w:rPr>
          <w:color w:val="231F20"/>
          <w:spacing w:val="-5"/>
          <w:sz w:val="18"/>
        </w:rPr>
        <w:t> </w:t>
      </w:r>
      <w:r>
        <w:rPr>
          <w:color w:val="231F20"/>
          <w:sz w:val="18"/>
        </w:rPr>
        <w:t>directa</w:t>
      </w:r>
      <w:r>
        <w:rPr>
          <w:color w:val="231F20"/>
          <w:spacing w:val="-5"/>
          <w:sz w:val="18"/>
        </w:rPr>
        <w:t> </w:t>
      </w:r>
      <w:r>
        <w:rPr>
          <w:color w:val="231F20"/>
          <w:sz w:val="18"/>
        </w:rPr>
        <w:t>o</w:t>
      </w:r>
      <w:r>
        <w:rPr>
          <w:color w:val="231F20"/>
          <w:spacing w:val="-5"/>
          <w:sz w:val="18"/>
        </w:rPr>
        <w:t> </w:t>
      </w:r>
      <w:r>
        <w:rPr>
          <w:color w:val="231F20"/>
          <w:sz w:val="18"/>
        </w:rPr>
        <w:t>indirecta</w:t>
      </w:r>
      <w:r>
        <w:rPr>
          <w:color w:val="231F20"/>
          <w:spacing w:val="-5"/>
          <w:sz w:val="18"/>
        </w:rPr>
        <w:t> </w:t>
      </w:r>
      <w:r>
        <w:rPr>
          <w:color w:val="231F20"/>
          <w:sz w:val="18"/>
        </w:rPr>
        <w:t>del</w:t>
      </w:r>
      <w:r>
        <w:rPr>
          <w:color w:val="231F20"/>
          <w:spacing w:val="-5"/>
          <w:sz w:val="18"/>
        </w:rPr>
        <w:t> </w:t>
      </w:r>
      <w:r>
        <w:rPr>
          <w:color w:val="231F20"/>
          <w:sz w:val="18"/>
        </w:rPr>
        <w:t>contenido de la presente obra, sin contar previamente con la autorización expresa y por escrito de la Universidad Autónoma del Estado de México, en términos de lo previsto por la ley Federal del Derecho de Autor </w:t>
      </w:r>
      <w:r>
        <w:rPr>
          <w:color w:val="231F20"/>
          <w:spacing w:val="-6"/>
          <w:sz w:val="18"/>
        </w:rPr>
        <w:t>y, </w:t>
      </w:r>
      <w:r>
        <w:rPr>
          <w:color w:val="231F20"/>
          <w:sz w:val="18"/>
        </w:rPr>
        <w:t>en su caso, por los tratados internacionales</w:t>
      </w:r>
      <w:r>
        <w:rPr>
          <w:color w:val="231F20"/>
          <w:spacing w:val="-1"/>
          <w:sz w:val="18"/>
        </w:rPr>
        <w:t> </w:t>
      </w:r>
      <w:r>
        <w:rPr>
          <w:color w:val="231F20"/>
          <w:sz w:val="18"/>
        </w:rPr>
        <w:t>aplicables.</w:t>
      </w:r>
    </w:p>
    <w:p>
      <w:pPr>
        <w:spacing w:after="0" w:line="302" w:lineRule="auto"/>
        <w:jc w:val="both"/>
        <w:rPr>
          <w:sz w:val="18"/>
        </w:rPr>
        <w:sectPr>
          <w:pgSz w:w="7770" w:h="11740"/>
          <w:pgMar w:top="840" w:bottom="280" w:left="740" w:right="1020"/>
        </w:sectPr>
      </w:pPr>
    </w:p>
    <w:p>
      <w:pPr>
        <w:pStyle w:val="Heading1"/>
        <w:spacing w:line="240" w:lineRule="auto" w:before="32"/>
        <w:ind w:left="41" w:right="108"/>
        <w:jc w:val="right"/>
      </w:pPr>
      <w:r>
        <w:rPr>
          <w:color w:val="231F20"/>
        </w:rPr>
        <w:t>Índice</w:t>
      </w:r>
    </w:p>
    <w:p>
      <w:pPr>
        <w:pStyle w:val="BodyText"/>
      </w:pPr>
    </w:p>
    <w:p>
      <w:pPr>
        <w:pStyle w:val="BodyText"/>
      </w:pPr>
    </w:p>
    <w:p>
      <w:pPr>
        <w:pStyle w:val="BodyText"/>
      </w:pPr>
    </w:p>
    <w:p>
      <w:pPr>
        <w:pStyle w:val="BodyText"/>
      </w:pPr>
    </w:p>
    <w:p>
      <w:pPr>
        <w:pStyle w:val="BodyText"/>
      </w:pPr>
    </w:p>
    <w:p>
      <w:pPr>
        <w:pStyle w:val="BodyText"/>
      </w:pPr>
    </w:p>
    <w:p>
      <w:pPr>
        <w:spacing w:after="0"/>
        <w:sectPr>
          <w:pgSz w:w="7770" w:h="11740"/>
          <w:pgMar w:top="820" w:bottom="280" w:left="1020" w:right="740"/>
        </w:sectPr>
      </w:pPr>
    </w:p>
    <w:p>
      <w:pPr>
        <w:pStyle w:val="BodyText"/>
        <w:spacing w:before="11"/>
        <w:rPr>
          <w:sz w:val="17"/>
        </w:rPr>
      </w:pPr>
    </w:p>
    <w:p>
      <w:pPr>
        <w:pStyle w:val="BodyText"/>
        <w:ind w:left="113" w:right="364"/>
      </w:pPr>
      <w:r>
        <w:rPr>
          <w:color w:val="231F20"/>
        </w:rPr>
        <w:t>Introducción</w:t>
      </w:r>
    </w:p>
    <w:p>
      <w:pPr>
        <w:pStyle w:val="BodyText"/>
        <w:spacing w:before="8"/>
        <w:rPr>
          <w:sz w:val="15"/>
        </w:rPr>
      </w:pPr>
    </w:p>
    <w:p>
      <w:pPr>
        <w:spacing w:line="338" w:lineRule="auto" w:before="0"/>
        <w:ind w:left="113" w:right="364" w:firstLine="0"/>
        <w:jc w:val="left"/>
        <w:rPr>
          <w:sz w:val="16"/>
        </w:rPr>
      </w:pPr>
      <w:r>
        <w:rPr>
          <w:color w:val="231F20"/>
          <w:sz w:val="16"/>
        </w:rPr>
        <w:t>TRABAJO GLOBAL, MERCADO DE TRABAJO Y NUEVAS RELACIONES LABORALES</w:t>
      </w:r>
    </w:p>
    <w:p>
      <w:pPr>
        <w:pStyle w:val="BodyText"/>
        <w:spacing w:before="79"/>
        <w:ind w:left="113" w:right="364"/>
      </w:pPr>
      <w:r>
        <w:rPr>
          <w:color w:val="231F20"/>
        </w:rPr>
        <w:t>Globalización y relaciones asalariadas en América Latina.</w:t>
      </w:r>
    </w:p>
    <w:p>
      <w:pPr>
        <w:pStyle w:val="BodyText"/>
        <w:spacing w:line="271" w:lineRule="auto" w:before="30"/>
        <w:ind w:left="113" w:right="1063"/>
      </w:pPr>
      <w:r>
        <w:rPr>
          <w:color w:val="231F20"/>
        </w:rPr>
        <w:t>Entre la generalización de la precariedad y la utopía de la empleabilidad</w:t>
      </w:r>
    </w:p>
    <w:p>
      <w:pPr>
        <w:spacing w:before="58"/>
        <w:ind w:left="113" w:right="364" w:firstLine="0"/>
        <w:jc w:val="left"/>
        <w:rPr>
          <w:i/>
          <w:sz w:val="20"/>
        </w:rPr>
      </w:pPr>
      <w:r>
        <w:rPr>
          <w:i/>
          <w:color w:val="231F20"/>
          <w:sz w:val="20"/>
        </w:rPr>
        <w:t>Juan Pablo Pérez Sáinz</w:t>
      </w:r>
    </w:p>
    <w:p>
      <w:pPr>
        <w:pStyle w:val="BodyText"/>
        <w:spacing w:line="271" w:lineRule="auto" w:before="143"/>
        <w:ind w:left="113" w:right="364"/>
      </w:pPr>
      <w:r>
        <w:rPr>
          <w:color w:val="231F20"/>
        </w:rPr>
        <w:t>Teoría sociológica y trayectorias profesionales: nociones para el análisis del mercado de trabajo de América Latina</w:t>
      </w:r>
    </w:p>
    <w:p>
      <w:pPr>
        <w:spacing w:before="58"/>
        <w:ind w:left="113" w:right="364" w:firstLine="0"/>
        <w:jc w:val="left"/>
        <w:rPr>
          <w:i/>
          <w:sz w:val="20"/>
        </w:rPr>
      </w:pPr>
      <w:r>
        <w:rPr>
          <w:i/>
          <w:color w:val="231F20"/>
          <w:sz w:val="20"/>
        </w:rPr>
        <w:t>Luís Fernando Santos Corrêa da Silva</w:t>
      </w:r>
    </w:p>
    <w:p>
      <w:pPr>
        <w:pStyle w:val="BodyText"/>
        <w:spacing w:before="143"/>
        <w:ind w:left="113" w:right="364"/>
      </w:pPr>
      <w:r>
        <w:rPr>
          <w:color w:val="231F20"/>
        </w:rPr>
        <w:t>La deslocalización del trabajo y la migración hacia</w:t>
      </w:r>
    </w:p>
    <w:p>
      <w:pPr>
        <w:pStyle w:val="BodyText"/>
        <w:spacing w:before="30"/>
        <w:ind w:left="113"/>
      </w:pPr>
      <w:r>
        <w:rPr>
          <w:color w:val="231F20"/>
        </w:rPr>
        <w:t>Estados Unidos. La paradoja de la “migración de los puestos”</w:t>
      </w:r>
    </w:p>
    <w:p>
      <w:pPr>
        <w:spacing w:before="86"/>
        <w:ind w:left="113" w:right="364" w:firstLine="0"/>
        <w:jc w:val="left"/>
        <w:rPr>
          <w:i/>
          <w:sz w:val="20"/>
        </w:rPr>
      </w:pPr>
      <w:r>
        <w:rPr>
          <w:i/>
          <w:color w:val="231F20"/>
          <w:sz w:val="20"/>
        </w:rPr>
        <w:t>Dídimo Castillo Fernández</w:t>
      </w:r>
    </w:p>
    <w:p>
      <w:pPr>
        <w:pStyle w:val="BodyText"/>
        <w:spacing w:before="8"/>
        <w:rPr>
          <w:i/>
          <w:sz w:val="15"/>
        </w:rPr>
      </w:pPr>
    </w:p>
    <w:p>
      <w:pPr>
        <w:spacing w:line="338" w:lineRule="auto" w:before="0"/>
        <w:ind w:left="113" w:right="0" w:firstLine="0"/>
        <w:jc w:val="left"/>
        <w:rPr>
          <w:sz w:val="16"/>
        </w:rPr>
      </w:pPr>
      <w:r>
        <w:rPr>
          <w:color w:val="231F20"/>
          <w:sz w:val="16"/>
        </w:rPr>
        <w:t>REESTRUCTURACIÓN </w:t>
      </w:r>
      <w:r>
        <w:rPr>
          <w:color w:val="231F20"/>
          <w:spacing w:val="-3"/>
          <w:sz w:val="16"/>
        </w:rPr>
        <w:t>PRODUCTIVA, </w:t>
      </w:r>
      <w:r>
        <w:rPr>
          <w:color w:val="231F20"/>
          <w:sz w:val="16"/>
        </w:rPr>
        <w:t>VULNERABILIDAD </w:t>
      </w:r>
      <w:r>
        <w:rPr>
          <w:color w:val="231F20"/>
          <w:spacing w:val="-3"/>
          <w:sz w:val="16"/>
        </w:rPr>
        <w:t>MIGRATORIA </w:t>
      </w:r>
      <w:r>
        <w:rPr>
          <w:color w:val="231F20"/>
          <w:sz w:val="16"/>
        </w:rPr>
        <w:t>Y PRECARIEDAD DEL TRABAJO</w:t>
      </w:r>
    </w:p>
    <w:p>
      <w:pPr>
        <w:pStyle w:val="BodyText"/>
        <w:spacing w:before="79"/>
        <w:ind w:left="113" w:right="364"/>
      </w:pPr>
      <w:r>
        <w:rPr>
          <w:color w:val="231F20"/>
        </w:rPr>
        <w:t>Condiciones laborales y comercio exterior en México</w:t>
      </w:r>
    </w:p>
    <w:p>
      <w:pPr>
        <w:spacing w:before="86"/>
        <w:ind w:left="113" w:right="364" w:firstLine="0"/>
        <w:jc w:val="left"/>
        <w:rPr>
          <w:i/>
          <w:sz w:val="20"/>
        </w:rPr>
      </w:pPr>
      <w:r>
        <w:rPr>
          <w:i/>
          <w:color w:val="231F20"/>
          <w:sz w:val="20"/>
        </w:rPr>
        <w:t>Ana Ruth Escoto y Brígida García</w:t>
      </w:r>
    </w:p>
    <w:p>
      <w:pPr>
        <w:pStyle w:val="BodyText"/>
        <w:spacing w:line="271" w:lineRule="auto" w:before="143"/>
        <w:ind w:left="113" w:right="940"/>
      </w:pPr>
      <w:r>
        <w:rPr>
          <w:color w:val="231F20"/>
        </w:rPr>
        <w:t>Migración y trabajo en tiempos de crisis. Inmigrantes latinos en Estados Unidos</w:t>
      </w:r>
    </w:p>
    <w:p>
      <w:pPr>
        <w:spacing w:before="58"/>
        <w:ind w:left="113" w:right="364" w:firstLine="0"/>
        <w:jc w:val="left"/>
        <w:rPr>
          <w:i/>
          <w:sz w:val="20"/>
        </w:rPr>
      </w:pPr>
      <w:r>
        <w:rPr>
          <w:i/>
          <w:color w:val="231F20"/>
          <w:sz w:val="20"/>
        </w:rPr>
        <w:t>Alejandro I. Canales</w:t>
      </w:r>
    </w:p>
    <w:p>
      <w:pPr>
        <w:pStyle w:val="BodyText"/>
        <w:spacing w:line="271" w:lineRule="auto" w:before="143"/>
        <w:ind w:left="113" w:right="808"/>
      </w:pPr>
      <w:r>
        <w:rPr>
          <w:color w:val="231F20"/>
        </w:rPr>
        <w:t>El efecto de la segregación residencial socioeconómica sobre la inserción laboral: diferencias por género</w:t>
      </w:r>
    </w:p>
    <w:p>
      <w:pPr>
        <w:pStyle w:val="BodyText"/>
        <w:spacing w:before="1"/>
        <w:ind w:left="113" w:right="364"/>
      </w:pPr>
      <w:r>
        <w:rPr>
          <w:color w:val="231F20"/>
        </w:rPr>
        <w:t>en la Ciudad de México</w:t>
      </w:r>
    </w:p>
    <w:p>
      <w:pPr>
        <w:spacing w:before="86"/>
        <w:ind w:left="113" w:right="364" w:firstLine="0"/>
        <w:jc w:val="left"/>
        <w:rPr>
          <w:i/>
          <w:sz w:val="20"/>
        </w:rPr>
      </w:pPr>
      <w:r>
        <w:rPr>
          <w:i/>
          <w:color w:val="231F20"/>
          <w:sz w:val="20"/>
        </w:rPr>
        <w:t>Landy Lizbeth Sánchez Peña</w:t>
      </w:r>
    </w:p>
    <w:p>
      <w:pPr>
        <w:pStyle w:val="BodyText"/>
        <w:spacing w:before="8"/>
        <w:rPr>
          <w:i/>
          <w:sz w:val="16"/>
        </w:rPr>
      </w:pPr>
      <w:r>
        <w:rPr/>
        <w:br w:type="column"/>
      </w:r>
      <w:r>
        <w:rPr>
          <w:i/>
          <w:sz w:val="16"/>
        </w:rPr>
      </w:r>
    </w:p>
    <w:p>
      <w:pPr>
        <w:pStyle w:val="BodyText"/>
        <w:ind w:left="317"/>
      </w:pPr>
      <w:r>
        <w:rPr>
          <w:color w:val="231F20"/>
        </w:rPr>
        <w:t>7</w:t>
      </w:r>
    </w:p>
    <w:p>
      <w:pPr>
        <w:pStyle w:val="BodyText"/>
      </w:pPr>
    </w:p>
    <w:p>
      <w:pPr>
        <w:pStyle w:val="BodyText"/>
      </w:pPr>
    </w:p>
    <w:p>
      <w:pPr>
        <w:pStyle w:val="BodyText"/>
        <w:spacing w:before="3"/>
        <w:rPr>
          <w:sz w:val="27"/>
        </w:rPr>
      </w:pPr>
    </w:p>
    <w:p>
      <w:pPr>
        <w:pStyle w:val="BodyText"/>
        <w:ind w:left="208" w:right="84"/>
        <w:jc w:val="center"/>
      </w:pPr>
      <w:r>
        <w:rPr>
          <w:color w:val="231F20"/>
        </w:rPr>
        <w:t>19</w:t>
      </w:r>
    </w:p>
    <w:p>
      <w:pPr>
        <w:pStyle w:val="BodyText"/>
      </w:pPr>
    </w:p>
    <w:p>
      <w:pPr>
        <w:pStyle w:val="BodyText"/>
      </w:pPr>
    </w:p>
    <w:p>
      <w:pPr>
        <w:pStyle w:val="BodyText"/>
      </w:pPr>
    </w:p>
    <w:p>
      <w:pPr>
        <w:pStyle w:val="BodyText"/>
        <w:spacing w:before="5"/>
        <w:rPr>
          <w:sz w:val="25"/>
        </w:rPr>
      </w:pPr>
    </w:p>
    <w:p>
      <w:pPr>
        <w:pStyle w:val="BodyText"/>
        <w:spacing w:before="1"/>
        <w:ind w:left="208" w:right="84"/>
        <w:jc w:val="center"/>
      </w:pPr>
      <w:r>
        <w:rPr>
          <w:color w:val="231F20"/>
        </w:rPr>
        <w:t>39</w:t>
      </w:r>
    </w:p>
    <w:p>
      <w:pPr>
        <w:pStyle w:val="BodyText"/>
      </w:pPr>
    </w:p>
    <w:p>
      <w:pPr>
        <w:pStyle w:val="BodyText"/>
      </w:pPr>
    </w:p>
    <w:p>
      <w:pPr>
        <w:pStyle w:val="BodyText"/>
        <w:spacing w:before="9"/>
        <w:rPr>
          <w:sz w:val="25"/>
        </w:rPr>
      </w:pPr>
    </w:p>
    <w:p>
      <w:pPr>
        <w:pStyle w:val="BodyText"/>
        <w:ind w:left="208" w:right="84"/>
        <w:jc w:val="center"/>
      </w:pPr>
      <w:r>
        <w:rPr>
          <w:color w:val="231F20"/>
        </w:rPr>
        <w:t>57</w:t>
      </w:r>
    </w:p>
    <w:p>
      <w:pPr>
        <w:pStyle w:val="BodyText"/>
      </w:pPr>
    </w:p>
    <w:p>
      <w:pPr>
        <w:pStyle w:val="BodyText"/>
      </w:pPr>
    </w:p>
    <w:p>
      <w:pPr>
        <w:pStyle w:val="BodyText"/>
      </w:pPr>
    </w:p>
    <w:p>
      <w:pPr>
        <w:pStyle w:val="BodyText"/>
      </w:pPr>
    </w:p>
    <w:p>
      <w:pPr>
        <w:pStyle w:val="BodyText"/>
      </w:pPr>
    </w:p>
    <w:p>
      <w:pPr>
        <w:pStyle w:val="BodyText"/>
        <w:spacing w:before="6"/>
        <w:rPr>
          <w:sz w:val="16"/>
        </w:rPr>
      </w:pPr>
    </w:p>
    <w:p>
      <w:pPr>
        <w:pStyle w:val="BodyText"/>
        <w:ind w:left="208" w:right="84"/>
        <w:jc w:val="center"/>
      </w:pPr>
      <w:r>
        <w:rPr>
          <w:color w:val="231F20"/>
        </w:rPr>
        <w:t>85</w:t>
      </w:r>
    </w:p>
    <w:p>
      <w:pPr>
        <w:pStyle w:val="BodyText"/>
      </w:pPr>
    </w:p>
    <w:p>
      <w:pPr>
        <w:pStyle w:val="BodyText"/>
        <w:spacing w:before="176"/>
        <w:ind w:left="84" w:right="84"/>
        <w:jc w:val="center"/>
      </w:pPr>
      <w:r>
        <w:rPr>
          <w:color w:val="231F20"/>
        </w:rPr>
        <w:t>127</w:t>
      </w:r>
    </w:p>
    <w:p>
      <w:pPr>
        <w:pStyle w:val="BodyText"/>
      </w:pPr>
    </w:p>
    <w:p>
      <w:pPr>
        <w:pStyle w:val="BodyText"/>
      </w:pPr>
    </w:p>
    <w:p>
      <w:pPr>
        <w:pStyle w:val="BodyText"/>
        <w:spacing w:before="3"/>
        <w:rPr>
          <w:sz w:val="25"/>
        </w:rPr>
      </w:pPr>
    </w:p>
    <w:p>
      <w:pPr>
        <w:pStyle w:val="BodyText"/>
        <w:ind w:left="84" w:right="84"/>
        <w:jc w:val="center"/>
      </w:pPr>
      <w:r>
        <w:rPr>
          <w:color w:val="231F20"/>
        </w:rPr>
        <w:t>155</w:t>
      </w:r>
    </w:p>
    <w:p>
      <w:pPr>
        <w:spacing w:after="0"/>
        <w:jc w:val="center"/>
        <w:sectPr>
          <w:type w:val="continuous"/>
          <w:pgSz w:w="7770" w:h="11740"/>
          <w:pgMar w:top="0" w:bottom="0" w:left="1020" w:right="740"/>
          <w:cols w:num="2" w:equalWidth="0">
            <w:col w:w="5350" w:space="127"/>
            <w:col w:w="533"/>
          </w:cols>
        </w:sectPr>
      </w:pPr>
    </w:p>
    <w:p>
      <w:pPr>
        <w:pStyle w:val="BodyText"/>
      </w:pPr>
    </w:p>
    <w:p>
      <w:pPr>
        <w:pStyle w:val="BodyText"/>
      </w:pPr>
    </w:p>
    <w:p>
      <w:pPr>
        <w:pStyle w:val="BodyText"/>
      </w:pPr>
    </w:p>
    <w:p>
      <w:pPr>
        <w:pStyle w:val="BodyText"/>
        <w:spacing w:before="6"/>
        <w:rPr>
          <w:sz w:val="16"/>
        </w:rPr>
      </w:pPr>
    </w:p>
    <w:p>
      <w:pPr>
        <w:spacing w:after="0"/>
        <w:rPr>
          <w:sz w:val="16"/>
        </w:rPr>
        <w:sectPr>
          <w:pgSz w:w="7770" w:h="11740"/>
          <w:pgMar w:top="1080" w:bottom="280" w:left="740" w:right="1000"/>
        </w:sectPr>
      </w:pPr>
    </w:p>
    <w:p>
      <w:pPr>
        <w:pStyle w:val="BodyText"/>
        <w:spacing w:line="271" w:lineRule="auto" w:before="74"/>
        <w:ind w:left="110" w:right="648"/>
      </w:pPr>
      <w:r>
        <w:rPr>
          <w:color w:val="231F20"/>
        </w:rPr>
        <w:t>Flexibilidades, rigideces y precarización: trabajo remunerado y trabajo reproductivo y de cuidado</w:t>
      </w:r>
    </w:p>
    <w:p>
      <w:pPr>
        <w:spacing w:before="58"/>
        <w:ind w:left="110" w:right="648" w:firstLine="0"/>
        <w:jc w:val="left"/>
        <w:rPr>
          <w:i/>
          <w:sz w:val="20"/>
        </w:rPr>
      </w:pPr>
      <w:r>
        <w:rPr>
          <w:i/>
          <w:color w:val="231F20"/>
          <w:sz w:val="20"/>
        </w:rPr>
        <w:t>Rosalba Todaro Cavallero</w:t>
      </w:r>
    </w:p>
    <w:p>
      <w:pPr>
        <w:pStyle w:val="BodyText"/>
        <w:spacing w:line="271" w:lineRule="auto" w:before="143"/>
        <w:ind w:left="110" w:right="-19"/>
      </w:pPr>
      <w:r>
        <w:rPr>
          <w:color w:val="231F20"/>
        </w:rPr>
        <w:t>Desigualdades de género, trabajo reproductivo y mujeres migrantes. Reflexiones sobre el debate inconcluso</w:t>
      </w:r>
    </w:p>
    <w:p>
      <w:pPr>
        <w:spacing w:before="58"/>
        <w:ind w:left="110" w:right="648" w:firstLine="0"/>
        <w:jc w:val="left"/>
        <w:rPr>
          <w:i/>
          <w:sz w:val="20"/>
        </w:rPr>
      </w:pPr>
      <w:r>
        <w:rPr>
          <w:i/>
          <w:color w:val="231F20"/>
          <w:sz w:val="20"/>
        </w:rPr>
        <w:t>Norma Baca Tavira</w:t>
      </w:r>
    </w:p>
    <w:p>
      <w:pPr>
        <w:pStyle w:val="BodyText"/>
        <w:spacing w:before="8"/>
        <w:rPr>
          <w:i/>
          <w:sz w:val="15"/>
        </w:rPr>
      </w:pPr>
    </w:p>
    <w:p>
      <w:pPr>
        <w:spacing w:line="338" w:lineRule="auto" w:before="0"/>
        <w:ind w:left="110" w:right="838" w:firstLine="0"/>
        <w:jc w:val="left"/>
        <w:rPr>
          <w:sz w:val="16"/>
        </w:rPr>
      </w:pPr>
      <w:r>
        <w:rPr>
          <w:color w:val="231F20"/>
          <w:sz w:val="16"/>
        </w:rPr>
        <w:t>NUEVAS DESIGUALDADES, POBREZA LABORAL Y SIGNIFICADOS DEL TRABAJO</w:t>
      </w:r>
    </w:p>
    <w:p>
      <w:pPr>
        <w:pStyle w:val="BodyText"/>
        <w:spacing w:line="271" w:lineRule="auto" w:before="79"/>
        <w:ind w:left="110" w:right="-8"/>
      </w:pPr>
      <w:r>
        <w:rPr>
          <w:color w:val="231F20"/>
        </w:rPr>
        <w:t>Equidad de género en el programa Mujeres Trabajadoras Comprometidas en el Estado de México</w:t>
      </w:r>
    </w:p>
    <w:p>
      <w:pPr>
        <w:spacing w:before="58"/>
        <w:ind w:left="110" w:right="648" w:firstLine="0"/>
        <w:jc w:val="left"/>
        <w:rPr>
          <w:i/>
          <w:sz w:val="20"/>
        </w:rPr>
      </w:pPr>
      <w:r>
        <w:rPr>
          <w:i/>
          <w:color w:val="231F20"/>
          <w:sz w:val="20"/>
        </w:rPr>
        <w:t>Evelín Pérez González y Jorge Arzate Salgado</w:t>
      </w:r>
    </w:p>
    <w:p>
      <w:pPr>
        <w:pStyle w:val="BodyText"/>
        <w:spacing w:line="271" w:lineRule="auto" w:before="143"/>
        <w:ind w:left="110" w:right="476"/>
      </w:pPr>
      <w:r>
        <w:rPr>
          <w:color w:val="231F20"/>
        </w:rPr>
        <w:t>Alcances del trabajo remunerado en la vejez. Hijas del milagro mexicano, las abuelas del siglo XXI</w:t>
      </w:r>
    </w:p>
    <w:p>
      <w:pPr>
        <w:spacing w:line="271" w:lineRule="auto" w:before="58"/>
        <w:ind w:left="110" w:right="569" w:firstLine="0"/>
        <w:jc w:val="left"/>
        <w:rPr>
          <w:i/>
          <w:sz w:val="20"/>
        </w:rPr>
      </w:pPr>
      <w:r>
        <w:rPr>
          <w:i/>
          <w:color w:val="231F20"/>
          <w:sz w:val="20"/>
        </w:rPr>
        <w:t>Zoraida Ronzón Hernández, Norma Baca Tavira </w:t>
      </w:r>
      <w:r>
        <w:rPr>
          <w:i/>
          <w:color w:val="231F20"/>
          <w:sz w:val="20"/>
        </w:rPr>
        <w:t>y América Luna Martínez</w:t>
      </w:r>
    </w:p>
    <w:p>
      <w:pPr>
        <w:pStyle w:val="BodyText"/>
        <w:spacing w:line="271" w:lineRule="auto" w:before="114"/>
        <w:ind w:left="110" w:right="215"/>
      </w:pPr>
      <w:r>
        <w:rPr>
          <w:color w:val="231F20"/>
        </w:rPr>
        <w:t>Trabajo infantil en México. Perfil sociodemográfico de los niños trabajadores de 5-11 años de edad</w:t>
      </w:r>
    </w:p>
    <w:p>
      <w:pPr>
        <w:spacing w:before="58"/>
        <w:ind w:left="110" w:right="648" w:firstLine="0"/>
        <w:jc w:val="left"/>
        <w:rPr>
          <w:i/>
          <w:sz w:val="20"/>
        </w:rPr>
      </w:pPr>
      <w:r>
        <w:rPr>
          <w:i/>
          <w:color w:val="231F20"/>
          <w:sz w:val="20"/>
        </w:rPr>
        <w:t>Argelia Gallegos Martínez</w:t>
      </w:r>
    </w:p>
    <w:p>
      <w:pPr>
        <w:pStyle w:val="BodyText"/>
        <w:spacing w:line="271" w:lineRule="auto" w:before="143"/>
        <w:ind w:left="110" w:right="838"/>
      </w:pPr>
      <w:r>
        <w:rPr>
          <w:color w:val="231F20"/>
        </w:rPr>
        <w:t>Los significados del trabajo entre el personal de las instituciones asistenciales</w:t>
      </w:r>
    </w:p>
    <w:p>
      <w:pPr>
        <w:spacing w:before="58"/>
        <w:ind w:left="110" w:right="648" w:firstLine="0"/>
        <w:jc w:val="left"/>
        <w:rPr>
          <w:i/>
          <w:sz w:val="20"/>
        </w:rPr>
      </w:pPr>
      <w:r>
        <w:rPr>
          <w:i/>
          <w:color w:val="231F20"/>
          <w:sz w:val="20"/>
        </w:rPr>
        <w:t>Abraham Osorio Ballesteros</w:t>
      </w:r>
    </w:p>
    <w:p>
      <w:pPr>
        <w:spacing w:before="122"/>
        <w:ind w:left="110" w:right="0" w:firstLine="0"/>
        <w:jc w:val="left"/>
        <w:rPr>
          <w:sz w:val="20"/>
        </w:rPr>
      </w:pPr>
      <w:r>
        <w:rPr/>
        <w:br w:type="column"/>
      </w:r>
      <w:r>
        <w:rPr>
          <w:color w:val="231F20"/>
          <w:sz w:val="20"/>
        </w:rPr>
        <w:t>184</w:t>
      </w:r>
    </w:p>
    <w:p>
      <w:pPr>
        <w:pStyle w:val="BodyText"/>
      </w:pPr>
    </w:p>
    <w:p>
      <w:pPr>
        <w:pStyle w:val="BodyText"/>
      </w:pPr>
    </w:p>
    <w:p>
      <w:pPr>
        <w:pStyle w:val="BodyText"/>
        <w:spacing w:before="7"/>
        <w:rPr>
          <w:sz w:val="16"/>
        </w:rPr>
      </w:pPr>
    </w:p>
    <w:p>
      <w:pPr>
        <w:pStyle w:val="BodyText"/>
        <w:ind w:left="110"/>
      </w:pPr>
      <w:r>
        <w:rPr>
          <w:color w:val="231F20"/>
        </w:rPr>
        <w:t>203</w:t>
      </w:r>
    </w:p>
    <w:p>
      <w:pPr>
        <w:pStyle w:val="BodyText"/>
      </w:pPr>
    </w:p>
    <w:p>
      <w:pPr>
        <w:pStyle w:val="BodyText"/>
      </w:pPr>
    </w:p>
    <w:p>
      <w:pPr>
        <w:pStyle w:val="BodyText"/>
      </w:pPr>
    </w:p>
    <w:p>
      <w:pPr>
        <w:pStyle w:val="BodyText"/>
      </w:pPr>
    </w:p>
    <w:p>
      <w:pPr>
        <w:pStyle w:val="BodyText"/>
      </w:pPr>
    </w:p>
    <w:p>
      <w:pPr>
        <w:pStyle w:val="BodyText"/>
        <w:spacing w:before="9"/>
        <w:rPr>
          <w:sz w:val="21"/>
        </w:rPr>
      </w:pPr>
    </w:p>
    <w:p>
      <w:pPr>
        <w:pStyle w:val="BodyText"/>
        <w:ind w:left="110"/>
      </w:pPr>
      <w:r>
        <w:rPr>
          <w:color w:val="231F20"/>
        </w:rPr>
        <w:t>227</w:t>
      </w:r>
    </w:p>
    <w:p>
      <w:pPr>
        <w:pStyle w:val="BodyText"/>
      </w:pPr>
    </w:p>
    <w:p>
      <w:pPr>
        <w:pStyle w:val="BodyText"/>
      </w:pPr>
    </w:p>
    <w:p>
      <w:pPr>
        <w:pStyle w:val="BodyText"/>
        <w:rPr>
          <w:sz w:val="22"/>
        </w:rPr>
      </w:pPr>
    </w:p>
    <w:p>
      <w:pPr>
        <w:pStyle w:val="BodyText"/>
        <w:ind w:left="110"/>
      </w:pPr>
      <w:r>
        <w:rPr>
          <w:color w:val="231F20"/>
        </w:rPr>
        <w:t>249</w:t>
      </w:r>
    </w:p>
    <w:p>
      <w:pPr>
        <w:pStyle w:val="BodyText"/>
      </w:pPr>
    </w:p>
    <w:p>
      <w:pPr>
        <w:pStyle w:val="BodyText"/>
      </w:pPr>
    </w:p>
    <w:p>
      <w:pPr>
        <w:pStyle w:val="BodyText"/>
      </w:pPr>
    </w:p>
    <w:p>
      <w:pPr>
        <w:pStyle w:val="BodyText"/>
        <w:spacing w:before="8"/>
        <w:rPr>
          <w:sz w:val="25"/>
        </w:rPr>
      </w:pPr>
    </w:p>
    <w:p>
      <w:pPr>
        <w:pStyle w:val="BodyText"/>
        <w:ind w:left="110"/>
      </w:pPr>
      <w:r>
        <w:rPr>
          <w:color w:val="231F20"/>
        </w:rPr>
        <w:t>277</w:t>
      </w:r>
    </w:p>
    <w:p>
      <w:pPr>
        <w:pStyle w:val="BodyText"/>
      </w:pPr>
    </w:p>
    <w:p>
      <w:pPr>
        <w:pStyle w:val="BodyText"/>
      </w:pPr>
    </w:p>
    <w:p>
      <w:pPr>
        <w:pStyle w:val="BodyText"/>
        <w:spacing w:before="9"/>
        <w:rPr>
          <w:sz w:val="21"/>
        </w:rPr>
      </w:pPr>
    </w:p>
    <w:p>
      <w:pPr>
        <w:pStyle w:val="BodyText"/>
        <w:ind w:left="110"/>
      </w:pPr>
      <w:r>
        <w:rPr>
          <w:color w:val="231F20"/>
        </w:rPr>
        <w:t>305</w:t>
      </w:r>
    </w:p>
    <w:p>
      <w:pPr>
        <w:spacing w:after="0"/>
        <w:sectPr>
          <w:type w:val="continuous"/>
          <w:pgSz w:w="7770" w:h="11740"/>
          <w:pgMar w:top="0" w:bottom="0" w:left="740" w:right="1000"/>
          <w:cols w:num="2" w:equalWidth="0">
            <w:col w:w="4671" w:space="828"/>
            <w:col w:w="531"/>
          </w:cols>
        </w:sectPr>
      </w:pPr>
    </w:p>
    <w:p>
      <w:pPr>
        <w:pStyle w:val="Heading2"/>
        <w:spacing w:line="240" w:lineRule="auto" w:before="42"/>
        <w:ind w:right="108"/>
      </w:pPr>
      <w:r>
        <w:rPr>
          <w:w w:val="75"/>
        </w:rPr>
        <w:t>Introducción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2"/>
        </w:rPr>
      </w:pPr>
    </w:p>
    <w:p>
      <w:pPr>
        <w:pStyle w:val="BodyText"/>
        <w:spacing w:line="249" w:lineRule="auto" w:before="74"/>
        <w:ind w:left="113" w:right="108"/>
        <w:jc w:val="both"/>
      </w:pPr>
      <w:r>
        <w:rPr>
          <w:color w:val="231F20"/>
        </w:rPr>
        <w:t>Desde la década de 1980 del siglo pasado, el mercado de trabajo y las relaciones laborales en América Latina se vieron afectados por la flexi- bilización y la precarización del trabajo. La desregulación de las</w:t>
      </w:r>
      <w:r>
        <w:rPr>
          <w:color w:val="231F20"/>
          <w:spacing w:val="-24"/>
        </w:rPr>
        <w:t> </w:t>
      </w:r>
      <w:r>
        <w:rPr>
          <w:color w:val="231F20"/>
        </w:rPr>
        <w:t>relacio- nes laborales y la consecuente disminución de la protección del trabajo, tuvo la finalidad de aminorar los costos empresariales, incrementar las ganancias para las empresas e incentivar la inversión y la captación de inversiones extranjeras. Siguiendo los dictados del neoliberalismo, se desplegó</w:t>
      </w:r>
      <w:r>
        <w:rPr>
          <w:color w:val="231F20"/>
          <w:spacing w:val="-7"/>
        </w:rPr>
        <w:t> </w:t>
      </w:r>
      <w:r>
        <w:rPr>
          <w:color w:val="231F20"/>
        </w:rPr>
        <w:t>un</w:t>
      </w:r>
      <w:r>
        <w:rPr>
          <w:color w:val="231F20"/>
          <w:spacing w:val="-7"/>
        </w:rPr>
        <w:t> </w:t>
      </w:r>
      <w:r>
        <w:rPr>
          <w:color w:val="231F20"/>
        </w:rPr>
        <w:t>nuevo</w:t>
      </w:r>
      <w:r>
        <w:rPr>
          <w:color w:val="231F20"/>
          <w:spacing w:val="-7"/>
        </w:rPr>
        <w:t> </w:t>
      </w:r>
      <w:r>
        <w:rPr>
          <w:color w:val="231F20"/>
        </w:rPr>
        <w:t>entorno</w:t>
      </w:r>
      <w:r>
        <w:rPr>
          <w:color w:val="231F20"/>
          <w:spacing w:val="-7"/>
        </w:rPr>
        <w:t> </w:t>
      </w:r>
      <w:r>
        <w:rPr>
          <w:color w:val="231F20"/>
        </w:rPr>
        <w:t>sociolaboral</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región</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marcado</w:t>
      </w:r>
      <w:r>
        <w:rPr>
          <w:color w:val="231F20"/>
          <w:spacing w:val="-7"/>
        </w:rPr>
        <w:t> </w:t>
      </w:r>
      <w:r>
        <w:rPr>
          <w:color w:val="231F20"/>
        </w:rPr>
        <w:t>una particular y creciente heterogeneidad en los mercados de trabajo y un notable deterioro de las condiciones de</w:t>
      </w:r>
      <w:r>
        <w:rPr>
          <w:color w:val="231F20"/>
          <w:spacing w:val="-2"/>
        </w:rPr>
        <w:t> </w:t>
      </w:r>
      <w:r>
        <w:rPr>
          <w:color w:val="231F20"/>
        </w:rPr>
        <w:t>vida.</w:t>
      </w:r>
    </w:p>
    <w:p>
      <w:pPr>
        <w:pStyle w:val="BodyText"/>
        <w:spacing w:line="249" w:lineRule="auto" w:before="1"/>
        <w:ind w:left="113" w:right="108" w:firstLine="283"/>
        <w:jc w:val="both"/>
      </w:pPr>
      <w:r>
        <w:rPr>
          <w:color w:val="231F20"/>
        </w:rPr>
        <w:t>El proceso de reestructuración económica, originalmente gestado en países</w:t>
      </w:r>
      <w:r>
        <w:rPr>
          <w:color w:val="231F20"/>
          <w:spacing w:val="-10"/>
        </w:rPr>
        <w:t> </w:t>
      </w:r>
      <w:r>
        <w:rPr>
          <w:color w:val="231F20"/>
        </w:rPr>
        <w:t>centrales,</w:t>
      </w:r>
      <w:r>
        <w:rPr>
          <w:color w:val="231F20"/>
          <w:spacing w:val="-10"/>
        </w:rPr>
        <w:t> </w:t>
      </w:r>
      <w:r>
        <w:rPr>
          <w:color w:val="231F20"/>
        </w:rPr>
        <w:t>ha</w:t>
      </w:r>
      <w:r>
        <w:rPr>
          <w:color w:val="231F20"/>
          <w:spacing w:val="-10"/>
        </w:rPr>
        <w:t> </w:t>
      </w:r>
      <w:r>
        <w:rPr>
          <w:color w:val="231F20"/>
        </w:rPr>
        <w:t>afectado</w:t>
      </w:r>
      <w:r>
        <w:rPr>
          <w:color w:val="231F20"/>
          <w:spacing w:val="-10"/>
        </w:rPr>
        <w:t> </w:t>
      </w:r>
      <w:r>
        <w:rPr>
          <w:color w:val="231F20"/>
        </w:rPr>
        <w:t>fuertemente</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mercados</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de</w:t>
      </w:r>
      <w:r>
        <w:rPr>
          <w:color w:val="231F20"/>
          <w:spacing w:val="-10"/>
        </w:rPr>
        <w:t> </w:t>
      </w:r>
      <w:r>
        <w:rPr>
          <w:color w:val="231F20"/>
        </w:rPr>
        <w:t>los capitalismos periféricos, como es el caso de Latinoamérica. Asistimos   a una transformación en la manera de interpretar la realidad laboral en América Latina, donde las desregulaciones, privativaciones y predomi- nio de las reglas del mercado pasaron a ser consideradas necesarias para el crecimiento y el bienestar. No obstante, se constata que la informali- dad y la precariedad laboral, si bien no son fenómenos nuevos, se han ampliado. Las formas de articulación de las economías de la región al mercado</w:t>
      </w:r>
      <w:r>
        <w:rPr>
          <w:color w:val="231F20"/>
          <w:spacing w:val="-7"/>
        </w:rPr>
        <w:t> </w:t>
      </w:r>
      <w:r>
        <w:rPr>
          <w:color w:val="231F20"/>
        </w:rPr>
        <w:t>mundial</w:t>
      </w:r>
      <w:r>
        <w:rPr>
          <w:color w:val="231F20"/>
          <w:spacing w:val="-7"/>
        </w:rPr>
        <w:t> </w:t>
      </w:r>
      <w:r>
        <w:rPr>
          <w:color w:val="231F20"/>
        </w:rPr>
        <w:t>y</w:t>
      </w:r>
      <w:r>
        <w:rPr>
          <w:color w:val="231F20"/>
          <w:spacing w:val="-6"/>
        </w:rPr>
        <w:t> </w:t>
      </w:r>
      <w:r>
        <w:rPr>
          <w:color w:val="231F20"/>
        </w:rPr>
        <w:t>sus</w:t>
      </w:r>
      <w:r>
        <w:rPr>
          <w:color w:val="231F20"/>
          <w:spacing w:val="-6"/>
        </w:rPr>
        <w:t> </w:t>
      </w:r>
      <w:r>
        <w:rPr>
          <w:color w:val="231F20"/>
        </w:rPr>
        <w:t>consecuencias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estructura</w:t>
      </w:r>
      <w:r>
        <w:rPr>
          <w:color w:val="231F20"/>
          <w:spacing w:val="-7"/>
        </w:rPr>
        <w:t> </w:t>
      </w:r>
      <w:r>
        <w:rPr>
          <w:color w:val="231F20"/>
        </w:rPr>
        <w:t>productiva</w:t>
      </w:r>
      <w:r>
        <w:rPr>
          <w:color w:val="231F20"/>
          <w:spacing w:val="-6"/>
        </w:rPr>
        <w:t> </w:t>
      </w:r>
      <w:r>
        <w:rPr>
          <w:color w:val="231F20"/>
        </w:rPr>
        <w:t>impac- tan al mercado de trabajo y acrecientan la desigualdad social. Además del aumento del desempleo abierto, las modificaciones en la estructura de la ocupación y subutilización del trabajo, con nuevas lógicas y con renovados soportes técnicos, han cambiado el perfil del obrero y de los asalariados en</w:t>
      </w:r>
      <w:r>
        <w:rPr>
          <w:color w:val="231F20"/>
          <w:spacing w:val="-2"/>
        </w:rPr>
        <w:t> </w:t>
      </w:r>
      <w:r>
        <w:rPr>
          <w:color w:val="231F20"/>
        </w:rPr>
        <w:t>general.</w:t>
      </w:r>
    </w:p>
    <w:p>
      <w:pPr>
        <w:spacing w:after="0" w:line="249" w:lineRule="auto"/>
        <w:jc w:val="both"/>
        <w:sectPr>
          <w:footerReference w:type="default" r:id="rId10"/>
          <w:pgSz w:w="7770" w:h="11740"/>
          <w:pgMar w:footer="559" w:header="0" w:top="820" w:bottom="740" w:left="1020" w:right="740"/>
          <w:pgNumType w:start="7"/>
        </w:sectPr>
      </w:pPr>
    </w:p>
    <w:p>
      <w:pPr>
        <w:pStyle w:val="BodyText"/>
        <w:spacing w:line="249" w:lineRule="auto" w:before="48"/>
        <w:ind w:left="110" w:right="112" w:firstLine="283"/>
        <w:jc w:val="both"/>
      </w:pPr>
      <w:r>
        <w:rPr>
          <w:color w:val="231F20"/>
        </w:rPr>
        <w:t>Las transformaciones en la estructura ocupacional son cada vez más marcadas, destacando la creciente tercerización y formas viciadas de subcontratación,</w:t>
      </w:r>
      <w:r>
        <w:rPr>
          <w:color w:val="231F20"/>
          <w:spacing w:val="-5"/>
        </w:rPr>
        <w:t> </w:t>
      </w:r>
      <w:r>
        <w:rPr>
          <w:color w:val="231F20"/>
        </w:rPr>
        <w:t>así</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deterioro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calidad</w:t>
      </w:r>
      <w:r>
        <w:rPr>
          <w:color w:val="231F20"/>
          <w:spacing w:val="-6"/>
        </w:rPr>
        <w:t> </w:t>
      </w:r>
      <w:r>
        <w:rPr>
          <w:color w:val="231F20"/>
        </w:rPr>
        <w:t>del</w:t>
      </w:r>
      <w:r>
        <w:rPr>
          <w:color w:val="231F20"/>
          <w:spacing w:val="-6"/>
        </w:rPr>
        <w:t> </w:t>
      </w:r>
      <w:r>
        <w:rPr>
          <w:color w:val="231F20"/>
        </w:rPr>
        <w:t>empleo</w:t>
      </w:r>
      <w:r>
        <w:rPr>
          <w:color w:val="231F20"/>
          <w:spacing w:val="-6"/>
        </w:rPr>
        <w:t> </w:t>
      </w:r>
      <w:r>
        <w:rPr>
          <w:color w:val="231F20"/>
        </w:rPr>
        <w:t>en</w:t>
      </w:r>
      <w:r>
        <w:rPr>
          <w:color w:val="231F20"/>
          <w:spacing w:val="-6"/>
        </w:rPr>
        <w:t> </w:t>
      </w:r>
      <w:r>
        <w:rPr>
          <w:color w:val="231F20"/>
        </w:rPr>
        <w:t>térmi- nos de condiciones de trabajo, de remuneraciones, de estabilidad laboral y de protección social presente y futura de las y los trabajadores y sus familias. El incremento en la participación laboral de las mujeres tiende a</w:t>
      </w:r>
      <w:r>
        <w:rPr>
          <w:color w:val="231F20"/>
          <w:spacing w:val="-6"/>
        </w:rPr>
        <w:t> </w:t>
      </w:r>
      <w:r>
        <w:rPr>
          <w:color w:val="231F20"/>
        </w:rPr>
        <w:t>paliar</w:t>
      </w:r>
      <w:r>
        <w:rPr>
          <w:color w:val="231F20"/>
          <w:spacing w:val="-6"/>
        </w:rPr>
        <w:t> </w:t>
      </w:r>
      <w:r>
        <w:rPr>
          <w:color w:val="231F20"/>
        </w:rPr>
        <w:t>la</w:t>
      </w:r>
      <w:r>
        <w:rPr>
          <w:color w:val="231F20"/>
          <w:spacing w:val="-6"/>
        </w:rPr>
        <w:t> </w:t>
      </w:r>
      <w:r>
        <w:rPr>
          <w:color w:val="231F20"/>
        </w:rPr>
        <w:t>situación</w:t>
      </w:r>
      <w:r>
        <w:rPr>
          <w:color w:val="231F20"/>
          <w:spacing w:val="-5"/>
        </w:rPr>
        <w:t> </w:t>
      </w:r>
      <w:r>
        <w:rPr>
          <w:color w:val="231F20"/>
        </w:rPr>
        <w:t>de</w:t>
      </w:r>
      <w:r>
        <w:rPr>
          <w:color w:val="231F20"/>
          <w:spacing w:val="-6"/>
        </w:rPr>
        <w:t> </w:t>
      </w:r>
      <w:r>
        <w:rPr>
          <w:color w:val="231F20"/>
        </w:rPr>
        <w:t>deterioro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condiciones</w:t>
      </w:r>
      <w:r>
        <w:rPr>
          <w:color w:val="231F20"/>
          <w:spacing w:val="-6"/>
        </w:rPr>
        <w:t> </w:t>
      </w:r>
      <w:r>
        <w:rPr>
          <w:color w:val="231F20"/>
        </w:rPr>
        <w:t>de</w:t>
      </w:r>
      <w:r>
        <w:rPr>
          <w:color w:val="231F20"/>
          <w:spacing w:val="-6"/>
        </w:rPr>
        <w:t> </w:t>
      </w:r>
      <w:r>
        <w:rPr>
          <w:color w:val="231F20"/>
        </w:rPr>
        <w:t>vida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grupos familiares. Sin embargo, la calidad del trabajo y las brechas de género muestran</w:t>
      </w:r>
      <w:r>
        <w:rPr>
          <w:color w:val="231F20"/>
          <w:spacing w:val="-11"/>
        </w:rPr>
        <w:t> </w:t>
      </w:r>
      <w:r>
        <w:rPr>
          <w:color w:val="231F20"/>
        </w:rPr>
        <w:t>la</w:t>
      </w:r>
      <w:r>
        <w:rPr>
          <w:color w:val="231F20"/>
          <w:spacing w:val="-10"/>
        </w:rPr>
        <w:t> </w:t>
      </w:r>
      <w:r>
        <w:rPr>
          <w:color w:val="231F20"/>
        </w:rPr>
        <w:t>vigencia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discriminación,</w:t>
      </w:r>
      <w:r>
        <w:rPr>
          <w:color w:val="231F20"/>
          <w:spacing w:val="-11"/>
        </w:rPr>
        <w:t> </w:t>
      </w:r>
      <w:r>
        <w:rPr>
          <w:color w:val="231F20"/>
        </w:rPr>
        <w:t>tanto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ámbito</w:t>
      </w:r>
      <w:r>
        <w:rPr>
          <w:color w:val="231F20"/>
          <w:spacing w:val="-10"/>
        </w:rPr>
        <w:t> </w:t>
      </w:r>
      <w:r>
        <w:rPr>
          <w:color w:val="231F20"/>
        </w:rPr>
        <w:t>remunerado como en la distribución del trabajo doméstico y</w:t>
      </w:r>
      <w:r>
        <w:rPr>
          <w:color w:val="231F20"/>
          <w:spacing w:val="-3"/>
        </w:rPr>
        <w:t> </w:t>
      </w:r>
      <w:r>
        <w:rPr>
          <w:color w:val="231F20"/>
        </w:rPr>
        <w:t>reproductivo.</w:t>
      </w:r>
    </w:p>
    <w:p>
      <w:pPr>
        <w:pStyle w:val="BodyText"/>
        <w:spacing w:line="249" w:lineRule="auto" w:before="1"/>
        <w:ind w:left="110" w:right="111" w:firstLine="283"/>
        <w:jc w:val="both"/>
      </w:pPr>
      <w:r>
        <w:rPr>
          <w:color w:val="231F20"/>
        </w:rPr>
        <w:t>En</w:t>
      </w:r>
      <w:r>
        <w:rPr>
          <w:color w:val="231F20"/>
          <w:spacing w:val="-11"/>
        </w:rPr>
        <w:t> </w:t>
      </w:r>
      <w:r>
        <w:rPr>
          <w:color w:val="231F20"/>
        </w:rPr>
        <w:t>la</w:t>
      </w:r>
      <w:r>
        <w:rPr>
          <w:color w:val="231F20"/>
          <w:spacing w:val="-11"/>
        </w:rPr>
        <w:t> </w:t>
      </w:r>
      <w:r>
        <w:rPr>
          <w:color w:val="231F20"/>
        </w:rPr>
        <w:t>mayoría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países</w:t>
      </w:r>
      <w:r>
        <w:rPr>
          <w:color w:val="231F20"/>
          <w:spacing w:val="-11"/>
        </w:rPr>
        <w:t> </w:t>
      </w:r>
      <w:r>
        <w:rPr>
          <w:color w:val="231F20"/>
        </w:rPr>
        <w:t>de</w:t>
      </w:r>
      <w:r>
        <w:rPr>
          <w:color w:val="231F20"/>
          <w:spacing w:val="-22"/>
        </w:rPr>
        <w:t> </w:t>
      </w:r>
      <w:r>
        <w:rPr>
          <w:color w:val="231F20"/>
        </w:rPr>
        <w:t>América</w:t>
      </w:r>
      <w:r>
        <w:rPr>
          <w:color w:val="231F20"/>
          <w:spacing w:val="-10"/>
        </w:rPr>
        <w:t> </w:t>
      </w:r>
      <w:r>
        <w:rPr>
          <w:color w:val="231F20"/>
        </w:rPr>
        <w:t>Latina</w:t>
      </w:r>
      <w:r>
        <w:rPr>
          <w:color w:val="231F20"/>
          <w:spacing w:val="-11"/>
        </w:rPr>
        <w:t> </w:t>
      </w:r>
      <w:r>
        <w:rPr>
          <w:color w:val="231F20"/>
        </w:rPr>
        <w:t>se</w:t>
      </w:r>
      <w:r>
        <w:rPr>
          <w:color w:val="231F20"/>
          <w:spacing w:val="-11"/>
        </w:rPr>
        <w:t> </w:t>
      </w:r>
      <w:r>
        <w:rPr>
          <w:color w:val="231F20"/>
        </w:rPr>
        <w:t>registra</w:t>
      </w:r>
      <w:r>
        <w:rPr>
          <w:color w:val="231F20"/>
          <w:spacing w:val="-11"/>
        </w:rPr>
        <w:t> </w:t>
      </w:r>
      <w:r>
        <w:rPr>
          <w:color w:val="231F20"/>
        </w:rPr>
        <w:t>una</w:t>
      </w:r>
      <w:r>
        <w:rPr>
          <w:color w:val="231F20"/>
          <w:spacing w:val="-11"/>
        </w:rPr>
        <w:t> </w:t>
      </w:r>
      <w:r>
        <w:rPr>
          <w:color w:val="231F20"/>
        </w:rPr>
        <w:t>relación incierta entre el crecimiento económico —proclamado como suficiente para</w:t>
      </w:r>
      <w:r>
        <w:rPr>
          <w:color w:val="231F20"/>
          <w:spacing w:val="-4"/>
        </w:rPr>
        <w:t> </w:t>
      </w:r>
      <w:r>
        <w:rPr>
          <w:color w:val="231F20"/>
        </w:rPr>
        <w:t>generar</w:t>
      </w:r>
      <w:r>
        <w:rPr>
          <w:color w:val="231F20"/>
          <w:spacing w:val="-4"/>
        </w:rPr>
        <w:t> </w:t>
      </w:r>
      <w:r>
        <w:rPr>
          <w:color w:val="231F20"/>
        </w:rPr>
        <w:t>empleo</w:t>
      </w:r>
      <w:r>
        <w:rPr>
          <w:color w:val="231F20"/>
          <w:spacing w:val="-4"/>
        </w:rPr>
        <w:t> </w:t>
      </w:r>
      <w:r>
        <w:rPr>
          <w:color w:val="231F20"/>
        </w:rPr>
        <w:t>necesario—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incidencia</w:t>
      </w:r>
      <w:r>
        <w:rPr>
          <w:color w:val="231F20"/>
          <w:spacing w:val="-5"/>
        </w:rPr>
        <w:t> </w:t>
      </w:r>
      <w:r>
        <w:rPr>
          <w:color w:val="231F20"/>
        </w:rPr>
        <w:t>en</w:t>
      </w:r>
      <w:r>
        <w:rPr>
          <w:color w:val="231F20"/>
          <w:spacing w:val="-4"/>
        </w:rPr>
        <w:t> </w:t>
      </w:r>
      <w:r>
        <w:rPr>
          <w:color w:val="231F20"/>
        </w:rPr>
        <w:t>la</w:t>
      </w:r>
      <w:r>
        <w:rPr>
          <w:color w:val="231F20"/>
          <w:spacing w:val="-4"/>
        </w:rPr>
        <w:t> </w:t>
      </w:r>
      <w:r>
        <w:rPr>
          <w:color w:val="231F20"/>
        </w:rPr>
        <w:t>desigualdad</w:t>
      </w:r>
      <w:r>
        <w:rPr>
          <w:color w:val="231F20"/>
          <w:spacing w:val="-4"/>
        </w:rPr>
        <w:t> </w:t>
      </w:r>
      <w:r>
        <w:rPr>
          <w:color w:val="231F20"/>
        </w:rPr>
        <w:t>social y la pobreza. Por el contrario, se ha expandido el desempleo y se ha profundizado la desigual distribución de los ingresos al mismo tiempo que se observa una creciente concentración y un aumento en la hetero- geneidad estructural. La magnitud del contingente que no logra</w:t>
      </w:r>
      <w:r>
        <w:rPr>
          <w:color w:val="231F20"/>
          <w:spacing w:val="-23"/>
        </w:rPr>
        <w:t> </w:t>
      </w:r>
      <w:r>
        <w:rPr>
          <w:color w:val="231F20"/>
        </w:rPr>
        <w:t>integrar- se de manera formal, directa y estable al proceso productivo no sólo se ha expandido, sino que las características de la apertura e integración económica internacional han dado lugar a nuevas formas de precariedad laboral y pobreza, articuladas a las estrategias de acumulación y compe- tencia</w:t>
      </w:r>
      <w:r>
        <w:rPr>
          <w:color w:val="231F20"/>
          <w:spacing w:val="-1"/>
        </w:rPr>
        <w:t> </w:t>
      </w:r>
      <w:r>
        <w:rPr>
          <w:color w:val="231F20"/>
        </w:rPr>
        <w:t>económica.</w:t>
      </w:r>
    </w:p>
    <w:p>
      <w:pPr>
        <w:pStyle w:val="BodyText"/>
        <w:spacing w:line="249" w:lineRule="auto" w:before="1"/>
        <w:ind w:left="110" w:right="111" w:firstLine="283"/>
        <w:jc w:val="both"/>
      </w:pPr>
      <w:r>
        <w:rPr>
          <w:color w:val="231F20"/>
        </w:rPr>
        <w:t>Es importante destacar, además, que el neoliberalismo no sólo intro- dujo cambios notables en los ámbitos de la producción y de las relacio- nes laborales en la región, sino que también transformó la estructura de clases:</w:t>
      </w:r>
      <w:r>
        <w:rPr>
          <w:color w:val="231F20"/>
          <w:spacing w:val="-9"/>
        </w:rPr>
        <w:t> </w:t>
      </w:r>
      <w:r>
        <w:rPr>
          <w:color w:val="231F20"/>
        </w:rPr>
        <w:t>por</w:t>
      </w:r>
      <w:r>
        <w:rPr>
          <w:color w:val="231F20"/>
          <w:spacing w:val="-8"/>
        </w:rPr>
        <w:t> </w:t>
      </w:r>
      <w:r>
        <w:rPr>
          <w:color w:val="231F20"/>
        </w:rPr>
        <w:t>un</w:t>
      </w:r>
      <w:r>
        <w:rPr>
          <w:color w:val="231F20"/>
          <w:spacing w:val="-8"/>
        </w:rPr>
        <w:t> </w:t>
      </w:r>
      <w:r>
        <w:rPr>
          <w:color w:val="231F20"/>
        </w:rPr>
        <w:t>lado,</w:t>
      </w:r>
      <w:r>
        <w:rPr>
          <w:color w:val="231F20"/>
          <w:spacing w:val="-8"/>
        </w:rPr>
        <w:t> </w:t>
      </w:r>
      <w:r>
        <w:rPr>
          <w:color w:val="231F20"/>
        </w:rPr>
        <w:t>la</w:t>
      </w:r>
      <w:r>
        <w:rPr>
          <w:color w:val="231F20"/>
          <w:spacing w:val="-8"/>
        </w:rPr>
        <w:t> </w:t>
      </w:r>
      <w:r>
        <w:rPr>
          <w:color w:val="231F20"/>
        </w:rPr>
        <w:t>burguesía</w:t>
      </w:r>
      <w:r>
        <w:rPr>
          <w:color w:val="231F20"/>
          <w:spacing w:val="-8"/>
        </w:rPr>
        <w:t> </w:t>
      </w:r>
      <w:r>
        <w:rPr>
          <w:color w:val="231F20"/>
        </w:rPr>
        <w:t>nacional</w:t>
      </w:r>
      <w:r>
        <w:rPr>
          <w:color w:val="231F20"/>
          <w:spacing w:val="-8"/>
        </w:rPr>
        <w:t> </w:t>
      </w:r>
      <w:r>
        <w:rPr>
          <w:color w:val="231F20"/>
        </w:rPr>
        <w:t>fue</w:t>
      </w:r>
      <w:r>
        <w:rPr>
          <w:color w:val="231F20"/>
          <w:spacing w:val="-8"/>
        </w:rPr>
        <w:t> </w:t>
      </w:r>
      <w:r>
        <w:rPr>
          <w:color w:val="231F20"/>
        </w:rPr>
        <w:t>desplazada</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burguesía exportadora</w:t>
      </w:r>
      <w:r>
        <w:rPr>
          <w:color w:val="231F20"/>
          <w:spacing w:val="-7"/>
        </w:rPr>
        <w:t> </w:t>
      </w:r>
      <w:r>
        <w:rPr>
          <w:color w:val="231F20"/>
        </w:rPr>
        <w:t>y</w:t>
      </w:r>
      <w:r>
        <w:rPr>
          <w:color w:val="231F20"/>
          <w:spacing w:val="-7"/>
        </w:rPr>
        <w:t> </w:t>
      </w:r>
      <w:r>
        <w:rPr>
          <w:color w:val="231F20"/>
        </w:rPr>
        <w:t>financiera</w:t>
      </w:r>
      <w:r>
        <w:rPr>
          <w:color w:val="231F20"/>
          <w:spacing w:val="-7"/>
        </w:rPr>
        <w:t> </w:t>
      </w:r>
      <w:r>
        <w:rPr>
          <w:color w:val="231F20"/>
        </w:rPr>
        <w:t>ligada</w:t>
      </w:r>
      <w:r>
        <w:rPr>
          <w:color w:val="231F20"/>
          <w:spacing w:val="-7"/>
        </w:rPr>
        <w:t> </w:t>
      </w:r>
      <w:r>
        <w:rPr>
          <w:color w:val="231F20"/>
        </w:rPr>
        <w:t>al</w:t>
      </w:r>
      <w:r>
        <w:rPr>
          <w:color w:val="231F20"/>
          <w:spacing w:val="-7"/>
        </w:rPr>
        <w:t> </w:t>
      </w:r>
      <w:r>
        <w:rPr>
          <w:color w:val="231F20"/>
        </w:rPr>
        <w:t>capital</w:t>
      </w:r>
      <w:r>
        <w:rPr>
          <w:color w:val="231F20"/>
          <w:spacing w:val="-7"/>
        </w:rPr>
        <w:t> </w:t>
      </w:r>
      <w:r>
        <w:rPr>
          <w:color w:val="231F20"/>
        </w:rPr>
        <w:t>trasnacional</w:t>
      </w:r>
      <w:r>
        <w:rPr>
          <w:color w:val="231F20"/>
          <w:spacing w:val="-7"/>
        </w:rPr>
        <w:t> y, </w:t>
      </w:r>
      <w:r>
        <w:rPr>
          <w:color w:val="231F20"/>
        </w:rPr>
        <w:t>por</w:t>
      </w:r>
      <w:r>
        <w:rPr>
          <w:color w:val="231F20"/>
          <w:spacing w:val="-7"/>
        </w:rPr>
        <w:t> </w:t>
      </w:r>
      <w:r>
        <w:rPr>
          <w:color w:val="231F20"/>
        </w:rPr>
        <w:t>otro,</w:t>
      </w:r>
      <w:r>
        <w:rPr>
          <w:color w:val="231F20"/>
          <w:spacing w:val="-7"/>
        </w:rPr>
        <w:t> </w:t>
      </w:r>
      <w:r>
        <w:rPr>
          <w:color w:val="231F20"/>
        </w:rPr>
        <w:t>la</w:t>
      </w:r>
      <w:r>
        <w:rPr>
          <w:color w:val="231F20"/>
          <w:spacing w:val="-7"/>
        </w:rPr>
        <w:t> </w:t>
      </w:r>
      <w:r>
        <w:rPr>
          <w:color w:val="231F20"/>
        </w:rPr>
        <w:t>clase trabajadora, representada por el obrero industrial, fue desarticulada con la</w:t>
      </w:r>
      <w:r>
        <w:rPr>
          <w:color w:val="231F20"/>
          <w:spacing w:val="-7"/>
        </w:rPr>
        <w:t> </w:t>
      </w:r>
      <w:r>
        <w:rPr>
          <w:color w:val="231F20"/>
        </w:rPr>
        <w:t>expansión</w:t>
      </w:r>
      <w:r>
        <w:rPr>
          <w:color w:val="231F20"/>
          <w:spacing w:val="-7"/>
        </w:rPr>
        <w:t> </w:t>
      </w:r>
      <w:r>
        <w:rPr>
          <w:color w:val="231F20"/>
        </w:rPr>
        <w:t>de</w:t>
      </w:r>
      <w:r>
        <w:rPr>
          <w:color w:val="231F20"/>
          <w:spacing w:val="-7"/>
        </w:rPr>
        <w:t> </w:t>
      </w:r>
      <w:r>
        <w:rPr>
          <w:color w:val="231F20"/>
        </w:rPr>
        <w:t>formas</w:t>
      </w:r>
      <w:r>
        <w:rPr>
          <w:color w:val="231F20"/>
          <w:spacing w:val="-7"/>
        </w:rPr>
        <w:t> </w:t>
      </w:r>
      <w:r>
        <w:rPr>
          <w:color w:val="231F20"/>
        </w:rPr>
        <w:t>atípicas</w:t>
      </w:r>
      <w:r>
        <w:rPr>
          <w:color w:val="231F20"/>
          <w:spacing w:val="-7"/>
        </w:rPr>
        <w:t> </w:t>
      </w:r>
      <w:r>
        <w:rPr>
          <w:color w:val="231F20"/>
        </w:rPr>
        <w:t>de</w:t>
      </w:r>
      <w:r>
        <w:rPr>
          <w:color w:val="231F20"/>
          <w:spacing w:val="-7"/>
        </w:rPr>
        <w:t> </w:t>
      </w:r>
      <w:r>
        <w:rPr>
          <w:color w:val="231F20"/>
        </w:rPr>
        <w:t>empleo,</w:t>
      </w:r>
      <w:r>
        <w:rPr>
          <w:color w:val="231F20"/>
          <w:spacing w:val="-7"/>
        </w:rPr>
        <w:t> </w:t>
      </w:r>
      <w:r>
        <w:rPr>
          <w:color w:val="231F20"/>
        </w:rPr>
        <w:t>el</w:t>
      </w:r>
      <w:r>
        <w:rPr>
          <w:color w:val="231F20"/>
          <w:spacing w:val="-7"/>
        </w:rPr>
        <w:t> </w:t>
      </w:r>
      <w:r>
        <w:rPr>
          <w:color w:val="231F20"/>
        </w:rPr>
        <w:t>sector</w:t>
      </w:r>
      <w:r>
        <w:rPr>
          <w:color w:val="231F20"/>
          <w:spacing w:val="-7"/>
        </w:rPr>
        <w:t> </w:t>
      </w:r>
      <w:r>
        <w:rPr>
          <w:color w:val="231F20"/>
        </w:rPr>
        <w:t>informal</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trabajo independiente o pseudo-independiente. A la vez, las relaciones</w:t>
      </w:r>
      <w:r>
        <w:rPr>
          <w:color w:val="231F20"/>
          <w:spacing w:val="-21"/>
        </w:rPr>
        <w:t> </w:t>
      </w:r>
      <w:r>
        <w:rPr>
          <w:color w:val="231F20"/>
        </w:rPr>
        <w:t>laborales se individualizan en menoscabo de las relaciones laborales colectivas. Con el neoliberalismo, el Estado, como instancia de mediación entre ca- pital y sociedad civil, redefinió su rol. Su repliegue, particularmente de las</w:t>
      </w:r>
      <w:r>
        <w:rPr>
          <w:color w:val="231F20"/>
          <w:spacing w:val="-10"/>
        </w:rPr>
        <w:t> </w:t>
      </w:r>
      <w:r>
        <w:rPr>
          <w:color w:val="231F20"/>
        </w:rPr>
        <w:t>funciones</w:t>
      </w:r>
      <w:r>
        <w:rPr>
          <w:color w:val="231F20"/>
          <w:spacing w:val="-9"/>
        </w:rPr>
        <w:t> </w:t>
      </w:r>
      <w:r>
        <w:rPr>
          <w:color w:val="231F20"/>
        </w:rPr>
        <w:t>de</w:t>
      </w:r>
      <w:r>
        <w:rPr>
          <w:color w:val="231F20"/>
          <w:spacing w:val="-9"/>
        </w:rPr>
        <w:t> </w:t>
      </w:r>
      <w:r>
        <w:rPr>
          <w:color w:val="231F20"/>
        </w:rPr>
        <w:t>protección,</w:t>
      </w:r>
      <w:r>
        <w:rPr>
          <w:color w:val="231F20"/>
          <w:spacing w:val="-10"/>
        </w:rPr>
        <w:t> </w:t>
      </w:r>
      <w:r>
        <w:rPr>
          <w:color w:val="231F20"/>
        </w:rPr>
        <w:t>seguridad</w:t>
      </w:r>
      <w:r>
        <w:rPr>
          <w:color w:val="231F20"/>
          <w:spacing w:val="-9"/>
        </w:rPr>
        <w:t> </w:t>
      </w:r>
      <w:r>
        <w:rPr>
          <w:color w:val="231F20"/>
        </w:rPr>
        <w:t>y</w:t>
      </w:r>
      <w:r>
        <w:rPr>
          <w:color w:val="231F20"/>
          <w:spacing w:val="-9"/>
        </w:rPr>
        <w:t> </w:t>
      </w:r>
      <w:r>
        <w:rPr>
          <w:color w:val="231F20"/>
        </w:rPr>
        <w:t>gestión</w:t>
      </w:r>
      <w:r>
        <w:rPr>
          <w:color w:val="231F20"/>
          <w:spacing w:val="-9"/>
        </w:rPr>
        <w:t> </w:t>
      </w:r>
      <w:r>
        <w:rPr>
          <w:color w:val="231F20"/>
        </w:rPr>
        <w:t>social,</w:t>
      </w:r>
      <w:r>
        <w:rPr>
          <w:color w:val="231F20"/>
          <w:spacing w:val="-9"/>
        </w:rPr>
        <w:t> </w:t>
      </w:r>
      <w:r>
        <w:rPr>
          <w:color w:val="231F20"/>
        </w:rPr>
        <w:t>dejó</w:t>
      </w:r>
      <w:r>
        <w:rPr>
          <w:color w:val="231F20"/>
          <w:spacing w:val="-9"/>
        </w:rPr>
        <w:t> </w:t>
      </w:r>
      <w:r>
        <w:rPr>
          <w:color w:val="231F20"/>
        </w:rPr>
        <w:t>a</w:t>
      </w:r>
      <w:r>
        <w:rPr>
          <w:color w:val="231F20"/>
          <w:spacing w:val="-9"/>
        </w:rPr>
        <w:t> </w:t>
      </w:r>
      <w:r>
        <w:rPr>
          <w:color w:val="231F20"/>
        </w:rPr>
        <w:t>las</w:t>
      </w:r>
      <w:r>
        <w:rPr>
          <w:color w:val="231F20"/>
          <w:spacing w:val="-10"/>
        </w:rPr>
        <w:t> </w:t>
      </w:r>
      <w:r>
        <w:rPr>
          <w:color w:val="231F20"/>
        </w:rPr>
        <w:t>deman- das sociales sin lugar y sin un interlocutor</w:t>
      </w:r>
      <w:r>
        <w:rPr>
          <w:color w:val="231F20"/>
          <w:spacing w:val="-13"/>
        </w:rPr>
        <w:t> </w:t>
      </w:r>
      <w:r>
        <w:rPr>
          <w:color w:val="231F20"/>
        </w:rPr>
        <w:t>directo.</w:t>
      </w:r>
    </w:p>
    <w:p>
      <w:pPr>
        <w:pStyle w:val="BodyText"/>
        <w:spacing w:line="249" w:lineRule="auto" w:before="1"/>
        <w:ind w:left="110" w:right="111" w:firstLine="283"/>
        <w:jc w:val="both"/>
      </w:pPr>
      <w:r>
        <w:rPr>
          <w:color w:val="231F20"/>
        </w:rPr>
        <w:t>En</w:t>
      </w:r>
      <w:r>
        <w:rPr>
          <w:color w:val="231F20"/>
          <w:spacing w:val="-9"/>
        </w:rPr>
        <w:t> </w:t>
      </w:r>
      <w:r>
        <w:rPr>
          <w:color w:val="231F20"/>
        </w:rPr>
        <w:t>este</w:t>
      </w:r>
      <w:r>
        <w:rPr>
          <w:color w:val="231F20"/>
          <w:spacing w:val="-9"/>
        </w:rPr>
        <w:t> </w:t>
      </w:r>
      <w:r>
        <w:rPr>
          <w:color w:val="231F20"/>
        </w:rPr>
        <w:t>contexto,</w:t>
      </w:r>
      <w:r>
        <w:rPr>
          <w:color w:val="231F20"/>
          <w:spacing w:val="-9"/>
        </w:rPr>
        <w:t> </w:t>
      </w:r>
      <w:r>
        <w:rPr>
          <w:color w:val="231F20"/>
        </w:rPr>
        <w:t>las</w:t>
      </w:r>
      <w:r>
        <w:rPr>
          <w:color w:val="231F20"/>
          <w:spacing w:val="-9"/>
        </w:rPr>
        <w:t> </w:t>
      </w:r>
      <w:r>
        <w:rPr>
          <w:color w:val="231F20"/>
        </w:rPr>
        <w:t>investigaciones</w:t>
      </w:r>
      <w:r>
        <w:rPr>
          <w:color w:val="231F20"/>
          <w:spacing w:val="-10"/>
        </w:rPr>
        <w:t> </w:t>
      </w:r>
      <w:r>
        <w:rPr>
          <w:color w:val="231F20"/>
        </w:rPr>
        <w:t>relativas</w:t>
      </w:r>
      <w:r>
        <w:rPr>
          <w:color w:val="231F20"/>
          <w:spacing w:val="-9"/>
        </w:rPr>
        <w:t> </w:t>
      </w:r>
      <w:r>
        <w:rPr>
          <w:color w:val="231F20"/>
        </w:rPr>
        <w:t>al</w:t>
      </w:r>
      <w:r>
        <w:rPr>
          <w:color w:val="231F20"/>
          <w:spacing w:val="-9"/>
        </w:rPr>
        <w:t> </w:t>
      </w:r>
      <w:r>
        <w:rPr>
          <w:color w:val="231F20"/>
        </w:rPr>
        <w:t>mercado</w:t>
      </w:r>
      <w:r>
        <w:rPr>
          <w:color w:val="231F20"/>
          <w:spacing w:val="-9"/>
        </w:rPr>
        <w:t> </w:t>
      </w:r>
      <w:r>
        <w:rPr>
          <w:color w:val="231F20"/>
        </w:rPr>
        <w:t>de</w:t>
      </w:r>
      <w:r>
        <w:rPr>
          <w:color w:val="231F20"/>
          <w:spacing w:val="-9"/>
        </w:rPr>
        <w:t> </w:t>
      </w:r>
      <w:r>
        <w:rPr>
          <w:color w:val="231F20"/>
        </w:rPr>
        <w:t>trabajo</w:t>
      </w:r>
      <w:r>
        <w:rPr>
          <w:color w:val="231F20"/>
          <w:spacing w:val="-9"/>
        </w:rPr>
        <w:t> </w:t>
      </w:r>
      <w:r>
        <w:rPr>
          <w:color w:val="231F20"/>
        </w:rPr>
        <w:t>y a</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laborales</w:t>
      </w:r>
      <w:r>
        <w:rPr>
          <w:color w:val="231F20"/>
          <w:spacing w:val="-6"/>
        </w:rPr>
        <w:t> </w:t>
      </w:r>
      <w:r>
        <w:rPr>
          <w:color w:val="231F20"/>
        </w:rPr>
        <w:t>han</w:t>
      </w:r>
      <w:r>
        <w:rPr>
          <w:color w:val="231F20"/>
          <w:spacing w:val="-6"/>
        </w:rPr>
        <w:t> </w:t>
      </w:r>
      <w:r>
        <w:rPr>
          <w:color w:val="231F20"/>
        </w:rPr>
        <w:t>enfrentado</w:t>
      </w:r>
      <w:r>
        <w:rPr>
          <w:color w:val="231F20"/>
          <w:spacing w:val="-6"/>
        </w:rPr>
        <w:t> </w:t>
      </w:r>
      <w:r>
        <w:rPr>
          <w:color w:val="231F20"/>
        </w:rPr>
        <w:t>grandes</w:t>
      </w:r>
      <w:r>
        <w:rPr>
          <w:color w:val="231F20"/>
          <w:spacing w:val="-6"/>
        </w:rPr>
        <w:t> </w:t>
      </w:r>
      <w:r>
        <w:rPr>
          <w:color w:val="231F20"/>
        </w:rPr>
        <w:t>desafíos.</w:t>
      </w:r>
      <w:r>
        <w:rPr>
          <w:color w:val="231F20"/>
          <w:spacing w:val="-6"/>
        </w:rPr>
        <w:t> </w:t>
      </w:r>
      <w:r>
        <w:rPr>
          <w:color w:val="231F20"/>
        </w:rPr>
        <w:t>Los</w:t>
      </w:r>
      <w:r>
        <w:rPr>
          <w:color w:val="231F20"/>
          <w:spacing w:val="-6"/>
        </w:rPr>
        <w:t> </w:t>
      </w:r>
      <w:r>
        <w:rPr>
          <w:color w:val="231F20"/>
        </w:rPr>
        <w:t>esfuerzos emprendidos para ordenar el estado del conocimiento y propuestas</w:t>
      </w:r>
      <w:r>
        <w:rPr>
          <w:color w:val="231F20"/>
          <w:spacing w:val="-25"/>
        </w:rPr>
        <w:t> </w:t>
      </w:r>
      <w:r>
        <w:rPr>
          <w:color w:val="231F20"/>
        </w:rPr>
        <w:t>alter- nativas son diversos, presentados y recogidos en congresos, artículos y libros, y enriquecidos con la crítica e intercambios académicos  </w:t>
      </w:r>
      <w:r>
        <w:rPr>
          <w:color w:val="231F20"/>
          <w:spacing w:val="42"/>
        </w:rPr>
        <w:t> </w:t>
      </w:r>
      <w:r>
        <w:rPr>
          <w:color w:val="231F20"/>
        </w:rPr>
        <w:t>perma-</w:t>
      </w:r>
    </w:p>
    <w:p>
      <w:pPr>
        <w:spacing w:after="0" w:line="249" w:lineRule="auto"/>
        <w:jc w:val="both"/>
        <w:sectPr>
          <w:pgSz w:w="7770" w:h="11740"/>
          <w:pgMar w:header="0" w:footer="559" w:top="840" w:bottom="740" w:left="740" w:right="1020"/>
        </w:sectPr>
      </w:pPr>
    </w:p>
    <w:p>
      <w:pPr>
        <w:pStyle w:val="BodyText"/>
        <w:spacing w:line="249" w:lineRule="auto" w:before="60"/>
        <w:ind w:left="113" w:right="107"/>
        <w:jc w:val="both"/>
      </w:pPr>
      <w:r>
        <w:rPr>
          <w:color w:val="231F20"/>
        </w:rPr>
        <w:t>nentes. El libro titulado </w:t>
      </w:r>
      <w:r>
        <w:rPr>
          <w:i/>
          <w:color w:val="231F20"/>
          <w:spacing w:val="-3"/>
        </w:rPr>
        <w:t>Trabajo </w:t>
      </w:r>
      <w:r>
        <w:rPr>
          <w:i/>
          <w:color w:val="231F20"/>
        </w:rPr>
        <w:t>global y desigualdades en el mercado </w:t>
      </w:r>
      <w:r>
        <w:rPr>
          <w:i/>
          <w:color w:val="231F20"/>
        </w:rPr>
        <w:t>laboral </w:t>
      </w:r>
      <w:r>
        <w:rPr>
          <w:color w:val="231F20"/>
        </w:rPr>
        <w:t>conformado por 12 capítulos distribuidos en tres secciones te- máticas: Trabajo global, mercado de trabajo y nuevas relaciones labo- rales; Reestructuración productiva, flexibilidad y precariedad laboral, y Nuevas</w:t>
      </w:r>
      <w:r>
        <w:rPr>
          <w:color w:val="231F20"/>
          <w:spacing w:val="-6"/>
        </w:rPr>
        <w:t> </w:t>
      </w:r>
      <w:r>
        <w:rPr>
          <w:color w:val="231F20"/>
        </w:rPr>
        <w:t>desigualdades,</w:t>
      </w:r>
      <w:r>
        <w:rPr>
          <w:color w:val="231F20"/>
          <w:spacing w:val="-6"/>
        </w:rPr>
        <w:t> </w:t>
      </w:r>
      <w:r>
        <w:rPr>
          <w:color w:val="231F20"/>
        </w:rPr>
        <w:t>pobreza</w:t>
      </w:r>
      <w:r>
        <w:rPr>
          <w:color w:val="231F20"/>
          <w:spacing w:val="-6"/>
        </w:rPr>
        <w:t> </w:t>
      </w:r>
      <w:r>
        <w:rPr>
          <w:color w:val="231F20"/>
        </w:rPr>
        <w:t>laboral</w:t>
      </w:r>
      <w:r>
        <w:rPr>
          <w:color w:val="231F20"/>
          <w:spacing w:val="-6"/>
        </w:rPr>
        <w:t> </w:t>
      </w:r>
      <w:r>
        <w:rPr>
          <w:color w:val="231F20"/>
        </w:rPr>
        <w:t>y</w:t>
      </w:r>
      <w:r>
        <w:rPr>
          <w:color w:val="231F20"/>
          <w:spacing w:val="-6"/>
        </w:rPr>
        <w:t> </w:t>
      </w:r>
      <w:r>
        <w:rPr>
          <w:color w:val="231F20"/>
        </w:rPr>
        <w:t>significados</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intenta recoger parte de dicha problemática.</w:t>
      </w:r>
    </w:p>
    <w:p>
      <w:pPr>
        <w:pStyle w:val="Heading4"/>
      </w:pPr>
      <w:r>
        <w:rPr>
          <w:w w:val="75"/>
        </w:rPr>
        <w:t>Trabajo global, mercado de trabajo y nuevas relaciones laborales</w:t>
      </w:r>
    </w:p>
    <w:p>
      <w:pPr>
        <w:pStyle w:val="BodyText"/>
        <w:spacing w:line="249" w:lineRule="auto" w:before="171"/>
        <w:ind w:left="113" w:right="107"/>
        <w:jc w:val="both"/>
      </w:pPr>
      <w:r>
        <w:rPr>
          <w:color w:val="231F20"/>
        </w:rPr>
        <w:t>El</w:t>
      </w:r>
      <w:r>
        <w:rPr>
          <w:color w:val="231F20"/>
          <w:spacing w:val="-4"/>
        </w:rPr>
        <w:t> </w:t>
      </w:r>
      <w:r>
        <w:rPr>
          <w:color w:val="231F20"/>
        </w:rPr>
        <w:t>libro</w:t>
      </w:r>
      <w:r>
        <w:rPr>
          <w:color w:val="231F20"/>
          <w:spacing w:val="-4"/>
        </w:rPr>
        <w:t> </w:t>
      </w:r>
      <w:r>
        <w:rPr>
          <w:color w:val="231F20"/>
        </w:rPr>
        <w:t>inicia</w:t>
      </w:r>
      <w:r>
        <w:rPr>
          <w:color w:val="231F20"/>
          <w:spacing w:val="-5"/>
        </w:rPr>
        <w:t> </w:t>
      </w:r>
      <w:r>
        <w:rPr>
          <w:color w:val="231F20"/>
        </w:rPr>
        <w:t>con</w:t>
      </w:r>
      <w:r>
        <w:rPr>
          <w:color w:val="231F20"/>
          <w:spacing w:val="-4"/>
        </w:rPr>
        <w:t> </w:t>
      </w:r>
      <w:r>
        <w:rPr>
          <w:color w:val="231F20"/>
        </w:rPr>
        <w:t>el</w:t>
      </w:r>
      <w:r>
        <w:rPr>
          <w:color w:val="231F20"/>
          <w:spacing w:val="-4"/>
        </w:rPr>
        <w:t> </w:t>
      </w:r>
      <w:r>
        <w:rPr>
          <w:color w:val="231F20"/>
        </w:rPr>
        <w:t>capítulo</w:t>
      </w:r>
      <w:r>
        <w:rPr>
          <w:color w:val="231F20"/>
          <w:spacing w:val="-5"/>
        </w:rPr>
        <w:t> </w:t>
      </w:r>
      <w:r>
        <w:rPr>
          <w:color w:val="231F20"/>
        </w:rPr>
        <w:t>de</w:t>
      </w:r>
      <w:r>
        <w:rPr>
          <w:color w:val="231F20"/>
          <w:spacing w:val="-4"/>
        </w:rPr>
        <w:t> </w:t>
      </w:r>
      <w:r>
        <w:rPr>
          <w:color w:val="231F20"/>
        </w:rPr>
        <w:t>Juan</w:t>
      </w:r>
      <w:r>
        <w:rPr>
          <w:color w:val="231F20"/>
          <w:spacing w:val="-4"/>
        </w:rPr>
        <w:t> </w:t>
      </w:r>
      <w:r>
        <w:rPr>
          <w:color w:val="231F20"/>
        </w:rPr>
        <w:t>Pablo</w:t>
      </w:r>
      <w:r>
        <w:rPr>
          <w:color w:val="231F20"/>
          <w:spacing w:val="-4"/>
        </w:rPr>
        <w:t> </w:t>
      </w:r>
      <w:r>
        <w:rPr>
          <w:color w:val="231F20"/>
        </w:rPr>
        <w:t>Pérez</w:t>
      </w:r>
      <w:r>
        <w:rPr>
          <w:color w:val="231F20"/>
          <w:spacing w:val="-4"/>
        </w:rPr>
        <w:t> </w:t>
      </w:r>
      <w:r>
        <w:rPr>
          <w:color w:val="231F20"/>
        </w:rPr>
        <w:t>Sáinz,</w:t>
      </w:r>
      <w:r>
        <w:rPr>
          <w:color w:val="231F20"/>
          <w:spacing w:val="-4"/>
        </w:rPr>
        <w:t> </w:t>
      </w:r>
      <w:r>
        <w:rPr>
          <w:color w:val="231F20"/>
        </w:rPr>
        <w:t>investigador</w:t>
      </w:r>
      <w:r>
        <w:rPr>
          <w:color w:val="231F20"/>
          <w:spacing w:val="-5"/>
        </w:rPr>
        <w:t> </w:t>
      </w:r>
      <w:r>
        <w:rPr>
          <w:color w:val="231F20"/>
        </w:rPr>
        <w:t>de la Facultad Latinoamericana de Ciencias Sociales-Costa Rica, “Globali- zación y relaciones asalariadas en América Latina. Entre la generaliza- ción de la precariedad y la utopía de la empleabilidad”, el cual analiza  la problemática de las desigualdades de excedente económico que traen consigo el capitalismo, la globalización y los procesos de conformación de</w:t>
      </w:r>
      <w:r>
        <w:rPr>
          <w:color w:val="231F20"/>
          <w:spacing w:val="-10"/>
        </w:rPr>
        <w:t> </w:t>
      </w:r>
      <w:r>
        <w:rPr>
          <w:color w:val="231F20"/>
        </w:rPr>
        <w:t>ciudadanía</w:t>
      </w:r>
      <w:r>
        <w:rPr>
          <w:color w:val="231F20"/>
          <w:spacing w:val="-10"/>
        </w:rPr>
        <w:t> </w:t>
      </w:r>
      <w:r>
        <w:rPr>
          <w:color w:val="231F20"/>
        </w:rPr>
        <w:t>que</w:t>
      </w:r>
      <w:r>
        <w:rPr>
          <w:color w:val="231F20"/>
          <w:spacing w:val="-10"/>
        </w:rPr>
        <w:t> </w:t>
      </w:r>
      <w:r>
        <w:rPr>
          <w:color w:val="231F20"/>
        </w:rPr>
        <w:t>propician</w:t>
      </w:r>
      <w:r>
        <w:rPr>
          <w:color w:val="231F20"/>
          <w:spacing w:val="-10"/>
        </w:rPr>
        <w:t> </w:t>
      </w:r>
      <w:r>
        <w:rPr>
          <w:color w:val="231F20"/>
        </w:rPr>
        <w:t>la</w:t>
      </w:r>
      <w:r>
        <w:rPr>
          <w:color w:val="231F20"/>
          <w:spacing w:val="-10"/>
        </w:rPr>
        <w:t> </w:t>
      </w:r>
      <w:r>
        <w:rPr>
          <w:color w:val="231F20"/>
        </w:rPr>
        <w:t>explotación</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acaparamiento</w:t>
      </w:r>
      <w:r>
        <w:rPr>
          <w:color w:val="231F20"/>
          <w:spacing w:val="-10"/>
        </w:rPr>
        <w:t> </w:t>
      </w:r>
      <w:r>
        <w:rPr>
          <w:color w:val="231F20"/>
        </w:rPr>
        <w:t>de</w:t>
      </w:r>
      <w:r>
        <w:rPr>
          <w:color w:val="231F20"/>
          <w:spacing w:val="-10"/>
        </w:rPr>
        <w:t> </w:t>
      </w:r>
      <w:r>
        <w:rPr>
          <w:color w:val="231F20"/>
        </w:rPr>
        <w:t>oportu- nidades. Según el autor, la globalización neoliberal induce cuatro proce- sos</w:t>
      </w:r>
      <w:r>
        <w:rPr>
          <w:color w:val="231F20"/>
          <w:spacing w:val="-8"/>
        </w:rPr>
        <w:t> </w:t>
      </w:r>
      <w:r>
        <w:rPr>
          <w:color w:val="231F20"/>
        </w:rPr>
        <w:t>en</w:t>
      </w:r>
      <w:r>
        <w:rPr>
          <w:color w:val="231F20"/>
          <w:spacing w:val="-9"/>
        </w:rPr>
        <w:t> </w:t>
      </w:r>
      <w:r>
        <w:rPr>
          <w:color w:val="231F20"/>
        </w:rPr>
        <w:t>términos</w:t>
      </w:r>
      <w:r>
        <w:rPr>
          <w:color w:val="231F20"/>
          <w:spacing w:val="-9"/>
        </w:rPr>
        <w:t> </w:t>
      </w:r>
      <w:r>
        <w:rPr>
          <w:color w:val="231F20"/>
        </w:rPr>
        <w:t>de</w:t>
      </w:r>
      <w:r>
        <w:rPr>
          <w:color w:val="231F20"/>
          <w:spacing w:val="-9"/>
        </w:rPr>
        <w:t> </w:t>
      </w:r>
      <w:r>
        <w:rPr>
          <w:color w:val="231F20"/>
        </w:rPr>
        <w:t>condiciones</w:t>
      </w:r>
      <w:r>
        <w:rPr>
          <w:color w:val="231F20"/>
          <w:spacing w:val="-9"/>
        </w:rPr>
        <w:t> </w:t>
      </w:r>
      <w:r>
        <w:rPr>
          <w:color w:val="231F20"/>
        </w:rPr>
        <w:t>de</w:t>
      </w:r>
      <w:r>
        <w:rPr>
          <w:color w:val="231F20"/>
          <w:spacing w:val="-9"/>
        </w:rPr>
        <w:t> </w:t>
      </w:r>
      <w:r>
        <w:rPr>
          <w:color w:val="231F20"/>
        </w:rPr>
        <w:t>explotación:</w:t>
      </w:r>
      <w:r>
        <w:rPr>
          <w:color w:val="231F20"/>
          <w:spacing w:val="-9"/>
        </w:rPr>
        <w:t> </w:t>
      </w:r>
      <w:r>
        <w:rPr>
          <w:color w:val="231F20"/>
        </w:rPr>
        <w:t>la</w:t>
      </w:r>
      <w:r>
        <w:rPr>
          <w:color w:val="231F20"/>
          <w:spacing w:val="-9"/>
        </w:rPr>
        <w:t> </w:t>
      </w:r>
      <w:r>
        <w:rPr>
          <w:color w:val="231F20"/>
        </w:rPr>
        <w:t>pérdida</w:t>
      </w:r>
      <w:r>
        <w:rPr>
          <w:color w:val="231F20"/>
          <w:spacing w:val="-9"/>
        </w:rPr>
        <w:t> </w:t>
      </w:r>
      <w:r>
        <w:rPr>
          <w:color w:val="231F20"/>
        </w:rPr>
        <w:t>de</w:t>
      </w:r>
      <w:r>
        <w:rPr>
          <w:color w:val="231F20"/>
          <w:spacing w:val="-9"/>
        </w:rPr>
        <w:t> </w:t>
      </w:r>
      <w:r>
        <w:rPr>
          <w:color w:val="231F20"/>
        </w:rPr>
        <w:t>importancia relativa del empleo público, la precarización del trabajo asalariado, la empleabilidad como aspiración o utopía laboral dada la desregulación de las ocupaciones promovidas por el neoliberalismo, y la expansión</w:t>
      </w:r>
      <w:r>
        <w:rPr>
          <w:color w:val="231F20"/>
          <w:spacing w:val="-14"/>
        </w:rPr>
        <w:t> </w:t>
      </w:r>
      <w:r>
        <w:rPr>
          <w:color w:val="231F20"/>
        </w:rPr>
        <w:t>del desempleo estructural, debido a la incapacidad del modelo para cubrir</w:t>
      </w:r>
      <w:r>
        <w:rPr>
          <w:color w:val="231F20"/>
          <w:spacing w:val="-14"/>
        </w:rPr>
        <w:t> </w:t>
      </w:r>
      <w:r>
        <w:rPr>
          <w:color w:val="231F20"/>
        </w:rPr>
        <w:t>la demanda generada. Postula que en este campo se ha sufrido una regre- sión respecto a los logros anteriormente alcanzados del empleo formal, ya que el trabajo no necesariamente se constituye en empleo, lo que ge- nera</w:t>
      </w:r>
      <w:r>
        <w:rPr>
          <w:color w:val="231F20"/>
          <w:spacing w:val="-4"/>
        </w:rPr>
        <w:t> </w:t>
      </w:r>
      <w:r>
        <w:rPr>
          <w:color w:val="231F20"/>
        </w:rPr>
        <w:t>un</w:t>
      </w:r>
      <w:r>
        <w:rPr>
          <w:color w:val="231F20"/>
          <w:spacing w:val="-4"/>
        </w:rPr>
        <w:t> </w:t>
      </w:r>
      <w:r>
        <w:rPr>
          <w:color w:val="231F20"/>
        </w:rPr>
        <w:t>mayor</w:t>
      </w:r>
      <w:r>
        <w:rPr>
          <w:color w:val="231F20"/>
          <w:spacing w:val="-5"/>
        </w:rPr>
        <w:t> </w:t>
      </w:r>
      <w:r>
        <w:rPr>
          <w:color w:val="231F20"/>
        </w:rPr>
        <w:t>desconcierto</w:t>
      </w:r>
      <w:r>
        <w:rPr>
          <w:color w:val="231F20"/>
          <w:spacing w:val="-5"/>
        </w:rPr>
        <w:t> </w:t>
      </w:r>
      <w:r>
        <w:rPr>
          <w:color w:val="231F20"/>
        </w:rPr>
        <w:t>y</w:t>
      </w:r>
      <w:r>
        <w:rPr>
          <w:color w:val="231F20"/>
          <w:spacing w:val="-4"/>
        </w:rPr>
        <w:t> </w:t>
      </w:r>
      <w:r>
        <w:rPr>
          <w:color w:val="231F20"/>
        </w:rPr>
        <w:t>un</w:t>
      </w:r>
      <w:r>
        <w:rPr>
          <w:color w:val="231F20"/>
          <w:spacing w:val="-4"/>
        </w:rPr>
        <w:t> </w:t>
      </w:r>
      <w:r>
        <w:rPr>
          <w:color w:val="231F20"/>
        </w:rPr>
        <w:t>futuro</w:t>
      </w:r>
      <w:r>
        <w:rPr>
          <w:color w:val="231F20"/>
          <w:spacing w:val="-4"/>
        </w:rPr>
        <w:t> </w:t>
      </w:r>
      <w:r>
        <w:rPr>
          <w:color w:val="231F20"/>
        </w:rPr>
        <w:t>poco</w:t>
      </w:r>
      <w:r>
        <w:rPr>
          <w:color w:val="231F20"/>
          <w:spacing w:val="-4"/>
        </w:rPr>
        <w:t> </w:t>
      </w:r>
      <w:r>
        <w:rPr>
          <w:color w:val="231F20"/>
        </w:rPr>
        <w:t>promisorio</w:t>
      </w:r>
      <w:r>
        <w:rPr>
          <w:color w:val="231F20"/>
          <w:spacing w:val="-4"/>
        </w:rPr>
        <w:t> </w:t>
      </w:r>
      <w:r>
        <w:rPr>
          <w:color w:val="231F20"/>
        </w:rPr>
        <w:t>para</w:t>
      </w:r>
      <w:r>
        <w:rPr>
          <w:color w:val="231F20"/>
          <w:spacing w:val="-4"/>
        </w:rPr>
        <w:t> </w:t>
      </w:r>
      <w:r>
        <w:rPr>
          <w:color w:val="231F20"/>
        </w:rPr>
        <w:t>los</w:t>
      </w:r>
      <w:r>
        <w:rPr>
          <w:color w:val="231F20"/>
          <w:spacing w:val="-5"/>
        </w:rPr>
        <w:t> </w:t>
      </w:r>
      <w:r>
        <w:rPr>
          <w:color w:val="231F20"/>
        </w:rPr>
        <w:t>despla- zados del mercado de trabajo. El trabajo resalta la naturaleza estructural del problema laboral, que de manera simbólica recuerda al asalariado lo sencillo</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sustituirlo</w:t>
      </w:r>
      <w:r>
        <w:rPr>
          <w:color w:val="231F20"/>
          <w:spacing w:val="-6"/>
        </w:rPr>
        <w:t> </w:t>
      </w:r>
      <w:r>
        <w:rPr>
          <w:color w:val="231F20"/>
        </w:rPr>
        <w:t>dada</w:t>
      </w:r>
      <w:r>
        <w:rPr>
          <w:color w:val="231F20"/>
          <w:spacing w:val="-6"/>
        </w:rPr>
        <w:t> </w:t>
      </w:r>
      <w:r>
        <w:rPr>
          <w:color w:val="231F20"/>
        </w:rPr>
        <w:t>la</w:t>
      </w:r>
      <w:r>
        <w:rPr>
          <w:color w:val="231F20"/>
          <w:spacing w:val="-6"/>
        </w:rPr>
        <w:t> </w:t>
      </w:r>
      <w:r>
        <w:rPr>
          <w:color w:val="231F20"/>
        </w:rPr>
        <w:t>nueva</w:t>
      </w:r>
      <w:r>
        <w:rPr>
          <w:color w:val="231F20"/>
          <w:spacing w:val="-6"/>
        </w:rPr>
        <w:t> </w:t>
      </w:r>
      <w:r>
        <w:rPr>
          <w:color w:val="231F20"/>
        </w:rPr>
        <w:t>dinámica</w:t>
      </w:r>
      <w:r>
        <w:rPr>
          <w:color w:val="231F20"/>
          <w:spacing w:val="-6"/>
        </w:rPr>
        <w:t> </w:t>
      </w:r>
      <w:r>
        <w:rPr>
          <w:color w:val="231F20"/>
        </w:rPr>
        <w:t>excluyente</w:t>
      </w:r>
      <w:r>
        <w:rPr>
          <w:color w:val="231F20"/>
          <w:spacing w:val="-7"/>
        </w:rPr>
        <w:t> </w:t>
      </w:r>
      <w:r>
        <w:rPr>
          <w:color w:val="231F20"/>
        </w:rPr>
        <w:t>del</w:t>
      </w:r>
      <w:r>
        <w:rPr>
          <w:color w:val="231F20"/>
          <w:spacing w:val="-6"/>
        </w:rPr>
        <w:t> </w:t>
      </w:r>
      <w:r>
        <w:rPr>
          <w:color w:val="231F20"/>
        </w:rPr>
        <w:t>modelo de acumulación dominante, en el que viejos derechos se convierten en nuevos deberes que refuerzan el individualismo resultante del neolibe- ralismo. La precarización salarial resulta de la preeminencia del trabajo sobre el empleo, entendiendo este último como trabajo con estatuto de garantías sociales no meramente</w:t>
      </w:r>
      <w:r>
        <w:rPr>
          <w:color w:val="231F20"/>
          <w:spacing w:val="-8"/>
        </w:rPr>
        <w:t> </w:t>
      </w:r>
      <w:r>
        <w:rPr>
          <w:color w:val="231F20"/>
        </w:rPr>
        <w:t>mercantiles.</w:t>
      </w:r>
    </w:p>
    <w:p>
      <w:pPr>
        <w:pStyle w:val="BodyText"/>
        <w:spacing w:line="249" w:lineRule="auto" w:before="1"/>
        <w:ind w:left="113" w:right="107" w:firstLine="283"/>
        <w:jc w:val="both"/>
      </w:pPr>
      <w:r>
        <w:rPr>
          <w:color w:val="231F20"/>
        </w:rPr>
        <w:t>El siguiente capítulo es de Luís Fernando Santos Corrêa da Silva, investigador</w:t>
      </w:r>
      <w:r>
        <w:rPr>
          <w:color w:val="231F20"/>
          <w:spacing w:val="-7"/>
        </w:rPr>
        <w:t> </w:t>
      </w:r>
      <w:r>
        <w:rPr>
          <w:color w:val="231F20"/>
        </w:rPr>
        <w:t>brasileño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Universidade</w:t>
      </w:r>
      <w:r>
        <w:rPr>
          <w:color w:val="231F20"/>
          <w:spacing w:val="-6"/>
        </w:rPr>
        <w:t> </w:t>
      </w:r>
      <w:r>
        <w:rPr>
          <w:color w:val="231F20"/>
        </w:rPr>
        <w:t>Federal</w:t>
      </w:r>
      <w:r>
        <w:rPr>
          <w:color w:val="231F20"/>
          <w:spacing w:val="-6"/>
        </w:rPr>
        <w:t> </w:t>
      </w:r>
      <w:r>
        <w:rPr>
          <w:color w:val="231F20"/>
        </w:rPr>
        <w:t>do</w:t>
      </w:r>
      <w:r>
        <w:rPr>
          <w:color w:val="231F20"/>
          <w:spacing w:val="-7"/>
        </w:rPr>
        <w:t> </w:t>
      </w:r>
      <w:r>
        <w:rPr>
          <w:color w:val="231F20"/>
        </w:rPr>
        <w:t>Rio</w:t>
      </w:r>
      <w:r>
        <w:rPr>
          <w:color w:val="231F20"/>
          <w:spacing w:val="-7"/>
        </w:rPr>
        <w:t> </w:t>
      </w:r>
      <w:r>
        <w:rPr>
          <w:color w:val="231F20"/>
        </w:rPr>
        <w:t>Grande</w:t>
      </w:r>
      <w:r>
        <w:rPr>
          <w:color w:val="231F20"/>
          <w:spacing w:val="-6"/>
        </w:rPr>
        <w:t> </w:t>
      </w:r>
      <w:r>
        <w:rPr>
          <w:color w:val="231F20"/>
        </w:rPr>
        <w:t>do</w:t>
      </w:r>
      <w:r>
        <w:rPr>
          <w:color w:val="231F20"/>
          <w:spacing w:val="-7"/>
        </w:rPr>
        <w:t> </w:t>
      </w:r>
      <w:r>
        <w:rPr>
          <w:color w:val="231F20"/>
        </w:rPr>
        <w:t>Sul, titulado “Teoría sociológica y trayectorias profesionales: nociones para el análisis del mercado de trabajo de América Latina”, el cual señala los desafíos al conocimiento sociológico que imponen las nuevas</w:t>
      </w:r>
      <w:r>
        <w:rPr>
          <w:color w:val="231F20"/>
          <w:spacing w:val="-29"/>
        </w:rPr>
        <w:t> </w:t>
      </w:r>
      <w:r>
        <w:rPr>
          <w:color w:val="231F20"/>
        </w:rPr>
        <w:t>configura- ciones</w:t>
      </w:r>
      <w:r>
        <w:rPr>
          <w:color w:val="231F20"/>
          <w:spacing w:val="-9"/>
        </w:rPr>
        <w:t> </w:t>
      </w:r>
      <w:r>
        <w:rPr>
          <w:color w:val="231F20"/>
        </w:rPr>
        <w:t>que</w:t>
      </w:r>
      <w:r>
        <w:rPr>
          <w:color w:val="231F20"/>
          <w:spacing w:val="-9"/>
        </w:rPr>
        <w:t> </w:t>
      </w:r>
      <w:r>
        <w:rPr>
          <w:color w:val="231F20"/>
        </w:rPr>
        <w:t>asumen</w:t>
      </w:r>
      <w:r>
        <w:rPr>
          <w:color w:val="231F20"/>
          <w:spacing w:val="-9"/>
        </w:rPr>
        <w:t> </w:t>
      </w:r>
      <w:r>
        <w:rPr>
          <w:color w:val="231F20"/>
        </w:rPr>
        <w:t>los</w:t>
      </w:r>
      <w:r>
        <w:rPr>
          <w:color w:val="231F20"/>
          <w:spacing w:val="-9"/>
        </w:rPr>
        <w:t> </w:t>
      </w:r>
      <w:r>
        <w:rPr>
          <w:color w:val="231F20"/>
        </w:rPr>
        <w:t>mercados</w:t>
      </w:r>
      <w:r>
        <w:rPr>
          <w:color w:val="231F20"/>
          <w:spacing w:val="-9"/>
        </w:rPr>
        <w:t> </w:t>
      </w:r>
      <w:r>
        <w:rPr>
          <w:color w:val="231F20"/>
        </w:rPr>
        <w:t>de</w:t>
      </w:r>
      <w:r>
        <w:rPr>
          <w:color w:val="231F20"/>
          <w:spacing w:val="-9"/>
        </w:rPr>
        <w:t> </w:t>
      </w:r>
      <w:r>
        <w:rPr>
          <w:color w:val="231F20"/>
        </w:rPr>
        <w:t>trabajo</w:t>
      </w:r>
      <w:r>
        <w:rPr>
          <w:color w:val="231F20"/>
          <w:spacing w:val="-9"/>
        </w:rPr>
        <w:t> </w:t>
      </w:r>
      <w:r>
        <w:rPr>
          <w:color w:val="231F20"/>
        </w:rPr>
        <w:t>de</w:t>
      </w:r>
      <w:r>
        <w:rPr>
          <w:color w:val="231F20"/>
          <w:spacing w:val="-20"/>
        </w:rPr>
        <w:t> </w:t>
      </w:r>
      <w:r>
        <w:rPr>
          <w:color w:val="231F20"/>
        </w:rPr>
        <w:t>América</w:t>
      </w:r>
      <w:r>
        <w:rPr>
          <w:color w:val="231F20"/>
          <w:spacing w:val="-9"/>
        </w:rPr>
        <w:t> </w:t>
      </w:r>
      <w:r>
        <w:rPr>
          <w:color w:val="231F20"/>
        </w:rPr>
        <w:t>Latina.</w:t>
      </w:r>
      <w:r>
        <w:rPr>
          <w:color w:val="231F20"/>
          <w:spacing w:val="-9"/>
        </w:rPr>
        <w:t> </w:t>
      </w:r>
      <w:r>
        <w:rPr>
          <w:color w:val="231F20"/>
        </w:rPr>
        <w:t>El</w:t>
      </w:r>
      <w:r>
        <w:rPr>
          <w:color w:val="231F20"/>
          <w:spacing w:val="-9"/>
        </w:rPr>
        <w:t> </w:t>
      </w:r>
      <w:r>
        <w:rPr>
          <w:color w:val="231F20"/>
        </w:rPr>
        <w:t>trabajo teórico que propone para entender las trayectorias de los trabajadores</w:t>
      </w:r>
      <w:r>
        <w:rPr>
          <w:color w:val="231F20"/>
          <w:spacing w:val="-1"/>
        </w:rPr>
        <w:t> </w:t>
      </w:r>
      <w:r>
        <w:rPr>
          <w:color w:val="231F20"/>
        </w:rPr>
        <w:t>de</w:t>
      </w:r>
    </w:p>
    <w:p>
      <w:pPr>
        <w:spacing w:after="0" w:line="249" w:lineRule="auto"/>
        <w:jc w:val="both"/>
        <w:sectPr>
          <w:footerReference w:type="default" r:id="rId11"/>
          <w:pgSz w:w="7770" w:h="11740"/>
          <w:pgMar w:footer="559" w:header="0" w:top="840" w:bottom="740" w:left="1020" w:right="740"/>
          <w:pgNumType w:start="9"/>
        </w:sectPr>
      </w:pPr>
    </w:p>
    <w:p>
      <w:pPr>
        <w:pStyle w:val="BodyText"/>
        <w:spacing w:line="249" w:lineRule="auto" w:before="60"/>
        <w:ind w:left="110" w:right="111"/>
        <w:jc w:val="both"/>
      </w:pPr>
      <w:r>
        <w:rPr>
          <w:color w:val="231F20"/>
        </w:rPr>
        <w:t>la región, se apoya en las realidades principalmente de países europeos, al debatir las posibilidades de promoción de la seguridad en los merca- dos laborales. Para entender las historias laborales de los trabajadores  de América Latina, se considera necesario que los estudios contemplen la heterogeneidad de las situaciones de empleo como una premisa fun- damental, constituyéndose como dimensión obligatoria en los modelos analíticos. En este sentido, aspectos como el tipo de empleo (formal/ informal), la categoría profesional a la cual pertenece el trabajador, así como</w:t>
      </w:r>
      <w:r>
        <w:rPr>
          <w:color w:val="231F20"/>
          <w:spacing w:val="-11"/>
        </w:rPr>
        <w:t> </w:t>
      </w:r>
      <w:r>
        <w:rPr>
          <w:color w:val="231F20"/>
        </w:rPr>
        <w:t>las</w:t>
      </w:r>
      <w:r>
        <w:rPr>
          <w:color w:val="231F20"/>
          <w:spacing w:val="-11"/>
        </w:rPr>
        <w:t> </w:t>
      </w:r>
      <w:r>
        <w:rPr>
          <w:color w:val="231F20"/>
        </w:rPr>
        <w:t>características</w:t>
      </w:r>
      <w:r>
        <w:rPr>
          <w:color w:val="231F20"/>
          <w:spacing w:val="-11"/>
        </w:rPr>
        <w:t> </w:t>
      </w:r>
      <w:r>
        <w:rPr>
          <w:color w:val="231F20"/>
        </w:rPr>
        <w:t>que</w:t>
      </w:r>
      <w:r>
        <w:rPr>
          <w:color w:val="231F20"/>
          <w:spacing w:val="-11"/>
        </w:rPr>
        <w:t> </w:t>
      </w:r>
      <w:r>
        <w:rPr>
          <w:color w:val="231F20"/>
        </w:rPr>
        <w:t>conforman</w:t>
      </w:r>
      <w:r>
        <w:rPr>
          <w:color w:val="231F20"/>
          <w:spacing w:val="-11"/>
        </w:rPr>
        <w:t> </w:t>
      </w:r>
      <w:r>
        <w:rPr>
          <w:color w:val="231F20"/>
        </w:rPr>
        <w:t>el</w:t>
      </w:r>
      <w:r>
        <w:rPr>
          <w:color w:val="231F20"/>
          <w:spacing w:val="-11"/>
        </w:rPr>
        <w:t> </w:t>
      </w:r>
      <w:r>
        <w:rPr>
          <w:color w:val="231F20"/>
        </w:rPr>
        <w:t>perfil</w:t>
      </w:r>
      <w:r>
        <w:rPr>
          <w:color w:val="231F20"/>
          <w:spacing w:val="-11"/>
        </w:rPr>
        <w:t> </w:t>
      </w:r>
      <w:r>
        <w:rPr>
          <w:color w:val="231F20"/>
        </w:rPr>
        <w:t>sociolaboral</w:t>
      </w:r>
      <w:r>
        <w:rPr>
          <w:color w:val="231F20"/>
          <w:spacing w:val="-11"/>
        </w:rPr>
        <w:t> </w:t>
      </w:r>
      <w:r>
        <w:rPr>
          <w:color w:val="231F20"/>
        </w:rPr>
        <w:t>(sexo,</w:t>
      </w:r>
      <w:r>
        <w:rPr>
          <w:color w:val="231F20"/>
          <w:spacing w:val="-11"/>
        </w:rPr>
        <w:t> </w:t>
      </w:r>
      <w:r>
        <w:rPr>
          <w:color w:val="231F20"/>
        </w:rPr>
        <w:t>edad, educación, etc.), son aspectos privilegiados para el análisis de historias laborales, al permitir recuperar las posibilidades cualitativas de trabaja- dores en el mercado</w:t>
      </w:r>
      <w:r>
        <w:rPr>
          <w:color w:val="231F20"/>
          <w:spacing w:val="-2"/>
        </w:rPr>
        <w:t> </w:t>
      </w:r>
      <w:r>
        <w:rPr>
          <w:color w:val="231F20"/>
        </w:rPr>
        <w:t>laboral.</w:t>
      </w:r>
    </w:p>
    <w:p>
      <w:pPr>
        <w:pStyle w:val="BodyText"/>
        <w:spacing w:line="249" w:lineRule="auto" w:before="1"/>
        <w:ind w:left="110" w:right="111" w:firstLine="283"/>
        <w:jc w:val="both"/>
      </w:pPr>
      <w:r>
        <w:rPr>
          <w:color w:val="231F20"/>
        </w:rPr>
        <w:t>El texto de Dídimo Castillo Fernández, profesor investigador de la Facultad de Ciencias Políticas y Sociales de la Universidad Autónoma del Estado de México, “La deslocalización del trabajo y la migración hacia Estados Unidos. La paradoja de la ‘migración de los puestos’”, analiza la problemática de incorporación de los migrantes latinos en el mercado de trabajo de Estados Unidos, considerando el marco general del modelo neoliberal, la crisis económica actual y la reestructuración productiva consecuente —particularmente, la referida a los procesos de desindustrialización y deslocalización de la producción—, así como la dinámica</w:t>
      </w:r>
      <w:r>
        <w:rPr>
          <w:color w:val="231F20"/>
          <w:spacing w:val="-11"/>
        </w:rPr>
        <w:t> </w:t>
      </w:r>
      <w:r>
        <w:rPr>
          <w:color w:val="231F20"/>
        </w:rPr>
        <w:t>del</w:t>
      </w:r>
      <w:r>
        <w:rPr>
          <w:color w:val="231F20"/>
          <w:spacing w:val="-11"/>
        </w:rPr>
        <w:t> </w:t>
      </w:r>
      <w:r>
        <w:rPr>
          <w:color w:val="231F20"/>
        </w:rPr>
        <w:t>mercado</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y</w:t>
      </w:r>
      <w:r>
        <w:rPr>
          <w:color w:val="231F20"/>
          <w:spacing w:val="-11"/>
        </w:rPr>
        <w:t> </w:t>
      </w:r>
      <w:r>
        <w:rPr>
          <w:color w:val="231F20"/>
        </w:rPr>
        <w:t>sus</w:t>
      </w:r>
      <w:r>
        <w:rPr>
          <w:color w:val="231F20"/>
          <w:spacing w:val="-10"/>
        </w:rPr>
        <w:t> </w:t>
      </w:r>
      <w:r>
        <w:rPr>
          <w:color w:val="231F20"/>
        </w:rPr>
        <w:t>tendencias.</w:t>
      </w:r>
      <w:r>
        <w:rPr>
          <w:color w:val="231F20"/>
          <w:spacing w:val="-11"/>
        </w:rPr>
        <w:t> </w:t>
      </w:r>
      <w:r>
        <w:rPr>
          <w:color w:val="231F20"/>
        </w:rPr>
        <w:t>La</w:t>
      </w:r>
      <w:r>
        <w:rPr>
          <w:color w:val="231F20"/>
          <w:spacing w:val="-11"/>
        </w:rPr>
        <w:t> </w:t>
      </w:r>
      <w:r>
        <w:rPr>
          <w:color w:val="231F20"/>
        </w:rPr>
        <w:t>tesis</w:t>
      </w:r>
      <w:r>
        <w:rPr>
          <w:color w:val="231F20"/>
          <w:spacing w:val="-11"/>
        </w:rPr>
        <w:t> </w:t>
      </w:r>
      <w:r>
        <w:rPr>
          <w:color w:val="231F20"/>
        </w:rPr>
        <w:t>central</w:t>
      </w:r>
      <w:r>
        <w:rPr>
          <w:color w:val="231F20"/>
          <w:spacing w:val="-11"/>
        </w:rPr>
        <w:t> </w:t>
      </w:r>
      <w:r>
        <w:rPr>
          <w:color w:val="231F20"/>
        </w:rPr>
        <w:t>del</w:t>
      </w:r>
      <w:r>
        <w:rPr>
          <w:color w:val="231F20"/>
          <w:spacing w:val="-11"/>
        </w:rPr>
        <w:t> </w:t>
      </w:r>
      <w:r>
        <w:rPr>
          <w:color w:val="231F20"/>
        </w:rPr>
        <w:t>tra- bajo</w:t>
      </w:r>
      <w:r>
        <w:rPr>
          <w:color w:val="231F20"/>
          <w:spacing w:val="-10"/>
        </w:rPr>
        <w:t> </w:t>
      </w:r>
      <w:r>
        <w:rPr>
          <w:color w:val="231F20"/>
        </w:rPr>
        <w:t>intenta</w:t>
      </w:r>
      <w:r>
        <w:rPr>
          <w:color w:val="231F20"/>
          <w:spacing w:val="-10"/>
        </w:rPr>
        <w:t> </w:t>
      </w:r>
      <w:r>
        <w:rPr>
          <w:color w:val="231F20"/>
        </w:rPr>
        <w:t>sostener</w:t>
      </w:r>
      <w:r>
        <w:rPr>
          <w:color w:val="231F20"/>
          <w:spacing w:val="-10"/>
        </w:rPr>
        <w:t> </w:t>
      </w:r>
      <w:r>
        <w:rPr>
          <w:color w:val="231F20"/>
        </w:rPr>
        <w:t>que</w:t>
      </w:r>
      <w:r>
        <w:rPr>
          <w:color w:val="231F20"/>
          <w:spacing w:val="-10"/>
        </w:rPr>
        <w:t> </w:t>
      </w:r>
      <w:r>
        <w:rPr>
          <w:color w:val="231F20"/>
        </w:rPr>
        <w:t>bajo</w:t>
      </w:r>
      <w:r>
        <w:rPr>
          <w:color w:val="231F20"/>
          <w:spacing w:val="-10"/>
        </w:rPr>
        <w:t> </w:t>
      </w:r>
      <w:r>
        <w:rPr>
          <w:color w:val="231F20"/>
        </w:rPr>
        <w:t>las</w:t>
      </w:r>
      <w:r>
        <w:rPr>
          <w:color w:val="231F20"/>
          <w:spacing w:val="-10"/>
        </w:rPr>
        <w:t> </w:t>
      </w:r>
      <w:r>
        <w:rPr>
          <w:color w:val="231F20"/>
        </w:rPr>
        <w:t>nuevas</w:t>
      </w:r>
      <w:r>
        <w:rPr>
          <w:color w:val="231F20"/>
          <w:spacing w:val="-10"/>
        </w:rPr>
        <w:t> </w:t>
      </w:r>
      <w:r>
        <w:rPr>
          <w:color w:val="231F20"/>
        </w:rPr>
        <w:t>condiciones</w:t>
      </w:r>
      <w:r>
        <w:rPr>
          <w:color w:val="231F20"/>
          <w:spacing w:val="-11"/>
        </w:rPr>
        <w:t> </w:t>
      </w:r>
      <w:r>
        <w:rPr>
          <w:color w:val="231F20"/>
        </w:rPr>
        <w:t>estructurales</w:t>
      </w:r>
      <w:r>
        <w:rPr>
          <w:color w:val="231F20"/>
          <w:spacing w:val="-10"/>
        </w:rPr>
        <w:t> </w:t>
      </w:r>
      <w:r>
        <w:rPr>
          <w:color w:val="231F20"/>
        </w:rPr>
        <w:t>actua- les</w:t>
      </w:r>
      <w:r>
        <w:rPr>
          <w:color w:val="231F20"/>
          <w:spacing w:val="-6"/>
        </w:rPr>
        <w:t> </w:t>
      </w:r>
      <w:r>
        <w:rPr>
          <w:color w:val="231F20"/>
        </w:rPr>
        <w:t>(y</w:t>
      </w:r>
      <w:r>
        <w:rPr>
          <w:color w:val="231F20"/>
          <w:spacing w:val="-6"/>
        </w:rPr>
        <w:t> </w:t>
      </w:r>
      <w:r>
        <w:rPr>
          <w:color w:val="231F20"/>
        </w:rPr>
        <w:t>sus</w:t>
      </w:r>
      <w:r>
        <w:rPr>
          <w:color w:val="231F20"/>
          <w:spacing w:val="-6"/>
        </w:rPr>
        <w:t> </w:t>
      </w:r>
      <w:r>
        <w:rPr>
          <w:color w:val="231F20"/>
        </w:rPr>
        <w:t>tendencias)</w:t>
      </w:r>
      <w:r>
        <w:rPr>
          <w:color w:val="231F20"/>
          <w:spacing w:val="-6"/>
        </w:rPr>
        <w:t> </w:t>
      </w:r>
      <w:r>
        <w:rPr>
          <w:color w:val="231F20"/>
        </w:rPr>
        <w:t>los</w:t>
      </w:r>
      <w:r>
        <w:rPr>
          <w:color w:val="231F20"/>
          <w:spacing w:val="-6"/>
        </w:rPr>
        <w:t> </w:t>
      </w:r>
      <w:r>
        <w:rPr>
          <w:color w:val="231F20"/>
        </w:rPr>
        <w:t>trabajadores</w:t>
      </w:r>
      <w:r>
        <w:rPr>
          <w:color w:val="231F20"/>
          <w:spacing w:val="-7"/>
        </w:rPr>
        <w:t> </w:t>
      </w:r>
      <w:r>
        <w:rPr>
          <w:color w:val="231F20"/>
        </w:rPr>
        <w:t>inmigrantes</w:t>
      </w:r>
      <w:r>
        <w:rPr>
          <w:color w:val="231F20"/>
          <w:spacing w:val="-7"/>
        </w:rPr>
        <w:t> </w:t>
      </w:r>
      <w:r>
        <w:rPr>
          <w:color w:val="231F20"/>
        </w:rPr>
        <w:t>enfrentan</w:t>
      </w:r>
      <w:r>
        <w:rPr>
          <w:color w:val="231F20"/>
          <w:spacing w:val="-7"/>
        </w:rPr>
        <w:t> </w:t>
      </w:r>
      <w:r>
        <w:rPr>
          <w:color w:val="231F20"/>
        </w:rPr>
        <w:t>condiciones cada vez más desfavorables, en un mercado de trabajo tendencialmente más restringido, competitivo e inestable. En términos estructurales, por un lado, la desindustrialización al desplazar a los inmigrantes del sector de ocupación manufacturero tradicionalmente “cautivo” hacia otros di- versos, limita los espacios de participación en el mercado laboral y los enfrenta a condiciones de mayor competitividad en otros subsectores </w:t>
      </w:r>
      <w:r>
        <w:rPr>
          <w:color w:val="231F20"/>
          <w:spacing w:val="-7"/>
        </w:rPr>
        <w:t>y, </w:t>
      </w:r>
      <w:r>
        <w:rPr>
          <w:color w:val="231F20"/>
        </w:rPr>
        <w:t>por el otro, en la medida que avance el proceso de deslocalización de la producción hacia países con condiciones favorables y ventajas “compe- titivas” de bajo costo y relativa capacitación de la fuerza de trabajo, la lógica de la migración de los puestos podría sustituir a la migración de las</w:t>
      </w:r>
      <w:r>
        <w:rPr>
          <w:color w:val="231F20"/>
          <w:spacing w:val="-10"/>
        </w:rPr>
        <w:t> </w:t>
      </w:r>
      <w:r>
        <w:rPr>
          <w:color w:val="231F20"/>
        </w:rPr>
        <w:t>personas.</w:t>
      </w:r>
      <w:r>
        <w:rPr>
          <w:color w:val="231F20"/>
          <w:spacing w:val="-21"/>
        </w:rPr>
        <w:t> </w:t>
      </w:r>
      <w:r>
        <w:rPr>
          <w:color w:val="231F20"/>
        </w:rPr>
        <w:t>A</w:t>
      </w:r>
      <w:r>
        <w:rPr>
          <w:color w:val="231F20"/>
          <w:spacing w:val="-21"/>
        </w:rPr>
        <w:t> </w:t>
      </w:r>
      <w:r>
        <w:rPr>
          <w:color w:val="231F20"/>
        </w:rPr>
        <w:t>partir</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anterior,</w:t>
      </w:r>
      <w:r>
        <w:rPr>
          <w:color w:val="231F20"/>
          <w:spacing w:val="-10"/>
        </w:rPr>
        <w:t> </w:t>
      </w:r>
      <w:r>
        <w:rPr>
          <w:color w:val="231F20"/>
        </w:rPr>
        <w:t>el</w:t>
      </w:r>
      <w:r>
        <w:rPr>
          <w:color w:val="231F20"/>
          <w:spacing w:val="-10"/>
        </w:rPr>
        <w:t> </w:t>
      </w:r>
      <w:r>
        <w:rPr>
          <w:color w:val="231F20"/>
        </w:rPr>
        <w:t>artículo</w:t>
      </w:r>
      <w:r>
        <w:rPr>
          <w:color w:val="231F20"/>
          <w:spacing w:val="-10"/>
        </w:rPr>
        <w:t> </w:t>
      </w:r>
      <w:r>
        <w:rPr>
          <w:color w:val="231F20"/>
        </w:rPr>
        <w:t>plantea</w:t>
      </w:r>
      <w:r>
        <w:rPr>
          <w:color w:val="231F20"/>
          <w:spacing w:val="-10"/>
        </w:rPr>
        <w:t> </w:t>
      </w:r>
      <w:r>
        <w:rPr>
          <w:color w:val="231F20"/>
        </w:rPr>
        <w:t>algunos</w:t>
      </w:r>
      <w:r>
        <w:rPr>
          <w:color w:val="231F20"/>
          <w:spacing w:val="-10"/>
        </w:rPr>
        <w:t> </w:t>
      </w:r>
      <w:r>
        <w:rPr>
          <w:color w:val="231F20"/>
        </w:rPr>
        <w:t>escenarios y</w:t>
      </w:r>
      <w:r>
        <w:rPr>
          <w:color w:val="231F20"/>
          <w:spacing w:val="-5"/>
        </w:rPr>
        <w:t> </w:t>
      </w:r>
      <w:r>
        <w:rPr>
          <w:color w:val="231F20"/>
        </w:rPr>
        <w:t>retos</w:t>
      </w:r>
      <w:r>
        <w:rPr>
          <w:color w:val="231F20"/>
          <w:spacing w:val="-5"/>
        </w:rPr>
        <w:t> </w:t>
      </w:r>
      <w:r>
        <w:rPr>
          <w:color w:val="231F20"/>
        </w:rPr>
        <w:t>sobre</w:t>
      </w:r>
      <w:r>
        <w:rPr>
          <w:color w:val="231F20"/>
          <w:spacing w:val="-5"/>
        </w:rPr>
        <w:t> </w:t>
      </w:r>
      <w:r>
        <w:rPr>
          <w:color w:val="231F20"/>
        </w:rPr>
        <w:t>la</w:t>
      </w:r>
      <w:r>
        <w:rPr>
          <w:color w:val="231F20"/>
          <w:spacing w:val="-5"/>
        </w:rPr>
        <w:t> </w:t>
      </w:r>
      <w:r>
        <w:rPr>
          <w:color w:val="231F20"/>
        </w:rPr>
        <w:t>reorientación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flujos,</w:t>
      </w:r>
      <w:r>
        <w:rPr>
          <w:color w:val="231F20"/>
          <w:spacing w:val="-5"/>
        </w:rPr>
        <w:t> </w:t>
      </w:r>
      <w:r>
        <w:rPr>
          <w:color w:val="231F20"/>
        </w:rPr>
        <w:t>el</w:t>
      </w:r>
      <w:r>
        <w:rPr>
          <w:color w:val="231F20"/>
          <w:spacing w:val="-5"/>
        </w:rPr>
        <w:t> </w:t>
      </w:r>
      <w:r>
        <w:rPr>
          <w:color w:val="231F20"/>
        </w:rPr>
        <w:t>incremento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migración interregional y conformación de nuevos mercados laborales regionales en América</w:t>
      </w:r>
      <w:r>
        <w:rPr>
          <w:color w:val="231F20"/>
          <w:spacing w:val="-18"/>
        </w:rPr>
        <w:t> </w:t>
      </w:r>
      <w:r>
        <w:rPr>
          <w:color w:val="231F20"/>
        </w:rPr>
        <w:t>Latina.</w:t>
      </w:r>
    </w:p>
    <w:p>
      <w:pPr>
        <w:spacing w:after="0" w:line="249" w:lineRule="auto"/>
        <w:jc w:val="both"/>
        <w:sectPr>
          <w:pgSz w:w="7770" w:h="11740"/>
          <w:pgMar w:header="0" w:footer="559" w:top="840" w:bottom="740" w:left="740" w:right="1020"/>
        </w:sectPr>
      </w:pPr>
    </w:p>
    <w:p>
      <w:pPr>
        <w:pStyle w:val="Heading4"/>
        <w:spacing w:line="240" w:lineRule="exact" w:before="79"/>
        <w:ind w:right="1567"/>
        <w:jc w:val="left"/>
      </w:pPr>
      <w:r>
        <w:rPr>
          <w:w w:val="75"/>
        </w:rPr>
        <w:t>Reestructuración productiva, vulnerabilidad migratoria y precariedad del trabajo</w:t>
      </w:r>
    </w:p>
    <w:p>
      <w:pPr>
        <w:pStyle w:val="BodyText"/>
        <w:spacing w:line="249" w:lineRule="auto" w:before="175"/>
        <w:ind w:left="113" w:right="107"/>
        <w:jc w:val="both"/>
      </w:pPr>
      <w:r>
        <w:rPr>
          <w:color w:val="231F20"/>
        </w:rPr>
        <w:t>Esta sección la encabeza el trabajo de Ana Ruth Escoto, egresada del Doctorado</w:t>
      </w:r>
      <w:r>
        <w:rPr>
          <w:color w:val="231F20"/>
          <w:spacing w:val="-4"/>
        </w:rPr>
        <w:t> </w:t>
      </w:r>
      <w:r>
        <w:rPr>
          <w:color w:val="231F20"/>
        </w:rPr>
        <w:t>en</w:t>
      </w:r>
      <w:r>
        <w:rPr>
          <w:color w:val="231F20"/>
          <w:spacing w:val="-5"/>
        </w:rPr>
        <w:t> </w:t>
      </w:r>
      <w:r>
        <w:rPr>
          <w:color w:val="231F20"/>
        </w:rPr>
        <w:t>Estudios</w:t>
      </w:r>
      <w:r>
        <w:rPr>
          <w:color w:val="231F20"/>
          <w:spacing w:val="-5"/>
        </w:rPr>
        <w:t> </w:t>
      </w:r>
      <w:r>
        <w:rPr>
          <w:color w:val="231F20"/>
        </w:rPr>
        <w:t>de</w:t>
      </w:r>
      <w:r>
        <w:rPr>
          <w:color w:val="231F20"/>
          <w:spacing w:val="-5"/>
        </w:rPr>
        <w:t> </w:t>
      </w:r>
      <w:r>
        <w:rPr>
          <w:color w:val="231F20"/>
        </w:rPr>
        <w:t>Población</w:t>
      </w:r>
      <w:r>
        <w:rPr>
          <w:color w:val="231F20"/>
          <w:spacing w:val="-4"/>
        </w:rPr>
        <w:t> </w:t>
      </w:r>
      <w:r>
        <w:rPr>
          <w:color w:val="231F20"/>
        </w:rPr>
        <w:t>de</w:t>
      </w:r>
      <w:r>
        <w:rPr>
          <w:color w:val="231F20"/>
          <w:spacing w:val="-5"/>
        </w:rPr>
        <w:t> </w:t>
      </w:r>
      <w:r>
        <w:rPr>
          <w:color w:val="231F20"/>
        </w:rPr>
        <w:t>El</w:t>
      </w:r>
      <w:r>
        <w:rPr>
          <w:color w:val="231F20"/>
          <w:spacing w:val="-5"/>
        </w:rPr>
        <w:t> </w:t>
      </w:r>
      <w:r>
        <w:rPr>
          <w:color w:val="231F20"/>
        </w:rPr>
        <w:t>Colegio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y</w:t>
      </w:r>
      <w:r>
        <w:rPr>
          <w:color w:val="231F20"/>
          <w:spacing w:val="-5"/>
        </w:rPr>
        <w:t> </w:t>
      </w:r>
      <w:r>
        <w:rPr>
          <w:color w:val="231F20"/>
        </w:rPr>
        <w:t>Brígida García, investigadora del Centro de Estudios Demográficos, Urbanos y Ambientales</w:t>
      </w:r>
      <w:r>
        <w:rPr>
          <w:color w:val="231F20"/>
          <w:spacing w:val="-11"/>
        </w:rPr>
        <w:t> </w:t>
      </w:r>
      <w:r>
        <w:rPr>
          <w:color w:val="231F20"/>
        </w:rPr>
        <w:t>también</w:t>
      </w:r>
      <w:r>
        <w:rPr>
          <w:color w:val="231F20"/>
          <w:spacing w:val="-12"/>
        </w:rPr>
        <w:t> </w:t>
      </w:r>
      <w:r>
        <w:rPr>
          <w:color w:val="231F20"/>
        </w:rPr>
        <w:t>de</w:t>
      </w:r>
      <w:r>
        <w:rPr>
          <w:color w:val="231F20"/>
          <w:spacing w:val="-12"/>
        </w:rPr>
        <w:t> </w:t>
      </w:r>
      <w:r>
        <w:rPr>
          <w:color w:val="231F20"/>
        </w:rPr>
        <w:t>El</w:t>
      </w:r>
      <w:r>
        <w:rPr>
          <w:color w:val="231F20"/>
          <w:spacing w:val="-12"/>
        </w:rPr>
        <w:t> </w:t>
      </w:r>
      <w:r>
        <w:rPr>
          <w:color w:val="231F20"/>
        </w:rPr>
        <w:t>Colegio</w:t>
      </w:r>
      <w:r>
        <w:rPr>
          <w:color w:val="231F20"/>
          <w:spacing w:val="-12"/>
        </w:rPr>
        <w:t> </w:t>
      </w:r>
      <w:r>
        <w:rPr>
          <w:color w:val="231F20"/>
        </w:rPr>
        <w:t>de</w:t>
      </w:r>
      <w:r>
        <w:rPr>
          <w:color w:val="231F20"/>
          <w:spacing w:val="-12"/>
        </w:rPr>
        <w:t> </w:t>
      </w:r>
      <w:r>
        <w:rPr>
          <w:color w:val="231F20"/>
        </w:rPr>
        <w:t>México,</w:t>
      </w:r>
      <w:r>
        <w:rPr>
          <w:color w:val="231F20"/>
          <w:spacing w:val="-11"/>
        </w:rPr>
        <w:t> </w:t>
      </w:r>
      <w:r>
        <w:rPr>
          <w:color w:val="231F20"/>
        </w:rPr>
        <w:t>“Condiciones</w:t>
      </w:r>
      <w:r>
        <w:rPr>
          <w:color w:val="231F20"/>
          <w:spacing w:val="-12"/>
        </w:rPr>
        <w:t> </w:t>
      </w:r>
      <w:r>
        <w:rPr>
          <w:color w:val="231F20"/>
        </w:rPr>
        <w:t>laborales</w:t>
      </w:r>
      <w:r>
        <w:rPr>
          <w:color w:val="231F20"/>
          <w:spacing w:val="-12"/>
        </w:rPr>
        <w:t> </w:t>
      </w:r>
      <w:r>
        <w:rPr>
          <w:color w:val="231F20"/>
        </w:rPr>
        <w:t>y comercio</w:t>
      </w:r>
      <w:r>
        <w:rPr>
          <w:color w:val="231F20"/>
          <w:spacing w:val="-12"/>
        </w:rPr>
        <w:t> </w:t>
      </w:r>
      <w:r>
        <w:rPr>
          <w:color w:val="231F20"/>
        </w:rPr>
        <w:t>exterior</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el</w:t>
      </w:r>
      <w:r>
        <w:rPr>
          <w:color w:val="231F20"/>
          <w:spacing w:val="-12"/>
        </w:rPr>
        <w:t> </w:t>
      </w:r>
      <w:r>
        <w:rPr>
          <w:color w:val="231F20"/>
        </w:rPr>
        <w:t>cual</w:t>
      </w:r>
      <w:r>
        <w:rPr>
          <w:color w:val="231F20"/>
          <w:spacing w:val="-12"/>
        </w:rPr>
        <w:t> </w:t>
      </w:r>
      <w:r>
        <w:rPr>
          <w:color w:val="231F20"/>
        </w:rPr>
        <w:t>analiza</w:t>
      </w:r>
      <w:r>
        <w:rPr>
          <w:color w:val="231F20"/>
          <w:spacing w:val="-12"/>
        </w:rPr>
        <w:t> </w:t>
      </w:r>
      <w:r>
        <w:rPr>
          <w:color w:val="231F20"/>
        </w:rPr>
        <w:t>la</w:t>
      </w:r>
      <w:r>
        <w:rPr>
          <w:color w:val="231F20"/>
          <w:spacing w:val="-12"/>
        </w:rPr>
        <w:t> </w:t>
      </w:r>
      <w:r>
        <w:rPr>
          <w:color w:val="231F20"/>
        </w:rPr>
        <w:t>situación</w:t>
      </w:r>
      <w:r>
        <w:rPr>
          <w:color w:val="231F20"/>
          <w:spacing w:val="-11"/>
        </w:rPr>
        <w:t> </w:t>
      </w:r>
      <w:r>
        <w:rPr>
          <w:color w:val="231F20"/>
        </w:rPr>
        <w:t>del</w:t>
      </w:r>
      <w:r>
        <w:rPr>
          <w:color w:val="231F20"/>
          <w:spacing w:val="-12"/>
        </w:rPr>
        <w:t> </w:t>
      </w:r>
      <w:r>
        <w:rPr>
          <w:color w:val="231F20"/>
        </w:rPr>
        <w:t>mercado</w:t>
      </w:r>
      <w:r>
        <w:rPr>
          <w:color w:val="231F20"/>
          <w:spacing w:val="-12"/>
        </w:rPr>
        <w:t> </w:t>
      </w:r>
      <w:r>
        <w:rPr>
          <w:color w:val="231F20"/>
        </w:rPr>
        <w:t>de trabajo vinculado a la dinámica del comercio exterior en México,</w:t>
      </w:r>
      <w:r>
        <w:rPr>
          <w:color w:val="231F20"/>
          <w:spacing w:val="-21"/>
        </w:rPr>
        <w:t> </w:t>
      </w:r>
      <w:r>
        <w:rPr>
          <w:color w:val="231F20"/>
        </w:rPr>
        <w:t>enfati- zando en las oportunidades ocupacionales generadas y en la calidad del empleo en diferentes sectores económicos experimentado en la última década, caracterizada por la intensidad y variabilidad de los flujos co- merciales.</w:t>
      </w:r>
      <w:r>
        <w:rPr>
          <w:color w:val="231F20"/>
          <w:spacing w:val="-9"/>
        </w:rPr>
        <w:t> </w:t>
      </w:r>
      <w:r>
        <w:rPr>
          <w:color w:val="231F20"/>
        </w:rPr>
        <w:t>El</w:t>
      </w:r>
      <w:r>
        <w:rPr>
          <w:color w:val="231F20"/>
          <w:spacing w:val="-9"/>
        </w:rPr>
        <w:t> </w:t>
      </w:r>
      <w:r>
        <w:rPr>
          <w:color w:val="231F20"/>
        </w:rPr>
        <w:t>estudio</w:t>
      </w:r>
      <w:r>
        <w:rPr>
          <w:color w:val="231F20"/>
          <w:spacing w:val="-9"/>
        </w:rPr>
        <w:t> </w:t>
      </w:r>
      <w:r>
        <w:rPr>
          <w:color w:val="231F20"/>
        </w:rPr>
        <w:t>se</w:t>
      </w:r>
      <w:r>
        <w:rPr>
          <w:color w:val="231F20"/>
          <w:spacing w:val="-8"/>
        </w:rPr>
        <w:t> </w:t>
      </w:r>
      <w:r>
        <w:rPr>
          <w:color w:val="231F20"/>
        </w:rPr>
        <w:t>plantea</w:t>
      </w:r>
      <w:r>
        <w:rPr>
          <w:color w:val="231F20"/>
          <w:spacing w:val="-9"/>
        </w:rPr>
        <w:t> </w:t>
      </w:r>
      <w:r>
        <w:rPr>
          <w:color w:val="231F20"/>
        </w:rPr>
        <w:t>desde</w:t>
      </w:r>
      <w:r>
        <w:rPr>
          <w:color w:val="231F20"/>
          <w:spacing w:val="-8"/>
        </w:rPr>
        <w:t> </w:t>
      </w:r>
      <w:r>
        <w:rPr>
          <w:color w:val="231F20"/>
        </w:rPr>
        <w:t>una</w:t>
      </w:r>
      <w:r>
        <w:rPr>
          <w:color w:val="231F20"/>
          <w:spacing w:val="-9"/>
        </w:rPr>
        <w:t> </w:t>
      </w:r>
      <w:r>
        <w:rPr>
          <w:color w:val="231F20"/>
        </w:rPr>
        <w:t>perspectiva</w:t>
      </w:r>
      <w:r>
        <w:rPr>
          <w:color w:val="231F20"/>
          <w:spacing w:val="-9"/>
        </w:rPr>
        <w:t> </w:t>
      </w:r>
      <w:r>
        <w:rPr>
          <w:color w:val="231F20"/>
        </w:rPr>
        <w:t>sociodemográfica, siguiendo</w:t>
      </w:r>
      <w:r>
        <w:rPr>
          <w:color w:val="231F20"/>
          <w:spacing w:val="-7"/>
        </w:rPr>
        <w:t> </w:t>
      </w:r>
      <w:r>
        <w:rPr>
          <w:color w:val="231F20"/>
        </w:rPr>
        <w:t>una</w:t>
      </w:r>
      <w:r>
        <w:rPr>
          <w:color w:val="231F20"/>
          <w:spacing w:val="-8"/>
        </w:rPr>
        <w:t> </w:t>
      </w:r>
      <w:r>
        <w:rPr>
          <w:color w:val="231F20"/>
        </w:rPr>
        <w:t>estrategia</w:t>
      </w:r>
      <w:r>
        <w:rPr>
          <w:color w:val="231F20"/>
          <w:spacing w:val="-8"/>
        </w:rPr>
        <w:t> </w:t>
      </w:r>
      <w:r>
        <w:rPr>
          <w:color w:val="231F20"/>
        </w:rPr>
        <w:t>de</w:t>
      </w:r>
      <w:r>
        <w:rPr>
          <w:color w:val="231F20"/>
          <w:spacing w:val="-8"/>
        </w:rPr>
        <w:t> </w:t>
      </w:r>
      <w:r>
        <w:rPr>
          <w:color w:val="231F20"/>
        </w:rPr>
        <w:t>homologación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estadísticas</w:t>
      </w:r>
      <w:r>
        <w:rPr>
          <w:color w:val="231F20"/>
          <w:spacing w:val="-8"/>
        </w:rPr>
        <w:t> </w:t>
      </w:r>
      <w:r>
        <w:rPr>
          <w:color w:val="231F20"/>
        </w:rPr>
        <w:t>económicas de</w:t>
      </w:r>
      <w:r>
        <w:rPr>
          <w:color w:val="231F20"/>
          <w:spacing w:val="-4"/>
        </w:rPr>
        <w:t> </w:t>
      </w:r>
      <w:r>
        <w:rPr>
          <w:color w:val="231F20"/>
        </w:rPr>
        <w:t>comercio</w:t>
      </w:r>
      <w:r>
        <w:rPr>
          <w:color w:val="231F20"/>
          <w:spacing w:val="-4"/>
        </w:rPr>
        <w:t> </w:t>
      </w:r>
      <w:r>
        <w:rPr>
          <w:color w:val="231F20"/>
        </w:rPr>
        <w:t>exterior</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de</w:t>
      </w:r>
      <w:r>
        <w:rPr>
          <w:color w:val="231F20"/>
          <w:spacing w:val="-4"/>
        </w:rPr>
        <w:t> </w:t>
      </w:r>
      <w:r>
        <w:rPr>
          <w:color w:val="231F20"/>
        </w:rPr>
        <w:t>ocupación</w:t>
      </w:r>
      <w:r>
        <w:rPr>
          <w:color w:val="231F20"/>
          <w:spacing w:val="-4"/>
        </w:rPr>
        <w:t> </w:t>
      </w:r>
      <w:r>
        <w:rPr>
          <w:color w:val="231F20"/>
        </w:rPr>
        <w:t>y</w:t>
      </w:r>
      <w:r>
        <w:rPr>
          <w:color w:val="231F20"/>
          <w:spacing w:val="-4"/>
        </w:rPr>
        <w:t> </w:t>
      </w:r>
      <w:r>
        <w:rPr>
          <w:color w:val="231F20"/>
        </w:rPr>
        <w:t>empleo,</w:t>
      </w:r>
      <w:r>
        <w:rPr>
          <w:color w:val="231F20"/>
          <w:spacing w:val="-4"/>
        </w:rPr>
        <w:t> </w:t>
      </w:r>
      <w:r>
        <w:rPr>
          <w:color w:val="231F20"/>
        </w:rPr>
        <w:t>para</w:t>
      </w:r>
      <w:r>
        <w:rPr>
          <w:color w:val="231F20"/>
          <w:spacing w:val="-4"/>
        </w:rPr>
        <w:t> </w:t>
      </w:r>
      <w:r>
        <w:rPr>
          <w:color w:val="231F20"/>
        </w:rPr>
        <w:t>finalmente</w:t>
      </w:r>
      <w:r>
        <w:rPr>
          <w:color w:val="231F20"/>
          <w:spacing w:val="-4"/>
        </w:rPr>
        <w:t> </w:t>
      </w:r>
      <w:r>
        <w:rPr>
          <w:color w:val="231F20"/>
        </w:rPr>
        <w:t>co- nocer</w:t>
      </w:r>
      <w:r>
        <w:rPr>
          <w:color w:val="231F20"/>
          <w:spacing w:val="-11"/>
        </w:rPr>
        <w:t> </w:t>
      </w:r>
      <w:r>
        <w:rPr>
          <w:color w:val="231F20"/>
        </w:rPr>
        <w:t>el</w:t>
      </w:r>
      <w:r>
        <w:rPr>
          <w:color w:val="231F20"/>
          <w:spacing w:val="-11"/>
        </w:rPr>
        <w:t> </w:t>
      </w:r>
      <w:r>
        <w:rPr>
          <w:color w:val="231F20"/>
        </w:rPr>
        <w:t>impacto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variaciones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ingreso</w:t>
      </w:r>
      <w:r>
        <w:rPr>
          <w:color w:val="231F20"/>
          <w:spacing w:val="-11"/>
        </w:rPr>
        <w:t> </w:t>
      </w:r>
      <w:r>
        <w:rPr>
          <w:color w:val="231F20"/>
        </w:rPr>
        <w:t>percibido</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sectores transables</w:t>
      </w:r>
      <w:r>
        <w:rPr>
          <w:color w:val="231F20"/>
          <w:spacing w:val="-7"/>
        </w:rPr>
        <w:t> </w:t>
      </w:r>
      <w:r>
        <w:rPr>
          <w:color w:val="231F20"/>
        </w:rPr>
        <w:t>de</w:t>
      </w:r>
      <w:r>
        <w:rPr>
          <w:color w:val="231F20"/>
          <w:spacing w:val="-7"/>
        </w:rPr>
        <w:t> </w:t>
      </w:r>
      <w:r>
        <w:rPr>
          <w:color w:val="231F20"/>
        </w:rPr>
        <w:t>bienes</w:t>
      </w:r>
      <w:r>
        <w:rPr>
          <w:color w:val="231F20"/>
          <w:spacing w:val="-7"/>
        </w:rPr>
        <w:t> </w:t>
      </w:r>
      <w:r>
        <w:rPr>
          <w:color w:val="231F20"/>
        </w:rPr>
        <w:t>o</w:t>
      </w:r>
      <w:r>
        <w:rPr>
          <w:color w:val="231F20"/>
          <w:spacing w:val="-7"/>
        </w:rPr>
        <w:t> </w:t>
      </w:r>
      <w:r>
        <w:rPr>
          <w:color w:val="231F20"/>
        </w:rPr>
        <w:t>servicios</w:t>
      </w:r>
      <w:r>
        <w:rPr>
          <w:color w:val="231F20"/>
          <w:spacing w:val="-6"/>
        </w:rPr>
        <w:t> </w:t>
      </w:r>
      <w:r>
        <w:rPr>
          <w:color w:val="231F20"/>
        </w:rPr>
        <w:t>entre</w:t>
      </w:r>
      <w:r>
        <w:rPr>
          <w:color w:val="231F20"/>
          <w:spacing w:val="-7"/>
        </w:rPr>
        <w:t> </w:t>
      </w:r>
      <w:r>
        <w:rPr>
          <w:color w:val="231F20"/>
        </w:rPr>
        <w:t>México</w:t>
      </w:r>
      <w:r>
        <w:rPr>
          <w:color w:val="231F20"/>
          <w:spacing w:val="-6"/>
        </w:rPr>
        <w:t> </w:t>
      </w:r>
      <w:r>
        <w:rPr>
          <w:color w:val="231F20"/>
        </w:rPr>
        <w:t>y</w:t>
      </w:r>
      <w:r>
        <w:rPr>
          <w:color w:val="231F20"/>
          <w:spacing w:val="-7"/>
        </w:rPr>
        <w:t> </w:t>
      </w:r>
      <w:r>
        <w:rPr>
          <w:color w:val="231F20"/>
        </w:rPr>
        <w:t>otros</w:t>
      </w:r>
      <w:r>
        <w:rPr>
          <w:color w:val="231F20"/>
          <w:spacing w:val="-7"/>
        </w:rPr>
        <w:t> </w:t>
      </w:r>
      <w:r>
        <w:rPr>
          <w:color w:val="231F20"/>
        </w:rPr>
        <w:t>socios</w:t>
      </w:r>
      <w:r>
        <w:rPr>
          <w:color w:val="231F20"/>
          <w:spacing w:val="-7"/>
        </w:rPr>
        <w:t> </w:t>
      </w:r>
      <w:r>
        <w:rPr>
          <w:color w:val="231F20"/>
        </w:rPr>
        <w:t>comerciales. Concluyen poniendo en cuestión la premisa de que el comercio exterior siempre traerá resultados positivos para las condiciones laborales de los trabajadores por medio del derrame económico del intercambio comer- cial.</w:t>
      </w:r>
    </w:p>
    <w:p>
      <w:pPr>
        <w:pStyle w:val="BodyText"/>
        <w:spacing w:line="249" w:lineRule="auto" w:before="1"/>
        <w:ind w:left="113" w:right="107" w:firstLine="283"/>
        <w:jc w:val="both"/>
      </w:pPr>
      <w:r>
        <w:rPr>
          <w:color w:val="231F20"/>
        </w:rPr>
        <w:t>El capítulo de Alejandro I. Canales, profesor investigador del De- partamento de Estudios Regionales de la Universidad de Guadalajara, “Migración</w:t>
      </w:r>
      <w:r>
        <w:rPr>
          <w:color w:val="231F20"/>
          <w:spacing w:val="-9"/>
        </w:rPr>
        <w:t> </w:t>
      </w:r>
      <w:r>
        <w:rPr>
          <w:color w:val="231F20"/>
        </w:rPr>
        <w:t>y</w:t>
      </w:r>
      <w:r>
        <w:rPr>
          <w:color w:val="231F20"/>
          <w:spacing w:val="-8"/>
        </w:rPr>
        <w:t> </w:t>
      </w:r>
      <w:r>
        <w:rPr>
          <w:color w:val="231F20"/>
        </w:rPr>
        <w:t>trabajo</w:t>
      </w:r>
      <w:r>
        <w:rPr>
          <w:color w:val="231F20"/>
          <w:spacing w:val="-9"/>
        </w:rPr>
        <w:t> </w:t>
      </w:r>
      <w:r>
        <w:rPr>
          <w:color w:val="231F20"/>
        </w:rPr>
        <w:t>en</w:t>
      </w:r>
      <w:r>
        <w:rPr>
          <w:color w:val="231F20"/>
          <w:spacing w:val="-8"/>
        </w:rPr>
        <w:t> </w:t>
      </w:r>
      <w:r>
        <w:rPr>
          <w:color w:val="231F20"/>
        </w:rPr>
        <w:t>tiempos</w:t>
      </w:r>
      <w:r>
        <w:rPr>
          <w:color w:val="231F20"/>
          <w:spacing w:val="-9"/>
        </w:rPr>
        <w:t> </w:t>
      </w:r>
      <w:r>
        <w:rPr>
          <w:color w:val="231F20"/>
        </w:rPr>
        <w:t>de</w:t>
      </w:r>
      <w:r>
        <w:rPr>
          <w:color w:val="231F20"/>
          <w:spacing w:val="-8"/>
        </w:rPr>
        <w:t> </w:t>
      </w:r>
      <w:r>
        <w:rPr>
          <w:color w:val="231F20"/>
        </w:rPr>
        <w:t>crisis.</w:t>
      </w:r>
      <w:r>
        <w:rPr>
          <w:color w:val="231F20"/>
          <w:spacing w:val="-9"/>
        </w:rPr>
        <w:t> </w:t>
      </w:r>
      <w:r>
        <w:rPr>
          <w:color w:val="231F20"/>
        </w:rPr>
        <w:t>Inmigrantes</w:t>
      </w:r>
      <w:r>
        <w:rPr>
          <w:color w:val="231F20"/>
          <w:spacing w:val="-8"/>
        </w:rPr>
        <w:t> </w:t>
      </w:r>
      <w:r>
        <w:rPr>
          <w:color w:val="231F20"/>
        </w:rPr>
        <w:t>latinos</w:t>
      </w:r>
      <w:r>
        <w:rPr>
          <w:color w:val="231F20"/>
          <w:spacing w:val="-9"/>
        </w:rPr>
        <w:t> </w:t>
      </w:r>
      <w:r>
        <w:rPr>
          <w:color w:val="231F20"/>
        </w:rPr>
        <w:t>en</w:t>
      </w:r>
      <w:r>
        <w:rPr>
          <w:color w:val="231F20"/>
          <w:spacing w:val="-8"/>
        </w:rPr>
        <w:t> </w:t>
      </w:r>
      <w:r>
        <w:rPr>
          <w:color w:val="231F20"/>
        </w:rPr>
        <w:t>Estados Unidos”, analiza los impactos de la crisis económica sobre el trabajo de los inmigrantes de origen latinoamericano en Estados Unidos. Muestra que con la crisis no sólo no se redujo el volumen de trabajadores latinos en dicho país, sino que tienden a concentrar su importancia en determi- nadas ocupaciones vinculadas con la reproducción social y cotidiana de la</w:t>
      </w:r>
      <w:r>
        <w:rPr>
          <w:color w:val="231F20"/>
          <w:spacing w:val="-4"/>
        </w:rPr>
        <w:t> </w:t>
      </w:r>
      <w:r>
        <w:rPr>
          <w:color w:val="231F20"/>
        </w:rPr>
        <w:t>población</w:t>
      </w:r>
      <w:r>
        <w:rPr>
          <w:color w:val="231F20"/>
          <w:spacing w:val="-4"/>
        </w:rPr>
        <w:t> </w:t>
      </w:r>
      <w:r>
        <w:rPr>
          <w:color w:val="231F20"/>
        </w:rPr>
        <w:t>de</w:t>
      </w:r>
      <w:r>
        <w:rPr>
          <w:color w:val="231F20"/>
          <w:spacing w:val="-4"/>
        </w:rPr>
        <w:t> </w:t>
      </w:r>
      <w:r>
        <w:rPr>
          <w:color w:val="231F20"/>
        </w:rPr>
        <w:t>los</w:t>
      </w:r>
      <w:r>
        <w:rPr>
          <w:color w:val="231F20"/>
          <w:spacing w:val="-5"/>
        </w:rPr>
        <w:t> </w:t>
      </w:r>
      <w:r>
        <w:rPr>
          <w:color w:val="231F20"/>
        </w:rPr>
        <w:t>estratos</w:t>
      </w:r>
      <w:r>
        <w:rPr>
          <w:color w:val="231F20"/>
          <w:spacing w:val="-5"/>
        </w:rPr>
        <w:t> </w:t>
      </w:r>
      <w:r>
        <w:rPr>
          <w:color w:val="231F20"/>
        </w:rPr>
        <w:t>medios</w:t>
      </w:r>
      <w:r>
        <w:rPr>
          <w:color w:val="231F20"/>
          <w:spacing w:val="-5"/>
        </w:rPr>
        <w:t> </w:t>
      </w:r>
      <w:r>
        <w:rPr>
          <w:color w:val="231F20"/>
        </w:rPr>
        <w:t>y</w:t>
      </w:r>
      <w:r>
        <w:rPr>
          <w:color w:val="231F20"/>
          <w:spacing w:val="-4"/>
        </w:rPr>
        <w:t> </w:t>
      </w:r>
      <w:r>
        <w:rPr>
          <w:color w:val="231F20"/>
        </w:rPr>
        <w:t>altos.</w:t>
      </w:r>
      <w:r>
        <w:rPr>
          <w:color w:val="231F20"/>
          <w:spacing w:val="-5"/>
        </w:rPr>
        <w:t> </w:t>
      </w:r>
      <w:r>
        <w:rPr>
          <w:color w:val="231F20"/>
        </w:rPr>
        <w:t>La</w:t>
      </w:r>
      <w:r>
        <w:rPr>
          <w:color w:val="231F20"/>
          <w:spacing w:val="-4"/>
        </w:rPr>
        <w:t> </w:t>
      </w:r>
      <w:r>
        <w:rPr>
          <w:color w:val="231F20"/>
        </w:rPr>
        <w:t>actual</w:t>
      </w:r>
      <w:r>
        <w:rPr>
          <w:color w:val="231F20"/>
          <w:spacing w:val="-5"/>
        </w:rPr>
        <w:t> </w:t>
      </w:r>
      <w:r>
        <w:rPr>
          <w:color w:val="231F20"/>
        </w:rPr>
        <w:t>crisis</w:t>
      </w:r>
      <w:r>
        <w:rPr>
          <w:color w:val="231F20"/>
          <w:spacing w:val="-5"/>
        </w:rPr>
        <w:t> </w:t>
      </w:r>
      <w:r>
        <w:rPr>
          <w:color w:val="231F20"/>
        </w:rPr>
        <w:t>es</w:t>
      </w:r>
      <w:r>
        <w:rPr>
          <w:color w:val="231F20"/>
          <w:spacing w:val="-5"/>
        </w:rPr>
        <w:t> </w:t>
      </w:r>
      <w:r>
        <w:rPr>
          <w:color w:val="231F20"/>
        </w:rPr>
        <w:t>vista</w:t>
      </w:r>
      <w:r>
        <w:rPr>
          <w:color w:val="231F20"/>
          <w:spacing w:val="-4"/>
        </w:rPr>
        <w:t> </w:t>
      </w:r>
      <w:r>
        <w:rPr>
          <w:color w:val="231F20"/>
        </w:rPr>
        <w:t>como la de mayor magnitud y profundidad en cuanto a sus efectos y alcances, únicamente</w:t>
      </w:r>
      <w:r>
        <w:rPr>
          <w:color w:val="231F20"/>
          <w:spacing w:val="-11"/>
        </w:rPr>
        <w:t> </w:t>
      </w:r>
      <w:r>
        <w:rPr>
          <w:color w:val="231F20"/>
        </w:rPr>
        <w:t>comparable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crisis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años</w:t>
      </w:r>
      <w:r>
        <w:rPr>
          <w:color w:val="231F20"/>
          <w:spacing w:val="-11"/>
        </w:rPr>
        <w:t> </w:t>
      </w:r>
      <w:r>
        <w:rPr>
          <w:color w:val="231F20"/>
        </w:rPr>
        <w:t>30</w:t>
      </w:r>
      <w:r>
        <w:rPr>
          <w:color w:val="231F20"/>
          <w:spacing w:val="-11"/>
        </w:rPr>
        <w:t> </w:t>
      </w:r>
      <w:r>
        <w:rPr>
          <w:color w:val="231F20"/>
        </w:rPr>
        <w:t>del</w:t>
      </w:r>
      <w:r>
        <w:rPr>
          <w:color w:val="231F20"/>
          <w:spacing w:val="-11"/>
        </w:rPr>
        <w:t> </w:t>
      </w:r>
      <w:r>
        <w:rPr>
          <w:color w:val="231F20"/>
        </w:rPr>
        <w:t>siglo</w:t>
      </w:r>
      <w:r>
        <w:rPr>
          <w:color w:val="231F20"/>
          <w:spacing w:val="-10"/>
        </w:rPr>
        <w:t> </w:t>
      </w:r>
      <w:r>
        <w:rPr>
          <w:color w:val="231F20"/>
        </w:rPr>
        <w:t>pasado.</w:t>
      </w:r>
      <w:r>
        <w:rPr>
          <w:color w:val="231F20"/>
          <w:spacing w:val="-11"/>
        </w:rPr>
        <w:t> </w:t>
      </w:r>
      <w:r>
        <w:rPr>
          <w:color w:val="231F20"/>
        </w:rPr>
        <w:t>Sus- tenta</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costo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reproducción</w:t>
      </w:r>
      <w:r>
        <w:rPr>
          <w:color w:val="231F20"/>
          <w:spacing w:val="-4"/>
        </w:rPr>
        <w:t> </w:t>
      </w:r>
      <w:r>
        <w:rPr>
          <w:color w:val="231F20"/>
        </w:rPr>
        <w:t>social</w:t>
      </w:r>
      <w:r>
        <w:rPr>
          <w:color w:val="231F20"/>
          <w:spacing w:val="-4"/>
        </w:rPr>
        <w:t> </w:t>
      </w:r>
      <w:r>
        <w:rPr>
          <w:color w:val="231F20"/>
        </w:rPr>
        <w:t>es</w:t>
      </w:r>
      <w:r>
        <w:rPr>
          <w:color w:val="231F20"/>
          <w:spacing w:val="-4"/>
        </w:rPr>
        <w:t> </w:t>
      </w:r>
      <w:r>
        <w:rPr>
          <w:color w:val="231F20"/>
        </w:rPr>
        <w:t>en</w:t>
      </w:r>
      <w:r>
        <w:rPr>
          <w:color w:val="231F20"/>
          <w:spacing w:val="-4"/>
        </w:rPr>
        <w:t> </w:t>
      </w:r>
      <w:r>
        <w:rPr>
          <w:color w:val="231F20"/>
        </w:rPr>
        <w:t>gran</w:t>
      </w:r>
      <w:r>
        <w:rPr>
          <w:color w:val="231F20"/>
          <w:spacing w:val="-4"/>
        </w:rPr>
        <w:t> </w:t>
      </w:r>
      <w:r>
        <w:rPr>
          <w:color w:val="231F20"/>
        </w:rPr>
        <w:t>parte</w:t>
      </w:r>
      <w:r>
        <w:rPr>
          <w:color w:val="231F20"/>
          <w:spacing w:val="-4"/>
        </w:rPr>
        <w:t> </w:t>
      </w:r>
      <w:r>
        <w:rPr>
          <w:color w:val="231F20"/>
        </w:rPr>
        <w:t>transferido</w:t>
      </w:r>
      <w:r>
        <w:rPr>
          <w:color w:val="231F20"/>
          <w:spacing w:val="-5"/>
        </w:rPr>
        <w:t> </w:t>
      </w:r>
      <w:r>
        <w:rPr>
          <w:color w:val="231F20"/>
        </w:rPr>
        <w:t>a este</w:t>
      </w:r>
      <w:r>
        <w:rPr>
          <w:color w:val="231F20"/>
          <w:spacing w:val="-8"/>
        </w:rPr>
        <w:t> </w:t>
      </w:r>
      <w:r>
        <w:rPr>
          <w:color w:val="231F20"/>
        </w:rPr>
        <w:t>sector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fuerza</w:t>
      </w:r>
      <w:r>
        <w:rPr>
          <w:color w:val="231F20"/>
          <w:spacing w:val="-8"/>
        </w:rPr>
        <w:t> </w:t>
      </w:r>
      <w:r>
        <w:rPr>
          <w:color w:val="231F20"/>
        </w:rPr>
        <w:t>de</w:t>
      </w:r>
      <w:r>
        <w:rPr>
          <w:color w:val="231F20"/>
          <w:spacing w:val="-8"/>
        </w:rPr>
        <w:t> </w:t>
      </w:r>
      <w:r>
        <w:rPr>
          <w:color w:val="231F20"/>
        </w:rPr>
        <w:t>trabajo,</w:t>
      </w:r>
      <w:r>
        <w:rPr>
          <w:color w:val="231F20"/>
          <w:spacing w:val="-8"/>
        </w:rPr>
        <w:t> </w:t>
      </w:r>
      <w:r>
        <w:rPr>
          <w:color w:val="231F20"/>
        </w:rPr>
        <w:t>que</w:t>
      </w:r>
      <w:r>
        <w:rPr>
          <w:color w:val="231F20"/>
          <w:spacing w:val="-8"/>
        </w:rPr>
        <w:t> </w:t>
      </w:r>
      <w:r>
        <w:rPr>
          <w:color w:val="231F20"/>
        </w:rPr>
        <w:t>dada</w:t>
      </w:r>
      <w:r>
        <w:rPr>
          <w:color w:val="231F20"/>
          <w:spacing w:val="-8"/>
        </w:rPr>
        <w:t> </w:t>
      </w:r>
      <w:r>
        <w:rPr>
          <w:color w:val="231F20"/>
        </w:rPr>
        <w:t>su</w:t>
      </w:r>
      <w:r>
        <w:rPr>
          <w:color w:val="231F20"/>
          <w:spacing w:val="-8"/>
        </w:rPr>
        <w:t> </w:t>
      </w:r>
      <w:r>
        <w:rPr>
          <w:color w:val="231F20"/>
        </w:rPr>
        <w:t>vulnerabilidad</w:t>
      </w:r>
      <w:r>
        <w:rPr>
          <w:color w:val="231F20"/>
          <w:spacing w:val="-8"/>
        </w:rPr>
        <w:t> </w:t>
      </w:r>
      <w:r>
        <w:rPr>
          <w:color w:val="231F20"/>
        </w:rPr>
        <w:t>demográfi- ca,</w:t>
      </w:r>
      <w:r>
        <w:rPr>
          <w:color w:val="231F20"/>
          <w:spacing w:val="-5"/>
        </w:rPr>
        <w:t> </w:t>
      </w:r>
      <w:r>
        <w:rPr>
          <w:color w:val="231F20"/>
        </w:rPr>
        <w:t>derivada</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condición</w:t>
      </w:r>
      <w:r>
        <w:rPr>
          <w:color w:val="231F20"/>
          <w:spacing w:val="-5"/>
        </w:rPr>
        <w:t> </w:t>
      </w:r>
      <w:r>
        <w:rPr>
          <w:color w:val="231F20"/>
        </w:rPr>
        <w:t>migratoria</w:t>
      </w:r>
      <w:r>
        <w:rPr>
          <w:color w:val="231F20"/>
          <w:spacing w:val="-5"/>
        </w:rPr>
        <w:t> </w:t>
      </w:r>
      <w:r>
        <w:rPr>
          <w:color w:val="231F20"/>
        </w:rPr>
        <w:t>e</w:t>
      </w:r>
      <w:r>
        <w:rPr>
          <w:color w:val="231F20"/>
          <w:spacing w:val="-4"/>
        </w:rPr>
        <w:t> </w:t>
      </w:r>
      <w:r>
        <w:rPr>
          <w:color w:val="231F20"/>
        </w:rPr>
        <w:t>inestabilidad</w:t>
      </w:r>
      <w:r>
        <w:rPr>
          <w:color w:val="231F20"/>
          <w:spacing w:val="-5"/>
        </w:rPr>
        <w:t> </w:t>
      </w:r>
      <w:r>
        <w:rPr>
          <w:color w:val="231F20"/>
        </w:rPr>
        <w:t>social,</w:t>
      </w:r>
      <w:r>
        <w:rPr>
          <w:color w:val="231F20"/>
          <w:spacing w:val="-4"/>
        </w:rPr>
        <w:t> </w:t>
      </w:r>
      <w:r>
        <w:rPr>
          <w:color w:val="231F20"/>
        </w:rPr>
        <w:t>no</w:t>
      </w:r>
      <w:r>
        <w:rPr>
          <w:color w:val="231F20"/>
          <w:spacing w:val="-4"/>
        </w:rPr>
        <w:t> </w:t>
      </w:r>
      <w:r>
        <w:rPr>
          <w:color w:val="231F20"/>
        </w:rPr>
        <w:t>tiene</w:t>
      </w:r>
      <w:r>
        <w:rPr>
          <w:color w:val="231F20"/>
          <w:spacing w:val="-5"/>
        </w:rPr>
        <w:t> </w:t>
      </w:r>
      <w:r>
        <w:rPr>
          <w:color w:val="231F20"/>
        </w:rPr>
        <w:t>la posibilidad de negociar en mejores términos sus condiciones laborales, tendencialmente precarias. Y a pesar del incremento de los niveles de pobreza que presenta este sector de la población, facilitados por la ex- plotación de su fuerza de trabajo, las evidencias aportadas por el autor dan</w:t>
      </w:r>
      <w:r>
        <w:rPr>
          <w:color w:val="231F20"/>
          <w:spacing w:val="-3"/>
        </w:rPr>
        <w:t> </w:t>
      </w:r>
      <w:r>
        <w:rPr>
          <w:color w:val="231F20"/>
        </w:rPr>
        <w:t>cuenta</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ausencia</w:t>
      </w:r>
      <w:r>
        <w:rPr>
          <w:color w:val="231F20"/>
          <w:spacing w:val="-4"/>
        </w:rPr>
        <w:t> </w:t>
      </w:r>
      <w:r>
        <w:rPr>
          <w:color w:val="231F20"/>
        </w:rPr>
        <w:t>de</w:t>
      </w:r>
      <w:r>
        <w:rPr>
          <w:color w:val="231F20"/>
          <w:spacing w:val="-4"/>
        </w:rPr>
        <w:t> </w:t>
      </w:r>
      <w:r>
        <w:rPr>
          <w:color w:val="231F20"/>
        </w:rPr>
        <w:t>un</w:t>
      </w:r>
      <w:r>
        <w:rPr>
          <w:color w:val="231F20"/>
          <w:spacing w:val="-3"/>
        </w:rPr>
        <w:t> </w:t>
      </w:r>
      <w:r>
        <w:rPr>
          <w:color w:val="231F20"/>
        </w:rPr>
        <w:t>retorno</w:t>
      </w:r>
      <w:r>
        <w:rPr>
          <w:color w:val="231F20"/>
          <w:spacing w:val="-4"/>
        </w:rPr>
        <w:t> </w:t>
      </w:r>
      <w:r>
        <w:rPr>
          <w:color w:val="231F20"/>
        </w:rPr>
        <w:t>masivo,</w:t>
      </w:r>
      <w:r>
        <w:rPr>
          <w:color w:val="231F20"/>
          <w:spacing w:val="-4"/>
        </w:rPr>
        <w:t> </w:t>
      </w:r>
      <w:r>
        <w:rPr>
          <w:color w:val="231F20"/>
        </w:rPr>
        <w:t>ya</w:t>
      </w:r>
      <w:r>
        <w:rPr>
          <w:color w:val="231F20"/>
          <w:spacing w:val="-3"/>
        </w:rPr>
        <w:t> </w:t>
      </w:r>
      <w:r>
        <w:rPr>
          <w:color w:val="231F20"/>
        </w:rPr>
        <w:t>que</w:t>
      </w:r>
      <w:r>
        <w:rPr>
          <w:color w:val="231F20"/>
          <w:spacing w:val="-4"/>
        </w:rPr>
        <w:t> </w:t>
      </w:r>
      <w:r>
        <w:rPr>
          <w:color w:val="231F20"/>
        </w:rPr>
        <w:t>aún</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peores</w:t>
      </w:r>
    </w:p>
    <w:p>
      <w:pPr>
        <w:spacing w:after="0" w:line="249" w:lineRule="auto"/>
        <w:jc w:val="both"/>
        <w:sectPr>
          <w:footerReference w:type="default" r:id="rId12"/>
          <w:pgSz w:w="7770" w:h="11740"/>
          <w:pgMar w:footer="559" w:header="0" w:top="840" w:bottom="740" w:left="1020" w:right="740"/>
          <w:pgNumType w:start="11"/>
        </w:sectPr>
      </w:pPr>
    </w:p>
    <w:p>
      <w:pPr>
        <w:pStyle w:val="BodyText"/>
        <w:spacing w:line="249" w:lineRule="auto" w:before="60"/>
        <w:ind w:left="41" w:right="111"/>
        <w:jc w:val="right"/>
      </w:pPr>
      <w:r>
        <w:rPr>
          <w:color w:val="231F20"/>
        </w:rPr>
        <w:t>condiciones laborales pueden mantener e incluso expandir sus puestos de trabajo, relativamente mejor remunerados que en sus países de origen. El capítulo de Landy Lizbeth Sánchez Peña, investigadora del  Cen-</w:t>
      </w:r>
    </w:p>
    <w:p>
      <w:pPr>
        <w:pStyle w:val="BodyText"/>
        <w:spacing w:line="249" w:lineRule="auto" w:before="1"/>
        <w:ind w:left="110" w:right="111"/>
        <w:jc w:val="both"/>
      </w:pPr>
      <w:r>
        <w:rPr>
          <w:color w:val="231F20"/>
        </w:rPr>
        <w:t>tro de Estudios Demográficos, Urbanos y Ambientales de El Colegio de México, “El efecto de la segregación residencial socioeconómica sobre la inserción laboral: diferencias por género en la Ciudad de México”, analiza el crecimiento de la segregación residencial por ingreso en la Ciudad</w:t>
      </w:r>
      <w:r>
        <w:rPr>
          <w:color w:val="231F20"/>
          <w:spacing w:val="-10"/>
        </w:rPr>
        <w:t> </w:t>
      </w:r>
      <w:r>
        <w:rPr>
          <w:color w:val="231F20"/>
        </w:rPr>
        <w:t>de</w:t>
      </w:r>
      <w:r>
        <w:rPr>
          <w:color w:val="231F20"/>
          <w:spacing w:val="-9"/>
        </w:rPr>
        <w:t> </w:t>
      </w:r>
      <w:r>
        <w:rPr>
          <w:color w:val="231F20"/>
        </w:rPr>
        <w:t>México</w:t>
      </w:r>
      <w:r>
        <w:rPr>
          <w:color w:val="231F20"/>
          <w:spacing w:val="-10"/>
        </w:rPr>
        <w:t> </w:t>
      </w:r>
      <w:r>
        <w:rPr>
          <w:color w:val="231F20"/>
        </w:rPr>
        <w:t>en</w:t>
      </w:r>
      <w:r>
        <w:rPr>
          <w:color w:val="231F20"/>
          <w:spacing w:val="-9"/>
        </w:rPr>
        <w:t> </w:t>
      </w:r>
      <w:r>
        <w:rPr>
          <w:color w:val="231F20"/>
        </w:rPr>
        <w:t>la</w:t>
      </w:r>
      <w:r>
        <w:rPr>
          <w:color w:val="231F20"/>
          <w:spacing w:val="-10"/>
        </w:rPr>
        <w:t> </w:t>
      </w:r>
      <w:r>
        <w:rPr>
          <w:color w:val="231F20"/>
        </w:rPr>
        <w:t>década</w:t>
      </w:r>
      <w:r>
        <w:rPr>
          <w:color w:val="231F20"/>
          <w:spacing w:val="-10"/>
        </w:rPr>
        <w:t> </w:t>
      </w:r>
      <w:r>
        <w:rPr>
          <w:color w:val="231F20"/>
        </w:rPr>
        <w:t>de</w:t>
      </w:r>
      <w:r>
        <w:rPr>
          <w:color w:val="231F20"/>
          <w:spacing w:val="-9"/>
        </w:rPr>
        <w:t> </w:t>
      </w:r>
      <w:r>
        <w:rPr>
          <w:color w:val="231F20"/>
        </w:rPr>
        <w:t>1990,</w:t>
      </w:r>
      <w:r>
        <w:rPr>
          <w:color w:val="231F20"/>
          <w:spacing w:val="-9"/>
        </w:rPr>
        <w:t> </w:t>
      </w:r>
      <w:r>
        <w:rPr>
          <w:color w:val="231F20"/>
        </w:rPr>
        <w:t>y</w:t>
      </w:r>
      <w:r>
        <w:rPr>
          <w:color w:val="231F20"/>
          <w:spacing w:val="-9"/>
        </w:rPr>
        <w:t> </w:t>
      </w:r>
      <w:r>
        <w:rPr>
          <w:color w:val="231F20"/>
        </w:rPr>
        <w:t>pone</w:t>
      </w:r>
      <w:r>
        <w:rPr>
          <w:color w:val="231F20"/>
          <w:spacing w:val="-9"/>
        </w:rPr>
        <w:t> </w:t>
      </w:r>
      <w:r>
        <w:rPr>
          <w:color w:val="231F20"/>
        </w:rPr>
        <w:t>de</w:t>
      </w:r>
      <w:r>
        <w:rPr>
          <w:color w:val="231F20"/>
          <w:spacing w:val="-9"/>
        </w:rPr>
        <w:t> </w:t>
      </w:r>
      <w:r>
        <w:rPr>
          <w:color w:val="231F20"/>
        </w:rPr>
        <w:t>manifiesto</w:t>
      </w:r>
      <w:r>
        <w:rPr>
          <w:color w:val="231F20"/>
          <w:spacing w:val="-10"/>
        </w:rPr>
        <w:t> </w:t>
      </w:r>
      <w:r>
        <w:rPr>
          <w:color w:val="231F20"/>
        </w:rPr>
        <w:t>sus</w:t>
      </w:r>
      <w:r>
        <w:rPr>
          <w:color w:val="231F20"/>
          <w:spacing w:val="-9"/>
        </w:rPr>
        <w:t> </w:t>
      </w:r>
      <w:r>
        <w:rPr>
          <w:color w:val="231F20"/>
        </w:rPr>
        <w:t>efectos negativos sobre las oportunidades de vida de los individuos, así como las diferencias por género a la luz de teorías que sugieren que las muje- res enfrentan mayores desventajas que los hombres en barrios altamente segregados. El trabajo cuestiona el efecto de la segregación residencial socioeconómica sobre la inserción laboral y la dimensión territorial de los mercados de trabajo respecto a condiciones laborales y precariedad salarial. Utilizando modelos jerárquicos lineales con datos de la muestra censal de 2000 para la Ciudad de México se concluye que los altos</w:t>
      </w:r>
      <w:r>
        <w:rPr>
          <w:color w:val="231F20"/>
          <w:spacing w:val="-34"/>
        </w:rPr>
        <w:t> </w:t>
      </w:r>
      <w:r>
        <w:rPr>
          <w:color w:val="231F20"/>
        </w:rPr>
        <w:t>nive- les de segregación socioeconómica se asocian con menor calidad en el empleo, más allá de otros determinantes individuales tales como escola- ridad,</w:t>
      </w:r>
      <w:r>
        <w:rPr>
          <w:color w:val="231F20"/>
          <w:spacing w:val="-8"/>
        </w:rPr>
        <w:t> </w:t>
      </w:r>
      <w:r>
        <w:rPr>
          <w:color w:val="231F20"/>
        </w:rPr>
        <w:t>edad,</w:t>
      </w:r>
      <w:r>
        <w:rPr>
          <w:color w:val="231F20"/>
          <w:spacing w:val="-8"/>
        </w:rPr>
        <w:t> </w:t>
      </w:r>
      <w:r>
        <w:rPr>
          <w:color w:val="231F20"/>
        </w:rPr>
        <w:t>ocupación,</w:t>
      </w:r>
      <w:r>
        <w:rPr>
          <w:color w:val="231F20"/>
          <w:spacing w:val="-8"/>
        </w:rPr>
        <w:t> </w:t>
      </w:r>
      <w:r>
        <w:rPr>
          <w:color w:val="231F20"/>
        </w:rPr>
        <w:t>industria,</w:t>
      </w:r>
      <w:r>
        <w:rPr>
          <w:color w:val="231F20"/>
          <w:spacing w:val="-8"/>
        </w:rPr>
        <w:t> </w:t>
      </w:r>
      <w:r>
        <w:rPr>
          <w:color w:val="231F20"/>
        </w:rPr>
        <w:t>estructura</w:t>
      </w:r>
      <w:r>
        <w:rPr>
          <w:color w:val="231F20"/>
          <w:spacing w:val="-9"/>
        </w:rPr>
        <w:t> </w:t>
      </w:r>
      <w:r>
        <w:rPr>
          <w:color w:val="231F20"/>
        </w:rPr>
        <w:t>familiar</w:t>
      </w:r>
      <w:r>
        <w:rPr>
          <w:color w:val="231F20"/>
          <w:spacing w:val="-8"/>
        </w:rPr>
        <w:t> </w:t>
      </w:r>
      <w:r>
        <w:rPr>
          <w:color w:val="231F20"/>
        </w:rPr>
        <w:t>y</w:t>
      </w:r>
      <w:r>
        <w:rPr>
          <w:color w:val="231F20"/>
          <w:spacing w:val="-8"/>
        </w:rPr>
        <w:t> </w:t>
      </w:r>
      <w:r>
        <w:rPr>
          <w:color w:val="231F20"/>
        </w:rPr>
        <w:t>sexo.</w:t>
      </w:r>
      <w:r>
        <w:rPr>
          <w:color w:val="231F20"/>
          <w:spacing w:val="-19"/>
        </w:rPr>
        <w:t> </w:t>
      </w:r>
      <w:r>
        <w:rPr>
          <w:color w:val="231F20"/>
        </w:rPr>
        <w:t>Al</w:t>
      </w:r>
      <w:r>
        <w:rPr>
          <w:color w:val="231F20"/>
          <w:spacing w:val="-8"/>
        </w:rPr>
        <w:t> </w:t>
      </w:r>
      <w:r>
        <w:rPr>
          <w:color w:val="231F20"/>
        </w:rPr>
        <w:t>comparar individuos de equivalentes características se determina que aquellos que viven en vecindarios altamente segregados tendrán mayores probabili- dades de tener un empleo precario que aquellos que viven en un área socioeconómicamente más</w:t>
      </w:r>
      <w:r>
        <w:rPr>
          <w:color w:val="231F20"/>
          <w:spacing w:val="-18"/>
        </w:rPr>
        <w:t> </w:t>
      </w:r>
      <w:r>
        <w:rPr>
          <w:color w:val="231F20"/>
        </w:rPr>
        <w:t>diversa.</w:t>
      </w:r>
    </w:p>
    <w:p>
      <w:pPr>
        <w:pStyle w:val="BodyText"/>
        <w:spacing w:line="249" w:lineRule="auto" w:before="1"/>
        <w:ind w:left="110" w:right="111" w:firstLine="283"/>
        <w:jc w:val="both"/>
      </w:pPr>
      <w:r>
        <w:rPr>
          <w:color w:val="231F20"/>
        </w:rPr>
        <w:t>El texto de Rosalba </w:t>
      </w:r>
      <w:r>
        <w:rPr>
          <w:color w:val="231F20"/>
          <w:spacing w:val="-3"/>
        </w:rPr>
        <w:t>Todaro </w:t>
      </w:r>
      <w:r>
        <w:rPr>
          <w:color w:val="231F20"/>
        </w:rPr>
        <w:t>Cavallero, investigadora del Centro de Estudios de la Mujer de Santiago de Chile, titulado “Flexibilidades, ri- gideces y precarización: trabajo remunerado y trabajo reproductivo y de cuidado”, analiza la forma en que los cambios en las relaciones de gé- nero han afectado la organización del trabajo en sus dos componentes: trabajo</w:t>
      </w:r>
      <w:r>
        <w:rPr>
          <w:color w:val="231F20"/>
          <w:spacing w:val="-5"/>
        </w:rPr>
        <w:t> </w:t>
      </w:r>
      <w:r>
        <w:rPr>
          <w:color w:val="231F20"/>
        </w:rPr>
        <w:t>remunerado,</w:t>
      </w:r>
      <w:r>
        <w:rPr>
          <w:color w:val="231F20"/>
          <w:spacing w:val="-5"/>
        </w:rPr>
        <w:t> </w:t>
      </w:r>
      <w:r>
        <w:rPr>
          <w:color w:val="231F20"/>
        </w:rPr>
        <w:t>y</w:t>
      </w:r>
      <w:r>
        <w:rPr>
          <w:color w:val="231F20"/>
          <w:spacing w:val="-5"/>
        </w:rPr>
        <w:t> </w:t>
      </w:r>
      <w:r>
        <w:rPr>
          <w:color w:val="231F20"/>
        </w:rPr>
        <w:t>trabajo</w:t>
      </w:r>
      <w:r>
        <w:rPr>
          <w:color w:val="231F20"/>
          <w:spacing w:val="-5"/>
        </w:rPr>
        <w:t> </w:t>
      </w:r>
      <w:r>
        <w:rPr>
          <w:color w:val="231F20"/>
        </w:rPr>
        <w:t>reproductivo</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cuidado</w:t>
      </w:r>
      <w:r>
        <w:rPr>
          <w:color w:val="231F20"/>
          <w:spacing w:val="-5"/>
        </w:rPr>
        <w:t> </w:t>
      </w:r>
      <w:r>
        <w:rPr>
          <w:color w:val="231F20"/>
        </w:rPr>
        <w:t>no</w:t>
      </w:r>
      <w:r>
        <w:rPr>
          <w:color w:val="231F20"/>
          <w:spacing w:val="-5"/>
        </w:rPr>
        <w:t> </w:t>
      </w:r>
      <w:r>
        <w:rPr>
          <w:color w:val="231F20"/>
        </w:rPr>
        <w:t>remunerado. Sostiene que es necesario analizar también los cambios en la distribu- ción del trabajo reproductivo y de cuidado, entre el que se realiza sin remuneración por miembros del hogar (generalmente mujeres) y el que se</w:t>
      </w:r>
      <w:r>
        <w:rPr>
          <w:color w:val="231F20"/>
          <w:spacing w:val="-7"/>
        </w:rPr>
        <w:t> </w:t>
      </w:r>
      <w:r>
        <w:rPr>
          <w:color w:val="231F20"/>
        </w:rPr>
        <w:t>efectua</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remunerada,</w:t>
      </w:r>
      <w:r>
        <w:rPr>
          <w:color w:val="231F20"/>
          <w:spacing w:val="-7"/>
        </w:rPr>
        <w:t> </w:t>
      </w:r>
      <w:r>
        <w:rPr>
          <w:color w:val="231F20"/>
        </w:rPr>
        <w:t>ya</w:t>
      </w:r>
      <w:r>
        <w:rPr>
          <w:color w:val="231F20"/>
          <w:spacing w:val="-7"/>
        </w:rPr>
        <w:t> </w:t>
      </w:r>
      <w:r>
        <w:rPr>
          <w:color w:val="231F20"/>
        </w:rPr>
        <w:t>sea</w:t>
      </w:r>
      <w:r>
        <w:rPr>
          <w:color w:val="231F20"/>
          <w:spacing w:val="-7"/>
        </w:rPr>
        <w:t> </w:t>
      </w:r>
      <w:r>
        <w:rPr>
          <w:color w:val="231F20"/>
        </w:rPr>
        <w:t>por</w:t>
      </w:r>
      <w:r>
        <w:rPr>
          <w:color w:val="231F20"/>
          <w:spacing w:val="-7"/>
        </w:rPr>
        <w:t> </w:t>
      </w:r>
      <w:r>
        <w:rPr>
          <w:color w:val="231F20"/>
        </w:rPr>
        <w:t>contratación</w:t>
      </w:r>
      <w:r>
        <w:rPr>
          <w:color w:val="231F20"/>
          <w:spacing w:val="-8"/>
        </w:rPr>
        <w:t> </w:t>
      </w:r>
      <w:r>
        <w:rPr>
          <w:color w:val="231F20"/>
        </w:rPr>
        <w:t>directa</w:t>
      </w:r>
      <w:r>
        <w:rPr>
          <w:color w:val="231F20"/>
          <w:spacing w:val="-7"/>
        </w:rPr>
        <w:t> </w:t>
      </w:r>
      <w:r>
        <w:rPr>
          <w:color w:val="231F20"/>
        </w:rPr>
        <w:t>de</w:t>
      </w:r>
      <w:r>
        <w:rPr>
          <w:color w:val="231F20"/>
          <w:spacing w:val="-7"/>
        </w:rPr>
        <w:t> </w:t>
      </w:r>
      <w:r>
        <w:rPr>
          <w:color w:val="231F20"/>
        </w:rPr>
        <w:t>un/a trabajador/a, o en los servicios públicos o privados. Se pretende, de esta manera, poner al debate cómo las condiciones de trabajo en lo produc- tivo y en lo reproductivo y de cuidado, y los cambios en las relaciones de género inciden en la reproducción de la sociedad en su conjunto.</w:t>
      </w:r>
      <w:r>
        <w:rPr>
          <w:color w:val="231F20"/>
          <w:spacing w:val="-34"/>
        </w:rPr>
        <w:t> </w:t>
      </w:r>
      <w:r>
        <w:rPr>
          <w:color w:val="231F20"/>
        </w:rPr>
        <w:t>Este debate cobra mayor importancia a la luz de la tensión entre flexibilidad y precariedad laboral, y entre la flexibilidad requerida por las formas de organización de la producción, por un lado, y los nuevos</w:t>
      </w:r>
      <w:r>
        <w:rPr>
          <w:color w:val="231F20"/>
          <w:spacing w:val="3"/>
        </w:rPr>
        <w:t> </w:t>
      </w:r>
      <w:r>
        <w:rPr>
          <w:color w:val="231F20"/>
        </w:rPr>
        <w:t>requerimientos</w:t>
      </w:r>
    </w:p>
    <w:p>
      <w:pPr>
        <w:spacing w:after="0" w:line="249" w:lineRule="auto"/>
        <w:jc w:val="both"/>
        <w:sectPr>
          <w:pgSz w:w="7770" w:h="11740"/>
          <w:pgMar w:header="0" w:footer="559" w:top="840" w:bottom="740" w:left="740" w:right="1020"/>
        </w:sectPr>
      </w:pPr>
    </w:p>
    <w:p>
      <w:pPr>
        <w:pStyle w:val="BodyText"/>
        <w:spacing w:line="249" w:lineRule="auto" w:before="60"/>
        <w:ind w:left="113" w:right="108"/>
        <w:jc w:val="both"/>
      </w:pPr>
      <w:r>
        <w:rPr>
          <w:color w:val="231F20"/>
        </w:rPr>
        <w:t>de la reproducción de la fuerza de trabajo, de la equidad social y de gé- nero, por el otro.</w:t>
      </w:r>
    </w:p>
    <w:p>
      <w:pPr>
        <w:pStyle w:val="BodyText"/>
        <w:spacing w:line="249" w:lineRule="auto" w:before="1"/>
        <w:ind w:left="113" w:right="108" w:firstLine="283"/>
        <w:jc w:val="both"/>
      </w:pPr>
      <w:r>
        <w:rPr>
          <w:color w:val="231F20"/>
        </w:rPr>
        <w:t>En  el  capítulo  “Desigualdades  de  género,  trabajo  reproductivo   y mujeres migrantes. Reflexiones sobre el debate inconcluso”, de Nor- ma Baca Tavira, profesora investigadora del Centro de Investigación en Ciencias Sociales y Humanidades de la Universidad Autónoma del Es- tado de México, se recurre a la perspectiva de género, pues contribuye  a comprender la especificidad del trabajo de las mujeres en el contexto de la reestructuración productiva y de la globalización. La discusión no sólo</w:t>
      </w:r>
      <w:r>
        <w:rPr>
          <w:color w:val="231F20"/>
          <w:spacing w:val="-5"/>
        </w:rPr>
        <w:t> </w:t>
      </w:r>
      <w:r>
        <w:rPr>
          <w:color w:val="231F20"/>
        </w:rPr>
        <w:t>en</w:t>
      </w:r>
      <w:r>
        <w:rPr>
          <w:color w:val="231F20"/>
          <w:spacing w:val="-6"/>
        </w:rPr>
        <w:t> </w:t>
      </w:r>
      <w:r>
        <w:rPr>
          <w:color w:val="231F20"/>
        </w:rPr>
        <w:t>reconocer</w:t>
      </w:r>
      <w:r>
        <w:rPr>
          <w:color w:val="231F20"/>
          <w:spacing w:val="-5"/>
        </w:rPr>
        <w:t> </w:t>
      </w:r>
      <w:r>
        <w:rPr>
          <w:color w:val="231F20"/>
        </w:rPr>
        <w:t>la</w:t>
      </w:r>
      <w:r>
        <w:rPr>
          <w:color w:val="231F20"/>
          <w:spacing w:val="-5"/>
        </w:rPr>
        <w:t> </w:t>
      </w:r>
      <w:r>
        <w:rPr>
          <w:color w:val="231F20"/>
        </w:rPr>
        <w:t>inserción</w:t>
      </w:r>
      <w:r>
        <w:rPr>
          <w:color w:val="231F20"/>
          <w:spacing w:val="-6"/>
        </w:rPr>
        <w:t> </w:t>
      </w:r>
      <w:r>
        <w:rPr>
          <w:color w:val="231F20"/>
        </w:rPr>
        <w:t>diferencial</w:t>
      </w:r>
      <w:r>
        <w:rPr>
          <w:color w:val="231F20"/>
          <w:spacing w:val="-5"/>
        </w:rPr>
        <w:t> </w:t>
      </w:r>
      <w:r>
        <w:rPr>
          <w:color w:val="231F20"/>
        </w:rPr>
        <w:t>de</w:t>
      </w:r>
      <w:r>
        <w:rPr>
          <w:color w:val="231F20"/>
          <w:spacing w:val="-5"/>
        </w:rPr>
        <w:t> </w:t>
      </w:r>
      <w:r>
        <w:rPr>
          <w:color w:val="231F20"/>
        </w:rPr>
        <w:t>las</w:t>
      </w:r>
      <w:r>
        <w:rPr>
          <w:color w:val="231F20"/>
          <w:spacing w:val="-6"/>
        </w:rPr>
        <w:t> </w:t>
      </w:r>
      <w:r>
        <w:rPr>
          <w:color w:val="231F20"/>
        </w:rPr>
        <w:t>mujeres</w:t>
      </w:r>
      <w:r>
        <w:rPr>
          <w:color w:val="231F20"/>
          <w:spacing w:val="-6"/>
        </w:rPr>
        <w:t> </w:t>
      </w:r>
      <w:r>
        <w:rPr>
          <w:color w:val="231F20"/>
        </w:rPr>
        <w:t>en</w:t>
      </w:r>
      <w:r>
        <w:rPr>
          <w:color w:val="231F20"/>
          <w:spacing w:val="-6"/>
        </w:rPr>
        <w:t> </w:t>
      </w:r>
      <w:r>
        <w:rPr>
          <w:color w:val="231F20"/>
        </w:rPr>
        <w:t>los</w:t>
      </w:r>
      <w:r>
        <w:rPr>
          <w:color w:val="231F20"/>
          <w:spacing w:val="-5"/>
        </w:rPr>
        <w:t> </w:t>
      </w:r>
      <w:r>
        <w:rPr>
          <w:color w:val="231F20"/>
        </w:rPr>
        <w:t>mercados de trabajo internacionales, sino en reflexionar en cómo el género, vía la reproducción social y la configuración de flujos migratorios transnacio- nales específicos, contribuye a reproducir la desigualdad en esta esfera social.</w:t>
      </w:r>
    </w:p>
    <w:p>
      <w:pPr>
        <w:pStyle w:val="Heading4"/>
      </w:pPr>
      <w:r>
        <w:rPr>
          <w:w w:val="75"/>
        </w:rPr>
        <w:t>Nuevas desigualdades, pobreza laboral y significados del trabajo</w:t>
      </w:r>
    </w:p>
    <w:p>
      <w:pPr>
        <w:pStyle w:val="BodyText"/>
        <w:spacing w:line="249" w:lineRule="auto" w:before="171"/>
        <w:ind w:left="113" w:right="107"/>
        <w:jc w:val="both"/>
      </w:pPr>
      <w:r>
        <w:rPr>
          <w:color w:val="231F20"/>
        </w:rPr>
        <w:t>El capítulo “Equidad de género en el programa Mujeres Trabajadoras Comprometidas en el Estado de México”, de Evelín Pérez González, egresada de la licenciatura en Sociología por la Facultad de Ciencias Políticas y Sociales, y Jorge Arzate Salgado, profesor investigador de la Facultad de Ciencias Políticas y Sociales de la Universidad Autónoma del Estado de México, presenta un acercamiento a este programa des-  de una perspectiva de género y utilizando una metodología cualitativa. El trabajo es un estudio de caso de una comunidad del valle de Toluca, San Pedro Tlanixco. Se trata de un programa compensatorio focaliza-  do implementado por el gobierno del Estado de México entre 2008 y 2012, el cual estaba dirigido hacia las mujeres vulnerables y pretendía resolver su situación económica y social de precariedad. En el trabajo se exploran cuatro aspectos del programa: autonomía del género, oportuni- dades de las mujeres y su familia para el acceso a los servicios públicos, seguridad económica de la mujer para con su familia y eficiencia en la operación. Entre las principales conclusiones del trabajo se encuentra que</w:t>
      </w:r>
      <w:r>
        <w:rPr>
          <w:color w:val="231F20"/>
          <w:spacing w:val="-5"/>
        </w:rPr>
        <w:t> </w:t>
      </w:r>
      <w:r>
        <w:rPr>
          <w:color w:val="231F20"/>
        </w:rPr>
        <w:t>los</w:t>
      </w:r>
      <w:r>
        <w:rPr>
          <w:color w:val="231F20"/>
          <w:spacing w:val="-5"/>
        </w:rPr>
        <w:t> </w:t>
      </w:r>
      <w:r>
        <w:rPr>
          <w:color w:val="231F20"/>
        </w:rPr>
        <w:t>apoyos</w:t>
      </w:r>
      <w:r>
        <w:rPr>
          <w:color w:val="231F20"/>
          <w:spacing w:val="-5"/>
        </w:rPr>
        <w:t> </w:t>
      </w:r>
      <w:r>
        <w:rPr>
          <w:color w:val="231F20"/>
        </w:rPr>
        <w:t>económicos</w:t>
      </w:r>
      <w:r>
        <w:rPr>
          <w:color w:val="231F20"/>
          <w:spacing w:val="-6"/>
        </w:rPr>
        <w:t> </w:t>
      </w:r>
      <w:r>
        <w:rPr>
          <w:color w:val="231F20"/>
        </w:rPr>
        <w:t>que</w:t>
      </w:r>
      <w:r>
        <w:rPr>
          <w:color w:val="231F20"/>
          <w:spacing w:val="-5"/>
        </w:rPr>
        <w:t> </w:t>
      </w:r>
      <w:r>
        <w:rPr>
          <w:color w:val="231F20"/>
        </w:rPr>
        <w:t>otorgaba</w:t>
      </w:r>
      <w:r>
        <w:rPr>
          <w:color w:val="231F20"/>
          <w:spacing w:val="-5"/>
        </w:rPr>
        <w:t> </w:t>
      </w:r>
      <w:r>
        <w:rPr>
          <w:color w:val="231F20"/>
        </w:rPr>
        <w:t>dicho</w:t>
      </w:r>
      <w:r>
        <w:rPr>
          <w:color w:val="231F20"/>
          <w:spacing w:val="-5"/>
        </w:rPr>
        <w:t> </w:t>
      </w:r>
      <w:r>
        <w:rPr>
          <w:color w:val="231F20"/>
        </w:rPr>
        <w:t>programa</w:t>
      </w:r>
      <w:r>
        <w:rPr>
          <w:color w:val="231F20"/>
          <w:spacing w:val="-5"/>
        </w:rPr>
        <w:t> </w:t>
      </w:r>
      <w:r>
        <w:rPr>
          <w:color w:val="231F20"/>
        </w:rPr>
        <w:t>no</w:t>
      </w:r>
      <w:r>
        <w:rPr>
          <w:color w:val="231F20"/>
          <w:spacing w:val="-5"/>
        </w:rPr>
        <w:t> </w:t>
      </w:r>
      <w:r>
        <w:rPr>
          <w:color w:val="231F20"/>
        </w:rPr>
        <w:t>reducían</w:t>
      </w:r>
      <w:r>
        <w:rPr>
          <w:color w:val="231F20"/>
          <w:spacing w:val="-5"/>
        </w:rPr>
        <w:t> </w:t>
      </w:r>
      <w:r>
        <w:rPr>
          <w:color w:val="231F20"/>
        </w:rPr>
        <w:t>de manera significativa las desigualdades económicas, ni dotaban de mejo- res</w:t>
      </w:r>
      <w:r>
        <w:rPr>
          <w:color w:val="231F20"/>
          <w:spacing w:val="-5"/>
        </w:rPr>
        <w:t> </w:t>
      </w:r>
      <w:r>
        <w:rPr>
          <w:color w:val="231F20"/>
        </w:rPr>
        <w:t>oportunidades</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jefas</w:t>
      </w:r>
      <w:r>
        <w:rPr>
          <w:color w:val="231F20"/>
          <w:spacing w:val="-5"/>
        </w:rPr>
        <w:t> </w:t>
      </w:r>
      <w:r>
        <w:rPr>
          <w:color w:val="231F20"/>
        </w:rPr>
        <w:t>de</w:t>
      </w:r>
      <w:r>
        <w:rPr>
          <w:color w:val="231F20"/>
          <w:spacing w:val="-5"/>
        </w:rPr>
        <w:t> </w:t>
      </w:r>
      <w:r>
        <w:rPr>
          <w:color w:val="231F20"/>
        </w:rPr>
        <w:t>familia.</w:t>
      </w:r>
      <w:r>
        <w:rPr>
          <w:color w:val="231F20"/>
          <w:spacing w:val="-5"/>
        </w:rPr>
        <w:t> </w:t>
      </w:r>
      <w:r>
        <w:rPr>
          <w:color w:val="231F20"/>
        </w:rPr>
        <w:t>Los</w:t>
      </w:r>
      <w:r>
        <w:rPr>
          <w:color w:val="231F20"/>
          <w:spacing w:val="-5"/>
        </w:rPr>
        <w:t> </w:t>
      </w:r>
      <w:r>
        <w:rPr>
          <w:color w:val="231F20"/>
        </w:rPr>
        <w:t>apoyos</w:t>
      </w:r>
      <w:r>
        <w:rPr>
          <w:color w:val="231F20"/>
          <w:spacing w:val="-5"/>
        </w:rPr>
        <w:t> </w:t>
      </w:r>
      <w:r>
        <w:rPr>
          <w:color w:val="231F20"/>
        </w:rPr>
        <w:t>económicos</w:t>
      </w:r>
      <w:r>
        <w:rPr>
          <w:color w:val="231F20"/>
          <w:spacing w:val="-6"/>
        </w:rPr>
        <w:t> </w:t>
      </w:r>
      <w:r>
        <w:rPr>
          <w:color w:val="231F20"/>
        </w:rPr>
        <w:t>eran</w:t>
      </w:r>
      <w:r>
        <w:rPr>
          <w:color w:val="231F20"/>
          <w:spacing w:val="-5"/>
        </w:rPr>
        <w:t> </w:t>
      </w:r>
      <w:r>
        <w:rPr>
          <w:color w:val="231F20"/>
        </w:rPr>
        <w:t>tan pequeños que era imposible pensar que con ellos las mujeres pudieran iniciar emprendimientos económicos o empoderarse. De esta forma, los apoyos sólo producían microzonas de bienestar, es decir, solucionaban necesidades coyunturales, las cuales podían ser estratégicas para el día  a día, pero no constituían un sistema de bienestar permanente y amplio para las mujeres y sus</w:t>
      </w:r>
      <w:r>
        <w:rPr>
          <w:color w:val="231F20"/>
          <w:spacing w:val="-4"/>
        </w:rPr>
        <w:t> </w:t>
      </w:r>
      <w:r>
        <w:rPr>
          <w:color w:val="231F20"/>
        </w:rPr>
        <w:t>familias.</w:t>
      </w:r>
    </w:p>
    <w:p>
      <w:pPr>
        <w:spacing w:after="0" w:line="249" w:lineRule="auto"/>
        <w:jc w:val="both"/>
        <w:sectPr>
          <w:footerReference w:type="default" r:id="rId13"/>
          <w:pgSz w:w="7770" w:h="11740"/>
          <w:pgMar w:footer="559" w:header="0" w:top="840" w:bottom="740" w:left="1020" w:right="740"/>
          <w:pgNumType w:start="13"/>
        </w:sectPr>
      </w:pPr>
    </w:p>
    <w:p>
      <w:pPr>
        <w:pStyle w:val="BodyText"/>
        <w:spacing w:line="249" w:lineRule="auto" w:before="60"/>
        <w:ind w:left="110" w:right="111" w:firstLine="283"/>
        <w:jc w:val="right"/>
      </w:pPr>
      <w:r>
        <w:rPr>
          <w:color w:val="231F20"/>
        </w:rPr>
        <w:t>El estudio de Zoraida Ronzón Hernández, Norma</w:t>
      </w:r>
      <w:r>
        <w:rPr>
          <w:color w:val="231F20"/>
          <w:spacing w:val="27"/>
        </w:rPr>
        <w:t> </w:t>
      </w:r>
      <w:r>
        <w:rPr>
          <w:color w:val="231F20"/>
        </w:rPr>
        <w:t>Baca </w:t>
      </w:r>
      <w:r>
        <w:rPr>
          <w:color w:val="231F20"/>
          <w:spacing w:val="-3"/>
        </w:rPr>
        <w:t>Tavira</w:t>
      </w:r>
      <w:r>
        <w:rPr>
          <w:color w:val="231F20"/>
          <w:spacing w:val="41"/>
        </w:rPr>
        <w:t> </w:t>
      </w:r>
      <w:r>
        <w:rPr>
          <w:color w:val="231F20"/>
        </w:rPr>
        <w:t>y América</w:t>
      </w:r>
      <w:r>
        <w:rPr>
          <w:color w:val="231F20"/>
          <w:spacing w:val="-8"/>
        </w:rPr>
        <w:t> </w:t>
      </w:r>
      <w:r>
        <w:rPr>
          <w:color w:val="231F20"/>
        </w:rPr>
        <w:t>Luna</w:t>
      </w:r>
      <w:r>
        <w:rPr>
          <w:color w:val="231F20"/>
          <w:spacing w:val="-9"/>
        </w:rPr>
        <w:t> </w:t>
      </w:r>
      <w:r>
        <w:rPr>
          <w:color w:val="231F20"/>
        </w:rPr>
        <w:t>Martínez,</w:t>
      </w:r>
      <w:r>
        <w:rPr>
          <w:color w:val="231F20"/>
          <w:spacing w:val="-8"/>
        </w:rPr>
        <w:t> </w:t>
      </w:r>
      <w:r>
        <w:rPr>
          <w:color w:val="231F20"/>
        </w:rPr>
        <w:t>investigadoras</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Universidad</w:t>
      </w:r>
      <w:r>
        <w:rPr>
          <w:color w:val="231F20"/>
          <w:spacing w:val="-19"/>
        </w:rPr>
        <w:t> </w:t>
      </w:r>
      <w:r>
        <w:rPr>
          <w:color w:val="231F20"/>
        </w:rPr>
        <w:t>Autónoma</w:t>
      </w:r>
      <w:r>
        <w:rPr>
          <w:color w:val="231F20"/>
          <w:spacing w:val="-8"/>
        </w:rPr>
        <w:t> </w:t>
      </w:r>
      <w:r>
        <w:rPr>
          <w:color w:val="231F20"/>
        </w:rPr>
        <w:t>del Estado de México, “Alcances del trabajo remunerado en la</w:t>
      </w:r>
      <w:r>
        <w:rPr>
          <w:color w:val="231F20"/>
          <w:spacing w:val="12"/>
        </w:rPr>
        <w:t> </w:t>
      </w:r>
      <w:r>
        <w:rPr>
          <w:color w:val="231F20"/>
        </w:rPr>
        <w:t>vejez.</w:t>
      </w:r>
      <w:r>
        <w:rPr>
          <w:color w:val="231F20"/>
          <w:spacing w:val="6"/>
        </w:rPr>
        <w:t> </w:t>
      </w:r>
      <w:r>
        <w:rPr>
          <w:color w:val="231F20"/>
        </w:rPr>
        <w:t>Hijas</w:t>
      </w:r>
      <w:r>
        <w:rPr>
          <w:color w:val="231F20"/>
          <w:spacing w:val="-1"/>
        </w:rPr>
        <w:t> </w:t>
      </w:r>
      <w:r>
        <w:rPr>
          <w:color w:val="231F20"/>
        </w:rPr>
        <w:t>del milagro mexicano, las abuelas del siglo XXI”, hace</w:t>
      </w:r>
      <w:r>
        <w:rPr>
          <w:color w:val="231F20"/>
          <w:spacing w:val="2"/>
        </w:rPr>
        <w:t> </w:t>
      </w:r>
      <w:r>
        <w:rPr>
          <w:color w:val="231F20"/>
        </w:rPr>
        <w:t>una observación a la vejez y el envejecimiento como tema de investigación para</w:t>
      </w:r>
      <w:r>
        <w:rPr>
          <w:color w:val="231F20"/>
          <w:spacing w:val="-3"/>
        </w:rPr>
        <w:t> </w:t>
      </w:r>
      <w:r>
        <w:rPr>
          <w:color w:val="231F20"/>
        </w:rPr>
        <w:t>las</w:t>
      </w:r>
      <w:r>
        <w:rPr>
          <w:color w:val="231F20"/>
          <w:spacing w:val="-1"/>
        </w:rPr>
        <w:t> </w:t>
      </w:r>
      <w:r>
        <w:rPr>
          <w:color w:val="231F20"/>
        </w:rPr>
        <w:t>cien- cias sociales, como la sociodemografía y la antropología, por</w:t>
      </w:r>
      <w:r>
        <w:rPr>
          <w:color w:val="231F20"/>
          <w:spacing w:val="27"/>
        </w:rPr>
        <w:t> </w:t>
      </w:r>
      <w:r>
        <w:rPr>
          <w:color w:val="231F20"/>
        </w:rPr>
        <w:t>medio</w:t>
      </w:r>
      <w:r>
        <w:rPr>
          <w:color w:val="231F20"/>
          <w:spacing w:val="8"/>
        </w:rPr>
        <w:t> </w:t>
      </w:r>
      <w:r>
        <w:rPr>
          <w:color w:val="231F20"/>
        </w:rPr>
        <w:t>de una</w:t>
      </w:r>
      <w:r>
        <w:rPr>
          <w:color w:val="231F20"/>
          <w:spacing w:val="-8"/>
        </w:rPr>
        <w:t> </w:t>
      </w:r>
      <w:r>
        <w:rPr>
          <w:color w:val="231F20"/>
        </w:rPr>
        <w:t>investigación</w:t>
      </w:r>
      <w:r>
        <w:rPr>
          <w:color w:val="231F20"/>
          <w:spacing w:val="-8"/>
        </w:rPr>
        <w:t> </w:t>
      </w:r>
      <w:r>
        <w:rPr>
          <w:color w:val="231F20"/>
        </w:rPr>
        <w:t>empírica</w:t>
      </w:r>
      <w:r>
        <w:rPr>
          <w:color w:val="231F20"/>
          <w:spacing w:val="-9"/>
        </w:rPr>
        <w:t> </w:t>
      </w:r>
      <w:r>
        <w:rPr>
          <w:color w:val="231F20"/>
        </w:rPr>
        <w:t>de</w:t>
      </w:r>
      <w:r>
        <w:rPr>
          <w:color w:val="231F20"/>
          <w:spacing w:val="-8"/>
        </w:rPr>
        <w:t> </w:t>
      </w:r>
      <w:r>
        <w:rPr>
          <w:color w:val="231F20"/>
        </w:rPr>
        <w:t>tipo</w:t>
      </w:r>
      <w:r>
        <w:rPr>
          <w:color w:val="231F20"/>
          <w:spacing w:val="-9"/>
        </w:rPr>
        <w:t> </w:t>
      </w:r>
      <w:r>
        <w:rPr>
          <w:color w:val="231F20"/>
        </w:rPr>
        <w:t>cualitativa,</w:t>
      </w:r>
      <w:r>
        <w:rPr>
          <w:color w:val="231F20"/>
          <w:spacing w:val="-9"/>
        </w:rPr>
        <w:t> </w:t>
      </w:r>
      <w:r>
        <w:rPr>
          <w:color w:val="231F20"/>
        </w:rPr>
        <w:t>basándose</w:t>
      </w:r>
      <w:r>
        <w:rPr>
          <w:color w:val="231F20"/>
          <w:spacing w:val="-8"/>
        </w:rPr>
        <w:t> </w:t>
      </w:r>
      <w:r>
        <w:rPr>
          <w:color w:val="231F20"/>
        </w:rPr>
        <w:t>completamente en</w:t>
      </w:r>
      <w:r>
        <w:rPr>
          <w:color w:val="231F20"/>
          <w:spacing w:val="-4"/>
        </w:rPr>
        <w:t> </w:t>
      </w:r>
      <w:r>
        <w:rPr>
          <w:color w:val="231F20"/>
        </w:rPr>
        <w:t>información</w:t>
      </w:r>
      <w:r>
        <w:rPr>
          <w:color w:val="231F20"/>
          <w:spacing w:val="-5"/>
        </w:rPr>
        <w:t> </w:t>
      </w:r>
      <w:r>
        <w:rPr>
          <w:color w:val="231F20"/>
        </w:rPr>
        <w:t>obtenida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trabajo</w:t>
      </w:r>
      <w:r>
        <w:rPr>
          <w:color w:val="231F20"/>
          <w:spacing w:val="-5"/>
        </w:rPr>
        <w:t> </w:t>
      </w:r>
      <w:r>
        <w:rPr>
          <w:color w:val="231F20"/>
        </w:rPr>
        <w:t>de</w:t>
      </w:r>
      <w:r>
        <w:rPr>
          <w:color w:val="231F20"/>
          <w:spacing w:val="-4"/>
        </w:rPr>
        <w:t> </w:t>
      </w:r>
      <w:r>
        <w:rPr>
          <w:color w:val="231F20"/>
        </w:rPr>
        <w:t>campo.</w:t>
      </w:r>
      <w:r>
        <w:rPr>
          <w:color w:val="231F20"/>
          <w:spacing w:val="-4"/>
        </w:rPr>
        <w:t> </w:t>
      </w:r>
      <w:r>
        <w:rPr>
          <w:color w:val="231F20"/>
        </w:rPr>
        <w:t>El</w:t>
      </w:r>
      <w:r>
        <w:rPr>
          <w:color w:val="231F20"/>
          <w:spacing w:val="-4"/>
        </w:rPr>
        <w:t> </w:t>
      </w:r>
      <w:r>
        <w:rPr>
          <w:color w:val="231F20"/>
        </w:rPr>
        <w:t>grupo</w:t>
      </w:r>
      <w:r>
        <w:rPr>
          <w:color w:val="231F20"/>
          <w:spacing w:val="-4"/>
        </w:rPr>
        <w:t> </w:t>
      </w:r>
      <w:r>
        <w:rPr>
          <w:color w:val="231F20"/>
        </w:rPr>
        <w:t>de</w:t>
      </w:r>
      <w:r>
        <w:rPr>
          <w:color w:val="231F20"/>
          <w:spacing w:val="-4"/>
        </w:rPr>
        <w:t> </w:t>
      </w:r>
      <w:r>
        <w:rPr>
          <w:color w:val="231F20"/>
        </w:rPr>
        <w:t>enfoque</w:t>
      </w:r>
      <w:r>
        <w:rPr>
          <w:color w:val="231F20"/>
          <w:spacing w:val="-4"/>
        </w:rPr>
        <w:t> </w:t>
      </w:r>
      <w:r>
        <w:rPr>
          <w:color w:val="231F20"/>
        </w:rPr>
        <w:t>es- tudiado estuvo constituido por mujeres mayores, que hoy tienen</w:t>
      </w:r>
      <w:r>
        <w:rPr>
          <w:color w:val="231F20"/>
          <w:spacing w:val="45"/>
        </w:rPr>
        <w:t> </w:t>
      </w:r>
      <w:r>
        <w:rPr>
          <w:color w:val="231F20"/>
        </w:rPr>
        <w:t>más</w:t>
      </w:r>
      <w:r>
        <w:rPr>
          <w:color w:val="231F20"/>
          <w:spacing w:val="5"/>
        </w:rPr>
        <w:t> </w:t>
      </w:r>
      <w:r>
        <w:rPr>
          <w:color w:val="231F20"/>
        </w:rPr>
        <w:t>de 60</w:t>
      </w:r>
      <w:r>
        <w:rPr>
          <w:color w:val="231F20"/>
          <w:spacing w:val="-5"/>
        </w:rPr>
        <w:t> </w:t>
      </w:r>
      <w:r>
        <w:rPr>
          <w:color w:val="231F20"/>
        </w:rPr>
        <w:t>años</w:t>
      </w:r>
      <w:r>
        <w:rPr>
          <w:color w:val="231F20"/>
          <w:spacing w:val="-5"/>
        </w:rPr>
        <w:t> </w:t>
      </w:r>
      <w:r>
        <w:rPr>
          <w:color w:val="231F20"/>
        </w:rPr>
        <w:t>de</w:t>
      </w:r>
      <w:r>
        <w:rPr>
          <w:color w:val="231F20"/>
          <w:spacing w:val="-5"/>
        </w:rPr>
        <w:t> </w:t>
      </w:r>
      <w:r>
        <w:rPr>
          <w:color w:val="231F20"/>
        </w:rPr>
        <w:t>edad,</w:t>
      </w:r>
      <w:r>
        <w:rPr>
          <w:color w:val="231F20"/>
          <w:spacing w:val="-5"/>
        </w:rPr>
        <w:t> </w:t>
      </w:r>
      <w:r>
        <w:rPr>
          <w:color w:val="231F20"/>
        </w:rPr>
        <w:t>pues</w:t>
      </w:r>
      <w:r>
        <w:rPr>
          <w:color w:val="231F20"/>
          <w:spacing w:val="-5"/>
        </w:rPr>
        <w:t> </w:t>
      </w:r>
      <w:r>
        <w:rPr>
          <w:color w:val="231F20"/>
        </w:rPr>
        <w:t>son</w:t>
      </w:r>
      <w:r>
        <w:rPr>
          <w:color w:val="231F20"/>
          <w:spacing w:val="-5"/>
        </w:rPr>
        <w:t> </w:t>
      </w:r>
      <w:r>
        <w:rPr>
          <w:color w:val="231F20"/>
        </w:rPr>
        <w:t>quienes</w:t>
      </w:r>
      <w:r>
        <w:rPr>
          <w:color w:val="231F20"/>
          <w:spacing w:val="-5"/>
        </w:rPr>
        <w:t> </w:t>
      </w:r>
      <w:r>
        <w:rPr>
          <w:color w:val="231F20"/>
        </w:rPr>
        <w:t>modificaron</w:t>
      </w:r>
      <w:r>
        <w:rPr>
          <w:color w:val="231F20"/>
          <w:spacing w:val="-5"/>
        </w:rPr>
        <w:t> </w:t>
      </w:r>
      <w:r>
        <w:rPr>
          <w:color w:val="231F20"/>
        </w:rPr>
        <w:t>la</w:t>
      </w:r>
      <w:r>
        <w:rPr>
          <w:color w:val="231F20"/>
          <w:spacing w:val="-5"/>
        </w:rPr>
        <w:t> </w:t>
      </w:r>
      <w:r>
        <w:rPr>
          <w:color w:val="231F20"/>
        </w:rPr>
        <w:t>realidad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sociedad</w:t>
      </w:r>
      <w:r>
        <w:rPr>
          <w:color w:val="231F20"/>
          <w:w w:val="100"/>
        </w:rPr>
        <w:t> </w:t>
      </w:r>
      <w:r>
        <w:rPr>
          <w:color w:val="231F20"/>
        </w:rPr>
        <w:t>mexicana al insertarse en el sector laboral asalariado,</w:t>
      </w:r>
      <w:r>
        <w:rPr>
          <w:color w:val="231F20"/>
          <w:spacing w:val="45"/>
        </w:rPr>
        <w:t> </w:t>
      </w:r>
      <w:r>
        <w:rPr>
          <w:color w:val="231F20"/>
        </w:rPr>
        <w:t>transformando</w:t>
      </w:r>
      <w:r>
        <w:rPr>
          <w:color w:val="231F20"/>
          <w:spacing w:val="11"/>
        </w:rPr>
        <w:t> </w:t>
      </w:r>
      <w:r>
        <w:rPr>
          <w:color w:val="231F20"/>
        </w:rPr>
        <w:t>la calidad de vida, los recursos económicos, las redes o lazos</w:t>
      </w:r>
      <w:r>
        <w:rPr>
          <w:color w:val="231F20"/>
          <w:spacing w:val="47"/>
        </w:rPr>
        <w:t> </w:t>
      </w:r>
      <w:r>
        <w:rPr>
          <w:color w:val="231F20"/>
        </w:rPr>
        <w:t>familiares</w:t>
      </w:r>
      <w:r>
        <w:rPr>
          <w:color w:val="231F20"/>
          <w:spacing w:val="10"/>
        </w:rPr>
        <w:t> </w:t>
      </w:r>
      <w:r>
        <w:rPr>
          <w:color w:val="231F20"/>
        </w:rPr>
        <w:t>y parentales con la capacidad de decidir casarse o no, así como el</w:t>
      </w:r>
      <w:r>
        <w:rPr>
          <w:color w:val="231F20"/>
          <w:spacing w:val="43"/>
        </w:rPr>
        <w:t> </w:t>
      </w:r>
      <w:r>
        <w:rPr>
          <w:color w:val="231F20"/>
        </w:rPr>
        <w:t>tener</w:t>
      </w:r>
      <w:r>
        <w:rPr>
          <w:color w:val="231F20"/>
          <w:spacing w:val="8"/>
        </w:rPr>
        <w:t> </w:t>
      </w:r>
      <w:r>
        <w:rPr>
          <w:color w:val="231F20"/>
        </w:rPr>
        <w:t>o no</w:t>
      </w:r>
      <w:r>
        <w:rPr>
          <w:color w:val="231F20"/>
          <w:spacing w:val="21"/>
        </w:rPr>
        <w:t> </w:t>
      </w:r>
      <w:r>
        <w:rPr>
          <w:color w:val="231F20"/>
        </w:rPr>
        <w:t>hijos,</w:t>
      </w:r>
      <w:r>
        <w:rPr>
          <w:color w:val="231F20"/>
          <w:spacing w:val="21"/>
        </w:rPr>
        <w:t> </w:t>
      </w:r>
      <w:r>
        <w:rPr>
          <w:color w:val="231F20"/>
        </w:rPr>
        <w:t>e</w:t>
      </w:r>
      <w:r>
        <w:rPr>
          <w:color w:val="231F20"/>
          <w:spacing w:val="21"/>
        </w:rPr>
        <w:t> </w:t>
      </w:r>
      <w:r>
        <w:rPr>
          <w:color w:val="231F20"/>
        </w:rPr>
        <w:t>impulsaron</w:t>
      </w:r>
      <w:r>
        <w:rPr>
          <w:color w:val="231F20"/>
          <w:spacing w:val="20"/>
        </w:rPr>
        <w:t> </w:t>
      </w:r>
      <w:r>
        <w:rPr>
          <w:color w:val="231F20"/>
        </w:rPr>
        <w:t>la</w:t>
      </w:r>
      <w:r>
        <w:rPr>
          <w:color w:val="231F20"/>
          <w:spacing w:val="21"/>
        </w:rPr>
        <w:t> </w:t>
      </w:r>
      <w:r>
        <w:rPr>
          <w:color w:val="231F20"/>
        </w:rPr>
        <w:t>construcción</w:t>
      </w:r>
      <w:r>
        <w:rPr>
          <w:color w:val="231F20"/>
          <w:spacing w:val="20"/>
        </w:rPr>
        <w:t> </w:t>
      </w:r>
      <w:r>
        <w:rPr>
          <w:color w:val="231F20"/>
        </w:rPr>
        <w:t>de</w:t>
      </w:r>
      <w:r>
        <w:rPr>
          <w:color w:val="231F20"/>
          <w:spacing w:val="21"/>
        </w:rPr>
        <w:t> </w:t>
      </w:r>
      <w:r>
        <w:rPr>
          <w:color w:val="231F20"/>
        </w:rPr>
        <w:t>nuevas</w:t>
      </w:r>
      <w:r>
        <w:rPr>
          <w:color w:val="231F20"/>
          <w:spacing w:val="21"/>
        </w:rPr>
        <w:t> </w:t>
      </w:r>
      <w:r>
        <w:rPr>
          <w:color w:val="231F20"/>
        </w:rPr>
        <w:t>políticas</w:t>
      </w:r>
      <w:r>
        <w:rPr>
          <w:color w:val="231F20"/>
          <w:spacing w:val="21"/>
        </w:rPr>
        <w:t> </w:t>
      </w:r>
      <w:r>
        <w:rPr>
          <w:color w:val="231F20"/>
        </w:rPr>
        <w:t>públicas</w:t>
      </w:r>
      <w:r>
        <w:rPr>
          <w:color w:val="231F20"/>
          <w:spacing w:val="21"/>
        </w:rPr>
        <w:t> </w:t>
      </w:r>
      <w:r>
        <w:rPr>
          <w:color w:val="231F20"/>
        </w:rPr>
        <w:t>en torno a la población de adultos mayores. En este sentido, para</w:t>
      </w:r>
      <w:r>
        <w:rPr>
          <w:color w:val="231F20"/>
          <w:spacing w:val="-12"/>
        </w:rPr>
        <w:t> </w:t>
      </w:r>
      <w:r>
        <w:rPr>
          <w:color w:val="231F20"/>
        </w:rPr>
        <w:t>ese</w:t>
      </w:r>
      <w:r>
        <w:rPr>
          <w:color w:val="231F20"/>
          <w:spacing w:val="-2"/>
        </w:rPr>
        <w:t> </w:t>
      </w:r>
      <w:r>
        <w:rPr>
          <w:color w:val="231F20"/>
        </w:rPr>
        <w:t>sector</w:t>
      </w:r>
      <w:r>
        <w:rPr>
          <w:color w:val="231F20"/>
          <w:spacing w:val="-1"/>
        </w:rPr>
        <w:t> </w:t>
      </w:r>
      <w:r>
        <w:rPr>
          <w:color w:val="231F20"/>
        </w:rPr>
        <w:t>de la población el trabajo no sólo se considerará como</w:t>
      </w:r>
      <w:r>
        <w:rPr>
          <w:color w:val="231F20"/>
          <w:spacing w:val="14"/>
        </w:rPr>
        <w:t> </w:t>
      </w:r>
      <w:r>
        <w:rPr>
          <w:color w:val="231F20"/>
        </w:rPr>
        <w:t>un</w:t>
      </w:r>
      <w:r>
        <w:rPr>
          <w:color w:val="231F20"/>
          <w:spacing w:val="16"/>
        </w:rPr>
        <w:t> </w:t>
      </w:r>
      <w:r>
        <w:rPr>
          <w:color w:val="231F20"/>
        </w:rPr>
        <w:t>instrumento para</w:t>
      </w:r>
      <w:r>
        <w:rPr>
          <w:color w:val="231F20"/>
          <w:spacing w:val="-11"/>
        </w:rPr>
        <w:t> </w:t>
      </w:r>
      <w:r>
        <w:rPr>
          <w:color w:val="231F20"/>
        </w:rPr>
        <w:t>obtener</w:t>
      </w:r>
      <w:r>
        <w:rPr>
          <w:color w:val="231F20"/>
          <w:spacing w:val="-11"/>
        </w:rPr>
        <w:t> </w:t>
      </w:r>
      <w:r>
        <w:rPr>
          <w:color w:val="231F20"/>
        </w:rPr>
        <w:t>ingresos,</w:t>
      </w:r>
      <w:r>
        <w:rPr>
          <w:color w:val="231F20"/>
          <w:spacing w:val="-11"/>
        </w:rPr>
        <w:t> </w:t>
      </w:r>
      <w:r>
        <w:rPr>
          <w:color w:val="231F20"/>
        </w:rPr>
        <w:t>sino</w:t>
      </w:r>
      <w:r>
        <w:rPr>
          <w:color w:val="231F20"/>
          <w:spacing w:val="-10"/>
        </w:rPr>
        <w:t> </w:t>
      </w:r>
      <w:r>
        <w:rPr>
          <w:color w:val="231F20"/>
        </w:rPr>
        <w:t>como</w:t>
      </w:r>
      <w:r>
        <w:rPr>
          <w:color w:val="231F20"/>
          <w:spacing w:val="-11"/>
        </w:rPr>
        <w:t> </w:t>
      </w:r>
      <w:r>
        <w:rPr>
          <w:color w:val="231F20"/>
        </w:rPr>
        <w:t>un</w:t>
      </w:r>
      <w:r>
        <w:rPr>
          <w:color w:val="231F20"/>
          <w:spacing w:val="-11"/>
        </w:rPr>
        <w:t> </w:t>
      </w:r>
      <w:r>
        <w:rPr>
          <w:color w:val="231F20"/>
        </w:rPr>
        <w:t>elemento</w:t>
      </w:r>
      <w:r>
        <w:rPr>
          <w:color w:val="231F20"/>
          <w:spacing w:val="-11"/>
        </w:rPr>
        <w:t> </w:t>
      </w:r>
      <w:r>
        <w:rPr>
          <w:color w:val="231F20"/>
        </w:rPr>
        <w:t>básico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per- sonal</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envejecidas</w:t>
      </w:r>
      <w:r>
        <w:rPr>
          <w:color w:val="231F20"/>
          <w:spacing w:val="-9"/>
        </w:rPr>
        <w:t> </w:t>
      </w:r>
      <w:r>
        <w:rPr>
          <w:color w:val="231F20"/>
        </w:rPr>
        <w:t>no</w:t>
      </w:r>
      <w:r>
        <w:rPr>
          <w:color w:val="231F20"/>
          <w:spacing w:val="-8"/>
        </w:rPr>
        <w:t> </w:t>
      </w:r>
      <w:r>
        <w:rPr>
          <w:color w:val="231F20"/>
        </w:rPr>
        <w:t>exentas</w:t>
      </w:r>
      <w:r>
        <w:rPr>
          <w:color w:val="231F20"/>
          <w:spacing w:val="-9"/>
        </w:rPr>
        <w:t> </w:t>
      </w:r>
      <w:r>
        <w:rPr>
          <w:color w:val="231F20"/>
        </w:rPr>
        <w:t>de</w:t>
      </w:r>
      <w:r>
        <w:rPr>
          <w:color w:val="231F20"/>
          <w:spacing w:val="-8"/>
        </w:rPr>
        <w:t> </w:t>
      </w:r>
      <w:r>
        <w:rPr>
          <w:color w:val="231F20"/>
        </w:rPr>
        <w:t>desigualdades</w:t>
      </w:r>
      <w:r>
        <w:rPr>
          <w:color w:val="231F20"/>
          <w:spacing w:val="-8"/>
        </w:rPr>
        <w:t> </w:t>
      </w:r>
      <w:r>
        <w:rPr>
          <w:color w:val="231F20"/>
        </w:rPr>
        <w:t>asalariales. Argelia</w:t>
      </w:r>
      <w:r>
        <w:rPr>
          <w:color w:val="231F20"/>
          <w:spacing w:val="-9"/>
        </w:rPr>
        <w:t> </w:t>
      </w:r>
      <w:r>
        <w:rPr>
          <w:color w:val="231F20"/>
        </w:rPr>
        <w:t>Gallegos</w:t>
      </w:r>
      <w:r>
        <w:rPr>
          <w:color w:val="231F20"/>
          <w:spacing w:val="-8"/>
        </w:rPr>
        <w:t> </w:t>
      </w:r>
      <w:r>
        <w:rPr>
          <w:color w:val="231F20"/>
        </w:rPr>
        <w:t>Martínez,</w:t>
      </w:r>
      <w:r>
        <w:rPr>
          <w:color w:val="231F20"/>
          <w:spacing w:val="-8"/>
        </w:rPr>
        <w:t> </w:t>
      </w:r>
      <w:r>
        <w:rPr>
          <w:color w:val="231F20"/>
        </w:rPr>
        <w:t>estudiante</w:t>
      </w:r>
      <w:r>
        <w:rPr>
          <w:color w:val="231F20"/>
          <w:spacing w:val="-9"/>
        </w:rPr>
        <w:t> </w:t>
      </w:r>
      <w:r>
        <w:rPr>
          <w:color w:val="231F20"/>
        </w:rPr>
        <w:t>del</w:t>
      </w:r>
      <w:r>
        <w:rPr>
          <w:color w:val="231F20"/>
          <w:spacing w:val="-9"/>
        </w:rPr>
        <w:t> </w:t>
      </w:r>
      <w:r>
        <w:rPr>
          <w:color w:val="231F20"/>
        </w:rPr>
        <w:t>Doctorado</w:t>
      </w:r>
      <w:r>
        <w:rPr>
          <w:color w:val="231F20"/>
          <w:spacing w:val="-8"/>
        </w:rPr>
        <w:t> </w:t>
      </w:r>
      <w:r>
        <w:rPr>
          <w:color w:val="231F20"/>
        </w:rPr>
        <w:t>en</w:t>
      </w:r>
      <w:r>
        <w:rPr>
          <w:color w:val="231F20"/>
          <w:spacing w:val="-9"/>
        </w:rPr>
        <w:t> </w:t>
      </w:r>
      <w:r>
        <w:rPr>
          <w:color w:val="231F20"/>
        </w:rPr>
        <w:t>Ciencias</w:t>
      </w:r>
      <w:r>
        <w:rPr>
          <w:color w:val="231F20"/>
          <w:spacing w:val="-9"/>
        </w:rPr>
        <w:t> </w:t>
      </w:r>
      <w:r>
        <w:rPr>
          <w:color w:val="231F20"/>
        </w:rPr>
        <w:t>So- ciales en la Universidad Autónoma</w:t>
      </w:r>
      <w:r>
        <w:rPr>
          <w:color w:val="231F20"/>
          <w:spacing w:val="32"/>
        </w:rPr>
        <w:t> </w:t>
      </w:r>
      <w:r>
        <w:rPr>
          <w:color w:val="231F20"/>
        </w:rPr>
        <w:t>Metropolitana-Unidad</w:t>
      </w:r>
      <w:r>
        <w:rPr>
          <w:color w:val="231F20"/>
          <w:spacing w:val="9"/>
        </w:rPr>
        <w:t> </w:t>
      </w:r>
      <w:r>
        <w:rPr>
          <w:color w:val="231F20"/>
        </w:rPr>
        <w:t>Xochimilco,</w:t>
      </w:r>
      <w:r>
        <w:rPr>
          <w:color w:val="231F20"/>
          <w:spacing w:val="-1"/>
        </w:rPr>
        <w:t> </w:t>
      </w:r>
      <w:r>
        <w:rPr>
          <w:color w:val="231F20"/>
        </w:rPr>
        <w:t>en su capítulo “Trabajo infantil en México. Perfil</w:t>
      </w:r>
      <w:r>
        <w:rPr>
          <w:color w:val="231F20"/>
          <w:spacing w:val="1"/>
        </w:rPr>
        <w:t> </w:t>
      </w:r>
      <w:r>
        <w:rPr>
          <w:color w:val="231F20"/>
        </w:rPr>
        <w:t>sociodemográfico</w:t>
      </w:r>
      <w:r>
        <w:rPr>
          <w:color w:val="231F20"/>
          <w:spacing w:val="12"/>
        </w:rPr>
        <w:t> </w:t>
      </w:r>
      <w:r>
        <w:rPr>
          <w:color w:val="231F20"/>
        </w:rPr>
        <w:t>de</w:t>
      </w:r>
      <w:r>
        <w:rPr>
          <w:color w:val="231F20"/>
          <w:w w:val="100"/>
        </w:rPr>
        <w:t> </w:t>
      </w:r>
      <w:r>
        <w:rPr>
          <w:color w:val="231F20"/>
        </w:rPr>
        <w:t>los niños trabajadores de 5-11 años de edad”, analiza</w:t>
      </w:r>
      <w:r>
        <w:rPr>
          <w:color w:val="231F20"/>
          <w:spacing w:val="21"/>
        </w:rPr>
        <w:t> </w:t>
      </w:r>
      <w:r>
        <w:rPr>
          <w:color w:val="231F20"/>
        </w:rPr>
        <w:t>las</w:t>
      </w:r>
      <w:r>
        <w:rPr>
          <w:color w:val="231F20"/>
          <w:spacing w:val="8"/>
        </w:rPr>
        <w:t> </w:t>
      </w:r>
      <w:r>
        <w:rPr>
          <w:color w:val="231F20"/>
        </w:rPr>
        <w:t>características y condiciones laborales de los niños que trabajan según su</w:t>
      </w:r>
      <w:r>
        <w:rPr>
          <w:color w:val="231F20"/>
          <w:spacing w:val="40"/>
        </w:rPr>
        <w:t> </w:t>
      </w:r>
      <w:r>
        <w:rPr>
          <w:color w:val="231F20"/>
        </w:rPr>
        <w:t>edad,</w:t>
      </w:r>
      <w:r>
        <w:rPr>
          <w:color w:val="231F20"/>
          <w:spacing w:val="14"/>
        </w:rPr>
        <w:t> </w:t>
      </w:r>
      <w:r>
        <w:rPr>
          <w:color w:val="231F20"/>
        </w:rPr>
        <w:t>perfil</w:t>
      </w:r>
      <w:r>
        <w:rPr>
          <w:color w:val="231F20"/>
          <w:w w:val="97"/>
        </w:rPr>
        <w:t> </w:t>
      </w:r>
      <w:r>
        <w:rPr>
          <w:color w:val="231F20"/>
        </w:rPr>
        <w:t>socioeconómico, sexo y contexto de desarrollo. De acuerdo con</w:t>
      </w:r>
      <w:r>
        <w:rPr>
          <w:color w:val="231F20"/>
          <w:spacing w:val="43"/>
        </w:rPr>
        <w:t> </w:t>
      </w:r>
      <w:r>
        <w:rPr>
          <w:color w:val="231F20"/>
        </w:rPr>
        <w:t>el</w:t>
      </w:r>
      <w:r>
        <w:rPr>
          <w:color w:val="231F20"/>
          <w:spacing w:val="10"/>
        </w:rPr>
        <w:t> </w:t>
      </w:r>
      <w:r>
        <w:rPr>
          <w:color w:val="231F20"/>
        </w:rPr>
        <w:t>Ins- tituto Nacional de Estadística y Geografía (INEGI) en 2012</w:t>
      </w:r>
      <w:r>
        <w:rPr>
          <w:color w:val="231F20"/>
          <w:spacing w:val="26"/>
        </w:rPr>
        <w:t> </w:t>
      </w:r>
      <w:r>
        <w:rPr>
          <w:color w:val="231F20"/>
        </w:rPr>
        <w:t>se</w:t>
      </w:r>
      <w:r>
        <w:rPr>
          <w:color w:val="231F20"/>
          <w:spacing w:val="19"/>
        </w:rPr>
        <w:t> </w:t>
      </w:r>
      <w:r>
        <w:rPr>
          <w:color w:val="231F20"/>
        </w:rPr>
        <w:t>estimó que a nivel mundial trabajaron 168,000 menores entre los 5 y</w:t>
      </w:r>
      <w:r>
        <w:rPr>
          <w:color w:val="231F20"/>
          <w:spacing w:val="41"/>
        </w:rPr>
        <w:t> </w:t>
      </w:r>
      <w:r>
        <w:rPr>
          <w:color w:val="231F20"/>
        </w:rPr>
        <w:t>17</w:t>
      </w:r>
      <w:r>
        <w:rPr>
          <w:color w:val="231F20"/>
          <w:spacing w:val="13"/>
        </w:rPr>
        <w:t> </w:t>
      </w:r>
      <w:r>
        <w:rPr>
          <w:color w:val="231F20"/>
        </w:rPr>
        <w:t>años, de los cuales 85,000 realizaban trabajos considerados</w:t>
      </w:r>
      <w:r>
        <w:rPr>
          <w:color w:val="231F20"/>
          <w:spacing w:val="27"/>
        </w:rPr>
        <w:t> </w:t>
      </w:r>
      <w:r>
        <w:rPr>
          <w:color w:val="231F20"/>
        </w:rPr>
        <w:t>como</w:t>
      </w:r>
      <w:r>
        <w:rPr>
          <w:color w:val="231F20"/>
          <w:spacing w:val="11"/>
        </w:rPr>
        <w:t> </w:t>
      </w:r>
      <w:r>
        <w:rPr>
          <w:color w:val="231F20"/>
        </w:rPr>
        <w:t>peligrosos. En los últimos años, el gobierno mexicano ha puesto en</w:t>
      </w:r>
      <w:r>
        <w:rPr>
          <w:color w:val="231F20"/>
          <w:spacing w:val="9"/>
        </w:rPr>
        <w:t> </w:t>
      </w:r>
      <w:r>
        <w:rPr>
          <w:color w:val="231F20"/>
        </w:rPr>
        <w:t>marcha</w:t>
      </w:r>
      <w:r>
        <w:rPr>
          <w:color w:val="231F20"/>
          <w:spacing w:val="10"/>
        </w:rPr>
        <w:t> </w:t>
      </w:r>
      <w:r>
        <w:rPr>
          <w:color w:val="231F20"/>
        </w:rPr>
        <w:t>inicia- tivas a favor de la niñez, como la ratificación y firma de</w:t>
      </w:r>
      <w:r>
        <w:rPr>
          <w:color w:val="231F20"/>
          <w:spacing w:val="48"/>
        </w:rPr>
        <w:t> </w:t>
      </w:r>
      <w:r>
        <w:rPr>
          <w:color w:val="231F20"/>
        </w:rPr>
        <w:t>los</w:t>
      </w:r>
      <w:r>
        <w:rPr>
          <w:color w:val="231F20"/>
          <w:spacing w:val="12"/>
        </w:rPr>
        <w:t> </w:t>
      </w:r>
      <w:r>
        <w:rPr>
          <w:color w:val="231F20"/>
        </w:rPr>
        <w:t>convenios para</w:t>
      </w:r>
      <w:r>
        <w:rPr>
          <w:color w:val="231F20"/>
          <w:spacing w:val="-10"/>
        </w:rPr>
        <w:t> </w:t>
      </w:r>
      <w:r>
        <w:rPr>
          <w:color w:val="231F20"/>
        </w:rPr>
        <w:t>la</w:t>
      </w:r>
      <w:r>
        <w:rPr>
          <w:color w:val="231F20"/>
          <w:spacing w:val="-10"/>
        </w:rPr>
        <w:t> </w:t>
      </w:r>
      <w:r>
        <w:rPr>
          <w:color w:val="231F20"/>
        </w:rPr>
        <w:t>Erradicación</w:t>
      </w:r>
      <w:r>
        <w:rPr>
          <w:color w:val="231F20"/>
          <w:spacing w:val="-10"/>
        </w:rPr>
        <w:t> </w:t>
      </w:r>
      <w:r>
        <w:rPr>
          <w:color w:val="231F20"/>
        </w:rPr>
        <w:t>y</w:t>
      </w:r>
      <w:r>
        <w:rPr>
          <w:color w:val="231F20"/>
          <w:spacing w:val="-20"/>
        </w:rPr>
        <w:t> </w:t>
      </w:r>
      <w:r>
        <w:rPr>
          <w:color w:val="231F20"/>
        </w:rPr>
        <w:t>Abolición</w:t>
      </w:r>
      <w:r>
        <w:rPr>
          <w:color w:val="231F20"/>
          <w:spacing w:val="-10"/>
        </w:rPr>
        <w:t> </w:t>
      </w:r>
      <w:r>
        <w:rPr>
          <w:color w:val="231F20"/>
        </w:rPr>
        <w:t>del</w:t>
      </w:r>
      <w:r>
        <w:rPr>
          <w:color w:val="231F20"/>
          <w:spacing w:val="-13"/>
        </w:rPr>
        <w:t> </w:t>
      </w:r>
      <w:r>
        <w:rPr>
          <w:color w:val="231F20"/>
        </w:rPr>
        <w:t>Trabajo</w:t>
      </w:r>
      <w:r>
        <w:rPr>
          <w:color w:val="231F20"/>
          <w:spacing w:val="-10"/>
        </w:rPr>
        <w:t> </w:t>
      </w:r>
      <w:r>
        <w:rPr>
          <w:color w:val="231F20"/>
        </w:rPr>
        <w:t>Infantil</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Organización Internacional</w:t>
      </w:r>
      <w:r>
        <w:rPr>
          <w:color w:val="231F20"/>
          <w:spacing w:val="-5"/>
        </w:rPr>
        <w:t> </w:t>
      </w:r>
      <w:r>
        <w:rPr>
          <w:color w:val="231F20"/>
        </w:rPr>
        <w:t>del</w:t>
      </w:r>
      <w:r>
        <w:rPr>
          <w:color w:val="231F20"/>
          <w:spacing w:val="-8"/>
        </w:rPr>
        <w:t> </w:t>
      </w:r>
      <w:r>
        <w:rPr>
          <w:color w:val="231F20"/>
        </w:rPr>
        <w:t>Trabajo</w:t>
      </w:r>
      <w:r>
        <w:rPr>
          <w:color w:val="231F20"/>
          <w:spacing w:val="-5"/>
        </w:rPr>
        <w:t> </w:t>
      </w:r>
      <w:r>
        <w:rPr>
          <w:color w:val="231F20"/>
        </w:rPr>
        <w:t>y</w:t>
      </w:r>
      <w:r>
        <w:rPr>
          <w:color w:val="231F20"/>
          <w:spacing w:val="-5"/>
        </w:rPr>
        <w:t> </w:t>
      </w:r>
      <w:r>
        <w:rPr>
          <w:color w:val="231F20"/>
        </w:rPr>
        <w:t>diversos</w:t>
      </w:r>
      <w:r>
        <w:rPr>
          <w:color w:val="231F20"/>
          <w:spacing w:val="-5"/>
        </w:rPr>
        <w:t> </w:t>
      </w:r>
      <w:r>
        <w:rPr>
          <w:color w:val="231F20"/>
        </w:rPr>
        <w:t>programas</w:t>
      </w:r>
      <w:r>
        <w:rPr>
          <w:color w:val="231F20"/>
          <w:spacing w:val="-5"/>
        </w:rPr>
        <w:t> </w:t>
      </w:r>
      <w:r>
        <w:rPr>
          <w:color w:val="231F20"/>
        </w:rPr>
        <w:t>nacionales</w:t>
      </w:r>
      <w:r>
        <w:rPr>
          <w:color w:val="231F20"/>
          <w:spacing w:val="-5"/>
        </w:rPr>
        <w:t> </w:t>
      </w:r>
      <w:r>
        <w:rPr>
          <w:color w:val="231F20"/>
        </w:rPr>
        <w:t>cuyo</w:t>
      </w:r>
      <w:r>
        <w:rPr>
          <w:color w:val="231F20"/>
          <w:spacing w:val="-5"/>
        </w:rPr>
        <w:t> </w:t>
      </w:r>
      <w:r>
        <w:rPr>
          <w:color w:val="231F20"/>
        </w:rPr>
        <w:t>objetivo es contribuir a fortalecer el desarrollo de los menores.</w:t>
      </w:r>
      <w:r>
        <w:rPr>
          <w:color w:val="231F20"/>
          <w:spacing w:val="38"/>
        </w:rPr>
        <w:t> </w:t>
      </w:r>
      <w:r>
        <w:rPr>
          <w:color w:val="231F20"/>
        </w:rPr>
        <w:t>La</w:t>
      </w:r>
      <w:r>
        <w:rPr>
          <w:color w:val="231F20"/>
          <w:spacing w:val="9"/>
        </w:rPr>
        <w:t> </w:t>
      </w:r>
      <w:r>
        <w:rPr>
          <w:color w:val="231F20"/>
        </w:rPr>
        <w:t>investigación fue desarrollada a través de un método exploratorio, y de acuerdo</w:t>
      </w:r>
      <w:r>
        <w:rPr>
          <w:color w:val="231F20"/>
          <w:spacing w:val="6"/>
        </w:rPr>
        <w:t> </w:t>
      </w:r>
      <w:r>
        <w:rPr>
          <w:color w:val="231F20"/>
        </w:rPr>
        <w:t>con</w:t>
      </w:r>
      <w:r>
        <w:rPr>
          <w:color w:val="231F20"/>
          <w:spacing w:val="-1"/>
        </w:rPr>
        <w:t> </w:t>
      </w:r>
      <w:r>
        <w:rPr>
          <w:color w:val="231F20"/>
        </w:rPr>
        <w:t>la información</w:t>
      </w:r>
      <w:r>
        <w:rPr>
          <w:color w:val="231F20"/>
          <w:spacing w:val="-9"/>
        </w:rPr>
        <w:t> </w:t>
      </w:r>
      <w:r>
        <w:rPr>
          <w:color w:val="231F20"/>
        </w:rPr>
        <w:t>obtenida</w:t>
      </w:r>
      <w:r>
        <w:rPr>
          <w:color w:val="231F20"/>
          <w:spacing w:val="-8"/>
        </w:rPr>
        <w:t> </w:t>
      </w:r>
      <w:r>
        <w:rPr>
          <w:color w:val="231F20"/>
        </w:rPr>
        <w:t>4.73</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menores</w:t>
      </w:r>
      <w:r>
        <w:rPr>
          <w:color w:val="231F20"/>
          <w:spacing w:val="-8"/>
        </w:rPr>
        <w:t> </w:t>
      </w:r>
      <w:r>
        <w:rPr>
          <w:color w:val="231F20"/>
        </w:rPr>
        <w:t>trabajadores</w:t>
      </w:r>
      <w:r>
        <w:rPr>
          <w:color w:val="231F20"/>
          <w:spacing w:val="-8"/>
        </w:rPr>
        <w:t> </w:t>
      </w:r>
      <w:r>
        <w:rPr>
          <w:color w:val="231F20"/>
        </w:rPr>
        <w:t>son</w:t>
      </w:r>
      <w:r>
        <w:rPr>
          <w:color w:val="231F20"/>
          <w:spacing w:val="-8"/>
        </w:rPr>
        <w:t> </w:t>
      </w:r>
      <w:r>
        <w:rPr>
          <w:color w:val="231F20"/>
        </w:rPr>
        <w:t>ni- ños</w:t>
      </w:r>
      <w:r>
        <w:rPr>
          <w:color w:val="231F20"/>
          <w:spacing w:val="-10"/>
        </w:rPr>
        <w:t> </w:t>
      </w:r>
      <w:r>
        <w:rPr>
          <w:color w:val="231F20"/>
        </w:rPr>
        <w:t>y</w:t>
      </w:r>
      <w:r>
        <w:rPr>
          <w:color w:val="231F20"/>
          <w:spacing w:val="-10"/>
        </w:rPr>
        <w:t> </w:t>
      </w:r>
      <w:r>
        <w:rPr>
          <w:color w:val="231F20"/>
        </w:rPr>
        <w:t>2.5</w:t>
      </w:r>
      <w:r>
        <w:rPr>
          <w:color w:val="231F20"/>
          <w:spacing w:val="-10"/>
        </w:rPr>
        <w:t> </w:t>
      </w:r>
      <w:r>
        <w:rPr>
          <w:color w:val="231F20"/>
        </w:rPr>
        <w:t>por</w:t>
      </w:r>
      <w:r>
        <w:rPr>
          <w:color w:val="231F20"/>
          <w:spacing w:val="-10"/>
        </w:rPr>
        <w:t> </w:t>
      </w:r>
      <w:r>
        <w:rPr>
          <w:color w:val="231F20"/>
        </w:rPr>
        <w:t>ciento</w:t>
      </w:r>
      <w:r>
        <w:rPr>
          <w:color w:val="231F20"/>
          <w:spacing w:val="-10"/>
        </w:rPr>
        <w:t> </w:t>
      </w:r>
      <w:r>
        <w:rPr>
          <w:color w:val="231F20"/>
        </w:rPr>
        <w:t>son</w:t>
      </w:r>
      <w:r>
        <w:rPr>
          <w:color w:val="231F20"/>
          <w:spacing w:val="-10"/>
        </w:rPr>
        <w:t> </w:t>
      </w:r>
      <w:r>
        <w:rPr>
          <w:color w:val="231F20"/>
        </w:rPr>
        <w:t>niñas,</w:t>
      </w:r>
      <w:r>
        <w:rPr>
          <w:color w:val="231F20"/>
          <w:spacing w:val="-10"/>
        </w:rPr>
        <w:t> </w:t>
      </w:r>
      <w:r>
        <w:rPr>
          <w:color w:val="231F20"/>
        </w:rPr>
        <w:t>siendo</w:t>
      </w:r>
      <w:r>
        <w:rPr>
          <w:color w:val="231F20"/>
          <w:spacing w:val="-10"/>
        </w:rPr>
        <w:t> </w:t>
      </w:r>
      <w:r>
        <w:rPr>
          <w:color w:val="231F20"/>
        </w:rPr>
        <w:t>los</w:t>
      </w:r>
      <w:r>
        <w:rPr>
          <w:color w:val="231F20"/>
          <w:spacing w:val="-10"/>
        </w:rPr>
        <w:t> </w:t>
      </w:r>
      <w:r>
        <w:rPr>
          <w:color w:val="231F20"/>
        </w:rPr>
        <w:t>primeros</w:t>
      </w:r>
      <w:r>
        <w:rPr>
          <w:color w:val="231F20"/>
          <w:spacing w:val="-10"/>
        </w:rPr>
        <w:t> </w:t>
      </w:r>
      <w:r>
        <w:rPr>
          <w:color w:val="231F20"/>
        </w:rPr>
        <w:t>quienes</w:t>
      </w:r>
      <w:r>
        <w:rPr>
          <w:color w:val="231F20"/>
          <w:spacing w:val="-10"/>
        </w:rPr>
        <w:t> </w:t>
      </w:r>
      <w:r>
        <w:rPr>
          <w:color w:val="231F20"/>
        </w:rPr>
        <w:t>ocupan</w:t>
      </w:r>
      <w:r>
        <w:rPr>
          <w:color w:val="231F20"/>
          <w:spacing w:val="-10"/>
        </w:rPr>
        <w:t> </w:t>
      </w:r>
      <w:r>
        <w:rPr>
          <w:color w:val="231F20"/>
        </w:rPr>
        <w:t>plazas remuneradas, dejando a las niñas los trabajos</w:t>
      </w:r>
      <w:r>
        <w:rPr>
          <w:color w:val="231F20"/>
          <w:spacing w:val="18"/>
        </w:rPr>
        <w:t> </w:t>
      </w:r>
      <w:r>
        <w:rPr>
          <w:color w:val="231F20"/>
        </w:rPr>
        <w:t>domésticos,</w:t>
      </w:r>
      <w:r>
        <w:rPr>
          <w:color w:val="231F20"/>
          <w:spacing w:val="17"/>
        </w:rPr>
        <w:t> </w:t>
      </w:r>
      <w:r>
        <w:rPr>
          <w:color w:val="231F20"/>
        </w:rPr>
        <w:t>continuando con la línea de los patrones culturales del país. Los países</w:t>
      </w:r>
      <w:r>
        <w:rPr>
          <w:color w:val="231F20"/>
          <w:spacing w:val="19"/>
        </w:rPr>
        <w:t> </w:t>
      </w:r>
      <w:r>
        <w:rPr>
          <w:color w:val="231F20"/>
        </w:rPr>
        <w:t>de</w:t>
      </w:r>
      <w:r>
        <w:rPr>
          <w:color w:val="231F20"/>
          <w:spacing w:val="25"/>
        </w:rPr>
        <w:t> </w:t>
      </w:r>
      <w:r>
        <w:rPr>
          <w:color w:val="231F20"/>
        </w:rPr>
        <w:t>ingreso medio albergan el mayor número de menores en situación de trabajo  </w:t>
      </w:r>
      <w:r>
        <w:rPr>
          <w:color w:val="231F20"/>
          <w:spacing w:val="42"/>
        </w:rPr>
        <w:t> </w:t>
      </w:r>
      <w:r>
        <w:rPr>
          <w:color w:val="231F20"/>
        </w:rPr>
        <w:t>y</w:t>
      </w:r>
    </w:p>
    <w:p>
      <w:pPr>
        <w:pStyle w:val="BodyText"/>
        <w:spacing w:before="1"/>
        <w:ind w:left="110" w:right="792"/>
      </w:pPr>
      <w:r>
        <w:rPr>
          <w:color w:val="231F20"/>
        </w:rPr>
        <w:t>explotación infantil.</w:t>
      </w:r>
    </w:p>
    <w:p>
      <w:pPr>
        <w:pStyle w:val="BodyText"/>
        <w:spacing w:before="10"/>
        <w:ind w:left="41" w:right="111"/>
        <w:jc w:val="right"/>
      </w:pPr>
      <w:r>
        <w:rPr>
          <w:color w:val="231F20"/>
        </w:rPr>
        <w:t>Finalmente, el texto de Abraham Osorio Ballesteros, profesor inves-</w:t>
      </w:r>
    </w:p>
    <w:p>
      <w:pPr>
        <w:spacing w:after="0"/>
        <w:jc w:val="right"/>
        <w:sectPr>
          <w:pgSz w:w="7770" w:h="11740"/>
          <w:pgMar w:header="0" w:footer="559" w:top="840" w:bottom="740" w:left="740" w:right="1020"/>
        </w:sectPr>
      </w:pPr>
    </w:p>
    <w:p>
      <w:pPr>
        <w:pStyle w:val="BodyText"/>
        <w:spacing w:line="249" w:lineRule="auto" w:before="60"/>
        <w:ind w:left="113" w:right="107"/>
        <w:jc w:val="both"/>
      </w:pPr>
      <w:r>
        <w:rPr>
          <w:color w:val="231F20"/>
        </w:rPr>
        <w:t>tigador de la Facultad de Ciencias Políticas y Sociales de la Universidad Autónoma del Estado de México, “Los significados del trabajo entre el personal</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instituciones</w:t>
      </w:r>
      <w:r>
        <w:rPr>
          <w:color w:val="231F20"/>
          <w:spacing w:val="-12"/>
        </w:rPr>
        <w:t> </w:t>
      </w:r>
      <w:r>
        <w:rPr>
          <w:color w:val="231F20"/>
        </w:rPr>
        <w:t>asistenciales”,</w:t>
      </w:r>
      <w:r>
        <w:rPr>
          <w:color w:val="231F20"/>
          <w:spacing w:val="-12"/>
        </w:rPr>
        <w:t> </w:t>
      </w:r>
      <w:r>
        <w:rPr>
          <w:color w:val="231F20"/>
        </w:rPr>
        <w:t>analiza</w:t>
      </w:r>
      <w:r>
        <w:rPr>
          <w:color w:val="231F20"/>
          <w:spacing w:val="-12"/>
        </w:rPr>
        <w:t> </w:t>
      </w:r>
      <w:r>
        <w:rPr>
          <w:color w:val="231F20"/>
        </w:rPr>
        <w:t>algunos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signifi- cados</w:t>
      </w:r>
      <w:r>
        <w:rPr>
          <w:color w:val="231F20"/>
          <w:spacing w:val="-6"/>
        </w:rPr>
        <w:t> </w:t>
      </w:r>
      <w:r>
        <w:rPr>
          <w:color w:val="231F20"/>
        </w:rPr>
        <w:t>de</w:t>
      </w:r>
      <w:r>
        <w:rPr>
          <w:color w:val="231F20"/>
          <w:spacing w:val="-5"/>
        </w:rPr>
        <w:t> </w:t>
      </w:r>
      <w:r>
        <w:rPr>
          <w:color w:val="231F20"/>
        </w:rPr>
        <w:t>trabajar</w:t>
      </w:r>
      <w:r>
        <w:rPr>
          <w:color w:val="231F20"/>
          <w:spacing w:val="-6"/>
        </w:rPr>
        <w:t> </w:t>
      </w:r>
      <w:r>
        <w:rPr>
          <w:color w:val="231F20"/>
        </w:rPr>
        <w:t>en</w:t>
      </w:r>
      <w:r>
        <w:rPr>
          <w:color w:val="231F20"/>
          <w:spacing w:val="-6"/>
        </w:rPr>
        <w:t> </w:t>
      </w:r>
      <w:r>
        <w:rPr>
          <w:color w:val="231F20"/>
        </w:rPr>
        <w:t>estas</w:t>
      </w:r>
      <w:r>
        <w:rPr>
          <w:color w:val="231F20"/>
          <w:spacing w:val="-6"/>
        </w:rPr>
        <w:t> </w:t>
      </w:r>
      <w:r>
        <w:rPr>
          <w:color w:val="231F20"/>
        </w:rPr>
        <w:t>instituciones</w:t>
      </w:r>
      <w:r>
        <w:rPr>
          <w:color w:val="231F20"/>
          <w:spacing w:val="-6"/>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los</w:t>
      </w:r>
      <w:r>
        <w:rPr>
          <w:color w:val="231F20"/>
          <w:spacing w:val="-6"/>
        </w:rPr>
        <w:t> </w:t>
      </w:r>
      <w:r>
        <w:rPr>
          <w:color w:val="231F20"/>
        </w:rPr>
        <w:t>relatos</w:t>
      </w:r>
      <w:r>
        <w:rPr>
          <w:color w:val="231F20"/>
          <w:spacing w:val="-5"/>
        </w:rPr>
        <w:t> </w:t>
      </w:r>
      <w:r>
        <w:rPr>
          <w:color w:val="231F20"/>
        </w:rPr>
        <w:t>del</w:t>
      </w:r>
      <w:r>
        <w:rPr>
          <w:color w:val="231F20"/>
          <w:spacing w:val="-5"/>
        </w:rPr>
        <w:t> </w:t>
      </w:r>
      <w:r>
        <w:rPr>
          <w:color w:val="231F20"/>
        </w:rPr>
        <w:t>personal especializado de dos de ellas, una pública y otra privada, del centro de México, investigadas entre 2012 y 2013. El autor intenta interpretar los modos en que el personal especializado de tales instituciones significa su trabajo, las demandas que éste le implica y las aspiraciones que tiene para el futuro. En este sentido, sustenta la idea de que hay una relación más o menos estrecha entre las jerarquías laborales del personal y sus significaciones; por lo que, a mayor nivel, mayores las concepciones positivas y expresivas del trabajo, y viceversa, a menor nivel, menores las valoraciones expresivas del mismo, particularmente las materiales. El trabajo presenta el análisis de las significaciones laborales abarcan- do tres temas particulares: lo que implica trabajar en estas instituciones para el personal entrevistado, la demanda que les supone y el futuro que proyectan dentro o fuera de las instituciones; y a manera de conclusio- nes,</w:t>
      </w:r>
      <w:r>
        <w:rPr>
          <w:color w:val="231F20"/>
          <w:spacing w:val="-6"/>
        </w:rPr>
        <w:t> </w:t>
      </w:r>
      <w:r>
        <w:rPr>
          <w:color w:val="231F20"/>
        </w:rPr>
        <w:t>destaca</w:t>
      </w:r>
      <w:r>
        <w:rPr>
          <w:color w:val="231F20"/>
          <w:spacing w:val="-6"/>
        </w:rPr>
        <w:t> </w:t>
      </w:r>
      <w:r>
        <w:rPr>
          <w:color w:val="231F20"/>
        </w:rPr>
        <w:t>que</w:t>
      </w:r>
      <w:r>
        <w:rPr>
          <w:color w:val="231F20"/>
          <w:spacing w:val="-6"/>
        </w:rPr>
        <w:t> </w:t>
      </w:r>
      <w:r>
        <w:rPr>
          <w:color w:val="231F20"/>
        </w:rPr>
        <w:t>si</w:t>
      </w:r>
      <w:r>
        <w:rPr>
          <w:color w:val="231F20"/>
          <w:spacing w:val="-6"/>
        </w:rPr>
        <w:t> </w:t>
      </w:r>
      <w:r>
        <w:rPr>
          <w:color w:val="231F20"/>
        </w:rPr>
        <w:t>bien</w:t>
      </w:r>
      <w:r>
        <w:rPr>
          <w:color w:val="231F20"/>
          <w:spacing w:val="-6"/>
        </w:rPr>
        <w:t> </w:t>
      </w:r>
      <w:r>
        <w:rPr>
          <w:color w:val="231F20"/>
        </w:rPr>
        <w:t>las</w:t>
      </w:r>
      <w:r>
        <w:rPr>
          <w:color w:val="231F20"/>
          <w:spacing w:val="-6"/>
        </w:rPr>
        <w:t> </w:t>
      </w:r>
      <w:r>
        <w:rPr>
          <w:color w:val="231F20"/>
        </w:rPr>
        <w:t>expresiones</w:t>
      </w:r>
      <w:r>
        <w:rPr>
          <w:color w:val="231F20"/>
          <w:spacing w:val="-7"/>
        </w:rPr>
        <w:t> </w:t>
      </w:r>
      <w:r>
        <w:rPr>
          <w:color w:val="231F20"/>
        </w:rPr>
        <w:t>positivas</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se</w:t>
      </w:r>
      <w:r>
        <w:rPr>
          <w:color w:val="231F20"/>
          <w:spacing w:val="-6"/>
        </w:rPr>
        <w:t> </w:t>
      </w:r>
      <w:r>
        <w:rPr>
          <w:color w:val="231F20"/>
        </w:rPr>
        <w:t>presentan entre el personal de mayor jerarquía, no son exclusivas de éste en las instituciones</w:t>
      </w:r>
      <w:r>
        <w:rPr>
          <w:color w:val="231F20"/>
          <w:spacing w:val="-1"/>
        </w:rPr>
        <w:t> </w:t>
      </w:r>
      <w:r>
        <w:rPr>
          <w:color w:val="231F20"/>
        </w:rPr>
        <w:t>asistenciales.</w:t>
      </w:r>
    </w:p>
    <w:p>
      <w:pPr>
        <w:pStyle w:val="BodyText"/>
        <w:spacing w:line="249" w:lineRule="auto" w:before="1"/>
        <w:ind w:left="113" w:right="109" w:firstLine="283"/>
        <w:jc w:val="both"/>
      </w:pPr>
      <w:r>
        <w:rPr>
          <w:color w:val="231F20"/>
        </w:rPr>
        <w:t>La publicación de libro </w:t>
      </w:r>
      <w:r>
        <w:rPr>
          <w:i/>
          <w:color w:val="231F20"/>
          <w:spacing w:val="-3"/>
        </w:rPr>
        <w:t>Trabajo </w:t>
      </w:r>
      <w:r>
        <w:rPr>
          <w:i/>
          <w:color w:val="231F20"/>
        </w:rPr>
        <w:t>global y desigualdades en el merca- </w:t>
      </w:r>
      <w:r>
        <w:rPr>
          <w:i/>
          <w:color w:val="231F20"/>
        </w:rPr>
        <w:t>do</w:t>
      </w:r>
      <w:r>
        <w:rPr>
          <w:i/>
          <w:color w:val="231F20"/>
          <w:spacing w:val="-11"/>
        </w:rPr>
        <w:t> </w:t>
      </w:r>
      <w:r>
        <w:rPr>
          <w:i/>
          <w:color w:val="231F20"/>
        </w:rPr>
        <w:t>laboral</w:t>
      </w:r>
      <w:r>
        <w:rPr>
          <w:i/>
          <w:color w:val="231F20"/>
          <w:spacing w:val="-11"/>
        </w:rPr>
        <w:t> </w:t>
      </w:r>
      <w:r>
        <w:rPr>
          <w:color w:val="231F20"/>
        </w:rPr>
        <w:t>intenta</w:t>
      </w:r>
      <w:r>
        <w:rPr>
          <w:color w:val="231F20"/>
          <w:spacing w:val="-11"/>
        </w:rPr>
        <w:t> </w:t>
      </w:r>
      <w:r>
        <w:rPr>
          <w:color w:val="231F20"/>
        </w:rPr>
        <w:t>contribuir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reflexión</w:t>
      </w:r>
      <w:r>
        <w:rPr>
          <w:color w:val="231F20"/>
          <w:spacing w:val="-11"/>
        </w:rPr>
        <w:t> </w:t>
      </w:r>
      <w:r>
        <w:rPr>
          <w:color w:val="231F20"/>
        </w:rPr>
        <w:t>sobre</w:t>
      </w:r>
      <w:r>
        <w:rPr>
          <w:color w:val="231F20"/>
          <w:spacing w:val="-11"/>
        </w:rPr>
        <w:t> </w:t>
      </w:r>
      <w:r>
        <w:rPr>
          <w:color w:val="231F20"/>
        </w:rPr>
        <w:t>los</w:t>
      </w:r>
      <w:r>
        <w:rPr>
          <w:color w:val="231F20"/>
          <w:spacing w:val="-11"/>
        </w:rPr>
        <w:t> </w:t>
      </w:r>
      <w:r>
        <w:rPr>
          <w:color w:val="231F20"/>
        </w:rPr>
        <w:t>temas</w:t>
      </w:r>
      <w:r>
        <w:rPr>
          <w:color w:val="231F20"/>
          <w:spacing w:val="-11"/>
        </w:rPr>
        <w:t> </w:t>
      </w:r>
      <w:r>
        <w:rPr>
          <w:color w:val="231F20"/>
        </w:rPr>
        <w:t>fundamentales de la agenda de investigación sobre los mercados de trabajo y relacio- nes laborales, en el entorno de las nuevas contradicciones generadas por el modelo neoliberal en el mundo del trabajo y los escenarios futuros   de corto y mediano plazos que se vislumbran para América Latina. Los coordinadores del libro, Dídimo Castillo Fernández, profesor investiga- dor de la Facultad de Ciencias Políticas y Sociales de la Universidad Autónoma</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Norma</w:t>
      </w:r>
      <w:r>
        <w:rPr>
          <w:color w:val="231F20"/>
          <w:spacing w:val="-6"/>
        </w:rPr>
        <w:t> </w:t>
      </w:r>
      <w:r>
        <w:rPr>
          <w:color w:val="231F20"/>
        </w:rPr>
        <w:t>Baca</w:t>
      </w:r>
      <w:r>
        <w:rPr>
          <w:color w:val="231F20"/>
          <w:spacing w:val="-10"/>
        </w:rPr>
        <w:t> </w:t>
      </w:r>
      <w:r>
        <w:rPr>
          <w:color w:val="231F20"/>
        </w:rPr>
        <w:t>Tavira,</w:t>
      </w:r>
      <w:r>
        <w:rPr>
          <w:color w:val="231F20"/>
          <w:spacing w:val="-6"/>
        </w:rPr>
        <w:t> </w:t>
      </w:r>
      <w:r>
        <w:rPr>
          <w:color w:val="231F20"/>
        </w:rPr>
        <w:t>profesora</w:t>
      </w:r>
      <w:r>
        <w:rPr>
          <w:color w:val="231F20"/>
          <w:spacing w:val="-6"/>
        </w:rPr>
        <w:t> </w:t>
      </w:r>
      <w:r>
        <w:rPr>
          <w:color w:val="231F20"/>
        </w:rPr>
        <w:t>investi- gadora</w:t>
      </w:r>
      <w:r>
        <w:rPr>
          <w:color w:val="231F20"/>
          <w:spacing w:val="-10"/>
        </w:rPr>
        <w:t> </w:t>
      </w:r>
      <w:r>
        <w:rPr>
          <w:color w:val="231F20"/>
        </w:rPr>
        <w:t>del</w:t>
      </w:r>
      <w:r>
        <w:rPr>
          <w:color w:val="231F20"/>
          <w:spacing w:val="-10"/>
        </w:rPr>
        <w:t> </w:t>
      </w:r>
      <w:r>
        <w:rPr>
          <w:color w:val="231F20"/>
        </w:rPr>
        <w:t>Centro</w:t>
      </w:r>
      <w:r>
        <w:rPr>
          <w:color w:val="231F20"/>
          <w:spacing w:val="-10"/>
        </w:rPr>
        <w:t> </w:t>
      </w:r>
      <w:r>
        <w:rPr>
          <w:color w:val="231F20"/>
        </w:rPr>
        <w:t>de</w:t>
      </w:r>
      <w:r>
        <w:rPr>
          <w:color w:val="231F20"/>
          <w:spacing w:val="-10"/>
        </w:rPr>
        <w:t> </w:t>
      </w:r>
      <w:r>
        <w:rPr>
          <w:color w:val="231F20"/>
        </w:rPr>
        <w:t>Investigación</w:t>
      </w:r>
      <w:r>
        <w:rPr>
          <w:color w:val="231F20"/>
          <w:spacing w:val="-10"/>
        </w:rPr>
        <w:t> </w:t>
      </w:r>
      <w:r>
        <w:rPr>
          <w:color w:val="231F20"/>
        </w:rPr>
        <w:t>en</w:t>
      </w:r>
      <w:r>
        <w:rPr>
          <w:color w:val="231F20"/>
          <w:spacing w:val="-10"/>
        </w:rPr>
        <w:t> </w:t>
      </w:r>
      <w:r>
        <w:rPr>
          <w:color w:val="231F20"/>
        </w:rPr>
        <w:t>Ciencias</w:t>
      </w:r>
      <w:r>
        <w:rPr>
          <w:color w:val="231F20"/>
          <w:spacing w:val="-10"/>
        </w:rPr>
        <w:t> </w:t>
      </w:r>
      <w:r>
        <w:rPr>
          <w:color w:val="231F20"/>
        </w:rPr>
        <w:t>Sociales</w:t>
      </w:r>
      <w:r>
        <w:rPr>
          <w:color w:val="231F20"/>
          <w:spacing w:val="-10"/>
        </w:rPr>
        <w:t> </w:t>
      </w:r>
      <w:r>
        <w:rPr>
          <w:color w:val="231F20"/>
        </w:rPr>
        <w:t>y</w:t>
      </w:r>
      <w:r>
        <w:rPr>
          <w:color w:val="231F20"/>
          <w:spacing w:val="-10"/>
        </w:rPr>
        <w:t> </w:t>
      </w:r>
      <w:r>
        <w:rPr>
          <w:color w:val="231F20"/>
        </w:rPr>
        <w:t>Humanidades, y Rosalba </w:t>
      </w:r>
      <w:r>
        <w:rPr>
          <w:color w:val="231F20"/>
          <w:spacing w:val="-3"/>
        </w:rPr>
        <w:t>Todaro </w:t>
      </w:r>
      <w:r>
        <w:rPr>
          <w:color w:val="231F20"/>
        </w:rPr>
        <w:t>Cavallero, investigadora del Centro de Estudios de la </w:t>
      </w:r>
      <w:r>
        <w:rPr>
          <w:color w:val="231F20"/>
          <w:spacing w:val="-2"/>
        </w:rPr>
        <w:t>Mujer, </w:t>
      </w:r>
      <w:r>
        <w:rPr>
          <w:color w:val="231F20"/>
        </w:rPr>
        <w:t>de Santiago de Chile, reconocen y agradecen a los autores el es- fuerzo</w:t>
      </w:r>
      <w:r>
        <w:rPr>
          <w:color w:val="231F20"/>
          <w:spacing w:val="-10"/>
        </w:rPr>
        <w:t> </w:t>
      </w:r>
      <w:r>
        <w:rPr>
          <w:color w:val="231F20"/>
        </w:rPr>
        <w:t>realizado</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culminación</w:t>
      </w:r>
      <w:r>
        <w:rPr>
          <w:color w:val="231F20"/>
          <w:spacing w:val="-11"/>
        </w:rPr>
        <w:t> </w:t>
      </w:r>
      <w:r>
        <w:rPr>
          <w:color w:val="231F20"/>
        </w:rPr>
        <w:t>de</w:t>
      </w:r>
      <w:r>
        <w:rPr>
          <w:color w:val="231F20"/>
          <w:spacing w:val="-10"/>
        </w:rPr>
        <w:t> </w:t>
      </w:r>
      <w:r>
        <w:rPr>
          <w:color w:val="231F20"/>
        </w:rPr>
        <w:t>este</w:t>
      </w:r>
      <w:r>
        <w:rPr>
          <w:color w:val="231F20"/>
          <w:spacing w:val="-11"/>
        </w:rPr>
        <w:t> </w:t>
      </w:r>
      <w:r>
        <w:rPr>
          <w:color w:val="231F20"/>
        </w:rPr>
        <w:t>proyecto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cooperación</w:t>
      </w:r>
      <w:r>
        <w:rPr>
          <w:color w:val="231F20"/>
          <w:spacing w:val="-11"/>
        </w:rPr>
        <w:t> </w:t>
      </w:r>
      <w:r>
        <w:rPr>
          <w:color w:val="231F20"/>
        </w:rPr>
        <w:t>en la revisión y actualización de los trabajos que lo</w:t>
      </w:r>
      <w:r>
        <w:rPr>
          <w:color w:val="231F20"/>
          <w:spacing w:val="-4"/>
        </w:rPr>
        <w:t> </w:t>
      </w:r>
      <w:r>
        <w:rPr>
          <w:color w:val="231F20"/>
        </w:rPr>
        <w:t>integran.</w:t>
      </w:r>
    </w:p>
    <w:p>
      <w:pPr>
        <w:pStyle w:val="BodyText"/>
        <w:spacing w:before="11"/>
      </w:pPr>
    </w:p>
    <w:p>
      <w:pPr>
        <w:pStyle w:val="BodyText"/>
        <w:spacing w:line="249" w:lineRule="auto"/>
        <w:ind w:left="3768" w:right="108" w:hanging="85"/>
        <w:jc w:val="right"/>
      </w:pPr>
      <w:r>
        <w:rPr>
          <w:color w:val="231F20"/>
        </w:rPr>
        <w:t>Dídimo Castillo Fernández Norma Baca Tavira Rosalba Todaro Cavallero</w:t>
      </w:r>
    </w:p>
    <w:p>
      <w:pPr>
        <w:spacing w:after="0" w:line="249" w:lineRule="auto"/>
        <w:jc w:val="right"/>
        <w:sectPr>
          <w:footerReference w:type="default" r:id="rId14"/>
          <w:pgSz w:w="7770" w:h="11740"/>
          <w:pgMar w:footer="559" w:header="0" w:top="840" w:bottom="740" w:left="1020" w:right="740"/>
        </w:sectPr>
      </w:pPr>
    </w:p>
    <w:p>
      <w:pPr>
        <w:pStyle w:val="BodyText"/>
      </w:pPr>
      <w:r>
        <w:rPr/>
        <w:pict>
          <v:shape style="position:absolute;margin-left:21.732pt;margin-top:538.299988pt;width:295.4pt;height:31.75pt;mso-position-horizontal-relative:page;mso-position-vertical-relative:page;z-index:-336808" type="#_x0000_t202" filled="false" stroked="false">
            <v:textbox inset="0,0,0,0">
              <w:txbxContent>
                <w:p>
                  <w:pPr>
                    <w:pStyle w:val="BodyText"/>
                    <w:rPr>
                      <w:sz w:val="16"/>
                    </w:rPr>
                  </w:pPr>
                </w:p>
                <w:p>
                  <w:pPr>
                    <w:pStyle w:val="BodyText"/>
                    <w:ind w:left="2381" w:right="1777"/>
                    <w:jc w:val="center"/>
                  </w:pPr>
                  <w:r>
                    <w:rPr>
                      <w:color w:val="231F20"/>
                    </w:rPr>
                    <w:t>16</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pStyle w:val="BodyText"/>
        <w:ind w:left="114"/>
      </w:pPr>
      <w:r>
        <w:rPr/>
        <w:pict>
          <v:group style="width:295.4pt;height:31.75pt;mso-position-horizontal-relative:char;mso-position-vertical-relative:line" coordorigin="0,0" coordsize="5908,635">
            <v:rect style="position:absolute;left:0;top:0;width:5907;height:635" filled="true" fillcolor="#ffffff" stroked="false">
              <v:fill type="solid"/>
            </v:rect>
          </v:group>
        </w:pict>
      </w:r>
      <w:r>
        <w:rPr/>
      </w:r>
    </w:p>
    <w:p>
      <w:pPr>
        <w:spacing w:after="0"/>
        <w:sectPr>
          <w:footerReference w:type="default" r:id="rId15"/>
          <w:pgSz w:w="7770" w:h="11740"/>
          <w:pgMar w:footer="0" w:header="0" w:top="1080" w:bottom="0" w:left="320" w:right="1060"/>
        </w:sectPr>
      </w:pPr>
    </w:p>
    <w:p>
      <w:pPr>
        <w:spacing w:line="324" w:lineRule="auto" w:before="65"/>
        <w:ind w:left="113" w:right="251" w:firstLine="0"/>
        <w:jc w:val="left"/>
        <w:rPr>
          <w:sz w:val="18"/>
        </w:rPr>
      </w:pPr>
      <w:r>
        <w:rPr/>
        <w:pict>
          <v:shape style="position:absolute;margin-left:56.693001pt;margin-top:530.078979pt;width:295.4pt;height:33pt;mso-position-horizontal-relative:page;mso-position-vertical-relative:page;z-index:-336760" type="#_x0000_t202" filled="false" stroked="false">
            <v:textbox inset="0,0,0,0">
              <w:txbxContent>
                <w:p>
                  <w:pPr>
                    <w:pStyle w:val="BodyText"/>
                  </w:pPr>
                </w:p>
                <w:p>
                  <w:pPr>
                    <w:pStyle w:val="BodyText"/>
                    <w:spacing w:before="8"/>
                    <w:rPr>
                      <w:sz w:val="17"/>
                    </w:rPr>
                  </w:pPr>
                </w:p>
                <w:p>
                  <w:pPr>
                    <w:pStyle w:val="BodyText"/>
                    <w:spacing w:line="226" w:lineRule="exact"/>
                    <w:ind w:left="2325" w:right="2532"/>
                    <w:jc w:val="center"/>
                  </w:pPr>
                  <w:r>
                    <w:rPr>
                      <w:color w:val="231F20"/>
                    </w:rPr>
                    <w:t>17</w:t>
                  </w:r>
                </w:p>
              </w:txbxContent>
            </v:textbox>
            <w10:wrap type="none"/>
          </v:shape>
        </w:pict>
      </w:r>
      <w:r>
        <w:rPr>
          <w:color w:val="231F20"/>
          <w:sz w:val="18"/>
        </w:rPr>
        <w:t>TRABAJO GLOBAL, MERCADO DE TRABAJO Y NUEVAS RELACIONES LABORALES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0"/>
        </w:rPr>
      </w:pPr>
      <w:r>
        <w:rPr/>
        <w:pict>
          <v:rect style="position:absolute;margin-left:56.693001pt;margin-top:7.752459pt;width:295.37pt;height:31.748pt;mso-position-horizontal-relative:page;mso-position-vertical-relative:paragraph;z-index:1120;mso-wrap-distance-left:0;mso-wrap-distance-right:0" filled="true" fillcolor="#ffffff" stroked="false">
            <v:fill type="solid"/>
            <w10:wrap type="topAndBottom"/>
          </v:rect>
        </w:pict>
      </w:r>
    </w:p>
    <w:p>
      <w:pPr>
        <w:spacing w:after="0"/>
        <w:rPr>
          <w:sz w:val="10"/>
        </w:rPr>
        <w:sectPr>
          <w:footerReference w:type="default" r:id="rId16"/>
          <w:pgSz w:w="7770" w:h="11740"/>
          <w:pgMar w:footer="0" w:header="0" w:top="840" w:bottom="280" w:left="1020" w:right="620"/>
        </w:sectPr>
      </w:pPr>
    </w:p>
    <w:p>
      <w:pPr>
        <w:pStyle w:val="BodyText"/>
      </w:pPr>
      <w:r>
        <w:rPr/>
        <w:pict>
          <v:shape style="position:absolute;margin-left:39.402pt;margin-top:541.417969pt;width:295.4pt;height:31.75pt;mso-position-horizontal-relative:page;mso-position-vertical-relative:page;z-index:-336712" type="#_x0000_t202" filled="false" stroked="false">
            <v:textbox inset="0,0,0,0">
              <w:txbxContent>
                <w:p>
                  <w:pPr>
                    <w:pStyle w:val="BodyText"/>
                    <w:spacing w:before="122"/>
                    <w:ind w:left="2381" w:right="2482"/>
                    <w:jc w:val="center"/>
                  </w:pPr>
                  <w:r>
                    <w:rPr>
                      <w:color w:val="231F20"/>
                    </w:rPr>
                    <w:t>18</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6"/>
        </w:rPr>
      </w:pPr>
    </w:p>
    <w:p>
      <w:pPr>
        <w:pStyle w:val="BodyText"/>
        <w:ind w:left="108"/>
      </w:pPr>
      <w:r>
        <w:rPr/>
        <w:pict>
          <v:group style="width:295.4pt;height:31.75pt;mso-position-horizontal-relative:char;mso-position-vertical-relative:line" coordorigin="0,0" coordsize="5908,635">
            <v:rect style="position:absolute;left:0;top:0;width:5907;height:635" filled="true" fillcolor="#ffffff" stroked="false">
              <v:fill type="solid"/>
            </v:rect>
          </v:group>
        </w:pict>
      </w:r>
      <w:r>
        <w:rPr/>
      </w:r>
    </w:p>
    <w:p>
      <w:pPr>
        <w:spacing w:after="0"/>
        <w:sectPr>
          <w:footerReference w:type="default" r:id="rId17"/>
          <w:pgSz w:w="7770" w:h="11740"/>
          <w:pgMar w:footer="0" w:header="0" w:top="1080" w:bottom="0" w:left="680" w:right="960"/>
        </w:sectPr>
      </w:pPr>
    </w:p>
    <w:p>
      <w:pPr>
        <w:pStyle w:val="Heading2"/>
        <w:ind w:left="1001" w:firstLine="441"/>
      </w:pPr>
      <w:r>
        <w:rPr>
          <w:w w:val="75"/>
        </w:rPr>
        <w:t>Globalización y relaciones asalariadas en América Latina. Entre la generalización de la precariedad y la utopía de la empleabilidad</w:t>
      </w:r>
    </w:p>
    <w:p>
      <w:pPr>
        <w:pStyle w:val="BodyText"/>
        <w:spacing w:before="9"/>
        <w:rPr>
          <w:sz w:val="28"/>
        </w:rPr>
      </w:pPr>
    </w:p>
    <w:p>
      <w:pPr>
        <w:pStyle w:val="Heading3"/>
        <w:spacing w:before="67"/>
        <w:ind w:left="3416"/>
      </w:pPr>
      <w:r>
        <w:rPr>
          <w:color w:val="231F20"/>
        </w:rPr>
        <w:t>Juan Pablo Pérez Sáinz*</w:t>
      </w:r>
    </w:p>
    <w:p>
      <w:pPr>
        <w:pStyle w:val="BodyText"/>
        <w:spacing w:before="2"/>
        <w:rPr>
          <w:sz w:val="27"/>
        </w:rPr>
      </w:pPr>
    </w:p>
    <w:p>
      <w:pPr>
        <w:pStyle w:val="Heading4"/>
        <w:spacing w:before="70"/>
        <w:ind w:right="792"/>
        <w:jc w:val="left"/>
      </w:pPr>
      <w:r>
        <w:rPr>
          <w:w w:val="85"/>
        </w:rPr>
        <w:t>Introducción</w:t>
      </w:r>
    </w:p>
    <w:p>
      <w:pPr>
        <w:pStyle w:val="BodyText"/>
        <w:spacing w:before="4"/>
        <w:rPr>
          <w:b/>
          <w:sz w:val="27"/>
        </w:rPr>
      </w:pPr>
    </w:p>
    <w:p>
      <w:pPr>
        <w:pStyle w:val="BodyText"/>
        <w:spacing w:line="249" w:lineRule="auto" w:before="75"/>
        <w:ind w:left="113" w:right="108"/>
        <w:jc w:val="both"/>
      </w:pPr>
      <w:r>
        <w:rPr>
          <w:color w:val="231F20"/>
        </w:rPr>
        <w:t>Los </w:t>
      </w:r>
      <w:r>
        <w:rPr>
          <w:color w:val="231F20"/>
          <w:spacing w:val="-3"/>
        </w:rPr>
        <w:t>mercados referidos </w:t>
      </w:r>
      <w:r>
        <w:rPr>
          <w:color w:val="231F20"/>
        </w:rPr>
        <w:t>a los </w:t>
      </w:r>
      <w:r>
        <w:rPr>
          <w:color w:val="231F20"/>
          <w:spacing w:val="-3"/>
        </w:rPr>
        <w:t>recursos productivos </w:t>
      </w:r>
      <w:r>
        <w:rPr>
          <w:color w:val="231F20"/>
        </w:rPr>
        <w:t>de la </w:t>
      </w:r>
      <w:r>
        <w:rPr>
          <w:color w:val="231F20"/>
          <w:spacing w:val="-3"/>
        </w:rPr>
        <w:t>sociedad, tales como </w:t>
      </w:r>
      <w:r>
        <w:rPr>
          <w:color w:val="231F20"/>
        </w:rPr>
        <w:t>el </w:t>
      </w:r>
      <w:r>
        <w:rPr>
          <w:color w:val="231F20"/>
          <w:spacing w:val="-3"/>
        </w:rPr>
        <w:t>trabajo, tierra, capital, etc., </w:t>
      </w:r>
      <w:r>
        <w:rPr>
          <w:color w:val="231F20"/>
        </w:rPr>
        <w:t>son </w:t>
      </w:r>
      <w:r>
        <w:rPr>
          <w:color w:val="231F20"/>
          <w:spacing w:val="-3"/>
        </w:rPr>
        <w:t>campos </w:t>
      </w:r>
      <w:r>
        <w:rPr>
          <w:color w:val="231F20"/>
        </w:rPr>
        <w:t>de </w:t>
      </w:r>
      <w:r>
        <w:rPr>
          <w:color w:val="231F20"/>
          <w:spacing w:val="-3"/>
        </w:rPr>
        <w:t>disputa </w:t>
      </w:r>
      <w:r>
        <w:rPr>
          <w:color w:val="231F20"/>
        </w:rPr>
        <w:t>del </w:t>
      </w:r>
      <w:r>
        <w:rPr>
          <w:color w:val="231F20"/>
          <w:spacing w:val="-3"/>
        </w:rPr>
        <w:t>excedente económico </w:t>
      </w:r>
      <w:r>
        <w:rPr>
          <w:color w:val="231F20"/>
        </w:rPr>
        <w:t>en el </w:t>
      </w:r>
      <w:r>
        <w:rPr>
          <w:color w:val="231F20"/>
          <w:spacing w:val="-3"/>
        </w:rPr>
        <w:t>capitalismo. </w:t>
      </w:r>
      <w:r>
        <w:rPr>
          <w:color w:val="231F20"/>
        </w:rPr>
        <w:t>En </w:t>
      </w:r>
      <w:r>
        <w:rPr>
          <w:color w:val="231F20"/>
          <w:spacing w:val="-3"/>
        </w:rPr>
        <w:t>este sentido, estos mercados </w:t>
      </w:r>
      <w:r>
        <w:rPr>
          <w:color w:val="231F20"/>
        </w:rPr>
        <w:t>—que </w:t>
      </w:r>
      <w:r>
        <w:rPr>
          <w:color w:val="231F20"/>
          <w:spacing w:val="-3"/>
        </w:rPr>
        <w:t>se puede denominar básicos— </w:t>
      </w:r>
      <w:r>
        <w:rPr>
          <w:color w:val="231F20"/>
        </w:rPr>
        <w:t>son </w:t>
      </w:r>
      <w:r>
        <w:rPr>
          <w:color w:val="231F20"/>
          <w:spacing w:val="-3"/>
        </w:rPr>
        <w:t>ámbitos </w:t>
      </w:r>
      <w:r>
        <w:rPr>
          <w:color w:val="231F20"/>
        </w:rPr>
        <w:t>de </w:t>
      </w:r>
      <w:r>
        <w:rPr>
          <w:color w:val="231F20"/>
          <w:spacing w:val="-3"/>
        </w:rPr>
        <w:t>poder </w:t>
      </w:r>
      <w:r>
        <w:rPr>
          <w:color w:val="231F20"/>
          <w:spacing w:val="-8"/>
        </w:rPr>
        <w:t>y, </w:t>
      </w:r>
      <w:r>
        <w:rPr>
          <w:color w:val="231F20"/>
        </w:rPr>
        <w:t>por </w:t>
      </w:r>
      <w:r>
        <w:rPr>
          <w:color w:val="231F20"/>
          <w:spacing w:val="-3"/>
        </w:rPr>
        <w:t>tanto, vienen sig- nados </w:t>
      </w:r>
      <w:r>
        <w:rPr>
          <w:color w:val="231F20"/>
        </w:rPr>
        <w:t>por </w:t>
      </w:r>
      <w:r>
        <w:rPr>
          <w:color w:val="231F20"/>
          <w:spacing w:val="-3"/>
        </w:rPr>
        <w:t>asimetrías </w:t>
      </w:r>
      <w:r>
        <w:rPr>
          <w:color w:val="231F20"/>
        </w:rPr>
        <w:t>que los </w:t>
      </w:r>
      <w:r>
        <w:rPr>
          <w:color w:val="231F20"/>
          <w:spacing w:val="-3"/>
        </w:rPr>
        <w:t>convierten </w:t>
      </w:r>
      <w:r>
        <w:rPr>
          <w:color w:val="231F20"/>
        </w:rPr>
        <w:t>en </w:t>
      </w:r>
      <w:r>
        <w:rPr>
          <w:color w:val="231F20"/>
          <w:spacing w:val="-3"/>
        </w:rPr>
        <w:t>campos </w:t>
      </w:r>
      <w:r>
        <w:rPr>
          <w:color w:val="231F20"/>
        </w:rPr>
        <w:t>de </w:t>
      </w:r>
      <w:r>
        <w:rPr>
          <w:color w:val="231F20"/>
          <w:spacing w:val="-3"/>
        </w:rPr>
        <w:t>desigualdades; en este caso, desigualdades </w:t>
      </w:r>
      <w:r>
        <w:rPr>
          <w:color w:val="231F20"/>
        </w:rPr>
        <w:t>de </w:t>
      </w:r>
      <w:r>
        <w:rPr>
          <w:color w:val="231F20"/>
          <w:spacing w:val="-3"/>
        </w:rPr>
        <w:t>excedente. </w:t>
      </w:r>
      <w:r>
        <w:rPr>
          <w:color w:val="231F20"/>
        </w:rPr>
        <w:t>En esa </w:t>
      </w:r>
      <w:r>
        <w:rPr>
          <w:color w:val="231F20"/>
          <w:spacing w:val="-3"/>
        </w:rPr>
        <w:t>disputa intervienen distintos sujetos sociales. </w:t>
      </w:r>
      <w:r>
        <w:rPr>
          <w:color w:val="231F20"/>
        </w:rPr>
        <w:t>En </w:t>
      </w:r>
      <w:r>
        <w:rPr>
          <w:color w:val="231F20"/>
          <w:spacing w:val="-3"/>
        </w:rPr>
        <w:t>primer lugar están, obviamente, </w:t>
      </w:r>
      <w:r>
        <w:rPr>
          <w:color w:val="231F20"/>
        </w:rPr>
        <w:t>las </w:t>
      </w:r>
      <w:r>
        <w:rPr>
          <w:color w:val="231F20"/>
          <w:spacing w:val="-3"/>
        </w:rPr>
        <w:t>clases sociales ya </w:t>
      </w:r>
      <w:r>
        <w:rPr>
          <w:color w:val="231F20"/>
        </w:rPr>
        <w:t>que </w:t>
      </w:r>
      <w:r>
        <w:rPr>
          <w:color w:val="231F20"/>
          <w:spacing w:val="-3"/>
        </w:rPr>
        <w:t>éstas </w:t>
      </w:r>
      <w:r>
        <w:rPr>
          <w:color w:val="231F20"/>
        </w:rPr>
        <w:t>se </w:t>
      </w:r>
      <w:r>
        <w:rPr>
          <w:color w:val="231F20"/>
          <w:spacing w:val="-3"/>
        </w:rPr>
        <w:t>definen </w:t>
      </w:r>
      <w:r>
        <w:rPr>
          <w:color w:val="231F20"/>
        </w:rPr>
        <w:t>en su </w:t>
      </w:r>
      <w:r>
        <w:rPr>
          <w:color w:val="231F20"/>
          <w:spacing w:val="-3"/>
        </w:rPr>
        <w:t>pugna </w:t>
      </w:r>
      <w:r>
        <w:rPr>
          <w:color w:val="231F20"/>
        </w:rPr>
        <w:t>por el </w:t>
      </w:r>
      <w:r>
        <w:rPr>
          <w:color w:val="231F20"/>
          <w:spacing w:val="-3"/>
        </w:rPr>
        <w:t>excedente </w:t>
      </w:r>
      <w:r>
        <w:rPr>
          <w:color w:val="231F20"/>
        </w:rPr>
        <w:t>y no </w:t>
      </w:r>
      <w:r>
        <w:rPr>
          <w:color w:val="231F20"/>
          <w:spacing w:val="-3"/>
        </w:rPr>
        <w:t>tienen existencia fuera </w:t>
      </w:r>
      <w:r>
        <w:rPr>
          <w:color w:val="231F20"/>
        </w:rPr>
        <w:t>de esa </w:t>
      </w:r>
      <w:r>
        <w:rPr>
          <w:color w:val="231F20"/>
          <w:spacing w:val="-3"/>
        </w:rPr>
        <w:t>pugna. Pero también inciden dinámicas </w:t>
      </w:r>
      <w:r>
        <w:rPr>
          <w:color w:val="231F20"/>
        </w:rPr>
        <w:t>de </w:t>
      </w:r>
      <w:r>
        <w:rPr>
          <w:color w:val="231F20"/>
          <w:spacing w:val="-3"/>
        </w:rPr>
        <w:t>individualización </w:t>
      </w:r>
      <w:r>
        <w:rPr>
          <w:color w:val="231F20"/>
        </w:rPr>
        <w:t>que si son lo </w:t>
      </w:r>
      <w:r>
        <w:rPr>
          <w:color w:val="231F20"/>
          <w:spacing w:val="-3"/>
        </w:rPr>
        <w:t>suficientemente robustas pueden relativizar </w:t>
      </w:r>
      <w:r>
        <w:rPr>
          <w:color w:val="231F20"/>
        </w:rPr>
        <w:t>las </w:t>
      </w:r>
      <w:r>
        <w:rPr>
          <w:color w:val="231F20"/>
          <w:spacing w:val="-3"/>
        </w:rPr>
        <w:t>contradiccio- </w:t>
      </w:r>
      <w:r>
        <w:rPr>
          <w:color w:val="231F20"/>
        </w:rPr>
        <w:t>nes</w:t>
      </w:r>
      <w:r>
        <w:rPr>
          <w:color w:val="231F20"/>
          <w:spacing w:val="-14"/>
        </w:rPr>
        <w:t> </w:t>
      </w:r>
      <w:r>
        <w:rPr>
          <w:color w:val="231F20"/>
        </w:rPr>
        <w:t>de</w:t>
      </w:r>
      <w:r>
        <w:rPr>
          <w:color w:val="231F20"/>
          <w:spacing w:val="-14"/>
        </w:rPr>
        <w:t> </w:t>
      </w:r>
      <w:r>
        <w:rPr>
          <w:color w:val="231F20"/>
          <w:spacing w:val="-3"/>
        </w:rPr>
        <w:t>clase</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spacing w:val="-3"/>
        </w:rPr>
        <w:t>mercados</w:t>
      </w:r>
      <w:r>
        <w:rPr>
          <w:color w:val="231F20"/>
          <w:spacing w:val="-14"/>
        </w:rPr>
        <w:t> </w:t>
      </w:r>
      <w:r>
        <w:rPr>
          <w:color w:val="231F20"/>
          <w:spacing w:val="-3"/>
        </w:rPr>
        <w:t>básicos.</w:t>
      </w:r>
      <w:r>
        <w:rPr>
          <w:color w:val="231F20"/>
          <w:spacing w:val="-14"/>
        </w:rPr>
        <w:t> </w:t>
      </w:r>
      <w:r>
        <w:rPr>
          <w:color w:val="231F20"/>
        </w:rPr>
        <w:t>Esa</w:t>
      </w:r>
      <w:r>
        <w:rPr>
          <w:color w:val="231F20"/>
          <w:spacing w:val="-14"/>
        </w:rPr>
        <w:t> </w:t>
      </w:r>
      <w:r>
        <w:rPr>
          <w:color w:val="231F20"/>
          <w:spacing w:val="-3"/>
        </w:rPr>
        <w:t>robustez</w:t>
      </w:r>
      <w:r>
        <w:rPr>
          <w:color w:val="231F20"/>
          <w:spacing w:val="-14"/>
        </w:rPr>
        <w:t> </w:t>
      </w:r>
      <w:r>
        <w:rPr>
          <w:color w:val="231F20"/>
          <w:spacing w:val="-3"/>
        </w:rPr>
        <w:t>depende</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3"/>
        </w:rPr>
        <w:t>procesos </w:t>
      </w:r>
      <w:r>
        <w:rPr>
          <w:color w:val="231F20"/>
        </w:rPr>
        <w:t>de </w:t>
      </w:r>
      <w:r>
        <w:rPr>
          <w:color w:val="231F20"/>
          <w:spacing w:val="-3"/>
        </w:rPr>
        <w:t>constitución </w:t>
      </w:r>
      <w:r>
        <w:rPr>
          <w:color w:val="231F20"/>
        </w:rPr>
        <w:t>de </w:t>
      </w:r>
      <w:r>
        <w:rPr>
          <w:color w:val="231F20"/>
          <w:spacing w:val="-3"/>
        </w:rPr>
        <w:t>ciudadanía, especialmente </w:t>
      </w:r>
      <w:r>
        <w:rPr>
          <w:color w:val="231F20"/>
        </w:rPr>
        <w:t>de la </w:t>
      </w:r>
      <w:r>
        <w:rPr>
          <w:color w:val="231F20"/>
          <w:spacing w:val="-3"/>
        </w:rPr>
        <w:t>social. </w:t>
      </w:r>
      <w:r>
        <w:rPr>
          <w:color w:val="231F20"/>
        </w:rPr>
        <w:t>Si la </w:t>
      </w:r>
      <w:r>
        <w:rPr>
          <w:color w:val="231F20"/>
          <w:spacing w:val="-3"/>
        </w:rPr>
        <w:t>ciudadanía social </w:t>
      </w:r>
      <w:r>
        <w:rPr>
          <w:color w:val="231F20"/>
        </w:rPr>
        <w:t>se </w:t>
      </w:r>
      <w:r>
        <w:rPr>
          <w:color w:val="231F20"/>
          <w:spacing w:val="-3"/>
        </w:rPr>
        <w:t>desarrolla suficientemente, </w:t>
      </w:r>
      <w:r>
        <w:rPr>
          <w:color w:val="231F20"/>
        </w:rPr>
        <w:t>las </w:t>
      </w:r>
      <w:r>
        <w:rPr>
          <w:color w:val="231F20"/>
          <w:spacing w:val="-3"/>
        </w:rPr>
        <w:t>dinámicas </w:t>
      </w:r>
      <w:r>
        <w:rPr>
          <w:color w:val="231F20"/>
        </w:rPr>
        <w:t>de </w:t>
      </w:r>
      <w:r>
        <w:rPr>
          <w:color w:val="231F20"/>
          <w:spacing w:val="-3"/>
        </w:rPr>
        <w:t>individualización pueden lograr </w:t>
      </w:r>
      <w:r>
        <w:rPr>
          <w:color w:val="231F20"/>
        </w:rPr>
        <w:t>que las </w:t>
      </w:r>
      <w:r>
        <w:rPr>
          <w:color w:val="231F20"/>
          <w:spacing w:val="-3"/>
        </w:rPr>
        <w:t>desigualdades </w:t>
      </w:r>
      <w:r>
        <w:rPr>
          <w:color w:val="231F20"/>
        </w:rPr>
        <w:t>de </w:t>
      </w:r>
      <w:r>
        <w:rPr>
          <w:color w:val="231F20"/>
          <w:spacing w:val="-3"/>
        </w:rPr>
        <w:t>excedente devengan legítimas relativizando </w:t>
      </w:r>
      <w:r>
        <w:rPr>
          <w:color w:val="231F20"/>
        </w:rPr>
        <w:t>su </w:t>
      </w:r>
      <w:r>
        <w:rPr>
          <w:color w:val="231F20"/>
          <w:spacing w:val="-3"/>
        </w:rPr>
        <w:t>antagonismo </w:t>
      </w:r>
      <w:r>
        <w:rPr>
          <w:color w:val="231F20"/>
        </w:rPr>
        <w:t>de </w:t>
      </w:r>
      <w:r>
        <w:rPr>
          <w:color w:val="231F20"/>
          <w:spacing w:val="-3"/>
        </w:rPr>
        <w:t>clase. Pero </w:t>
      </w:r>
      <w:r>
        <w:rPr>
          <w:color w:val="231F20"/>
        </w:rPr>
        <w:t>si el </w:t>
      </w:r>
      <w:r>
        <w:rPr>
          <w:color w:val="231F20"/>
          <w:spacing w:val="-3"/>
        </w:rPr>
        <w:t>proceso </w:t>
      </w:r>
      <w:r>
        <w:rPr>
          <w:color w:val="231F20"/>
        </w:rPr>
        <w:t>de </w:t>
      </w:r>
      <w:r>
        <w:rPr>
          <w:color w:val="231F20"/>
          <w:spacing w:val="-3"/>
        </w:rPr>
        <w:t>ciudadanía   </w:t>
      </w:r>
      <w:r>
        <w:rPr>
          <w:color w:val="231F20"/>
        </w:rPr>
        <w:t>es </w:t>
      </w:r>
      <w:r>
        <w:rPr>
          <w:color w:val="231F20"/>
          <w:spacing w:val="-3"/>
        </w:rPr>
        <w:t>deficiente </w:t>
      </w:r>
      <w:r>
        <w:rPr>
          <w:color w:val="231F20"/>
        </w:rPr>
        <w:t>y no </w:t>
      </w:r>
      <w:r>
        <w:rPr>
          <w:color w:val="231F20"/>
          <w:spacing w:val="-3"/>
        </w:rPr>
        <w:t>logra suficiente homogenización, </w:t>
      </w:r>
      <w:r>
        <w:rPr>
          <w:color w:val="231F20"/>
        </w:rPr>
        <w:t>se </w:t>
      </w:r>
      <w:r>
        <w:rPr>
          <w:color w:val="231F20"/>
          <w:spacing w:val="-3"/>
        </w:rPr>
        <w:t>constituyen pares categóricos </w:t>
      </w:r>
      <w:r>
        <w:rPr>
          <w:color w:val="231F20"/>
        </w:rPr>
        <w:t>que </w:t>
      </w:r>
      <w:r>
        <w:rPr>
          <w:color w:val="231F20"/>
          <w:spacing w:val="-3"/>
        </w:rPr>
        <w:t>expresan oposiciones referidas </w:t>
      </w:r>
      <w:r>
        <w:rPr>
          <w:color w:val="231F20"/>
        </w:rPr>
        <w:t>a </w:t>
      </w:r>
      <w:r>
        <w:rPr>
          <w:color w:val="231F20"/>
          <w:spacing w:val="-3"/>
        </w:rPr>
        <w:t>construcciones sociales </w:t>
      </w:r>
      <w:r>
        <w:rPr>
          <w:color w:val="231F20"/>
        </w:rPr>
        <w:t>de </w:t>
      </w:r>
      <w:r>
        <w:rPr>
          <w:color w:val="231F20"/>
          <w:spacing w:val="-3"/>
        </w:rPr>
        <w:t>diferencias como </w:t>
      </w:r>
      <w:r>
        <w:rPr>
          <w:color w:val="231F20"/>
        </w:rPr>
        <w:t>las de </w:t>
      </w:r>
      <w:r>
        <w:rPr>
          <w:color w:val="231F20"/>
          <w:spacing w:val="-3"/>
        </w:rPr>
        <w:t>género, etnia, raza, territorialidad, etcétera. En este caso, estas oposiciones inciden </w:t>
      </w:r>
      <w:r>
        <w:rPr>
          <w:color w:val="231F20"/>
        </w:rPr>
        <w:t>en los </w:t>
      </w:r>
      <w:r>
        <w:rPr>
          <w:color w:val="231F20"/>
          <w:spacing w:val="-3"/>
        </w:rPr>
        <w:t>mercados básicos </w:t>
      </w:r>
      <w:r>
        <w:rPr>
          <w:color w:val="231F20"/>
          <w:spacing w:val="-8"/>
        </w:rPr>
        <w:t>y, </w:t>
      </w:r>
      <w:r>
        <w:rPr>
          <w:color w:val="231F20"/>
        </w:rPr>
        <w:t>a </w:t>
      </w:r>
      <w:r>
        <w:rPr>
          <w:color w:val="231F20"/>
          <w:spacing w:val="-3"/>
        </w:rPr>
        <w:t>través de procesos </w:t>
      </w:r>
      <w:r>
        <w:rPr>
          <w:color w:val="231F20"/>
        </w:rPr>
        <w:t>de </w:t>
      </w:r>
      <w:r>
        <w:rPr>
          <w:color w:val="231F20"/>
          <w:spacing w:val="-3"/>
        </w:rPr>
        <w:t>segregación </w:t>
      </w:r>
      <w:r>
        <w:rPr>
          <w:color w:val="231F20"/>
        </w:rPr>
        <w:t>y </w:t>
      </w:r>
      <w:r>
        <w:rPr>
          <w:color w:val="231F20"/>
          <w:spacing w:val="-3"/>
        </w:rPr>
        <w:t>discriminación, </w:t>
      </w:r>
      <w:r>
        <w:rPr>
          <w:color w:val="231F20"/>
        </w:rPr>
        <w:t>se </w:t>
      </w:r>
      <w:r>
        <w:rPr>
          <w:color w:val="231F20"/>
          <w:spacing w:val="-3"/>
        </w:rPr>
        <w:t>acoplan </w:t>
      </w:r>
      <w:r>
        <w:rPr>
          <w:color w:val="231F20"/>
        </w:rPr>
        <w:t>a las </w:t>
      </w:r>
      <w:r>
        <w:rPr>
          <w:color w:val="231F20"/>
          <w:spacing w:val="-3"/>
        </w:rPr>
        <w:t>dinámicas de clase</w:t>
      </w:r>
      <w:r>
        <w:rPr>
          <w:color w:val="231F20"/>
          <w:spacing w:val="-9"/>
        </w:rPr>
        <w:t> </w:t>
      </w:r>
      <w:r>
        <w:rPr>
          <w:color w:val="231F20"/>
          <w:spacing w:val="-3"/>
        </w:rPr>
        <w:t>reforzándolas.</w:t>
      </w:r>
      <w:r>
        <w:rPr>
          <w:color w:val="231F20"/>
          <w:spacing w:val="-9"/>
        </w:rPr>
        <w:t> </w:t>
      </w:r>
      <w:r>
        <w:rPr>
          <w:color w:val="231F20"/>
        </w:rPr>
        <w:t>Si</w:t>
      </w:r>
      <w:r>
        <w:rPr>
          <w:color w:val="231F20"/>
          <w:spacing w:val="-9"/>
        </w:rPr>
        <w:t> </w:t>
      </w:r>
      <w:r>
        <w:rPr>
          <w:color w:val="231F20"/>
          <w:spacing w:val="-3"/>
        </w:rPr>
        <w:t>esto</w:t>
      </w:r>
      <w:r>
        <w:rPr>
          <w:color w:val="231F20"/>
          <w:spacing w:val="-9"/>
        </w:rPr>
        <w:t> </w:t>
      </w:r>
      <w:r>
        <w:rPr>
          <w:color w:val="231F20"/>
          <w:spacing w:val="-3"/>
        </w:rPr>
        <w:t>sucede,</w:t>
      </w:r>
      <w:r>
        <w:rPr>
          <w:color w:val="231F20"/>
          <w:spacing w:val="-8"/>
        </w:rPr>
        <w:t> </w:t>
      </w:r>
      <w:r>
        <w:rPr>
          <w:color w:val="231F20"/>
        </w:rPr>
        <w:t>las</w:t>
      </w:r>
      <w:r>
        <w:rPr>
          <w:color w:val="231F20"/>
          <w:spacing w:val="-9"/>
        </w:rPr>
        <w:t> </w:t>
      </w:r>
      <w:r>
        <w:rPr>
          <w:color w:val="231F20"/>
          <w:spacing w:val="-3"/>
        </w:rPr>
        <w:t>desigualdades</w:t>
      </w:r>
      <w:r>
        <w:rPr>
          <w:color w:val="231F20"/>
          <w:spacing w:val="-9"/>
        </w:rPr>
        <w:t> </w:t>
      </w:r>
      <w:r>
        <w:rPr>
          <w:color w:val="231F20"/>
        </w:rPr>
        <w:t>de</w:t>
      </w:r>
      <w:r>
        <w:rPr>
          <w:color w:val="231F20"/>
          <w:spacing w:val="-9"/>
        </w:rPr>
        <w:t> </w:t>
      </w:r>
      <w:r>
        <w:rPr>
          <w:color w:val="231F20"/>
          <w:spacing w:val="-3"/>
        </w:rPr>
        <w:t>excedente</w:t>
      </w:r>
      <w:r>
        <w:rPr>
          <w:color w:val="231F20"/>
          <w:spacing w:val="-9"/>
        </w:rPr>
        <w:t> </w:t>
      </w:r>
      <w:r>
        <w:rPr>
          <w:color w:val="231F20"/>
          <w:spacing w:val="-3"/>
        </w:rPr>
        <w:t>tienden </w:t>
      </w:r>
      <w:r>
        <w:rPr>
          <w:color w:val="231F20"/>
        </w:rPr>
        <w:t>a </w:t>
      </w:r>
      <w:r>
        <w:rPr>
          <w:color w:val="231F20"/>
          <w:spacing w:val="-3"/>
        </w:rPr>
        <w:t>devenir persistentes; </w:t>
      </w:r>
      <w:r>
        <w:rPr>
          <w:color w:val="231F20"/>
        </w:rPr>
        <w:t>un </w:t>
      </w:r>
      <w:r>
        <w:rPr>
          <w:color w:val="231F20"/>
          <w:spacing w:val="-3"/>
        </w:rPr>
        <w:t>fenómeno recurrente </w:t>
      </w:r>
      <w:r>
        <w:rPr>
          <w:color w:val="231F20"/>
        </w:rPr>
        <w:t>en la </w:t>
      </w:r>
      <w:r>
        <w:rPr>
          <w:color w:val="231F20"/>
          <w:spacing w:val="-3"/>
        </w:rPr>
        <w:t>historia </w:t>
      </w:r>
      <w:r>
        <w:rPr>
          <w:color w:val="231F20"/>
        </w:rPr>
        <w:t>de </w:t>
      </w:r>
      <w:r>
        <w:rPr>
          <w:color w:val="231F20"/>
          <w:spacing w:val="-3"/>
        </w:rPr>
        <w:t>América Latina (Pérez Sáinz,</w:t>
      </w:r>
      <w:r>
        <w:rPr>
          <w:color w:val="231F20"/>
        </w:rPr>
        <w:t> </w:t>
      </w:r>
      <w:r>
        <w:rPr>
          <w:color w:val="231F20"/>
          <w:spacing w:val="-3"/>
        </w:rPr>
        <w:t>2014).</w:t>
      </w:r>
    </w:p>
    <w:p>
      <w:pPr>
        <w:pStyle w:val="BodyText"/>
        <w:spacing w:line="249" w:lineRule="auto" w:before="1"/>
        <w:ind w:left="113" w:firstLine="283"/>
      </w:pPr>
      <w:r>
        <w:rPr>
          <w:color w:val="231F20"/>
        </w:rPr>
        <w:t>A </w:t>
      </w:r>
      <w:r>
        <w:rPr>
          <w:color w:val="231F20"/>
          <w:spacing w:val="-3"/>
        </w:rPr>
        <w:t>partir </w:t>
      </w:r>
      <w:r>
        <w:rPr>
          <w:color w:val="231F20"/>
        </w:rPr>
        <w:t>de </w:t>
      </w:r>
      <w:r>
        <w:rPr>
          <w:color w:val="231F20"/>
          <w:spacing w:val="-3"/>
        </w:rPr>
        <w:t>estas premisas analíticas, postulamos </w:t>
      </w:r>
      <w:r>
        <w:rPr>
          <w:color w:val="231F20"/>
        </w:rPr>
        <w:t>la </w:t>
      </w:r>
      <w:r>
        <w:rPr>
          <w:color w:val="231F20"/>
          <w:spacing w:val="-3"/>
        </w:rPr>
        <w:t>existencia </w:t>
      </w:r>
      <w:r>
        <w:rPr>
          <w:color w:val="231F20"/>
        </w:rPr>
        <w:t>de </w:t>
      </w:r>
      <w:r>
        <w:rPr>
          <w:color w:val="231F20"/>
          <w:spacing w:val="-3"/>
        </w:rPr>
        <w:t>dos campos </w:t>
      </w:r>
      <w:r>
        <w:rPr>
          <w:color w:val="231F20"/>
        </w:rPr>
        <w:t>de </w:t>
      </w:r>
      <w:r>
        <w:rPr>
          <w:color w:val="231F20"/>
          <w:spacing w:val="-3"/>
        </w:rPr>
        <w:t>desigualdades </w:t>
      </w:r>
      <w:r>
        <w:rPr>
          <w:color w:val="231F20"/>
        </w:rPr>
        <w:t>de </w:t>
      </w:r>
      <w:r>
        <w:rPr>
          <w:color w:val="231F20"/>
          <w:spacing w:val="-3"/>
        </w:rPr>
        <w:t>excedente </w:t>
      </w:r>
      <w:r>
        <w:rPr>
          <w:color w:val="231F20"/>
        </w:rPr>
        <w:t>en el </w:t>
      </w:r>
      <w:r>
        <w:rPr>
          <w:color w:val="231F20"/>
          <w:spacing w:val="-3"/>
        </w:rPr>
        <w:t>capitalismo </w:t>
      </w:r>
      <w:r>
        <w:rPr>
          <w:color w:val="231F20"/>
        </w:rPr>
        <w:t>que </w:t>
      </w:r>
      <w:r>
        <w:rPr>
          <w:color w:val="231F20"/>
          <w:spacing w:val="-3"/>
        </w:rPr>
        <w:t>reflejan  dos</w:t>
      </w:r>
    </w:p>
    <w:p>
      <w:pPr>
        <w:pStyle w:val="BodyText"/>
        <w:spacing w:before="4"/>
        <w:rPr>
          <w:sz w:val="19"/>
        </w:rPr>
      </w:pPr>
    </w:p>
    <w:p>
      <w:pPr>
        <w:spacing w:before="1"/>
        <w:ind w:left="113" w:right="108" w:firstLine="0"/>
        <w:jc w:val="both"/>
        <w:rPr>
          <w:sz w:val="14"/>
        </w:rPr>
      </w:pPr>
      <w:r>
        <w:rPr>
          <w:color w:val="231F20"/>
          <w:sz w:val="14"/>
        </w:rPr>
        <w:t>*</w:t>
      </w:r>
      <w:r>
        <w:rPr>
          <w:color w:val="231F20"/>
          <w:spacing w:val="-8"/>
          <w:sz w:val="14"/>
        </w:rPr>
        <w:t> </w:t>
      </w:r>
      <w:r>
        <w:rPr>
          <w:color w:val="231F20"/>
          <w:sz w:val="14"/>
        </w:rPr>
        <w:t>Investigador</w:t>
      </w:r>
      <w:r>
        <w:rPr>
          <w:color w:val="231F20"/>
          <w:spacing w:val="-8"/>
          <w:sz w:val="14"/>
        </w:rPr>
        <w:t> </w:t>
      </w:r>
      <w:r>
        <w:rPr>
          <w:color w:val="231F20"/>
          <w:sz w:val="14"/>
        </w:rPr>
        <w:t>de</w:t>
      </w:r>
      <w:r>
        <w:rPr>
          <w:color w:val="231F20"/>
          <w:spacing w:val="-8"/>
          <w:sz w:val="14"/>
        </w:rPr>
        <w:t> </w:t>
      </w:r>
      <w:r>
        <w:rPr>
          <w:color w:val="231F20"/>
          <w:sz w:val="14"/>
        </w:rPr>
        <w:t>FLACSO-Costa</w:t>
      </w:r>
      <w:r>
        <w:rPr>
          <w:color w:val="231F20"/>
          <w:spacing w:val="-8"/>
          <w:sz w:val="14"/>
        </w:rPr>
        <w:t> </w:t>
      </w:r>
      <w:r>
        <w:rPr>
          <w:color w:val="231F20"/>
          <w:sz w:val="14"/>
        </w:rPr>
        <w:t>Rica.</w:t>
      </w:r>
      <w:r>
        <w:rPr>
          <w:color w:val="231F20"/>
          <w:spacing w:val="-8"/>
          <w:sz w:val="14"/>
        </w:rPr>
        <w:t> </w:t>
      </w:r>
      <w:r>
        <w:rPr>
          <w:color w:val="231F20"/>
          <w:sz w:val="14"/>
        </w:rPr>
        <w:t>Este</w:t>
      </w:r>
      <w:r>
        <w:rPr>
          <w:color w:val="231F20"/>
          <w:spacing w:val="-8"/>
          <w:sz w:val="14"/>
        </w:rPr>
        <w:t> </w:t>
      </w:r>
      <w:r>
        <w:rPr>
          <w:color w:val="231F20"/>
          <w:sz w:val="14"/>
        </w:rPr>
        <w:t>artículo</w:t>
      </w:r>
      <w:r>
        <w:rPr>
          <w:color w:val="231F20"/>
          <w:spacing w:val="-8"/>
          <w:sz w:val="14"/>
        </w:rPr>
        <w:t> </w:t>
      </w:r>
      <w:r>
        <w:rPr>
          <w:color w:val="231F20"/>
          <w:sz w:val="14"/>
        </w:rPr>
        <w:t>es</w:t>
      </w:r>
      <w:r>
        <w:rPr>
          <w:color w:val="231F20"/>
          <w:spacing w:val="-8"/>
          <w:sz w:val="14"/>
        </w:rPr>
        <w:t> </w:t>
      </w:r>
      <w:r>
        <w:rPr>
          <w:color w:val="231F20"/>
          <w:sz w:val="14"/>
        </w:rPr>
        <w:t>una</w:t>
      </w:r>
      <w:r>
        <w:rPr>
          <w:color w:val="231F20"/>
          <w:spacing w:val="-8"/>
          <w:sz w:val="14"/>
        </w:rPr>
        <w:t> </w:t>
      </w:r>
      <w:r>
        <w:rPr>
          <w:color w:val="231F20"/>
          <w:sz w:val="14"/>
        </w:rPr>
        <w:t>versión</w:t>
      </w:r>
      <w:r>
        <w:rPr>
          <w:color w:val="231F20"/>
          <w:spacing w:val="-8"/>
          <w:sz w:val="14"/>
        </w:rPr>
        <w:t> </w:t>
      </w:r>
      <w:r>
        <w:rPr>
          <w:color w:val="231F20"/>
          <w:sz w:val="14"/>
        </w:rPr>
        <w:t>en</w:t>
      </w:r>
      <w:r>
        <w:rPr>
          <w:color w:val="231F20"/>
          <w:spacing w:val="-8"/>
          <w:sz w:val="14"/>
        </w:rPr>
        <w:t> </w:t>
      </w:r>
      <w:r>
        <w:rPr>
          <w:color w:val="231F20"/>
          <w:sz w:val="14"/>
        </w:rPr>
        <w:t>español,</w:t>
      </w:r>
      <w:r>
        <w:rPr>
          <w:color w:val="231F20"/>
          <w:spacing w:val="-8"/>
          <w:sz w:val="14"/>
        </w:rPr>
        <w:t> </w:t>
      </w:r>
      <w:r>
        <w:rPr>
          <w:color w:val="231F20"/>
          <w:sz w:val="14"/>
        </w:rPr>
        <w:t>ligeramente</w:t>
      </w:r>
      <w:r>
        <w:rPr>
          <w:color w:val="231F20"/>
          <w:spacing w:val="-8"/>
          <w:sz w:val="14"/>
        </w:rPr>
        <w:t> </w:t>
      </w:r>
      <w:r>
        <w:rPr>
          <w:color w:val="231F20"/>
          <w:sz w:val="14"/>
        </w:rPr>
        <w:t>modificada, del capítulo “Globalisierung und Arbeitsbeziehungen in Lateinamerika zwischen Prekarisierung und der</w:t>
      </w:r>
      <w:r>
        <w:rPr>
          <w:color w:val="231F20"/>
          <w:spacing w:val="-2"/>
          <w:sz w:val="14"/>
        </w:rPr>
        <w:t> </w:t>
      </w:r>
      <w:r>
        <w:rPr>
          <w:color w:val="231F20"/>
          <w:sz w:val="14"/>
        </w:rPr>
        <w:t>Utopie</w:t>
      </w:r>
      <w:r>
        <w:rPr>
          <w:color w:val="231F20"/>
          <w:spacing w:val="-2"/>
          <w:sz w:val="14"/>
        </w:rPr>
        <w:t> </w:t>
      </w:r>
      <w:r>
        <w:rPr>
          <w:color w:val="231F20"/>
          <w:sz w:val="14"/>
        </w:rPr>
        <w:t>der</w:t>
      </w:r>
      <w:r>
        <w:rPr>
          <w:color w:val="231F20"/>
          <w:spacing w:val="-2"/>
          <w:sz w:val="14"/>
        </w:rPr>
        <w:t> </w:t>
      </w:r>
      <w:r>
        <w:rPr>
          <w:color w:val="231F20"/>
          <w:sz w:val="14"/>
        </w:rPr>
        <w:t>‘employability’”,</w:t>
      </w:r>
      <w:r>
        <w:rPr>
          <w:color w:val="231F20"/>
          <w:spacing w:val="-2"/>
          <w:sz w:val="14"/>
        </w:rPr>
        <w:t> </w:t>
      </w:r>
      <w:r>
        <w:rPr>
          <w:color w:val="231F20"/>
          <w:sz w:val="14"/>
        </w:rPr>
        <w:t>en</w:t>
      </w:r>
      <w:r>
        <w:rPr>
          <w:color w:val="231F20"/>
          <w:spacing w:val="-2"/>
          <w:sz w:val="14"/>
        </w:rPr>
        <w:t> </w:t>
      </w:r>
      <w:r>
        <w:rPr>
          <w:color w:val="231F20"/>
          <w:sz w:val="14"/>
        </w:rPr>
        <w:t>H.-J.</w:t>
      </w:r>
      <w:r>
        <w:rPr>
          <w:color w:val="231F20"/>
          <w:spacing w:val="-2"/>
          <w:sz w:val="14"/>
        </w:rPr>
        <w:t> </w:t>
      </w:r>
      <w:r>
        <w:rPr>
          <w:color w:val="231F20"/>
          <w:sz w:val="14"/>
        </w:rPr>
        <w:t>Burchardt,</w:t>
      </w:r>
      <w:r>
        <w:rPr>
          <w:color w:val="231F20"/>
          <w:spacing w:val="-2"/>
          <w:sz w:val="14"/>
        </w:rPr>
        <w:t> </w:t>
      </w:r>
      <w:r>
        <w:rPr>
          <w:color w:val="231F20"/>
          <w:sz w:val="14"/>
        </w:rPr>
        <w:t>S.</w:t>
      </w:r>
      <w:r>
        <w:rPr>
          <w:color w:val="231F20"/>
          <w:spacing w:val="-2"/>
          <w:sz w:val="14"/>
        </w:rPr>
        <w:t> </w:t>
      </w:r>
      <w:r>
        <w:rPr>
          <w:color w:val="231F20"/>
          <w:sz w:val="14"/>
        </w:rPr>
        <w:t>Peters</w:t>
      </w:r>
      <w:r>
        <w:rPr>
          <w:color w:val="231F20"/>
          <w:spacing w:val="-2"/>
          <w:sz w:val="14"/>
        </w:rPr>
        <w:t> </w:t>
      </w:r>
      <w:r>
        <w:rPr>
          <w:color w:val="231F20"/>
          <w:sz w:val="14"/>
        </w:rPr>
        <w:t>y</w:t>
      </w:r>
      <w:r>
        <w:rPr>
          <w:color w:val="231F20"/>
          <w:spacing w:val="-2"/>
          <w:sz w:val="14"/>
        </w:rPr>
        <w:t> </w:t>
      </w:r>
      <w:r>
        <w:rPr>
          <w:color w:val="231F20"/>
          <w:sz w:val="14"/>
        </w:rPr>
        <w:t>N.</w:t>
      </w:r>
      <w:r>
        <w:rPr>
          <w:color w:val="231F20"/>
          <w:spacing w:val="-5"/>
          <w:sz w:val="14"/>
        </w:rPr>
        <w:t> </w:t>
      </w:r>
      <w:r>
        <w:rPr>
          <w:color w:val="231F20"/>
          <w:sz w:val="14"/>
        </w:rPr>
        <w:t>Weinmann</w:t>
      </w:r>
      <w:r>
        <w:rPr>
          <w:color w:val="231F20"/>
          <w:spacing w:val="-3"/>
          <w:sz w:val="14"/>
        </w:rPr>
        <w:t> </w:t>
      </w:r>
      <w:r>
        <w:rPr>
          <w:color w:val="231F20"/>
          <w:sz w:val="14"/>
        </w:rPr>
        <w:t>(eds.):</w:t>
      </w:r>
      <w:r>
        <w:rPr>
          <w:color w:val="231F20"/>
          <w:spacing w:val="-2"/>
          <w:sz w:val="14"/>
        </w:rPr>
        <w:t> </w:t>
      </w:r>
      <w:r>
        <w:rPr>
          <w:i/>
          <w:color w:val="231F20"/>
          <w:sz w:val="14"/>
        </w:rPr>
        <w:t>Arbeit</w:t>
      </w:r>
      <w:r>
        <w:rPr>
          <w:i/>
          <w:color w:val="231F20"/>
          <w:spacing w:val="-2"/>
          <w:sz w:val="14"/>
        </w:rPr>
        <w:t> </w:t>
      </w:r>
      <w:r>
        <w:rPr>
          <w:i/>
          <w:color w:val="231F20"/>
          <w:sz w:val="14"/>
        </w:rPr>
        <w:t>in</w:t>
      </w:r>
      <w:r>
        <w:rPr>
          <w:i/>
          <w:color w:val="231F20"/>
          <w:spacing w:val="-2"/>
          <w:sz w:val="14"/>
        </w:rPr>
        <w:t> </w:t>
      </w:r>
      <w:r>
        <w:rPr>
          <w:i/>
          <w:color w:val="231F20"/>
          <w:sz w:val="14"/>
        </w:rPr>
        <w:t>globaler </w:t>
      </w:r>
      <w:r>
        <w:rPr>
          <w:i/>
          <w:color w:val="231F20"/>
          <w:sz w:val="14"/>
        </w:rPr>
        <w:t>Perspektive. Facetten informeller Beschäftigung </w:t>
      </w:r>
      <w:r>
        <w:rPr>
          <w:color w:val="231F20"/>
          <w:sz w:val="14"/>
        </w:rPr>
        <w:t>(Frankfurt Main, Campus,</w:t>
      </w:r>
      <w:r>
        <w:rPr>
          <w:color w:val="231F20"/>
          <w:spacing w:val="-8"/>
          <w:sz w:val="14"/>
        </w:rPr>
        <w:t> </w:t>
      </w:r>
      <w:r>
        <w:rPr>
          <w:color w:val="231F20"/>
          <w:sz w:val="14"/>
        </w:rPr>
        <w:t>2013).</w:t>
      </w:r>
    </w:p>
    <w:p>
      <w:pPr>
        <w:spacing w:after="0"/>
        <w:jc w:val="both"/>
        <w:rPr>
          <w:sz w:val="14"/>
        </w:rPr>
        <w:sectPr>
          <w:footerReference w:type="default" r:id="rId18"/>
          <w:pgSz w:w="7770" w:h="11740"/>
          <w:pgMar w:footer="474" w:header="0" w:top="820" w:bottom="660" w:left="1020" w:right="740"/>
          <w:pgNumType w:start="19"/>
        </w:sectPr>
      </w:pPr>
    </w:p>
    <w:p>
      <w:pPr>
        <w:pStyle w:val="BodyText"/>
        <w:spacing w:line="249" w:lineRule="auto" w:before="50"/>
        <w:ind w:left="110" w:right="111"/>
        <w:jc w:val="both"/>
      </w:pPr>
      <w:r>
        <w:rPr>
          <w:color w:val="231F20"/>
          <w:spacing w:val="-3"/>
        </w:rPr>
        <w:t>mecanismos básicos </w:t>
      </w:r>
      <w:r>
        <w:rPr>
          <w:color w:val="231F20"/>
        </w:rPr>
        <w:t>de </w:t>
      </w:r>
      <w:r>
        <w:rPr>
          <w:color w:val="231F20"/>
          <w:spacing w:val="-3"/>
        </w:rPr>
        <w:t>generación </w:t>
      </w:r>
      <w:r>
        <w:rPr>
          <w:color w:val="231F20"/>
        </w:rPr>
        <w:t>y </w:t>
      </w:r>
      <w:r>
        <w:rPr>
          <w:color w:val="231F20"/>
          <w:spacing w:val="-3"/>
        </w:rPr>
        <w:t>apropiación </w:t>
      </w:r>
      <w:r>
        <w:rPr>
          <w:color w:val="231F20"/>
        </w:rPr>
        <w:t>de </w:t>
      </w:r>
      <w:r>
        <w:rPr>
          <w:color w:val="231F20"/>
          <w:spacing w:val="-3"/>
        </w:rPr>
        <w:t>excedente: </w:t>
      </w:r>
      <w:r>
        <w:rPr>
          <w:color w:val="231F20"/>
        </w:rPr>
        <w:t>la </w:t>
      </w:r>
      <w:r>
        <w:rPr>
          <w:color w:val="231F20"/>
          <w:spacing w:val="-3"/>
        </w:rPr>
        <w:t>explo- tación </w:t>
      </w:r>
      <w:r>
        <w:rPr>
          <w:color w:val="231F20"/>
        </w:rPr>
        <w:t>y el </w:t>
      </w:r>
      <w:r>
        <w:rPr>
          <w:color w:val="231F20"/>
          <w:spacing w:val="-3"/>
        </w:rPr>
        <w:t>acaparamiento </w:t>
      </w:r>
      <w:r>
        <w:rPr>
          <w:color w:val="231F20"/>
        </w:rPr>
        <w:t>de </w:t>
      </w:r>
      <w:r>
        <w:rPr>
          <w:color w:val="231F20"/>
          <w:spacing w:val="-3"/>
        </w:rPr>
        <w:t>oportunidades </w:t>
      </w:r>
      <w:r>
        <w:rPr>
          <w:color w:val="231F20"/>
          <w:spacing w:val="-6"/>
        </w:rPr>
        <w:t>(Tilly, </w:t>
      </w:r>
      <w:r>
        <w:rPr>
          <w:color w:val="231F20"/>
          <w:spacing w:val="-3"/>
        </w:rPr>
        <w:t>1999). </w:t>
      </w:r>
      <w:r>
        <w:rPr>
          <w:color w:val="231F20"/>
        </w:rPr>
        <w:t>El </w:t>
      </w:r>
      <w:r>
        <w:rPr>
          <w:color w:val="231F20"/>
          <w:spacing w:val="-3"/>
        </w:rPr>
        <w:t>primero tiene </w:t>
      </w:r>
      <w:r>
        <w:rPr>
          <w:color w:val="231F20"/>
        </w:rPr>
        <w:t>que</w:t>
      </w:r>
      <w:r>
        <w:rPr>
          <w:color w:val="231F20"/>
          <w:spacing w:val="-9"/>
        </w:rPr>
        <w:t> </w:t>
      </w:r>
      <w:r>
        <w:rPr>
          <w:color w:val="231F20"/>
        </w:rPr>
        <w:t>ver</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spacing w:val="-3"/>
        </w:rPr>
        <w:t>condiciones</w:t>
      </w:r>
      <w:r>
        <w:rPr>
          <w:color w:val="231F20"/>
          <w:spacing w:val="-10"/>
        </w:rPr>
        <w:t> </w:t>
      </w:r>
      <w:r>
        <w:rPr>
          <w:color w:val="231F20"/>
        </w:rPr>
        <w:t>de</w:t>
      </w:r>
      <w:r>
        <w:rPr>
          <w:color w:val="231F20"/>
          <w:spacing w:val="-9"/>
        </w:rPr>
        <w:t> </w:t>
      </w:r>
      <w:r>
        <w:rPr>
          <w:color w:val="231F20"/>
          <w:spacing w:val="-3"/>
        </w:rPr>
        <w:t>explotación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fuerza</w:t>
      </w:r>
      <w:r>
        <w:rPr>
          <w:color w:val="231F20"/>
          <w:spacing w:val="-9"/>
        </w:rPr>
        <w:t> </w:t>
      </w:r>
      <w:r>
        <w:rPr>
          <w:color w:val="231F20"/>
        </w:rPr>
        <w:t>de</w:t>
      </w:r>
      <w:r>
        <w:rPr>
          <w:color w:val="231F20"/>
          <w:spacing w:val="-9"/>
        </w:rPr>
        <w:t> </w:t>
      </w:r>
      <w:r>
        <w:rPr>
          <w:color w:val="231F20"/>
          <w:spacing w:val="-3"/>
        </w:rPr>
        <w:t>trabajo</w:t>
      </w:r>
      <w:r>
        <w:rPr>
          <w:color w:val="231F20"/>
          <w:spacing w:val="-9"/>
        </w:rPr>
        <w:t> </w:t>
      </w:r>
      <w:r>
        <w:rPr>
          <w:color w:val="231F20"/>
        </w:rPr>
        <w:t>y</w:t>
      </w:r>
      <w:r>
        <w:rPr>
          <w:color w:val="231F20"/>
          <w:spacing w:val="-9"/>
        </w:rPr>
        <w:t> </w:t>
      </w:r>
      <w:r>
        <w:rPr>
          <w:color w:val="231F20"/>
        </w:rPr>
        <w:t>se</w:t>
      </w:r>
      <w:r>
        <w:rPr>
          <w:color w:val="231F20"/>
          <w:spacing w:val="-9"/>
        </w:rPr>
        <w:t> </w:t>
      </w:r>
      <w:r>
        <w:rPr>
          <w:color w:val="231F20"/>
          <w:spacing w:val="-3"/>
        </w:rPr>
        <w:t>ma- terializa </w:t>
      </w:r>
      <w:r>
        <w:rPr>
          <w:color w:val="231F20"/>
        </w:rPr>
        <w:t>en el </w:t>
      </w:r>
      <w:r>
        <w:rPr>
          <w:color w:val="231F20"/>
          <w:spacing w:val="-3"/>
        </w:rPr>
        <w:t>mercado laboral. </w:t>
      </w:r>
      <w:r>
        <w:rPr>
          <w:color w:val="231F20"/>
        </w:rPr>
        <w:t>La </w:t>
      </w:r>
      <w:r>
        <w:rPr>
          <w:color w:val="231F20"/>
          <w:spacing w:val="-3"/>
        </w:rPr>
        <w:t>pugna </w:t>
      </w:r>
      <w:r>
        <w:rPr>
          <w:color w:val="231F20"/>
        </w:rPr>
        <w:t>en </w:t>
      </w:r>
      <w:r>
        <w:rPr>
          <w:color w:val="231F20"/>
          <w:spacing w:val="-3"/>
        </w:rPr>
        <w:t>este campo </w:t>
      </w:r>
      <w:r>
        <w:rPr>
          <w:color w:val="231F20"/>
        </w:rPr>
        <w:t>se </w:t>
      </w:r>
      <w:r>
        <w:rPr>
          <w:color w:val="231F20"/>
          <w:spacing w:val="-3"/>
        </w:rPr>
        <w:t>expresa </w:t>
      </w:r>
      <w:r>
        <w:rPr>
          <w:color w:val="231F20"/>
        </w:rPr>
        <w:t>en </w:t>
      </w:r>
      <w:r>
        <w:rPr>
          <w:color w:val="231F20"/>
          <w:spacing w:val="-4"/>
        </w:rPr>
        <w:t>tér- </w:t>
      </w:r>
      <w:r>
        <w:rPr>
          <w:color w:val="231F20"/>
          <w:spacing w:val="-3"/>
        </w:rPr>
        <w:t>minos</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spacing w:val="-3"/>
        </w:rPr>
        <w:t>dicotomía</w:t>
      </w:r>
      <w:r>
        <w:rPr>
          <w:color w:val="231F20"/>
          <w:spacing w:val="-12"/>
        </w:rPr>
        <w:t> </w:t>
      </w:r>
      <w:r>
        <w:rPr>
          <w:color w:val="231F20"/>
          <w:spacing w:val="-3"/>
        </w:rPr>
        <w:t>entre</w:t>
      </w:r>
      <w:r>
        <w:rPr>
          <w:color w:val="231F20"/>
          <w:spacing w:val="-12"/>
        </w:rPr>
        <w:t> </w:t>
      </w:r>
      <w:r>
        <w:rPr>
          <w:color w:val="231F20"/>
          <w:spacing w:val="-3"/>
        </w:rPr>
        <w:t>trabajo</w:t>
      </w:r>
      <w:r>
        <w:rPr>
          <w:color w:val="231F20"/>
          <w:spacing w:val="-13"/>
        </w:rPr>
        <w:t> </w:t>
      </w:r>
      <w:r>
        <w:rPr>
          <w:i/>
          <w:color w:val="231F20"/>
          <w:spacing w:val="-3"/>
        </w:rPr>
        <w:t>versus</w:t>
      </w:r>
      <w:r>
        <w:rPr>
          <w:i/>
          <w:color w:val="231F20"/>
          <w:spacing w:val="-12"/>
        </w:rPr>
        <w:t> </w:t>
      </w:r>
      <w:r>
        <w:rPr>
          <w:color w:val="231F20"/>
          <w:spacing w:val="-3"/>
        </w:rPr>
        <w:t>empleo,</w:t>
      </w:r>
      <w:r>
        <w:rPr>
          <w:color w:val="231F20"/>
          <w:spacing w:val="-13"/>
        </w:rPr>
        <w:t> </w:t>
      </w:r>
      <w:r>
        <w:rPr>
          <w:color w:val="231F20"/>
          <w:spacing w:val="-3"/>
        </w:rPr>
        <w:t>entendiendo</w:t>
      </w:r>
      <w:r>
        <w:rPr>
          <w:color w:val="231F20"/>
          <w:spacing w:val="-13"/>
        </w:rPr>
        <w:t> </w:t>
      </w:r>
      <w:r>
        <w:rPr>
          <w:color w:val="231F20"/>
          <w:spacing w:val="-3"/>
        </w:rPr>
        <w:t>este</w:t>
      </w:r>
      <w:r>
        <w:rPr>
          <w:color w:val="231F20"/>
          <w:spacing w:val="-12"/>
        </w:rPr>
        <w:t> </w:t>
      </w:r>
      <w:r>
        <w:rPr>
          <w:color w:val="231F20"/>
          <w:spacing w:val="-3"/>
        </w:rPr>
        <w:t>último siguiendo </w:t>
      </w:r>
      <w:r>
        <w:rPr>
          <w:color w:val="231F20"/>
        </w:rPr>
        <w:t>como trabajo con estatuto de garantías no mercantiles (Castel, 1997). En este sentido, cuando se pugna por condiciones de explotación basadas en el predominio de trabajo se está ante un campo signado por una gran asimetría a favor del capital; por el contrario, cuando</w:t>
      </w:r>
      <w:r>
        <w:rPr>
          <w:color w:val="231F20"/>
          <w:spacing w:val="-23"/>
        </w:rPr>
        <w:t> </w:t>
      </w:r>
      <w:r>
        <w:rPr>
          <w:color w:val="231F20"/>
        </w:rPr>
        <w:t>prevalece el empleo, la asimetría se ha relativizado. El segundo campo sería el de las condiciones de acaparamiento de las oportunidades de acumulación y su ámbito de materialización son los otros mercados básicos (tierra, capitales, etc.). En este caso la dicotomía se expresa en términos de in- clusión </w:t>
      </w:r>
      <w:r>
        <w:rPr>
          <w:i/>
          <w:color w:val="231F20"/>
        </w:rPr>
        <w:t>versus </w:t>
      </w:r>
      <w:r>
        <w:rPr>
          <w:color w:val="231F20"/>
        </w:rPr>
        <w:t>exclusión donde mercados cerrados mediante dinámicas de</w:t>
      </w:r>
      <w:r>
        <w:rPr>
          <w:color w:val="231F20"/>
          <w:spacing w:val="-9"/>
        </w:rPr>
        <w:t> </w:t>
      </w:r>
      <w:r>
        <w:rPr>
          <w:color w:val="231F20"/>
        </w:rPr>
        <w:t>monopolización</w:t>
      </w:r>
      <w:r>
        <w:rPr>
          <w:color w:val="231F20"/>
          <w:spacing w:val="-9"/>
        </w:rPr>
        <w:t> </w:t>
      </w:r>
      <w:r>
        <w:rPr>
          <w:color w:val="231F20"/>
        </w:rPr>
        <w:t>u</w:t>
      </w:r>
      <w:r>
        <w:rPr>
          <w:color w:val="231F20"/>
          <w:spacing w:val="-9"/>
        </w:rPr>
        <w:t> </w:t>
      </w:r>
      <w:r>
        <w:rPr>
          <w:color w:val="231F20"/>
        </w:rPr>
        <w:t>oligopolización</w:t>
      </w:r>
      <w:r>
        <w:rPr>
          <w:color w:val="231F20"/>
          <w:spacing w:val="-10"/>
        </w:rPr>
        <w:t> </w:t>
      </w:r>
      <w:r>
        <w:rPr>
          <w:color w:val="231F20"/>
        </w:rPr>
        <w:t>expresan</w:t>
      </w:r>
      <w:r>
        <w:rPr>
          <w:color w:val="231F20"/>
          <w:spacing w:val="-10"/>
        </w:rPr>
        <w:t> </w:t>
      </w:r>
      <w:r>
        <w:rPr>
          <w:color w:val="231F20"/>
        </w:rPr>
        <w:t>asimetrías</w:t>
      </w:r>
      <w:r>
        <w:rPr>
          <w:color w:val="231F20"/>
          <w:spacing w:val="-10"/>
        </w:rPr>
        <w:t> </w:t>
      </w:r>
      <w:r>
        <w:rPr>
          <w:color w:val="231F20"/>
        </w:rPr>
        <w:t>a</w:t>
      </w:r>
      <w:r>
        <w:rPr>
          <w:color w:val="231F20"/>
          <w:spacing w:val="-9"/>
        </w:rPr>
        <w:t> </w:t>
      </w:r>
      <w:r>
        <w:rPr>
          <w:color w:val="231F20"/>
        </w:rPr>
        <w:t>favor</w:t>
      </w:r>
      <w:r>
        <w:rPr>
          <w:color w:val="231F20"/>
          <w:spacing w:val="-9"/>
        </w:rPr>
        <w:t> </w:t>
      </w:r>
      <w:r>
        <w:rPr>
          <w:color w:val="231F20"/>
        </w:rPr>
        <w:t>de</w:t>
      </w:r>
      <w:r>
        <w:rPr>
          <w:color w:val="231F20"/>
          <w:spacing w:val="-9"/>
        </w:rPr>
        <w:t> </w:t>
      </w:r>
      <w:r>
        <w:rPr>
          <w:color w:val="231F20"/>
        </w:rPr>
        <w:t>cier- tos capitales mientras que mercados con cierto grado de apertura darían oportunidades a pequeños propietarios </w:t>
      </w:r>
      <w:r>
        <w:rPr>
          <w:color w:val="231F20"/>
          <w:spacing w:val="-3"/>
        </w:rPr>
        <w:t>(Pérez Sáinz,</w:t>
      </w:r>
      <w:r>
        <w:rPr>
          <w:color w:val="231F20"/>
          <w:spacing w:val="2"/>
        </w:rPr>
        <w:t> </w:t>
      </w:r>
      <w:r>
        <w:rPr>
          <w:color w:val="231F20"/>
          <w:spacing w:val="-3"/>
        </w:rPr>
        <w:t>2014).</w:t>
      </w:r>
    </w:p>
    <w:p>
      <w:pPr>
        <w:pStyle w:val="BodyText"/>
        <w:spacing w:line="249" w:lineRule="auto" w:before="1"/>
        <w:ind w:left="110" w:right="110" w:firstLine="283"/>
        <w:jc w:val="both"/>
      </w:pPr>
      <w:r>
        <w:rPr>
          <w:color w:val="231F20"/>
        </w:rPr>
        <w:t>El</w:t>
      </w:r>
      <w:r>
        <w:rPr>
          <w:color w:val="231F20"/>
          <w:spacing w:val="-7"/>
        </w:rPr>
        <w:t> </w:t>
      </w:r>
      <w:r>
        <w:rPr>
          <w:color w:val="231F20"/>
          <w:spacing w:val="-3"/>
        </w:rPr>
        <w:t>presente</w:t>
      </w:r>
      <w:r>
        <w:rPr>
          <w:color w:val="231F20"/>
          <w:spacing w:val="-7"/>
        </w:rPr>
        <w:t> </w:t>
      </w:r>
      <w:r>
        <w:rPr>
          <w:color w:val="231F20"/>
          <w:spacing w:val="-3"/>
        </w:rPr>
        <w:t>trabajo</w:t>
      </w:r>
      <w:r>
        <w:rPr>
          <w:color w:val="231F20"/>
          <w:spacing w:val="-7"/>
        </w:rPr>
        <w:t> </w:t>
      </w:r>
      <w:r>
        <w:rPr>
          <w:color w:val="231F20"/>
          <w:spacing w:val="-3"/>
        </w:rPr>
        <w:t>quiere</w:t>
      </w:r>
      <w:r>
        <w:rPr>
          <w:color w:val="231F20"/>
          <w:spacing w:val="-7"/>
        </w:rPr>
        <w:t> </w:t>
      </w:r>
      <w:r>
        <w:rPr>
          <w:color w:val="231F20"/>
          <w:spacing w:val="-3"/>
        </w:rPr>
        <w:t>reflexionar</w:t>
      </w:r>
      <w:r>
        <w:rPr>
          <w:color w:val="231F20"/>
          <w:spacing w:val="-7"/>
        </w:rPr>
        <w:t> </w:t>
      </w:r>
      <w:r>
        <w:rPr>
          <w:color w:val="231F20"/>
          <w:spacing w:val="-3"/>
        </w:rPr>
        <w:t>sobre</w:t>
      </w:r>
      <w:r>
        <w:rPr>
          <w:color w:val="231F20"/>
          <w:spacing w:val="-7"/>
        </w:rPr>
        <w:t> </w:t>
      </w:r>
      <w:r>
        <w:rPr>
          <w:color w:val="231F20"/>
        </w:rPr>
        <w:t>la</w:t>
      </w:r>
      <w:r>
        <w:rPr>
          <w:color w:val="231F20"/>
          <w:spacing w:val="-7"/>
        </w:rPr>
        <w:t> </w:t>
      </w:r>
      <w:r>
        <w:rPr>
          <w:color w:val="231F20"/>
          <w:spacing w:val="-3"/>
        </w:rPr>
        <w:t>configuración</w:t>
      </w:r>
      <w:r>
        <w:rPr>
          <w:color w:val="231F20"/>
          <w:spacing w:val="-7"/>
        </w:rPr>
        <w:t> </w:t>
      </w:r>
      <w:r>
        <w:rPr>
          <w:color w:val="231F20"/>
        </w:rPr>
        <w:t>del</w:t>
      </w:r>
      <w:r>
        <w:rPr>
          <w:color w:val="231F20"/>
          <w:spacing w:val="-7"/>
        </w:rPr>
        <w:t> </w:t>
      </w:r>
      <w:r>
        <w:rPr>
          <w:color w:val="231F20"/>
          <w:spacing w:val="-3"/>
        </w:rPr>
        <w:t>prime- </w:t>
      </w:r>
      <w:r>
        <w:rPr>
          <w:color w:val="231F20"/>
        </w:rPr>
        <w:t>ro de </w:t>
      </w:r>
      <w:r>
        <w:rPr>
          <w:color w:val="231F20"/>
          <w:spacing w:val="-3"/>
        </w:rPr>
        <w:t>estos </w:t>
      </w:r>
      <w:r>
        <w:rPr>
          <w:color w:val="231F20"/>
        </w:rPr>
        <w:t>dos </w:t>
      </w:r>
      <w:r>
        <w:rPr>
          <w:color w:val="231F20"/>
          <w:spacing w:val="-3"/>
        </w:rPr>
        <w:t>campos </w:t>
      </w:r>
      <w:r>
        <w:rPr>
          <w:color w:val="231F20"/>
        </w:rPr>
        <w:t>de </w:t>
      </w:r>
      <w:r>
        <w:rPr>
          <w:color w:val="231F20"/>
          <w:spacing w:val="-3"/>
        </w:rPr>
        <w:t>desigualdades </w:t>
      </w:r>
      <w:r>
        <w:rPr>
          <w:color w:val="231F20"/>
        </w:rPr>
        <w:t>de </w:t>
      </w:r>
      <w:r>
        <w:rPr>
          <w:color w:val="231F20"/>
          <w:spacing w:val="-3"/>
        </w:rPr>
        <w:t>excedente </w:t>
      </w:r>
      <w:r>
        <w:rPr>
          <w:color w:val="231F20"/>
        </w:rPr>
        <w:t>en </w:t>
      </w:r>
      <w:r>
        <w:rPr>
          <w:color w:val="231F20"/>
          <w:spacing w:val="-3"/>
        </w:rPr>
        <w:t>América Latina </w:t>
      </w:r>
      <w:r>
        <w:rPr>
          <w:color w:val="231F20"/>
        </w:rPr>
        <w:t>en el </w:t>
      </w:r>
      <w:r>
        <w:rPr>
          <w:color w:val="231F20"/>
          <w:spacing w:val="-3"/>
        </w:rPr>
        <w:t>actual momento </w:t>
      </w:r>
      <w:r>
        <w:rPr>
          <w:color w:val="231F20"/>
        </w:rPr>
        <w:t>de </w:t>
      </w:r>
      <w:r>
        <w:rPr>
          <w:color w:val="231F20"/>
          <w:spacing w:val="-3"/>
        </w:rPr>
        <w:t>globalización. </w:t>
      </w:r>
      <w:r>
        <w:rPr>
          <w:color w:val="231F20"/>
        </w:rPr>
        <w:t>En términos de condiciones de explotación, la globalización ha inducido cuatro procesos: el declive re- lativo del empleo público; la precarización de las relaciones salariales; la empleabilidad como la nueva utopía laboral del (neo)liberalismo; y la emergencia del desempleo estructural </w:t>
      </w:r>
      <w:r>
        <w:rPr>
          <w:color w:val="231F20"/>
          <w:spacing w:val="-3"/>
        </w:rPr>
        <w:t>(Pérez Sáinz, 2014). </w:t>
      </w:r>
      <w:r>
        <w:rPr>
          <w:color w:val="231F20"/>
        </w:rPr>
        <w:t>Los dos pri- meros se abordarán en un primer apartado mientras los restantes en un segundo acápite. En todos ellos se trata de identificar cómo la oposición trabajo </w:t>
      </w:r>
      <w:r>
        <w:rPr>
          <w:i/>
          <w:color w:val="231F20"/>
        </w:rPr>
        <w:t>versus </w:t>
      </w:r>
      <w:r>
        <w:rPr>
          <w:color w:val="231F20"/>
        </w:rPr>
        <w:t>empleo, que define a este campo de desigualdades de ex- cedente,</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materializado.</w:t>
      </w:r>
      <w:r>
        <w:rPr>
          <w:color w:val="231F20"/>
          <w:spacing w:val="-8"/>
        </w:rPr>
        <w:t> </w:t>
      </w:r>
      <w:r>
        <w:rPr>
          <w:color w:val="231F20"/>
        </w:rPr>
        <w:t>En</w:t>
      </w:r>
      <w:r>
        <w:rPr>
          <w:color w:val="231F20"/>
          <w:spacing w:val="-7"/>
        </w:rPr>
        <w:t> </w:t>
      </w:r>
      <w:r>
        <w:rPr>
          <w:color w:val="231F20"/>
        </w:rPr>
        <w:t>un</w:t>
      </w:r>
      <w:r>
        <w:rPr>
          <w:color w:val="231F20"/>
          <w:spacing w:val="-7"/>
        </w:rPr>
        <w:t> </w:t>
      </w:r>
      <w:r>
        <w:rPr>
          <w:color w:val="231F20"/>
        </w:rPr>
        <w:t>tercer</w:t>
      </w:r>
      <w:r>
        <w:rPr>
          <w:color w:val="231F20"/>
          <w:spacing w:val="-7"/>
        </w:rPr>
        <w:t> </w:t>
      </w:r>
      <w:r>
        <w:rPr>
          <w:color w:val="231F20"/>
        </w:rPr>
        <w:t>apartado</w:t>
      </w:r>
      <w:r>
        <w:rPr>
          <w:color w:val="231F20"/>
          <w:spacing w:val="-7"/>
        </w:rPr>
        <w:t> </w:t>
      </w:r>
      <w:r>
        <w:rPr>
          <w:color w:val="231F20"/>
        </w:rPr>
        <w:t>se</w:t>
      </w:r>
      <w:r>
        <w:rPr>
          <w:color w:val="231F20"/>
          <w:spacing w:val="-7"/>
        </w:rPr>
        <w:t> </w:t>
      </w:r>
      <w:r>
        <w:rPr>
          <w:color w:val="231F20"/>
        </w:rPr>
        <w:t>intenta</w:t>
      </w:r>
      <w:r>
        <w:rPr>
          <w:color w:val="231F20"/>
          <w:spacing w:val="-8"/>
        </w:rPr>
        <w:t> </w:t>
      </w:r>
      <w:r>
        <w:rPr>
          <w:color w:val="231F20"/>
        </w:rPr>
        <w:t>argumentar que, de estas cuatro tendencias, la referida a la precarización ha resulta- do ser la más importante no sólo por su incidencia sino también por su acoplamiento con dinámicas de género que ha devenido centrales en el mundo del trabajo asalariado. Se concluye con unas breves reflexiones que buscan interpretar las actuales tendencias en términos del desarrollo histórico de las relaciones asalariadas en América</w:t>
      </w:r>
      <w:r>
        <w:rPr>
          <w:color w:val="231F20"/>
          <w:spacing w:val="-20"/>
        </w:rPr>
        <w:t> </w:t>
      </w:r>
      <w:r>
        <w:rPr>
          <w:color w:val="231F20"/>
        </w:rPr>
        <w:t>Latina.</w:t>
      </w:r>
    </w:p>
    <w:p>
      <w:pPr>
        <w:pStyle w:val="Heading4"/>
        <w:spacing w:line="240" w:lineRule="exact" w:before="166"/>
        <w:ind w:left="110" w:right="1320"/>
        <w:jc w:val="left"/>
      </w:pPr>
      <w:r>
        <w:rPr>
          <w:w w:val="75"/>
        </w:rPr>
        <w:t>Crisis del empleo formal y generalización de la precariedad de las relaciones asalariadas</w:t>
      </w:r>
    </w:p>
    <w:p>
      <w:pPr>
        <w:pStyle w:val="BodyText"/>
        <w:spacing w:line="249" w:lineRule="auto" w:before="175"/>
        <w:ind w:left="110" w:right="111"/>
        <w:jc w:val="both"/>
      </w:pPr>
      <w:r>
        <w:rPr>
          <w:color w:val="231F20"/>
        </w:rPr>
        <w:t>El </w:t>
      </w:r>
      <w:r>
        <w:rPr>
          <w:color w:val="231F20"/>
          <w:spacing w:val="-3"/>
        </w:rPr>
        <w:t>quiebre histórico </w:t>
      </w:r>
      <w:r>
        <w:rPr>
          <w:color w:val="231F20"/>
        </w:rPr>
        <w:t>en </w:t>
      </w:r>
      <w:r>
        <w:rPr>
          <w:color w:val="231F20"/>
          <w:spacing w:val="-3"/>
        </w:rPr>
        <w:t>América Latina entre </w:t>
      </w:r>
      <w:r>
        <w:rPr>
          <w:color w:val="231F20"/>
        </w:rPr>
        <w:t>el </w:t>
      </w:r>
      <w:r>
        <w:rPr>
          <w:color w:val="231F20"/>
          <w:spacing w:val="-3"/>
        </w:rPr>
        <w:t>actual momento </w:t>
      </w:r>
      <w:r>
        <w:rPr>
          <w:color w:val="231F20"/>
        </w:rPr>
        <w:t>de mo- </w:t>
      </w:r>
      <w:r>
        <w:rPr>
          <w:color w:val="231F20"/>
          <w:spacing w:val="-3"/>
        </w:rPr>
        <w:t>dernización global </w:t>
      </w:r>
      <w:r>
        <w:rPr>
          <w:color w:val="231F20"/>
        </w:rPr>
        <w:t>y el </w:t>
      </w:r>
      <w:r>
        <w:rPr>
          <w:color w:val="231F20"/>
          <w:spacing w:val="-3"/>
        </w:rPr>
        <w:t>previo, </w:t>
      </w:r>
      <w:r>
        <w:rPr>
          <w:color w:val="231F20"/>
        </w:rPr>
        <w:t>que </w:t>
      </w:r>
      <w:r>
        <w:rPr>
          <w:color w:val="231F20"/>
          <w:spacing w:val="-3"/>
        </w:rPr>
        <w:t>puede </w:t>
      </w:r>
      <w:r>
        <w:rPr>
          <w:color w:val="231F20"/>
        </w:rPr>
        <w:t>ser </w:t>
      </w:r>
      <w:r>
        <w:rPr>
          <w:color w:val="231F20"/>
          <w:spacing w:val="-3"/>
        </w:rPr>
        <w:t>calificado </w:t>
      </w:r>
      <w:r>
        <w:rPr>
          <w:color w:val="231F20"/>
        </w:rPr>
        <w:t>de </w:t>
      </w:r>
      <w:r>
        <w:rPr>
          <w:color w:val="231F20"/>
          <w:spacing w:val="-3"/>
        </w:rPr>
        <w:t>modernización</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spacing w:val="-3"/>
        </w:rPr>
        <w:t>nacional,</w:t>
      </w:r>
      <w:r>
        <w:rPr>
          <w:color w:val="231F20"/>
          <w:spacing w:val="-3"/>
          <w:position w:val="7"/>
          <w:sz w:val="11"/>
        </w:rPr>
        <w:t>1 </w:t>
      </w:r>
      <w:r>
        <w:rPr>
          <w:color w:val="231F20"/>
        </w:rPr>
        <w:t>lo </w:t>
      </w:r>
      <w:r>
        <w:rPr>
          <w:color w:val="231F20"/>
          <w:spacing w:val="-3"/>
        </w:rPr>
        <w:t>representó </w:t>
      </w:r>
      <w:r>
        <w:rPr>
          <w:color w:val="231F20"/>
        </w:rPr>
        <w:t>la </w:t>
      </w:r>
      <w:r>
        <w:rPr>
          <w:color w:val="231F20"/>
          <w:spacing w:val="-3"/>
        </w:rPr>
        <w:t>crisis </w:t>
      </w:r>
      <w:r>
        <w:rPr>
          <w:color w:val="231F20"/>
        </w:rPr>
        <w:t>de los </w:t>
      </w:r>
      <w:r>
        <w:rPr>
          <w:color w:val="231F20"/>
          <w:spacing w:val="-3"/>
        </w:rPr>
        <w:t>años 1980. Para nuestros propósitos analíticos </w:t>
      </w:r>
      <w:r>
        <w:rPr>
          <w:color w:val="231F20"/>
        </w:rPr>
        <w:t>esa </w:t>
      </w:r>
      <w:r>
        <w:rPr>
          <w:color w:val="231F20"/>
          <w:spacing w:val="-3"/>
        </w:rPr>
        <w:t>crisis puede </w:t>
      </w:r>
      <w:r>
        <w:rPr>
          <w:color w:val="231F20"/>
        </w:rPr>
        <w:t>ser </w:t>
      </w:r>
      <w:r>
        <w:rPr>
          <w:color w:val="231F20"/>
          <w:spacing w:val="-3"/>
        </w:rPr>
        <w:t>calificada como </w:t>
      </w:r>
      <w:r>
        <w:rPr>
          <w:color w:val="231F20"/>
        </w:rPr>
        <w:t>la </w:t>
      </w:r>
      <w:r>
        <w:rPr>
          <w:color w:val="231F20"/>
          <w:spacing w:val="-3"/>
        </w:rPr>
        <w:t>crisis </w:t>
      </w:r>
      <w:r>
        <w:rPr>
          <w:color w:val="231F20"/>
        </w:rPr>
        <w:t>del </w:t>
      </w:r>
      <w:r>
        <w:rPr>
          <w:color w:val="231F20"/>
          <w:spacing w:val="-3"/>
        </w:rPr>
        <w:t>empleo formal. </w:t>
      </w:r>
      <w:r>
        <w:rPr>
          <w:color w:val="231F20"/>
        </w:rPr>
        <w:t>La </w:t>
      </w:r>
      <w:r>
        <w:rPr>
          <w:color w:val="231F20"/>
          <w:spacing w:val="-3"/>
        </w:rPr>
        <w:t>otra cara </w:t>
      </w:r>
      <w:r>
        <w:rPr>
          <w:color w:val="231F20"/>
        </w:rPr>
        <w:t>de la </w:t>
      </w:r>
      <w:r>
        <w:rPr>
          <w:color w:val="231F20"/>
          <w:spacing w:val="-3"/>
        </w:rPr>
        <w:t>moneda, </w:t>
      </w:r>
      <w:r>
        <w:rPr>
          <w:color w:val="231F20"/>
        </w:rPr>
        <w:t>lo </w:t>
      </w:r>
      <w:r>
        <w:rPr>
          <w:color w:val="231F20"/>
          <w:spacing w:val="-3"/>
        </w:rPr>
        <w:t>constituyó </w:t>
      </w:r>
      <w:r>
        <w:rPr>
          <w:color w:val="231F20"/>
        </w:rPr>
        <w:t>la </w:t>
      </w:r>
      <w:r>
        <w:rPr>
          <w:color w:val="231F20"/>
          <w:spacing w:val="-3"/>
        </w:rPr>
        <w:t>informalización </w:t>
      </w:r>
      <w:r>
        <w:rPr>
          <w:color w:val="231F20"/>
        </w:rPr>
        <w:t>de los </w:t>
      </w:r>
      <w:r>
        <w:rPr>
          <w:color w:val="231F20"/>
          <w:spacing w:val="-3"/>
        </w:rPr>
        <w:t>merca- </w:t>
      </w:r>
      <w:r>
        <w:rPr>
          <w:color w:val="231F20"/>
        </w:rPr>
        <w:t>dos de </w:t>
      </w:r>
      <w:r>
        <w:rPr>
          <w:color w:val="231F20"/>
          <w:spacing w:val="-3"/>
        </w:rPr>
        <w:t>trabajo </w:t>
      </w:r>
      <w:r>
        <w:rPr>
          <w:color w:val="231F20"/>
        </w:rPr>
        <w:t>que no se </w:t>
      </w:r>
      <w:r>
        <w:rPr>
          <w:color w:val="231F20"/>
          <w:spacing w:val="-3"/>
        </w:rPr>
        <w:t>ajustaron, principalmente, </w:t>
      </w:r>
      <w:r>
        <w:rPr>
          <w:color w:val="231F20"/>
        </w:rPr>
        <w:t>a </w:t>
      </w:r>
      <w:r>
        <w:rPr>
          <w:color w:val="231F20"/>
          <w:spacing w:val="-3"/>
        </w:rPr>
        <w:t>través </w:t>
      </w:r>
      <w:r>
        <w:rPr>
          <w:color w:val="231F20"/>
        </w:rPr>
        <w:t>del </w:t>
      </w:r>
      <w:r>
        <w:rPr>
          <w:color w:val="231F20"/>
          <w:spacing w:val="-3"/>
        </w:rPr>
        <w:t>desempleo (Prealc, 1991). Estas transformaciones tuvieron también </w:t>
      </w:r>
      <w:r>
        <w:rPr>
          <w:color w:val="231F20"/>
        </w:rPr>
        <w:t>su </w:t>
      </w:r>
      <w:r>
        <w:rPr>
          <w:color w:val="231F20"/>
          <w:spacing w:val="-3"/>
        </w:rPr>
        <w:t>correlato </w:t>
      </w:r>
      <w:r>
        <w:rPr>
          <w:color w:val="231F20"/>
        </w:rPr>
        <w:t>en </w:t>
      </w:r>
      <w:r>
        <w:rPr>
          <w:color w:val="231F20"/>
          <w:spacing w:val="-3"/>
        </w:rPr>
        <w:t>el plano </w:t>
      </w:r>
      <w:r>
        <w:rPr>
          <w:color w:val="231F20"/>
        </w:rPr>
        <w:t>de lo </w:t>
      </w:r>
      <w:r>
        <w:rPr>
          <w:color w:val="231F20"/>
          <w:spacing w:val="-3"/>
        </w:rPr>
        <w:t>simbólico. Así, </w:t>
      </w:r>
      <w:r>
        <w:rPr>
          <w:color w:val="231F20"/>
        </w:rPr>
        <w:t>se </w:t>
      </w:r>
      <w:r>
        <w:rPr>
          <w:color w:val="231F20"/>
          <w:spacing w:val="-3"/>
        </w:rPr>
        <w:t>comenzó </w:t>
      </w:r>
      <w:r>
        <w:rPr>
          <w:color w:val="231F20"/>
        </w:rPr>
        <w:t>a </w:t>
      </w:r>
      <w:r>
        <w:rPr>
          <w:color w:val="231F20"/>
          <w:spacing w:val="-3"/>
        </w:rPr>
        <w:t>transformar </w:t>
      </w:r>
      <w:r>
        <w:rPr>
          <w:color w:val="231F20"/>
        </w:rPr>
        <w:t>la </w:t>
      </w:r>
      <w:r>
        <w:rPr>
          <w:color w:val="231F20"/>
          <w:spacing w:val="-3"/>
        </w:rPr>
        <w:t>imagen </w:t>
      </w:r>
      <w:r>
        <w:rPr>
          <w:color w:val="231F20"/>
        </w:rPr>
        <w:t>de </w:t>
      </w:r>
      <w:r>
        <w:rPr>
          <w:color w:val="231F20"/>
          <w:spacing w:val="-3"/>
        </w:rPr>
        <w:t>utopía laboral,</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spacing w:val="-3"/>
        </w:rPr>
        <w:t>discursos</w:t>
      </w:r>
      <w:r>
        <w:rPr>
          <w:color w:val="231F20"/>
          <w:spacing w:val="-8"/>
        </w:rPr>
        <w:t> </w:t>
      </w:r>
      <w:r>
        <w:rPr>
          <w:color w:val="231F20"/>
          <w:spacing w:val="-3"/>
        </w:rPr>
        <w:t>hegemónicos</w:t>
      </w:r>
      <w:r>
        <w:rPr>
          <w:color w:val="231F20"/>
          <w:spacing w:val="-8"/>
        </w:rPr>
        <w:t> </w:t>
      </w:r>
      <w:r>
        <w:rPr>
          <w:color w:val="231F20"/>
        </w:rPr>
        <w:t>de</w:t>
      </w:r>
      <w:r>
        <w:rPr>
          <w:color w:val="231F20"/>
          <w:spacing w:val="-8"/>
        </w:rPr>
        <w:t> </w:t>
      </w:r>
      <w:r>
        <w:rPr>
          <w:color w:val="231F20"/>
        </w:rPr>
        <w:t>ese</w:t>
      </w:r>
      <w:r>
        <w:rPr>
          <w:color w:val="231F20"/>
          <w:spacing w:val="-8"/>
        </w:rPr>
        <w:t> </w:t>
      </w:r>
      <w:r>
        <w:rPr>
          <w:color w:val="231F20"/>
          <w:spacing w:val="-3"/>
        </w:rPr>
        <w:t>momento,</w:t>
      </w:r>
      <w:r>
        <w:rPr>
          <w:color w:val="231F20"/>
          <w:spacing w:val="-8"/>
        </w:rPr>
        <w:t> </w:t>
      </w:r>
      <w:r>
        <w:rPr>
          <w:color w:val="231F20"/>
          <w:spacing w:val="-3"/>
        </w:rPr>
        <w:t>pasándose</w:t>
      </w:r>
      <w:r>
        <w:rPr>
          <w:color w:val="231F20"/>
          <w:spacing w:val="-8"/>
        </w:rPr>
        <w:t> </w:t>
      </w:r>
      <w:r>
        <w:rPr>
          <w:color w:val="231F20"/>
        </w:rPr>
        <w:t>del</w:t>
      </w:r>
      <w:r>
        <w:rPr>
          <w:color w:val="231F20"/>
          <w:spacing w:val="-8"/>
        </w:rPr>
        <w:t> </w:t>
      </w:r>
      <w:r>
        <w:rPr>
          <w:color w:val="231F20"/>
        </w:rPr>
        <w:t>em- </w:t>
      </w:r>
      <w:r>
        <w:rPr>
          <w:color w:val="231F20"/>
          <w:spacing w:val="-3"/>
        </w:rPr>
        <w:t>pleo formal, sinónimo </w:t>
      </w:r>
      <w:r>
        <w:rPr>
          <w:color w:val="231F20"/>
        </w:rPr>
        <w:t>de </w:t>
      </w:r>
      <w:r>
        <w:rPr>
          <w:color w:val="231F20"/>
          <w:spacing w:val="-3"/>
        </w:rPr>
        <w:t>modernidad laboral </w:t>
      </w:r>
      <w:r>
        <w:rPr>
          <w:color w:val="231F20"/>
        </w:rPr>
        <w:t>en las </w:t>
      </w:r>
      <w:r>
        <w:rPr>
          <w:color w:val="231F20"/>
          <w:spacing w:val="-3"/>
        </w:rPr>
        <w:t>décadas precedentes, </w:t>
      </w:r>
      <w:r>
        <w:rPr>
          <w:color w:val="231F20"/>
        </w:rPr>
        <w:t>al </w:t>
      </w:r>
      <w:r>
        <w:rPr>
          <w:color w:val="231F20"/>
          <w:spacing w:val="-3"/>
        </w:rPr>
        <w:t>trabajo informal que, </w:t>
      </w:r>
      <w:r>
        <w:rPr>
          <w:color w:val="231F20"/>
        </w:rPr>
        <w:t>a </w:t>
      </w:r>
      <w:r>
        <w:rPr>
          <w:color w:val="231F20"/>
          <w:spacing w:val="-3"/>
        </w:rPr>
        <w:t>través </w:t>
      </w:r>
      <w:r>
        <w:rPr>
          <w:color w:val="231F20"/>
        </w:rPr>
        <w:t>del </w:t>
      </w:r>
      <w:r>
        <w:rPr>
          <w:color w:val="231F20"/>
          <w:spacing w:val="-3"/>
        </w:rPr>
        <w:t>término microempresa, </w:t>
      </w:r>
      <w:r>
        <w:rPr>
          <w:color w:val="231F20"/>
        </w:rPr>
        <w:t>se vio </w:t>
      </w:r>
      <w:r>
        <w:rPr>
          <w:color w:val="231F20"/>
          <w:spacing w:val="-3"/>
        </w:rPr>
        <w:t>glorifi- cado como </w:t>
      </w:r>
      <w:r>
        <w:rPr>
          <w:color w:val="231F20"/>
        </w:rPr>
        <w:t>uno de los </w:t>
      </w:r>
      <w:r>
        <w:rPr>
          <w:color w:val="231F20"/>
          <w:spacing w:val="-3"/>
        </w:rPr>
        <w:t>elementos claves para superar </w:t>
      </w:r>
      <w:r>
        <w:rPr>
          <w:color w:val="231F20"/>
        </w:rPr>
        <w:t>la </w:t>
      </w:r>
      <w:r>
        <w:rPr>
          <w:color w:val="231F20"/>
          <w:spacing w:val="-3"/>
        </w:rPr>
        <w:t>crisis (Pérez Sáinz, 2014).</w:t>
      </w:r>
    </w:p>
    <w:p>
      <w:pPr>
        <w:pStyle w:val="BodyText"/>
        <w:spacing w:line="249" w:lineRule="auto" w:before="1"/>
        <w:ind w:left="113" w:right="107" w:firstLine="283"/>
        <w:jc w:val="both"/>
      </w:pPr>
      <w:r>
        <w:rPr>
          <w:color w:val="231F20"/>
          <w:spacing w:val="-3"/>
        </w:rPr>
        <w:t>Estos</w:t>
      </w:r>
      <w:r>
        <w:rPr>
          <w:color w:val="231F20"/>
          <w:spacing w:val="-13"/>
        </w:rPr>
        <w:t> </w:t>
      </w:r>
      <w:r>
        <w:rPr>
          <w:color w:val="231F20"/>
          <w:spacing w:val="-3"/>
        </w:rPr>
        <w:t>cambios</w:t>
      </w:r>
      <w:r>
        <w:rPr>
          <w:color w:val="231F20"/>
          <w:spacing w:val="-13"/>
        </w:rPr>
        <w:t> </w:t>
      </w:r>
      <w:r>
        <w:rPr>
          <w:color w:val="231F20"/>
        </w:rPr>
        <w:t>se</w:t>
      </w:r>
      <w:r>
        <w:rPr>
          <w:color w:val="231F20"/>
          <w:spacing w:val="-13"/>
        </w:rPr>
        <w:t> </w:t>
      </w:r>
      <w:r>
        <w:rPr>
          <w:color w:val="231F20"/>
          <w:spacing w:val="-3"/>
        </w:rPr>
        <w:t>consolidaron</w:t>
      </w:r>
      <w:r>
        <w:rPr>
          <w:color w:val="231F20"/>
          <w:spacing w:val="-14"/>
        </w:rPr>
        <w:t> </w:t>
      </w:r>
      <w:r>
        <w:rPr>
          <w:color w:val="231F20"/>
        </w:rPr>
        <w:t>con</w:t>
      </w:r>
      <w:r>
        <w:rPr>
          <w:color w:val="231F20"/>
          <w:spacing w:val="-13"/>
        </w:rPr>
        <w:t> </w:t>
      </w:r>
      <w:r>
        <w:rPr>
          <w:color w:val="231F20"/>
        </w:rPr>
        <w:t>la</w:t>
      </w:r>
      <w:r>
        <w:rPr>
          <w:color w:val="231F20"/>
          <w:spacing w:val="-13"/>
        </w:rPr>
        <w:t> </w:t>
      </w:r>
      <w:r>
        <w:rPr>
          <w:color w:val="231F20"/>
          <w:spacing w:val="-3"/>
        </w:rPr>
        <w:t>implementación</w:t>
      </w:r>
      <w:r>
        <w:rPr>
          <w:color w:val="231F20"/>
          <w:spacing w:val="-14"/>
        </w:rPr>
        <w:t> </w:t>
      </w:r>
      <w:r>
        <w:rPr>
          <w:color w:val="231F20"/>
        </w:rPr>
        <w:t>de</w:t>
      </w:r>
      <w:r>
        <w:rPr>
          <w:color w:val="231F20"/>
          <w:spacing w:val="-13"/>
        </w:rPr>
        <w:t> </w:t>
      </w:r>
      <w:r>
        <w:rPr>
          <w:color w:val="231F20"/>
        </w:rPr>
        <w:t>programas</w:t>
      </w:r>
      <w:r>
        <w:rPr>
          <w:color w:val="231F20"/>
          <w:spacing w:val="-8"/>
        </w:rPr>
        <w:t> </w:t>
      </w:r>
      <w:r>
        <w:rPr>
          <w:color w:val="231F20"/>
        </w:rPr>
        <w:t>de ajuste estructural que funcionaron como auténticos procesos de acumu- lación originaria del nuevo modelo. Modelo que redefiniría las</w:t>
      </w:r>
      <w:r>
        <w:rPr>
          <w:color w:val="231F20"/>
          <w:spacing w:val="-19"/>
        </w:rPr>
        <w:t> </w:t>
      </w:r>
      <w:r>
        <w:rPr>
          <w:color w:val="231F20"/>
        </w:rPr>
        <w:t>desigual- dades</w:t>
      </w:r>
      <w:r>
        <w:rPr>
          <w:color w:val="231F20"/>
          <w:spacing w:val="-4"/>
        </w:rPr>
        <w:t> </w:t>
      </w:r>
      <w:r>
        <w:rPr>
          <w:color w:val="231F20"/>
        </w:rPr>
        <w:t>de</w:t>
      </w:r>
      <w:r>
        <w:rPr>
          <w:color w:val="231F20"/>
          <w:spacing w:val="-4"/>
        </w:rPr>
        <w:t> </w:t>
      </w:r>
      <w:r>
        <w:rPr>
          <w:color w:val="231F20"/>
        </w:rPr>
        <w:t>excedente</w:t>
      </w:r>
      <w:r>
        <w:rPr>
          <w:color w:val="231F20"/>
          <w:spacing w:val="-5"/>
        </w:rPr>
        <w:t> </w:t>
      </w:r>
      <w:r>
        <w:rPr>
          <w:color w:val="231F20"/>
        </w:rPr>
        <w:t>y</w:t>
      </w:r>
      <w:r>
        <w:rPr>
          <w:color w:val="231F20"/>
          <w:spacing w:val="-4"/>
        </w:rPr>
        <w:t> </w:t>
      </w:r>
      <w:r>
        <w:rPr>
          <w:color w:val="231F20"/>
        </w:rPr>
        <w:t>a</w:t>
      </w:r>
      <w:r>
        <w:rPr>
          <w:color w:val="231F20"/>
          <w:spacing w:val="-4"/>
        </w:rPr>
        <w:t> </w:t>
      </w:r>
      <w:r>
        <w:rPr>
          <w:color w:val="231F20"/>
        </w:rPr>
        <w:t>base</w:t>
      </w:r>
      <w:r>
        <w:rPr>
          <w:color w:val="231F20"/>
          <w:spacing w:val="-4"/>
        </w:rPr>
        <w:t> </w:t>
      </w:r>
      <w:r>
        <w:rPr>
          <w:color w:val="231F20"/>
        </w:rPr>
        <w:t>del</w:t>
      </w:r>
      <w:r>
        <w:rPr>
          <w:color w:val="231F20"/>
          <w:spacing w:val="-4"/>
        </w:rPr>
        <w:t> </w:t>
      </w:r>
      <w:r>
        <w:rPr>
          <w:color w:val="231F20"/>
        </w:rPr>
        <w:t>cual</w:t>
      </w:r>
      <w:r>
        <w:rPr>
          <w:color w:val="231F20"/>
          <w:spacing w:val="-5"/>
        </w:rPr>
        <w:t> </w:t>
      </w:r>
      <w:r>
        <w:rPr>
          <w:color w:val="231F20"/>
        </w:rPr>
        <w:t>se</w:t>
      </w:r>
      <w:r>
        <w:rPr>
          <w:color w:val="231F20"/>
          <w:spacing w:val="-4"/>
        </w:rPr>
        <w:t> </w:t>
      </w:r>
      <w:r>
        <w:rPr>
          <w:color w:val="231F20"/>
        </w:rPr>
        <w:t>instaura</w:t>
      </w:r>
      <w:r>
        <w:rPr>
          <w:color w:val="231F20"/>
          <w:spacing w:val="-5"/>
        </w:rPr>
        <w:t> </w:t>
      </w:r>
      <w:r>
        <w:rPr>
          <w:color w:val="231F20"/>
        </w:rPr>
        <w:t>el</w:t>
      </w:r>
      <w:r>
        <w:rPr>
          <w:color w:val="231F20"/>
          <w:spacing w:val="-4"/>
        </w:rPr>
        <w:t> </w:t>
      </w:r>
      <w:r>
        <w:rPr>
          <w:color w:val="231F20"/>
        </w:rPr>
        <w:t>orden</w:t>
      </w:r>
      <w:r>
        <w:rPr>
          <w:color w:val="231F20"/>
          <w:spacing w:val="-4"/>
        </w:rPr>
        <w:t> </w:t>
      </w:r>
      <w:r>
        <w:rPr>
          <w:color w:val="231F20"/>
        </w:rPr>
        <w:t>(neo)liberal.</w:t>
      </w:r>
      <w:r>
        <w:rPr>
          <w:color w:val="231F20"/>
          <w:spacing w:val="-4"/>
        </w:rPr>
        <w:t> </w:t>
      </w:r>
      <w:r>
        <w:rPr>
          <w:color w:val="231F20"/>
        </w:rPr>
        <w:t>En este sentido, es importante señalar que América Latina ha sido la región del mundo donde se han aplicado con mayor intensidad y duración estas políticas (neo)liberales. Esto es causa y efecto de las desigualdades ya que sólo en sociedades donde las clases dominantes tienen tanto poder han podido llevar a cabo tales políticas de esa forma, las cuales a su   vez</w:t>
      </w:r>
      <w:r>
        <w:rPr>
          <w:color w:val="231F20"/>
          <w:spacing w:val="-8"/>
        </w:rPr>
        <w:t> </w:t>
      </w:r>
      <w:r>
        <w:rPr>
          <w:color w:val="231F20"/>
        </w:rPr>
        <w:t>han</w:t>
      </w:r>
      <w:r>
        <w:rPr>
          <w:color w:val="231F20"/>
          <w:spacing w:val="-8"/>
        </w:rPr>
        <w:t> </w:t>
      </w:r>
      <w:r>
        <w:rPr>
          <w:color w:val="231F20"/>
        </w:rPr>
        <w:t>acrecentado</w:t>
      </w:r>
      <w:r>
        <w:rPr>
          <w:color w:val="231F20"/>
          <w:spacing w:val="-8"/>
        </w:rPr>
        <w:t> </w:t>
      </w:r>
      <w:r>
        <w:rPr>
          <w:color w:val="231F20"/>
        </w:rPr>
        <w:t>las</w:t>
      </w:r>
      <w:r>
        <w:rPr>
          <w:color w:val="231F20"/>
          <w:spacing w:val="-8"/>
        </w:rPr>
        <w:t> </w:t>
      </w:r>
      <w:r>
        <w:rPr>
          <w:color w:val="231F20"/>
        </w:rPr>
        <w:t>inequidades</w:t>
      </w:r>
      <w:r>
        <w:rPr>
          <w:color w:val="231F20"/>
          <w:spacing w:val="-8"/>
        </w:rPr>
        <w:t> </w:t>
      </w:r>
      <w:r>
        <w:rPr>
          <w:color w:val="231F20"/>
        </w:rPr>
        <w:t>(Reygadas,</w:t>
      </w:r>
      <w:r>
        <w:rPr>
          <w:color w:val="231F20"/>
          <w:spacing w:val="-8"/>
        </w:rPr>
        <w:t> </w:t>
      </w:r>
      <w:r>
        <w:rPr>
          <w:color w:val="231F20"/>
        </w:rPr>
        <w:t>2004).</w:t>
      </w:r>
      <w:r>
        <w:rPr>
          <w:color w:val="231F20"/>
          <w:spacing w:val="-8"/>
        </w:rPr>
        <w:t> </w:t>
      </w:r>
      <w:r>
        <w:rPr>
          <w:color w:val="231F20"/>
        </w:rPr>
        <w:t>Este</w:t>
      </w:r>
      <w:r>
        <w:rPr>
          <w:color w:val="231F20"/>
          <w:spacing w:val="-8"/>
        </w:rPr>
        <w:t> </w:t>
      </w:r>
      <w:r>
        <w:rPr>
          <w:color w:val="231F20"/>
        </w:rPr>
        <w:t>nuevo</w:t>
      </w:r>
      <w:r>
        <w:rPr>
          <w:color w:val="231F20"/>
          <w:spacing w:val="-8"/>
        </w:rPr>
        <w:t> </w:t>
      </w:r>
      <w:r>
        <w:rPr>
          <w:color w:val="231F20"/>
        </w:rPr>
        <w:t>orden redefine pero también genera nuevas problemáticas en términos de des- igualdades de</w:t>
      </w:r>
      <w:r>
        <w:rPr>
          <w:color w:val="231F20"/>
          <w:spacing w:val="-1"/>
        </w:rPr>
        <w:t> </w:t>
      </w:r>
      <w:r>
        <w:rPr>
          <w:color w:val="231F20"/>
        </w:rPr>
        <w:t>excedente.</w:t>
      </w:r>
    </w:p>
    <w:p>
      <w:pPr>
        <w:pStyle w:val="BodyText"/>
        <w:spacing w:line="249" w:lineRule="auto" w:before="1"/>
        <w:ind w:left="113" w:right="108" w:firstLine="283"/>
        <w:jc w:val="both"/>
      </w:pPr>
      <w:r>
        <w:rPr>
          <w:color w:val="231F20"/>
        </w:rPr>
        <w:t>Esta redefinición, para el caso del campo de condiciones de explota- ción, ha supuesto deshacer el nudo de desigualdades de la formalidad</w:t>
      </w:r>
      <w:r>
        <w:rPr>
          <w:color w:val="231F20"/>
          <w:position w:val="7"/>
          <w:sz w:val="11"/>
        </w:rPr>
        <w:t>2 </w:t>
      </w:r>
      <w:r>
        <w:rPr>
          <w:color w:val="231F20"/>
        </w:rPr>
        <w:t>para</w:t>
      </w:r>
      <w:r>
        <w:rPr>
          <w:color w:val="231F20"/>
          <w:spacing w:val="-8"/>
        </w:rPr>
        <w:t> </w:t>
      </w:r>
      <w:r>
        <w:rPr>
          <w:color w:val="231F20"/>
        </w:rPr>
        <w:t>tejer</w:t>
      </w:r>
      <w:r>
        <w:rPr>
          <w:color w:val="231F20"/>
          <w:spacing w:val="-8"/>
        </w:rPr>
        <w:t> </w:t>
      </w:r>
      <w:r>
        <w:rPr>
          <w:color w:val="231F20"/>
        </w:rPr>
        <w:t>una</w:t>
      </w:r>
      <w:r>
        <w:rPr>
          <w:color w:val="231F20"/>
          <w:spacing w:val="-8"/>
        </w:rPr>
        <w:t> </w:t>
      </w:r>
      <w:r>
        <w:rPr>
          <w:color w:val="231F20"/>
        </w:rPr>
        <w:t>nueva</w:t>
      </w:r>
      <w:r>
        <w:rPr>
          <w:color w:val="231F20"/>
          <w:spacing w:val="-8"/>
        </w:rPr>
        <w:t> </w:t>
      </w:r>
      <w:r>
        <w:rPr>
          <w:color w:val="231F20"/>
        </w:rPr>
        <w:t>urdimbre</w:t>
      </w:r>
      <w:r>
        <w:rPr>
          <w:color w:val="231F20"/>
          <w:spacing w:val="-8"/>
        </w:rPr>
        <w:t> </w:t>
      </w:r>
      <w:r>
        <w:rPr>
          <w:color w:val="231F20"/>
        </w:rPr>
        <w:t>de</w:t>
      </w:r>
      <w:r>
        <w:rPr>
          <w:color w:val="231F20"/>
          <w:spacing w:val="-8"/>
        </w:rPr>
        <w:t> </w:t>
      </w:r>
      <w:r>
        <w:rPr>
          <w:color w:val="231F20"/>
        </w:rPr>
        <w:t>desigualdades</w:t>
      </w:r>
      <w:r>
        <w:rPr>
          <w:color w:val="231F20"/>
          <w:spacing w:val="-8"/>
        </w:rPr>
        <w:t> </w:t>
      </w:r>
      <w:r>
        <w:rPr>
          <w:color w:val="231F20"/>
        </w:rPr>
        <w:t>de</w:t>
      </w:r>
      <w:r>
        <w:rPr>
          <w:color w:val="231F20"/>
          <w:spacing w:val="-8"/>
        </w:rPr>
        <w:t> </w:t>
      </w:r>
      <w:r>
        <w:rPr>
          <w:color w:val="231F20"/>
        </w:rPr>
        <w:t>excedente.</w:t>
      </w:r>
      <w:r>
        <w:rPr>
          <w:color w:val="231F20"/>
          <w:spacing w:val="-8"/>
        </w:rPr>
        <w:t> </w:t>
      </w:r>
      <w:r>
        <w:rPr>
          <w:color w:val="231F20"/>
        </w:rPr>
        <w:t>Esto</w:t>
      </w:r>
      <w:r>
        <w:rPr>
          <w:color w:val="231F20"/>
          <w:spacing w:val="-8"/>
        </w:rPr>
        <w:t> </w:t>
      </w:r>
      <w:r>
        <w:rPr>
          <w:color w:val="231F20"/>
        </w:rPr>
        <w:t>ha</w:t>
      </w:r>
      <w:r>
        <w:rPr>
          <w:color w:val="231F20"/>
          <w:spacing w:val="-8"/>
        </w:rPr>
        <w:t> </w:t>
      </w:r>
      <w:r>
        <w:rPr>
          <w:color w:val="231F20"/>
        </w:rPr>
        <w:t>te- nido</w:t>
      </w:r>
      <w:r>
        <w:rPr>
          <w:color w:val="231F20"/>
          <w:spacing w:val="-6"/>
        </w:rPr>
        <w:t> </w:t>
      </w:r>
      <w:r>
        <w:rPr>
          <w:color w:val="231F20"/>
        </w:rPr>
        <w:t>lugar,</w:t>
      </w:r>
      <w:r>
        <w:rPr>
          <w:color w:val="231F20"/>
          <w:spacing w:val="-6"/>
        </w:rPr>
        <w:t> </w:t>
      </w:r>
      <w:r>
        <w:rPr>
          <w:color w:val="231F20"/>
        </w:rPr>
        <w:t>como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mencionado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introducción,</w:t>
      </w:r>
      <w:r>
        <w:rPr>
          <w:color w:val="231F20"/>
          <w:spacing w:val="-7"/>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cuatro procesos: el declive relativo del empleo público; la precarización de las relaciones salariales; la empleabilidad como la nueva utopía laboral del (neo)liberalismo;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emergencia</w:t>
      </w:r>
      <w:r>
        <w:rPr>
          <w:color w:val="231F20"/>
          <w:spacing w:val="-10"/>
        </w:rPr>
        <w:t> </w:t>
      </w:r>
      <w:r>
        <w:rPr>
          <w:color w:val="231F20"/>
        </w:rPr>
        <w:t>del</w:t>
      </w:r>
      <w:r>
        <w:rPr>
          <w:color w:val="231F20"/>
          <w:spacing w:val="-10"/>
        </w:rPr>
        <w:t> </w:t>
      </w:r>
      <w:r>
        <w:rPr>
          <w:color w:val="231F20"/>
        </w:rPr>
        <w:t>desempleo</w:t>
      </w:r>
      <w:r>
        <w:rPr>
          <w:color w:val="231F20"/>
          <w:spacing w:val="-10"/>
        </w:rPr>
        <w:t> </w:t>
      </w:r>
      <w:r>
        <w:rPr>
          <w:color w:val="231F20"/>
        </w:rPr>
        <w:t>estructural</w:t>
      </w:r>
      <w:r>
        <w:rPr>
          <w:color w:val="231F20"/>
          <w:spacing w:val="-11"/>
        </w:rPr>
        <w:t> </w:t>
      </w:r>
      <w:r>
        <w:rPr>
          <w:color w:val="231F20"/>
          <w:spacing w:val="-3"/>
        </w:rPr>
        <w:t>(Pérez</w:t>
      </w:r>
      <w:r>
        <w:rPr>
          <w:color w:val="231F20"/>
          <w:spacing w:val="-15"/>
        </w:rPr>
        <w:t> </w:t>
      </w:r>
      <w:r>
        <w:rPr>
          <w:color w:val="231F20"/>
          <w:spacing w:val="-3"/>
        </w:rPr>
        <w:t>Sáinz, 2014). </w:t>
      </w:r>
      <w:r>
        <w:rPr>
          <w:color w:val="231F20"/>
        </w:rPr>
        <w:t>Abordemos, por el momento, los dos</w:t>
      </w:r>
      <w:r>
        <w:rPr>
          <w:color w:val="231F20"/>
          <w:spacing w:val="-17"/>
        </w:rPr>
        <w:t> </w:t>
      </w:r>
      <w:r>
        <w:rPr>
          <w:color w:val="231F20"/>
        </w:rPr>
        <w:t>primeros.</w:t>
      </w:r>
    </w:p>
    <w:p>
      <w:pPr>
        <w:pStyle w:val="BodyText"/>
        <w:spacing w:line="249" w:lineRule="auto" w:before="1"/>
        <w:ind w:left="113" w:right="108" w:firstLine="283"/>
        <w:jc w:val="both"/>
      </w:pPr>
      <w:r>
        <w:rPr>
          <w:color w:val="231F20"/>
        </w:rPr>
        <w:t>Respecto al declive relativo del empleo público, hay que destacar lo que</w:t>
      </w:r>
      <w:r>
        <w:rPr>
          <w:color w:val="231F20"/>
          <w:spacing w:val="-5"/>
        </w:rPr>
        <w:t> </w:t>
      </w:r>
      <w:r>
        <w:rPr>
          <w:color w:val="231F20"/>
        </w:rPr>
        <w:t>ha</w:t>
      </w:r>
      <w:r>
        <w:rPr>
          <w:color w:val="231F20"/>
          <w:spacing w:val="-5"/>
        </w:rPr>
        <w:t> </w:t>
      </w:r>
      <w:r>
        <w:rPr>
          <w:color w:val="231F20"/>
        </w:rPr>
        <w:t>significado</w:t>
      </w:r>
      <w:r>
        <w:rPr>
          <w:color w:val="231F20"/>
          <w:spacing w:val="-5"/>
        </w:rPr>
        <w:t> </w:t>
      </w:r>
      <w:r>
        <w:rPr>
          <w:color w:val="231F20"/>
        </w:rPr>
        <w:t>por</w:t>
      </w:r>
      <w:r>
        <w:rPr>
          <w:color w:val="231F20"/>
          <w:spacing w:val="-5"/>
        </w:rPr>
        <w:t> </w:t>
      </w:r>
      <w:r>
        <w:rPr>
          <w:color w:val="231F20"/>
        </w:rPr>
        <w:t>su</w:t>
      </w:r>
      <w:r>
        <w:rPr>
          <w:color w:val="231F20"/>
          <w:spacing w:val="-5"/>
        </w:rPr>
        <w:t> </w:t>
      </w:r>
      <w:r>
        <w:rPr>
          <w:color w:val="231F20"/>
        </w:rPr>
        <w:t>impacto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centralidad</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empleo</w:t>
      </w:r>
      <w:r>
        <w:rPr>
          <w:color w:val="231F20"/>
          <w:spacing w:val="-5"/>
        </w:rPr>
        <w:t> </w:t>
      </w:r>
      <w:r>
        <w:rPr>
          <w:color w:val="231F20"/>
        </w:rPr>
        <w:t>formal</w:t>
      </w:r>
    </w:p>
    <w:p>
      <w:pPr>
        <w:pStyle w:val="BodyText"/>
        <w:rPr>
          <w:sz w:val="17"/>
        </w:rPr>
      </w:pPr>
    </w:p>
    <w:p>
      <w:pPr>
        <w:spacing w:before="1"/>
        <w:ind w:left="113" w:right="108" w:firstLine="0"/>
        <w:jc w:val="both"/>
        <w:rPr>
          <w:sz w:val="14"/>
        </w:rPr>
      </w:pPr>
      <w:r>
        <w:rPr>
          <w:color w:val="231F20"/>
          <w:position w:val="5"/>
          <w:sz w:val="8"/>
        </w:rPr>
        <w:t>1 </w:t>
      </w:r>
      <w:r>
        <w:rPr>
          <w:color w:val="231F20"/>
          <w:sz w:val="14"/>
        </w:rPr>
        <w:t>Esta distinción entre momentos modernizadores ya la hemos planteado en otro trabajo (Pérez Sáinz y Mora</w:t>
      </w:r>
      <w:r>
        <w:rPr>
          <w:color w:val="231F20"/>
          <w:spacing w:val="-5"/>
          <w:sz w:val="14"/>
        </w:rPr>
        <w:t> </w:t>
      </w:r>
      <w:r>
        <w:rPr>
          <w:color w:val="231F20"/>
          <w:sz w:val="14"/>
        </w:rPr>
        <w:t>Salas,</w:t>
      </w:r>
      <w:r>
        <w:rPr>
          <w:color w:val="231F20"/>
          <w:spacing w:val="-4"/>
          <w:sz w:val="14"/>
        </w:rPr>
        <w:t> </w:t>
      </w:r>
      <w:r>
        <w:rPr>
          <w:color w:val="231F20"/>
          <w:sz w:val="14"/>
        </w:rPr>
        <w:t>2006)</w:t>
      </w:r>
      <w:r>
        <w:rPr>
          <w:color w:val="231F20"/>
          <w:spacing w:val="-5"/>
          <w:sz w:val="14"/>
        </w:rPr>
        <w:t> y, </w:t>
      </w:r>
      <w:r>
        <w:rPr>
          <w:color w:val="231F20"/>
          <w:sz w:val="14"/>
        </w:rPr>
        <w:t>en</w:t>
      </w:r>
      <w:r>
        <w:rPr>
          <w:color w:val="231F20"/>
          <w:spacing w:val="-5"/>
          <w:sz w:val="14"/>
        </w:rPr>
        <w:t> </w:t>
      </w:r>
      <w:r>
        <w:rPr>
          <w:color w:val="231F20"/>
          <w:sz w:val="14"/>
        </w:rPr>
        <w:t>este</w:t>
      </w:r>
      <w:r>
        <w:rPr>
          <w:color w:val="231F20"/>
          <w:spacing w:val="-5"/>
          <w:sz w:val="14"/>
        </w:rPr>
        <w:t> </w:t>
      </w:r>
      <w:r>
        <w:rPr>
          <w:color w:val="231F20"/>
          <w:sz w:val="14"/>
        </w:rPr>
        <w:t>sentido,</w:t>
      </w:r>
      <w:r>
        <w:rPr>
          <w:color w:val="231F20"/>
          <w:spacing w:val="-4"/>
          <w:sz w:val="14"/>
        </w:rPr>
        <w:t> </w:t>
      </w:r>
      <w:r>
        <w:rPr>
          <w:color w:val="231F20"/>
          <w:sz w:val="14"/>
        </w:rPr>
        <w:t>recordemos</w:t>
      </w:r>
      <w:r>
        <w:rPr>
          <w:color w:val="231F20"/>
          <w:spacing w:val="-5"/>
          <w:sz w:val="14"/>
        </w:rPr>
        <w:t> </w:t>
      </w:r>
      <w:r>
        <w:rPr>
          <w:color w:val="231F20"/>
          <w:sz w:val="14"/>
        </w:rPr>
        <w:t>que</w:t>
      </w:r>
      <w:r>
        <w:rPr>
          <w:color w:val="231F20"/>
          <w:spacing w:val="-5"/>
          <w:sz w:val="14"/>
        </w:rPr>
        <w:t> </w:t>
      </w:r>
      <w:r>
        <w:rPr>
          <w:color w:val="231F20"/>
          <w:sz w:val="14"/>
        </w:rPr>
        <w:t>el</w:t>
      </w:r>
      <w:r>
        <w:rPr>
          <w:color w:val="231F20"/>
          <w:spacing w:val="-5"/>
          <w:sz w:val="14"/>
        </w:rPr>
        <w:t> </w:t>
      </w:r>
      <w:r>
        <w:rPr>
          <w:color w:val="231F20"/>
          <w:sz w:val="14"/>
        </w:rPr>
        <w:t>primer</w:t>
      </w:r>
      <w:r>
        <w:rPr>
          <w:color w:val="231F20"/>
          <w:spacing w:val="-5"/>
          <w:sz w:val="14"/>
        </w:rPr>
        <w:t> </w:t>
      </w:r>
      <w:r>
        <w:rPr>
          <w:color w:val="231F20"/>
          <w:sz w:val="14"/>
        </w:rPr>
        <w:t>momento</w:t>
      </w:r>
      <w:r>
        <w:rPr>
          <w:color w:val="231F20"/>
          <w:spacing w:val="-5"/>
          <w:sz w:val="14"/>
        </w:rPr>
        <w:t> </w:t>
      </w:r>
      <w:r>
        <w:rPr>
          <w:color w:val="231F20"/>
          <w:sz w:val="14"/>
        </w:rPr>
        <w:t>se</w:t>
      </w:r>
      <w:r>
        <w:rPr>
          <w:color w:val="231F20"/>
          <w:spacing w:val="-5"/>
          <w:sz w:val="14"/>
        </w:rPr>
        <w:t> </w:t>
      </w:r>
      <w:r>
        <w:rPr>
          <w:color w:val="231F20"/>
          <w:sz w:val="14"/>
        </w:rPr>
        <w:t>caracterizó</w:t>
      </w:r>
      <w:r>
        <w:rPr>
          <w:color w:val="231F20"/>
          <w:spacing w:val="-5"/>
          <w:sz w:val="14"/>
        </w:rPr>
        <w:t> </w:t>
      </w:r>
      <w:r>
        <w:rPr>
          <w:color w:val="231F20"/>
          <w:sz w:val="14"/>
        </w:rPr>
        <w:t>por</w:t>
      </w:r>
      <w:r>
        <w:rPr>
          <w:color w:val="231F20"/>
          <w:spacing w:val="-5"/>
          <w:sz w:val="14"/>
        </w:rPr>
        <w:t> </w:t>
      </w:r>
      <w:r>
        <w:rPr>
          <w:color w:val="231F20"/>
          <w:sz w:val="14"/>
        </w:rPr>
        <w:t>el</w:t>
      </w:r>
      <w:r>
        <w:rPr>
          <w:color w:val="231F20"/>
          <w:spacing w:val="-5"/>
          <w:sz w:val="14"/>
        </w:rPr>
        <w:t> </w:t>
      </w:r>
      <w:r>
        <w:rPr>
          <w:color w:val="231F20"/>
          <w:sz w:val="14"/>
        </w:rPr>
        <w:t>intento</w:t>
      </w:r>
      <w:r>
        <w:rPr>
          <w:color w:val="231F20"/>
          <w:spacing w:val="-5"/>
          <w:sz w:val="14"/>
        </w:rPr>
        <w:t> </w:t>
      </w:r>
      <w:r>
        <w:rPr>
          <w:color w:val="231F20"/>
          <w:sz w:val="14"/>
        </w:rPr>
        <w:t>de construcción de la nación a partir del Estado mientras que en el actual momento viene marcado por el impacto del proceso de</w:t>
      </w:r>
      <w:r>
        <w:rPr>
          <w:color w:val="231F20"/>
          <w:spacing w:val="-1"/>
          <w:sz w:val="14"/>
        </w:rPr>
        <w:t> </w:t>
      </w:r>
      <w:r>
        <w:rPr>
          <w:color w:val="231F20"/>
          <w:sz w:val="14"/>
        </w:rPr>
        <w:t>globalización.</w:t>
      </w:r>
    </w:p>
    <w:p>
      <w:pPr>
        <w:spacing w:before="0"/>
        <w:ind w:left="113" w:right="107" w:firstLine="0"/>
        <w:jc w:val="both"/>
        <w:rPr>
          <w:sz w:val="14"/>
        </w:rPr>
      </w:pPr>
      <w:r>
        <w:rPr>
          <w:color w:val="231F20"/>
          <w:position w:val="5"/>
          <w:sz w:val="8"/>
        </w:rPr>
        <w:t>2 </w:t>
      </w:r>
      <w:r>
        <w:rPr>
          <w:color w:val="231F20"/>
          <w:sz w:val="14"/>
        </w:rPr>
        <w:t>Este nudo estaba compuesto por tres tipos de desigualdades de excedente: desigualdades de condicio- nes de explotación entre capital y empleados formales; desigualdades de acaparamiento de oportunida- des de empleo entre empleados formales y trabajadores informales; y desigualdades de acaparamiento de oportunidades de acumulación entre grandes capitales y pequeños propietarios. Estas tres dinámicas articuladas</w:t>
      </w:r>
      <w:r>
        <w:rPr>
          <w:color w:val="231F20"/>
          <w:spacing w:val="-3"/>
          <w:sz w:val="14"/>
        </w:rPr>
        <w:t> </w:t>
      </w:r>
      <w:r>
        <w:rPr>
          <w:color w:val="231F20"/>
          <w:sz w:val="14"/>
        </w:rPr>
        <w:t>entre</w:t>
      </w:r>
      <w:r>
        <w:rPr>
          <w:color w:val="231F20"/>
          <w:spacing w:val="-3"/>
          <w:sz w:val="14"/>
        </w:rPr>
        <w:t> </w:t>
      </w:r>
      <w:r>
        <w:rPr>
          <w:color w:val="231F20"/>
          <w:sz w:val="14"/>
        </w:rPr>
        <w:t>sí</w:t>
      </w:r>
      <w:r>
        <w:rPr>
          <w:color w:val="231F20"/>
          <w:spacing w:val="-3"/>
          <w:sz w:val="14"/>
        </w:rPr>
        <w:t> </w:t>
      </w:r>
      <w:r>
        <w:rPr>
          <w:color w:val="231F20"/>
          <w:sz w:val="14"/>
        </w:rPr>
        <w:t>configuraron</w:t>
      </w:r>
      <w:r>
        <w:rPr>
          <w:color w:val="231F20"/>
          <w:spacing w:val="-3"/>
          <w:sz w:val="14"/>
        </w:rPr>
        <w:t> </w:t>
      </w:r>
      <w:r>
        <w:rPr>
          <w:color w:val="231F20"/>
          <w:sz w:val="14"/>
        </w:rPr>
        <w:t>el</w:t>
      </w:r>
      <w:r>
        <w:rPr>
          <w:color w:val="231F20"/>
          <w:spacing w:val="-3"/>
          <w:sz w:val="14"/>
        </w:rPr>
        <w:t> </w:t>
      </w:r>
      <w:r>
        <w:rPr>
          <w:color w:val="231F20"/>
          <w:sz w:val="14"/>
        </w:rPr>
        <w:t>nudo</w:t>
      </w:r>
      <w:r>
        <w:rPr>
          <w:color w:val="231F20"/>
          <w:spacing w:val="-3"/>
          <w:sz w:val="14"/>
        </w:rPr>
        <w:t> </w:t>
      </w:r>
      <w:r>
        <w:rPr>
          <w:color w:val="231F20"/>
          <w:sz w:val="14"/>
        </w:rPr>
        <w:t>de</w:t>
      </w:r>
      <w:r>
        <w:rPr>
          <w:color w:val="231F20"/>
          <w:spacing w:val="-3"/>
          <w:sz w:val="14"/>
        </w:rPr>
        <w:t> </w:t>
      </w:r>
      <w:r>
        <w:rPr>
          <w:color w:val="231F20"/>
          <w:sz w:val="14"/>
        </w:rPr>
        <w:t>desigualdades</w:t>
      </w:r>
      <w:r>
        <w:rPr>
          <w:color w:val="231F20"/>
          <w:spacing w:val="-3"/>
          <w:sz w:val="14"/>
        </w:rPr>
        <w:t> </w:t>
      </w:r>
      <w:r>
        <w:rPr>
          <w:color w:val="231F20"/>
          <w:sz w:val="14"/>
        </w:rPr>
        <w:t>de</w:t>
      </w:r>
      <w:r>
        <w:rPr>
          <w:color w:val="231F20"/>
          <w:spacing w:val="-3"/>
          <w:sz w:val="14"/>
        </w:rPr>
        <w:t> </w:t>
      </w:r>
      <w:r>
        <w:rPr>
          <w:color w:val="231F20"/>
          <w:sz w:val="14"/>
        </w:rPr>
        <w:t>excedente</w:t>
      </w:r>
      <w:r>
        <w:rPr>
          <w:color w:val="231F20"/>
          <w:spacing w:val="-3"/>
          <w:sz w:val="14"/>
        </w:rPr>
        <w:t> </w:t>
      </w:r>
      <w:r>
        <w:rPr>
          <w:color w:val="231F20"/>
          <w:sz w:val="14"/>
        </w:rPr>
        <w:t>que</w:t>
      </w:r>
      <w:r>
        <w:rPr>
          <w:color w:val="231F20"/>
          <w:spacing w:val="-3"/>
          <w:sz w:val="14"/>
        </w:rPr>
        <w:t> </w:t>
      </w:r>
      <w:r>
        <w:rPr>
          <w:color w:val="231F20"/>
          <w:sz w:val="14"/>
        </w:rPr>
        <w:t>se</w:t>
      </w:r>
      <w:r>
        <w:rPr>
          <w:color w:val="231F20"/>
          <w:spacing w:val="-3"/>
          <w:sz w:val="14"/>
        </w:rPr>
        <w:t> </w:t>
      </w:r>
      <w:r>
        <w:rPr>
          <w:color w:val="231F20"/>
          <w:sz w:val="14"/>
        </w:rPr>
        <w:t>tejió</w:t>
      </w:r>
      <w:r>
        <w:rPr>
          <w:color w:val="231F20"/>
          <w:spacing w:val="-3"/>
          <w:sz w:val="14"/>
        </w:rPr>
        <w:t> </w:t>
      </w:r>
      <w:r>
        <w:rPr>
          <w:color w:val="231F20"/>
          <w:sz w:val="14"/>
        </w:rPr>
        <w:t>en</w:t>
      </w:r>
      <w:r>
        <w:rPr>
          <w:color w:val="231F20"/>
          <w:spacing w:val="-3"/>
          <w:sz w:val="14"/>
        </w:rPr>
        <w:t> </w:t>
      </w:r>
      <w:r>
        <w:rPr>
          <w:color w:val="231F20"/>
          <w:sz w:val="14"/>
        </w:rPr>
        <w:t>torno</w:t>
      </w:r>
      <w:r>
        <w:rPr>
          <w:color w:val="231F20"/>
          <w:spacing w:val="-3"/>
          <w:sz w:val="14"/>
        </w:rPr>
        <w:t> </w:t>
      </w:r>
      <w:r>
        <w:rPr>
          <w:color w:val="231F20"/>
          <w:sz w:val="14"/>
        </w:rPr>
        <w:t>al</w:t>
      </w:r>
      <w:r>
        <w:rPr>
          <w:color w:val="231F20"/>
          <w:spacing w:val="-3"/>
          <w:sz w:val="14"/>
        </w:rPr>
        <w:t> </w:t>
      </w:r>
      <w:r>
        <w:rPr>
          <w:color w:val="231F20"/>
          <w:sz w:val="14"/>
        </w:rPr>
        <w:t>fenóme- no de la formalidad. En esta articulación el Estado jugó un papel crucial (Pérez Sáinz,</w:t>
      </w:r>
      <w:r>
        <w:rPr>
          <w:color w:val="231F20"/>
          <w:spacing w:val="-11"/>
          <w:sz w:val="14"/>
        </w:rPr>
        <w:t> </w:t>
      </w:r>
      <w:r>
        <w:rPr>
          <w:color w:val="231F20"/>
          <w:sz w:val="14"/>
        </w:rPr>
        <w:t>2014).</w:t>
      </w:r>
    </w:p>
    <w:p>
      <w:pPr>
        <w:spacing w:after="0"/>
        <w:jc w:val="both"/>
        <w:rPr>
          <w:sz w:val="14"/>
        </w:rPr>
        <w:sectPr>
          <w:footerReference w:type="default" r:id="rId19"/>
          <w:pgSz w:w="7770" w:h="11740"/>
          <w:pgMar w:footer="474" w:header="0" w:top="840" w:bottom="660" w:left="1020" w:right="740"/>
          <w:pgNumType w:start="21"/>
        </w:sectPr>
      </w:pPr>
    </w:p>
    <w:p>
      <w:pPr>
        <w:pStyle w:val="BodyText"/>
        <w:spacing w:line="249" w:lineRule="auto" w:before="60"/>
        <w:ind w:left="110" w:right="111"/>
        <w:jc w:val="both"/>
      </w:pPr>
      <w:r>
        <w:rPr>
          <w:color w:val="231F20"/>
        </w:rPr>
        <w:t>tenía en el modelo previo. Este impacto no sólo tiene una dimensión material,</w:t>
      </w:r>
      <w:r>
        <w:rPr>
          <w:color w:val="231F20"/>
          <w:spacing w:val="-6"/>
        </w:rPr>
        <w:t> </w:t>
      </w:r>
      <w:r>
        <w:rPr>
          <w:color w:val="231F20"/>
        </w:rPr>
        <w:t>menos</w:t>
      </w:r>
      <w:r>
        <w:rPr>
          <w:color w:val="231F20"/>
          <w:spacing w:val="-6"/>
        </w:rPr>
        <w:t> </w:t>
      </w:r>
      <w:r>
        <w:rPr>
          <w:color w:val="231F20"/>
        </w:rPr>
        <w:t>oportunidades</w:t>
      </w:r>
      <w:r>
        <w:rPr>
          <w:color w:val="231F20"/>
          <w:spacing w:val="-5"/>
        </w:rPr>
        <w:t> </w:t>
      </w:r>
      <w:r>
        <w:rPr>
          <w:color w:val="231F20"/>
        </w:rPr>
        <w:t>relativas</w:t>
      </w:r>
      <w:r>
        <w:rPr>
          <w:color w:val="231F20"/>
          <w:spacing w:val="-5"/>
        </w:rPr>
        <w:t> </w:t>
      </w:r>
      <w:r>
        <w:rPr>
          <w:color w:val="231F20"/>
        </w:rPr>
        <w:t>de</w:t>
      </w:r>
      <w:r>
        <w:rPr>
          <w:color w:val="231F20"/>
          <w:spacing w:val="-5"/>
        </w:rPr>
        <w:t> </w:t>
      </w:r>
      <w:r>
        <w:rPr>
          <w:color w:val="231F20"/>
        </w:rPr>
        <w:t>ocupación</w:t>
      </w:r>
      <w:r>
        <w:rPr>
          <w:color w:val="231F20"/>
          <w:spacing w:val="-5"/>
        </w:rPr>
        <w:t> </w:t>
      </w:r>
      <w:r>
        <w:rPr>
          <w:color w:val="231F20"/>
        </w:rPr>
        <w:t>en</w:t>
      </w:r>
      <w:r>
        <w:rPr>
          <w:color w:val="231F20"/>
          <w:spacing w:val="-6"/>
        </w:rPr>
        <w:t> </w:t>
      </w:r>
      <w:r>
        <w:rPr>
          <w:color w:val="231F20"/>
        </w:rPr>
        <w:t>el</w:t>
      </w:r>
      <w:r>
        <w:rPr>
          <w:color w:val="231F20"/>
          <w:spacing w:val="-5"/>
        </w:rPr>
        <w:t> </w:t>
      </w:r>
      <w:r>
        <w:rPr>
          <w:color w:val="231F20"/>
        </w:rPr>
        <w:t>Estado</w:t>
      </w:r>
      <w:r>
        <w:rPr>
          <w:color w:val="231F20"/>
          <w:position w:val="7"/>
          <w:sz w:val="11"/>
        </w:rPr>
        <w:t>3</w:t>
      </w:r>
      <w:r>
        <w:rPr>
          <w:color w:val="231F20"/>
        </w:rPr>
        <w:t>,</w:t>
      </w:r>
      <w:r>
        <w:rPr>
          <w:color w:val="231F20"/>
          <w:spacing w:val="-5"/>
        </w:rPr>
        <w:t> </w:t>
      </w:r>
      <w:r>
        <w:rPr>
          <w:color w:val="231F20"/>
        </w:rPr>
        <w:t>sino también</w:t>
      </w:r>
      <w:r>
        <w:rPr>
          <w:color w:val="231F20"/>
          <w:spacing w:val="-8"/>
        </w:rPr>
        <w:t> </w:t>
      </w:r>
      <w:r>
        <w:rPr>
          <w:color w:val="231F20"/>
        </w:rPr>
        <w:t>simbólico.</w:t>
      </w:r>
      <w:r>
        <w:rPr>
          <w:color w:val="231F20"/>
          <w:spacing w:val="-7"/>
        </w:rPr>
        <w:t> </w:t>
      </w:r>
      <w:r>
        <w:rPr>
          <w:color w:val="231F20"/>
        </w:rPr>
        <w:t>Se</w:t>
      </w:r>
      <w:r>
        <w:rPr>
          <w:color w:val="231F20"/>
          <w:spacing w:val="-8"/>
        </w:rPr>
        <w:t> </w:t>
      </w:r>
      <w:r>
        <w:rPr>
          <w:color w:val="231F20"/>
        </w:rPr>
        <w:t>pierde</w:t>
      </w:r>
      <w:r>
        <w:rPr>
          <w:color w:val="231F20"/>
          <w:spacing w:val="-8"/>
        </w:rPr>
        <w:t> </w:t>
      </w:r>
      <w:r>
        <w:rPr>
          <w:color w:val="231F20"/>
        </w:rPr>
        <w:t>este</w:t>
      </w:r>
      <w:r>
        <w:rPr>
          <w:color w:val="231F20"/>
          <w:spacing w:val="-8"/>
        </w:rPr>
        <w:t> </w:t>
      </w:r>
      <w:r>
        <w:rPr>
          <w:color w:val="231F20"/>
        </w:rPr>
        <w:t>referente</w:t>
      </w:r>
      <w:r>
        <w:rPr>
          <w:color w:val="231F20"/>
          <w:spacing w:val="-8"/>
        </w:rPr>
        <w:t> </w:t>
      </w:r>
      <w:r>
        <w:rPr>
          <w:color w:val="231F20"/>
        </w:rPr>
        <w:t>de</w:t>
      </w:r>
      <w:r>
        <w:rPr>
          <w:color w:val="231F20"/>
          <w:spacing w:val="-8"/>
        </w:rPr>
        <w:t> </w:t>
      </w:r>
      <w:r>
        <w:rPr>
          <w:color w:val="231F20"/>
        </w:rPr>
        <w:t>institucionalidad</w:t>
      </w:r>
      <w:r>
        <w:rPr>
          <w:color w:val="231F20"/>
          <w:spacing w:val="-8"/>
        </w:rPr>
        <w:t> </w:t>
      </w:r>
      <w:r>
        <w:rPr>
          <w:color w:val="231F20"/>
        </w:rPr>
        <w:t>laboral</w:t>
      </w:r>
      <w:r>
        <w:rPr>
          <w:color w:val="231F20"/>
          <w:spacing w:val="-8"/>
        </w:rPr>
        <w:t> </w:t>
      </w:r>
      <w:r>
        <w:rPr>
          <w:color w:val="231F20"/>
        </w:rPr>
        <w:t>y peor aún, se tiende a estigmatizar como ocupación improductiva y pro- clive a la corrupción. En este sentido, se cuestiona ese papel del Estado como garante de ese estatuto no mercantil de la fuerza de trabajo, que constituyó el empleo formal, y que el propio Estado instauró en la ge- neración de empleo público, extendiendo los </w:t>
      </w:r>
      <w:r>
        <w:rPr>
          <w:color w:val="231F20"/>
          <w:spacing w:val="-3"/>
        </w:rPr>
        <w:t>beneficios </w:t>
      </w:r>
      <w:r>
        <w:rPr>
          <w:color w:val="231F20"/>
        </w:rPr>
        <w:t>de la </w:t>
      </w:r>
      <w:r>
        <w:rPr>
          <w:color w:val="231F20"/>
          <w:spacing w:val="-3"/>
        </w:rPr>
        <w:t>seguridad social</w:t>
      </w:r>
      <w:r>
        <w:rPr>
          <w:color w:val="231F20"/>
          <w:spacing w:val="-9"/>
        </w:rPr>
        <w:t> </w:t>
      </w:r>
      <w:r>
        <w:rPr>
          <w:color w:val="231F20"/>
        </w:rPr>
        <w:t>a</w:t>
      </w:r>
      <w:r>
        <w:rPr>
          <w:color w:val="231F20"/>
          <w:spacing w:val="-9"/>
        </w:rPr>
        <w:t> </w:t>
      </w:r>
      <w:r>
        <w:rPr>
          <w:color w:val="231F20"/>
          <w:spacing w:val="-3"/>
        </w:rPr>
        <w:t>otros</w:t>
      </w:r>
      <w:r>
        <w:rPr>
          <w:color w:val="231F20"/>
          <w:spacing w:val="-9"/>
        </w:rPr>
        <w:t> </w:t>
      </w:r>
      <w:r>
        <w:rPr>
          <w:color w:val="231F20"/>
          <w:spacing w:val="-3"/>
        </w:rPr>
        <w:t>ámbitos</w:t>
      </w:r>
      <w:r>
        <w:rPr>
          <w:color w:val="231F20"/>
          <w:spacing w:val="-10"/>
        </w:rPr>
        <w:t> </w:t>
      </w:r>
      <w:r>
        <w:rPr>
          <w:color w:val="231F20"/>
          <w:spacing w:val="-3"/>
        </w:rPr>
        <w:t>ocupacionales</w:t>
      </w:r>
      <w:r>
        <w:rPr>
          <w:color w:val="231F20"/>
          <w:spacing w:val="-7"/>
        </w:rPr>
        <w:t> </w:t>
      </w:r>
      <w:r>
        <w:rPr>
          <w:color w:val="231F20"/>
        </w:rPr>
        <w:t>y</w:t>
      </w:r>
      <w:r>
        <w:rPr>
          <w:color w:val="231F20"/>
          <w:spacing w:val="-4"/>
        </w:rPr>
        <w:t> </w:t>
      </w:r>
      <w:r>
        <w:rPr>
          <w:color w:val="231F20"/>
        </w:rPr>
        <w:t>marcando</w:t>
      </w:r>
      <w:r>
        <w:rPr>
          <w:color w:val="231F20"/>
          <w:spacing w:val="-4"/>
        </w:rPr>
        <w:t> </w:t>
      </w:r>
      <w:r>
        <w:rPr>
          <w:color w:val="231F20"/>
        </w:rPr>
        <w:t>así</w:t>
      </w:r>
      <w:r>
        <w:rPr>
          <w:color w:val="231F20"/>
          <w:spacing w:val="-4"/>
        </w:rPr>
        <w:t> </w:t>
      </w:r>
      <w:r>
        <w:rPr>
          <w:color w:val="231F20"/>
        </w:rPr>
        <w:t>la</w:t>
      </w:r>
      <w:r>
        <w:rPr>
          <w:color w:val="231F20"/>
          <w:spacing w:val="-4"/>
        </w:rPr>
        <w:t> </w:t>
      </w:r>
      <w:r>
        <w:rPr>
          <w:color w:val="231F20"/>
        </w:rPr>
        <w:t>pauta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moder- nización laboral </w:t>
      </w:r>
      <w:r>
        <w:rPr>
          <w:color w:val="231F20"/>
          <w:spacing w:val="-3"/>
        </w:rPr>
        <w:t>(Oliveira </w:t>
      </w:r>
      <w:r>
        <w:rPr>
          <w:color w:val="231F20"/>
        </w:rPr>
        <w:t>y </w:t>
      </w:r>
      <w:r>
        <w:rPr>
          <w:color w:val="231F20"/>
          <w:spacing w:val="-3"/>
        </w:rPr>
        <w:t>Roberts, 1997).</w:t>
      </w:r>
    </w:p>
    <w:p>
      <w:pPr>
        <w:pStyle w:val="BodyText"/>
        <w:spacing w:line="249" w:lineRule="auto" w:before="1"/>
        <w:ind w:left="110" w:right="111" w:firstLine="283"/>
        <w:jc w:val="both"/>
        <w:rPr>
          <w:sz w:val="11"/>
        </w:rPr>
      </w:pPr>
      <w:r>
        <w:rPr>
          <w:color w:val="231F20"/>
        </w:rPr>
        <w:t>En</w:t>
      </w:r>
      <w:r>
        <w:rPr>
          <w:color w:val="231F20"/>
          <w:spacing w:val="-11"/>
        </w:rPr>
        <w:t> </w:t>
      </w:r>
      <w:r>
        <w:rPr>
          <w:color w:val="231F20"/>
        </w:rPr>
        <w:t>cuanto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precarización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salariales</w:t>
      </w:r>
      <w:r>
        <w:rPr>
          <w:color w:val="231F20"/>
          <w:spacing w:val="-11"/>
        </w:rPr>
        <w:t> </w:t>
      </w:r>
      <w:r>
        <w:rPr>
          <w:color w:val="231F20"/>
        </w:rPr>
        <w:t>sus</w:t>
      </w:r>
      <w:r>
        <w:rPr>
          <w:color w:val="231F20"/>
          <w:spacing w:val="-11"/>
        </w:rPr>
        <w:t> </w:t>
      </w:r>
      <w:r>
        <w:rPr>
          <w:color w:val="231F20"/>
        </w:rPr>
        <w:t>dimensio- nes han sido varias y</w:t>
      </w:r>
      <w:r>
        <w:rPr>
          <w:color w:val="231F20"/>
          <w:spacing w:val="-1"/>
        </w:rPr>
        <w:t> </w:t>
      </w:r>
      <w:r>
        <w:rPr>
          <w:color w:val="231F20"/>
        </w:rPr>
        <w:t>complejas.</w:t>
      </w:r>
      <w:r>
        <w:rPr>
          <w:color w:val="231F20"/>
          <w:position w:val="7"/>
          <w:sz w:val="11"/>
        </w:rPr>
        <w:t>4</w:t>
      </w:r>
    </w:p>
    <w:p>
      <w:pPr>
        <w:pStyle w:val="BodyText"/>
        <w:spacing w:line="249" w:lineRule="auto" w:before="1"/>
        <w:ind w:left="110" w:right="111" w:firstLine="283"/>
        <w:jc w:val="both"/>
      </w:pPr>
      <w:r>
        <w:rPr>
          <w:color w:val="231F20"/>
        </w:rPr>
        <w:t>Lo primero a destacar es la idea de que con el nuevo modelo de acu- mulación y la competencia que impone la globalización a través de la apertura comercial, no se puede más transferir los costos salariales a los consumidores como era posible con el marco proteccionista de la indus- trialización del período previo (Murillo, 2001). Por lo tanto, la determi- nación de la estructura salarial de la formalidad</w:t>
      </w:r>
      <w:r>
        <w:rPr>
          <w:color w:val="231F20"/>
          <w:position w:val="7"/>
          <w:sz w:val="11"/>
        </w:rPr>
        <w:t>5 </w:t>
      </w:r>
      <w:r>
        <w:rPr>
          <w:color w:val="231F20"/>
        </w:rPr>
        <w:t>ya no resulta viable. De esta manera se cuestiona la piedra angular del nudo de las</w:t>
      </w:r>
      <w:r>
        <w:rPr>
          <w:color w:val="231F20"/>
          <w:spacing w:val="-17"/>
        </w:rPr>
        <w:t> </w:t>
      </w:r>
      <w:r>
        <w:rPr>
          <w:color w:val="231F20"/>
        </w:rPr>
        <w:t>desigualdades de la formalidad y a partir de ahí comienza a</w:t>
      </w:r>
      <w:r>
        <w:rPr>
          <w:color w:val="231F20"/>
          <w:spacing w:val="-2"/>
        </w:rPr>
        <w:t> </w:t>
      </w:r>
      <w:r>
        <w:rPr>
          <w:color w:val="231F20"/>
        </w:rPr>
        <w:t>deshacerse.</w:t>
      </w:r>
    </w:p>
    <w:p>
      <w:pPr>
        <w:pStyle w:val="BodyText"/>
        <w:spacing w:line="249" w:lineRule="auto" w:before="1"/>
        <w:ind w:left="110" w:right="111" w:firstLine="283"/>
        <w:jc w:val="both"/>
      </w:pPr>
      <w:r>
        <w:rPr>
          <w:color w:val="231F20"/>
        </w:rPr>
        <w:t>Segundo, las respuestas dadas por las empresas ante el cambio de contexto de acumulación han tenido efectos precarizadores. Así, por un lado, la externalización de actividades y consecuente subcontratación ha generado una dualización de la fuerza de trabajo, con un pequeño nú- cleo, con mayor o menor protección laboral, y una amplia periferia de mano de obra en condiciones precarias (Iranzo y Leite, 2006).</w:t>
      </w:r>
      <w:r>
        <w:rPr>
          <w:color w:val="231F20"/>
          <w:position w:val="7"/>
          <w:sz w:val="11"/>
        </w:rPr>
        <w:t>6 </w:t>
      </w:r>
      <w:r>
        <w:rPr>
          <w:color w:val="231F20"/>
        </w:rPr>
        <w:t>Por otro lado, si bien los procesos de flexibilización laboral (con la excepción de la numérica de plantillas) no tienen por qué resultar ineludiblemente en efectos precarizadores, distintos diagnósticos regionales concluyen que estos han prevalecido (Carrillo, 1995; De la Garza Toledo, 2000; Abra- mo, 2001).</w:t>
      </w:r>
    </w:p>
    <w:p>
      <w:pPr>
        <w:spacing w:before="159"/>
        <w:ind w:left="110" w:right="111" w:firstLine="0"/>
        <w:jc w:val="both"/>
        <w:rPr>
          <w:sz w:val="14"/>
        </w:rPr>
      </w:pPr>
      <w:r>
        <w:rPr>
          <w:color w:val="231F20"/>
          <w:position w:val="5"/>
          <w:sz w:val="8"/>
        </w:rPr>
        <w:t>3 </w:t>
      </w:r>
      <w:r>
        <w:rPr>
          <w:color w:val="231F20"/>
          <w:sz w:val="14"/>
        </w:rPr>
        <w:t>Entre 1990 y 2008, sólo en dos países, Brasil y Chile, el empleo público ganó peso relativo dentro de la PEA. Para ese último año, el peso de este tipo empleo oscilaba entre 18.1 por ciento en Panamá y Venezuela y 7.2 por ciento en Colombia (OIT, 2000: Cuadro 6-A; 2009: Cuadro 6).</w:t>
      </w:r>
    </w:p>
    <w:p>
      <w:pPr>
        <w:spacing w:before="0"/>
        <w:ind w:left="110" w:right="111" w:firstLine="0"/>
        <w:jc w:val="both"/>
        <w:rPr>
          <w:sz w:val="14"/>
        </w:rPr>
      </w:pPr>
      <w:r>
        <w:rPr>
          <w:color w:val="231F20"/>
          <w:position w:val="5"/>
          <w:sz w:val="8"/>
        </w:rPr>
        <w:t>4 </w:t>
      </w:r>
      <w:r>
        <w:rPr>
          <w:color w:val="231F20"/>
          <w:sz w:val="14"/>
        </w:rPr>
        <w:t>Precarización es un tema que ha suscitado atención en la región con diversas interpretaciones (Lin- denboim</w:t>
      </w:r>
      <w:r>
        <w:rPr>
          <w:color w:val="231F20"/>
          <w:spacing w:val="-6"/>
          <w:sz w:val="14"/>
        </w:rPr>
        <w:t> </w:t>
      </w:r>
      <w:r>
        <w:rPr>
          <w:color w:val="231F20"/>
          <w:sz w:val="14"/>
        </w:rPr>
        <w:t>y</w:t>
      </w:r>
      <w:r>
        <w:rPr>
          <w:color w:val="231F20"/>
          <w:spacing w:val="-6"/>
          <w:sz w:val="14"/>
        </w:rPr>
        <w:t> </w:t>
      </w:r>
      <w:r>
        <w:rPr>
          <w:color w:val="231F20"/>
          <w:sz w:val="14"/>
        </w:rPr>
        <w:t>Pérez,</w:t>
      </w:r>
      <w:r>
        <w:rPr>
          <w:color w:val="231F20"/>
          <w:spacing w:val="-5"/>
          <w:sz w:val="14"/>
        </w:rPr>
        <w:t> </w:t>
      </w:r>
      <w:r>
        <w:rPr>
          <w:color w:val="231F20"/>
          <w:sz w:val="14"/>
        </w:rPr>
        <w:t>2004;</w:t>
      </w:r>
      <w:r>
        <w:rPr>
          <w:color w:val="231F20"/>
          <w:spacing w:val="-12"/>
          <w:sz w:val="14"/>
        </w:rPr>
        <w:t> </w:t>
      </w:r>
      <w:r>
        <w:rPr>
          <w:color w:val="231F20"/>
          <w:sz w:val="14"/>
        </w:rPr>
        <w:t>Arellano</w:t>
      </w:r>
      <w:r>
        <w:rPr>
          <w:color w:val="231F20"/>
          <w:spacing w:val="-5"/>
          <w:sz w:val="14"/>
        </w:rPr>
        <w:t> </w:t>
      </w:r>
      <w:r>
        <w:rPr>
          <w:i/>
          <w:color w:val="231F20"/>
          <w:sz w:val="14"/>
        </w:rPr>
        <w:t>et</w:t>
      </w:r>
      <w:r>
        <w:rPr>
          <w:i/>
          <w:color w:val="231F20"/>
          <w:spacing w:val="-6"/>
          <w:sz w:val="14"/>
        </w:rPr>
        <w:t> </w:t>
      </w:r>
      <w:r>
        <w:rPr>
          <w:i/>
          <w:color w:val="231F20"/>
          <w:sz w:val="14"/>
        </w:rPr>
        <w:t>al</w:t>
      </w:r>
      <w:r>
        <w:rPr>
          <w:color w:val="231F20"/>
          <w:sz w:val="14"/>
        </w:rPr>
        <w:t>.,</w:t>
      </w:r>
      <w:r>
        <w:rPr>
          <w:color w:val="231F20"/>
          <w:spacing w:val="-6"/>
          <w:sz w:val="14"/>
        </w:rPr>
        <w:t> </w:t>
      </w:r>
      <w:r>
        <w:rPr>
          <w:color w:val="231F20"/>
          <w:sz w:val="14"/>
        </w:rPr>
        <w:t>2009;</w:t>
      </w:r>
      <w:r>
        <w:rPr>
          <w:color w:val="231F20"/>
          <w:spacing w:val="-6"/>
          <w:sz w:val="14"/>
        </w:rPr>
        <w:t> </w:t>
      </w:r>
      <w:r>
        <w:rPr>
          <w:color w:val="231F20"/>
          <w:sz w:val="14"/>
        </w:rPr>
        <w:t>Castillo</w:t>
      </w:r>
      <w:r>
        <w:rPr>
          <w:color w:val="231F20"/>
          <w:spacing w:val="-6"/>
          <w:sz w:val="14"/>
        </w:rPr>
        <w:t> </w:t>
      </w:r>
      <w:r>
        <w:rPr>
          <w:color w:val="231F20"/>
          <w:sz w:val="14"/>
        </w:rPr>
        <w:t>Fernández,</w:t>
      </w:r>
      <w:r>
        <w:rPr>
          <w:color w:val="231F20"/>
          <w:spacing w:val="-5"/>
          <w:sz w:val="14"/>
        </w:rPr>
        <w:t> </w:t>
      </w:r>
      <w:r>
        <w:rPr>
          <w:color w:val="231F20"/>
          <w:sz w:val="14"/>
        </w:rPr>
        <w:t>2009;</w:t>
      </w:r>
      <w:r>
        <w:rPr>
          <w:color w:val="231F20"/>
          <w:spacing w:val="-6"/>
          <w:sz w:val="14"/>
        </w:rPr>
        <w:t> </w:t>
      </w:r>
      <w:r>
        <w:rPr>
          <w:color w:val="231F20"/>
          <w:sz w:val="14"/>
        </w:rPr>
        <w:t>Mora</w:t>
      </w:r>
      <w:r>
        <w:rPr>
          <w:color w:val="231F20"/>
          <w:spacing w:val="-5"/>
          <w:sz w:val="14"/>
        </w:rPr>
        <w:t> </w:t>
      </w:r>
      <w:r>
        <w:rPr>
          <w:color w:val="231F20"/>
          <w:sz w:val="14"/>
        </w:rPr>
        <w:t>Salas,</w:t>
      </w:r>
      <w:r>
        <w:rPr>
          <w:color w:val="231F20"/>
          <w:spacing w:val="-5"/>
          <w:sz w:val="14"/>
        </w:rPr>
        <w:t> </w:t>
      </w:r>
      <w:r>
        <w:rPr>
          <w:color w:val="231F20"/>
          <w:sz w:val="14"/>
        </w:rPr>
        <w:t>2010;</w:t>
      </w:r>
      <w:r>
        <w:rPr>
          <w:color w:val="231F20"/>
          <w:spacing w:val="-6"/>
          <w:sz w:val="14"/>
        </w:rPr>
        <w:t> </w:t>
      </w:r>
      <w:r>
        <w:rPr>
          <w:color w:val="231F20"/>
          <w:sz w:val="14"/>
        </w:rPr>
        <w:t>Guadarrama Olivera </w:t>
      </w:r>
      <w:r>
        <w:rPr>
          <w:i/>
          <w:color w:val="231F20"/>
          <w:sz w:val="14"/>
        </w:rPr>
        <w:t>et al</w:t>
      </w:r>
      <w:r>
        <w:rPr>
          <w:color w:val="231F20"/>
          <w:sz w:val="14"/>
        </w:rPr>
        <w:t>., 2012; Pacheco </w:t>
      </w:r>
      <w:r>
        <w:rPr>
          <w:i/>
          <w:color w:val="231F20"/>
          <w:sz w:val="14"/>
        </w:rPr>
        <w:t>et al</w:t>
      </w:r>
      <w:r>
        <w:rPr>
          <w:color w:val="231F20"/>
          <w:sz w:val="14"/>
        </w:rPr>
        <w:t>., 2012). Seguimos la ruta analítica marcada por Mora Salas (2010) quien identifica tres dimensiones de este fenómeno: desregulación laboral; reestructuración productiva y flexibilidad laboral; y debilitamiento del actor</w:t>
      </w:r>
      <w:r>
        <w:rPr>
          <w:color w:val="231F20"/>
          <w:spacing w:val="-8"/>
          <w:sz w:val="14"/>
        </w:rPr>
        <w:t> </w:t>
      </w:r>
      <w:r>
        <w:rPr>
          <w:color w:val="231F20"/>
          <w:sz w:val="14"/>
        </w:rPr>
        <w:t>sindical.</w:t>
      </w:r>
    </w:p>
    <w:p>
      <w:pPr>
        <w:spacing w:before="0"/>
        <w:ind w:left="110" w:right="111" w:firstLine="0"/>
        <w:jc w:val="both"/>
        <w:rPr>
          <w:sz w:val="14"/>
        </w:rPr>
      </w:pPr>
      <w:r>
        <w:rPr>
          <w:color w:val="231F20"/>
          <w:position w:val="5"/>
          <w:sz w:val="8"/>
        </w:rPr>
        <w:t>5 </w:t>
      </w:r>
      <w:r>
        <w:rPr>
          <w:color w:val="231F20"/>
          <w:sz w:val="14"/>
        </w:rPr>
        <w:t>Esta se basaba en un monopolio bilateral entre empresarios y empleados formales disputándose los frutos</w:t>
      </w:r>
      <w:r>
        <w:rPr>
          <w:color w:val="231F20"/>
          <w:spacing w:val="-8"/>
          <w:sz w:val="14"/>
        </w:rPr>
        <w:t> </w:t>
      </w:r>
      <w:r>
        <w:rPr>
          <w:color w:val="231F20"/>
          <w:sz w:val="14"/>
        </w:rPr>
        <w:t>de</w:t>
      </w:r>
      <w:r>
        <w:rPr>
          <w:color w:val="231F20"/>
          <w:spacing w:val="-8"/>
          <w:sz w:val="14"/>
        </w:rPr>
        <w:t> </w:t>
      </w:r>
      <w:r>
        <w:rPr>
          <w:color w:val="231F20"/>
          <w:sz w:val="14"/>
        </w:rPr>
        <w:t>progreso</w:t>
      </w:r>
      <w:r>
        <w:rPr>
          <w:color w:val="231F20"/>
          <w:spacing w:val="-8"/>
          <w:sz w:val="14"/>
        </w:rPr>
        <w:t> </w:t>
      </w:r>
      <w:r>
        <w:rPr>
          <w:color w:val="231F20"/>
          <w:sz w:val="14"/>
        </w:rPr>
        <w:t>técnico</w:t>
      </w:r>
      <w:r>
        <w:rPr>
          <w:color w:val="231F20"/>
          <w:spacing w:val="-8"/>
          <w:sz w:val="14"/>
        </w:rPr>
        <w:t> </w:t>
      </w:r>
      <w:r>
        <w:rPr>
          <w:color w:val="231F20"/>
          <w:sz w:val="14"/>
        </w:rPr>
        <w:t>dando</w:t>
      </w:r>
      <w:r>
        <w:rPr>
          <w:color w:val="231F20"/>
          <w:spacing w:val="-8"/>
          <w:sz w:val="14"/>
        </w:rPr>
        <w:t> </w:t>
      </w:r>
      <w:r>
        <w:rPr>
          <w:color w:val="231F20"/>
          <w:sz w:val="14"/>
        </w:rPr>
        <w:t>lugar</w:t>
      </w:r>
      <w:r>
        <w:rPr>
          <w:color w:val="231F20"/>
          <w:spacing w:val="-8"/>
          <w:sz w:val="14"/>
        </w:rPr>
        <w:t> </w:t>
      </w:r>
      <w:r>
        <w:rPr>
          <w:color w:val="231F20"/>
          <w:sz w:val="14"/>
        </w:rPr>
        <w:t>a</w:t>
      </w:r>
      <w:r>
        <w:rPr>
          <w:color w:val="231F20"/>
          <w:spacing w:val="-8"/>
          <w:sz w:val="14"/>
        </w:rPr>
        <w:t> </w:t>
      </w:r>
      <w:r>
        <w:rPr>
          <w:color w:val="231F20"/>
          <w:sz w:val="14"/>
        </w:rPr>
        <w:t>una</w:t>
      </w:r>
      <w:r>
        <w:rPr>
          <w:color w:val="231F20"/>
          <w:spacing w:val="-8"/>
          <w:sz w:val="14"/>
        </w:rPr>
        <w:t> </w:t>
      </w:r>
      <w:r>
        <w:rPr>
          <w:color w:val="231F20"/>
          <w:sz w:val="14"/>
        </w:rPr>
        <w:t>estructura</w:t>
      </w:r>
      <w:r>
        <w:rPr>
          <w:color w:val="231F20"/>
          <w:spacing w:val="-8"/>
          <w:sz w:val="14"/>
        </w:rPr>
        <w:t> </w:t>
      </w:r>
      <w:r>
        <w:rPr>
          <w:color w:val="231F20"/>
          <w:sz w:val="14"/>
        </w:rPr>
        <w:t>salarial</w:t>
      </w:r>
      <w:r>
        <w:rPr>
          <w:color w:val="231F20"/>
          <w:spacing w:val="-8"/>
          <w:sz w:val="14"/>
        </w:rPr>
        <w:t> </w:t>
      </w:r>
      <w:r>
        <w:rPr>
          <w:color w:val="231F20"/>
          <w:sz w:val="14"/>
        </w:rPr>
        <w:t>resultado</w:t>
      </w:r>
      <w:r>
        <w:rPr>
          <w:color w:val="231F20"/>
          <w:spacing w:val="-8"/>
          <w:sz w:val="14"/>
        </w:rPr>
        <w:t> </w:t>
      </w:r>
      <w:r>
        <w:rPr>
          <w:color w:val="231F20"/>
          <w:sz w:val="14"/>
        </w:rPr>
        <w:t>de</w:t>
      </w:r>
      <w:r>
        <w:rPr>
          <w:color w:val="231F20"/>
          <w:spacing w:val="-8"/>
          <w:sz w:val="14"/>
        </w:rPr>
        <w:t> </w:t>
      </w:r>
      <w:r>
        <w:rPr>
          <w:color w:val="231F20"/>
          <w:sz w:val="14"/>
        </w:rPr>
        <w:t>procesos</w:t>
      </w:r>
      <w:r>
        <w:rPr>
          <w:color w:val="231F20"/>
          <w:spacing w:val="-8"/>
          <w:sz w:val="14"/>
        </w:rPr>
        <w:t> </w:t>
      </w:r>
      <w:r>
        <w:rPr>
          <w:color w:val="231F20"/>
          <w:sz w:val="14"/>
        </w:rPr>
        <w:t>institucionales</w:t>
      </w:r>
      <w:r>
        <w:rPr>
          <w:color w:val="231F20"/>
          <w:spacing w:val="-8"/>
          <w:sz w:val="14"/>
        </w:rPr>
        <w:t> </w:t>
      </w:r>
      <w:r>
        <w:rPr>
          <w:color w:val="231F20"/>
          <w:sz w:val="14"/>
        </w:rPr>
        <w:t>y</w:t>
      </w:r>
      <w:r>
        <w:rPr>
          <w:color w:val="231F20"/>
          <w:spacing w:val="-8"/>
          <w:sz w:val="14"/>
        </w:rPr>
        <w:t> </w:t>
      </w:r>
      <w:r>
        <w:rPr>
          <w:color w:val="231F20"/>
          <w:sz w:val="14"/>
        </w:rPr>
        <w:t>no económicos</w:t>
      </w:r>
      <w:r>
        <w:rPr>
          <w:color w:val="231F20"/>
          <w:spacing w:val="-21"/>
          <w:sz w:val="14"/>
        </w:rPr>
        <w:t> </w:t>
      </w:r>
      <w:r>
        <w:rPr>
          <w:color w:val="231F20"/>
          <w:sz w:val="14"/>
        </w:rPr>
        <w:t>(Mezzera,</w:t>
      </w:r>
      <w:r>
        <w:rPr>
          <w:color w:val="231F20"/>
          <w:spacing w:val="-21"/>
          <w:sz w:val="14"/>
        </w:rPr>
        <w:t> </w:t>
      </w:r>
      <w:r>
        <w:rPr>
          <w:color w:val="231F20"/>
          <w:spacing w:val="-2"/>
          <w:sz w:val="14"/>
        </w:rPr>
        <w:t>1985).</w:t>
      </w:r>
    </w:p>
    <w:p>
      <w:pPr>
        <w:spacing w:before="0"/>
        <w:ind w:left="110" w:right="111" w:firstLine="0"/>
        <w:jc w:val="both"/>
        <w:rPr>
          <w:sz w:val="14"/>
        </w:rPr>
      </w:pPr>
      <w:r>
        <w:rPr>
          <w:color w:val="231F20"/>
          <w:position w:val="5"/>
          <w:sz w:val="8"/>
        </w:rPr>
        <w:t>6 </w:t>
      </w:r>
      <w:r>
        <w:rPr>
          <w:color w:val="231F20"/>
          <w:sz w:val="14"/>
        </w:rPr>
        <w:t>De hecho, la subcontratación probablemente sea la expresión más nítida de lo que Agacino (1994) considera como la abolición del antiguo régimen de fábrica con el nuevo modelo de acumulación que ha conllevado el debilitamiento de los trabajadores como sujeto social ya que la lucha se ha vuelto más abstracta.</w:t>
      </w:r>
    </w:p>
    <w:p>
      <w:pPr>
        <w:spacing w:after="0"/>
        <w:jc w:val="both"/>
        <w:rPr>
          <w:sz w:val="14"/>
        </w:rPr>
        <w:sectPr>
          <w:pgSz w:w="7770" w:h="11740"/>
          <w:pgMar w:header="0" w:footer="474" w:top="840" w:bottom="740" w:left="740" w:right="1020"/>
        </w:sectPr>
      </w:pPr>
    </w:p>
    <w:p>
      <w:pPr>
        <w:pStyle w:val="BodyText"/>
        <w:spacing w:line="249" w:lineRule="auto" w:before="60"/>
        <w:ind w:left="113" w:right="107" w:firstLine="283"/>
        <w:jc w:val="both"/>
      </w:pPr>
      <w:r>
        <w:rPr>
          <w:color w:val="231F20"/>
        </w:rPr>
        <w:t>Esto ha sido resultado del debilitamiento tanto del movimiento sin- dical como de la acción estatal. En cuanto al primero, su expresión más ilustrativa la representa la abrupta caída de las tasas de sindicalización. Al respecto, Roberts (2012: </w:t>
      </w:r>
      <w:r>
        <w:rPr>
          <w:color w:val="231F20"/>
          <w:spacing w:val="-3"/>
        </w:rPr>
        <w:t>Tabla </w:t>
      </w:r>
      <w:r>
        <w:rPr>
          <w:color w:val="231F20"/>
        </w:rPr>
        <w:t>1) señala que, en términos de pro- medio regional, esa tasa descendió de 22.9 por ciento en los momentos de mayor sindicalización durante la modernización nacional a 10.7 por ciento en 2005.</w:t>
      </w:r>
      <w:r>
        <w:rPr>
          <w:color w:val="231F20"/>
          <w:position w:val="7"/>
          <w:sz w:val="11"/>
        </w:rPr>
        <w:t>7 </w:t>
      </w:r>
      <w:r>
        <w:rPr>
          <w:color w:val="231F20"/>
        </w:rPr>
        <w:t>Las pérdidas mayores las registraron: Argentina</w:t>
      </w:r>
      <w:r>
        <w:rPr>
          <w:color w:val="231F20"/>
          <w:spacing w:val="-26"/>
        </w:rPr>
        <w:t> </w:t>
      </w:r>
      <w:r>
        <w:rPr>
          <w:color w:val="231F20"/>
        </w:rPr>
        <w:t>(-29.1); Chile (-25.0); Nicaragua (-22.3); y Perú (-21.0).</w:t>
      </w:r>
      <w:r>
        <w:rPr>
          <w:color w:val="231F20"/>
          <w:position w:val="7"/>
          <w:sz w:val="11"/>
        </w:rPr>
        <w:t>8 </w:t>
      </w:r>
      <w:r>
        <w:rPr>
          <w:color w:val="231F20"/>
        </w:rPr>
        <w:t>Es decir, es inobjetable la pérdida de influencia del sindicalismo como fuerza organizadora den- tro</w:t>
      </w:r>
      <w:r>
        <w:rPr>
          <w:color w:val="231F20"/>
          <w:spacing w:val="-9"/>
        </w:rPr>
        <w:t> </w:t>
      </w:r>
      <w:r>
        <w:rPr>
          <w:color w:val="231F20"/>
        </w:rPr>
        <w:t>del</w:t>
      </w:r>
      <w:r>
        <w:rPr>
          <w:color w:val="231F20"/>
          <w:spacing w:val="-9"/>
        </w:rPr>
        <w:t> </w:t>
      </w:r>
      <w:r>
        <w:rPr>
          <w:color w:val="231F20"/>
        </w:rPr>
        <w:t>mundo</w:t>
      </w:r>
      <w:r>
        <w:rPr>
          <w:color w:val="231F20"/>
          <w:spacing w:val="-9"/>
        </w:rPr>
        <w:t> </w:t>
      </w:r>
      <w:r>
        <w:rPr>
          <w:color w:val="231F20"/>
        </w:rPr>
        <w:t>laboral</w:t>
      </w:r>
      <w:r>
        <w:rPr>
          <w:color w:val="231F20"/>
          <w:spacing w:val="-9"/>
        </w:rPr>
        <w:t> </w:t>
      </w:r>
      <w:r>
        <w:rPr>
          <w:color w:val="231F20"/>
        </w:rPr>
        <w:t>latinoamericano</w:t>
      </w:r>
      <w:r>
        <w:rPr>
          <w:color w:val="231F20"/>
          <w:spacing w:val="-10"/>
        </w:rPr>
        <w:t> </w:t>
      </w:r>
      <w:r>
        <w:rPr>
          <w:color w:val="231F20"/>
        </w:rPr>
        <w:t>aunque</w:t>
      </w:r>
      <w:r>
        <w:rPr>
          <w:color w:val="231F20"/>
          <w:spacing w:val="-9"/>
        </w:rPr>
        <w:t> </w:t>
      </w:r>
      <w:r>
        <w:rPr>
          <w:color w:val="231F20"/>
        </w:rPr>
        <w:t>no</w:t>
      </w:r>
      <w:r>
        <w:rPr>
          <w:color w:val="231F20"/>
          <w:spacing w:val="-9"/>
        </w:rPr>
        <w:t> </w:t>
      </w:r>
      <w:r>
        <w:rPr>
          <w:color w:val="231F20"/>
        </w:rPr>
        <w:t>necesariamente</w:t>
      </w:r>
      <w:r>
        <w:rPr>
          <w:color w:val="231F20"/>
          <w:spacing w:val="-9"/>
        </w:rPr>
        <w:t> </w:t>
      </w:r>
      <w:r>
        <w:rPr>
          <w:color w:val="231F20"/>
        </w:rPr>
        <w:t>ha</w:t>
      </w:r>
      <w:r>
        <w:rPr>
          <w:color w:val="231F20"/>
          <w:spacing w:val="-9"/>
        </w:rPr>
        <w:t> </w:t>
      </w:r>
      <w:r>
        <w:rPr>
          <w:color w:val="231F20"/>
        </w:rPr>
        <w:t>sido un proceso lineal y además se tiene que tomar en cuenta especificidades nacionales. En cuanto al debilitamiento de la acción estatal, esta se ha expresado en la desregulación laboral que ha logrado imponer el nuevo orden (neo)liberal. A pesar de ciertos discursos, especialmente por parte del Banco Mundial argumentando que los mercados laborales en la re- gión</w:t>
      </w:r>
      <w:r>
        <w:rPr>
          <w:color w:val="231F20"/>
          <w:spacing w:val="-9"/>
        </w:rPr>
        <w:t> </w:t>
      </w:r>
      <w:r>
        <w:rPr>
          <w:color w:val="231F20"/>
        </w:rPr>
        <w:t>se</w:t>
      </w:r>
      <w:r>
        <w:rPr>
          <w:color w:val="231F20"/>
          <w:spacing w:val="-9"/>
        </w:rPr>
        <w:t> </w:t>
      </w:r>
      <w:r>
        <w:rPr>
          <w:color w:val="231F20"/>
        </w:rPr>
        <w:t>caracterizaban</w:t>
      </w:r>
      <w:r>
        <w:rPr>
          <w:color w:val="231F20"/>
          <w:spacing w:val="-9"/>
        </w:rPr>
        <w:t> </w:t>
      </w:r>
      <w:r>
        <w:rPr>
          <w:color w:val="231F20"/>
        </w:rPr>
        <w:t>por</w:t>
      </w:r>
      <w:r>
        <w:rPr>
          <w:color w:val="231F20"/>
          <w:spacing w:val="-9"/>
        </w:rPr>
        <w:t> </w:t>
      </w:r>
      <w:r>
        <w:rPr>
          <w:color w:val="231F20"/>
        </w:rPr>
        <w:t>su</w:t>
      </w:r>
      <w:r>
        <w:rPr>
          <w:color w:val="231F20"/>
          <w:spacing w:val="-9"/>
        </w:rPr>
        <w:t> </w:t>
      </w:r>
      <w:r>
        <w:rPr>
          <w:color w:val="231F20"/>
        </w:rPr>
        <w:t>rigidez</w:t>
      </w:r>
      <w:r>
        <w:rPr>
          <w:color w:val="231F20"/>
          <w:spacing w:val="-9"/>
        </w:rPr>
        <w:t> </w:t>
      </w:r>
      <w:r>
        <w:rPr>
          <w:color w:val="231F20"/>
        </w:rPr>
        <w:t>(Burki</w:t>
      </w:r>
      <w:r>
        <w:rPr>
          <w:color w:val="231F20"/>
          <w:spacing w:val="-9"/>
        </w:rPr>
        <w:t> </w:t>
      </w:r>
      <w:r>
        <w:rPr>
          <w:color w:val="231F20"/>
        </w:rPr>
        <w:t>y</w:t>
      </w:r>
      <w:r>
        <w:rPr>
          <w:color w:val="231F20"/>
          <w:spacing w:val="-9"/>
        </w:rPr>
        <w:t> </w:t>
      </w:r>
      <w:r>
        <w:rPr>
          <w:color w:val="231F20"/>
          <w:spacing w:val="-3"/>
        </w:rPr>
        <w:t>Perry,</w:t>
      </w:r>
      <w:r>
        <w:rPr>
          <w:color w:val="231F20"/>
          <w:spacing w:val="-9"/>
        </w:rPr>
        <w:t> </w:t>
      </w:r>
      <w:r>
        <w:rPr>
          <w:color w:val="231F20"/>
        </w:rPr>
        <w:t>1997),</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mayoría de los países de la región se dieron reformas con orientaciones flexibili- zadoras que afectaron aproximadamente a 70 por ciento del empleo asa- lariado de la región </w:t>
      </w:r>
      <w:r>
        <w:rPr>
          <w:color w:val="231F20"/>
          <w:spacing w:val="-5"/>
        </w:rPr>
        <w:t>(Vega </w:t>
      </w:r>
      <w:r>
        <w:rPr>
          <w:color w:val="231F20"/>
        </w:rPr>
        <w:t>Ruíz, 2001: 14). Como señala,</w:t>
      </w:r>
      <w:r>
        <w:rPr>
          <w:color w:val="231F20"/>
          <w:spacing w:val="-31"/>
        </w:rPr>
        <w:t> </w:t>
      </w:r>
      <w:r>
        <w:rPr>
          <w:color w:val="231F20"/>
        </w:rPr>
        <w:t>acertadamente, Barrientos (1998), la dificultad de diferenciar entre cambios legales y</w:t>
      </w:r>
      <w:r>
        <w:rPr>
          <w:color w:val="231F20"/>
          <w:spacing w:val="-10"/>
        </w:rPr>
        <w:t> </w:t>
      </w:r>
      <w:r>
        <w:rPr>
          <w:i/>
          <w:color w:val="231F20"/>
        </w:rPr>
        <w:t>de </w:t>
      </w:r>
      <w:r>
        <w:rPr>
          <w:i/>
          <w:color w:val="231F20"/>
        </w:rPr>
        <w:t>facto </w:t>
      </w:r>
      <w:r>
        <w:rPr>
          <w:color w:val="231F20"/>
        </w:rPr>
        <w:t>ha obscurecido la verdadera dimensión de la liberalización de los mercados laborales. Además, estas reformas se inscriben dentro de un patrón histórico de incumplimiento de los estándares laborales vigentes (Bensusán, 2009).</w:t>
      </w:r>
    </w:p>
    <w:p>
      <w:pPr>
        <w:pStyle w:val="BodyText"/>
        <w:spacing w:line="249" w:lineRule="auto" w:before="1"/>
        <w:ind w:left="113" w:right="108" w:firstLine="283"/>
        <w:jc w:val="both"/>
      </w:pPr>
      <w:r>
        <w:rPr>
          <w:color w:val="231F20"/>
        </w:rPr>
        <w:t>Por consiguiente, se ha pasado de una asimetría relativa en tanto que los</w:t>
      </w:r>
      <w:r>
        <w:rPr>
          <w:color w:val="231F20"/>
          <w:spacing w:val="-11"/>
        </w:rPr>
        <w:t> </w:t>
      </w:r>
      <w:r>
        <w:rPr>
          <w:color w:val="231F20"/>
        </w:rPr>
        <w:t>empleados</w:t>
      </w:r>
      <w:r>
        <w:rPr>
          <w:color w:val="231F20"/>
          <w:spacing w:val="-11"/>
        </w:rPr>
        <w:t> </w:t>
      </w:r>
      <w:r>
        <w:rPr>
          <w:color w:val="231F20"/>
        </w:rPr>
        <w:t>formales</w:t>
      </w:r>
      <w:r>
        <w:rPr>
          <w:color w:val="231F20"/>
          <w:spacing w:val="-11"/>
        </w:rPr>
        <w:t> </w:t>
      </w:r>
      <w:r>
        <w:rPr>
          <w:color w:val="231F20"/>
        </w:rPr>
        <w:t>podían</w:t>
      </w:r>
      <w:r>
        <w:rPr>
          <w:color w:val="231F20"/>
          <w:spacing w:val="-11"/>
        </w:rPr>
        <w:t> </w:t>
      </w:r>
      <w:r>
        <w:rPr>
          <w:color w:val="231F20"/>
        </w:rPr>
        <w:t>pugnar</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rPr>
        <w:t>frutos</w:t>
      </w:r>
      <w:r>
        <w:rPr>
          <w:color w:val="231F20"/>
          <w:spacing w:val="-11"/>
        </w:rPr>
        <w:t> </w:t>
      </w:r>
      <w:r>
        <w:rPr>
          <w:color w:val="231F20"/>
        </w:rPr>
        <w:t>del</w:t>
      </w:r>
      <w:r>
        <w:rPr>
          <w:color w:val="231F20"/>
          <w:spacing w:val="-11"/>
        </w:rPr>
        <w:t> </w:t>
      </w:r>
      <w:r>
        <w:rPr>
          <w:color w:val="231F20"/>
        </w:rPr>
        <w:t>progreso</w:t>
      </w:r>
      <w:r>
        <w:rPr>
          <w:color w:val="231F20"/>
          <w:spacing w:val="-11"/>
        </w:rPr>
        <w:t> </w:t>
      </w:r>
      <w:r>
        <w:rPr>
          <w:color w:val="231F20"/>
        </w:rPr>
        <w:t>técnico a otra claramente favorable al capital ya que la competencia global im- pone reducción de costos salariales y su supeditación al desarrollo de la productividad. En este sentido, se puede decir que la precarización es</w:t>
      </w:r>
      <w:r>
        <w:rPr>
          <w:color w:val="231F20"/>
          <w:spacing w:val="-21"/>
        </w:rPr>
        <w:t> </w:t>
      </w:r>
      <w:r>
        <w:rPr>
          <w:color w:val="231F20"/>
        </w:rPr>
        <w:t>un fenómeno generalizado y se postularía que constituye el rasgo principal de la configuración del mundo salarial latinoamericano en la</w:t>
      </w:r>
      <w:r>
        <w:rPr>
          <w:color w:val="231F20"/>
          <w:spacing w:val="-26"/>
        </w:rPr>
        <w:t> </w:t>
      </w:r>
      <w:r>
        <w:rPr>
          <w:color w:val="231F20"/>
        </w:rPr>
        <w:t>moderniza- ción</w:t>
      </w:r>
      <w:r>
        <w:rPr>
          <w:color w:val="231F20"/>
          <w:spacing w:val="-1"/>
        </w:rPr>
        <w:t> </w:t>
      </w:r>
      <w:r>
        <w:rPr>
          <w:color w:val="231F20"/>
        </w:rPr>
        <w:t>globalizada.</w:t>
      </w:r>
    </w:p>
    <w:p>
      <w:pPr>
        <w:pStyle w:val="BodyText"/>
        <w:spacing w:line="249" w:lineRule="auto" w:before="1"/>
        <w:ind w:left="113" w:right="108" w:firstLine="283"/>
        <w:jc w:val="both"/>
      </w:pPr>
      <w:r>
        <w:rPr>
          <w:color w:val="231F20"/>
        </w:rPr>
        <w:t>Tercero, como corolario de lo anterior, se ha dado una remercantili- zación de la fuerza de trabajo que implica ruptura del vínculo entre tra- bajo asalariado y ciudadanía social y, por tanto, constituye una auténtica regresión histórica en términos sociales y laborales (Mora Salas,  2010).</w:t>
      </w:r>
    </w:p>
    <w:p>
      <w:pPr>
        <w:pStyle w:val="BodyText"/>
        <w:rPr>
          <w:sz w:val="24"/>
        </w:rPr>
      </w:pPr>
    </w:p>
    <w:p>
      <w:pPr>
        <w:spacing w:before="0"/>
        <w:ind w:left="113" w:right="108" w:firstLine="0"/>
        <w:jc w:val="both"/>
        <w:rPr>
          <w:sz w:val="14"/>
        </w:rPr>
      </w:pPr>
      <w:r>
        <w:rPr>
          <w:color w:val="231F20"/>
          <w:position w:val="5"/>
          <w:sz w:val="8"/>
        </w:rPr>
        <w:t>7</w:t>
      </w:r>
      <w:r>
        <w:rPr>
          <w:color w:val="231F20"/>
          <w:spacing w:val="7"/>
          <w:position w:val="5"/>
          <w:sz w:val="8"/>
        </w:rPr>
        <w:t> </w:t>
      </w:r>
      <w:r>
        <w:rPr>
          <w:color w:val="231F20"/>
          <w:sz w:val="14"/>
        </w:rPr>
        <w:t>La</w:t>
      </w:r>
      <w:r>
        <w:rPr>
          <w:color w:val="231F20"/>
          <w:spacing w:val="-8"/>
          <w:sz w:val="14"/>
        </w:rPr>
        <w:t> </w:t>
      </w:r>
      <w:r>
        <w:rPr>
          <w:color w:val="231F20"/>
          <w:sz w:val="14"/>
        </w:rPr>
        <w:t>tasa</w:t>
      </w:r>
      <w:r>
        <w:rPr>
          <w:color w:val="231F20"/>
          <w:spacing w:val="-8"/>
          <w:sz w:val="14"/>
        </w:rPr>
        <w:t> </w:t>
      </w:r>
      <w:r>
        <w:rPr>
          <w:color w:val="231F20"/>
          <w:sz w:val="14"/>
        </w:rPr>
        <w:t>de</w:t>
      </w:r>
      <w:r>
        <w:rPr>
          <w:color w:val="231F20"/>
          <w:spacing w:val="-8"/>
          <w:sz w:val="14"/>
        </w:rPr>
        <w:t> </w:t>
      </w:r>
      <w:r>
        <w:rPr>
          <w:color w:val="231F20"/>
          <w:sz w:val="14"/>
        </w:rPr>
        <w:t>sindicalización</w:t>
      </w:r>
      <w:r>
        <w:rPr>
          <w:color w:val="231F20"/>
          <w:spacing w:val="-8"/>
          <w:sz w:val="14"/>
        </w:rPr>
        <w:t> </w:t>
      </w:r>
      <w:r>
        <w:rPr>
          <w:color w:val="231F20"/>
          <w:sz w:val="14"/>
        </w:rPr>
        <w:t>(sobre</w:t>
      </w:r>
      <w:r>
        <w:rPr>
          <w:color w:val="231F20"/>
          <w:spacing w:val="-8"/>
          <w:sz w:val="14"/>
        </w:rPr>
        <w:t> </w:t>
      </w:r>
      <w:r>
        <w:rPr>
          <w:color w:val="231F20"/>
          <w:sz w:val="14"/>
        </w:rPr>
        <w:t>la</w:t>
      </w:r>
      <w:r>
        <w:rPr>
          <w:color w:val="231F20"/>
          <w:spacing w:val="-8"/>
          <w:sz w:val="14"/>
        </w:rPr>
        <w:t> </w:t>
      </w:r>
      <w:r>
        <w:rPr>
          <w:color w:val="231F20"/>
          <w:sz w:val="14"/>
        </w:rPr>
        <w:t>fuerza</w:t>
      </w:r>
      <w:r>
        <w:rPr>
          <w:color w:val="231F20"/>
          <w:spacing w:val="-8"/>
          <w:sz w:val="14"/>
        </w:rPr>
        <w:t> </w:t>
      </w:r>
      <w:r>
        <w:rPr>
          <w:color w:val="231F20"/>
          <w:sz w:val="14"/>
        </w:rPr>
        <w:t>de</w:t>
      </w:r>
      <w:r>
        <w:rPr>
          <w:color w:val="231F20"/>
          <w:spacing w:val="-8"/>
          <w:sz w:val="14"/>
        </w:rPr>
        <w:t> </w:t>
      </w:r>
      <w:r>
        <w:rPr>
          <w:color w:val="231F20"/>
          <w:sz w:val="14"/>
        </w:rPr>
        <w:t>trabajo</w:t>
      </w:r>
      <w:r>
        <w:rPr>
          <w:color w:val="231F20"/>
          <w:spacing w:val="-8"/>
          <w:sz w:val="14"/>
        </w:rPr>
        <w:t> </w:t>
      </w:r>
      <w:r>
        <w:rPr>
          <w:color w:val="231F20"/>
          <w:sz w:val="14"/>
        </w:rPr>
        <w:t>no</w:t>
      </w:r>
      <w:r>
        <w:rPr>
          <w:color w:val="231F20"/>
          <w:spacing w:val="-8"/>
          <w:sz w:val="14"/>
        </w:rPr>
        <w:t> </w:t>
      </w:r>
      <w:r>
        <w:rPr>
          <w:color w:val="231F20"/>
          <w:sz w:val="14"/>
        </w:rPr>
        <w:t>agrícola)</w:t>
      </w:r>
      <w:r>
        <w:rPr>
          <w:color w:val="231F20"/>
          <w:spacing w:val="-8"/>
          <w:sz w:val="14"/>
        </w:rPr>
        <w:t> </w:t>
      </w:r>
      <w:r>
        <w:rPr>
          <w:color w:val="231F20"/>
          <w:sz w:val="14"/>
        </w:rPr>
        <w:t>variaba</w:t>
      </w:r>
      <w:r>
        <w:rPr>
          <w:color w:val="231F20"/>
          <w:spacing w:val="-8"/>
          <w:sz w:val="14"/>
        </w:rPr>
        <w:t> </w:t>
      </w:r>
      <w:r>
        <w:rPr>
          <w:color w:val="231F20"/>
          <w:sz w:val="14"/>
        </w:rPr>
        <w:t>—en</w:t>
      </w:r>
      <w:r>
        <w:rPr>
          <w:color w:val="231F20"/>
          <w:spacing w:val="-8"/>
          <w:sz w:val="14"/>
        </w:rPr>
        <w:t> </w:t>
      </w:r>
      <w:r>
        <w:rPr>
          <w:color w:val="231F20"/>
          <w:sz w:val="14"/>
        </w:rPr>
        <w:t>los</w:t>
      </w:r>
      <w:r>
        <w:rPr>
          <w:color w:val="231F20"/>
          <w:spacing w:val="-8"/>
          <w:sz w:val="14"/>
        </w:rPr>
        <w:t> </w:t>
      </w:r>
      <w:r>
        <w:rPr>
          <w:color w:val="231F20"/>
          <w:sz w:val="14"/>
        </w:rPr>
        <w:t>noventa—</w:t>
      </w:r>
      <w:r>
        <w:rPr>
          <w:color w:val="231F20"/>
          <w:spacing w:val="-8"/>
          <w:sz w:val="14"/>
        </w:rPr>
        <w:t> </w:t>
      </w:r>
      <w:r>
        <w:rPr>
          <w:color w:val="231F20"/>
          <w:sz w:val="14"/>
        </w:rPr>
        <w:t>entre</w:t>
      </w:r>
      <w:r>
        <w:rPr>
          <w:color w:val="231F20"/>
          <w:spacing w:val="-8"/>
          <w:sz w:val="14"/>
        </w:rPr>
        <w:t> </w:t>
      </w:r>
      <w:r>
        <w:rPr>
          <w:color w:val="231F20"/>
          <w:sz w:val="14"/>
        </w:rPr>
        <w:t>32.1 por ciento en Brasil y 7.5 por ciento en Perú (Cook, 2007: Table</w:t>
      </w:r>
      <w:r>
        <w:rPr>
          <w:color w:val="231F20"/>
          <w:spacing w:val="-21"/>
          <w:sz w:val="14"/>
        </w:rPr>
        <w:t> </w:t>
      </w:r>
      <w:r>
        <w:rPr>
          <w:color w:val="231F20"/>
          <w:sz w:val="14"/>
        </w:rPr>
        <w:t>I.2).</w:t>
      </w:r>
    </w:p>
    <w:p>
      <w:pPr>
        <w:spacing w:before="0"/>
        <w:ind w:left="113" w:right="108" w:firstLine="0"/>
        <w:jc w:val="both"/>
        <w:rPr>
          <w:sz w:val="14"/>
        </w:rPr>
      </w:pPr>
      <w:r>
        <w:rPr>
          <w:color w:val="231F20"/>
          <w:position w:val="5"/>
          <w:sz w:val="8"/>
        </w:rPr>
        <w:t>8 </w:t>
      </w:r>
      <w:r>
        <w:rPr>
          <w:color w:val="231F20"/>
          <w:sz w:val="14"/>
        </w:rPr>
        <w:t>Aclarar que en el caso de Nicaragua, el punto de referencia no es la modernización nacional, sino el período del sandinismo, en la década de los ochenta, que fue cuando acaeció la eclosión sindical (Pérez Sáinz, 1999).</w:t>
      </w:r>
    </w:p>
    <w:p>
      <w:pPr>
        <w:spacing w:after="0"/>
        <w:jc w:val="both"/>
        <w:rPr>
          <w:sz w:val="14"/>
        </w:rPr>
        <w:sectPr>
          <w:footerReference w:type="default" r:id="rId20"/>
          <w:pgSz w:w="7770" w:h="11740"/>
          <w:pgMar w:footer="474" w:header="0" w:top="840" w:bottom="660" w:left="1020" w:right="740"/>
          <w:pgNumType w:start="23"/>
        </w:sectPr>
      </w:pPr>
    </w:p>
    <w:p>
      <w:pPr>
        <w:pStyle w:val="BodyText"/>
        <w:spacing w:line="249" w:lineRule="auto" w:before="60"/>
        <w:ind w:left="110" w:right="111"/>
        <w:jc w:val="both"/>
      </w:pPr>
      <w:r>
        <w:rPr>
          <w:color w:val="231F20"/>
        </w:rPr>
        <w:t>Esta nueva escisión ha operado de ambos lados de la vieja ecuación: por un lado, las ocupaciones asalariadas han ido progresivamente perdien- do su naturaleza formal, precarizándose; y, por otro lado, la ciudadanía social ya no se define más en términos de empleo formal sino que se ha orientado hacia el consumo básico del hogar. Detrás de esto último, se encuentra la propuesta de ciudadanía social que ha desarrollado el (neo) liberalismo con la invención de la “pobreza” (Pérez Sáinz, 2014).</w:t>
      </w:r>
    </w:p>
    <w:p>
      <w:pPr>
        <w:pStyle w:val="BodyText"/>
        <w:spacing w:line="249" w:lineRule="auto" w:before="1"/>
        <w:ind w:left="110" w:right="111" w:firstLine="283"/>
        <w:jc w:val="both"/>
      </w:pPr>
      <w:r>
        <w:rPr>
          <w:color w:val="231F20"/>
        </w:rPr>
        <w:t>Y cuarto, generalización de la precarización no es lo mismo que su universalización, por lo que se puede señalar que ciertos grupos de asa- lariados</w:t>
      </w:r>
      <w:r>
        <w:rPr>
          <w:color w:val="231F20"/>
          <w:spacing w:val="-9"/>
        </w:rPr>
        <w:t> </w:t>
      </w:r>
      <w:r>
        <w:rPr>
          <w:color w:val="231F20"/>
        </w:rPr>
        <w:t>han</w:t>
      </w:r>
      <w:r>
        <w:rPr>
          <w:color w:val="231F20"/>
          <w:spacing w:val="-9"/>
        </w:rPr>
        <w:t> </w:t>
      </w:r>
      <w:r>
        <w:rPr>
          <w:color w:val="231F20"/>
        </w:rPr>
        <w:t>logrado</w:t>
      </w:r>
      <w:r>
        <w:rPr>
          <w:color w:val="231F20"/>
          <w:spacing w:val="-9"/>
        </w:rPr>
        <w:t> </w:t>
      </w:r>
      <w:r>
        <w:rPr>
          <w:color w:val="231F20"/>
        </w:rPr>
        <w:t>escapar</w:t>
      </w:r>
      <w:r>
        <w:rPr>
          <w:color w:val="231F20"/>
          <w:spacing w:val="-9"/>
        </w:rPr>
        <w:t> </w:t>
      </w:r>
      <w:r>
        <w:rPr>
          <w:color w:val="231F20"/>
        </w:rPr>
        <w:t>a</w:t>
      </w:r>
      <w:r>
        <w:rPr>
          <w:color w:val="231F20"/>
          <w:spacing w:val="-9"/>
        </w:rPr>
        <w:t> </w:t>
      </w:r>
      <w:r>
        <w:rPr>
          <w:color w:val="231F20"/>
        </w:rPr>
        <w:t>este</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desempoderamiento</w:t>
      </w:r>
      <w:r>
        <w:rPr>
          <w:color w:val="231F20"/>
          <w:spacing w:val="-9"/>
        </w:rPr>
        <w:t> </w:t>
      </w:r>
      <w:r>
        <w:rPr>
          <w:color w:val="231F20"/>
        </w:rPr>
        <w:t>gene- ralizado. Se trata de aquellos que tuvieron la posibilidad y capacidad de negociar,</w:t>
      </w:r>
      <w:r>
        <w:rPr>
          <w:color w:val="231F20"/>
          <w:spacing w:val="-4"/>
        </w:rPr>
        <w:t> </w:t>
      </w:r>
      <w:r>
        <w:rPr>
          <w:color w:val="231F20"/>
        </w:rPr>
        <w:t>sea</w:t>
      </w:r>
      <w:r>
        <w:rPr>
          <w:color w:val="231F20"/>
          <w:spacing w:val="-4"/>
        </w:rPr>
        <w:t> </w:t>
      </w:r>
      <w:r>
        <w:rPr>
          <w:color w:val="231F20"/>
        </w:rPr>
        <w:t>individual</w:t>
      </w:r>
      <w:r>
        <w:rPr>
          <w:color w:val="231F20"/>
          <w:spacing w:val="-5"/>
        </w:rPr>
        <w:t> </w:t>
      </w:r>
      <w:r>
        <w:rPr>
          <w:color w:val="231F20"/>
        </w:rPr>
        <w:t>o</w:t>
      </w:r>
      <w:r>
        <w:rPr>
          <w:color w:val="231F20"/>
          <w:spacing w:val="-4"/>
        </w:rPr>
        <w:t> </w:t>
      </w:r>
      <w:r>
        <w:rPr>
          <w:color w:val="231F20"/>
        </w:rPr>
        <w:t>colectivamente,</w:t>
      </w:r>
      <w:r>
        <w:rPr>
          <w:color w:val="231F20"/>
          <w:spacing w:val="-5"/>
        </w:rPr>
        <w:t> </w:t>
      </w:r>
      <w:r>
        <w:rPr>
          <w:color w:val="231F20"/>
        </w:rPr>
        <w:t>acuerdos</w:t>
      </w:r>
      <w:r>
        <w:rPr>
          <w:color w:val="231F20"/>
          <w:spacing w:val="-5"/>
        </w:rPr>
        <w:t> </w:t>
      </w:r>
      <w:r>
        <w:rPr>
          <w:color w:val="231F20"/>
        </w:rPr>
        <w:t>a</w:t>
      </w:r>
      <w:r>
        <w:rPr>
          <w:color w:val="231F20"/>
          <w:spacing w:val="-4"/>
        </w:rPr>
        <w:t> </w:t>
      </w:r>
      <w:r>
        <w:rPr>
          <w:color w:val="231F20"/>
        </w:rPr>
        <w:t>nivel</w:t>
      </w:r>
      <w:r>
        <w:rPr>
          <w:color w:val="231F20"/>
          <w:spacing w:val="-4"/>
        </w:rPr>
        <w:t> </w:t>
      </w:r>
      <w:r>
        <w:rPr>
          <w:color w:val="231F20"/>
        </w:rPr>
        <w:t>de</w:t>
      </w:r>
      <w:r>
        <w:rPr>
          <w:color w:val="231F20"/>
          <w:spacing w:val="-4"/>
        </w:rPr>
        <w:t> </w:t>
      </w:r>
      <w:r>
        <w:rPr>
          <w:color w:val="231F20"/>
        </w:rPr>
        <w:t>empresa</w:t>
      </w:r>
      <w:r>
        <w:rPr>
          <w:color w:val="231F20"/>
          <w:spacing w:val="-5"/>
        </w:rPr>
        <w:t> </w:t>
      </w:r>
      <w:r>
        <w:rPr>
          <w:color w:val="231F20"/>
        </w:rPr>
        <w:t>a través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denominados</w:t>
      </w:r>
      <w:r>
        <w:rPr>
          <w:color w:val="231F20"/>
          <w:spacing w:val="-5"/>
        </w:rPr>
        <w:t> </w:t>
      </w:r>
      <w:r>
        <w:rPr>
          <w:color w:val="231F20"/>
        </w:rPr>
        <w:t>pactos</w:t>
      </w:r>
      <w:r>
        <w:rPr>
          <w:color w:val="231F20"/>
          <w:spacing w:val="-5"/>
        </w:rPr>
        <w:t> </w:t>
      </w:r>
      <w:r>
        <w:rPr>
          <w:color w:val="231F20"/>
        </w:rPr>
        <w:t>neo-corporativos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Garza</w:t>
      </w:r>
      <w:r>
        <w:rPr>
          <w:color w:val="231F20"/>
          <w:spacing w:val="-8"/>
        </w:rPr>
        <w:t> </w:t>
      </w:r>
      <w:r>
        <w:rPr>
          <w:color w:val="231F20"/>
        </w:rPr>
        <w:t>Toledo, 2000). Por consiguiente, en la modernización globalizada se puede ha- blar de dualización de la fuerza de trabajo asalariada con un polo mino- ritario que ha escapado a la precarización y otro polo mayoritario que la padece.</w:t>
      </w:r>
      <w:r>
        <w:rPr>
          <w:color w:val="231F20"/>
          <w:spacing w:val="-6"/>
        </w:rPr>
        <w:t> </w:t>
      </w:r>
      <w:r>
        <w:rPr>
          <w:color w:val="231F20"/>
        </w:rPr>
        <w:t>Pero,</w:t>
      </w:r>
      <w:r>
        <w:rPr>
          <w:color w:val="231F20"/>
          <w:spacing w:val="-6"/>
        </w:rPr>
        <w:t> </w:t>
      </w:r>
      <w:r>
        <w:rPr>
          <w:color w:val="231F20"/>
        </w:rPr>
        <w:t>esta</w:t>
      </w:r>
      <w:r>
        <w:rPr>
          <w:color w:val="231F20"/>
          <w:spacing w:val="-6"/>
        </w:rPr>
        <w:t> </w:t>
      </w:r>
      <w:r>
        <w:rPr>
          <w:color w:val="231F20"/>
        </w:rPr>
        <w:t>nueva</w:t>
      </w:r>
      <w:r>
        <w:rPr>
          <w:color w:val="231F20"/>
          <w:spacing w:val="-6"/>
        </w:rPr>
        <w:t> </w:t>
      </w:r>
      <w:r>
        <w:rPr>
          <w:color w:val="231F20"/>
        </w:rPr>
        <w:t>dualización</w:t>
      </w:r>
      <w:r>
        <w:rPr>
          <w:color w:val="231F20"/>
          <w:spacing w:val="-6"/>
        </w:rPr>
        <w:t> </w:t>
      </w:r>
      <w:r>
        <w:rPr>
          <w:color w:val="231F20"/>
        </w:rPr>
        <w:t>no</w:t>
      </w:r>
      <w:r>
        <w:rPr>
          <w:color w:val="231F20"/>
          <w:spacing w:val="-6"/>
        </w:rPr>
        <w:t> </w:t>
      </w:r>
      <w:r>
        <w:rPr>
          <w:color w:val="231F20"/>
        </w:rPr>
        <w:t>estaría</w:t>
      </w:r>
      <w:r>
        <w:rPr>
          <w:color w:val="231F20"/>
          <w:spacing w:val="-6"/>
        </w:rPr>
        <w:t> </w:t>
      </w:r>
      <w:r>
        <w:rPr>
          <w:color w:val="231F20"/>
        </w:rPr>
        <w:t>reflejando</w:t>
      </w:r>
      <w:r>
        <w:rPr>
          <w:color w:val="231F20"/>
          <w:spacing w:val="-6"/>
        </w:rPr>
        <w:t> </w:t>
      </w:r>
      <w:r>
        <w:rPr>
          <w:color w:val="231F20"/>
        </w:rPr>
        <w:t>la</w:t>
      </w:r>
      <w:r>
        <w:rPr>
          <w:color w:val="231F20"/>
          <w:spacing w:val="-6"/>
        </w:rPr>
        <w:t> </w:t>
      </w:r>
      <w:r>
        <w:rPr>
          <w:color w:val="231F20"/>
        </w:rPr>
        <w:t>redefinición de la desigualdad de acaparamiento de empleo que mostraba el corte formal/informal en el modelo de acumulación previo, ni en el caso de la subcontratación ni de la flexibilización</w:t>
      </w:r>
      <w:r>
        <w:rPr>
          <w:color w:val="231F20"/>
          <w:spacing w:val="-11"/>
        </w:rPr>
        <w:t> </w:t>
      </w:r>
      <w:r>
        <w:rPr>
          <w:color w:val="231F20"/>
        </w:rPr>
        <w:t>laboral.</w:t>
      </w:r>
    </w:p>
    <w:p>
      <w:pPr>
        <w:pStyle w:val="BodyText"/>
        <w:spacing w:line="249" w:lineRule="auto" w:before="1"/>
        <w:ind w:left="110" w:right="111" w:firstLine="283"/>
        <w:jc w:val="both"/>
      </w:pPr>
      <w:r>
        <w:rPr>
          <w:color w:val="231F20"/>
        </w:rPr>
        <w:t>En el primer caso, la subcontratación laboral, pensamos que se está ante una situación distinta por una doble razón. Por un lado, la división del trabajo resultante de la externalización genera otro tipo de heteroge- neidad ocupacional. No es de naturaleza horizontal, como antaño y que reflejaba más bien barreras que deslindaban ámbitos laborales, sino que se está ante una heterogeneidad de tipo vertical.</w:t>
      </w:r>
      <w:r>
        <w:rPr>
          <w:color w:val="231F20"/>
          <w:position w:val="7"/>
          <w:sz w:val="11"/>
        </w:rPr>
        <w:t>9 </w:t>
      </w:r>
      <w:r>
        <w:rPr>
          <w:color w:val="231F20"/>
          <w:spacing w:val="-13"/>
        </w:rPr>
        <w:t>Y, </w:t>
      </w:r>
      <w:r>
        <w:rPr>
          <w:color w:val="231F20"/>
        </w:rPr>
        <w:t>por otro lado, existe la posibilidad de subcontratación no precaria si la fuerza de trabajo es suficientemente calificada ya que sus condiciones de trabajo no serían distintas de los trabajadores permanentes (Iranzo y Leite, 2006). O sea, se mantiene como mano de obra subcontratada pero sus condiciones la- borales no son precarias </w:t>
      </w:r>
      <w:r>
        <w:rPr>
          <w:color w:val="231F20"/>
          <w:spacing w:val="-7"/>
        </w:rPr>
        <w:t>y, </w:t>
      </w:r>
      <w:r>
        <w:rPr>
          <w:color w:val="231F20"/>
        </w:rPr>
        <w:t>por tanto, la distinción núcleo/periferia no siempre se corresponde con la de precariedad/no precariedad. En cuanto a la flexibilización laboral </w:t>
      </w:r>
      <w:r>
        <w:rPr>
          <w:color w:val="231F20"/>
          <w:spacing w:val="-7"/>
        </w:rPr>
        <w:t>y, </w:t>
      </w:r>
      <w:r>
        <w:rPr>
          <w:color w:val="231F20"/>
        </w:rPr>
        <w:t>en concreto a los pactos neo-corporativos, también se pueden hacer un doble señalamiento. Así, por un lado, el al- cance de estos pactos es limitado (De la Garza Toledo, 2000); no se está ante un fenómeno de carácter sistémico como lo fue en el pasado el em- pleo</w:t>
      </w:r>
      <w:r>
        <w:rPr>
          <w:color w:val="231F20"/>
          <w:spacing w:val="-10"/>
        </w:rPr>
        <w:t> </w:t>
      </w:r>
      <w:r>
        <w:rPr>
          <w:color w:val="231F20"/>
        </w:rPr>
        <w:t>formal.</w:t>
      </w:r>
      <w:r>
        <w:rPr>
          <w:color w:val="231F20"/>
          <w:spacing w:val="-10"/>
        </w:rPr>
        <w:t> </w:t>
      </w:r>
      <w:r>
        <w:rPr>
          <w:color w:val="231F20"/>
        </w:rPr>
        <w:t>De</w:t>
      </w:r>
      <w:r>
        <w:rPr>
          <w:color w:val="231F20"/>
          <w:spacing w:val="-10"/>
        </w:rPr>
        <w:t> </w:t>
      </w:r>
      <w:r>
        <w:rPr>
          <w:color w:val="231F20"/>
        </w:rPr>
        <w:t>ahí,</w:t>
      </w:r>
      <w:r>
        <w:rPr>
          <w:color w:val="231F20"/>
          <w:spacing w:val="-10"/>
        </w:rPr>
        <w:t> </w:t>
      </w:r>
      <w:r>
        <w:rPr>
          <w:color w:val="231F20"/>
        </w:rPr>
        <w:t>si</w:t>
      </w:r>
      <w:r>
        <w:rPr>
          <w:color w:val="231F20"/>
          <w:spacing w:val="-10"/>
        </w:rPr>
        <w:t> </w:t>
      </w:r>
      <w:r>
        <w:rPr>
          <w:color w:val="231F20"/>
        </w:rPr>
        <w:t>bien</w:t>
      </w:r>
      <w:r>
        <w:rPr>
          <w:color w:val="231F20"/>
          <w:spacing w:val="-10"/>
        </w:rPr>
        <w:t> </w:t>
      </w:r>
      <w:r>
        <w:rPr>
          <w:color w:val="231F20"/>
        </w:rPr>
        <w:t>los</w:t>
      </w:r>
      <w:r>
        <w:rPr>
          <w:color w:val="231F20"/>
          <w:spacing w:val="-10"/>
        </w:rPr>
        <w:t> </w:t>
      </w:r>
      <w:r>
        <w:rPr>
          <w:color w:val="231F20"/>
        </w:rPr>
        <w:t>asalariados</w:t>
      </w:r>
      <w:r>
        <w:rPr>
          <w:color w:val="231F20"/>
          <w:spacing w:val="-10"/>
        </w:rPr>
        <w:t> </w:t>
      </w:r>
      <w:r>
        <w:rPr>
          <w:color w:val="231F20"/>
        </w:rPr>
        <w:t>en</w:t>
      </w:r>
      <w:r>
        <w:rPr>
          <w:color w:val="231F20"/>
          <w:spacing w:val="-10"/>
        </w:rPr>
        <w:t> </w:t>
      </w:r>
      <w:r>
        <w:rPr>
          <w:color w:val="231F20"/>
        </w:rPr>
        <w:t>contextos</w:t>
      </w:r>
      <w:r>
        <w:rPr>
          <w:color w:val="231F20"/>
          <w:spacing w:val="-10"/>
        </w:rPr>
        <w:t> </w:t>
      </w:r>
      <w:r>
        <w:rPr>
          <w:color w:val="231F20"/>
        </w:rPr>
        <w:t>neo-corporativos gozarían de cierta renta salarial no se puede decir que el corte formal/ informal se ha redefinido en términos de neo-corporativismo y</w:t>
      </w:r>
      <w:r>
        <w:rPr>
          <w:color w:val="231F20"/>
          <w:spacing w:val="32"/>
        </w:rPr>
        <w:t> </w:t>
      </w:r>
      <w:r>
        <w:rPr>
          <w:color w:val="231F20"/>
        </w:rPr>
        <w:t>ausencia</w:t>
      </w:r>
    </w:p>
    <w:p>
      <w:pPr>
        <w:pStyle w:val="BodyText"/>
        <w:rPr>
          <w:sz w:val="17"/>
        </w:rPr>
      </w:pPr>
    </w:p>
    <w:p>
      <w:pPr>
        <w:spacing w:before="1"/>
        <w:ind w:left="110" w:right="0" w:firstLine="0"/>
        <w:jc w:val="both"/>
        <w:rPr>
          <w:sz w:val="14"/>
        </w:rPr>
      </w:pPr>
      <w:r>
        <w:rPr>
          <w:color w:val="231F20"/>
          <w:position w:val="5"/>
          <w:sz w:val="8"/>
        </w:rPr>
        <w:t>9  </w:t>
      </w:r>
      <w:r>
        <w:rPr>
          <w:color w:val="231F20"/>
          <w:sz w:val="14"/>
        </w:rPr>
        <w:t>Esto, hace tiempo, lo percibió perspicazmente Galín (1991).</w:t>
      </w:r>
    </w:p>
    <w:p>
      <w:pPr>
        <w:spacing w:after="0"/>
        <w:jc w:val="both"/>
        <w:rPr>
          <w:sz w:val="14"/>
        </w:rPr>
        <w:sectPr>
          <w:pgSz w:w="7770" w:h="11740"/>
          <w:pgMar w:header="0" w:footer="474" w:top="840" w:bottom="740" w:left="740" w:right="1020"/>
        </w:sectPr>
      </w:pPr>
    </w:p>
    <w:p>
      <w:pPr>
        <w:pStyle w:val="BodyText"/>
        <w:spacing w:line="249" w:lineRule="auto" w:before="60"/>
        <w:ind w:left="113" w:right="107"/>
        <w:jc w:val="both"/>
      </w:pPr>
      <w:r>
        <w:rPr>
          <w:color w:val="231F20"/>
        </w:rPr>
        <w:t>de pactos. Y, por otro lado, esa renta —como beneficio de los acuerdos logrados con la empresa— está sujeta a la volatilidad de los mercados. De ahí que no se pueda formalizar y que esos beneficios escapan al de- recho de trabajo (Abramo, 2001). Son rentas que se circunscriben a es- pacios empresariales de naturaleza privada y contingente. Es decir, la flexibilización laboral ni redefine ni instaura una desigualdad basada en el acaparamiento de empleo como en el pasado lo hizo el fenómeno de la formalidad.</w:t>
      </w:r>
    </w:p>
    <w:p>
      <w:pPr>
        <w:pStyle w:val="Heading4"/>
        <w:spacing w:line="240" w:lineRule="exact" w:before="166"/>
        <w:ind w:right="2356"/>
        <w:jc w:val="left"/>
      </w:pPr>
      <w:r>
        <w:rPr>
          <w:w w:val="75"/>
        </w:rPr>
        <w:t>La empleabilidad como utopía y la naturaleza estructural del desempleo</w:t>
      </w:r>
    </w:p>
    <w:p>
      <w:pPr>
        <w:pStyle w:val="BodyText"/>
        <w:spacing w:line="249" w:lineRule="auto" w:before="175"/>
        <w:ind w:left="113" w:right="107"/>
        <w:jc w:val="both"/>
        <w:rPr>
          <w:sz w:val="11"/>
        </w:rPr>
      </w:pPr>
      <w:r>
        <w:rPr>
          <w:color w:val="231F20"/>
        </w:rPr>
        <w:t>Los otros dos procesos inducidos por la globalización, y que abordare- mos</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apartado</w:t>
      </w:r>
      <w:r>
        <w:rPr>
          <w:color w:val="231F20"/>
          <w:spacing w:val="-7"/>
        </w:rPr>
        <w:t> </w:t>
      </w:r>
      <w:r>
        <w:rPr>
          <w:color w:val="231F20"/>
        </w:rPr>
        <w:t>son,</w:t>
      </w:r>
      <w:r>
        <w:rPr>
          <w:color w:val="231F20"/>
          <w:spacing w:val="-6"/>
        </w:rPr>
        <w:t> </w:t>
      </w:r>
      <w:r>
        <w:rPr>
          <w:color w:val="231F20"/>
        </w:rPr>
        <w:t>por</w:t>
      </w:r>
      <w:r>
        <w:rPr>
          <w:color w:val="231F20"/>
          <w:spacing w:val="-6"/>
        </w:rPr>
        <w:t> </w:t>
      </w:r>
      <w:r>
        <w:rPr>
          <w:color w:val="231F20"/>
        </w:rPr>
        <w:t>un</w:t>
      </w:r>
      <w:r>
        <w:rPr>
          <w:color w:val="231F20"/>
          <w:spacing w:val="-6"/>
        </w:rPr>
        <w:t> </w:t>
      </w:r>
      <w:r>
        <w:rPr>
          <w:color w:val="231F20"/>
        </w:rPr>
        <w:t>lado,</w:t>
      </w:r>
      <w:r>
        <w:rPr>
          <w:color w:val="231F20"/>
          <w:spacing w:val="-7"/>
        </w:rPr>
        <w:t> </w:t>
      </w:r>
      <w:r>
        <w:rPr>
          <w:color w:val="231F20"/>
        </w:rPr>
        <w:t>la</w:t>
      </w:r>
      <w:r>
        <w:rPr>
          <w:color w:val="231F20"/>
          <w:spacing w:val="-7"/>
        </w:rPr>
        <w:t> </w:t>
      </w:r>
      <w:r>
        <w:rPr>
          <w:color w:val="231F20"/>
        </w:rPr>
        <w:t>empleabilidad</w:t>
      </w:r>
      <w:r>
        <w:rPr>
          <w:color w:val="231F20"/>
          <w:spacing w:val="-7"/>
        </w:rPr>
        <w:t> </w:t>
      </w:r>
      <w:r>
        <w:rPr>
          <w:color w:val="231F20"/>
        </w:rPr>
        <w:t>que</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erigido en la utopía laboral (neo)liberal </w:t>
      </w:r>
      <w:r>
        <w:rPr>
          <w:color w:val="231F20"/>
          <w:spacing w:val="-7"/>
        </w:rPr>
        <w:t>y, </w:t>
      </w:r>
      <w:r>
        <w:rPr>
          <w:color w:val="231F20"/>
        </w:rPr>
        <w:t>por otro lado, el desempleo que ha adquirido naturaleza estructural. Respecto al fenómeno de la</w:t>
      </w:r>
      <w:r>
        <w:rPr>
          <w:color w:val="231F20"/>
          <w:spacing w:val="-26"/>
        </w:rPr>
        <w:t> </w:t>
      </w:r>
      <w:r>
        <w:rPr>
          <w:color w:val="231F20"/>
        </w:rPr>
        <w:t>empleabili- dad, hay varios señalamientos a</w:t>
      </w:r>
      <w:r>
        <w:rPr>
          <w:color w:val="231F20"/>
          <w:spacing w:val="-18"/>
        </w:rPr>
        <w:t> </w:t>
      </w:r>
      <w:r>
        <w:rPr>
          <w:color w:val="231F20"/>
        </w:rPr>
        <w:t>realizar.</w:t>
      </w:r>
      <w:r>
        <w:rPr>
          <w:color w:val="231F20"/>
          <w:position w:val="7"/>
          <w:sz w:val="11"/>
        </w:rPr>
        <w:t>10</w:t>
      </w:r>
    </w:p>
    <w:p>
      <w:pPr>
        <w:pStyle w:val="BodyText"/>
        <w:spacing w:line="249" w:lineRule="auto" w:before="1"/>
        <w:ind w:left="113" w:right="108" w:firstLine="283"/>
        <w:jc w:val="both"/>
      </w:pPr>
      <w:r>
        <w:rPr>
          <w:color w:val="231F20"/>
        </w:rPr>
        <w:t>En primer lugar, es obvio que se está ante una dinámica de tipo indi- vidual. En este sentido, hay un reforzamiento de este tipo de dinámicas dentro</w:t>
      </w:r>
      <w:r>
        <w:rPr>
          <w:color w:val="231F20"/>
          <w:spacing w:val="-4"/>
        </w:rPr>
        <w:t> </w:t>
      </w:r>
      <w:r>
        <w:rPr>
          <w:color w:val="231F20"/>
        </w:rPr>
        <w:t>del</w:t>
      </w:r>
      <w:r>
        <w:rPr>
          <w:color w:val="231F20"/>
          <w:spacing w:val="-4"/>
        </w:rPr>
        <w:t> </w:t>
      </w:r>
      <w:r>
        <w:rPr>
          <w:color w:val="231F20"/>
        </w:rPr>
        <w:t>campo</w:t>
      </w:r>
      <w:r>
        <w:rPr>
          <w:color w:val="231F20"/>
          <w:spacing w:val="-4"/>
        </w:rPr>
        <w:t> </w:t>
      </w:r>
      <w:r>
        <w:rPr>
          <w:color w:val="231F20"/>
        </w:rPr>
        <w:t>de</w:t>
      </w:r>
      <w:r>
        <w:rPr>
          <w:color w:val="231F20"/>
          <w:spacing w:val="-4"/>
        </w:rPr>
        <w:t> </w:t>
      </w:r>
      <w:r>
        <w:rPr>
          <w:color w:val="231F20"/>
        </w:rPr>
        <w:t>condiciones</w:t>
      </w:r>
      <w:r>
        <w:rPr>
          <w:color w:val="231F20"/>
          <w:spacing w:val="-4"/>
        </w:rPr>
        <w:t> </w:t>
      </w:r>
      <w:r>
        <w:rPr>
          <w:color w:val="231F20"/>
        </w:rPr>
        <w:t>de</w:t>
      </w:r>
      <w:r>
        <w:rPr>
          <w:color w:val="231F20"/>
          <w:spacing w:val="-4"/>
        </w:rPr>
        <w:t> </w:t>
      </w:r>
      <w:r>
        <w:rPr>
          <w:color w:val="231F20"/>
        </w:rPr>
        <w:t>explotación</w:t>
      </w:r>
      <w:r>
        <w:rPr>
          <w:color w:val="231F20"/>
          <w:spacing w:val="-4"/>
        </w:rPr>
        <w:t> </w:t>
      </w:r>
      <w:r>
        <w:rPr>
          <w:color w:val="231F20"/>
        </w:rPr>
        <w:t>respecto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de</w:t>
      </w:r>
      <w:r>
        <w:rPr>
          <w:color w:val="231F20"/>
          <w:spacing w:val="-4"/>
        </w:rPr>
        <w:t> </w:t>
      </w:r>
      <w:r>
        <w:rPr>
          <w:color w:val="231F20"/>
        </w:rPr>
        <w:t>clases</w:t>
      </w:r>
      <w:r>
        <w:rPr>
          <w:color w:val="231F20"/>
          <w:spacing w:val="-4"/>
        </w:rPr>
        <w:t> </w:t>
      </w:r>
      <w:r>
        <w:rPr>
          <w:color w:val="231F20"/>
        </w:rPr>
        <w:t>o de pares categóricos. Este es un fenómeno que no es ajeno a la preemi- nencia</w:t>
      </w:r>
      <w:r>
        <w:rPr>
          <w:color w:val="231F20"/>
          <w:spacing w:val="-4"/>
        </w:rPr>
        <w:t> </w:t>
      </w:r>
      <w:r>
        <w:rPr>
          <w:color w:val="231F20"/>
        </w:rPr>
        <w:t>dada</w:t>
      </w:r>
      <w:r>
        <w:rPr>
          <w:color w:val="231F20"/>
          <w:spacing w:val="-4"/>
        </w:rPr>
        <w:t> </w:t>
      </w:r>
      <w:r>
        <w:rPr>
          <w:color w:val="231F20"/>
        </w:rPr>
        <w:t>al</w:t>
      </w:r>
      <w:r>
        <w:rPr>
          <w:color w:val="231F20"/>
          <w:spacing w:val="-4"/>
        </w:rPr>
        <w:t> </w:t>
      </w:r>
      <w:r>
        <w:rPr>
          <w:color w:val="231F20"/>
        </w:rPr>
        <w:t>“capital</w:t>
      </w:r>
      <w:r>
        <w:rPr>
          <w:color w:val="231F20"/>
          <w:spacing w:val="-5"/>
        </w:rPr>
        <w:t> </w:t>
      </w:r>
      <w:r>
        <w:rPr>
          <w:color w:val="231F20"/>
        </w:rPr>
        <w:t>humano”</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ciudadanía</w:t>
      </w:r>
      <w:r>
        <w:rPr>
          <w:color w:val="231F20"/>
          <w:spacing w:val="-5"/>
        </w:rPr>
        <w:t> </w:t>
      </w:r>
      <w:r>
        <w:rPr>
          <w:color w:val="231F20"/>
        </w:rPr>
        <w:t>social</w:t>
      </w:r>
      <w:r>
        <w:rPr>
          <w:color w:val="231F20"/>
          <w:spacing w:val="-4"/>
        </w:rPr>
        <w:t> </w:t>
      </w:r>
      <w:r>
        <w:rPr>
          <w:color w:val="231F20"/>
        </w:rPr>
        <w:t>que</w:t>
      </w:r>
      <w:r>
        <w:rPr>
          <w:color w:val="231F20"/>
          <w:spacing w:val="-4"/>
        </w:rPr>
        <w:t> </w:t>
      </w:r>
      <w:r>
        <w:rPr>
          <w:color w:val="231F20"/>
        </w:rPr>
        <w:t>ha</w:t>
      </w:r>
      <w:r>
        <w:rPr>
          <w:color w:val="231F20"/>
          <w:spacing w:val="-4"/>
        </w:rPr>
        <w:t> </w:t>
      </w:r>
      <w:r>
        <w:rPr>
          <w:color w:val="231F20"/>
        </w:rPr>
        <w:t>impues- to</w:t>
      </w:r>
      <w:r>
        <w:rPr>
          <w:color w:val="231F20"/>
          <w:spacing w:val="-4"/>
        </w:rPr>
        <w:t> </w:t>
      </w:r>
      <w:r>
        <w:rPr>
          <w:color w:val="231F20"/>
        </w:rPr>
        <w:t>el</w:t>
      </w:r>
      <w:r>
        <w:rPr>
          <w:color w:val="231F20"/>
          <w:spacing w:val="-4"/>
        </w:rPr>
        <w:t> </w:t>
      </w:r>
      <w:r>
        <w:rPr>
          <w:color w:val="231F20"/>
        </w:rPr>
        <w:t>orden</w:t>
      </w:r>
      <w:r>
        <w:rPr>
          <w:color w:val="231F20"/>
          <w:spacing w:val="-3"/>
        </w:rPr>
        <w:t> </w:t>
      </w:r>
      <w:r>
        <w:rPr>
          <w:color w:val="231F20"/>
        </w:rPr>
        <w:t>(neo)liberal.</w:t>
      </w:r>
      <w:r>
        <w:rPr>
          <w:color w:val="231F20"/>
          <w:spacing w:val="-11"/>
        </w:rPr>
        <w:t> </w:t>
      </w:r>
      <w:r>
        <w:rPr>
          <w:color w:val="231F20"/>
        </w:rPr>
        <w:t>Y</w:t>
      </w:r>
      <w:r>
        <w:rPr>
          <w:color w:val="231F20"/>
          <w:spacing w:val="-11"/>
        </w:rPr>
        <w:t> </w:t>
      </w:r>
      <w:r>
        <w:rPr>
          <w:color w:val="231F20"/>
        </w:rPr>
        <w:t>tampoco</w:t>
      </w:r>
      <w:r>
        <w:rPr>
          <w:color w:val="231F20"/>
          <w:spacing w:val="-4"/>
        </w:rPr>
        <w:t> </w:t>
      </w:r>
      <w:r>
        <w:rPr>
          <w:color w:val="231F20"/>
        </w:rPr>
        <w:t>está</w:t>
      </w:r>
      <w:r>
        <w:rPr>
          <w:color w:val="231F20"/>
          <w:spacing w:val="-4"/>
        </w:rPr>
        <w:t> </w:t>
      </w:r>
      <w:r>
        <w:rPr>
          <w:color w:val="231F20"/>
        </w:rPr>
        <w:t>desligado</w:t>
      </w:r>
      <w:r>
        <w:rPr>
          <w:color w:val="231F20"/>
          <w:spacing w:val="-4"/>
        </w:rPr>
        <w:t> </w:t>
      </w:r>
      <w:r>
        <w:rPr>
          <w:color w:val="231F20"/>
        </w:rPr>
        <w:t>de</w:t>
      </w:r>
      <w:r>
        <w:rPr>
          <w:color w:val="231F20"/>
          <w:spacing w:val="-3"/>
        </w:rPr>
        <w:t> </w:t>
      </w:r>
      <w:r>
        <w:rPr>
          <w:color w:val="231F20"/>
        </w:rPr>
        <w:t>esa</w:t>
      </w:r>
      <w:r>
        <w:rPr>
          <w:color w:val="231F20"/>
          <w:spacing w:val="-4"/>
        </w:rPr>
        <w:t> </w:t>
      </w:r>
      <w:r>
        <w:rPr>
          <w:color w:val="231F20"/>
        </w:rPr>
        <w:t>tendencia</w:t>
      </w:r>
      <w:r>
        <w:rPr>
          <w:color w:val="231F20"/>
          <w:spacing w:val="-4"/>
        </w:rPr>
        <w:t> </w:t>
      </w:r>
      <w:r>
        <w:rPr>
          <w:color w:val="231F20"/>
        </w:rPr>
        <w:t>hacia la individualización basada en el consumismo </w:t>
      </w:r>
      <w:r>
        <w:rPr>
          <w:color w:val="231F20"/>
          <w:spacing w:val="-3"/>
        </w:rPr>
        <w:t>(Pérez Sáinz,</w:t>
      </w:r>
      <w:r>
        <w:rPr>
          <w:color w:val="231F20"/>
          <w:spacing w:val="-1"/>
        </w:rPr>
        <w:t> </w:t>
      </w:r>
      <w:r>
        <w:rPr>
          <w:color w:val="231F20"/>
          <w:spacing w:val="-3"/>
        </w:rPr>
        <w:t>2014).</w:t>
      </w:r>
    </w:p>
    <w:p>
      <w:pPr>
        <w:pStyle w:val="BodyText"/>
        <w:spacing w:line="249" w:lineRule="auto" w:before="1"/>
        <w:ind w:left="113" w:right="107" w:firstLine="283"/>
        <w:jc w:val="both"/>
      </w:pPr>
      <w:r>
        <w:rPr>
          <w:color w:val="231F20"/>
        </w:rPr>
        <w:t>Segundo, la empleabilidad aparece, en el discurso (neo)liberal,</w:t>
      </w:r>
      <w:r>
        <w:rPr>
          <w:color w:val="231F20"/>
          <w:spacing w:val="-26"/>
        </w:rPr>
        <w:t> </w:t>
      </w:r>
      <w:r>
        <w:rPr>
          <w:color w:val="231F20"/>
        </w:rPr>
        <w:t>como el antídoto a la precariedad salarial lo cual tiene una doble consecuencia de</w:t>
      </w:r>
      <w:r>
        <w:rPr>
          <w:color w:val="231F20"/>
          <w:spacing w:val="-6"/>
        </w:rPr>
        <w:t> </w:t>
      </w:r>
      <w:r>
        <w:rPr>
          <w:color w:val="231F20"/>
        </w:rPr>
        <w:t>gran</w:t>
      </w:r>
      <w:r>
        <w:rPr>
          <w:color w:val="231F20"/>
          <w:spacing w:val="-6"/>
        </w:rPr>
        <w:t> </w:t>
      </w:r>
      <w:r>
        <w:rPr>
          <w:color w:val="231F20"/>
        </w:rPr>
        <w:t>importancia.</w:t>
      </w:r>
      <w:r>
        <w:rPr>
          <w:color w:val="231F20"/>
          <w:spacing w:val="-7"/>
        </w:rPr>
        <w:t> </w:t>
      </w:r>
      <w:r>
        <w:rPr>
          <w:color w:val="231F20"/>
        </w:rPr>
        <w:t>Por</w:t>
      </w:r>
      <w:r>
        <w:rPr>
          <w:color w:val="231F20"/>
          <w:spacing w:val="-6"/>
        </w:rPr>
        <w:t> </w:t>
      </w:r>
      <w:r>
        <w:rPr>
          <w:color w:val="231F20"/>
        </w:rPr>
        <w:t>un</w:t>
      </w:r>
      <w:r>
        <w:rPr>
          <w:color w:val="231F20"/>
          <w:spacing w:val="-6"/>
        </w:rPr>
        <w:t> </w:t>
      </w:r>
      <w:r>
        <w:rPr>
          <w:color w:val="231F20"/>
        </w:rPr>
        <w:t>lado,</w:t>
      </w:r>
      <w:r>
        <w:rPr>
          <w:color w:val="231F20"/>
          <w:spacing w:val="-7"/>
        </w:rPr>
        <w:t> </w:t>
      </w:r>
      <w:r>
        <w:rPr>
          <w:color w:val="231F20"/>
        </w:rPr>
        <w:t>se</w:t>
      </w:r>
      <w:r>
        <w:rPr>
          <w:color w:val="231F20"/>
          <w:spacing w:val="-6"/>
        </w:rPr>
        <w:t> </w:t>
      </w:r>
      <w:r>
        <w:rPr>
          <w:color w:val="231F20"/>
        </w:rPr>
        <w:t>desarrolla</w:t>
      </w:r>
      <w:r>
        <w:rPr>
          <w:color w:val="231F20"/>
          <w:spacing w:val="-7"/>
        </w:rPr>
        <w:t> </w:t>
      </w:r>
      <w:r>
        <w:rPr>
          <w:color w:val="231F20"/>
        </w:rPr>
        <w:t>toda</w:t>
      </w:r>
      <w:r>
        <w:rPr>
          <w:color w:val="231F20"/>
          <w:spacing w:val="-7"/>
        </w:rPr>
        <w:t> </w:t>
      </w:r>
      <w:r>
        <w:rPr>
          <w:color w:val="231F20"/>
        </w:rPr>
        <w:t>una</w:t>
      </w:r>
      <w:r>
        <w:rPr>
          <w:color w:val="231F20"/>
          <w:spacing w:val="-6"/>
        </w:rPr>
        <w:t> </w:t>
      </w:r>
      <w:r>
        <w:rPr>
          <w:color w:val="231F20"/>
        </w:rPr>
        <w:t>cultura</w:t>
      </w:r>
      <w:r>
        <w:rPr>
          <w:color w:val="231F20"/>
          <w:spacing w:val="-7"/>
        </w:rPr>
        <w:t> </w:t>
      </w:r>
      <w:r>
        <w:rPr>
          <w:color w:val="231F20"/>
        </w:rPr>
        <w:t>de</w:t>
      </w:r>
      <w:r>
        <w:rPr>
          <w:color w:val="231F20"/>
          <w:spacing w:val="-6"/>
        </w:rPr>
        <w:t> </w:t>
      </w:r>
      <w:r>
        <w:rPr>
          <w:color w:val="231F20"/>
        </w:rPr>
        <w:t>riesgo que lleva —en última instancia— a la naturalización de la precariza- ción salarial ocultando así su génesis como fenómeno social.</w:t>
      </w:r>
      <w:r>
        <w:rPr>
          <w:color w:val="231F20"/>
          <w:position w:val="7"/>
          <w:sz w:val="11"/>
        </w:rPr>
        <w:t>11 </w:t>
      </w:r>
      <w:r>
        <w:rPr>
          <w:color w:val="231F20"/>
          <w:spacing w:val="-13"/>
        </w:rPr>
        <w:t>Y, </w:t>
      </w:r>
      <w:r>
        <w:rPr>
          <w:color w:val="231F20"/>
        </w:rPr>
        <w:t>por otro lado, la acción social de la empleabilidad se decanta hacia la acción individual ya que no se busca cambiar el contexto de riesgo, que podría plantearse desde la acción colectiva, sino minimizar la vulnerabilidad del sujeto lo que se puede lograr de manera más eficaz si se hace indivi- dualmente. Por tanto, como la precariedad se percibe como natural y no susceptible de ser cambiada, la oposición entre trabajo y empleo tiende a difuminarse </w:t>
      </w:r>
      <w:r>
        <w:rPr>
          <w:color w:val="231F20"/>
          <w:spacing w:val="-7"/>
        </w:rPr>
        <w:t>y, </w:t>
      </w:r>
      <w:r>
        <w:rPr>
          <w:color w:val="231F20"/>
        </w:rPr>
        <w:t>en su lugar, se esboza la diferencia entre</w:t>
      </w:r>
      <w:r>
        <w:rPr>
          <w:color w:val="231F20"/>
          <w:spacing w:val="36"/>
        </w:rPr>
        <w:t> </w:t>
      </w:r>
      <w:r>
        <w:rPr>
          <w:color w:val="231F20"/>
        </w:rPr>
        <w:t>empleabilidad</w:t>
      </w:r>
    </w:p>
    <w:p>
      <w:pPr>
        <w:spacing w:before="96"/>
        <w:ind w:left="113" w:right="108" w:firstLine="0"/>
        <w:jc w:val="both"/>
        <w:rPr>
          <w:sz w:val="14"/>
        </w:rPr>
      </w:pPr>
      <w:r>
        <w:rPr>
          <w:color w:val="231F20"/>
          <w:position w:val="5"/>
          <w:sz w:val="8"/>
        </w:rPr>
        <w:t>10 </w:t>
      </w:r>
      <w:r>
        <w:rPr>
          <w:color w:val="231F20"/>
          <w:sz w:val="14"/>
        </w:rPr>
        <w:t>Resaltar que, en nuestro conocimiento, no hay muchos estudios sobre este fenómeno en América La- tina. Cabe destacar el análisis sobre jóvenes profesionistas en México de Mora Salas y Oliveira (2012), aunque estos autores no utilizan explícitamente esta categoría, y el estudio de Lemus Barahona (2011) sobre el campo de la ingeniería industrial en Costa Rica.</w:t>
      </w:r>
    </w:p>
    <w:p>
      <w:pPr>
        <w:spacing w:before="0"/>
        <w:ind w:left="113" w:right="107" w:firstLine="0"/>
        <w:jc w:val="both"/>
        <w:rPr>
          <w:sz w:val="14"/>
        </w:rPr>
      </w:pPr>
      <w:r>
        <w:rPr>
          <w:color w:val="231F20"/>
          <w:position w:val="5"/>
          <w:sz w:val="8"/>
        </w:rPr>
        <w:t>11 </w:t>
      </w:r>
      <w:r>
        <w:rPr>
          <w:color w:val="231F20"/>
          <w:sz w:val="14"/>
        </w:rPr>
        <w:t>Esta naturalización sirve para negar el carácter destructor del mercado respecto de las mercancías “ficticias” (tierra, trabajo y dinero), contrariamente al análisis clásico de Polanyi (1992), justificando así su autorregulación.</w:t>
      </w:r>
    </w:p>
    <w:p>
      <w:pPr>
        <w:spacing w:after="0"/>
        <w:jc w:val="both"/>
        <w:rPr>
          <w:sz w:val="14"/>
        </w:rPr>
        <w:sectPr>
          <w:footerReference w:type="default" r:id="rId21"/>
          <w:pgSz w:w="7770" w:h="11740"/>
          <w:pgMar w:footer="474" w:header="0" w:top="840" w:bottom="660" w:left="1020" w:right="740"/>
          <w:pgNumType w:start="25"/>
        </w:sectPr>
      </w:pPr>
    </w:p>
    <w:p>
      <w:pPr>
        <w:pStyle w:val="BodyText"/>
        <w:spacing w:line="249" w:lineRule="auto" w:before="60"/>
        <w:ind w:left="110" w:right="111"/>
        <w:jc w:val="both"/>
      </w:pPr>
      <w:r>
        <w:rPr>
          <w:color w:val="231F20"/>
        </w:rPr>
        <w:t>y su ausencia. Hay un desplazamiento desde del ámbito de derechos, los sustentados en el empleo formal, hacia los deberes que estaría muy de acorde con la nueva ciudadanía social que el orden (neo)-liberal ha im- puesto. Mantenerse empleable es responsabilidad de los individuos, así se superaría la precariedad salarial.</w:t>
      </w:r>
    </w:p>
    <w:p>
      <w:pPr>
        <w:pStyle w:val="BodyText"/>
        <w:spacing w:line="249" w:lineRule="auto" w:before="1"/>
        <w:ind w:left="110" w:right="111" w:firstLine="283"/>
        <w:jc w:val="both"/>
      </w:pPr>
      <w:r>
        <w:rPr>
          <w:color w:val="231F20"/>
        </w:rPr>
        <w:t>Y tercero, la empleabilidad consolida esa mercantilización de lo la- boral que la precarización induce: la regresión al trabajo a partir de la crisis del empleo formal y el cuestionamiento del vínculo entre trabajo</w:t>
      </w:r>
      <w:r>
        <w:rPr>
          <w:color w:val="231F20"/>
          <w:spacing w:val="-16"/>
        </w:rPr>
        <w:t> </w:t>
      </w:r>
      <w:r>
        <w:rPr>
          <w:color w:val="231F20"/>
        </w:rPr>
        <w:t>y ciudadanía social. El individuo empleable emerge como “otra empresa” (Lucena, 2006), con su “capital humano” mercantilmente correcto para relacionarse con empresas pero de</w:t>
      </w:r>
      <w:r>
        <w:rPr>
          <w:color w:val="231F20"/>
          <w:spacing w:val="-2"/>
        </w:rPr>
        <w:t> </w:t>
      </w:r>
      <w:r>
        <w:rPr>
          <w:color w:val="231F20"/>
        </w:rPr>
        <w:t>verdad.</w:t>
      </w:r>
    </w:p>
    <w:p>
      <w:pPr>
        <w:pStyle w:val="BodyText"/>
        <w:spacing w:line="249" w:lineRule="auto" w:before="1"/>
        <w:ind w:left="110" w:right="111" w:firstLine="283"/>
        <w:jc w:val="both"/>
        <w:rPr>
          <w:sz w:val="11"/>
        </w:rPr>
      </w:pPr>
      <w:r>
        <w:rPr>
          <w:color w:val="231F20"/>
        </w:rPr>
        <w:t>Por su parte, el desempleo, fenómeno laboral que históricamente no ha tenido mayor incidencia en América Latina, ha adquirido naturaleza estructural con la acumulación globalizada. Esto implica que la impor- tancia de esta cuestión va más allá del ajuste del mercado de trabajo y remite a varias problemáticas claves.</w:t>
      </w:r>
      <w:r>
        <w:rPr>
          <w:color w:val="231F20"/>
          <w:position w:val="7"/>
          <w:sz w:val="11"/>
        </w:rPr>
        <w:t>12</w:t>
      </w:r>
    </w:p>
    <w:p>
      <w:pPr>
        <w:pStyle w:val="BodyText"/>
        <w:spacing w:line="249" w:lineRule="auto" w:before="1"/>
        <w:ind w:left="110" w:right="111" w:firstLine="283"/>
        <w:jc w:val="both"/>
      </w:pPr>
      <w:r>
        <w:rPr>
          <w:color w:val="231F20"/>
        </w:rPr>
        <w:t>La primera tiene que ver con la naturaleza del nuevo modelo de acu- mulación</w:t>
      </w:r>
      <w:r>
        <w:rPr>
          <w:color w:val="231F20"/>
          <w:spacing w:val="-8"/>
        </w:rPr>
        <w:t> </w:t>
      </w:r>
      <w:r>
        <w:rPr>
          <w:color w:val="231F20"/>
        </w:rPr>
        <w:t>y</w:t>
      </w:r>
      <w:r>
        <w:rPr>
          <w:color w:val="231F20"/>
          <w:spacing w:val="-8"/>
        </w:rPr>
        <w:t> </w:t>
      </w:r>
      <w:r>
        <w:rPr>
          <w:color w:val="231F20"/>
        </w:rPr>
        <w:t>su</w:t>
      </w:r>
      <w:r>
        <w:rPr>
          <w:color w:val="231F20"/>
          <w:spacing w:val="-8"/>
        </w:rPr>
        <w:t> </w:t>
      </w:r>
      <w:r>
        <w:rPr>
          <w:color w:val="231F20"/>
        </w:rPr>
        <w:t>incapacidad</w:t>
      </w:r>
      <w:r>
        <w:rPr>
          <w:color w:val="231F20"/>
          <w:spacing w:val="-8"/>
        </w:rPr>
        <w:t> </w:t>
      </w:r>
      <w:r>
        <w:rPr>
          <w:color w:val="231F20"/>
        </w:rPr>
        <w:t>de</w:t>
      </w:r>
      <w:r>
        <w:rPr>
          <w:color w:val="231F20"/>
          <w:spacing w:val="-8"/>
        </w:rPr>
        <w:t> </w:t>
      </w:r>
      <w:r>
        <w:rPr>
          <w:color w:val="231F20"/>
        </w:rPr>
        <w:t>generar</w:t>
      </w:r>
      <w:r>
        <w:rPr>
          <w:color w:val="231F20"/>
          <w:spacing w:val="-8"/>
        </w:rPr>
        <w:t> </w:t>
      </w:r>
      <w:r>
        <w:rPr>
          <w:color w:val="231F20"/>
        </w:rPr>
        <w:t>trabajo</w:t>
      </w:r>
      <w:r>
        <w:rPr>
          <w:color w:val="231F20"/>
          <w:spacing w:val="-8"/>
        </w:rPr>
        <w:t> </w:t>
      </w:r>
      <w:r>
        <w:rPr>
          <w:color w:val="231F20"/>
        </w:rPr>
        <w:t>suficiente</w:t>
      </w:r>
      <w:r>
        <w:rPr>
          <w:color w:val="231F20"/>
          <w:spacing w:val="-8"/>
        </w:rPr>
        <w:t> </w:t>
      </w:r>
      <w:r>
        <w:rPr>
          <w:color w:val="231F20"/>
        </w:rPr>
        <w:t>(Tokman,</w:t>
      </w:r>
      <w:r>
        <w:rPr>
          <w:color w:val="231F20"/>
          <w:spacing w:val="-8"/>
        </w:rPr>
        <w:t> </w:t>
      </w:r>
      <w:r>
        <w:rPr>
          <w:color w:val="231F20"/>
        </w:rPr>
        <w:t>1998). De hecho, la desocupación representó el peor resultado de la dinámicas laborales en la región durante los noventa (Stallings y Peres, 2000). Al respecto hay que enfatizar dos fenómenos. Por un lado, procesos de</w:t>
      </w:r>
      <w:r>
        <w:rPr>
          <w:color w:val="231F20"/>
          <w:spacing w:val="-15"/>
        </w:rPr>
        <w:t> </w:t>
      </w:r>
      <w:r>
        <w:rPr>
          <w:color w:val="231F20"/>
        </w:rPr>
        <w:t>des- regulación laboral estaban en marcha por lo que no se puede imputar tales niveles de desempleo a las “rigidices” de los mercados de trabajo. Más bien, las causas hay que buscarlas en las reorganizaciones</w:t>
      </w:r>
      <w:r>
        <w:rPr>
          <w:color w:val="231F20"/>
          <w:spacing w:val="-27"/>
        </w:rPr>
        <w:t> </w:t>
      </w:r>
      <w:r>
        <w:rPr>
          <w:color w:val="231F20"/>
        </w:rPr>
        <w:t>empresa- riales para afrontar la competitividad global que —en ciertos casos— ha llevado a reducir la fuerza de trabajo. Y por otro lado, la autogeneración de</w:t>
      </w:r>
      <w:r>
        <w:rPr>
          <w:color w:val="231F20"/>
          <w:spacing w:val="-5"/>
        </w:rPr>
        <w:t> </w:t>
      </w:r>
      <w:r>
        <w:rPr>
          <w:color w:val="231F20"/>
        </w:rPr>
        <w:t>trabajo</w:t>
      </w:r>
      <w:r>
        <w:rPr>
          <w:color w:val="231F20"/>
          <w:spacing w:val="-6"/>
        </w:rPr>
        <w:t> </w:t>
      </w:r>
      <w:r>
        <w:rPr>
          <w:color w:val="231F20"/>
        </w:rPr>
        <w:t>deviene</w:t>
      </w:r>
      <w:r>
        <w:rPr>
          <w:color w:val="231F20"/>
          <w:spacing w:val="-5"/>
        </w:rPr>
        <w:t> </w:t>
      </w:r>
      <w:r>
        <w:rPr>
          <w:color w:val="231F20"/>
        </w:rPr>
        <w:t>más</w:t>
      </w:r>
      <w:r>
        <w:rPr>
          <w:color w:val="231F20"/>
          <w:spacing w:val="-5"/>
        </w:rPr>
        <w:t> </w:t>
      </w:r>
      <w:r>
        <w:rPr>
          <w:color w:val="231F20"/>
        </w:rPr>
        <w:t>problemática</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modernización</w:t>
      </w:r>
      <w:r>
        <w:rPr>
          <w:color w:val="231F20"/>
          <w:spacing w:val="-6"/>
        </w:rPr>
        <w:t> </w:t>
      </w:r>
      <w:r>
        <w:rPr>
          <w:color w:val="231F20"/>
        </w:rPr>
        <w:t>globalizada</w:t>
      </w:r>
      <w:r>
        <w:rPr>
          <w:color w:val="231F20"/>
          <w:spacing w:val="-5"/>
        </w:rPr>
        <w:t> </w:t>
      </w:r>
      <w:r>
        <w:rPr>
          <w:color w:val="231F20"/>
        </w:rPr>
        <w:t>y no ha podido jugar el mismo papel absorbente de excedente laboral que tuvieron las actividades informales en las décadas</w:t>
      </w:r>
      <w:r>
        <w:rPr>
          <w:color w:val="231F20"/>
          <w:spacing w:val="-6"/>
        </w:rPr>
        <w:t> </w:t>
      </w:r>
      <w:r>
        <w:rPr>
          <w:color w:val="231F20"/>
        </w:rPr>
        <w:t>precedentes.</w:t>
      </w:r>
    </w:p>
    <w:p>
      <w:pPr>
        <w:pStyle w:val="BodyText"/>
        <w:spacing w:line="249" w:lineRule="auto" w:before="1"/>
        <w:ind w:left="110" w:right="111" w:firstLine="283"/>
        <w:jc w:val="both"/>
      </w:pPr>
      <w:r>
        <w:rPr>
          <w:color w:val="231F20"/>
        </w:rPr>
        <w:t>La</w:t>
      </w:r>
      <w:r>
        <w:rPr>
          <w:color w:val="231F20"/>
          <w:spacing w:val="-7"/>
        </w:rPr>
        <w:t> </w:t>
      </w:r>
      <w:r>
        <w:rPr>
          <w:color w:val="231F20"/>
        </w:rPr>
        <w:t>segunda</w:t>
      </w:r>
      <w:r>
        <w:rPr>
          <w:color w:val="231F20"/>
          <w:spacing w:val="-6"/>
        </w:rPr>
        <w:t> </w:t>
      </w:r>
      <w:r>
        <w:rPr>
          <w:color w:val="231F20"/>
        </w:rPr>
        <w:t>problemática</w:t>
      </w:r>
      <w:r>
        <w:rPr>
          <w:color w:val="231F20"/>
          <w:spacing w:val="-7"/>
        </w:rPr>
        <w:t> </w:t>
      </w:r>
      <w:r>
        <w:rPr>
          <w:color w:val="231F20"/>
        </w:rPr>
        <w:t>remite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erosión</w:t>
      </w:r>
      <w:r>
        <w:rPr>
          <w:color w:val="231F20"/>
          <w:spacing w:val="-7"/>
        </w:rPr>
        <w:t> </w:t>
      </w:r>
      <w:r>
        <w:rPr>
          <w:color w:val="231F20"/>
        </w:rPr>
        <w:t>del</w:t>
      </w:r>
      <w:r>
        <w:rPr>
          <w:color w:val="231F20"/>
          <w:spacing w:val="-7"/>
        </w:rPr>
        <w:t> </w:t>
      </w:r>
      <w:r>
        <w:rPr>
          <w:color w:val="231F20"/>
        </w:rPr>
        <w:t>denominado</w:t>
      </w:r>
      <w:r>
        <w:rPr>
          <w:color w:val="231F20"/>
          <w:spacing w:val="-7"/>
        </w:rPr>
        <w:t> </w:t>
      </w:r>
      <w:r>
        <w:rPr>
          <w:color w:val="231F20"/>
        </w:rPr>
        <w:t>“capital social” </w:t>
      </w:r>
      <w:r>
        <w:rPr>
          <w:color w:val="231F20"/>
          <w:spacing w:val="-7"/>
        </w:rPr>
        <w:t>y, </w:t>
      </w:r>
      <w:r>
        <w:rPr>
          <w:color w:val="231F20"/>
        </w:rPr>
        <w:t>en concreto, de redes de acceso al mercado de trabajo. La na- turaleza estructural del desempleo señala sus límites y recuerda que los recursos movilizados por los hogares populares, para enfrentar sus ca- rencias,</w:t>
      </w:r>
      <w:r>
        <w:rPr>
          <w:color w:val="231F20"/>
          <w:spacing w:val="-8"/>
        </w:rPr>
        <w:t> </w:t>
      </w:r>
      <w:r>
        <w:rPr>
          <w:color w:val="231F20"/>
        </w:rPr>
        <w:t>no</w:t>
      </w:r>
      <w:r>
        <w:rPr>
          <w:color w:val="231F20"/>
          <w:spacing w:val="-8"/>
        </w:rPr>
        <w:t> </w:t>
      </w:r>
      <w:r>
        <w:rPr>
          <w:color w:val="231F20"/>
        </w:rPr>
        <w:t>son</w:t>
      </w:r>
      <w:r>
        <w:rPr>
          <w:color w:val="231F20"/>
          <w:spacing w:val="-8"/>
        </w:rPr>
        <w:t> </w:t>
      </w:r>
      <w:r>
        <w:rPr>
          <w:color w:val="231F20"/>
        </w:rPr>
        <w:t>inmunes</w:t>
      </w:r>
      <w:r>
        <w:rPr>
          <w:color w:val="231F20"/>
          <w:spacing w:val="-8"/>
        </w:rPr>
        <w:t> </w:t>
      </w:r>
      <w:r>
        <w:rPr>
          <w:color w:val="231F20"/>
        </w:rPr>
        <w:t>a</w:t>
      </w:r>
      <w:r>
        <w:rPr>
          <w:color w:val="231F20"/>
          <w:spacing w:val="-8"/>
        </w:rPr>
        <w:t> </w:t>
      </w:r>
      <w:r>
        <w:rPr>
          <w:color w:val="231F20"/>
        </w:rPr>
        <w:t>cambios</w:t>
      </w:r>
      <w:r>
        <w:rPr>
          <w:color w:val="231F20"/>
          <w:spacing w:val="-8"/>
        </w:rPr>
        <w:t> </w:t>
      </w:r>
      <w:r>
        <w:rPr>
          <w:color w:val="231F20"/>
        </w:rPr>
        <w:t>sociales</w:t>
      </w:r>
      <w:r>
        <w:rPr>
          <w:color w:val="231F20"/>
          <w:spacing w:val="-8"/>
        </w:rPr>
        <w:t> </w:t>
      </w:r>
      <w:r>
        <w:rPr>
          <w:color w:val="231F20"/>
        </w:rPr>
        <w:t>significativos</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estaría pasando de “los recursos de la pobreza” a la “pobreza de los   </w:t>
      </w:r>
      <w:r>
        <w:rPr>
          <w:color w:val="231F20"/>
          <w:spacing w:val="5"/>
        </w:rPr>
        <w:t> </w:t>
      </w:r>
      <w:r>
        <w:rPr>
          <w:color w:val="231F20"/>
        </w:rPr>
        <w:t>recursos”</w:t>
      </w:r>
    </w:p>
    <w:p>
      <w:pPr>
        <w:pStyle w:val="BodyText"/>
        <w:rPr>
          <w:sz w:val="17"/>
        </w:rPr>
      </w:pPr>
    </w:p>
    <w:p>
      <w:pPr>
        <w:spacing w:before="1"/>
        <w:ind w:left="110" w:right="111" w:firstLine="0"/>
        <w:jc w:val="both"/>
        <w:rPr>
          <w:sz w:val="14"/>
        </w:rPr>
      </w:pPr>
      <w:r>
        <w:rPr>
          <w:color w:val="231F20"/>
          <w:position w:val="5"/>
          <w:sz w:val="8"/>
        </w:rPr>
        <w:t>12</w:t>
      </w:r>
      <w:r>
        <w:rPr>
          <w:color w:val="231F20"/>
          <w:spacing w:val="10"/>
          <w:position w:val="5"/>
          <w:sz w:val="8"/>
        </w:rPr>
        <w:t> </w:t>
      </w:r>
      <w:r>
        <w:rPr>
          <w:color w:val="231F20"/>
          <w:sz w:val="14"/>
        </w:rPr>
        <w:t>No</w:t>
      </w:r>
      <w:r>
        <w:rPr>
          <w:color w:val="231F20"/>
          <w:spacing w:val="-4"/>
          <w:sz w:val="14"/>
        </w:rPr>
        <w:t> </w:t>
      </w:r>
      <w:r>
        <w:rPr>
          <w:color w:val="231F20"/>
          <w:sz w:val="14"/>
        </w:rPr>
        <w:t>obstante</w:t>
      </w:r>
      <w:r>
        <w:rPr>
          <w:color w:val="231F20"/>
          <w:spacing w:val="-7"/>
          <w:sz w:val="14"/>
        </w:rPr>
        <w:t> </w:t>
      </w:r>
      <w:r>
        <w:rPr>
          <w:color w:val="231F20"/>
          <w:sz w:val="14"/>
        </w:rPr>
        <w:t>Weller</w:t>
      </w:r>
      <w:r>
        <w:rPr>
          <w:color w:val="231F20"/>
          <w:spacing w:val="-5"/>
          <w:sz w:val="14"/>
        </w:rPr>
        <w:t> </w:t>
      </w:r>
      <w:r>
        <w:rPr>
          <w:color w:val="231F20"/>
          <w:sz w:val="14"/>
        </w:rPr>
        <w:t>(2014:</w:t>
      </w:r>
      <w:r>
        <w:rPr>
          <w:color w:val="231F20"/>
          <w:spacing w:val="-5"/>
          <w:sz w:val="14"/>
        </w:rPr>
        <w:t> </w:t>
      </w:r>
      <w:r>
        <w:rPr>
          <w:color w:val="231F20"/>
          <w:sz w:val="14"/>
        </w:rPr>
        <w:t>9)</w:t>
      </w:r>
      <w:r>
        <w:rPr>
          <w:color w:val="231F20"/>
          <w:spacing w:val="-5"/>
          <w:sz w:val="14"/>
        </w:rPr>
        <w:t> </w:t>
      </w:r>
      <w:r>
        <w:rPr>
          <w:color w:val="231F20"/>
          <w:sz w:val="14"/>
        </w:rPr>
        <w:t>señala</w:t>
      </w:r>
      <w:r>
        <w:rPr>
          <w:color w:val="231F20"/>
          <w:spacing w:val="-4"/>
          <w:sz w:val="14"/>
        </w:rPr>
        <w:t> </w:t>
      </w:r>
      <w:r>
        <w:rPr>
          <w:color w:val="231F20"/>
          <w:sz w:val="14"/>
        </w:rPr>
        <w:t>que,</w:t>
      </w:r>
      <w:r>
        <w:rPr>
          <w:color w:val="231F20"/>
          <w:spacing w:val="-5"/>
          <w:sz w:val="14"/>
        </w:rPr>
        <w:t> </w:t>
      </w:r>
      <w:r>
        <w:rPr>
          <w:color w:val="231F20"/>
          <w:sz w:val="14"/>
        </w:rPr>
        <w:t>entre</w:t>
      </w:r>
      <w:r>
        <w:rPr>
          <w:color w:val="231F20"/>
          <w:spacing w:val="-5"/>
          <w:sz w:val="14"/>
        </w:rPr>
        <w:t> </w:t>
      </w:r>
      <w:r>
        <w:rPr>
          <w:color w:val="231F20"/>
          <w:sz w:val="14"/>
        </w:rPr>
        <w:t>2002</w:t>
      </w:r>
      <w:r>
        <w:rPr>
          <w:color w:val="231F20"/>
          <w:spacing w:val="-5"/>
          <w:sz w:val="14"/>
        </w:rPr>
        <w:t> </w:t>
      </w:r>
      <w:r>
        <w:rPr>
          <w:color w:val="231F20"/>
          <w:sz w:val="14"/>
        </w:rPr>
        <w:t>y</w:t>
      </w:r>
      <w:r>
        <w:rPr>
          <w:color w:val="231F20"/>
          <w:spacing w:val="-5"/>
          <w:sz w:val="14"/>
        </w:rPr>
        <w:t> </w:t>
      </w:r>
      <w:r>
        <w:rPr>
          <w:color w:val="231F20"/>
          <w:sz w:val="14"/>
        </w:rPr>
        <w:t>2012,</w:t>
      </w:r>
      <w:r>
        <w:rPr>
          <w:color w:val="231F20"/>
          <w:spacing w:val="-5"/>
          <w:sz w:val="14"/>
        </w:rPr>
        <w:t> </w:t>
      </w:r>
      <w:r>
        <w:rPr>
          <w:color w:val="231F20"/>
          <w:sz w:val="14"/>
        </w:rPr>
        <w:t>el</w:t>
      </w:r>
      <w:r>
        <w:rPr>
          <w:color w:val="231F20"/>
          <w:spacing w:val="-5"/>
          <w:sz w:val="14"/>
        </w:rPr>
        <w:t> </w:t>
      </w:r>
      <w:r>
        <w:rPr>
          <w:color w:val="231F20"/>
          <w:sz w:val="14"/>
        </w:rPr>
        <w:t>desempleo</w:t>
      </w:r>
      <w:r>
        <w:rPr>
          <w:color w:val="231F20"/>
          <w:spacing w:val="-4"/>
          <w:sz w:val="14"/>
        </w:rPr>
        <w:t> </w:t>
      </w:r>
      <w:r>
        <w:rPr>
          <w:color w:val="231F20"/>
          <w:sz w:val="14"/>
        </w:rPr>
        <w:t>abierto</w:t>
      </w:r>
      <w:r>
        <w:rPr>
          <w:color w:val="231F20"/>
          <w:spacing w:val="-5"/>
          <w:sz w:val="14"/>
        </w:rPr>
        <w:t> </w:t>
      </w:r>
      <w:r>
        <w:rPr>
          <w:color w:val="231F20"/>
          <w:sz w:val="14"/>
        </w:rPr>
        <w:t>en</w:t>
      </w:r>
      <w:r>
        <w:rPr>
          <w:color w:val="231F20"/>
          <w:spacing w:val="-5"/>
          <w:sz w:val="14"/>
        </w:rPr>
        <w:t> </w:t>
      </w:r>
      <w:r>
        <w:rPr>
          <w:color w:val="231F20"/>
          <w:sz w:val="14"/>
        </w:rPr>
        <w:t>zonas</w:t>
      </w:r>
      <w:r>
        <w:rPr>
          <w:color w:val="231F20"/>
          <w:spacing w:val="-5"/>
          <w:sz w:val="14"/>
        </w:rPr>
        <w:t> </w:t>
      </w:r>
      <w:r>
        <w:rPr>
          <w:color w:val="231F20"/>
          <w:sz w:val="14"/>
        </w:rPr>
        <w:t>urbanas</w:t>
      </w:r>
      <w:r>
        <w:rPr>
          <w:color w:val="231F20"/>
          <w:spacing w:val="-5"/>
          <w:sz w:val="14"/>
        </w:rPr>
        <w:t> </w:t>
      </w:r>
      <w:r>
        <w:rPr>
          <w:color w:val="231F20"/>
          <w:sz w:val="14"/>
        </w:rPr>
        <w:t>de la</w:t>
      </w:r>
      <w:r>
        <w:rPr>
          <w:color w:val="231F20"/>
          <w:spacing w:val="-2"/>
          <w:sz w:val="14"/>
        </w:rPr>
        <w:t> </w:t>
      </w:r>
      <w:r>
        <w:rPr>
          <w:color w:val="231F20"/>
          <w:sz w:val="14"/>
        </w:rPr>
        <w:t>región</w:t>
      </w:r>
      <w:r>
        <w:rPr>
          <w:color w:val="231F20"/>
          <w:spacing w:val="-2"/>
          <w:sz w:val="14"/>
        </w:rPr>
        <w:t> </w:t>
      </w:r>
      <w:r>
        <w:rPr>
          <w:color w:val="231F20"/>
          <w:sz w:val="14"/>
        </w:rPr>
        <w:t>se</w:t>
      </w:r>
      <w:r>
        <w:rPr>
          <w:color w:val="231F20"/>
          <w:spacing w:val="-2"/>
          <w:sz w:val="14"/>
        </w:rPr>
        <w:t> </w:t>
      </w:r>
      <w:r>
        <w:rPr>
          <w:color w:val="231F20"/>
          <w:sz w:val="14"/>
        </w:rPr>
        <w:t>contrajo</w:t>
      </w:r>
      <w:r>
        <w:rPr>
          <w:color w:val="231F20"/>
          <w:spacing w:val="-3"/>
          <w:sz w:val="14"/>
        </w:rPr>
        <w:t> </w:t>
      </w:r>
      <w:r>
        <w:rPr>
          <w:color w:val="231F20"/>
          <w:sz w:val="14"/>
        </w:rPr>
        <w:t>de</w:t>
      </w:r>
      <w:r>
        <w:rPr>
          <w:color w:val="231F20"/>
          <w:spacing w:val="-2"/>
          <w:sz w:val="14"/>
        </w:rPr>
        <w:t> </w:t>
      </w:r>
      <w:r>
        <w:rPr>
          <w:color w:val="231F20"/>
          <w:sz w:val="14"/>
        </w:rPr>
        <w:t>11.2</w:t>
      </w:r>
      <w:r>
        <w:rPr>
          <w:color w:val="231F20"/>
          <w:spacing w:val="-2"/>
          <w:sz w:val="14"/>
        </w:rPr>
        <w:t> </w:t>
      </w:r>
      <w:r>
        <w:rPr>
          <w:color w:val="231F20"/>
          <w:sz w:val="14"/>
        </w:rPr>
        <w:t>a</w:t>
      </w:r>
      <w:r>
        <w:rPr>
          <w:color w:val="231F20"/>
          <w:spacing w:val="-2"/>
          <w:sz w:val="14"/>
        </w:rPr>
        <w:t> </w:t>
      </w:r>
      <w:r>
        <w:rPr>
          <w:color w:val="231F20"/>
          <w:sz w:val="14"/>
        </w:rPr>
        <w:t>6.4</w:t>
      </w:r>
      <w:r>
        <w:rPr>
          <w:color w:val="231F20"/>
          <w:spacing w:val="-2"/>
          <w:sz w:val="14"/>
        </w:rPr>
        <w:t> </w:t>
      </w:r>
      <w:r>
        <w:rPr>
          <w:color w:val="231F20"/>
          <w:sz w:val="14"/>
        </w:rPr>
        <w:t>por</w:t>
      </w:r>
      <w:r>
        <w:rPr>
          <w:color w:val="231F20"/>
          <w:spacing w:val="-2"/>
          <w:sz w:val="14"/>
        </w:rPr>
        <w:t> </w:t>
      </w:r>
      <w:r>
        <w:rPr>
          <w:color w:val="231F20"/>
          <w:sz w:val="14"/>
        </w:rPr>
        <w:t>ciento,</w:t>
      </w:r>
      <w:r>
        <w:rPr>
          <w:color w:val="231F20"/>
          <w:spacing w:val="-3"/>
          <w:sz w:val="14"/>
        </w:rPr>
        <w:t> </w:t>
      </w:r>
      <w:r>
        <w:rPr>
          <w:color w:val="231F20"/>
          <w:sz w:val="14"/>
        </w:rPr>
        <w:t>el</w:t>
      </w:r>
      <w:r>
        <w:rPr>
          <w:color w:val="231F20"/>
          <w:spacing w:val="-2"/>
          <w:sz w:val="14"/>
        </w:rPr>
        <w:t> </w:t>
      </w:r>
      <w:r>
        <w:rPr>
          <w:color w:val="231F20"/>
          <w:sz w:val="14"/>
        </w:rPr>
        <w:t>menor</w:t>
      </w:r>
      <w:r>
        <w:rPr>
          <w:color w:val="231F20"/>
          <w:spacing w:val="-2"/>
          <w:sz w:val="14"/>
        </w:rPr>
        <w:t> </w:t>
      </w:r>
      <w:r>
        <w:rPr>
          <w:color w:val="231F20"/>
          <w:sz w:val="14"/>
        </w:rPr>
        <w:t>en</w:t>
      </w:r>
      <w:r>
        <w:rPr>
          <w:color w:val="231F20"/>
          <w:spacing w:val="-2"/>
          <w:sz w:val="14"/>
        </w:rPr>
        <w:t> </w:t>
      </w:r>
      <w:r>
        <w:rPr>
          <w:color w:val="231F20"/>
          <w:sz w:val="14"/>
        </w:rPr>
        <w:t>20</w:t>
      </w:r>
      <w:r>
        <w:rPr>
          <w:color w:val="231F20"/>
          <w:spacing w:val="-2"/>
          <w:sz w:val="14"/>
        </w:rPr>
        <w:t> </w:t>
      </w:r>
      <w:r>
        <w:rPr>
          <w:color w:val="231F20"/>
          <w:sz w:val="14"/>
        </w:rPr>
        <w:t>años.</w:t>
      </w:r>
      <w:r>
        <w:rPr>
          <w:color w:val="231F20"/>
          <w:spacing w:val="-2"/>
          <w:sz w:val="14"/>
        </w:rPr>
        <w:t> </w:t>
      </w:r>
      <w:r>
        <w:rPr>
          <w:color w:val="231F20"/>
          <w:sz w:val="14"/>
        </w:rPr>
        <w:t>Esta</w:t>
      </w:r>
      <w:r>
        <w:rPr>
          <w:color w:val="231F20"/>
          <w:spacing w:val="-2"/>
          <w:sz w:val="14"/>
        </w:rPr>
        <w:t> </w:t>
      </w:r>
      <w:r>
        <w:rPr>
          <w:color w:val="231F20"/>
          <w:sz w:val="14"/>
        </w:rPr>
        <w:t>evidencia</w:t>
      </w:r>
      <w:r>
        <w:rPr>
          <w:color w:val="231F20"/>
          <w:spacing w:val="-3"/>
          <w:sz w:val="14"/>
        </w:rPr>
        <w:t> </w:t>
      </w:r>
      <w:r>
        <w:rPr>
          <w:color w:val="231F20"/>
          <w:sz w:val="14"/>
        </w:rPr>
        <w:t>cuestionaría</w:t>
      </w:r>
      <w:r>
        <w:rPr>
          <w:color w:val="231F20"/>
          <w:spacing w:val="-3"/>
          <w:sz w:val="14"/>
        </w:rPr>
        <w:t> </w:t>
      </w:r>
      <w:r>
        <w:rPr>
          <w:color w:val="231F20"/>
          <w:sz w:val="14"/>
        </w:rPr>
        <w:t>esta</w:t>
      </w:r>
      <w:r>
        <w:rPr>
          <w:color w:val="231F20"/>
          <w:spacing w:val="-2"/>
          <w:sz w:val="14"/>
        </w:rPr>
        <w:t> </w:t>
      </w:r>
      <w:r>
        <w:rPr>
          <w:color w:val="231F20"/>
          <w:sz w:val="14"/>
        </w:rPr>
        <w:t>idea de desempleo estructural. Por nuestra parte, para 13 países que incluyen la gran parte de la fuerza labo- ral de la región, si se toma como referente el año 1985 cuando el desempleo abierto alcanzó su mayor nivel con la crisis de la deuda externa, y se compara con el promedio entre 2000-2008, sólo en Chile se detecta</w:t>
      </w:r>
      <w:r>
        <w:rPr>
          <w:color w:val="231F20"/>
          <w:spacing w:val="-5"/>
          <w:sz w:val="14"/>
        </w:rPr>
        <w:t> </w:t>
      </w:r>
      <w:r>
        <w:rPr>
          <w:color w:val="231F20"/>
          <w:sz w:val="14"/>
        </w:rPr>
        <w:t>un</w:t>
      </w:r>
      <w:r>
        <w:rPr>
          <w:color w:val="231F20"/>
          <w:spacing w:val="-5"/>
          <w:sz w:val="14"/>
        </w:rPr>
        <w:t> </w:t>
      </w:r>
      <w:r>
        <w:rPr>
          <w:color w:val="231F20"/>
          <w:sz w:val="14"/>
        </w:rPr>
        <w:t>descenso</w:t>
      </w:r>
      <w:r>
        <w:rPr>
          <w:color w:val="231F20"/>
          <w:spacing w:val="-5"/>
          <w:sz w:val="14"/>
        </w:rPr>
        <w:t> </w:t>
      </w:r>
      <w:r>
        <w:rPr>
          <w:color w:val="231F20"/>
          <w:sz w:val="14"/>
        </w:rPr>
        <w:t>significativo.</w:t>
      </w:r>
      <w:r>
        <w:rPr>
          <w:color w:val="231F20"/>
          <w:spacing w:val="-5"/>
          <w:sz w:val="14"/>
        </w:rPr>
        <w:t> </w:t>
      </w:r>
      <w:r>
        <w:rPr>
          <w:color w:val="231F20"/>
          <w:sz w:val="14"/>
        </w:rPr>
        <w:t>En</w:t>
      </w:r>
      <w:r>
        <w:rPr>
          <w:color w:val="231F20"/>
          <w:spacing w:val="-5"/>
          <w:sz w:val="14"/>
        </w:rPr>
        <w:t> </w:t>
      </w:r>
      <w:r>
        <w:rPr>
          <w:color w:val="231F20"/>
          <w:sz w:val="14"/>
        </w:rPr>
        <w:t>el</w:t>
      </w:r>
      <w:r>
        <w:rPr>
          <w:color w:val="231F20"/>
          <w:spacing w:val="-5"/>
          <w:sz w:val="14"/>
        </w:rPr>
        <w:t> </w:t>
      </w:r>
      <w:r>
        <w:rPr>
          <w:color w:val="231F20"/>
          <w:sz w:val="14"/>
        </w:rPr>
        <w:t>resto</w:t>
      </w:r>
      <w:r>
        <w:rPr>
          <w:color w:val="231F20"/>
          <w:spacing w:val="-5"/>
          <w:sz w:val="14"/>
        </w:rPr>
        <w:t> </w:t>
      </w:r>
      <w:r>
        <w:rPr>
          <w:color w:val="231F20"/>
          <w:sz w:val="14"/>
        </w:rPr>
        <w:t>de</w:t>
      </w:r>
      <w:r>
        <w:rPr>
          <w:color w:val="231F20"/>
          <w:spacing w:val="-5"/>
          <w:sz w:val="14"/>
        </w:rPr>
        <w:t> </w:t>
      </w:r>
      <w:r>
        <w:rPr>
          <w:color w:val="231F20"/>
          <w:sz w:val="14"/>
        </w:rPr>
        <w:t>países</w:t>
      </w:r>
      <w:r>
        <w:rPr>
          <w:color w:val="231F20"/>
          <w:spacing w:val="-5"/>
          <w:sz w:val="14"/>
        </w:rPr>
        <w:t> </w:t>
      </w:r>
      <w:r>
        <w:rPr>
          <w:color w:val="231F20"/>
          <w:sz w:val="14"/>
        </w:rPr>
        <w:t>tanto</w:t>
      </w:r>
      <w:r>
        <w:rPr>
          <w:color w:val="231F20"/>
          <w:spacing w:val="-5"/>
          <w:sz w:val="14"/>
        </w:rPr>
        <w:t> </w:t>
      </w:r>
      <w:r>
        <w:rPr>
          <w:color w:val="231F20"/>
          <w:sz w:val="14"/>
        </w:rPr>
        <w:t>los</w:t>
      </w:r>
      <w:r>
        <w:rPr>
          <w:color w:val="231F20"/>
          <w:spacing w:val="-5"/>
          <w:sz w:val="14"/>
        </w:rPr>
        <w:t> </w:t>
      </w:r>
      <w:r>
        <w:rPr>
          <w:color w:val="231F20"/>
          <w:sz w:val="14"/>
        </w:rPr>
        <w:t>descensos</w:t>
      </w:r>
      <w:r>
        <w:rPr>
          <w:color w:val="231F20"/>
          <w:spacing w:val="-5"/>
          <w:sz w:val="14"/>
        </w:rPr>
        <w:t> </w:t>
      </w:r>
      <w:r>
        <w:rPr>
          <w:color w:val="231F20"/>
          <w:sz w:val="14"/>
        </w:rPr>
        <w:t>como</w:t>
      </w:r>
      <w:r>
        <w:rPr>
          <w:color w:val="231F20"/>
          <w:spacing w:val="-5"/>
          <w:sz w:val="14"/>
        </w:rPr>
        <w:t> </w:t>
      </w:r>
      <w:r>
        <w:rPr>
          <w:color w:val="231F20"/>
          <w:sz w:val="14"/>
        </w:rPr>
        <w:t>los</w:t>
      </w:r>
      <w:r>
        <w:rPr>
          <w:color w:val="231F20"/>
          <w:spacing w:val="-5"/>
          <w:sz w:val="14"/>
        </w:rPr>
        <w:t> </w:t>
      </w:r>
      <w:r>
        <w:rPr>
          <w:color w:val="231F20"/>
          <w:sz w:val="14"/>
        </w:rPr>
        <w:t>incrementos</w:t>
      </w:r>
      <w:r>
        <w:rPr>
          <w:color w:val="231F20"/>
          <w:spacing w:val="-5"/>
          <w:sz w:val="14"/>
        </w:rPr>
        <w:t> </w:t>
      </w:r>
      <w:r>
        <w:rPr>
          <w:color w:val="231F20"/>
          <w:sz w:val="14"/>
        </w:rPr>
        <w:t>(con</w:t>
      </w:r>
      <w:r>
        <w:rPr>
          <w:color w:val="231F20"/>
          <w:spacing w:val="-5"/>
          <w:sz w:val="14"/>
        </w:rPr>
        <w:t> </w:t>
      </w:r>
      <w:r>
        <w:rPr>
          <w:color w:val="231F20"/>
          <w:sz w:val="14"/>
        </w:rPr>
        <w:t>la excepción Argentina) no son mayores (Pérez Sáinz, 2014: Cuadro</w:t>
      </w:r>
      <w:r>
        <w:rPr>
          <w:color w:val="231F20"/>
          <w:spacing w:val="-21"/>
          <w:sz w:val="14"/>
        </w:rPr>
        <w:t> </w:t>
      </w:r>
      <w:r>
        <w:rPr>
          <w:color w:val="231F20"/>
          <w:sz w:val="14"/>
        </w:rPr>
        <w:t>3.3.5.1).</w:t>
      </w:r>
    </w:p>
    <w:p>
      <w:pPr>
        <w:spacing w:after="0"/>
        <w:jc w:val="both"/>
        <w:rPr>
          <w:sz w:val="14"/>
        </w:rPr>
        <w:sectPr>
          <w:pgSz w:w="7770" w:h="11740"/>
          <w:pgMar w:header="0" w:footer="474" w:top="840" w:bottom="740" w:left="740" w:right="1020"/>
        </w:sectPr>
      </w:pPr>
    </w:p>
    <w:p>
      <w:pPr>
        <w:pStyle w:val="BodyText"/>
        <w:spacing w:line="249" w:lineRule="auto" w:before="60"/>
        <w:ind w:left="105" w:right="108"/>
        <w:jc w:val="right"/>
      </w:pPr>
      <w:r>
        <w:rPr>
          <w:color w:val="231F20"/>
        </w:rPr>
        <w:t>recurriendo a la muy atinada expresión de González de la</w:t>
      </w:r>
      <w:r>
        <w:rPr>
          <w:color w:val="231F20"/>
          <w:spacing w:val="-16"/>
        </w:rPr>
        <w:t> </w:t>
      </w:r>
      <w:r>
        <w:rPr>
          <w:color w:val="231F20"/>
        </w:rPr>
        <w:t>Rocha</w:t>
      </w:r>
      <w:r>
        <w:rPr>
          <w:color w:val="231F20"/>
          <w:spacing w:val="-2"/>
        </w:rPr>
        <w:t> </w:t>
      </w:r>
      <w:r>
        <w:rPr>
          <w:color w:val="231F20"/>
        </w:rPr>
        <w:t>(1999). La tercera cuestión está relacionada con el tema de la</w:t>
      </w:r>
      <w:r>
        <w:rPr>
          <w:color w:val="231F20"/>
          <w:spacing w:val="26"/>
        </w:rPr>
        <w:t> </w:t>
      </w:r>
      <w:r>
        <w:rPr>
          <w:color w:val="231F20"/>
        </w:rPr>
        <w:t>identidad.</w:t>
      </w:r>
      <w:r>
        <w:rPr>
          <w:color w:val="231F20"/>
          <w:spacing w:val="12"/>
        </w:rPr>
        <w:t> </w:t>
      </w:r>
      <w:r>
        <w:rPr>
          <w:color w:val="231F20"/>
        </w:rPr>
        <w:t>Es sabido</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identidades</w:t>
      </w:r>
      <w:r>
        <w:rPr>
          <w:color w:val="231F20"/>
          <w:spacing w:val="-7"/>
        </w:rPr>
        <w:t> </w:t>
      </w:r>
      <w:r>
        <w:rPr>
          <w:color w:val="231F20"/>
        </w:rPr>
        <w:t>laborales</w:t>
      </w:r>
      <w:r>
        <w:rPr>
          <w:color w:val="231F20"/>
          <w:spacing w:val="-7"/>
        </w:rPr>
        <w:t> </w:t>
      </w:r>
      <w:r>
        <w:rPr>
          <w:color w:val="231F20"/>
        </w:rPr>
        <w:t>son</w:t>
      </w:r>
      <w:r>
        <w:rPr>
          <w:color w:val="231F20"/>
          <w:spacing w:val="-6"/>
        </w:rPr>
        <w:t> </w:t>
      </w:r>
      <w:r>
        <w:rPr>
          <w:color w:val="231F20"/>
        </w:rPr>
        <w:t>centrales</w:t>
      </w:r>
      <w:r>
        <w:rPr>
          <w:color w:val="231F20"/>
          <w:spacing w:val="-7"/>
        </w:rPr>
        <w:t> </w:t>
      </w:r>
      <w:r>
        <w:rPr>
          <w:color w:val="231F20"/>
        </w:rPr>
        <w:t>en</w:t>
      </w:r>
      <w:r>
        <w:rPr>
          <w:color w:val="231F20"/>
          <w:spacing w:val="-6"/>
        </w:rPr>
        <w:t> </w:t>
      </w:r>
      <w:r>
        <w:rPr>
          <w:color w:val="231F20"/>
        </w:rPr>
        <w:t>una</w:t>
      </w:r>
      <w:r>
        <w:rPr>
          <w:color w:val="231F20"/>
          <w:spacing w:val="-6"/>
        </w:rPr>
        <w:t> </w:t>
      </w:r>
      <w:r>
        <w:rPr>
          <w:color w:val="231F20"/>
        </w:rPr>
        <w:t>sociedad</w:t>
      </w:r>
      <w:r>
        <w:rPr>
          <w:color w:val="231F20"/>
          <w:spacing w:val="-6"/>
        </w:rPr>
        <w:t> </w:t>
      </w:r>
      <w:r>
        <w:rPr>
          <w:color w:val="231F20"/>
        </w:rPr>
        <w:t>donde el trabajo es reconocido socialmente a través de las</w:t>
      </w:r>
      <w:r>
        <w:rPr>
          <w:color w:val="231F20"/>
          <w:spacing w:val="28"/>
        </w:rPr>
        <w:t> </w:t>
      </w:r>
      <w:r>
        <w:rPr>
          <w:color w:val="231F20"/>
        </w:rPr>
        <w:t>remuneraciones.</w:t>
      </w:r>
      <w:r>
        <w:rPr>
          <w:color w:val="231F20"/>
          <w:spacing w:val="3"/>
        </w:rPr>
        <w:t> </w:t>
      </w:r>
      <w:r>
        <w:rPr>
          <w:color w:val="231F20"/>
        </w:rPr>
        <w:t>Si- guiendo el modelo de formación identitaria propuesto por</w:t>
      </w:r>
      <w:r>
        <w:rPr>
          <w:color w:val="231F20"/>
          <w:spacing w:val="-22"/>
        </w:rPr>
        <w:t> </w:t>
      </w:r>
      <w:r>
        <w:rPr>
          <w:color w:val="231F20"/>
        </w:rPr>
        <w:t>Dubar</w:t>
      </w:r>
      <w:r>
        <w:rPr>
          <w:color w:val="231F20"/>
          <w:spacing w:val="-3"/>
        </w:rPr>
        <w:t> </w:t>
      </w:r>
      <w:r>
        <w:rPr>
          <w:color w:val="231F20"/>
        </w:rPr>
        <w:t>(1991), el desempleo supone, en términos de la transacción interna</w:t>
      </w:r>
      <w:r>
        <w:rPr>
          <w:color w:val="231F20"/>
          <w:position w:val="7"/>
          <w:sz w:val="11"/>
        </w:rPr>
        <w:t>13</w:t>
      </w:r>
      <w:r>
        <w:rPr>
          <w:color w:val="231F20"/>
        </w:rPr>
        <w:t>,</w:t>
      </w:r>
      <w:r>
        <w:rPr>
          <w:color w:val="231F20"/>
          <w:spacing w:val="24"/>
        </w:rPr>
        <w:t> </w:t>
      </w:r>
      <w:r>
        <w:rPr>
          <w:color w:val="231F20"/>
        </w:rPr>
        <w:t>el</w:t>
      </w:r>
      <w:r>
        <w:rPr>
          <w:color w:val="231F20"/>
          <w:spacing w:val="13"/>
        </w:rPr>
        <w:t> </w:t>
      </w:r>
      <w:r>
        <w:rPr>
          <w:color w:val="231F20"/>
        </w:rPr>
        <w:t>predo- minio de la ruptura sobre la continuidad en el caso de</w:t>
      </w:r>
      <w:r>
        <w:rPr>
          <w:color w:val="231F20"/>
          <w:spacing w:val="16"/>
        </w:rPr>
        <w:t> </w:t>
      </w:r>
      <w:r>
        <w:rPr>
          <w:color w:val="231F20"/>
        </w:rPr>
        <w:t>trabajadores</w:t>
      </w:r>
      <w:r>
        <w:rPr>
          <w:color w:val="231F20"/>
          <w:spacing w:val="10"/>
        </w:rPr>
        <w:t> </w:t>
      </w:r>
      <w:r>
        <w:rPr>
          <w:color w:val="231F20"/>
        </w:rPr>
        <w:t>que pierden su empleo. Y la desocupación, para los nuevos entrantes</w:t>
      </w:r>
      <w:r>
        <w:rPr>
          <w:color w:val="231F20"/>
          <w:spacing w:val="13"/>
        </w:rPr>
        <w:t> </w:t>
      </w:r>
      <w:r>
        <w:rPr>
          <w:color w:val="231F20"/>
        </w:rPr>
        <w:t>en</w:t>
      </w:r>
      <w:r>
        <w:rPr>
          <w:color w:val="231F20"/>
          <w:spacing w:val="17"/>
        </w:rPr>
        <w:t> </w:t>
      </w:r>
      <w:r>
        <w:rPr>
          <w:color w:val="231F20"/>
        </w:rPr>
        <w:t>el mercado de trabajo, supone un no reconocimiento </w:t>
      </w:r>
      <w:r>
        <w:rPr>
          <w:color w:val="231F20"/>
          <w:spacing w:val="27"/>
        </w:rPr>
        <w:t> </w:t>
      </w:r>
      <w:r>
        <w:rPr>
          <w:color w:val="231F20"/>
        </w:rPr>
        <w:t>imposibilitando</w:t>
      </w:r>
      <w:r>
        <w:rPr>
          <w:color w:val="231F20"/>
          <w:spacing w:val="24"/>
        </w:rPr>
        <w:t> </w:t>
      </w:r>
      <w:r>
        <w:rPr>
          <w:color w:val="231F20"/>
        </w:rPr>
        <w:t>así la transacción externa. Por consiguiente, los procesos identitarios</w:t>
      </w:r>
      <w:r>
        <w:rPr>
          <w:color w:val="231F20"/>
          <w:spacing w:val="1"/>
        </w:rPr>
        <w:t> </w:t>
      </w:r>
      <w:r>
        <w:rPr>
          <w:color w:val="231F20"/>
        </w:rPr>
        <w:t>se ven mutilados y fragilizados y con efectos desempoderadores sobre</w:t>
      </w:r>
      <w:r>
        <w:rPr>
          <w:color w:val="231F20"/>
          <w:spacing w:val="42"/>
        </w:rPr>
        <w:t> </w:t>
      </w:r>
      <w:r>
        <w:rPr>
          <w:color w:val="231F20"/>
        </w:rPr>
        <w:t>los</w:t>
      </w:r>
      <w:r>
        <w:rPr>
          <w:color w:val="231F20"/>
          <w:spacing w:val="11"/>
        </w:rPr>
        <w:t> </w:t>
      </w:r>
      <w:r>
        <w:rPr>
          <w:color w:val="231F20"/>
        </w:rPr>
        <w:t>tra- bajadores. Este fenómeno se ve exacerbado en el caso de</w:t>
      </w:r>
      <w:r>
        <w:rPr>
          <w:color w:val="231F20"/>
          <w:spacing w:val="37"/>
        </w:rPr>
        <w:t> </w:t>
      </w:r>
      <w:r>
        <w:rPr>
          <w:color w:val="231F20"/>
        </w:rPr>
        <w:t>hombres</w:t>
      </w:r>
      <w:r>
        <w:rPr>
          <w:color w:val="231F20"/>
          <w:spacing w:val="8"/>
        </w:rPr>
        <w:t> </w:t>
      </w:r>
      <w:r>
        <w:rPr>
          <w:color w:val="231F20"/>
        </w:rPr>
        <w:t>que, tradicionalmente, han jugado el papel de proveedores principales</w:t>
      </w:r>
      <w:r>
        <w:rPr>
          <w:color w:val="231F20"/>
          <w:spacing w:val="28"/>
        </w:rPr>
        <w:t> </w:t>
      </w:r>
      <w:r>
        <w:rPr>
          <w:color w:val="231F20"/>
        </w:rPr>
        <w:t>en</w:t>
      </w:r>
      <w:r>
        <w:rPr>
          <w:color w:val="231F20"/>
          <w:spacing w:val="3"/>
        </w:rPr>
        <w:t> </w:t>
      </w:r>
      <w:r>
        <w:rPr>
          <w:color w:val="231F20"/>
        </w:rPr>
        <w:t>sus</w:t>
      </w:r>
      <w:r>
        <w:rPr>
          <w:color w:val="231F20"/>
          <w:spacing w:val="-1"/>
        </w:rPr>
        <w:t> </w:t>
      </w:r>
      <w:r>
        <w:rPr>
          <w:color w:val="231F20"/>
        </w:rPr>
        <w:t>respectivos</w:t>
      </w:r>
      <w:r>
        <w:rPr>
          <w:color w:val="231F20"/>
          <w:spacing w:val="-7"/>
        </w:rPr>
        <w:t> </w:t>
      </w:r>
      <w:r>
        <w:rPr>
          <w:color w:val="231F20"/>
        </w:rPr>
        <w:t>hogares</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su</w:t>
      </w:r>
      <w:r>
        <w:rPr>
          <w:color w:val="231F20"/>
          <w:spacing w:val="-7"/>
        </w:rPr>
        <w:t> </w:t>
      </w:r>
      <w:r>
        <w:rPr>
          <w:color w:val="231F20"/>
        </w:rPr>
        <w:t>identidad</w:t>
      </w:r>
      <w:r>
        <w:rPr>
          <w:color w:val="231F20"/>
          <w:spacing w:val="-8"/>
        </w:rPr>
        <w:t> </w:t>
      </w:r>
      <w:r>
        <w:rPr>
          <w:color w:val="231F20"/>
        </w:rPr>
        <w:t>de</w:t>
      </w:r>
      <w:r>
        <w:rPr>
          <w:color w:val="231F20"/>
          <w:spacing w:val="-7"/>
        </w:rPr>
        <w:t> </w:t>
      </w:r>
      <w:r>
        <w:rPr>
          <w:color w:val="231F20"/>
        </w:rPr>
        <w:t>género</w:t>
      </w:r>
      <w:r>
        <w:rPr>
          <w:color w:val="231F20"/>
          <w:spacing w:val="-7"/>
        </w:rPr>
        <w:t> </w:t>
      </w:r>
      <w:r>
        <w:rPr>
          <w:color w:val="231F20"/>
        </w:rPr>
        <w:t>es</w:t>
      </w:r>
      <w:r>
        <w:rPr>
          <w:color w:val="231F20"/>
          <w:spacing w:val="-8"/>
        </w:rPr>
        <w:t> </w:t>
      </w:r>
      <w:r>
        <w:rPr>
          <w:color w:val="231F20"/>
        </w:rPr>
        <w:t>igualmente</w:t>
      </w:r>
      <w:r>
        <w:rPr>
          <w:color w:val="231F20"/>
          <w:spacing w:val="-8"/>
        </w:rPr>
        <w:t> </w:t>
      </w:r>
      <w:r>
        <w:rPr>
          <w:color w:val="231F20"/>
        </w:rPr>
        <w:t>cuestio- nada.</w:t>
      </w:r>
      <w:r>
        <w:rPr>
          <w:color w:val="231F20"/>
          <w:position w:val="7"/>
          <w:sz w:val="11"/>
        </w:rPr>
        <w:t>14 </w:t>
      </w:r>
      <w:r>
        <w:rPr>
          <w:color w:val="231F20"/>
        </w:rPr>
        <w:t>Cuestionamiento que se acentúa porque las</w:t>
      </w:r>
      <w:r>
        <w:rPr>
          <w:color w:val="231F20"/>
          <w:spacing w:val="-22"/>
        </w:rPr>
        <w:t> </w:t>
      </w:r>
      <w:r>
        <w:rPr>
          <w:color w:val="231F20"/>
        </w:rPr>
        <w:t>mujeres,</w:t>
      </w:r>
      <w:r>
        <w:rPr>
          <w:color w:val="231F20"/>
          <w:spacing w:val="-4"/>
        </w:rPr>
        <w:t> </w:t>
      </w:r>
      <w:r>
        <w:rPr>
          <w:color w:val="231F20"/>
        </w:rPr>
        <w:t>normalmen- te</w:t>
      </w:r>
      <w:r>
        <w:rPr>
          <w:color w:val="231F20"/>
          <w:spacing w:val="-4"/>
        </w:rPr>
        <w:t> </w:t>
      </w:r>
      <w:r>
        <w:rPr>
          <w:color w:val="231F20"/>
        </w:rPr>
        <w:t>relegadas</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esfera</w:t>
      </w:r>
      <w:r>
        <w:rPr>
          <w:color w:val="231F20"/>
          <w:spacing w:val="-4"/>
        </w:rPr>
        <w:t> </w:t>
      </w:r>
      <w:r>
        <w:rPr>
          <w:color w:val="231F20"/>
        </w:rPr>
        <w:t>doméstica,</w:t>
      </w:r>
      <w:r>
        <w:rPr>
          <w:color w:val="231F20"/>
          <w:spacing w:val="-4"/>
        </w:rPr>
        <w:t> </w:t>
      </w:r>
      <w:r>
        <w:rPr>
          <w:color w:val="231F20"/>
        </w:rPr>
        <w:t>tienen</w:t>
      </w:r>
      <w:r>
        <w:rPr>
          <w:color w:val="231F20"/>
          <w:spacing w:val="-4"/>
        </w:rPr>
        <w:t> </w:t>
      </w:r>
      <w:r>
        <w:rPr>
          <w:color w:val="231F20"/>
        </w:rPr>
        <w:t>que</w:t>
      </w:r>
      <w:r>
        <w:rPr>
          <w:color w:val="231F20"/>
          <w:spacing w:val="-4"/>
        </w:rPr>
        <w:t> </w:t>
      </w:r>
      <w:r>
        <w:rPr>
          <w:color w:val="231F20"/>
        </w:rPr>
        <w:t>incorporarse</w:t>
      </w:r>
      <w:r>
        <w:rPr>
          <w:color w:val="231F20"/>
          <w:spacing w:val="-5"/>
        </w:rPr>
        <w:t> </w:t>
      </w:r>
      <w:r>
        <w:rPr>
          <w:color w:val="231F20"/>
        </w:rPr>
        <w:t>al</w:t>
      </w:r>
      <w:r>
        <w:rPr>
          <w:color w:val="231F20"/>
          <w:spacing w:val="-4"/>
        </w:rPr>
        <w:t> </w:t>
      </w:r>
      <w:r>
        <w:rPr>
          <w:color w:val="231F20"/>
        </w:rPr>
        <w:t>mercado</w:t>
      </w:r>
      <w:r>
        <w:rPr>
          <w:color w:val="231F20"/>
          <w:spacing w:val="-4"/>
        </w:rPr>
        <w:t> </w:t>
      </w:r>
      <w:r>
        <w:rPr>
          <w:color w:val="231F20"/>
        </w:rPr>
        <w:t>de</w:t>
      </w:r>
    </w:p>
    <w:p>
      <w:pPr>
        <w:pStyle w:val="BodyText"/>
        <w:spacing w:before="1"/>
        <w:ind w:left="113"/>
        <w:jc w:val="both"/>
      </w:pPr>
      <w:r>
        <w:rPr>
          <w:color w:val="231F20"/>
        </w:rPr>
        <w:t>trabajo para generar ingresos para la familia.</w:t>
      </w:r>
    </w:p>
    <w:p>
      <w:pPr>
        <w:pStyle w:val="BodyText"/>
        <w:spacing w:line="249" w:lineRule="auto" w:before="10"/>
        <w:ind w:left="113" w:right="107" w:firstLine="283"/>
        <w:jc w:val="both"/>
      </w:pPr>
      <w:r>
        <w:rPr>
          <w:color w:val="231F20"/>
        </w:rPr>
        <w:t>Una cuarta problemática tendría que ver con las trayectorias labo- rales ya que se ven interrumpidas y bloqueadas (González de la Rocha, 1998).</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sentido,</w:t>
      </w:r>
      <w:r>
        <w:rPr>
          <w:color w:val="231F20"/>
          <w:spacing w:val="-11"/>
        </w:rPr>
        <w:t> </w:t>
      </w:r>
      <w:r>
        <w:rPr>
          <w:color w:val="231F20"/>
        </w:rPr>
        <w:t>las</w:t>
      </w:r>
      <w:r>
        <w:rPr>
          <w:color w:val="231F20"/>
          <w:spacing w:val="-11"/>
        </w:rPr>
        <w:t> </w:t>
      </w:r>
      <w:r>
        <w:rPr>
          <w:color w:val="231F20"/>
        </w:rPr>
        <w:t>reflexiones</w:t>
      </w:r>
      <w:r>
        <w:rPr>
          <w:color w:val="231F20"/>
          <w:spacing w:val="-11"/>
        </w:rPr>
        <w:t> </w:t>
      </w:r>
      <w:r>
        <w:rPr>
          <w:color w:val="231F20"/>
        </w:rPr>
        <w:t>de</w:t>
      </w:r>
      <w:r>
        <w:rPr>
          <w:color w:val="231F20"/>
          <w:spacing w:val="-11"/>
        </w:rPr>
        <w:t> </w:t>
      </w:r>
      <w:r>
        <w:rPr>
          <w:color w:val="231F20"/>
        </w:rPr>
        <w:t>Guimarães</w:t>
      </w:r>
      <w:r>
        <w:rPr>
          <w:color w:val="231F20"/>
          <w:spacing w:val="-11"/>
        </w:rPr>
        <w:t> </w:t>
      </w:r>
      <w:r>
        <w:rPr>
          <w:color w:val="231F20"/>
        </w:rPr>
        <w:t>(2009)</w:t>
      </w:r>
      <w:r>
        <w:rPr>
          <w:color w:val="231F20"/>
          <w:spacing w:val="-12"/>
        </w:rPr>
        <w:t> </w:t>
      </w:r>
      <w:r>
        <w:rPr>
          <w:color w:val="231F20"/>
        </w:rPr>
        <w:t>sobre</w:t>
      </w:r>
      <w:r>
        <w:rPr>
          <w:color w:val="231F20"/>
          <w:spacing w:val="-12"/>
        </w:rPr>
        <w:t> </w:t>
      </w:r>
      <w:r>
        <w:rPr>
          <w:color w:val="231F20"/>
        </w:rPr>
        <w:t>desem- pleo en Sao Paulo son esclarecedoras. Esta autora argumenta que no</w:t>
      </w:r>
      <w:r>
        <w:rPr>
          <w:color w:val="231F20"/>
          <w:spacing w:val="-30"/>
        </w:rPr>
        <w:t> </w:t>
      </w:r>
      <w:r>
        <w:rPr>
          <w:color w:val="231F20"/>
        </w:rPr>
        <w:t>hay transiciones nítidas entre ocupación y desocupación, como en el pasado, debido a la flexibilización de las relaciones laborales y que más que ha- blar</w:t>
      </w:r>
      <w:r>
        <w:rPr>
          <w:color w:val="231F20"/>
          <w:spacing w:val="-4"/>
        </w:rPr>
        <w:t> </w:t>
      </w:r>
      <w:r>
        <w:rPr>
          <w:color w:val="231F20"/>
        </w:rPr>
        <w:t>de</w:t>
      </w:r>
      <w:r>
        <w:rPr>
          <w:color w:val="231F20"/>
          <w:spacing w:val="-4"/>
        </w:rPr>
        <w:t> </w:t>
      </w:r>
      <w:r>
        <w:rPr>
          <w:color w:val="231F20"/>
        </w:rPr>
        <w:t>desempleo</w:t>
      </w:r>
      <w:r>
        <w:rPr>
          <w:color w:val="231F20"/>
          <w:spacing w:val="-4"/>
        </w:rPr>
        <w:t> </w:t>
      </w:r>
      <w:r>
        <w:rPr>
          <w:color w:val="231F20"/>
        </w:rPr>
        <w:t>de</w:t>
      </w:r>
      <w:r>
        <w:rPr>
          <w:color w:val="231F20"/>
          <w:spacing w:val="-4"/>
        </w:rPr>
        <w:t> </w:t>
      </w:r>
      <w:r>
        <w:rPr>
          <w:color w:val="231F20"/>
        </w:rPr>
        <w:t>larga</w:t>
      </w:r>
      <w:r>
        <w:rPr>
          <w:color w:val="231F20"/>
          <w:spacing w:val="-4"/>
        </w:rPr>
        <w:t> </w:t>
      </w:r>
      <w:r>
        <w:rPr>
          <w:color w:val="231F20"/>
        </w:rPr>
        <w:t>duración,</w:t>
      </w:r>
      <w:r>
        <w:rPr>
          <w:color w:val="231F20"/>
          <w:spacing w:val="-4"/>
        </w:rPr>
        <w:t> </w:t>
      </w:r>
      <w:r>
        <w:rPr>
          <w:color w:val="231F20"/>
        </w:rPr>
        <w:t>auténtica</w:t>
      </w:r>
      <w:r>
        <w:rPr>
          <w:color w:val="231F20"/>
          <w:spacing w:val="-5"/>
        </w:rPr>
        <w:t> </w:t>
      </w:r>
      <w:r>
        <w:rPr>
          <w:color w:val="231F20"/>
        </w:rPr>
        <w:t>amenaza</w:t>
      </w:r>
      <w:r>
        <w:rPr>
          <w:color w:val="231F20"/>
          <w:spacing w:val="-5"/>
        </w:rPr>
        <w:t> </w:t>
      </w:r>
      <w:r>
        <w:rPr>
          <w:color w:val="231F20"/>
        </w:rPr>
        <w:t>para</w:t>
      </w:r>
      <w:r>
        <w:rPr>
          <w:color w:val="231F20"/>
          <w:spacing w:val="-4"/>
        </w:rPr>
        <w:t> </w:t>
      </w:r>
      <w:r>
        <w:rPr>
          <w:color w:val="231F20"/>
        </w:rPr>
        <w:t>los</w:t>
      </w:r>
      <w:r>
        <w:rPr>
          <w:color w:val="231F20"/>
          <w:spacing w:val="-4"/>
        </w:rPr>
        <w:t> </w:t>
      </w:r>
      <w:r>
        <w:rPr>
          <w:color w:val="231F20"/>
        </w:rPr>
        <w:t>Estados benefactores, habría que hablar de desempleo recurrente. Es decir, la re- currencia</w:t>
      </w:r>
      <w:r>
        <w:rPr>
          <w:color w:val="231F20"/>
          <w:spacing w:val="-10"/>
        </w:rPr>
        <w:t> </w:t>
      </w:r>
      <w:r>
        <w:rPr>
          <w:color w:val="231F20"/>
        </w:rPr>
        <w:t>sería</w:t>
      </w:r>
      <w:r>
        <w:rPr>
          <w:color w:val="231F20"/>
          <w:spacing w:val="-10"/>
        </w:rPr>
        <w:t> </w:t>
      </w:r>
      <w:r>
        <w:rPr>
          <w:color w:val="231F20"/>
        </w:rPr>
        <w:t>la</w:t>
      </w:r>
      <w:r>
        <w:rPr>
          <w:color w:val="231F20"/>
          <w:spacing w:val="-10"/>
        </w:rPr>
        <w:t> </w:t>
      </w:r>
      <w:r>
        <w:rPr>
          <w:color w:val="231F20"/>
        </w:rPr>
        <w:t>principal</w:t>
      </w:r>
      <w:r>
        <w:rPr>
          <w:color w:val="231F20"/>
          <w:spacing w:val="-10"/>
        </w:rPr>
        <w:t> </w:t>
      </w:r>
      <w:r>
        <w:rPr>
          <w:color w:val="231F20"/>
        </w:rPr>
        <w:t>característica</w:t>
      </w:r>
      <w:r>
        <w:rPr>
          <w:color w:val="231F20"/>
          <w:spacing w:val="-11"/>
        </w:rPr>
        <w:t> </w:t>
      </w:r>
      <w:r>
        <w:rPr>
          <w:color w:val="231F20"/>
        </w:rPr>
        <w:t>de</w:t>
      </w:r>
      <w:r>
        <w:rPr>
          <w:color w:val="231F20"/>
          <w:spacing w:val="-10"/>
        </w:rPr>
        <w:t> </w:t>
      </w:r>
      <w:r>
        <w:rPr>
          <w:color w:val="231F20"/>
        </w:rPr>
        <w:t>este</w:t>
      </w:r>
      <w:r>
        <w:rPr>
          <w:color w:val="231F20"/>
          <w:spacing w:val="-10"/>
        </w:rPr>
        <w:t> </w:t>
      </w:r>
      <w:r>
        <w:rPr>
          <w:color w:val="231F20"/>
        </w:rPr>
        <w:t>desempleo</w:t>
      </w:r>
      <w:r>
        <w:rPr>
          <w:color w:val="231F20"/>
          <w:spacing w:val="-10"/>
        </w:rPr>
        <w:t> </w:t>
      </w:r>
      <w:r>
        <w:rPr>
          <w:color w:val="231F20"/>
        </w:rPr>
        <w:t>generado</w:t>
      </w:r>
      <w:r>
        <w:rPr>
          <w:color w:val="231F20"/>
          <w:spacing w:val="-10"/>
        </w:rPr>
        <w:t> </w:t>
      </w:r>
      <w:r>
        <w:rPr>
          <w:color w:val="231F20"/>
        </w:rPr>
        <w:t>con el nuevo modelo de</w:t>
      </w:r>
      <w:r>
        <w:rPr>
          <w:color w:val="231F20"/>
          <w:spacing w:val="-1"/>
        </w:rPr>
        <w:t> </w:t>
      </w:r>
      <w:r>
        <w:rPr>
          <w:color w:val="231F20"/>
        </w:rPr>
        <w:t>acumulación.</w:t>
      </w:r>
    </w:p>
    <w:p>
      <w:pPr>
        <w:pStyle w:val="BodyText"/>
        <w:spacing w:line="249" w:lineRule="auto" w:before="1"/>
        <w:ind w:left="113" w:right="108" w:firstLine="283"/>
        <w:jc w:val="both"/>
      </w:pPr>
      <w:r>
        <w:rPr>
          <w:color w:val="231F20"/>
        </w:rPr>
        <w:t>Finalmente, desempleo no estaría fuertemente asociado con la situa- ción de exclusión sino más bien con el riesgo a caer en tal situación.    En la región, donde los subsidios de desempleo son muy limitados</w:t>
      </w:r>
      <w:r>
        <w:rPr>
          <w:color w:val="231F20"/>
          <w:position w:val="7"/>
          <w:sz w:val="11"/>
        </w:rPr>
        <w:t>15</w:t>
      </w:r>
      <w:r>
        <w:rPr>
          <w:color w:val="231F20"/>
        </w:rPr>
        <w:t>,</w:t>
      </w:r>
      <w:r>
        <w:rPr>
          <w:color w:val="231F20"/>
          <w:spacing w:val="39"/>
        </w:rPr>
        <w:t> </w:t>
      </w:r>
      <w:r>
        <w:rPr>
          <w:color w:val="231F20"/>
        </w:rPr>
        <w:t>no</w:t>
      </w:r>
    </w:p>
    <w:p>
      <w:pPr>
        <w:pStyle w:val="BodyText"/>
        <w:rPr>
          <w:sz w:val="24"/>
        </w:rPr>
      </w:pPr>
    </w:p>
    <w:p>
      <w:pPr>
        <w:spacing w:before="0"/>
        <w:ind w:left="113" w:right="107" w:firstLine="0"/>
        <w:jc w:val="both"/>
        <w:rPr>
          <w:sz w:val="14"/>
        </w:rPr>
      </w:pPr>
      <w:r>
        <w:rPr>
          <w:color w:val="231F20"/>
          <w:position w:val="5"/>
          <w:sz w:val="8"/>
        </w:rPr>
        <w:t>13 </w:t>
      </w:r>
      <w:r>
        <w:rPr>
          <w:color w:val="231F20"/>
          <w:sz w:val="14"/>
        </w:rPr>
        <w:t>Este autor propone que hay dos tipos de transacciones en la formación de identidades laborales. La primera</w:t>
      </w:r>
      <w:r>
        <w:rPr>
          <w:color w:val="231F20"/>
          <w:spacing w:val="-4"/>
          <w:sz w:val="14"/>
        </w:rPr>
        <w:t> </w:t>
      </w:r>
      <w:r>
        <w:rPr>
          <w:color w:val="231F20"/>
          <w:sz w:val="14"/>
        </w:rPr>
        <w:t>es</w:t>
      </w:r>
      <w:r>
        <w:rPr>
          <w:color w:val="231F20"/>
          <w:spacing w:val="-4"/>
          <w:sz w:val="14"/>
        </w:rPr>
        <w:t> </w:t>
      </w:r>
      <w:r>
        <w:rPr>
          <w:color w:val="231F20"/>
          <w:sz w:val="14"/>
        </w:rPr>
        <w:t>de</w:t>
      </w:r>
      <w:r>
        <w:rPr>
          <w:color w:val="231F20"/>
          <w:spacing w:val="-4"/>
          <w:sz w:val="14"/>
        </w:rPr>
        <w:t> </w:t>
      </w:r>
      <w:r>
        <w:rPr>
          <w:color w:val="231F20"/>
          <w:sz w:val="14"/>
        </w:rPr>
        <w:t>carácter</w:t>
      </w:r>
      <w:r>
        <w:rPr>
          <w:color w:val="231F20"/>
          <w:spacing w:val="-4"/>
          <w:sz w:val="14"/>
        </w:rPr>
        <w:t> </w:t>
      </w:r>
      <w:r>
        <w:rPr>
          <w:color w:val="231F20"/>
          <w:sz w:val="14"/>
        </w:rPr>
        <w:t>interno</w:t>
      </w:r>
      <w:r>
        <w:rPr>
          <w:color w:val="231F20"/>
          <w:spacing w:val="-4"/>
          <w:sz w:val="14"/>
        </w:rPr>
        <w:t> </w:t>
      </w:r>
      <w:r>
        <w:rPr>
          <w:color w:val="231F20"/>
          <w:sz w:val="14"/>
        </w:rPr>
        <w:t>y</w:t>
      </w:r>
      <w:r>
        <w:rPr>
          <w:color w:val="231F20"/>
          <w:spacing w:val="-4"/>
          <w:sz w:val="14"/>
        </w:rPr>
        <w:t> </w:t>
      </w:r>
      <w:r>
        <w:rPr>
          <w:color w:val="231F20"/>
          <w:sz w:val="14"/>
        </w:rPr>
        <w:t>tiene</w:t>
      </w:r>
      <w:r>
        <w:rPr>
          <w:color w:val="231F20"/>
          <w:spacing w:val="-4"/>
          <w:sz w:val="14"/>
        </w:rPr>
        <w:t> </w:t>
      </w:r>
      <w:r>
        <w:rPr>
          <w:color w:val="231F20"/>
          <w:sz w:val="14"/>
        </w:rPr>
        <w:t>que</w:t>
      </w:r>
      <w:r>
        <w:rPr>
          <w:color w:val="231F20"/>
          <w:spacing w:val="-4"/>
          <w:sz w:val="14"/>
        </w:rPr>
        <w:t> </w:t>
      </w:r>
      <w:r>
        <w:rPr>
          <w:color w:val="231F20"/>
          <w:sz w:val="14"/>
        </w:rPr>
        <w:t>ver</w:t>
      </w:r>
      <w:r>
        <w:rPr>
          <w:color w:val="231F20"/>
          <w:spacing w:val="-4"/>
          <w:sz w:val="14"/>
        </w:rPr>
        <w:t> </w:t>
      </w:r>
      <w:r>
        <w:rPr>
          <w:color w:val="231F20"/>
          <w:sz w:val="14"/>
        </w:rPr>
        <w:t>cómo</w:t>
      </w:r>
      <w:r>
        <w:rPr>
          <w:color w:val="231F20"/>
          <w:spacing w:val="-4"/>
          <w:sz w:val="14"/>
        </w:rPr>
        <w:t> </w:t>
      </w:r>
      <w:r>
        <w:rPr>
          <w:color w:val="231F20"/>
          <w:sz w:val="14"/>
        </w:rPr>
        <w:t>la</w:t>
      </w:r>
      <w:r>
        <w:rPr>
          <w:color w:val="231F20"/>
          <w:spacing w:val="-4"/>
          <w:sz w:val="14"/>
        </w:rPr>
        <w:t> </w:t>
      </w:r>
      <w:r>
        <w:rPr>
          <w:color w:val="231F20"/>
          <w:sz w:val="14"/>
        </w:rPr>
        <w:t>persona</w:t>
      </w:r>
      <w:r>
        <w:rPr>
          <w:color w:val="231F20"/>
          <w:spacing w:val="-4"/>
          <w:sz w:val="14"/>
        </w:rPr>
        <w:t> </w:t>
      </w:r>
      <w:r>
        <w:rPr>
          <w:color w:val="231F20"/>
          <w:sz w:val="14"/>
        </w:rPr>
        <w:t>evalúa</w:t>
      </w:r>
      <w:r>
        <w:rPr>
          <w:color w:val="231F20"/>
          <w:spacing w:val="-4"/>
          <w:sz w:val="14"/>
        </w:rPr>
        <w:t> </w:t>
      </w:r>
      <w:r>
        <w:rPr>
          <w:color w:val="231F20"/>
          <w:sz w:val="14"/>
        </w:rPr>
        <w:t>su</w:t>
      </w:r>
      <w:r>
        <w:rPr>
          <w:color w:val="231F20"/>
          <w:spacing w:val="-4"/>
          <w:sz w:val="14"/>
        </w:rPr>
        <w:t> </w:t>
      </w:r>
      <w:r>
        <w:rPr>
          <w:color w:val="231F20"/>
          <w:sz w:val="14"/>
        </w:rPr>
        <w:t>situación</w:t>
      </w:r>
      <w:r>
        <w:rPr>
          <w:color w:val="231F20"/>
          <w:spacing w:val="-4"/>
          <w:sz w:val="14"/>
        </w:rPr>
        <w:t> </w:t>
      </w:r>
      <w:r>
        <w:rPr>
          <w:color w:val="231F20"/>
          <w:sz w:val="14"/>
        </w:rPr>
        <w:t>ocupacional</w:t>
      </w:r>
      <w:r>
        <w:rPr>
          <w:color w:val="231F20"/>
          <w:spacing w:val="-4"/>
          <w:sz w:val="14"/>
        </w:rPr>
        <w:t> </w:t>
      </w:r>
      <w:r>
        <w:rPr>
          <w:color w:val="231F20"/>
          <w:sz w:val="14"/>
        </w:rPr>
        <w:t>actual</w:t>
      </w:r>
      <w:r>
        <w:rPr>
          <w:color w:val="231F20"/>
          <w:spacing w:val="-4"/>
          <w:sz w:val="14"/>
        </w:rPr>
        <w:t> </w:t>
      </w:r>
      <w:r>
        <w:rPr>
          <w:color w:val="231F20"/>
          <w:sz w:val="14"/>
        </w:rPr>
        <w:t>en función</w:t>
      </w:r>
      <w:r>
        <w:rPr>
          <w:color w:val="231F20"/>
          <w:spacing w:val="-3"/>
          <w:sz w:val="14"/>
        </w:rPr>
        <w:t> </w:t>
      </w:r>
      <w:r>
        <w:rPr>
          <w:color w:val="231F20"/>
          <w:sz w:val="14"/>
        </w:rPr>
        <w:t>de</w:t>
      </w:r>
      <w:r>
        <w:rPr>
          <w:color w:val="231F20"/>
          <w:spacing w:val="-3"/>
          <w:sz w:val="14"/>
        </w:rPr>
        <w:t> </w:t>
      </w:r>
      <w:r>
        <w:rPr>
          <w:color w:val="231F20"/>
          <w:sz w:val="14"/>
        </w:rPr>
        <w:t>sus</w:t>
      </w:r>
      <w:r>
        <w:rPr>
          <w:color w:val="231F20"/>
          <w:spacing w:val="-3"/>
          <w:sz w:val="14"/>
        </w:rPr>
        <w:t> </w:t>
      </w:r>
      <w:r>
        <w:rPr>
          <w:color w:val="231F20"/>
          <w:sz w:val="14"/>
        </w:rPr>
        <w:t>experiencias</w:t>
      </w:r>
      <w:r>
        <w:rPr>
          <w:color w:val="231F20"/>
          <w:spacing w:val="-4"/>
          <w:sz w:val="14"/>
        </w:rPr>
        <w:t> </w:t>
      </w:r>
      <w:r>
        <w:rPr>
          <w:color w:val="231F20"/>
          <w:sz w:val="14"/>
        </w:rPr>
        <w:t>pasadas</w:t>
      </w:r>
      <w:r>
        <w:rPr>
          <w:color w:val="231F20"/>
          <w:spacing w:val="-3"/>
          <w:sz w:val="14"/>
        </w:rPr>
        <w:t> </w:t>
      </w:r>
      <w:r>
        <w:rPr>
          <w:color w:val="231F20"/>
          <w:sz w:val="14"/>
        </w:rPr>
        <w:t>y</w:t>
      </w:r>
      <w:r>
        <w:rPr>
          <w:color w:val="231F20"/>
          <w:spacing w:val="-3"/>
          <w:sz w:val="14"/>
        </w:rPr>
        <w:t> </w:t>
      </w:r>
      <w:r>
        <w:rPr>
          <w:color w:val="231F20"/>
          <w:sz w:val="14"/>
        </w:rPr>
        <w:t>sus</w:t>
      </w:r>
      <w:r>
        <w:rPr>
          <w:color w:val="231F20"/>
          <w:spacing w:val="-3"/>
          <w:sz w:val="14"/>
        </w:rPr>
        <w:t> </w:t>
      </w:r>
      <w:r>
        <w:rPr>
          <w:color w:val="231F20"/>
          <w:sz w:val="14"/>
        </w:rPr>
        <w:t>aspiraciones</w:t>
      </w:r>
      <w:r>
        <w:rPr>
          <w:color w:val="231F20"/>
          <w:spacing w:val="-4"/>
          <w:sz w:val="14"/>
        </w:rPr>
        <w:t> </w:t>
      </w:r>
      <w:r>
        <w:rPr>
          <w:color w:val="231F20"/>
          <w:sz w:val="14"/>
        </w:rPr>
        <w:t>futuras.</w:t>
      </w:r>
      <w:r>
        <w:rPr>
          <w:color w:val="231F20"/>
          <w:spacing w:val="-3"/>
          <w:sz w:val="14"/>
        </w:rPr>
        <w:t> </w:t>
      </w:r>
      <w:r>
        <w:rPr>
          <w:color w:val="231F20"/>
          <w:sz w:val="14"/>
        </w:rPr>
        <w:t>Esta</w:t>
      </w:r>
      <w:r>
        <w:rPr>
          <w:color w:val="231F20"/>
          <w:spacing w:val="-3"/>
          <w:sz w:val="14"/>
        </w:rPr>
        <w:t> </w:t>
      </w:r>
      <w:r>
        <w:rPr>
          <w:color w:val="231F20"/>
          <w:sz w:val="14"/>
        </w:rPr>
        <w:t>transacción</w:t>
      </w:r>
      <w:r>
        <w:rPr>
          <w:color w:val="231F20"/>
          <w:spacing w:val="-4"/>
          <w:sz w:val="14"/>
        </w:rPr>
        <w:t> </w:t>
      </w:r>
      <w:r>
        <w:rPr>
          <w:color w:val="231F20"/>
          <w:sz w:val="14"/>
        </w:rPr>
        <w:t>se</w:t>
      </w:r>
      <w:r>
        <w:rPr>
          <w:color w:val="231F20"/>
          <w:spacing w:val="-3"/>
          <w:sz w:val="14"/>
        </w:rPr>
        <w:t> </w:t>
      </w:r>
      <w:r>
        <w:rPr>
          <w:color w:val="231F20"/>
          <w:sz w:val="14"/>
        </w:rPr>
        <w:t>rige</w:t>
      </w:r>
      <w:r>
        <w:rPr>
          <w:color w:val="231F20"/>
          <w:spacing w:val="-3"/>
          <w:sz w:val="14"/>
        </w:rPr>
        <w:t> </w:t>
      </w:r>
      <w:r>
        <w:rPr>
          <w:color w:val="231F20"/>
          <w:sz w:val="14"/>
        </w:rPr>
        <w:t>por</w:t>
      </w:r>
      <w:r>
        <w:rPr>
          <w:color w:val="231F20"/>
          <w:spacing w:val="-3"/>
          <w:sz w:val="14"/>
        </w:rPr>
        <w:t> </w:t>
      </w:r>
      <w:r>
        <w:rPr>
          <w:color w:val="231F20"/>
          <w:sz w:val="14"/>
        </w:rPr>
        <w:t>la</w:t>
      </w:r>
      <w:r>
        <w:rPr>
          <w:color w:val="231F20"/>
          <w:spacing w:val="-3"/>
          <w:sz w:val="14"/>
        </w:rPr>
        <w:t> </w:t>
      </w:r>
      <w:r>
        <w:rPr>
          <w:color w:val="231F20"/>
          <w:sz w:val="14"/>
        </w:rPr>
        <w:t>oposición entre</w:t>
      </w:r>
      <w:r>
        <w:rPr>
          <w:color w:val="231F20"/>
          <w:spacing w:val="-5"/>
          <w:sz w:val="14"/>
        </w:rPr>
        <w:t> </w:t>
      </w:r>
      <w:r>
        <w:rPr>
          <w:color w:val="231F20"/>
          <w:sz w:val="14"/>
        </w:rPr>
        <w:t>continuidad</w:t>
      </w:r>
      <w:r>
        <w:rPr>
          <w:color w:val="231F20"/>
          <w:spacing w:val="-5"/>
          <w:sz w:val="14"/>
        </w:rPr>
        <w:t> </w:t>
      </w:r>
      <w:r>
        <w:rPr>
          <w:color w:val="231F20"/>
          <w:sz w:val="14"/>
        </w:rPr>
        <w:t>y</w:t>
      </w:r>
      <w:r>
        <w:rPr>
          <w:color w:val="231F20"/>
          <w:spacing w:val="-5"/>
          <w:sz w:val="14"/>
        </w:rPr>
        <w:t> </w:t>
      </w:r>
      <w:r>
        <w:rPr>
          <w:color w:val="231F20"/>
          <w:sz w:val="14"/>
        </w:rPr>
        <w:t>ruptura.</w:t>
      </w:r>
      <w:r>
        <w:rPr>
          <w:color w:val="231F20"/>
          <w:spacing w:val="-5"/>
          <w:sz w:val="14"/>
        </w:rPr>
        <w:t> </w:t>
      </w:r>
      <w:r>
        <w:rPr>
          <w:color w:val="231F20"/>
          <w:sz w:val="14"/>
        </w:rPr>
        <w:t>Por</w:t>
      </w:r>
      <w:r>
        <w:rPr>
          <w:color w:val="231F20"/>
          <w:spacing w:val="-4"/>
          <w:sz w:val="14"/>
        </w:rPr>
        <w:t> </w:t>
      </w:r>
      <w:r>
        <w:rPr>
          <w:color w:val="231F20"/>
          <w:sz w:val="14"/>
        </w:rPr>
        <w:t>su</w:t>
      </w:r>
      <w:r>
        <w:rPr>
          <w:color w:val="231F20"/>
          <w:spacing w:val="-5"/>
          <w:sz w:val="14"/>
        </w:rPr>
        <w:t> </w:t>
      </w:r>
      <w:r>
        <w:rPr>
          <w:color w:val="231F20"/>
          <w:sz w:val="14"/>
        </w:rPr>
        <w:t>parte,</w:t>
      </w:r>
      <w:r>
        <w:rPr>
          <w:color w:val="231F20"/>
          <w:spacing w:val="-4"/>
          <w:sz w:val="14"/>
        </w:rPr>
        <w:t> </w:t>
      </w:r>
      <w:r>
        <w:rPr>
          <w:color w:val="231F20"/>
          <w:sz w:val="14"/>
        </w:rPr>
        <w:t>la</w:t>
      </w:r>
      <w:r>
        <w:rPr>
          <w:color w:val="231F20"/>
          <w:spacing w:val="-5"/>
          <w:sz w:val="14"/>
        </w:rPr>
        <w:t> </w:t>
      </w:r>
      <w:r>
        <w:rPr>
          <w:color w:val="231F20"/>
          <w:sz w:val="14"/>
        </w:rPr>
        <w:t>segunda</w:t>
      </w:r>
      <w:r>
        <w:rPr>
          <w:color w:val="231F20"/>
          <w:spacing w:val="-4"/>
          <w:sz w:val="14"/>
        </w:rPr>
        <w:t> </w:t>
      </w:r>
      <w:r>
        <w:rPr>
          <w:color w:val="231F20"/>
          <w:sz w:val="14"/>
        </w:rPr>
        <w:t>transacción</w:t>
      </w:r>
      <w:r>
        <w:rPr>
          <w:color w:val="231F20"/>
          <w:spacing w:val="-5"/>
          <w:sz w:val="14"/>
        </w:rPr>
        <w:t> </w:t>
      </w:r>
      <w:r>
        <w:rPr>
          <w:color w:val="231F20"/>
          <w:sz w:val="14"/>
        </w:rPr>
        <w:t>es</w:t>
      </w:r>
      <w:r>
        <w:rPr>
          <w:color w:val="231F20"/>
          <w:spacing w:val="-5"/>
          <w:sz w:val="14"/>
        </w:rPr>
        <w:t> </w:t>
      </w:r>
      <w:r>
        <w:rPr>
          <w:color w:val="231F20"/>
          <w:sz w:val="14"/>
        </w:rPr>
        <w:t>de</w:t>
      </w:r>
      <w:r>
        <w:rPr>
          <w:color w:val="231F20"/>
          <w:spacing w:val="-5"/>
          <w:sz w:val="14"/>
        </w:rPr>
        <w:t> </w:t>
      </w:r>
      <w:r>
        <w:rPr>
          <w:color w:val="231F20"/>
          <w:sz w:val="14"/>
        </w:rPr>
        <w:t>naturaleza</w:t>
      </w:r>
      <w:r>
        <w:rPr>
          <w:color w:val="231F20"/>
          <w:spacing w:val="-5"/>
          <w:sz w:val="14"/>
        </w:rPr>
        <w:t> </w:t>
      </w:r>
      <w:r>
        <w:rPr>
          <w:color w:val="231F20"/>
          <w:sz w:val="14"/>
        </w:rPr>
        <w:t>externa</w:t>
      </w:r>
      <w:r>
        <w:rPr>
          <w:color w:val="231F20"/>
          <w:spacing w:val="-5"/>
          <w:sz w:val="14"/>
        </w:rPr>
        <w:t> </w:t>
      </w:r>
      <w:r>
        <w:rPr>
          <w:color w:val="231F20"/>
          <w:sz w:val="14"/>
        </w:rPr>
        <w:t>y</w:t>
      </w:r>
      <w:r>
        <w:rPr>
          <w:color w:val="231F20"/>
          <w:spacing w:val="-5"/>
          <w:sz w:val="14"/>
        </w:rPr>
        <w:t> </w:t>
      </w:r>
      <w:r>
        <w:rPr>
          <w:color w:val="231F20"/>
          <w:sz w:val="14"/>
        </w:rPr>
        <w:t>tiene</w:t>
      </w:r>
      <w:r>
        <w:rPr>
          <w:color w:val="231F20"/>
          <w:spacing w:val="-5"/>
          <w:sz w:val="14"/>
        </w:rPr>
        <w:t> </w:t>
      </w:r>
      <w:r>
        <w:rPr>
          <w:color w:val="231F20"/>
          <w:sz w:val="14"/>
        </w:rPr>
        <w:t>que</w:t>
      </w:r>
      <w:r>
        <w:rPr>
          <w:color w:val="231F20"/>
          <w:spacing w:val="-5"/>
          <w:sz w:val="14"/>
        </w:rPr>
        <w:t> </w:t>
      </w:r>
      <w:r>
        <w:rPr>
          <w:color w:val="231F20"/>
          <w:sz w:val="14"/>
        </w:rPr>
        <w:t>ver con la exposición de la transacción interna al “otro”. En este caso la oposición tiene lugar en términos de reconocimiento y desconocimiento.</w:t>
      </w:r>
    </w:p>
    <w:p>
      <w:pPr>
        <w:spacing w:before="0"/>
        <w:ind w:left="113" w:right="108" w:firstLine="0"/>
        <w:jc w:val="both"/>
        <w:rPr>
          <w:sz w:val="14"/>
        </w:rPr>
      </w:pPr>
      <w:r>
        <w:rPr>
          <w:color w:val="231F20"/>
          <w:position w:val="5"/>
          <w:sz w:val="8"/>
        </w:rPr>
        <w:t>14 </w:t>
      </w:r>
      <w:r>
        <w:rPr>
          <w:color w:val="231F20"/>
          <w:sz w:val="14"/>
        </w:rPr>
        <w:t>O sea, el desempleo, especialmente en el ámbito de los sectores populares, es ante todo un problema masculino (González de la Rocha, 1998).</w:t>
      </w:r>
    </w:p>
    <w:p>
      <w:pPr>
        <w:spacing w:before="0"/>
        <w:ind w:left="113" w:right="108" w:firstLine="0"/>
        <w:jc w:val="both"/>
        <w:rPr>
          <w:sz w:val="14"/>
        </w:rPr>
      </w:pPr>
      <w:r>
        <w:rPr>
          <w:color w:val="231F20"/>
          <w:position w:val="5"/>
          <w:sz w:val="8"/>
        </w:rPr>
        <w:t>15</w:t>
      </w:r>
      <w:r>
        <w:rPr>
          <w:color w:val="231F20"/>
          <w:spacing w:val="8"/>
          <w:position w:val="5"/>
          <w:sz w:val="8"/>
        </w:rPr>
        <w:t> </w:t>
      </w:r>
      <w:r>
        <w:rPr>
          <w:color w:val="231F20"/>
          <w:sz w:val="14"/>
        </w:rPr>
        <w:t>En</w:t>
      </w:r>
      <w:r>
        <w:rPr>
          <w:color w:val="231F20"/>
          <w:spacing w:val="-14"/>
          <w:sz w:val="14"/>
        </w:rPr>
        <w:t> </w:t>
      </w:r>
      <w:r>
        <w:rPr>
          <w:color w:val="231F20"/>
          <w:sz w:val="14"/>
        </w:rPr>
        <w:t>América</w:t>
      </w:r>
      <w:r>
        <w:rPr>
          <w:color w:val="231F20"/>
          <w:spacing w:val="-7"/>
          <w:sz w:val="14"/>
        </w:rPr>
        <w:t> </w:t>
      </w:r>
      <w:r>
        <w:rPr>
          <w:color w:val="231F20"/>
          <w:sz w:val="14"/>
        </w:rPr>
        <w:t>Latina</w:t>
      </w:r>
      <w:r>
        <w:rPr>
          <w:color w:val="231F20"/>
          <w:spacing w:val="-7"/>
          <w:sz w:val="14"/>
        </w:rPr>
        <w:t> </w:t>
      </w:r>
      <w:r>
        <w:rPr>
          <w:color w:val="231F20"/>
          <w:sz w:val="14"/>
        </w:rPr>
        <w:t>sólo</w:t>
      </w:r>
      <w:r>
        <w:rPr>
          <w:color w:val="231F20"/>
          <w:spacing w:val="-7"/>
          <w:sz w:val="14"/>
        </w:rPr>
        <w:t> </w:t>
      </w:r>
      <w:r>
        <w:rPr>
          <w:color w:val="231F20"/>
          <w:sz w:val="14"/>
        </w:rPr>
        <w:t>seis</w:t>
      </w:r>
      <w:r>
        <w:rPr>
          <w:color w:val="231F20"/>
          <w:spacing w:val="-7"/>
          <w:sz w:val="14"/>
        </w:rPr>
        <w:t> </w:t>
      </w:r>
      <w:r>
        <w:rPr>
          <w:color w:val="231F20"/>
          <w:sz w:val="14"/>
        </w:rPr>
        <w:t>países</w:t>
      </w:r>
      <w:r>
        <w:rPr>
          <w:color w:val="231F20"/>
          <w:spacing w:val="-7"/>
          <w:sz w:val="14"/>
        </w:rPr>
        <w:t> </w:t>
      </w:r>
      <w:r>
        <w:rPr>
          <w:color w:val="231F20"/>
          <w:sz w:val="14"/>
        </w:rPr>
        <w:t>tienen</w:t>
      </w:r>
      <w:r>
        <w:rPr>
          <w:color w:val="231F20"/>
          <w:spacing w:val="-7"/>
          <w:sz w:val="14"/>
        </w:rPr>
        <w:t> </w:t>
      </w:r>
      <w:r>
        <w:rPr>
          <w:color w:val="231F20"/>
          <w:sz w:val="14"/>
        </w:rPr>
        <w:t>algún</w:t>
      </w:r>
      <w:r>
        <w:rPr>
          <w:color w:val="231F20"/>
          <w:spacing w:val="-7"/>
          <w:sz w:val="14"/>
        </w:rPr>
        <w:t> </w:t>
      </w:r>
      <w:r>
        <w:rPr>
          <w:color w:val="231F20"/>
          <w:sz w:val="14"/>
        </w:rPr>
        <w:t>tipo</w:t>
      </w:r>
      <w:r>
        <w:rPr>
          <w:color w:val="231F20"/>
          <w:spacing w:val="-7"/>
          <w:sz w:val="14"/>
        </w:rPr>
        <w:t> </w:t>
      </w:r>
      <w:r>
        <w:rPr>
          <w:color w:val="231F20"/>
          <w:sz w:val="14"/>
        </w:rPr>
        <w:t>de</w:t>
      </w:r>
      <w:r>
        <w:rPr>
          <w:color w:val="231F20"/>
          <w:spacing w:val="-7"/>
          <w:sz w:val="14"/>
        </w:rPr>
        <w:t> </w:t>
      </w:r>
      <w:r>
        <w:rPr>
          <w:color w:val="231F20"/>
          <w:sz w:val="14"/>
        </w:rPr>
        <w:t>seguro</w:t>
      </w:r>
      <w:r>
        <w:rPr>
          <w:color w:val="231F20"/>
          <w:spacing w:val="-7"/>
          <w:sz w:val="14"/>
        </w:rPr>
        <w:t> </w:t>
      </w:r>
      <w:r>
        <w:rPr>
          <w:color w:val="231F20"/>
          <w:sz w:val="14"/>
        </w:rPr>
        <w:t>de</w:t>
      </w:r>
      <w:r>
        <w:rPr>
          <w:color w:val="231F20"/>
          <w:spacing w:val="-7"/>
          <w:sz w:val="14"/>
        </w:rPr>
        <w:t> </w:t>
      </w:r>
      <w:r>
        <w:rPr>
          <w:color w:val="231F20"/>
          <w:sz w:val="14"/>
        </w:rPr>
        <w:t>desempleo:</w:t>
      </w:r>
      <w:r>
        <w:rPr>
          <w:color w:val="231F20"/>
          <w:spacing w:val="-14"/>
          <w:sz w:val="14"/>
        </w:rPr>
        <w:t> </w:t>
      </w:r>
      <w:r>
        <w:rPr>
          <w:color w:val="231F20"/>
          <w:sz w:val="14"/>
        </w:rPr>
        <w:t>Argentina,</w:t>
      </w:r>
      <w:r>
        <w:rPr>
          <w:color w:val="231F20"/>
          <w:spacing w:val="-7"/>
          <w:sz w:val="14"/>
        </w:rPr>
        <w:t> </w:t>
      </w:r>
      <w:r>
        <w:rPr>
          <w:color w:val="231F20"/>
          <w:sz w:val="14"/>
        </w:rPr>
        <w:t>Brasil,</w:t>
      </w:r>
      <w:r>
        <w:rPr>
          <w:color w:val="231F20"/>
          <w:spacing w:val="-7"/>
          <w:sz w:val="14"/>
        </w:rPr>
        <w:t> </w:t>
      </w:r>
      <w:r>
        <w:rPr>
          <w:color w:val="231F20"/>
          <w:sz w:val="14"/>
        </w:rPr>
        <w:t>Chile, Venezuela,</w:t>
      </w:r>
      <w:r>
        <w:rPr>
          <w:color w:val="231F20"/>
          <w:spacing w:val="-9"/>
          <w:sz w:val="14"/>
        </w:rPr>
        <w:t> </w:t>
      </w:r>
      <w:r>
        <w:rPr>
          <w:color w:val="231F20"/>
          <w:sz w:val="14"/>
        </w:rPr>
        <w:t>Ecuador</w:t>
      </w:r>
      <w:r>
        <w:rPr>
          <w:color w:val="231F20"/>
          <w:spacing w:val="-9"/>
          <w:sz w:val="14"/>
        </w:rPr>
        <w:t> </w:t>
      </w:r>
      <w:r>
        <w:rPr>
          <w:color w:val="231F20"/>
          <w:sz w:val="14"/>
        </w:rPr>
        <w:t>y</w:t>
      </w:r>
      <w:r>
        <w:rPr>
          <w:color w:val="231F20"/>
          <w:spacing w:val="-9"/>
          <w:sz w:val="14"/>
        </w:rPr>
        <w:t> </w:t>
      </w:r>
      <w:r>
        <w:rPr>
          <w:color w:val="231F20"/>
          <w:sz w:val="14"/>
        </w:rPr>
        <w:t>Uruguay.</w:t>
      </w:r>
      <w:r>
        <w:rPr>
          <w:color w:val="231F20"/>
          <w:spacing w:val="-9"/>
          <w:sz w:val="14"/>
        </w:rPr>
        <w:t> </w:t>
      </w:r>
      <w:r>
        <w:rPr>
          <w:color w:val="231F20"/>
          <w:sz w:val="14"/>
        </w:rPr>
        <w:t>Estos</w:t>
      </w:r>
      <w:r>
        <w:rPr>
          <w:color w:val="231F20"/>
          <w:spacing w:val="-9"/>
          <w:sz w:val="14"/>
        </w:rPr>
        <w:t> </w:t>
      </w:r>
      <w:r>
        <w:rPr>
          <w:color w:val="231F20"/>
          <w:sz w:val="14"/>
        </w:rPr>
        <w:t>dos</w:t>
      </w:r>
      <w:r>
        <w:rPr>
          <w:color w:val="231F20"/>
          <w:spacing w:val="-9"/>
          <w:sz w:val="14"/>
        </w:rPr>
        <w:t> </w:t>
      </w:r>
      <w:r>
        <w:rPr>
          <w:color w:val="231F20"/>
          <w:sz w:val="14"/>
        </w:rPr>
        <w:t>últimos</w:t>
      </w:r>
      <w:r>
        <w:rPr>
          <w:color w:val="231F20"/>
          <w:spacing w:val="-9"/>
          <w:sz w:val="14"/>
        </w:rPr>
        <w:t> </w:t>
      </w:r>
      <w:r>
        <w:rPr>
          <w:color w:val="231F20"/>
          <w:sz w:val="14"/>
        </w:rPr>
        <w:t>fueron</w:t>
      </w:r>
      <w:r>
        <w:rPr>
          <w:color w:val="231F20"/>
          <w:spacing w:val="-9"/>
          <w:sz w:val="14"/>
        </w:rPr>
        <w:t> </w:t>
      </w:r>
      <w:r>
        <w:rPr>
          <w:color w:val="231F20"/>
          <w:sz w:val="14"/>
        </w:rPr>
        <w:t>los</w:t>
      </w:r>
      <w:r>
        <w:rPr>
          <w:color w:val="231F20"/>
          <w:spacing w:val="-9"/>
          <w:sz w:val="14"/>
        </w:rPr>
        <w:t> </w:t>
      </w:r>
      <w:r>
        <w:rPr>
          <w:color w:val="231F20"/>
          <w:sz w:val="14"/>
        </w:rPr>
        <w:t>pioneros:</w:t>
      </w:r>
      <w:r>
        <w:rPr>
          <w:color w:val="231F20"/>
          <w:spacing w:val="-9"/>
          <w:sz w:val="14"/>
        </w:rPr>
        <w:t> </w:t>
      </w:r>
      <w:r>
        <w:rPr>
          <w:color w:val="231F20"/>
          <w:sz w:val="14"/>
        </w:rPr>
        <w:t>en</w:t>
      </w:r>
      <w:r>
        <w:rPr>
          <w:color w:val="231F20"/>
          <w:spacing w:val="-9"/>
          <w:sz w:val="14"/>
        </w:rPr>
        <w:t> </w:t>
      </w:r>
      <w:r>
        <w:rPr>
          <w:color w:val="231F20"/>
          <w:sz w:val="14"/>
        </w:rPr>
        <w:t>1951</w:t>
      </w:r>
      <w:r>
        <w:rPr>
          <w:color w:val="231F20"/>
          <w:spacing w:val="-9"/>
          <w:sz w:val="14"/>
        </w:rPr>
        <w:t> </w:t>
      </w:r>
      <w:r>
        <w:rPr>
          <w:color w:val="231F20"/>
          <w:sz w:val="14"/>
        </w:rPr>
        <w:t>y</w:t>
      </w:r>
      <w:r>
        <w:rPr>
          <w:color w:val="231F20"/>
          <w:spacing w:val="-9"/>
          <w:sz w:val="14"/>
        </w:rPr>
        <w:t> </w:t>
      </w:r>
      <w:r>
        <w:rPr>
          <w:color w:val="231F20"/>
          <w:sz w:val="14"/>
        </w:rPr>
        <w:t>1934,</w:t>
      </w:r>
      <w:r>
        <w:rPr>
          <w:color w:val="231F20"/>
          <w:spacing w:val="-9"/>
          <w:sz w:val="14"/>
        </w:rPr>
        <w:t> </w:t>
      </w:r>
      <w:r>
        <w:rPr>
          <w:color w:val="231F20"/>
          <w:sz w:val="14"/>
        </w:rPr>
        <w:t>respectivamente. En la actualidad, los seguros existentes son contributivos y se limitan a situaciones de existencia de contratos y con cierta continuidad en el empleo (Cepal, 2003). Una excepción, histórica por sus dimen- siones, es el Plan de Jefes y Jefas de Hogar Desocupados en Argentina que -en septiembre- del 2002 tenían identificados a 1,316,961 beneficiarios (Neffa, 2009: Cuadro</w:t>
      </w:r>
      <w:r>
        <w:rPr>
          <w:color w:val="231F20"/>
          <w:spacing w:val="-18"/>
          <w:sz w:val="14"/>
        </w:rPr>
        <w:t> </w:t>
      </w:r>
      <w:r>
        <w:rPr>
          <w:color w:val="231F20"/>
          <w:sz w:val="14"/>
        </w:rPr>
        <w:t>1).</w:t>
      </w:r>
    </w:p>
    <w:p>
      <w:pPr>
        <w:spacing w:after="0"/>
        <w:jc w:val="both"/>
        <w:rPr>
          <w:sz w:val="14"/>
        </w:rPr>
        <w:sectPr>
          <w:footerReference w:type="default" r:id="rId22"/>
          <w:pgSz w:w="7770" w:h="11740"/>
          <w:pgMar w:footer="474" w:header="0" w:top="840" w:bottom="660" w:left="1020" w:right="740"/>
          <w:pgNumType w:start="27"/>
        </w:sectPr>
      </w:pPr>
    </w:p>
    <w:p>
      <w:pPr>
        <w:pStyle w:val="BodyText"/>
        <w:spacing w:line="249" w:lineRule="auto" w:before="60"/>
        <w:ind w:left="110" w:right="111"/>
        <w:jc w:val="both"/>
      </w:pPr>
      <w:r>
        <w:rPr>
          <w:color w:val="231F20"/>
        </w:rPr>
        <w:t>son los hogares con mayores carencias los que pueden tener personas desocupadas a su cargo. En este caso, se impone el desarrollo de activi- dades autogeneradas aunque sean de subsistencia y sin ninguna posibi- lidad de dinamismo. Por el contrario, hogares con menores carencias sí pueden asumir el costo del desempleo pero este se convierte en uno de los principales factores de riesgo de exclusión. Esta última observación conlleva que —en este tipo de hogares— la familia se erige en la</w:t>
      </w:r>
      <w:r>
        <w:rPr>
          <w:color w:val="231F20"/>
          <w:spacing w:val="-15"/>
        </w:rPr>
        <w:t> </w:t>
      </w:r>
      <w:r>
        <w:rPr>
          <w:color w:val="231F20"/>
        </w:rPr>
        <w:t>unidad básica para manejar el desempleo; un manejo que se extiende a ámbitos de solidaridad próxima como la familia extendida, la vecindad o grupos religiosos (Guimarães </w:t>
      </w:r>
      <w:r>
        <w:rPr>
          <w:i/>
          <w:color w:val="231F20"/>
        </w:rPr>
        <w:t>et al</w:t>
      </w:r>
      <w:r>
        <w:rPr>
          <w:color w:val="231F20"/>
        </w:rPr>
        <w:t>.,</w:t>
      </w:r>
      <w:r>
        <w:rPr>
          <w:color w:val="231F20"/>
          <w:spacing w:val="-2"/>
        </w:rPr>
        <w:t> </w:t>
      </w:r>
      <w:r>
        <w:rPr>
          <w:color w:val="231F20"/>
        </w:rPr>
        <w:t>2010).</w:t>
      </w:r>
    </w:p>
    <w:p>
      <w:pPr>
        <w:pStyle w:val="BodyText"/>
        <w:spacing w:line="249" w:lineRule="auto" w:before="1"/>
        <w:ind w:left="110" w:right="111" w:firstLine="283"/>
        <w:jc w:val="both"/>
      </w:pPr>
      <w:r>
        <w:rPr>
          <w:color w:val="231F20"/>
        </w:rPr>
        <w:t>Por consiguiente, el desempleo estructural incorpora un elemento clave</w:t>
      </w:r>
      <w:r>
        <w:rPr>
          <w:color w:val="231F20"/>
          <w:spacing w:val="-8"/>
        </w:rPr>
        <w:t> </w:t>
      </w:r>
      <w:r>
        <w:rPr>
          <w:color w:val="231F20"/>
        </w:rPr>
        <w:t>en</w:t>
      </w:r>
      <w:r>
        <w:rPr>
          <w:color w:val="231F20"/>
          <w:spacing w:val="-7"/>
        </w:rPr>
        <w:t> </w:t>
      </w:r>
      <w:r>
        <w:rPr>
          <w:color w:val="231F20"/>
        </w:rPr>
        <w:t>términos</w:t>
      </w:r>
      <w:r>
        <w:rPr>
          <w:color w:val="231F20"/>
          <w:spacing w:val="-7"/>
        </w:rPr>
        <w:t> </w:t>
      </w:r>
      <w:r>
        <w:rPr>
          <w:color w:val="231F20"/>
        </w:rPr>
        <w:t>de</w:t>
      </w:r>
      <w:r>
        <w:rPr>
          <w:color w:val="231F20"/>
          <w:spacing w:val="-7"/>
        </w:rPr>
        <w:t> </w:t>
      </w:r>
      <w:r>
        <w:rPr>
          <w:color w:val="231F20"/>
        </w:rPr>
        <w:t>poder</w:t>
      </w:r>
      <w:r>
        <w:rPr>
          <w:color w:val="231F20"/>
          <w:spacing w:val="-7"/>
        </w:rPr>
        <w:t> </w:t>
      </w:r>
      <w:r>
        <w:rPr>
          <w:color w:val="231F20"/>
        </w:rPr>
        <w:t>del</w:t>
      </w:r>
      <w:r>
        <w:rPr>
          <w:color w:val="231F20"/>
          <w:spacing w:val="-7"/>
        </w:rPr>
        <w:t> </w:t>
      </w:r>
      <w:r>
        <w:rPr>
          <w:color w:val="231F20"/>
        </w:rPr>
        <w:t>capital</w:t>
      </w:r>
      <w:r>
        <w:rPr>
          <w:color w:val="231F20"/>
          <w:spacing w:val="-8"/>
        </w:rPr>
        <w:t> </w:t>
      </w:r>
      <w:r>
        <w:rPr>
          <w:color w:val="231F20"/>
        </w:rPr>
        <w:t>al</w:t>
      </w:r>
      <w:r>
        <w:rPr>
          <w:color w:val="231F20"/>
          <w:spacing w:val="-7"/>
        </w:rPr>
        <w:t> </w:t>
      </w:r>
      <w:r>
        <w:rPr>
          <w:color w:val="231F20"/>
        </w:rPr>
        <w:t>campo</w:t>
      </w:r>
      <w:r>
        <w:rPr>
          <w:color w:val="231F20"/>
          <w:spacing w:val="-8"/>
        </w:rPr>
        <w:t> </w:t>
      </w:r>
      <w:r>
        <w:rPr>
          <w:color w:val="231F20"/>
        </w:rPr>
        <w:t>de</w:t>
      </w:r>
      <w:r>
        <w:rPr>
          <w:color w:val="231F20"/>
          <w:spacing w:val="-7"/>
        </w:rPr>
        <w:t> </w:t>
      </w:r>
      <w:r>
        <w:rPr>
          <w:color w:val="231F20"/>
        </w:rPr>
        <w:t>condiciones</w:t>
      </w:r>
      <w:r>
        <w:rPr>
          <w:color w:val="231F20"/>
          <w:spacing w:val="-8"/>
        </w:rPr>
        <w:t> </w:t>
      </w:r>
      <w:r>
        <w:rPr>
          <w:color w:val="231F20"/>
        </w:rPr>
        <w:t>de</w:t>
      </w:r>
      <w:r>
        <w:rPr>
          <w:color w:val="231F20"/>
          <w:spacing w:val="-7"/>
        </w:rPr>
        <w:t> </w:t>
      </w:r>
      <w:r>
        <w:rPr>
          <w:color w:val="231F20"/>
        </w:rPr>
        <w:t>explo- tación que había estado, históricamente, ausente en América Latina. No es tanto, la presión a la baja sobre el nivel salarial que puede ejercer una oferta</w:t>
      </w:r>
      <w:r>
        <w:rPr>
          <w:color w:val="231F20"/>
          <w:spacing w:val="-5"/>
        </w:rPr>
        <w:t> </w:t>
      </w:r>
      <w:r>
        <w:rPr>
          <w:color w:val="231F20"/>
        </w:rPr>
        <w:t>de</w:t>
      </w:r>
      <w:r>
        <w:rPr>
          <w:color w:val="231F20"/>
          <w:spacing w:val="-5"/>
        </w:rPr>
        <w:t> </w:t>
      </w:r>
      <w:r>
        <w:rPr>
          <w:color w:val="231F20"/>
        </w:rPr>
        <w:t>mano</w:t>
      </w:r>
      <w:r>
        <w:rPr>
          <w:color w:val="231F20"/>
          <w:spacing w:val="-5"/>
        </w:rPr>
        <w:t> </w:t>
      </w:r>
      <w:r>
        <w:rPr>
          <w:color w:val="231F20"/>
        </w:rPr>
        <w:t>de</w:t>
      </w:r>
      <w:r>
        <w:rPr>
          <w:color w:val="231F20"/>
          <w:spacing w:val="-5"/>
        </w:rPr>
        <w:t> </w:t>
      </w:r>
      <w:r>
        <w:rPr>
          <w:color w:val="231F20"/>
        </w:rPr>
        <w:t>obra</w:t>
      </w:r>
      <w:r>
        <w:rPr>
          <w:color w:val="231F20"/>
          <w:spacing w:val="-5"/>
        </w:rPr>
        <w:t> </w:t>
      </w:r>
      <w:r>
        <w:rPr>
          <w:color w:val="231F20"/>
        </w:rPr>
        <w:t>superior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demanda</w:t>
      </w:r>
      <w:r>
        <w:rPr>
          <w:color w:val="231F20"/>
          <w:spacing w:val="-5"/>
        </w:rPr>
        <w:t> </w:t>
      </w:r>
      <w:r>
        <w:rPr>
          <w:color w:val="231F20"/>
        </w:rPr>
        <w:t>requerida.</w:t>
      </w:r>
      <w:r>
        <w:rPr>
          <w:color w:val="231F20"/>
          <w:spacing w:val="-5"/>
        </w:rPr>
        <w:t> </w:t>
      </w:r>
      <w:r>
        <w:rPr>
          <w:color w:val="231F20"/>
        </w:rPr>
        <w:t>Mucho</w:t>
      </w:r>
      <w:r>
        <w:rPr>
          <w:color w:val="231F20"/>
          <w:spacing w:val="-5"/>
        </w:rPr>
        <w:t> </w:t>
      </w:r>
      <w:r>
        <w:rPr>
          <w:color w:val="231F20"/>
        </w:rPr>
        <w:t>más</w:t>
      </w:r>
      <w:r>
        <w:rPr>
          <w:color w:val="231F20"/>
          <w:spacing w:val="-5"/>
        </w:rPr>
        <w:t> </w:t>
      </w:r>
      <w:r>
        <w:rPr>
          <w:color w:val="231F20"/>
        </w:rPr>
        <w:t>im- portante es la posibilidad de reemplazo de la fuerza laboral. Esto genera una asimetría profunda en el campo de condiciones de explotación con trabajadores extremadamente vulnerables porque están en permanente riesgo</w:t>
      </w:r>
      <w:r>
        <w:rPr>
          <w:color w:val="231F20"/>
          <w:spacing w:val="-9"/>
        </w:rPr>
        <w:t> </w:t>
      </w:r>
      <w:r>
        <w:rPr>
          <w:color w:val="231F20"/>
        </w:rPr>
        <w:t>de</w:t>
      </w:r>
      <w:r>
        <w:rPr>
          <w:color w:val="231F20"/>
          <w:spacing w:val="-9"/>
        </w:rPr>
        <w:t> </w:t>
      </w:r>
      <w:r>
        <w:rPr>
          <w:color w:val="231F20"/>
        </w:rPr>
        <w:t>ser</w:t>
      </w:r>
      <w:r>
        <w:rPr>
          <w:color w:val="231F20"/>
          <w:spacing w:val="-9"/>
        </w:rPr>
        <w:t> </w:t>
      </w:r>
      <w:r>
        <w:rPr>
          <w:color w:val="231F20"/>
        </w:rPr>
        <w:t>reemplazados.</w:t>
      </w:r>
      <w:r>
        <w:rPr>
          <w:color w:val="231F20"/>
          <w:spacing w:val="-9"/>
        </w:rPr>
        <w:t> </w:t>
      </w:r>
      <w:r>
        <w:rPr>
          <w:color w:val="231F20"/>
        </w:rPr>
        <w:t>Esta</w:t>
      </w:r>
      <w:r>
        <w:rPr>
          <w:color w:val="231F20"/>
          <w:spacing w:val="-9"/>
        </w:rPr>
        <w:t> </w:t>
      </w:r>
      <w:r>
        <w:rPr>
          <w:color w:val="231F20"/>
        </w:rPr>
        <w:t>situación</w:t>
      </w:r>
      <w:r>
        <w:rPr>
          <w:color w:val="231F20"/>
          <w:spacing w:val="-8"/>
        </w:rPr>
        <w:t> </w:t>
      </w:r>
      <w:r>
        <w:rPr>
          <w:color w:val="231F20"/>
        </w:rPr>
        <w:t>induce</w:t>
      </w:r>
      <w:r>
        <w:rPr>
          <w:color w:val="231F20"/>
          <w:spacing w:val="-9"/>
        </w:rPr>
        <w:t> </w:t>
      </w:r>
      <w:r>
        <w:rPr>
          <w:color w:val="231F20"/>
        </w:rPr>
        <w:t>un</w:t>
      </w:r>
      <w:r>
        <w:rPr>
          <w:color w:val="231F20"/>
          <w:spacing w:val="-9"/>
        </w:rPr>
        <w:t> </w:t>
      </w:r>
      <w:r>
        <w:rPr>
          <w:color w:val="231F20"/>
        </w:rPr>
        <w:t>sentimiento</w:t>
      </w:r>
      <w:r>
        <w:rPr>
          <w:color w:val="231F20"/>
          <w:spacing w:val="-9"/>
        </w:rPr>
        <w:t> </w:t>
      </w:r>
      <w:r>
        <w:rPr>
          <w:color w:val="231F20"/>
        </w:rPr>
        <w:t>de</w:t>
      </w:r>
      <w:r>
        <w:rPr>
          <w:color w:val="231F20"/>
          <w:spacing w:val="-9"/>
        </w:rPr>
        <w:t> </w:t>
      </w:r>
      <w:r>
        <w:rPr>
          <w:color w:val="231F20"/>
        </w:rPr>
        <w:t>mie- do que lleva a tolerar esa asimetría </w:t>
      </w:r>
      <w:r>
        <w:rPr>
          <w:color w:val="231F20"/>
          <w:spacing w:val="-7"/>
        </w:rPr>
        <w:t>y, </w:t>
      </w:r>
      <w:r>
        <w:rPr>
          <w:color w:val="231F20"/>
        </w:rPr>
        <w:t>por tanto, las desigualdades que expresa. Esa posibilidad de sustitución de fuerza laboral es posible por la precarización generalizada del mundo salarial. En el ámbito de la for- malidad precedente, tal efecto estaba limitado por las barreras de acceso a este tipo de empleo </w:t>
      </w:r>
      <w:r>
        <w:rPr>
          <w:color w:val="231F20"/>
          <w:spacing w:val="-7"/>
        </w:rPr>
        <w:t>y, </w:t>
      </w:r>
      <w:r>
        <w:rPr>
          <w:color w:val="231F20"/>
        </w:rPr>
        <w:t>más en concreto, por la acción sindical. Estas defensas</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debilitado</w:t>
      </w:r>
      <w:r>
        <w:rPr>
          <w:color w:val="231F20"/>
          <w:spacing w:val="-9"/>
        </w:rPr>
        <w:t> </w:t>
      </w:r>
      <w:r>
        <w:rPr>
          <w:color w:val="231F20"/>
        </w:rPr>
        <w:t>o</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perdido</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tanto—</w:t>
      </w:r>
      <w:r>
        <w:rPr>
          <w:color w:val="231F20"/>
          <w:spacing w:val="-10"/>
        </w:rPr>
        <w:t> </w:t>
      </w:r>
      <w:r>
        <w:rPr>
          <w:color w:val="231F20"/>
        </w:rPr>
        <w:t>el</w:t>
      </w:r>
      <w:r>
        <w:rPr>
          <w:color w:val="231F20"/>
          <w:spacing w:val="-9"/>
        </w:rPr>
        <w:t> </w:t>
      </w:r>
      <w:r>
        <w:rPr>
          <w:color w:val="231F20"/>
        </w:rPr>
        <w:t>desempleo estructural puede jugar su papel de profundizar las asimetrías del cam- po de condiciones de explotación. Pero, por otro lado, la empleabilidad emerge</w:t>
      </w:r>
      <w:r>
        <w:rPr>
          <w:color w:val="231F20"/>
          <w:spacing w:val="-3"/>
        </w:rPr>
        <w:t> </w:t>
      </w:r>
      <w:r>
        <w:rPr>
          <w:color w:val="231F20"/>
        </w:rPr>
        <w:t>como</w:t>
      </w:r>
      <w:r>
        <w:rPr>
          <w:color w:val="231F20"/>
          <w:spacing w:val="-3"/>
        </w:rPr>
        <w:t> </w:t>
      </w:r>
      <w:r>
        <w:rPr>
          <w:color w:val="231F20"/>
        </w:rPr>
        <w:t>la</w:t>
      </w:r>
      <w:r>
        <w:rPr>
          <w:color w:val="231F20"/>
          <w:spacing w:val="-3"/>
        </w:rPr>
        <w:t> </w:t>
      </w:r>
      <w:r>
        <w:rPr>
          <w:color w:val="231F20"/>
        </w:rPr>
        <w:t>mejor</w:t>
      </w:r>
      <w:r>
        <w:rPr>
          <w:color w:val="231F20"/>
          <w:spacing w:val="-3"/>
        </w:rPr>
        <w:t> </w:t>
      </w:r>
      <w:r>
        <w:rPr>
          <w:color w:val="231F20"/>
        </w:rPr>
        <w:t>respuesta</w:t>
      </w:r>
      <w:r>
        <w:rPr>
          <w:color w:val="231F20"/>
          <w:spacing w:val="-3"/>
        </w:rPr>
        <w:t> </w:t>
      </w:r>
      <w:r>
        <w:rPr>
          <w:color w:val="231F20"/>
        </w:rPr>
        <w:t>a</w:t>
      </w:r>
      <w:r>
        <w:rPr>
          <w:color w:val="231F20"/>
          <w:spacing w:val="-3"/>
        </w:rPr>
        <w:t> </w:t>
      </w:r>
      <w:r>
        <w:rPr>
          <w:color w:val="231F20"/>
        </w:rPr>
        <w:t>superar</w:t>
      </w:r>
      <w:r>
        <w:rPr>
          <w:color w:val="231F20"/>
          <w:spacing w:val="-3"/>
        </w:rPr>
        <w:t> </w:t>
      </w:r>
      <w:r>
        <w:rPr>
          <w:color w:val="231F20"/>
        </w:rPr>
        <w:t>la</w:t>
      </w:r>
      <w:r>
        <w:rPr>
          <w:color w:val="231F20"/>
          <w:spacing w:val="-3"/>
        </w:rPr>
        <w:t> </w:t>
      </w:r>
      <w:r>
        <w:rPr>
          <w:color w:val="231F20"/>
        </w:rPr>
        <w:t>condición</w:t>
      </w:r>
      <w:r>
        <w:rPr>
          <w:color w:val="231F20"/>
          <w:spacing w:val="-4"/>
        </w:rPr>
        <w:t> </w:t>
      </w:r>
      <w:r>
        <w:rPr>
          <w:color w:val="231F20"/>
        </w:rPr>
        <w:t>de</w:t>
      </w:r>
      <w:r>
        <w:rPr>
          <w:color w:val="231F20"/>
          <w:spacing w:val="-3"/>
        </w:rPr>
        <w:t> </w:t>
      </w:r>
      <w:r>
        <w:rPr>
          <w:color w:val="231F20"/>
        </w:rPr>
        <w:t>desempleo.</w:t>
      </w:r>
      <w:r>
        <w:rPr>
          <w:color w:val="231F20"/>
          <w:spacing w:val="-10"/>
        </w:rPr>
        <w:t> </w:t>
      </w:r>
      <w:r>
        <w:rPr>
          <w:color w:val="231F20"/>
          <w:spacing w:val="-13"/>
        </w:rPr>
        <w:t>Y, </w:t>
      </w:r>
      <w:r>
        <w:rPr>
          <w:color w:val="231F20"/>
        </w:rPr>
        <w:t>como ya se ha señalado, los efectos legitimadores son los mismos que respecto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precarización</w:t>
      </w:r>
      <w:r>
        <w:rPr>
          <w:color w:val="231F20"/>
          <w:spacing w:val="-4"/>
        </w:rPr>
        <w:t> </w:t>
      </w:r>
      <w:r>
        <w:rPr>
          <w:color w:val="231F20"/>
        </w:rPr>
        <w:t>salarial:</w:t>
      </w:r>
      <w:r>
        <w:rPr>
          <w:color w:val="231F20"/>
          <w:spacing w:val="-3"/>
        </w:rPr>
        <w:t> </w:t>
      </w:r>
      <w:r>
        <w:rPr>
          <w:color w:val="231F20"/>
        </w:rPr>
        <w:t>el</w:t>
      </w:r>
      <w:r>
        <w:rPr>
          <w:color w:val="231F20"/>
          <w:spacing w:val="-4"/>
        </w:rPr>
        <w:t> </w:t>
      </w:r>
      <w:r>
        <w:rPr>
          <w:color w:val="231F20"/>
        </w:rPr>
        <w:t>desempleo</w:t>
      </w:r>
      <w:r>
        <w:rPr>
          <w:color w:val="231F20"/>
          <w:spacing w:val="-4"/>
        </w:rPr>
        <w:t> </w:t>
      </w:r>
      <w:r>
        <w:rPr>
          <w:color w:val="231F20"/>
        </w:rPr>
        <w:t>se</w:t>
      </w:r>
      <w:r>
        <w:rPr>
          <w:color w:val="231F20"/>
          <w:spacing w:val="-4"/>
        </w:rPr>
        <w:t> </w:t>
      </w:r>
      <w:r>
        <w:rPr>
          <w:color w:val="231F20"/>
        </w:rPr>
        <w:t>tiende</w:t>
      </w:r>
      <w:r>
        <w:rPr>
          <w:color w:val="231F20"/>
          <w:spacing w:val="-4"/>
        </w:rPr>
        <w:t> </w:t>
      </w:r>
      <w:r>
        <w:rPr>
          <w:color w:val="231F20"/>
        </w:rPr>
        <w:t>a</w:t>
      </w:r>
      <w:r>
        <w:rPr>
          <w:color w:val="231F20"/>
          <w:spacing w:val="-4"/>
        </w:rPr>
        <w:t> </w:t>
      </w:r>
      <w:r>
        <w:rPr>
          <w:color w:val="231F20"/>
        </w:rPr>
        <w:t>naturalizar ocultándose sus orígenes y causas sociales; y la situación de desempleo es</w:t>
      </w:r>
      <w:r>
        <w:rPr>
          <w:color w:val="231F20"/>
          <w:spacing w:val="-6"/>
        </w:rPr>
        <w:t> </w:t>
      </w:r>
      <w:r>
        <w:rPr>
          <w:color w:val="231F20"/>
        </w:rPr>
        <w:t>culpa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persona,</w:t>
      </w:r>
      <w:r>
        <w:rPr>
          <w:color w:val="231F20"/>
          <w:spacing w:val="-6"/>
        </w:rPr>
        <w:t> </w:t>
      </w:r>
      <w:r>
        <w:rPr>
          <w:color w:val="231F20"/>
        </w:rPr>
        <w:t>no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dinámicas</w:t>
      </w:r>
      <w:r>
        <w:rPr>
          <w:color w:val="231F20"/>
          <w:spacing w:val="-6"/>
        </w:rPr>
        <w:t> </w:t>
      </w:r>
      <w:r>
        <w:rPr>
          <w:color w:val="231F20"/>
        </w:rPr>
        <w:t>del</w:t>
      </w:r>
      <w:r>
        <w:rPr>
          <w:color w:val="231F20"/>
          <w:spacing w:val="-6"/>
        </w:rPr>
        <w:t> </w:t>
      </w:r>
      <w:r>
        <w:rPr>
          <w:color w:val="231F20"/>
        </w:rPr>
        <w:t>mercado</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spacing w:val="-3"/>
        </w:rPr>
        <w:t>(Pérez Sáinz,</w:t>
      </w:r>
      <w:r>
        <w:rPr>
          <w:color w:val="231F20"/>
          <w:spacing w:val="-2"/>
        </w:rPr>
        <w:t> </w:t>
      </w:r>
      <w:r>
        <w:rPr>
          <w:color w:val="231F20"/>
          <w:spacing w:val="-3"/>
        </w:rPr>
        <w:t>2014).</w:t>
      </w:r>
    </w:p>
    <w:p>
      <w:pPr>
        <w:pStyle w:val="Heading4"/>
        <w:spacing w:line="240" w:lineRule="exact" w:before="166"/>
        <w:ind w:left="110" w:right="141"/>
      </w:pPr>
      <w:r>
        <w:rPr>
          <w:w w:val="75"/>
        </w:rPr>
        <w:t>Precarización salarial y feminización de los mercados de trabajo: dos caras de una misma moneda</w:t>
      </w:r>
    </w:p>
    <w:p>
      <w:pPr>
        <w:pStyle w:val="BodyText"/>
        <w:spacing w:line="249" w:lineRule="auto" w:before="175"/>
        <w:ind w:left="110" w:right="111"/>
        <w:jc w:val="both"/>
      </w:pPr>
      <w:r>
        <w:rPr>
          <w:color w:val="231F20"/>
        </w:rPr>
        <w:t>De</w:t>
      </w:r>
      <w:r>
        <w:rPr>
          <w:color w:val="231F20"/>
          <w:spacing w:val="-5"/>
        </w:rPr>
        <w:t> </w:t>
      </w:r>
      <w:r>
        <w:rPr>
          <w:color w:val="231F20"/>
        </w:rPr>
        <w:t>estas</w:t>
      </w:r>
      <w:r>
        <w:rPr>
          <w:color w:val="231F20"/>
          <w:spacing w:val="-6"/>
        </w:rPr>
        <w:t> </w:t>
      </w:r>
      <w:r>
        <w:rPr>
          <w:color w:val="231F20"/>
        </w:rPr>
        <w:t>cuatro</w:t>
      </w:r>
      <w:r>
        <w:rPr>
          <w:color w:val="231F20"/>
          <w:spacing w:val="-6"/>
        </w:rPr>
        <w:t> </w:t>
      </w:r>
      <w:r>
        <w:rPr>
          <w:color w:val="231F20"/>
        </w:rPr>
        <w:t>dinámicas</w:t>
      </w:r>
      <w:r>
        <w:rPr>
          <w:color w:val="231F20"/>
          <w:spacing w:val="-5"/>
        </w:rPr>
        <w:t> </w:t>
      </w:r>
      <w:r>
        <w:rPr>
          <w:color w:val="231F20"/>
        </w:rPr>
        <w:t>(el</w:t>
      </w:r>
      <w:r>
        <w:rPr>
          <w:color w:val="231F20"/>
          <w:spacing w:val="-5"/>
        </w:rPr>
        <w:t> </w:t>
      </w:r>
      <w:r>
        <w:rPr>
          <w:color w:val="231F20"/>
        </w:rPr>
        <w:t>declive</w:t>
      </w:r>
      <w:r>
        <w:rPr>
          <w:color w:val="231F20"/>
          <w:spacing w:val="-5"/>
        </w:rPr>
        <w:t> </w:t>
      </w:r>
      <w:r>
        <w:rPr>
          <w:color w:val="231F20"/>
        </w:rPr>
        <w:t>relativo</w:t>
      </w:r>
      <w:r>
        <w:rPr>
          <w:color w:val="231F20"/>
          <w:spacing w:val="-5"/>
        </w:rPr>
        <w:t> </w:t>
      </w:r>
      <w:r>
        <w:rPr>
          <w:color w:val="231F20"/>
        </w:rPr>
        <w:t>del</w:t>
      </w:r>
      <w:r>
        <w:rPr>
          <w:color w:val="231F20"/>
          <w:spacing w:val="-5"/>
        </w:rPr>
        <w:t> </w:t>
      </w:r>
      <w:r>
        <w:rPr>
          <w:color w:val="231F20"/>
        </w:rPr>
        <w:t>empleo</w:t>
      </w:r>
      <w:r>
        <w:rPr>
          <w:color w:val="231F20"/>
          <w:spacing w:val="-6"/>
        </w:rPr>
        <w:t> </w:t>
      </w:r>
      <w:r>
        <w:rPr>
          <w:color w:val="231F20"/>
        </w:rPr>
        <w:t>público;</w:t>
      </w:r>
      <w:r>
        <w:rPr>
          <w:color w:val="231F20"/>
          <w:spacing w:val="-5"/>
        </w:rPr>
        <w:t> </w:t>
      </w:r>
      <w:r>
        <w:rPr>
          <w:color w:val="231F20"/>
        </w:rPr>
        <w:t>la</w:t>
      </w:r>
      <w:r>
        <w:rPr>
          <w:color w:val="231F20"/>
          <w:spacing w:val="-5"/>
        </w:rPr>
        <w:t> </w:t>
      </w:r>
      <w:r>
        <w:rPr>
          <w:color w:val="231F20"/>
        </w:rPr>
        <w:t>em- pleabilidad como la nueva utopía laboral del (neo)liberalismo; la emer- gencia del desempleo estructural; y la precarización de las relaciones salariales)</w:t>
      </w:r>
      <w:r>
        <w:rPr>
          <w:color w:val="231F20"/>
          <w:spacing w:val="-6"/>
        </w:rPr>
        <w:t> </w:t>
      </w:r>
      <w:r>
        <w:rPr>
          <w:color w:val="231F20"/>
        </w:rPr>
        <w:t>que</w:t>
      </w:r>
      <w:r>
        <w:rPr>
          <w:color w:val="231F20"/>
          <w:spacing w:val="-6"/>
        </w:rPr>
        <w:t> </w:t>
      </w:r>
      <w:r>
        <w:rPr>
          <w:color w:val="231F20"/>
        </w:rPr>
        <w:t>marcan</w:t>
      </w:r>
      <w:r>
        <w:rPr>
          <w:color w:val="231F20"/>
          <w:spacing w:val="-7"/>
        </w:rPr>
        <w:t> </w:t>
      </w:r>
      <w:r>
        <w:rPr>
          <w:color w:val="231F20"/>
        </w:rPr>
        <w:t>el</w:t>
      </w:r>
      <w:r>
        <w:rPr>
          <w:color w:val="231F20"/>
          <w:spacing w:val="-6"/>
        </w:rPr>
        <w:t> </w:t>
      </w:r>
      <w:r>
        <w:rPr>
          <w:color w:val="231F20"/>
        </w:rPr>
        <w:t>campo</w:t>
      </w:r>
      <w:r>
        <w:rPr>
          <w:color w:val="231F20"/>
          <w:spacing w:val="-7"/>
        </w:rPr>
        <w:t> </w:t>
      </w:r>
      <w:r>
        <w:rPr>
          <w:color w:val="231F20"/>
        </w:rPr>
        <w:t>de</w:t>
      </w:r>
      <w:r>
        <w:rPr>
          <w:color w:val="231F20"/>
          <w:spacing w:val="-6"/>
        </w:rPr>
        <w:t> </w:t>
      </w:r>
      <w:r>
        <w:rPr>
          <w:color w:val="231F20"/>
        </w:rPr>
        <w:t>las</w:t>
      </w:r>
      <w:r>
        <w:rPr>
          <w:color w:val="231F20"/>
          <w:spacing w:val="-7"/>
        </w:rPr>
        <w:t> </w:t>
      </w:r>
      <w:r>
        <w:rPr>
          <w:color w:val="231F20"/>
        </w:rPr>
        <w:t>condiciones</w:t>
      </w:r>
      <w:r>
        <w:rPr>
          <w:color w:val="231F20"/>
          <w:spacing w:val="-7"/>
        </w:rPr>
        <w:t> </w:t>
      </w:r>
      <w:r>
        <w:rPr>
          <w:color w:val="231F20"/>
        </w:rPr>
        <w:t>de</w:t>
      </w:r>
      <w:r>
        <w:rPr>
          <w:color w:val="231F20"/>
          <w:spacing w:val="-6"/>
        </w:rPr>
        <w:t> </w:t>
      </w:r>
      <w:r>
        <w:rPr>
          <w:color w:val="231F20"/>
        </w:rPr>
        <w:t>explotación</w:t>
      </w:r>
      <w:r>
        <w:rPr>
          <w:color w:val="231F20"/>
          <w:spacing w:val="-6"/>
        </w:rPr>
        <w:t> </w:t>
      </w:r>
      <w:r>
        <w:rPr>
          <w:color w:val="231F20"/>
        </w:rPr>
        <w:t>con</w:t>
      </w:r>
      <w:r>
        <w:rPr>
          <w:color w:val="231F20"/>
          <w:spacing w:val="-7"/>
        </w:rPr>
        <w:t> </w:t>
      </w:r>
      <w:r>
        <w:rPr>
          <w:color w:val="231F20"/>
        </w:rPr>
        <w:t>la</w:t>
      </w:r>
    </w:p>
    <w:p>
      <w:pPr>
        <w:spacing w:after="0" w:line="249" w:lineRule="auto"/>
        <w:jc w:val="both"/>
        <w:sectPr>
          <w:pgSz w:w="7770" w:h="11740"/>
          <w:pgMar w:header="0" w:footer="474" w:top="840" w:bottom="740" w:left="740" w:right="1020"/>
        </w:sectPr>
      </w:pPr>
    </w:p>
    <w:p>
      <w:pPr>
        <w:pStyle w:val="BodyText"/>
        <w:spacing w:line="249" w:lineRule="auto" w:before="60"/>
        <w:ind w:left="113" w:right="107"/>
        <w:jc w:val="both"/>
      </w:pPr>
      <w:r>
        <w:rPr>
          <w:color w:val="231F20"/>
        </w:rPr>
        <w:t>modernización globalizada en América Latina, la última nos parece que es la más importante. Esto se debe, no sólo a su incidencia sino también a su acoplamiento con dinámicas de género.</w:t>
      </w:r>
    </w:p>
    <w:p>
      <w:pPr>
        <w:pStyle w:val="BodyText"/>
        <w:spacing w:line="249" w:lineRule="auto" w:before="1"/>
        <w:ind w:left="113" w:right="107" w:firstLine="283"/>
        <w:jc w:val="both"/>
      </w:pPr>
      <w:r>
        <w:rPr>
          <w:color w:val="231F20"/>
        </w:rPr>
        <w:t>Al respecto, la dimensión de la precarización salarial más</w:t>
      </w:r>
      <w:r>
        <w:rPr>
          <w:color w:val="231F20"/>
          <w:spacing w:val="-28"/>
        </w:rPr>
        <w:t> </w:t>
      </w:r>
      <w:r>
        <w:rPr>
          <w:color w:val="231F20"/>
        </w:rPr>
        <w:t>significati- va para las dinámicas de género ha sido la referida a la reestructuración productiva de las empresas. Los procesos de externalización, uno de los principales resultados de tal reestructuración, han tenido efectos desem- poderadores de los trabajadores </w:t>
      </w:r>
      <w:r>
        <w:rPr>
          <w:color w:val="231F20"/>
          <w:spacing w:val="-7"/>
        </w:rPr>
        <w:t>y, </w:t>
      </w:r>
      <w:r>
        <w:rPr>
          <w:color w:val="231F20"/>
        </w:rPr>
        <w:t>al respecto, su acoplamiento con las dinámicas de género han servido para apuntalarlos. En este sentido, se señala la existencia de una división sexual del trabajo en los encadena- mientos que generan las externalizaciones ya que las mujeres se suelen localizar en los niveles inferiores (Abramo, 1998; Iranzo y Leite, 2006). Lo mismo parecería que ha sucedido en la redefinición de puestos de trabajo entre aquellos considerados como fijos y los que ha devenido temporales ya que las mujeres tienen mayores probabilidades de ocupar estos</w:t>
      </w:r>
      <w:r>
        <w:rPr>
          <w:color w:val="231F20"/>
          <w:spacing w:val="-5"/>
        </w:rPr>
        <w:t> </w:t>
      </w:r>
      <w:r>
        <w:rPr>
          <w:color w:val="231F20"/>
        </w:rPr>
        <w:t>últimos</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O</w:t>
      </w:r>
      <w:r>
        <w:rPr>
          <w:color w:val="231F20"/>
          <w:spacing w:val="-5"/>
        </w:rPr>
        <w:t> </w:t>
      </w:r>
      <w:r>
        <w:rPr>
          <w:color w:val="231F20"/>
        </w:rPr>
        <w:t>y</w:t>
      </w:r>
      <w:r>
        <w:rPr>
          <w:color w:val="231F20"/>
          <w:spacing w:val="-4"/>
        </w:rPr>
        <w:t> </w:t>
      </w:r>
      <w:r>
        <w:rPr>
          <w:color w:val="231F20"/>
        </w:rPr>
        <w:t>Guadarrama,</w:t>
      </w:r>
      <w:r>
        <w:rPr>
          <w:color w:val="231F20"/>
          <w:spacing w:val="-4"/>
        </w:rPr>
        <w:t> </w:t>
      </w:r>
      <w:r>
        <w:rPr>
          <w:color w:val="231F20"/>
        </w:rPr>
        <w:t>2006).</w:t>
      </w:r>
      <w:r>
        <w:rPr>
          <w:color w:val="231F20"/>
          <w:spacing w:val="-4"/>
        </w:rPr>
        <w:t> </w:t>
      </w:r>
      <w:r>
        <w:rPr>
          <w:color w:val="231F20"/>
        </w:rPr>
        <w:t>Es</w:t>
      </w:r>
      <w:r>
        <w:rPr>
          <w:color w:val="231F20"/>
          <w:spacing w:val="-5"/>
        </w:rPr>
        <w:t> </w:t>
      </w:r>
      <w:r>
        <w:rPr>
          <w:color w:val="231F20"/>
        </w:rPr>
        <w:t>decir,</w:t>
      </w:r>
      <w:r>
        <w:rPr>
          <w:color w:val="231F20"/>
          <w:spacing w:val="-4"/>
        </w:rPr>
        <w:t> </w:t>
      </w:r>
      <w:r>
        <w:rPr>
          <w:color w:val="231F20"/>
        </w:rPr>
        <w:t>ha</w:t>
      </w:r>
      <w:r>
        <w:rPr>
          <w:color w:val="231F20"/>
          <w:spacing w:val="-4"/>
        </w:rPr>
        <w:t> </w:t>
      </w:r>
      <w:r>
        <w:rPr>
          <w:color w:val="231F20"/>
        </w:rPr>
        <w:t>habido</w:t>
      </w:r>
      <w:r>
        <w:rPr>
          <w:color w:val="231F20"/>
          <w:spacing w:val="-4"/>
        </w:rPr>
        <w:t> </w:t>
      </w:r>
      <w:r>
        <w:rPr>
          <w:color w:val="231F20"/>
        </w:rPr>
        <w:t>acopla- miento en términos de dinámicas de clase y</w:t>
      </w:r>
      <w:r>
        <w:rPr>
          <w:color w:val="231F20"/>
          <w:spacing w:val="-4"/>
        </w:rPr>
        <w:t> </w:t>
      </w:r>
      <w:r>
        <w:rPr>
          <w:color w:val="231F20"/>
        </w:rPr>
        <w:t>género.</w:t>
      </w:r>
    </w:p>
    <w:p>
      <w:pPr>
        <w:pStyle w:val="BodyText"/>
        <w:spacing w:line="249" w:lineRule="auto" w:before="1"/>
        <w:ind w:left="113" w:right="109" w:firstLine="283"/>
        <w:jc w:val="both"/>
      </w:pPr>
      <w:r>
        <w:rPr>
          <w:color w:val="231F20"/>
        </w:rPr>
        <w:t>En este mismo sentido, hay que destacar el fenómeno de la discrimi- nación salarial en términos de género. Al respecto, parecería que existe consenso</w:t>
      </w:r>
      <w:r>
        <w:rPr>
          <w:color w:val="231F20"/>
          <w:spacing w:val="-10"/>
        </w:rPr>
        <w:t> </w:t>
      </w:r>
      <w:r>
        <w:rPr>
          <w:color w:val="231F20"/>
        </w:rPr>
        <w:t>en</w:t>
      </w:r>
      <w:r>
        <w:rPr>
          <w:color w:val="231F20"/>
          <w:spacing w:val="-10"/>
        </w:rPr>
        <w:t> </w:t>
      </w:r>
      <w:r>
        <w:rPr>
          <w:color w:val="231F20"/>
        </w:rPr>
        <w:t>señalar</w:t>
      </w:r>
      <w:r>
        <w:rPr>
          <w:color w:val="231F20"/>
          <w:spacing w:val="-9"/>
        </w:rPr>
        <w:t> </w:t>
      </w:r>
      <w:r>
        <w:rPr>
          <w:color w:val="231F20"/>
        </w:rPr>
        <w:t>que</w:t>
      </w:r>
      <w:r>
        <w:rPr>
          <w:color w:val="231F20"/>
          <w:spacing w:val="-10"/>
        </w:rPr>
        <w:t> </w:t>
      </w:r>
      <w:r>
        <w:rPr>
          <w:color w:val="231F20"/>
        </w:rPr>
        <w:t>la</w:t>
      </w:r>
      <w:r>
        <w:rPr>
          <w:color w:val="231F20"/>
          <w:spacing w:val="-10"/>
        </w:rPr>
        <w:t> </w:t>
      </w:r>
      <w:r>
        <w:rPr>
          <w:color w:val="231F20"/>
        </w:rPr>
        <w:t>discriminación</w:t>
      </w:r>
      <w:r>
        <w:rPr>
          <w:color w:val="231F20"/>
          <w:spacing w:val="-10"/>
        </w:rPr>
        <w:t> </w:t>
      </w:r>
      <w:r>
        <w:rPr>
          <w:color w:val="231F20"/>
        </w:rPr>
        <w:t>ha</w:t>
      </w:r>
      <w:r>
        <w:rPr>
          <w:color w:val="231F20"/>
          <w:spacing w:val="-10"/>
        </w:rPr>
        <w:t> </w:t>
      </w:r>
      <w:r>
        <w:rPr>
          <w:color w:val="231F20"/>
        </w:rPr>
        <w:t>disminuido</w:t>
      </w:r>
      <w:r>
        <w:rPr>
          <w:color w:val="231F20"/>
          <w:spacing w:val="-10"/>
        </w:rPr>
        <w:t> </w:t>
      </w:r>
      <w:r>
        <w:rPr>
          <w:color w:val="231F20"/>
        </w:rPr>
        <w:t>pero</w:t>
      </w:r>
      <w:r>
        <w:rPr>
          <w:color w:val="231F20"/>
          <w:spacing w:val="-10"/>
        </w:rPr>
        <w:t> </w:t>
      </w:r>
      <w:r>
        <w:rPr>
          <w:color w:val="231F20"/>
        </w:rPr>
        <w:t>también</w:t>
      </w:r>
      <w:r>
        <w:rPr>
          <w:color w:val="231F20"/>
          <w:spacing w:val="-10"/>
        </w:rPr>
        <w:t> </w:t>
      </w:r>
      <w:r>
        <w:rPr>
          <w:color w:val="231F20"/>
        </w:rPr>
        <w:t>se enfatiza que ello ha contribuido a incrementar las desigualdades en tér- minos de clase. </w:t>
      </w:r>
      <w:r>
        <w:rPr>
          <w:color w:val="231F20"/>
          <w:spacing w:val="-4"/>
        </w:rPr>
        <w:t>Varios </w:t>
      </w:r>
      <w:r>
        <w:rPr>
          <w:color w:val="231F20"/>
        </w:rPr>
        <w:t>autores han argumentado que la nivelación entre hombres y mujeres, en términos de empleo e ingresos, debería de califi- carse “hacia abajo” ya que ha acaecido en un contexto de concentración del ingreso (Tello, 1989; Escobar Latapí, 1999; Galvéz, 2001). De ahí, que durante la década de 1990, ya con el nuevo modelo de acumulación en operación, se haya observado una disminución de la brecha salarial en términos de género. Las causas parecerían radicar, por un lado, en una mayor incorporación laboral de mujeres —relativa a hombres—</w:t>
      </w:r>
      <w:r>
        <w:rPr>
          <w:color w:val="231F20"/>
          <w:spacing w:val="-28"/>
        </w:rPr>
        <w:t> </w:t>
      </w:r>
      <w:r>
        <w:rPr>
          <w:color w:val="231F20"/>
        </w:rPr>
        <w:t>con mayor escolaridad; </w:t>
      </w:r>
      <w:r>
        <w:rPr>
          <w:color w:val="231F20"/>
          <w:spacing w:val="-7"/>
        </w:rPr>
        <w:t>y, </w:t>
      </w:r>
      <w:r>
        <w:rPr>
          <w:color w:val="231F20"/>
        </w:rPr>
        <w:t>por otro lado, por el desarrollo de actividades de servicios cuyos empleos se han feminizado</w:t>
      </w:r>
      <w:r>
        <w:rPr>
          <w:color w:val="231F20"/>
          <w:spacing w:val="-11"/>
        </w:rPr>
        <w:t> </w:t>
      </w:r>
      <w:r>
        <w:rPr>
          <w:color w:val="231F20"/>
        </w:rPr>
        <w:t>más.</w:t>
      </w:r>
    </w:p>
    <w:p>
      <w:pPr>
        <w:pStyle w:val="BodyText"/>
        <w:spacing w:line="249" w:lineRule="auto" w:before="1"/>
        <w:ind w:left="113" w:right="107" w:firstLine="283"/>
        <w:jc w:val="both"/>
      </w:pPr>
      <w:r>
        <w:rPr>
          <w:color w:val="231F20"/>
        </w:rPr>
        <w:t>Es decir, la feminización y precarización salarial son las dos caras  de una misma moneda. Además de lo ya señalado respecto a cómo las empresas han intentado utilizar la segregación de género para acoplar- la a sus estrategias de reestructuración, la incorporación de las mujeres ha servido también para contener salarios; elemento clave en el nuevo marco de acumulación signado por la apertura comercial, donde los in- crementos salariales ya no pueden ser trasladados a los consumidores y afectan la competitividad. Si bien las desigualdades de género tienden</w:t>
      </w:r>
      <w:r>
        <w:rPr>
          <w:color w:val="231F20"/>
          <w:spacing w:val="37"/>
        </w:rPr>
        <w:t> </w:t>
      </w:r>
      <w:r>
        <w:rPr>
          <w:color w:val="231F20"/>
        </w:rPr>
        <w:t>a</w:t>
      </w:r>
    </w:p>
    <w:p>
      <w:pPr>
        <w:spacing w:after="0" w:line="249" w:lineRule="auto"/>
        <w:jc w:val="both"/>
        <w:sectPr>
          <w:footerReference w:type="default" r:id="rId23"/>
          <w:pgSz w:w="7770" w:h="11740"/>
          <w:pgMar w:footer="474" w:header="0" w:top="840" w:bottom="660" w:left="1020" w:right="740"/>
          <w:pgNumType w:start="29"/>
        </w:sectPr>
      </w:pPr>
    </w:p>
    <w:p>
      <w:pPr>
        <w:pStyle w:val="BodyText"/>
        <w:spacing w:line="249" w:lineRule="auto" w:before="60"/>
        <w:ind w:left="110" w:right="111"/>
        <w:jc w:val="both"/>
        <w:rPr>
          <w:sz w:val="11"/>
        </w:rPr>
      </w:pPr>
      <w:r>
        <w:rPr>
          <w:color w:val="231F20"/>
        </w:rPr>
        <w:t>relativizarse, en tanto que la brecha se cierra “por abajo” las desigualda- des de clase aumentan.</w:t>
      </w:r>
      <w:r>
        <w:rPr>
          <w:color w:val="231F20"/>
          <w:position w:val="7"/>
          <w:sz w:val="11"/>
        </w:rPr>
        <w:t>16</w:t>
      </w:r>
    </w:p>
    <w:p>
      <w:pPr>
        <w:pStyle w:val="BodyText"/>
        <w:spacing w:line="249" w:lineRule="auto" w:before="1"/>
        <w:ind w:left="110" w:right="111" w:firstLine="283"/>
        <w:jc w:val="both"/>
      </w:pPr>
      <w:r>
        <w:rPr>
          <w:color w:val="231F20"/>
        </w:rPr>
        <w:t>Se está, por tanto, ante un acoplamiento peculiar ya que a menor</w:t>
      </w:r>
      <w:r>
        <w:rPr>
          <w:color w:val="231F20"/>
          <w:spacing w:val="-18"/>
        </w:rPr>
        <w:t> </w:t>
      </w:r>
      <w:r>
        <w:rPr>
          <w:color w:val="231F20"/>
        </w:rPr>
        <w:t>dis- criminación salarial de género, mayor desigualdad de remuneraciones entre puestos de trabajo. Esta situación recuerda —hasta cierto punto— la que caracterizó el acto fundacional de este campo de condiciones de explotación. En el siglo XIX, los patronos “indianizaron” o “africaniza- ron” a la mayoría de los trabajadores, considerándolos como bárbaros    y así remunerarlos lo menos posible. En la actualidad, se podría hablar de “feminización” no de la fuerza laboral como tal sino más bien del puesto de trabajo </w:t>
      </w:r>
      <w:r>
        <w:rPr>
          <w:color w:val="231F20"/>
          <w:spacing w:val="-7"/>
        </w:rPr>
        <w:t>y, </w:t>
      </w:r>
      <w:r>
        <w:rPr>
          <w:color w:val="231F20"/>
        </w:rPr>
        <w:t>por tanto, de la relación salarial. Trabajos precarios son los nuevos trabajos femeninos pero con la peculiaridad que no están reservados sólo a mujeres. En este sentido, se pueden comparar también imaginarios</w:t>
      </w:r>
      <w:r>
        <w:rPr>
          <w:color w:val="231F20"/>
          <w:spacing w:val="-11"/>
        </w:rPr>
        <w:t> </w:t>
      </w:r>
      <w:r>
        <w:rPr>
          <w:color w:val="231F20"/>
        </w:rPr>
        <w:t>laborales.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período</w:t>
      </w:r>
      <w:r>
        <w:rPr>
          <w:color w:val="231F20"/>
          <w:spacing w:val="-11"/>
        </w:rPr>
        <w:t> </w:t>
      </w:r>
      <w:r>
        <w:rPr>
          <w:color w:val="231F20"/>
        </w:rPr>
        <w:t>oligárquico,</w:t>
      </w:r>
      <w:r>
        <w:rPr>
          <w:color w:val="231F20"/>
          <w:spacing w:val="-11"/>
        </w:rPr>
        <w:t> </w:t>
      </w:r>
      <w:r>
        <w:rPr>
          <w:color w:val="231F20"/>
        </w:rPr>
        <w:t>se</w:t>
      </w:r>
      <w:r>
        <w:rPr>
          <w:color w:val="231F20"/>
          <w:spacing w:val="-11"/>
        </w:rPr>
        <w:t> </w:t>
      </w:r>
      <w:r>
        <w:rPr>
          <w:color w:val="231F20"/>
        </w:rPr>
        <w:t>había</w:t>
      </w:r>
      <w:r>
        <w:rPr>
          <w:color w:val="231F20"/>
          <w:spacing w:val="-11"/>
        </w:rPr>
        <w:t> </w:t>
      </w:r>
      <w:r>
        <w:rPr>
          <w:color w:val="231F20"/>
        </w:rPr>
        <w:t>configurado</w:t>
      </w:r>
      <w:r>
        <w:rPr>
          <w:color w:val="231F20"/>
          <w:spacing w:val="-11"/>
        </w:rPr>
        <w:t> </w:t>
      </w:r>
      <w:r>
        <w:rPr>
          <w:color w:val="231F20"/>
        </w:rPr>
        <w:t>un imaginario patronal que oponía al trabajador inmigrante blanco (el de- seado por los propietarios oligarcas) al trabajador autóctono racializado. En la actualidad propondríamos que existiría un imaginario empresarial que</w:t>
      </w:r>
      <w:r>
        <w:rPr>
          <w:color w:val="231F20"/>
          <w:spacing w:val="-4"/>
        </w:rPr>
        <w:t> </w:t>
      </w:r>
      <w:r>
        <w:rPr>
          <w:color w:val="231F20"/>
        </w:rPr>
        <w:t>opone</w:t>
      </w:r>
      <w:r>
        <w:rPr>
          <w:color w:val="231F20"/>
          <w:spacing w:val="-5"/>
        </w:rPr>
        <w:t> </w:t>
      </w:r>
      <w:r>
        <w:rPr>
          <w:color w:val="231F20"/>
        </w:rPr>
        <w:t>a</w:t>
      </w:r>
      <w:r>
        <w:rPr>
          <w:color w:val="231F20"/>
          <w:spacing w:val="-4"/>
        </w:rPr>
        <w:t> </w:t>
      </w:r>
      <w:r>
        <w:rPr>
          <w:color w:val="231F20"/>
        </w:rPr>
        <w:t>trabajos</w:t>
      </w:r>
      <w:r>
        <w:rPr>
          <w:color w:val="231F20"/>
          <w:spacing w:val="-5"/>
        </w:rPr>
        <w:t> </w:t>
      </w:r>
      <w:r>
        <w:rPr>
          <w:color w:val="231F20"/>
        </w:rPr>
        <w:t>precarizados</w:t>
      </w:r>
      <w:r>
        <w:rPr>
          <w:color w:val="231F20"/>
          <w:spacing w:val="-5"/>
        </w:rPr>
        <w:t> </w:t>
      </w:r>
      <w:r>
        <w:rPr>
          <w:color w:val="231F20"/>
        </w:rPr>
        <w:t>y</w:t>
      </w:r>
      <w:r>
        <w:rPr>
          <w:color w:val="231F20"/>
          <w:spacing w:val="-4"/>
        </w:rPr>
        <w:t> </w:t>
      </w:r>
      <w:r>
        <w:rPr>
          <w:color w:val="231F20"/>
        </w:rPr>
        <w:t>feminizados</w:t>
      </w:r>
      <w:r>
        <w:rPr>
          <w:color w:val="231F20"/>
          <w:spacing w:val="-4"/>
        </w:rPr>
        <w:t> </w:t>
      </w:r>
      <w:r>
        <w:rPr>
          <w:color w:val="231F20"/>
        </w:rPr>
        <w:t>a</w:t>
      </w:r>
      <w:r>
        <w:rPr>
          <w:color w:val="231F20"/>
          <w:spacing w:val="-4"/>
        </w:rPr>
        <w:t> </w:t>
      </w:r>
      <w:r>
        <w:rPr>
          <w:color w:val="231F20"/>
        </w:rPr>
        <w:t>la</w:t>
      </w:r>
      <w:r>
        <w:rPr>
          <w:color w:val="231F20"/>
          <w:spacing w:val="-5"/>
        </w:rPr>
        <w:t> </w:t>
      </w:r>
      <w:r>
        <w:rPr>
          <w:color w:val="231F20"/>
        </w:rPr>
        <w:t>empleabilidad.</w:t>
      </w:r>
      <w:r>
        <w:rPr>
          <w:color w:val="231F20"/>
          <w:spacing w:val="-13"/>
        </w:rPr>
        <w:t> </w:t>
      </w:r>
      <w:r>
        <w:rPr>
          <w:color w:val="231F20"/>
        </w:rPr>
        <w:t>Y</w:t>
      </w:r>
      <w:r>
        <w:rPr>
          <w:color w:val="231F20"/>
          <w:spacing w:val="-12"/>
        </w:rPr>
        <w:t> </w:t>
      </w:r>
      <w:r>
        <w:rPr>
          <w:color w:val="231F20"/>
        </w:rPr>
        <w:t>si a esta habría que otorgarle rostro nos inclinaríamos por dos atributos: la juventud</w:t>
      </w:r>
      <w:r>
        <w:rPr>
          <w:color w:val="231F20"/>
          <w:spacing w:val="-12"/>
        </w:rPr>
        <w:t> </w:t>
      </w:r>
      <w:r>
        <w:rPr>
          <w:color w:val="231F20"/>
        </w:rPr>
        <w:t>que</w:t>
      </w:r>
      <w:r>
        <w:rPr>
          <w:color w:val="231F20"/>
          <w:spacing w:val="-11"/>
        </w:rPr>
        <w:t> </w:t>
      </w:r>
      <w:r>
        <w:rPr>
          <w:color w:val="231F20"/>
        </w:rPr>
        <w:t>garantiza</w:t>
      </w:r>
      <w:r>
        <w:rPr>
          <w:color w:val="231F20"/>
          <w:spacing w:val="-11"/>
        </w:rPr>
        <w:t> </w:t>
      </w:r>
      <w:r>
        <w:rPr>
          <w:color w:val="231F20"/>
        </w:rPr>
        <w:t>energía</w:t>
      </w:r>
      <w:r>
        <w:rPr>
          <w:color w:val="231F20"/>
          <w:spacing w:val="-11"/>
        </w:rPr>
        <w:t> </w:t>
      </w:r>
      <w:r>
        <w:rPr>
          <w:color w:val="231F20"/>
        </w:rPr>
        <w:t>casi</w:t>
      </w:r>
      <w:r>
        <w:rPr>
          <w:color w:val="231F20"/>
          <w:spacing w:val="-12"/>
        </w:rPr>
        <w:t> </w:t>
      </w:r>
      <w:r>
        <w:rPr>
          <w:color w:val="231F20"/>
        </w:rPr>
        <w:t>ilimitada</w:t>
      </w:r>
      <w:r>
        <w:rPr>
          <w:color w:val="231F20"/>
          <w:spacing w:val="-12"/>
        </w:rPr>
        <w:t> </w:t>
      </w:r>
      <w:r>
        <w:rPr>
          <w:color w:val="231F20"/>
        </w:rPr>
        <w:t>que</w:t>
      </w:r>
      <w:r>
        <w:rPr>
          <w:color w:val="231F20"/>
          <w:spacing w:val="-11"/>
        </w:rPr>
        <w:t> </w:t>
      </w:r>
      <w:r>
        <w:rPr>
          <w:color w:val="231F20"/>
        </w:rPr>
        <w:t>el</w:t>
      </w:r>
      <w:r>
        <w:rPr>
          <w:color w:val="231F20"/>
          <w:spacing w:val="-11"/>
        </w:rPr>
        <w:t> </w:t>
      </w:r>
      <w:r>
        <w:rPr>
          <w:color w:val="231F20"/>
        </w:rPr>
        <w:t>capital</w:t>
      </w:r>
      <w:r>
        <w:rPr>
          <w:color w:val="231F20"/>
          <w:spacing w:val="-12"/>
        </w:rPr>
        <w:t> </w:t>
      </w:r>
      <w:r>
        <w:rPr>
          <w:color w:val="231F20"/>
        </w:rPr>
        <w:t>puede</w:t>
      </w:r>
      <w:r>
        <w:rPr>
          <w:color w:val="231F20"/>
          <w:spacing w:val="-11"/>
        </w:rPr>
        <w:t> </w:t>
      </w:r>
      <w:r>
        <w:rPr>
          <w:color w:val="231F20"/>
        </w:rPr>
        <w:t>aprove- char pero también la masculinidad. Las mujeres, desde este imaginario, tendrían aún demasiadas ataduras domésticas que no les permitiría tener toda la flexibilidad que la empleabilidad requiere. Por consiguiente, la feminización del mundo laboral, y en concreto del asalariado, es mucho más que solamente mayor presencia de mujeres; implica también el ha- cer</w:t>
      </w:r>
      <w:r>
        <w:rPr>
          <w:color w:val="231F20"/>
          <w:spacing w:val="-5"/>
        </w:rPr>
        <w:t> </w:t>
      </w:r>
      <w:r>
        <w:rPr>
          <w:color w:val="231F20"/>
        </w:rPr>
        <w:t>viable</w:t>
      </w:r>
      <w:r>
        <w:rPr>
          <w:color w:val="231F20"/>
          <w:spacing w:val="-5"/>
        </w:rPr>
        <w:t> </w:t>
      </w:r>
      <w:r>
        <w:rPr>
          <w:color w:val="231F20"/>
        </w:rPr>
        <w:t>estrategias</w:t>
      </w:r>
      <w:r>
        <w:rPr>
          <w:color w:val="231F20"/>
          <w:spacing w:val="-5"/>
        </w:rPr>
        <w:t> </w:t>
      </w:r>
      <w:r>
        <w:rPr>
          <w:color w:val="231F20"/>
        </w:rPr>
        <w:t>de</w:t>
      </w:r>
      <w:r>
        <w:rPr>
          <w:color w:val="231F20"/>
          <w:spacing w:val="-5"/>
        </w:rPr>
        <w:t> </w:t>
      </w:r>
      <w:r>
        <w:rPr>
          <w:color w:val="231F20"/>
        </w:rPr>
        <w:t>desempoderamiento</w:t>
      </w:r>
      <w:r>
        <w:rPr>
          <w:color w:val="231F20"/>
          <w:spacing w:val="-5"/>
        </w:rPr>
        <w:t> </w:t>
      </w:r>
      <w:r>
        <w:rPr>
          <w:color w:val="231F20"/>
        </w:rPr>
        <w:t>que</w:t>
      </w:r>
      <w:r>
        <w:rPr>
          <w:color w:val="231F20"/>
          <w:spacing w:val="-5"/>
        </w:rPr>
        <w:t> </w:t>
      </w:r>
      <w:r>
        <w:rPr>
          <w:color w:val="231F20"/>
        </w:rPr>
        <w:t>afectan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mayoría</w:t>
      </w:r>
      <w:r>
        <w:rPr>
          <w:color w:val="231F20"/>
          <w:spacing w:val="-6"/>
        </w:rPr>
        <w:t> </w:t>
      </w:r>
      <w:r>
        <w:rPr>
          <w:color w:val="231F20"/>
        </w:rPr>
        <w:t>de los</w:t>
      </w:r>
      <w:r>
        <w:rPr>
          <w:color w:val="231F20"/>
          <w:spacing w:val="-5"/>
        </w:rPr>
        <w:t> </w:t>
      </w:r>
      <w:r>
        <w:rPr>
          <w:color w:val="231F20"/>
        </w:rPr>
        <w:t>trabajadores</w:t>
      </w:r>
      <w:r>
        <w:rPr>
          <w:color w:val="231F20"/>
          <w:spacing w:val="-6"/>
        </w:rPr>
        <w:t> </w:t>
      </w:r>
      <w:r>
        <w:rPr>
          <w:color w:val="231F20"/>
        </w:rPr>
        <w:t>y</w:t>
      </w:r>
      <w:r>
        <w:rPr>
          <w:color w:val="231F20"/>
          <w:spacing w:val="-5"/>
        </w:rPr>
        <w:t> </w:t>
      </w:r>
      <w:r>
        <w:rPr>
          <w:color w:val="231F20"/>
        </w:rPr>
        <w:t>la</w:t>
      </w:r>
      <w:r>
        <w:rPr>
          <w:color w:val="231F20"/>
          <w:spacing w:val="-5"/>
        </w:rPr>
        <w:t> </w:t>
      </w:r>
      <w:r>
        <w:rPr>
          <w:color w:val="231F20"/>
        </w:rPr>
        <w:t>construcción</w:t>
      </w:r>
      <w:r>
        <w:rPr>
          <w:color w:val="231F20"/>
          <w:spacing w:val="-6"/>
        </w:rPr>
        <w:t> </w:t>
      </w:r>
      <w:r>
        <w:rPr>
          <w:color w:val="231F20"/>
        </w:rPr>
        <w:t>de</w:t>
      </w:r>
      <w:r>
        <w:rPr>
          <w:color w:val="231F20"/>
          <w:spacing w:val="-5"/>
        </w:rPr>
        <w:t> </w:t>
      </w:r>
      <w:r>
        <w:rPr>
          <w:color w:val="231F20"/>
        </w:rPr>
        <w:t>imaginarios</w:t>
      </w:r>
      <w:r>
        <w:rPr>
          <w:color w:val="231F20"/>
          <w:spacing w:val="-6"/>
        </w:rPr>
        <w:t> </w:t>
      </w:r>
      <w:r>
        <w:rPr>
          <w:color w:val="231F20"/>
        </w:rPr>
        <w:t>laborales</w:t>
      </w:r>
      <w:r>
        <w:rPr>
          <w:color w:val="231F20"/>
          <w:spacing w:val="-6"/>
        </w:rPr>
        <w:t> </w:t>
      </w:r>
      <w:r>
        <w:rPr>
          <w:color w:val="231F20"/>
        </w:rPr>
        <w:t>que</w:t>
      </w:r>
      <w:r>
        <w:rPr>
          <w:color w:val="231F20"/>
          <w:spacing w:val="-5"/>
        </w:rPr>
        <w:t> </w:t>
      </w:r>
      <w:r>
        <w:rPr>
          <w:color w:val="231F20"/>
        </w:rPr>
        <w:t>legitiman esas estrategias (Pérez Sáinz,</w:t>
      </w:r>
      <w:r>
        <w:rPr>
          <w:color w:val="231F20"/>
          <w:spacing w:val="-7"/>
        </w:rPr>
        <w:t> </w:t>
      </w:r>
      <w:r>
        <w:rPr>
          <w:color w:val="231F20"/>
        </w:rPr>
        <w:t>2014).</w:t>
      </w:r>
    </w:p>
    <w:p>
      <w:pPr>
        <w:pStyle w:val="BodyText"/>
        <w:spacing w:line="249" w:lineRule="auto" w:before="1"/>
        <w:ind w:left="110" w:right="111" w:firstLine="283"/>
        <w:jc w:val="both"/>
      </w:pPr>
      <w:r>
        <w:rPr>
          <w:color w:val="231F20"/>
        </w:rPr>
        <w:t>No obstante, esta centralidad de la precarización en este campo de desigualdades de excedente podría cuestionarse con lo que se conside- raría el cambio más importante acaecido en América Latina a inicios  del siglo XXI: el “giro a la izquierda” con la elección de gobiernos que han promovido medidas que buscan revertir situaciones generadas  </w:t>
      </w:r>
      <w:r>
        <w:rPr>
          <w:color w:val="231F20"/>
          <w:spacing w:val="49"/>
        </w:rPr>
        <w:t> </w:t>
      </w:r>
      <w:r>
        <w:rPr>
          <w:color w:val="231F20"/>
        </w:rPr>
        <w:t>por</w:t>
      </w:r>
    </w:p>
    <w:p>
      <w:pPr>
        <w:pStyle w:val="BodyText"/>
        <w:rPr>
          <w:sz w:val="17"/>
        </w:rPr>
      </w:pPr>
    </w:p>
    <w:p>
      <w:pPr>
        <w:spacing w:before="1"/>
        <w:ind w:left="110" w:right="111" w:firstLine="0"/>
        <w:jc w:val="both"/>
        <w:rPr>
          <w:sz w:val="14"/>
        </w:rPr>
      </w:pPr>
      <w:r>
        <w:rPr>
          <w:color w:val="231F20"/>
          <w:position w:val="5"/>
          <w:sz w:val="8"/>
        </w:rPr>
        <w:t>16 </w:t>
      </w:r>
      <w:r>
        <w:rPr>
          <w:color w:val="231F20"/>
          <w:sz w:val="14"/>
        </w:rPr>
        <w:t>Esta cuestión de la modalidad de cierre de brecha salarial (por arriba o por abajo) es clave ya que cuestiona el planteamiento de López-Calva y Lustig (2010, 2012) de reducción de las desigualdades (descenso del coeficiente de Gini del ingreso entre hogares) en la región durante la primera década del presente siglo. En la identificación de causas, a través de la descomposición del cambio del coeficiente de Gini, estos autores argumentan que ha sido el cierre de la brecha salarial entre trabajadores más ca- lificados y menos calificados el principal factor explicativo. Pero no es lo mismo que la brecha se haya cerrado hacia “arriba”, donde los trabajadores (calificados o no) ganarían, que hacia “abajo” donde el capital se empoderaría. Es justamente, la ausencia del actor clave, el capital, el que permite argumentar a estos autores el descenso de las desigualdades mixtificando lo que realmente acaece en el mercado laboral (Pérez Sáinz, 2013).</w:t>
      </w:r>
    </w:p>
    <w:p>
      <w:pPr>
        <w:spacing w:after="0"/>
        <w:jc w:val="both"/>
        <w:rPr>
          <w:sz w:val="14"/>
        </w:rPr>
        <w:sectPr>
          <w:pgSz w:w="7770" w:h="11740"/>
          <w:pgMar w:header="0" w:footer="474" w:top="840" w:bottom="740" w:left="740" w:right="1020"/>
        </w:sectPr>
      </w:pPr>
    </w:p>
    <w:p>
      <w:pPr>
        <w:pStyle w:val="BodyText"/>
        <w:spacing w:line="249" w:lineRule="auto" w:before="60"/>
        <w:ind w:left="113" w:right="108"/>
        <w:jc w:val="both"/>
      </w:pPr>
      <w:r>
        <w:rPr>
          <w:color w:val="231F20"/>
        </w:rPr>
        <w:t>el orden (neo)liberal. En el plano laboral, que es el nos concierne, el caso brasileño parecería ser paradigmático especialmente desde 2004.</w:t>
      </w:r>
      <w:r>
        <w:rPr>
          <w:color w:val="231F20"/>
          <w:position w:val="7"/>
          <w:sz w:val="11"/>
        </w:rPr>
        <w:t>17 </w:t>
      </w:r>
      <w:r>
        <w:rPr>
          <w:color w:val="231F20"/>
        </w:rPr>
        <w:t>Al respecto se ha señalado que, durante la primera década del presente siglo, se ha creado más ocupación con protección social que sin ella lo que</w:t>
      </w:r>
      <w:r>
        <w:rPr>
          <w:color w:val="231F20"/>
          <w:spacing w:val="-5"/>
        </w:rPr>
        <w:t> </w:t>
      </w:r>
      <w:r>
        <w:rPr>
          <w:color w:val="231F20"/>
        </w:rPr>
        <w:t>mostraría</w:t>
      </w:r>
      <w:r>
        <w:rPr>
          <w:color w:val="231F20"/>
          <w:spacing w:val="-5"/>
        </w:rPr>
        <w:t> </w:t>
      </w:r>
      <w:r>
        <w:rPr>
          <w:color w:val="231F20"/>
        </w:rPr>
        <w:t>una</w:t>
      </w:r>
      <w:r>
        <w:rPr>
          <w:color w:val="231F20"/>
          <w:spacing w:val="-5"/>
        </w:rPr>
        <w:t> </w:t>
      </w:r>
      <w:r>
        <w:rPr>
          <w:color w:val="231F20"/>
        </w:rPr>
        <w:t>recuperación</w:t>
      </w:r>
      <w:r>
        <w:rPr>
          <w:color w:val="231F20"/>
          <w:spacing w:val="-4"/>
        </w:rPr>
        <w:t> </w:t>
      </w:r>
      <w:r>
        <w:rPr>
          <w:color w:val="231F20"/>
        </w:rPr>
        <w:t>del</w:t>
      </w:r>
      <w:r>
        <w:rPr>
          <w:color w:val="231F20"/>
          <w:spacing w:val="-5"/>
        </w:rPr>
        <w:t> </w:t>
      </w:r>
      <w:r>
        <w:rPr>
          <w:color w:val="231F20"/>
        </w:rPr>
        <w:t>empleo</w:t>
      </w:r>
      <w:r>
        <w:rPr>
          <w:color w:val="231F20"/>
          <w:spacing w:val="-5"/>
        </w:rPr>
        <w:t> </w:t>
      </w:r>
      <w:r>
        <w:rPr>
          <w:color w:val="231F20"/>
        </w:rPr>
        <w:t>formal</w:t>
      </w:r>
      <w:r>
        <w:rPr>
          <w:color w:val="231F20"/>
          <w:spacing w:val="-5"/>
        </w:rPr>
        <w:t> </w:t>
      </w:r>
      <w:r>
        <w:rPr>
          <w:color w:val="231F20"/>
          <w:spacing w:val="-3"/>
        </w:rPr>
        <w:t>(OIT,</w:t>
      </w:r>
      <w:r>
        <w:rPr>
          <w:color w:val="231F20"/>
          <w:spacing w:val="-4"/>
        </w:rPr>
        <w:t> </w:t>
      </w:r>
      <w:r>
        <w:rPr>
          <w:color w:val="231F20"/>
        </w:rPr>
        <w:t>2010;</w:t>
      </w:r>
      <w:r>
        <w:rPr>
          <w:color w:val="231F20"/>
          <w:spacing w:val="-5"/>
        </w:rPr>
        <w:t> </w:t>
      </w:r>
      <w:r>
        <w:rPr>
          <w:color w:val="231F20"/>
        </w:rPr>
        <w:t>Dedecca, 2012; Krein y Santos, 2012; Lavinas, 2012). Es decir, parecería que hay cierto</w:t>
      </w:r>
      <w:r>
        <w:rPr>
          <w:color w:val="231F20"/>
          <w:spacing w:val="-7"/>
        </w:rPr>
        <w:t> </w:t>
      </w:r>
      <w:r>
        <w:rPr>
          <w:color w:val="231F20"/>
        </w:rPr>
        <w:t>consenso</w:t>
      </w:r>
      <w:r>
        <w:rPr>
          <w:color w:val="231F20"/>
          <w:spacing w:val="-7"/>
        </w:rPr>
        <w:t> </w:t>
      </w:r>
      <w:r>
        <w:rPr>
          <w:color w:val="231F20"/>
        </w:rPr>
        <w:t>en</w:t>
      </w:r>
      <w:r>
        <w:rPr>
          <w:color w:val="231F20"/>
          <w:spacing w:val="-7"/>
        </w:rPr>
        <w:t> </w:t>
      </w:r>
      <w:r>
        <w:rPr>
          <w:color w:val="231F20"/>
        </w:rPr>
        <w:t>caracterizar</w:t>
      </w:r>
      <w:r>
        <w:rPr>
          <w:color w:val="231F20"/>
          <w:spacing w:val="-7"/>
        </w:rPr>
        <w:t> </w:t>
      </w:r>
      <w:r>
        <w:rPr>
          <w:color w:val="231F20"/>
        </w:rPr>
        <w:t>la</w:t>
      </w:r>
      <w:r>
        <w:rPr>
          <w:color w:val="231F20"/>
          <w:spacing w:val="-6"/>
        </w:rPr>
        <w:t> </w:t>
      </w:r>
      <w:r>
        <w:rPr>
          <w:color w:val="231F20"/>
        </w:rPr>
        <w:t>principal</w:t>
      </w:r>
      <w:r>
        <w:rPr>
          <w:color w:val="231F20"/>
          <w:spacing w:val="-6"/>
        </w:rPr>
        <w:t> </w:t>
      </w:r>
      <w:r>
        <w:rPr>
          <w:color w:val="231F20"/>
        </w:rPr>
        <w:t>dinámica</w:t>
      </w:r>
      <w:r>
        <w:rPr>
          <w:color w:val="231F20"/>
          <w:spacing w:val="-6"/>
        </w:rPr>
        <w:t> </w:t>
      </w:r>
      <w:r>
        <w:rPr>
          <w:color w:val="231F20"/>
        </w:rPr>
        <w:t>del</w:t>
      </w:r>
      <w:r>
        <w:rPr>
          <w:color w:val="231F20"/>
          <w:spacing w:val="-6"/>
        </w:rPr>
        <w:t> </w:t>
      </w:r>
      <w:r>
        <w:rPr>
          <w:color w:val="231F20"/>
        </w:rPr>
        <w:t>mercado</w:t>
      </w:r>
      <w:r>
        <w:rPr>
          <w:color w:val="231F20"/>
          <w:spacing w:val="-7"/>
        </w:rPr>
        <w:t> </w:t>
      </w:r>
      <w:r>
        <w:rPr>
          <w:color w:val="231F20"/>
        </w:rPr>
        <w:t>laboral brasileño, durante los últimos años, como “formalización del</w:t>
      </w:r>
      <w:r>
        <w:rPr>
          <w:color w:val="231F20"/>
          <w:spacing w:val="-4"/>
        </w:rPr>
        <w:t> </w:t>
      </w:r>
      <w:r>
        <w:rPr>
          <w:color w:val="231F20"/>
        </w:rPr>
        <w:t>trabajo”.</w:t>
      </w:r>
    </w:p>
    <w:p>
      <w:pPr>
        <w:pStyle w:val="BodyText"/>
        <w:spacing w:line="249" w:lineRule="auto" w:before="1"/>
        <w:ind w:left="113" w:right="108" w:firstLine="283"/>
        <w:jc w:val="both"/>
      </w:pPr>
      <w:r>
        <w:rPr>
          <w:color w:val="231F20"/>
        </w:rPr>
        <w:t>Ese fenómeno plantea una discusión interesante que abre tres posi- bilidades: el resurgimiento del empleo formal; un proceso importante de desprecarización;</w:t>
      </w:r>
      <w:r>
        <w:rPr>
          <w:color w:val="231F20"/>
          <w:spacing w:val="-5"/>
        </w:rPr>
        <w:t> </w:t>
      </w:r>
      <w:r>
        <w:rPr>
          <w:color w:val="231F20"/>
        </w:rPr>
        <w:t>o</w:t>
      </w:r>
      <w:r>
        <w:rPr>
          <w:color w:val="231F20"/>
          <w:spacing w:val="-5"/>
        </w:rPr>
        <w:t> </w:t>
      </w:r>
      <w:r>
        <w:rPr>
          <w:color w:val="231F20"/>
        </w:rPr>
        <w:t>el</w:t>
      </w:r>
      <w:r>
        <w:rPr>
          <w:color w:val="231F20"/>
          <w:spacing w:val="-5"/>
        </w:rPr>
        <w:t> </w:t>
      </w:r>
      <w:r>
        <w:rPr>
          <w:color w:val="231F20"/>
        </w:rPr>
        <w:t>establecimiento</w:t>
      </w:r>
      <w:r>
        <w:rPr>
          <w:color w:val="231F20"/>
          <w:spacing w:val="-6"/>
        </w:rPr>
        <w:t> </w:t>
      </w:r>
      <w:r>
        <w:rPr>
          <w:color w:val="231F20"/>
        </w:rPr>
        <w:t>de</w:t>
      </w:r>
      <w:r>
        <w:rPr>
          <w:color w:val="231F20"/>
          <w:spacing w:val="-5"/>
        </w:rPr>
        <w:t> </w:t>
      </w:r>
      <w:r>
        <w:rPr>
          <w:color w:val="231F20"/>
        </w:rPr>
        <w:t>un</w:t>
      </w:r>
      <w:r>
        <w:rPr>
          <w:color w:val="231F20"/>
          <w:spacing w:val="-5"/>
        </w:rPr>
        <w:t> </w:t>
      </w:r>
      <w:r>
        <w:rPr>
          <w:color w:val="231F20"/>
        </w:rPr>
        <w:t>nuevo</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relaciones</w:t>
      </w:r>
      <w:r>
        <w:rPr>
          <w:color w:val="231F20"/>
          <w:spacing w:val="-5"/>
        </w:rPr>
        <w:t> </w:t>
      </w:r>
      <w:r>
        <w:rPr>
          <w:color w:val="231F20"/>
        </w:rPr>
        <w:t>sa- lariales que representarían un precedente histórico para otras realidades latinoamericanas.</w:t>
      </w:r>
    </w:p>
    <w:p>
      <w:pPr>
        <w:pStyle w:val="BodyText"/>
        <w:spacing w:line="249" w:lineRule="auto" w:before="1"/>
        <w:ind w:left="113" w:right="107" w:firstLine="283"/>
        <w:jc w:val="both"/>
      </w:pPr>
      <w:r>
        <w:rPr>
          <w:color w:val="231F20"/>
        </w:rPr>
        <w:t>Mientras que a la tercera opción le falta suficiente perspectiva his- tórica nos oponemos a la primera por razones teóricas e históricas. En cuanto a las primeras, hace tiempo hemos argumentado la necesidad de abandonar las categorías formal/informal ya que han perdido su capaci- dad heurística. Así, el enfoque estructuralista del Prealc planteó que este corte reflejaba la asociación entre niveles de productividad y tamaño de establecimiento: alta productividad en las empresas grandes (sector for- mal)</w:t>
      </w:r>
      <w:r>
        <w:rPr>
          <w:color w:val="231F20"/>
          <w:spacing w:val="-11"/>
        </w:rPr>
        <w:t> </w:t>
      </w:r>
      <w:r>
        <w:rPr>
          <w:color w:val="231F20"/>
        </w:rPr>
        <w:t>y</w:t>
      </w:r>
      <w:r>
        <w:rPr>
          <w:color w:val="231F20"/>
          <w:spacing w:val="-11"/>
        </w:rPr>
        <w:t> </w:t>
      </w:r>
      <w:r>
        <w:rPr>
          <w:color w:val="231F20"/>
        </w:rPr>
        <w:t>baja</w:t>
      </w:r>
      <w:r>
        <w:rPr>
          <w:color w:val="231F20"/>
          <w:spacing w:val="-11"/>
        </w:rPr>
        <w:t> </w:t>
      </w:r>
      <w:r>
        <w:rPr>
          <w:color w:val="231F20"/>
        </w:rPr>
        <w:t>productividad</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establecimientos</w:t>
      </w:r>
      <w:r>
        <w:rPr>
          <w:color w:val="231F20"/>
          <w:spacing w:val="-12"/>
        </w:rPr>
        <w:t> </w:t>
      </w:r>
      <w:r>
        <w:rPr>
          <w:color w:val="231F20"/>
        </w:rPr>
        <w:t>pequeños</w:t>
      </w:r>
      <w:r>
        <w:rPr>
          <w:color w:val="231F20"/>
          <w:spacing w:val="-11"/>
        </w:rPr>
        <w:t> </w:t>
      </w:r>
      <w:r>
        <w:rPr>
          <w:color w:val="231F20"/>
        </w:rPr>
        <w:t>(sector</w:t>
      </w:r>
      <w:r>
        <w:rPr>
          <w:color w:val="231F20"/>
          <w:spacing w:val="-11"/>
        </w:rPr>
        <w:t> </w:t>
      </w:r>
      <w:r>
        <w:rPr>
          <w:color w:val="231F20"/>
        </w:rPr>
        <w:t>infor- mal). La nueva revolución tecnológica ha cuestionado esta asociación, propia del mundo fordista, y son posibles pequeñas empresas con alta productividad. Además la reflexión del Prealc se limitaba al modelo de acumulación</w:t>
      </w:r>
      <w:r>
        <w:rPr>
          <w:color w:val="231F20"/>
          <w:spacing w:val="-5"/>
        </w:rPr>
        <w:t> </w:t>
      </w:r>
      <w:r>
        <w:rPr>
          <w:color w:val="231F20"/>
        </w:rPr>
        <w:t>basado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industrialización</w:t>
      </w:r>
      <w:r>
        <w:rPr>
          <w:color w:val="231F20"/>
          <w:spacing w:val="-6"/>
        </w:rPr>
        <w:t> </w:t>
      </w:r>
      <w:r>
        <w:rPr>
          <w:color w:val="231F20"/>
        </w:rPr>
        <w:t>y</w:t>
      </w:r>
      <w:r>
        <w:rPr>
          <w:color w:val="231F20"/>
          <w:spacing w:val="-4"/>
        </w:rPr>
        <w:t> </w:t>
      </w:r>
      <w:r>
        <w:rPr>
          <w:color w:val="231F20"/>
        </w:rPr>
        <w:t>orientado</w:t>
      </w:r>
      <w:r>
        <w:rPr>
          <w:color w:val="231F20"/>
          <w:spacing w:val="-5"/>
        </w:rPr>
        <w:t> </w:t>
      </w:r>
      <w:r>
        <w:rPr>
          <w:color w:val="231F20"/>
        </w:rPr>
        <w:t>al</w:t>
      </w:r>
      <w:r>
        <w:rPr>
          <w:color w:val="231F20"/>
          <w:spacing w:val="-5"/>
        </w:rPr>
        <w:t> </w:t>
      </w:r>
      <w:r>
        <w:rPr>
          <w:color w:val="231F20"/>
        </w:rPr>
        <w:t>mercado</w:t>
      </w:r>
      <w:r>
        <w:rPr>
          <w:color w:val="231F20"/>
          <w:spacing w:val="-5"/>
        </w:rPr>
        <w:t> </w:t>
      </w:r>
      <w:r>
        <w:rPr>
          <w:color w:val="231F20"/>
        </w:rPr>
        <w:t>inter- no;</w:t>
      </w:r>
      <w:r>
        <w:rPr>
          <w:color w:val="231F20"/>
          <w:spacing w:val="-4"/>
        </w:rPr>
        <w:t> </w:t>
      </w:r>
      <w:r>
        <w:rPr>
          <w:color w:val="231F20"/>
        </w:rPr>
        <w:t>o</w:t>
      </w:r>
      <w:r>
        <w:rPr>
          <w:color w:val="231F20"/>
          <w:spacing w:val="-4"/>
        </w:rPr>
        <w:t> </w:t>
      </w:r>
      <w:r>
        <w:rPr>
          <w:color w:val="231F20"/>
        </w:rPr>
        <w:t>sea,</w:t>
      </w:r>
      <w:r>
        <w:rPr>
          <w:color w:val="231F20"/>
          <w:spacing w:val="-4"/>
        </w:rPr>
        <w:t> </w:t>
      </w:r>
      <w:r>
        <w:rPr>
          <w:color w:val="231F20"/>
        </w:rPr>
        <w:t>era</w:t>
      </w:r>
      <w:r>
        <w:rPr>
          <w:color w:val="231F20"/>
          <w:spacing w:val="-5"/>
        </w:rPr>
        <w:t> </w:t>
      </w:r>
      <w:r>
        <w:rPr>
          <w:color w:val="231F20"/>
        </w:rPr>
        <w:t>una</w:t>
      </w:r>
      <w:r>
        <w:rPr>
          <w:color w:val="231F20"/>
          <w:spacing w:val="-4"/>
        </w:rPr>
        <w:t> </w:t>
      </w:r>
      <w:r>
        <w:rPr>
          <w:color w:val="231F20"/>
        </w:rPr>
        <w:t>propuesta</w:t>
      </w:r>
      <w:r>
        <w:rPr>
          <w:color w:val="231F20"/>
          <w:spacing w:val="-4"/>
        </w:rPr>
        <w:t> </w:t>
      </w:r>
      <w:r>
        <w:rPr>
          <w:color w:val="231F20"/>
        </w:rPr>
        <w:t>históricamente</w:t>
      </w:r>
      <w:r>
        <w:rPr>
          <w:color w:val="231F20"/>
          <w:spacing w:val="-4"/>
        </w:rPr>
        <w:t> </w:t>
      </w:r>
      <w:r>
        <w:rPr>
          <w:color w:val="231F20"/>
        </w:rPr>
        <w:t>acotada.</w:t>
      </w:r>
      <w:r>
        <w:rPr>
          <w:color w:val="231F20"/>
          <w:spacing w:val="-5"/>
        </w:rPr>
        <w:t> </w:t>
      </w:r>
      <w:r>
        <w:rPr>
          <w:color w:val="231F20"/>
        </w:rPr>
        <w:t>El</w:t>
      </w:r>
      <w:r>
        <w:rPr>
          <w:color w:val="231F20"/>
          <w:spacing w:val="-4"/>
        </w:rPr>
        <w:t> </w:t>
      </w:r>
      <w:r>
        <w:rPr>
          <w:color w:val="231F20"/>
        </w:rPr>
        <w:t>nuevo</w:t>
      </w:r>
      <w:r>
        <w:rPr>
          <w:color w:val="231F20"/>
          <w:spacing w:val="-4"/>
        </w:rPr>
        <w:t> </w:t>
      </w:r>
      <w:r>
        <w:rPr>
          <w:color w:val="231F20"/>
        </w:rPr>
        <w:t>modelo</w:t>
      </w:r>
      <w:r>
        <w:rPr>
          <w:color w:val="231F20"/>
          <w:spacing w:val="-5"/>
        </w:rPr>
        <w:t> </w:t>
      </w:r>
      <w:r>
        <w:rPr>
          <w:color w:val="231F20"/>
        </w:rPr>
        <w:t>de acumulación presenta una heterogeneidad estructural más compleja que la del modelo previo que se fundamentó en esos dos sectores.</w:t>
      </w:r>
      <w:r>
        <w:rPr>
          <w:color w:val="231F20"/>
          <w:position w:val="7"/>
          <w:sz w:val="11"/>
        </w:rPr>
        <w:t>18 </w:t>
      </w:r>
      <w:r>
        <w:rPr>
          <w:color w:val="231F20"/>
        </w:rPr>
        <w:t>Por su parte, el enfoque regulacionista planteaba que el corte correspondía a la oposición entre regulación (formalidad) y desregulación (informalidad) de</w:t>
      </w:r>
      <w:r>
        <w:rPr>
          <w:color w:val="231F20"/>
          <w:spacing w:val="-4"/>
        </w:rPr>
        <w:t> </w:t>
      </w:r>
      <w:r>
        <w:rPr>
          <w:color w:val="231F20"/>
        </w:rPr>
        <w:t>las</w:t>
      </w:r>
      <w:r>
        <w:rPr>
          <w:color w:val="231F20"/>
          <w:spacing w:val="-5"/>
        </w:rPr>
        <w:t> </w:t>
      </w:r>
      <w:r>
        <w:rPr>
          <w:color w:val="231F20"/>
        </w:rPr>
        <w:t>relaciones</w:t>
      </w:r>
      <w:r>
        <w:rPr>
          <w:color w:val="231F20"/>
          <w:spacing w:val="-4"/>
        </w:rPr>
        <w:t> </w:t>
      </w:r>
      <w:r>
        <w:rPr>
          <w:color w:val="231F20"/>
        </w:rPr>
        <w:t>laborales.</w:t>
      </w:r>
      <w:r>
        <w:rPr>
          <w:color w:val="231F20"/>
          <w:spacing w:val="-5"/>
        </w:rPr>
        <w:t> </w:t>
      </w:r>
      <w:r>
        <w:rPr>
          <w:color w:val="231F20"/>
        </w:rPr>
        <w:t>La</w:t>
      </w:r>
      <w:r>
        <w:rPr>
          <w:color w:val="231F20"/>
          <w:spacing w:val="-4"/>
        </w:rPr>
        <w:t> </w:t>
      </w:r>
      <w:r>
        <w:rPr>
          <w:color w:val="231F20"/>
        </w:rPr>
        <w:t>precarización</w:t>
      </w:r>
      <w:r>
        <w:rPr>
          <w:color w:val="231F20"/>
          <w:spacing w:val="-4"/>
        </w:rPr>
        <w:t> </w:t>
      </w:r>
      <w:r>
        <w:rPr>
          <w:color w:val="231F20"/>
        </w:rPr>
        <w:t>ha</w:t>
      </w:r>
      <w:r>
        <w:rPr>
          <w:color w:val="231F20"/>
          <w:spacing w:val="-4"/>
        </w:rPr>
        <w:t> </w:t>
      </w:r>
      <w:r>
        <w:rPr>
          <w:color w:val="231F20"/>
        </w:rPr>
        <w:t>supuesto</w:t>
      </w:r>
      <w:r>
        <w:rPr>
          <w:color w:val="231F20"/>
          <w:spacing w:val="-4"/>
        </w:rPr>
        <w:t> </w:t>
      </w:r>
      <w:r>
        <w:rPr>
          <w:color w:val="231F20"/>
        </w:rPr>
        <w:t>una</w:t>
      </w:r>
      <w:r>
        <w:rPr>
          <w:color w:val="231F20"/>
          <w:spacing w:val="-4"/>
        </w:rPr>
        <w:t> </w:t>
      </w:r>
      <w:r>
        <w:rPr>
          <w:color w:val="231F20"/>
        </w:rPr>
        <w:t>“informali- zación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formalidad”</w:t>
      </w:r>
      <w:r>
        <w:rPr>
          <w:color w:val="231F20"/>
          <w:spacing w:val="-6"/>
        </w:rPr>
        <w:t> </w:t>
      </w:r>
      <w:r>
        <w:rPr>
          <w:color w:val="231F20"/>
        </w:rPr>
        <w:t>relativizando</w:t>
      </w:r>
      <w:r>
        <w:rPr>
          <w:color w:val="231F20"/>
          <w:spacing w:val="-6"/>
        </w:rPr>
        <w:t> </w:t>
      </w:r>
      <w:r>
        <w:rPr>
          <w:color w:val="231F20"/>
        </w:rPr>
        <w:t>el</w:t>
      </w:r>
      <w:r>
        <w:rPr>
          <w:color w:val="231F20"/>
          <w:spacing w:val="-6"/>
        </w:rPr>
        <w:t> </w:t>
      </w:r>
      <w:r>
        <w:rPr>
          <w:color w:val="231F20"/>
        </w:rPr>
        <w:t>corte</w:t>
      </w:r>
      <w:r>
        <w:rPr>
          <w:color w:val="231F20"/>
          <w:spacing w:val="-6"/>
        </w:rPr>
        <w:t> </w:t>
      </w:r>
      <w:r>
        <w:rPr>
          <w:color w:val="231F20"/>
          <w:spacing w:val="-7"/>
        </w:rPr>
        <w:t>y,</w:t>
      </w:r>
      <w:r>
        <w:rPr>
          <w:color w:val="231F20"/>
          <w:spacing w:val="-6"/>
        </w:rPr>
        <w:t> </w:t>
      </w:r>
      <w:r>
        <w:rPr>
          <w:color w:val="231F20"/>
        </w:rPr>
        <w:t>por</w:t>
      </w:r>
      <w:r>
        <w:rPr>
          <w:color w:val="231F20"/>
          <w:spacing w:val="-6"/>
        </w:rPr>
        <w:t> </w:t>
      </w:r>
      <w:r>
        <w:rPr>
          <w:color w:val="231F20"/>
        </w:rPr>
        <w:t>tanto,</w:t>
      </w:r>
      <w:r>
        <w:rPr>
          <w:color w:val="231F20"/>
          <w:spacing w:val="-7"/>
        </w:rPr>
        <w:t> </w:t>
      </w:r>
      <w:r>
        <w:rPr>
          <w:color w:val="231F20"/>
        </w:rPr>
        <w:t>las</w:t>
      </w:r>
      <w:r>
        <w:rPr>
          <w:color w:val="231F20"/>
          <w:spacing w:val="-6"/>
        </w:rPr>
        <w:t> </w:t>
      </w:r>
      <w:r>
        <w:rPr>
          <w:color w:val="231F20"/>
        </w:rPr>
        <w:t>categorías formal/informal (Pérez Sáinz,</w:t>
      </w:r>
      <w:r>
        <w:rPr>
          <w:color w:val="231F20"/>
          <w:spacing w:val="-5"/>
        </w:rPr>
        <w:t> </w:t>
      </w:r>
      <w:r>
        <w:rPr>
          <w:color w:val="231F20"/>
        </w:rPr>
        <w:t>1998).</w:t>
      </w:r>
    </w:p>
    <w:p>
      <w:pPr>
        <w:pStyle w:val="BodyText"/>
        <w:spacing w:line="249" w:lineRule="auto" w:before="1"/>
        <w:ind w:left="113" w:right="108" w:firstLine="283"/>
        <w:jc w:val="both"/>
      </w:pPr>
      <w:r>
        <w:rPr>
          <w:color w:val="231F20"/>
        </w:rPr>
        <w:t>Respecto a las razones históricas, el drástico ajuste laboral, que im- plicó la crisis de la deuda en la década de 1980, tuvo como principal objetivo cuestionar la centralidad que tenía el empleo formal dentro  del</w:t>
      </w:r>
    </w:p>
    <w:p>
      <w:pPr>
        <w:pStyle w:val="BodyText"/>
        <w:rPr>
          <w:sz w:val="24"/>
        </w:rPr>
      </w:pPr>
    </w:p>
    <w:p>
      <w:pPr>
        <w:spacing w:before="0"/>
        <w:ind w:left="113" w:right="107" w:firstLine="0"/>
        <w:jc w:val="both"/>
        <w:rPr>
          <w:sz w:val="14"/>
        </w:rPr>
      </w:pPr>
      <w:r>
        <w:rPr>
          <w:color w:val="231F20"/>
          <w:position w:val="5"/>
          <w:sz w:val="8"/>
        </w:rPr>
        <w:t>17 </w:t>
      </w:r>
      <w:r>
        <w:rPr>
          <w:color w:val="231F20"/>
          <w:sz w:val="14"/>
        </w:rPr>
        <w:t>En el caso argentino hay que mencionar el Plan Nacional de Regularización del Trabajo de 2004 ten- diente a desprecarizar las relaciones laborales gestadas en el período previo y en el caso uruguayo, con el primer gobierno del Frente Amplio, se restauró el Consejo de Salarios.</w:t>
      </w:r>
    </w:p>
    <w:p>
      <w:pPr>
        <w:spacing w:before="0"/>
        <w:ind w:left="113" w:right="108" w:firstLine="0"/>
        <w:jc w:val="both"/>
        <w:rPr>
          <w:sz w:val="14"/>
        </w:rPr>
      </w:pPr>
      <w:r>
        <w:rPr>
          <w:color w:val="231F20"/>
          <w:position w:val="5"/>
          <w:sz w:val="8"/>
        </w:rPr>
        <w:t>18 </w:t>
      </w:r>
      <w:r>
        <w:rPr>
          <w:color w:val="231F20"/>
          <w:sz w:val="14"/>
        </w:rPr>
        <w:t>Hay consenso en los análisis que —al menos— debería hablarse de tres sectores: uno globalizado, otro excluido y lo que quedaría en medio que es poco conocido y que debe incluir situaciones variadas.</w:t>
      </w:r>
    </w:p>
    <w:p>
      <w:pPr>
        <w:spacing w:after="0"/>
        <w:jc w:val="both"/>
        <w:rPr>
          <w:sz w:val="14"/>
        </w:rPr>
        <w:sectPr>
          <w:footerReference w:type="default" r:id="rId24"/>
          <w:pgSz w:w="7770" w:h="11740"/>
          <w:pgMar w:footer="474" w:header="0" w:top="840" w:bottom="660" w:left="1020" w:right="740"/>
          <w:pgNumType w:start="31"/>
        </w:sectPr>
      </w:pPr>
    </w:p>
    <w:p>
      <w:pPr>
        <w:pStyle w:val="BodyText"/>
        <w:spacing w:line="249" w:lineRule="auto" w:before="60"/>
        <w:ind w:left="105" w:right="111"/>
        <w:jc w:val="right"/>
      </w:pPr>
      <w:r>
        <w:rPr>
          <w:color w:val="231F20"/>
        </w:rPr>
        <w:t>mundo del trabajo latinoamericano durante la</w:t>
      </w:r>
      <w:r>
        <w:rPr>
          <w:color w:val="231F20"/>
          <w:spacing w:val="7"/>
        </w:rPr>
        <w:t> </w:t>
      </w:r>
      <w:r>
        <w:rPr>
          <w:color w:val="231F20"/>
        </w:rPr>
        <w:t>modernización</w:t>
      </w:r>
      <w:r>
        <w:rPr>
          <w:color w:val="231F20"/>
          <w:spacing w:val="16"/>
        </w:rPr>
        <w:t> </w:t>
      </w:r>
      <w:r>
        <w:rPr>
          <w:color w:val="231F20"/>
        </w:rPr>
        <w:t>nacional. Y fue un cuestionamiento que conllevó la crisis de este tipo</w:t>
      </w:r>
      <w:r>
        <w:rPr>
          <w:color w:val="231F20"/>
          <w:spacing w:val="21"/>
        </w:rPr>
        <w:t> </w:t>
      </w:r>
      <w:r>
        <w:rPr>
          <w:color w:val="231F20"/>
        </w:rPr>
        <w:t>de</w:t>
      </w:r>
      <w:r>
        <w:rPr>
          <w:color w:val="231F20"/>
          <w:spacing w:val="11"/>
        </w:rPr>
        <w:t> </w:t>
      </w:r>
      <w:r>
        <w:rPr>
          <w:color w:val="231F20"/>
        </w:rPr>
        <w:t>empleo que dejó de ser un referente laboral insoslayable. A ello siguió</w:t>
      </w:r>
      <w:r>
        <w:rPr>
          <w:color w:val="231F20"/>
          <w:spacing w:val="4"/>
        </w:rPr>
        <w:t> </w:t>
      </w:r>
      <w:r>
        <w:rPr>
          <w:color w:val="231F20"/>
        </w:rPr>
        <w:t>la</w:t>
      </w:r>
      <w:r>
        <w:rPr>
          <w:color w:val="231F20"/>
          <w:spacing w:val="6"/>
        </w:rPr>
        <w:t> </w:t>
      </w:r>
      <w:r>
        <w:rPr>
          <w:color w:val="231F20"/>
        </w:rPr>
        <w:t>emer- gencia</w:t>
      </w:r>
      <w:r>
        <w:rPr>
          <w:color w:val="231F20"/>
          <w:spacing w:val="22"/>
        </w:rPr>
        <w:t> </w:t>
      </w:r>
      <w:r>
        <w:rPr>
          <w:color w:val="231F20"/>
        </w:rPr>
        <w:t>y</w:t>
      </w:r>
      <w:r>
        <w:rPr>
          <w:color w:val="231F20"/>
          <w:spacing w:val="22"/>
        </w:rPr>
        <w:t> </w:t>
      </w:r>
      <w:r>
        <w:rPr>
          <w:color w:val="231F20"/>
        </w:rPr>
        <w:t>consolidación</w:t>
      </w:r>
      <w:r>
        <w:rPr>
          <w:color w:val="231F20"/>
          <w:spacing w:val="22"/>
        </w:rPr>
        <w:t> </w:t>
      </w:r>
      <w:r>
        <w:rPr>
          <w:color w:val="231F20"/>
        </w:rPr>
        <w:t>de</w:t>
      </w:r>
      <w:r>
        <w:rPr>
          <w:color w:val="231F20"/>
          <w:spacing w:val="22"/>
        </w:rPr>
        <w:t> </w:t>
      </w:r>
      <w:r>
        <w:rPr>
          <w:color w:val="231F20"/>
        </w:rPr>
        <w:t>un</w:t>
      </w:r>
      <w:r>
        <w:rPr>
          <w:color w:val="231F20"/>
          <w:spacing w:val="23"/>
        </w:rPr>
        <w:t> </w:t>
      </w:r>
      <w:r>
        <w:rPr>
          <w:color w:val="231F20"/>
        </w:rPr>
        <w:t>nuevo</w:t>
      </w:r>
      <w:r>
        <w:rPr>
          <w:color w:val="231F20"/>
          <w:spacing w:val="22"/>
        </w:rPr>
        <w:t> </w:t>
      </w:r>
      <w:r>
        <w:rPr>
          <w:color w:val="231F20"/>
        </w:rPr>
        <w:t>modelo</w:t>
      </w:r>
      <w:r>
        <w:rPr>
          <w:color w:val="231F20"/>
          <w:spacing w:val="22"/>
        </w:rPr>
        <w:t> </w:t>
      </w:r>
      <w:r>
        <w:rPr>
          <w:color w:val="231F20"/>
        </w:rPr>
        <w:t>de</w:t>
      </w:r>
      <w:r>
        <w:rPr>
          <w:color w:val="231F20"/>
          <w:spacing w:val="22"/>
        </w:rPr>
        <w:t> </w:t>
      </w:r>
      <w:r>
        <w:rPr>
          <w:color w:val="231F20"/>
        </w:rPr>
        <w:t>acumulación</w:t>
      </w:r>
      <w:r>
        <w:rPr>
          <w:color w:val="231F20"/>
          <w:spacing w:val="22"/>
        </w:rPr>
        <w:t> </w:t>
      </w:r>
      <w:r>
        <w:rPr>
          <w:color w:val="231F20"/>
        </w:rPr>
        <w:t>cuya</w:t>
      </w:r>
      <w:r>
        <w:rPr>
          <w:color w:val="231F20"/>
          <w:spacing w:val="22"/>
        </w:rPr>
        <w:t> </w:t>
      </w:r>
      <w:r>
        <w:rPr>
          <w:color w:val="231F20"/>
        </w:rPr>
        <w:t>ex- presión en el plano de las relaciones salariales ha sido</w:t>
      </w:r>
      <w:r>
        <w:rPr>
          <w:color w:val="231F20"/>
          <w:spacing w:val="29"/>
        </w:rPr>
        <w:t> </w:t>
      </w:r>
      <w:r>
        <w:rPr>
          <w:color w:val="231F20"/>
        </w:rPr>
        <w:t>la</w:t>
      </w:r>
      <w:r>
        <w:rPr>
          <w:color w:val="231F20"/>
          <w:spacing w:val="7"/>
        </w:rPr>
        <w:t> </w:t>
      </w:r>
      <w:r>
        <w:rPr>
          <w:color w:val="231F20"/>
        </w:rPr>
        <w:t>precarización. No creemos que hayan sido fenómenos efímeros, sino todo</w:t>
      </w:r>
      <w:r>
        <w:rPr>
          <w:color w:val="231F20"/>
          <w:spacing w:val="12"/>
        </w:rPr>
        <w:t> </w:t>
      </w:r>
      <w:r>
        <w:rPr>
          <w:color w:val="231F20"/>
        </w:rPr>
        <w:t>lo</w:t>
      </w:r>
      <w:r>
        <w:rPr>
          <w:color w:val="231F20"/>
          <w:spacing w:val="1"/>
        </w:rPr>
        <w:t> </w:t>
      </w:r>
      <w:r>
        <w:rPr>
          <w:color w:val="231F20"/>
        </w:rPr>
        <w:t>contrario. Además es importante tener en cuenta que —incluso— en</w:t>
      </w:r>
      <w:r>
        <w:rPr>
          <w:color w:val="231F20"/>
          <w:spacing w:val="18"/>
        </w:rPr>
        <w:t> </w:t>
      </w:r>
      <w:r>
        <w:rPr>
          <w:color w:val="231F20"/>
        </w:rPr>
        <w:t>situaciones</w:t>
      </w:r>
      <w:r>
        <w:rPr>
          <w:color w:val="231F20"/>
          <w:spacing w:val="-1"/>
        </w:rPr>
        <w:t> </w:t>
      </w:r>
      <w:r>
        <w:rPr>
          <w:color w:val="231F20"/>
        </w:rPr>
        <w:t>donde se expande la ciudadanía social a trabajadores precarios</w:t>
      </w:r>
      <w:r>
        <w:rPr>
          <w:color w:val="231F20"/>
          <w:spacing w:val="44"/>
        </w:rPr>
        <w:t> </w:t>
      </w:r>
      <w:r>
        <w:rPr>
          <w:color w:val="231F20"/>
        </w:rPr>
        <w:t>a</w:t>
      </w:r>
      <w:r>
        <w:rPr>
          <w:color w:val="231F20"/>
          <w:spacing w:val="10"/>
        </w:rPr>
        <w:t> </w:t>
      </w:r>
      <w:r>
        <w:rPr>
          <w:color w:val="231F20"/>
        </w:rPr>
        <w:t>través de la seguridad social, como ha acaecido recientemente</w:t>
      </w:r>
      <w:r>
        <w:rPr>
          <w:color w:val="231F20"/>
          <w:spacing w:val="38"/>
        </w:rPr>
        <w:t> </w:t>
      </w:r>
      <w:r>
        <w:rPr>
          <w:color w:val="231F20"/>
        </w:rPr>
        <w:t>con</w:t>
      </w:r>
      <w:r>
        <w:rPr>
          <w:color w:val="231F20"/>
          <w:spacing w:val="17"/>
        </w:rPr>
        <w:t> </w:t>
      </w:r>
      <w:r>
        <w:rPr>
          <w:color w:val="231F20"/>
        </w:rPr>
        <w:t>gobiernos “posneoliberales”,</w:t>
      </w:r>
      <w:r>
        <w:rPr>
          <w:color w:val="231F20"/>
          <w:spacing w:val="-10"/>
        </w:rPr>
        <w:t> </w:t>
      </w:r>
      <w:r>
        <w:rPr>
          <w:color w:val="231F20"/>
        </w:rPr>
        <w:t>la</w:t>
      </w:r>
      <w:r>
        <w:rPr>
          <w:color w:val="231F20"/>
          <w:spacing w:val="-9"/>
        </w:rPr>
        <w:t> </w:t>
      </w:r>
      <w:r>
        <w:rPr>
          <w:color w:val="231F20"/>
        </w:rPr>
        <w:t>precariedad</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ve</w:t>
      </w:r>
      <w:r>
        <w:rPr>
          <w:color w:val="231F20"/>
          <w:spacing w:val="-9"/>
        </w:rPr>
        <w:t> </w:t>
      </w:r>
      <w:r>
        <w:rPr>
          <w:color w:val="231F20"/>
        </w:rPr>
        <w:t>fundamentalmente</w:t>
      </w:r>
      <w:r>
        <w:rPr>
          <w:color w:val="231F20"/>
          <w:spacing w:val="-10"/>
        </w:rPr>
        <w:t> </w:t>
      </w:r>
      <w:r>
        <w:rPr>
          <w:color w:val="231F20"/>
        </w:rPr>
        <w:t>modificada</w:t>
      </w:r>
      <w:r>
        <w:rPr>
          <w:color w:val="231F20"/>
          <w:w w:val="98"/>
        </w:rPr>
        <w:t> </w:t>
      </w:r>
      <w:r>
        <w:rPr>
          <w:color w:val="231F20"/>
        </w:rPr>
        <w:t>en</w:t>
      </w:r>
      <w:r>
        <w:rPr>
          <w:color w:val="231F20"/>
          <w:spacing w:val="-7"/>
        </w:rPr>
        <w:t> </w:t>
      </w:r>
      <w:r>
        <w:rPr>
          <w:color w:val="231F20"/>
        </w:rPr>
        <w:t>términos</w:t>
      </w:r>
      <w:r>
        <w:rPr>
          <w:color w:val="231F20"/>
          <w:spacing w:val="-7"/>
        </w:rPr>
        <w:t> </w:t>
      </w:r>
      <w:r>
        <w:rPr>
          <w:color w:val="231F20"/>
        </w:rPr>
        <w:t>de</w:t>
      </w:r>
      <w:r>
        <w:rPr>
          <w:color w:val="231F20"/>
          <w:spacing w:val="-6"/>
        </w:rPr>
        <w:t> </w:t>
      </w:r>
      <w:r>
        <w:rPr>
          <w:color w:val="231F20"/>
        </w:rPr>
        <w:t>las</w:t>
      </w:r>
      <w:r>
        <w:rPr>
          <w:color w:val="231F20"/>
          <w:spacing w:val="-7"/>
        </w:rPr>
        <w:t> </w:t>
      </w:r>
      <w:r>
        <w:rPr>
          <w:color w:val="231F20"/>
        </w:rPr>
        <w:t>condiciones</w:t>
      </w:r>
      <w:r>
        <w:rPr>
          <w:color w:val="231F20"/>
          <w:spacing w:val="-7"/>
        </w:rPr>
        <w:t> </w:t>
      </w:r>
      <w:r>
        <w:rPr>
          <w:color w:val="231F20"/>
        </w:rPr>
        <w:t>laborales</w:t>
      </w:r>
      <w:r>
        <w:rPr>
          <w:color w:val="231F20"/>
          <w:spacing w:val="-7"/>
        </w:rPr>
        <w:t> </w:t>
      </w:r>
      <w:r>
        <w:rPr>
          <w:color w:val="231F20"/>
        </w:rPr>
        <w:t>(Burchardt</w:t>
      </w:r>
      <w:r>
        <w:rPr>
          <w:color w:val="231F20"/>
          <w:spacing w:val="-6"/>
        </w:rPr>
        <w:t> </w:t>
      </w:r>
      <w:r>
        <w:rPr>
          <w:color w:val="231F20"/>
        </w:rPr>
        <w:t>y</w:t>
      </w:r>
      <w:r>
        <w:rPr>
          <w:color w:val="231F20"/>
          <w:spacing w:val="-10"/>
        </w:rPr>
        <w:t> </w:t>
      </w:r>
      <w:r>
        <w:rPr>
          <w:color w:val="231F20"/>
        </w:rPr>
        <w:t>Weinmann,</w:t>
      </w:r>
      <w:r>
        <w:rPr>
          <w:color w:val="231F20"/>
          <w:spacing w:val="-7"/>
        </w:rPr>
        <w:t> </w:t>
      </w:r>
      <w:r>
        <w:rPr>
          <w:color w:val="231F20"/>
        </w:rPr>
        <w:t>2012). Es</w:t>
      </w:r>
      <w:r>
        <w:rPr>
          <w:color w:val="231F20"/>
          <w:spacing w:val="26"/>
        </w:rPr>
        <w:t> </w:t>
      </w:r>
      <w:r>
        <w:rPr>
          <w:color w:val="231F20"/>
        </w:rPr>
        <w:t>importante</w:t>
      </w:r>
      <w:r>
        <w:rPr>
          <w:color w:val="231F20"/>
          <w:spacing w:val="26"/>
        </w:rPr>
        <w:t> </w:t>
      </w:r>
      <w:r>
        <w:rPr>
          <w:color w:val="231F20"/>
        </w:rPr>
        <w:t>recordar</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empleo</w:t>
      </w:r>
      <w:r>
        <w:rPr>
          <w:color w:val="231F20"/>
          <w:spacing w:val="26"/>
        </w:rPr>
        <w:t> </w:t>
      </w:r>
      <w:r>
        <w:rPr>
          <w:color w:val="231F20"/>
        </w:rPr>
        <w:t>formal</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modernización nacional implicaba un paquete de derechos laborales obtenidos</w:t>
      </w:r>
      <w:r>
        <w:rPr>
          <w:color w:val="231F20"/>
          <w:spacing w:val="13"/>
        </w:rPr>
        <w:t> </w:t>
      </w:r>
      <w:r>
        <w:rPr>
          <w:color w:val="231F20"/>
        </w:rPr>
        <w:t>a</w:t>
      </w:r>
      <w:r>
        <w:rPr>
          <w:color w:val="231F20"/>
          <w:spacing w:val="8"/>
        </w:rPr>
        <w:t> </w:t>
      </w:r>
      <w:r>
        <w:rPr>
          <w:color w:val="231F20"/>
        </w:rPr>
        <w:t>través de negociaciones realizadas por sindicatos de rama. En la</w:t>
      </w:r>
      <w:r>
        <w:rPr>
          <w:color w:val="231F20"/>
          <w:spacing w:val="-17"/>
        </w:rPr>
        <w:t> </w:t>
      </w:r>
      <w:r>
        <w:rPr>
          <w:color w:val="231F20"/>
        </w:rPr>
        <w:t>actualidad,</w:t>
      </w:r>
      <w:r>
        <w:rPr>
          <w:color w:val="231F20"/>
          <w:spacing w:val="-2"/>
        </w:rPr>
        <w:t> </w:t>
      </w:r>
      <w:r>
        <w:rPr>
          <w:color w:val="231F20"/>
        </w:rPr>
        <w:t>las negociaciones</w:t>
      </w:r>
      <w:r>
        <w:rPr>
          <w:color w:val="231F20"/>
          <w:spacing w:val="-7"/>
        </w:rPr>
        <w:t> </w:t>
      </w:r>
      <w:r>
        <w:rPr>
          <w:color w:val="231F20"/>
        </w:rPr>
        <w:t>laborales</w:t>
      </w:r>
      <w:r>
        <w:rPr>
          <w:color w:val="231F20"/>
          <w:spacing w:val="-8"/>
        </w:rPr>
        <w:t> </w:t>
      </w:r>
      <w:r>
        <w:rPr>
          <w:color w:val="231F20"/>
        </w:rPr>
        <w:t>—si</w:t>
      </w:r>
      <w:r>
        <w:rPr>
          <w:color w:val="231F20"/>
          <w:spacing w:val="-7"/>
        </w:rPr>
        <w:t> </w:t>
      </w:r>
      <w:r>
        <w:rPr>
          <w:color w:val="231F20"/>
        </w:rPr>
        <w:t>es</w:t>
      </w:r>
      <w:r>
        <w:rPr>
          <w:color w:val="231F20"/>
          <w:spacing w:val="-8"/>
        </w:rPr>
        <w:t> </w:t>
      </w:r>
      <w:r>
        <w:rPr>
          <w:color w:val="231F20"/>
        </w:rPr>
        <w:t>que</w:t>
      </w:r>
      <w:r>
        <w:rPr>
          <w:color w:val="231F20"/>
          <w:spacing w:val="-7"/>
        </w:rPr>
        <w:t> </w:t>
      </w:r>
      <w:r>
        <w:rPr>
          <w:color w:val="231F20"/>
        </w:rPr>
        <w:t>acaecen—</w:t>
      </w:r>
      <w:r>
        <w:rPr>
          <w:color w:val="231F20"/>
          <w:spacing w:val="-8"/>
        </w:rPr>
        <w:t> </w:t>
      </w:r>
      <w:r>
        <w:rPr>
          <w:color w:val="231F20"/>
        </w:rPr>
        <w:t>tienden</w:t>
      </w:r>
      <w:r>
        <w:rPr>
          <w:color w:val="231F20"/>
          <w:spacing w:val="-8"/>
        </w:rPr>
        <w:t> </w:t>
      </w:r>
      <w:r>
        <w:rPr>
          <w:color w:val="231F20"/>
        </w:rPr>
        <w:t>a</w:t>
      </w:r>
      <w:r>
        <w:rPr>
          <w:color w:val="231F20"/>
          <w:spacing w:val="-7"/>
        </w:rPr>
        <w:t> </w:t>
      </w:r>
      <w:r>
        <w:rPr>
          <w:color w:val="231F20"/>
        </w:rPr>
        <w:t>individualizarse 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mejor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casos</w:t>
      </w:r>
      <w:r>
        <w:rPr>
          <w:color w:val="231F20"/>
          <w:spacing w:val="11"/>
        </w:rPr>
        <w:t> </w:t>
      </w:r>
      <w:r>
        <w:rPr>
          <w:color w:val="231F20"/>
        </w:rPr>
        <w:t>se</w:t>
      </w:r>
      <w:r>
        <w:rPr>
          <w:color w:val="231F20"/>
          <w:spacing w:val="11"/>
        </w:rPr>
        <w:t> </w:t>
      </w:r>
      <w:r>
        <w:rPr>
          <w:color w:val="231F20"/>
        </w:rPr>
        <w:t>hacen</w:t>
      </w:r>
      <w:r>
        <w:rPr>
          <w:color w:val="231F20"/>
          <w:spacing w:val="11"/>
        </w:rPr>
        <w:t> </w:t>
      </w:r>
      <w:r>
        <w:rPr>
          <w:color w:val="231F20"/>
        </w:rPr>
        <w:t>a</w:t>
      </w:r>
      <w:r>
        <w:rPr>
          <w:color w:val="231F20"/>
          <w:spacing w:val="11"/>
        </w:rPr>
        <w:t> </w:t>
      </w:r>
      <w:r>
        <w:rPr>
          <w:color w:val="231F20"/>
        </w:rPr>
        <w:t>nivel</w:t>
      </w:r>
      <w:r>
        <w:rPr>
          <w:color w:val="231F20"/>
          <w:spacing w:val="11"/>
        </w:rPr>
        <w:t> </w:t>
      </w:r>
      <w:r>
        <w:rPr>
          <w:color w:val="231F20"/>
        </w:rPr>
        <w:t>de</w:t>
      </w:r>
      <w:r>
        <w:rPr>
          <w:color w:val="231F20"/>
          <w:spacing w:val="11"/>
        </w:rPr>
        <w:t> </w:t>
      </w:r>
      <w:r>
        <w:rPr>
          <w:color w:val="231F20"/>
        </w:rPr>
        <w:t>empresa.</w:t>
      </w:r>
      <w:r>
        <w:rPr>
          <w:color w:val="231F20"/>
          <w:spacing w:val="11"/>
        </w:rPr>
        <w:t> </w:t>
      </w:r>
      <w:r>
        <w:rPr>
          <w:color w:val="231F20"/>
        </w:rPr>
        <w:t>Se</w:t>
      </w:r>
      <w:r>
        <w:rPr>
          <w:color w:val="231F20"/>
          <w:spacing w:val="11"/>
        </w:rPr>
        <w:t> </w:t>
      </w:r>
      <w:r>
        <w:rPr>
          <w:color w:val="231F20"/>
        </w:rPr>
        <w:t>está</w:t>
      </w:r>
      <w:r>
        <w:rPr>
          <w:color w:val="231F20"/>
          <w:spacing w:val="11"/>
        </w:rPr>
        <w:t> </w:t>
      </w:r>
      <w:r>
        <w:rPr>
          <w:color w:val="231F20"/>
        </w:rPr>
        <w:t>ante</w:t>
      </w:r>
      <w:r>
        <w:rPr>
          <w:color w:val="231F20"/>
          <w:spacing w:val="11"/>
        </w:rPr>
        <w:t> </w:t>
      </w:r>
      <w:r>
        <w:rPr>
          <w:color w:val="231F20"/>
        </w:rPr>
        <w:t>lo que</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denominado</w:t>
      </w:r>
      <w:r>
        <w:rPr>
          <w:color w:val="231F20"/>
          <w:spacing w:val="-6"/>
        </w:rPr>
        <w:t> </w:t>
      </w:r>
      <w:r>
        <w:rPr>
          <w:color w:val="231F20"/>
        </w:rPr>
        <w:t>neo-corporativismo</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representa</w:t>
      </w:r>
      <w:r>
        <w:rPr>
          <w:color w:val="231F20"/>
          <w:spacing w:val="-6"/>
        </w:rPr>
        <w:t> </w:t>
      </w:r>
      <w:r>
        <w:rPr>
          <w:color w:val="231F20"/>
        </w:rPr>
        <w:t>un</w:t>
      </w:r>
      <w:r>
        <w:rPr>
          <w:color w:val="231F20"/>
          <w:spacing w:val="-6"/>
        </w:rPr>
        <w:t> </w:t>
      </w:r>
      <w:r>
        <w:rPr>
          <w:color w:val="231F20"/>
        </w:rPr>
        <w:t>fenóme- no sistémico como la formalidad de antaño y los logros que</w:t>
      </w:r>
      <w:r>
        <w:rPr>
          <w:color w:val="231F20"/>
          <w:spacing w:val="43"/>
        </w:rPr>
        <w:t> </w:t>
      </w:r>
      <w:r>
        <w:rPr>
          <w:color w:val="231F20"/>
        </w:rPr>
        <w:t>se</w:t>
      </w:r>
      <w:r>
        <w:rPr>
          <w:color w:val="231F20"/>
          <w:spacing w:val="4"/>
        </w:rPr>
        <w:t> </w:t>
      </w:r>
      <w:r>
        <w:rPr>
          <w:color w:val="231F20"/>
        </w:rPr>
        <w:t>obtienen son contingentes porque dependen de la volatilidad de las</w:t>
      </w:r>
      <w:r>
        <w:rPr>
          <w:color w:val="231F20"/>
          <w:spacing w:val="10"/>
        </w:rPr>
        <w:t> </w:t>
      </w:r>
      <w:r>
        <w:rPr>
          <w:color w:val="231F20"/>
        </w:rPr>
        <w:t>dinámicas</w:t>
      </w:r>
      <w:r>
        <w:rPr>
          <w:color w:val="231F20"/>
          <w:spacing w:val="6"/>
        </w:rPr>
        <w:t> </w:t>
      </w:r>
      <w:r>
        <w:rPr>
          <w:color w:val="231F20"/>
        </w:rPr>
        <w:t>de acumulación</w:t>
      </w:r>
      <w:r>
        <w:rPr>
          <w:color w:val="231F20"/>
          <w:spacing w:val="-5"/>
        </w:rPr>
        <w:t> </w:t>
      </w:r>
      <w:r>
        <w:rPr>
          <w:color w:val="231F20"/>
        </w:rPr>
        <w:t>en</w:t>
      </w:r>
      <w:r>
        <w:rPr>
          <w:color w:val="231F20"/>
          <w:spacing w:val="-5"/>
        </w:rPr>
        <w:t> </w:t>
      </w:r>
      <w:r>
        <w:rPr>
          <w:color w:val="231F20"/>
        </w:rPr>
        <w:t>la</w:t>
      </w:r>
      <w:r>
        <w:rPr>
          <w:color w:val="231F20"/>
          <w:spacing w:val="-4"/>
        </w:rPr>
        <w:t> </w:t>
      </w:r>
      <w:r>
        <w:rPr>
          <w:color w:val="231F20"/>
        </w:rPr>
        <w:t>globalización</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tienen</w:t>
      </w:r>
      <w:r>
        <w:rPr>
          <w:color w:val="231F20"/>
          <w:spacing w:val="-5"/>
        </w:rPr>
        <w:t> </w:t>
      </w:r>
      <w:r>
        <w:rPr>
          <w:color w:val="231F20"/>
        </w:rPr>
        <w:t>traducción</w:t>
      </w:r>
      <w:r>
        <w:rPr>
          <w:color w:val="231F20"/>
          <w:spacing w:val="-5"/>
        </w:rPr>
        <w:t> </w:t>
      </w:r>
      <w:r>
        <w:rPr>
          <w:color w:val="231F20"/>
        </w:rPr>
        <w:t>en</w:t>
      </w:r>
      <w:r>
        <w:rPr>
          <w:color w:val="231F20"/>
          <w:spacing w:val="-5"/>
        </w:rPr>
        <w:t> </w:t>
      </w:r>
      <w:r>
        <w:rPr>
          <w:color w:val="231F20"/>
        </w:rPr>
        <w:t>el</w:t>
      </w:r>
      <w:r>
        <w:rPr>
          <w:color w:val="231F20"/>
          <w:spacing w:val="-4"/>
        </w:rPr>
        <w:t> </w:t>
      </w:r>
      <w:r>
        <w:rPr>
          <w:color w:val="231F20"/>
        </w:rPr>
        <w:t>derecho</w:t>
      </w:r>
      <w:r>
        <w:rPr>
          <w:color w:val="231F20"/>
          <w:spacing w:val="-4"/>
        </w:rPr>
        <w:t> </w:t>
      </w:r>
      <w:r>
        <w:rPr>
          <w:color w:val="231F20"/>
        </w:rPr>
        <w:t>del trabajo. Por estas razones, pensamos que el enfoque</w:t>
      </w:r>
      <w:r>
        <w:rPr>
          <w:color w:val="231F20"/>
          <w:spacing w:val="38"/>
        </w:rPr>
        <w:t> </w:t>
      </w:r>
      <w:r>
        <w:rPr>
          <w:color w:val="231F20"/>
        </w:rPr>
        <w:t>de</w:t>
      </w:r>
      <w:r>
        <w:rPr>
          <w:color w:val="231F20"/>
          <w:spacing w:val="23"/>
        </w:rPr>
        <w:t> </w:t>
      </w:r>
      <w:r>
        <w:rPr>
          <w:color w:val="231F20"/>
        </w:rPr>
        <w:t>precarización, con su propuesta de gradualidad, capta mejor la configuración actual</w:t>
      </w:r>
      <w:r>
        <w:rPr>
          <w:color w:val="231F20"/>
          <w:spacing w:val="38"/>
        </w:rPr>
        <w:t> </w:t>
      </w:r>
      <w:r>
        <w:rPr>
          <w:color w:val="231F20"/>
        </w:rPr>
        <w:t>de</w:t>
      </w:r>
    </w:p>
    <w:p>
      <w:pPr>
        <w:pStyle w:val="BodyText"/>
        <w:spacing w:before="1"/>
        <w:ind w:left="110"/>
        <w:jc w:val="both"/>
      </w:pPr>
      <w:r>
        <w:rPr>
          <w:color w:val="231F20"/>
        </w:rPr>
        <w:t>las relaciones salariales en la región.</w:t>
      </w:r>
    </w:p>
    <w:p>
      <w:pPr>
        <w:pStyle w:val="Heading4"/>
        <w:spacing w:before="142"/>
        <w:ind w:left="110"/>
      </w:pPr>
      <w:r>
        <w:rPr>
          <w:w w:val="85"/>
        </w:rPr>
        <w:t>Conclusiones</w:t>
      </w:r>
    </w:p>
    <w:p>
      <w:pPr>
        <w:pStyle w:val="BodyText"/>
        <w:spacing w:line="249" w:lineRule="auto" w:before="171"/>
        <w:ind w:left="110" w:right="111"/>
        <w:jc w:val="both"/>
      </w:pPr>
      <w:r>
        <w:rPr>
          <w:color w:val="231F20"/>
        </w:rPr>
        <w:t>Se puede postular que, en términos del campo de condiciones de explo- tación de la fuerza de trabajo, con la modernización globalizada se ha operado una regresión respecto a los logros que representaba el empleo formal. Aunque su cobertura fuera limitada, representaba el vínculo en- tre trabajo y ciudadanía. La precarización salarial generalizada supone que el trabajo sigue sin constituirse plenamente como empleo y el</w:t>
      </w:r>
      <w:r>
        <w:rPr>
          <w:color w:val="231F20"/>
          <w:spacing w:val="-32"/>
        </w:rPr>
        <w:t> </w:t>
      </w:r>
      <w:r>
        <w:rPr>
          <w:color w:val="231F20"/>
        </w:rPr>
        <w:t>futuro no parece muy promisorio al respecto. Hay dos elementos claves, re- lativamente novedosos, que impiden tal transmutación. Por un lado, el desempleo con su naturaleza estructural representa una auténtica espada de</w:t>
      </w:r>
      <w:r>
        <w:rPr>
          <w:color w:val="231F20"/>
          <w:spacing w:val="-10"/>
        </w:rPr>
        <w:t> </w:t>
      </w:r>
      <w:r>
        <w:rPr>
          <w:color w:val="231F20"/>
        </w:rPr>
        <w:t>Damocles</w:t>
      </w:r>
      <w:r>
        <w:rPr>
          <w:color w:val="231F20"/>
          <w:spacing w:val="-10"/>
        </w:rPr>
        <w:t> </w:t>
      </w:r>
      <w:r>
        <w:rPr>
          <w:color w:val="231F20"/>
        </w:rPr>
        <w:t>sobre</w:t>
      </w:r>
      <w:r>
        <w:rPr>
          <w:color w:val="231F20"/>
          <w:spacing w:val="-10"/>
        </w:rPr>
        <w:t> </w:t>
      </w:r>
      <w:r>
        <w:rPr>
          <w:color w:val="231F20"/>
        </w:rPr>
        <w:t>las</w:t>
      </w:r>
      <w:r>
        <w:rPr>
          <w:color w:val="231F20"/>
          <w:spacing w:val="-11"/>
        </w:rPr>
        <w:t> </w:t>
      </w:r>
      <w:r>
        <w:rPr>
          <w:color w:val="231F20"/>
        </w:rPr>
        <w:t>cabezas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mayoría</w:t>
      </w:r>
      <w:r>
        <w:rPr>
          <w:color w:val="231F20"/>
          <w:spacing w:val="-11"/>
        </w:rPr>
        <w:t> </w:t>
      </w:r>
      <w:r>
        <w:rPr>
          <w:color w:val="231F20"/>
        </w:rPr>
        <w:t>de</w:t>
      </w:r>
      <w:r>
        <w:rPr>
          <w:color w:val="231F20"/>
          <w:spacing w:val="-10"/>
        </w:rPr>
        <w:t> </w:t>
      </w:r>
      <w:r>
        <w:rPr>
          <w:color w:val="231F20"/>
        </w:rPr>
        <w:t>los</w:t>
      </w:r>
      <w:r>
        <w:rPr>
          <w:color w:val="231F20"/>
          <w:spacing w:val="-11"/>
        </w:rPr>
        <w:t> </w:t>
      </w:r>
      <w:r>
        <w:rPr>
          <w:color w:val="231F20"/>
        </w:rPr>
        <w:t>asalariados</w:t>
      </w:r>
      <w:r>
        <w:rPr>
          <w:color w:val="231F20"/>
          <w:spacing w:val="-11"/>
        </w:rPr>
        <w:t> </w:t>
      </w:r>
      <w:r>
        <w:rPr>
          <w:color w:val="231F20"/>
        </w:rPr>
        <w:t>recordán- doles que son perfectamente sustituibles. </w:t>
      </w:r>
      <w:r>
        <w:rPr>
          <w:color w:val="231F20"/>
          <w:spacing w:val="-13"/>
        </w:rPr>
        <w:t>Y, </w:t>
      </w:r>
      <w:r>
        <w:rPr>
          <w:color w:val="231F20"/>
        </w:rPr>
        <w:t>por otro lado, la empleabi- lidad desplaza el énfasis de las dinámicas laborales desde el puesto de trabajo hacia la propia fuerza laboral y sus decisiones. De esta manera, se</w:t>
      </w:r>
      <w:r>
        <w:rPr>
          <w:color w:val="231F20"/>
          <w:spacing w:val="-6"/>
        </w:rPr>
        <w:t> </w:t>
      </w:r>
      <w:r>
        <w:rPr>
          <w:color w:val="231F20"/>
        </w:rPr>
        <w:t>mixtifica</w:t>
      </w:r>
      <w:r>
        <w:rPr>
          <w:color w:val="231F20"/>
          <w:spacing w:val="-7"/>
        </w:rPr>
        <w:t> </w:t>
      </w:r>
      <w:r>
        <w:rPr>
          <w:color w:val="231F20"/>
        </w:rPr>
        <w:t>los</w:t>
      </w:r>
      <w:r>
        <w:rPr>
          <w:color w:val="231F20"/>
          <w:spacing w:val="-6"/>
        </w:rPr>
        <w:t> </w:t>
      </w:r>
      <w:r>
        <w:rPr>
          <w:color w:val="231F20"/>
        </w:rPr>
        <w:t>orígenes</w:t>
      </w:r>
      <w:r>
        <w:rPr>
          <w:color w:val="231F20"/>
          <w:spacing w:val="-6"/>
        </w:rPr>
        <w:t> </w:t>
      </w:r>
      <w:r>
        <w:rPr>
          <w:color w:val="231F20"/>
        </w:rPr>
        <w:t>y</w:t>
      </w:r>
      <w:r>
        <w:rPr>
          <w:color w:val="231F20"/>
          <w:spacing w:val="-6"/>
        </w:rPr>
        <w:t> </w:t>
      </w:r>
      <w:r>
        <w:rPr>
          <w:color w:val="231F20"/>
        </w:rPr>
        <w:t>causas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regresión</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laboral</w:t>
      </w:r>
      <w:r>
        <w:rPr>
          <w:color w:val="231F20"/>
          <w:spacing w:val="-7"/>
        </w:rPr>
        <w:t> </w:t>
      </w:r>
      <w:r>
        <w:rPr>
          <w:color w:val="231F20"/>
        </w:rPr>
        <w:t>operada en el nuevo modelo de acumulación. Pero también, viejos derechos   </w:t>
      </w:r>
      <w:r>
        <w:rPr>
          <w:color w:val="231F20"/>
          <w:spacing w:val="22"/>
        </w:rPr>
        <w:t> </w:t>
      </w:r>
      <w:r>
        <w:rPr>
          <w:color w:val="231F20"/>
        </w:rPr>
        <w:t>se</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convierten</w:t>
      </w:r>
      <w:r>
        <w:rPr>
          <w:color w:val="231F20"/>
          <w:spacing w:val="-6"/>
        </w:rPr>
        <w:t> </w:t>
      </w:r>
      <w:r>
        <w:rPr>
          <w:color w:val="231F20"/>
        </w:rPr>
        <w:t>en</w:t>
      </w:r>
      <w:r>
        <w:rPr>
          <w:color w:val="231F20"/>
          <w:spacing w:val="-5"/>
        </w:rPr>
        <w:t> </w:t>
      </w:r>
      <w:r>
        <w:rPr>
          <w:color w:val="231F20"/>
        </w:rPr>
        <w:t>nuevos</w:t>
      </w:r>
      <w:r>
        <w:rPr>
          <w:color w:val="231F20"/>
          <w:spacing w:val="-5"/>
        </w:rPr>
        <w:t> </w:t>
      </w:r>
      <w:r>
        <w:rPr>
          <w:color w:val="231F20"/>
        </w:rPr>
        <w:t>deberes</w:t>
      </w:r>
      <w:r>
        <w:rPr>
          <w:color w:val="231F20"/>
          <w:spacing w:val="-5"/>
        </w:rPr>
        <w:t> </w:t>
      </w:r>
      <w:r>
        <w:rPr>
          <w:color w:val="231F20"/>
          <w:spacing w:val="-7"/>
        </w:rPr>
        <w:t>y,</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manera,</w:t>
      </w:r>
      <w:r>
        <w:rPr>
          <w:color w:val="231F20"/>
          <w:spacing w:val="-6"/>
        </w:rPr>
        <w:t> </w:t>
      </w:r>
      <w:r>
        <w:rPr>
          <w:color w:val="231F20"/>
        </w:rPr>
        <w:t>se</w:t>
      </w:r>
      <w:r>
        <w:rPr>
          <w:color w:val="231F20"/>
          <w:spacing w:val="-5"/>
        </w:rPr>
        <w:t> </w:t>
      </w:r>
      <w:r>
        <w:rPr>
          <w:color w:val="231F20"/>
        </w:rPr>
        <w:t>refuerza</w:t>
      </w:r>
      <w:r>
        <w:rPr>
          <w:color w:val="231F20"/>
          <w:spacing w:val="-5"/>
        </w:rPr>
        <w:t> </w:t>
      </w:r>
      <w:r>
        <w:rPr>
          <w:color w:val="231F20"/>
        </w:rPr>
        <w:t>el</w:t>
      </w:r>
      <w:r>
        <w:rPr>
          <w:color w:val="231F20"/>
          <w:spacing w:val="-5"/>
        </w:rPr>
        <w:t> </w:t>
      </w:r>
      <w:r>
        <w:rPr>
          <w:color w:val="231F20"/>
        </w:rPr>
        <w:t>individua- lismo que el orden (neo)liberal ha</w:t>
      </w:r>
      <w:r>
        <w:rPr>
          <w:color w:val="231F20"/>
          <w:spacing w:val="-1"/>
        </w:rPr>
        <w:t> </w:t>
      </w:r>
      <w:r>
        <w:rPr>
          <w:color w:val="231F20"/>
        </w:rPr>
        <w:t>impuesto.</w:t>
      </w:r>
    </w:p>
    <w:p>
      <w:pPr>
        <w:pStyle w:val="BodyText"/>
        <w:spacing w:line="249" w:lineRule="auto" w:before="1"/>
        <w:ind w:left="113" w:right="107" w:firstLine="283"/>
        <w:jc w:val="both"/>
      </w:pPr>
      <w:r>
        <w:rPr>
          <w:color w:val="231F20"/>
        </w:rPr>
        <w:t>Por consiguiente, no se percibe que las asimetrías, en este campo de desigualdades de excedente, se hayan relativizado con la modernización globalizada con la excepción de algunos países con gobiernos “posneo- liberales”. La precarización salarial, como principal dinámica del</w:t>
      </w:r>
      <w:r>
        <w:rPr>
          <w:color w:val="231F20"/>
          <w:spacing w:val="-25"/>
        </w:rPr>
        <w:t> </w:t>
      </w:r>
      <w:r>
        <w:rPr>
          <w:color w:val="231F20"/>
        </w:rPr>
        <w:t>campo de</w:t>
      </w:r>
      <w:r>
        <w:rPr>
          <w:color w:val="231F20"/>
          <w:spacing w:val="-4"/>
        </w:rPr>
        <w:t> </w:t>
      </w:r>
      <w:r>
        <w:rPr>
          <w:color w:val="231F20"/>
        </w:rPr>
        <w:t>las</w:t>
      </w:r>
      <w:r>
        <w:rPr>
          <w:color w:val="231F20"/>
          <w:spacing w:val="-4"/>
        </w:rPr>
        <w:t> </w:t>
      </w:r>
      <w:r>
        <w:rPr>
          <w:color w:val="231F20"/>
        </w:rPr>
        <w:t>condiciones</w:t>
      </w:r>
      <w:r>
        <w:rPr>
          <w:color w:val="231F20"/>
          <w:spacing w:val="-5"/>
        </w:rPr>
        <w:t> </w:t>
      </w:r>
      <w:r>
        <w:rPr>
          <w:color w:val="231F20"/>
        </w:rPr>
        <w:t>de</w:t>
      </w:r>
      <w:r>
        <w:rPr>
          <w:color w:val="231F20"/>
          <w:spacing w:val="-4"/>
        </w:rPr>
        <w:t> </w:t>
      </w:r>
      <w:r>
        <w:rPr>
          <w:color w:val="231F20"/>
        </w:rPr>
        <w:t>explotación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fuerza</w:t>
      </w:r>
      <w:r>
        <w:rPr>
          <w:color w:val="231F20"/>
          <w:spacing w:val="-4"/>
        </w:rPr>
        <w:t> </w:t>
      </w:r>
      <w:r>
        <w:rPr>
          <w:color w:val="231F20"/>
        </w:rPr>
        <w:t>laboral,</w:t>
      </w:r>
      <w:r>
        <w:rPr>
          <w:color w:val="231F20"/>
          <w:spacing w:val="-4"/>
        </w:rPr>
        <w:t> </w:t>
      </w:r>
      <w:r>
        <w:rPr>
          <w:color w:val="231F20"/>
        </w:rPr>
        <w:t>insinúa</w:t>
      </w:r>
      <w:r>
        <w:rPr>
          <w:color w:val="231F20"/>
          <w:spacing w:val="-4"/>
        </w:rPr>
        <w:t> </w:t>
      </w:r>
      <w:r>
        <w:rPr>
          <w:color w:val="231F20"/>
        </w:rPr>
        <w:t>la</w:t>
      </w:r>
      <w:r>
        <w:rPr>
          <w:color w:val="231F20"/>
          <w:spacing w:val="-4"/>
        </w:rPr>
        <w:t> </w:t>
      </w:r>
      <w:r>
        <w:rPr>
          <w:color w:val="231F20"/>
        </w:rPr>
        <w:t>preemi- nencia del trabajo sobre el empleo. Sospechamos, por lo tanto y a pesar de diagnósticos optimistas sobre el descenso de las desigualdades en la región, que la persistencia de estas desigualdades de excedente en Amé- rica Latina sigue siendo</w:t>
      </w:r>
      <w:r>
        <w:rPr>
          <w:color w:val="231F20"/>
          <w:spacing w:val="-10"/>
        </w:rPr>
        <w:t> </w:t>
      </w:r>
      <w:r>
        <w:rPr>
          <w:color w:val="231F20"/>
        </w:rPr>
        <w:t>persistente.</w:t>
      </w:r>
    </w:p>
    <w:p>
      <w:pPr>
        <w:pStyle w:val="BodyText"/>
      </w:pPr>
    </w:p>
    <w:p>
      <w:pPr>
        <w:pStyle w:val="Heading4"/>
        <w:spacing w:before="150"/>
      </w:pPr>
      <w:r>
        <w:rPr>
          <w:w w:val="85"/>
        </w:rPr>
        <w:t>Bibliografía</w:t>
      </w:r>
    </w:p>
    <w:p>
      <w:pPr>
        <w:pStyle w:val="BodyText"/>
        <w:rPr>
          <w:b/>
          <w:sz w:val="24"/>
        </w:rPr>
      </w:pPr>
    </w:p>
    <w:p>
      <w:pPr>
        <w:spacing w:line="254" w:lineRule="auto" w:before="203"/>
        <w:ind w:left="113" w:right="108" w:firstLine="0"/>
        <w:jc w:val="both"/>
        <w:rPr>
          <w:sz w:val="18"/>
        </w:rPr>
      </w:pPr>
      <w:r>
        <w:rPr>
          <w:color w:val="231F20"/>
          <w:sz w:val="18"/>
        </w:rPr>
        <w:t>Abramo,</w:t>
      </w:r>
      <w:r>
        <w:rPr>
          <w:color w:val="231F20"/>
          <w:spacing w:val="-6"/>
          <w:sz w:val="18"/>
        </w:rPr>
        <w:t> </w:t>
      </w:r>
      <w:r>
        <w:rPr>
          <w:color w:val="231F20"/>
          <w:sz w:val="18"/>
        </w:rPr>
        <w:t>Laíz</w:t>
      </w:r>
      <w:r>
        <w:rPr>
          <w:color w:val="231F20"/>
          <w:spacing w:val="-7"/>
          <w:sz w:val="18"/>
        </w:rPr>
        <w:t> </w:t>
      </w:r>
      <w:r>
        <w:rPr>
          <w:color w:val="231F20"/>
          <w:sz w:val="18"/>
        </w:rPr>
        <w:t>(1998)</w:t>
      </w:r>
      <w:r>
        <w:rPr>
          <w:color w:val="231F20"/>
          <w:spacing w:val="-7"/>
          <w:sz w:val="18"/>
        </w:rPr>
        <w:t> </w:t>
      </w:r>
      <w:r>
        <w:rPr>
          <w:color w:val="231F20"/>
          <w:sz w:val="18"/>
        </w:rPr>
        <w:t>“Um</w:t>
      </w:r>
      <w:r>
        <w:rPr>
          <w:color w:val="231F20"/>
          <w:spacing w:val="-7"/>
          <w:sz w:val="18"/>
        </w:rPr>
        <w:t> </w:t>
      </w:r>
      <w:r>
        <w:rPr>
          <w:color w:val="231F20"/>
          <w:sz w:val="18"/>
        </w:rPr>
        <w:t>olhar</w:t>
      </w:r>
      <w:r>
        <w:rPr>
          <w:color w:val="231F20"/>
          <w:spacing w:val="-7"/>
          <w:sz w:val="18"/>
        </w:rPr>
        <w:t> </w:t>
      </w:r>
      <w:r>
        <w:rPr>
          <w:color w:val="231F20"/>
          <w:sz w:val="18"/>
        </w:rPr>
        <w:t>de</w:t>
      </w:r>
      <w:r>
        <w:rPr>
          <w:color w:val="231F20"/>
          <w:spacing w:val="-7"/>
          <w:sz w:val="18"/>
        </w:rPr>
        <w:t> </w:t>
      </w:r>
      <w:r>
        <w:rPr>
          <w:color w:val="231F20"/>
          <w:sz w:val="18"/>
        </w:rPr>
        <w:t>gênero.</w:t>
      </w:r>
      <w:r>
        <w:rPr>
          <w:color w:val="231F20"/>
          <w:spacing w:val="-10"/>
          <w:sz w:val="18"/>
        </w:rPr>
        <w:t> </w:t>
      </w:r>
      <w:r>
        <w:rPr>
          <w:color w:val="231F20"/>
          <w:sz w:val="18"/>
        </w:rPr>
        <w:t>Visibilizando</w:t>
      </w:r>
      <w:r>
        <w:rPr>
          <w:color w:val="231F20"/>
          <w:spacing w:val="-7"/>
          <w:sz w:val="18"/>
        </w:rPr>
        <w:t> </w:t>
      </w:r>
      <w:r>
        <w:rPr>
          <w:color w:val="231F20"/>
          <w:sz w:val="18"/>
        </w:rPr>
        <w:t>precarizaçoes</w:t>
      </w:r>
      <w:r>
        <w:rPr>
          <w:color w:val="231F20"/>
          <w:spacing w:val="-7"/>
          <w:sz w:val="18"/>
        </w:rPr>
        <w:t> </w:t>
      </w:r>
      <w:r>
        <w:rPr>
          <w:color w:val="231F20"/>
          <w:sz w:val="18"/>
        </w:rPr>
        <w:t>ao</w:t>
      </w:r>
      <w:r>
        <w:rPr>
          <w:color w:val="231F20"/>
          <w:spacing w:val="-7"/>
          <w:sz w:val="18"/>
        </w:rPr>
        <w:t> </w:t>
      </w:r>
      <w:r>
        <w:rPr>
          <w:color w:val="231F20"/>
          <w:sz w:val="18"/>
        </w:rPr>
        <w:t>longo das cadeias produtivas”, en Laíz Abramo y Alice Rangel de Paiva Abreu (org.), </w:t>
      </w:r>
      <w:r>
        <w:rPr>
          <w:i/>
          <w:color w:val="231F20"/>
          <w:spacing w:val="-4"/>
          <w:sz w:val="18"/>
        </w:rPr>
        <w:t>Gênero </w:t>
      </w:r>
      <w:r>
        <w:rPr>
          <w:i/>
          <w:color w:val="231F20"/>
          <w:sz w:val="18"/>
        </w:rPr>
        <w:t>e </w:t>
      </w:r>
      <w:r>
        <w:rPr>
          <w:i/>
          <w:color w:val="231F20"/>
          <w:spacing w:val="-3"/>
          <w:sz w:val="18"/>
        </w:rPr>
        <w:t>trabalho </w:t>
      </w:r>
      <w:r>
        <w:rPr>
          <w:i/>
          <w:color w:val="231F20"/>
          <w:sz w:val="18"/>
        </w:rPr>
        <w:t>na </w:t>
      </w:r>
      <w:r>
        <w:rPr>
          <w:i/>
          <w:color w:val="231F20"/>
          <w:spacing w:val="-3"/>
          <w:sz w:val="18"/>
        </w:rPr>
        <w:t>sociologia latino-americana</w:t>
      </w:r>
      <w:r>
        <w:rPr>
          <w:color w:val="231F20"/>
          <w:spacing w:val="-3"/>
          <w:sz w:val="18"/>
        </w:rPr>
        <w:t>, </w:t>
      </w:r>
      <w:r>
        <w:rPr>
          <w:color w:val="231F20"/>
          <w:sz w:val="18"/>
        </w:rPr>
        <w:t>Sao </w:t>
      </w:r>
      <w:r>
        <w:rPr>
          <w:color w:val="231F20"/>
          <w:spacing w:val="-3"/>
          <w:sz w:val="18"/>
        </w:rPr>
        <w:t>Paulo:</w:t>
      </w:r>
      <w:r>
        <w:rPr>
          <w:color w:val="231F20"/>
          <w:spacing w:val="-27"/>
          <w:sz w:val="18"/>
        </w:rPr>
        <w:t> </w:t>
      </w:r>
      <w:r>
        <w:rPr>
          <w:color w:val="231F20"/>
          <w:spacing w:val="-5"/>
          <w:sz w:val="18"/>
        </w:rPr>
        <w:t>ALAST/SERT.</w:t>
      </w:r>
    </w:p>
    <w:p>
      <w:pPr>
        <w:spacing w:line="254" w:lineRule="auto" w:before="57"/>
        <w:ind w:left="113" w:right="108" w:firstLine="0"/>
        <w:jc w:val="both"/>
        <w:rPr>
          <w:sz w:val="18"/>
        </w:rPr>
      </w:pPr>
      <w:r>
        <w:rPr>
          <w:color w:val="231F20"/>
          <w:sz w:val="18"/>
        </w:rPr>
        <w:t>Abramo, Laíz (2001) “Mercado de trabajo, flexibilización y nuevas formas de regulación”, en </w:t>
      </w:r>
      <w:r>
        <w:rPr>
          <w:i/>
          <w:color w:val="231F20"/>
          <w:sz w:val="18"/>
        </w:rPr>
        <w:t>Trabajo</w:t>
      </w:r>
      <w:r>
        <w:rPr>
          <w:color w:val="231F20"/>
          <w:sz w:val="18"/>
        </w:rPr>
        <w:t>, año 2, núm. 4.</w:t>
      </w:r>
    </w:p>
    <w:p>
      <w:pPr>
        <w:spacing w:line="254" w:lineRule="auto" w:before="57"/>
        <w:ind w:left="113" w:right="107" w:firstLine="0"/>
        <w:jc w:val="both"/>
        <w:rPr>
          <w:sz w:val="18"/>
        </w:rPr>
      </w:pPr>
      <w:r>
        <w:rPr>
          <w:color w:val="231F20"/>
          <w:sz w:val="18"/>
        </w:rPr>
        <w:t>Agacino, Rafael (1994) </w:t>
      </w:r>
      <w:r>
        <w:rPr>
          <w:i/>
          <w:color w:val="231F20"/>
          <w:sz w:val="18"/>
        </w:rPr>
        <w:t>Acumulación, Distribución y Consenso en Chile</w:t>
      </w:r>
      <w:r>
        <w:rPr>
          <w:color w:val="231F20"/>
          <w:sz w:val="18"/>
        </w:rPr>
        <w:t>, docu- mento</w:t>
      </w:r>
      <w:r>
        <w:rPr>
          <w:color w:val="231F20"/>
          <w:spacing w:val="-10"/>
          <w:sz w:val="18"/>
        </w:rPr>
        <w:t> </w:t>
      </w:r>
      <w:r>
        <w:rPr>
          <w:color w:val="231F20"/>
          <w:sz w:val="18"/>
        </w:rPr>
        <w:t>en</w:t>
      </w:r>
      <w:r>
        <w:rPr>
          <w:color w:val="231F20"/>
          <w:spacing w:val="-20"/>
          <w:sz w:val="18"/>
        </w:rPr>
        <w:t> </w:t>
      </w:r>
      <w:r>
        <w:rPr>
          <w:color w:val="231F20"/>
          <w:sz w:val="18"/>
        </w:rPr>
        <w:t>Archivo</w:t>
      </w:r>
      <w:r>
        <w:rPr>
          <w:color w:val="231F20"/>
          <w:spacing w:val="-9"/>
          <w:sz w:val="18"/>
        </w:rPr>
        <w:t> </w:t>
      </w:r>
      <w:r>
        <w:rPr>
          <w:color w:val="231F20"/>
          <w:sz w:val="18"/>
        </w:rPr>
        <w:t>Chile,</w:t>
      </w:r>
      <w:r>
        <w:rPr>
          <w:color w:val="231F20"/>
          <w:spacing w:val="-10"/>
          <w:sz w:val="18"/>
        </w:rPr>
        <w:t> </w:t>
      </w:r>
      <w:r>
        <w:rPr>
          <w:color w:val="231F20"/>
          <w:sz w:val="18"/>
        </w:rPr>
        <w:t>Santiago</w:t>
      </w:r>
      <w:r>
        <w:rPr>
          <w:color w:val="231F20"/>
          <w:spacing w:val="-10"/>
          <w:sz w:val="18"/>
        </w:rPr>
        <w:t> </w:t>
      </w:r>
      <w:r>
        <w:rPr>
          <w:color w:val="231F20"/>
          <w:sz w:val="18"/>
        </w:rPr>
        <w:t>de</w:t>
      </w:r>
      <w:r>
        <w:rPr>
          <w:color w:val="231F20"/>
          <w:spacing w:val="-10"/>
          <w:sz w:val="18"/>
        </w:rPr>
        <w:t> </w:t>
      </w:r>
      <w:r>
        <w:rPr>
          <w:color w:val="231F20"/>
          <w:sz w:val="18"/>
        </w:rPr>
        <w:t>Chile:</w:t>
      </w:r>
      <w:r>
        <w:rPr>
          <w:color w:val="231F20"/>
          <w:spacing w:val="-10"/>
          <w:sz w:val="18"/>
        </w:rPr>
        <w:t> </w:t>
      </w:r>
      <w:r>
        <w:rPr>
          <w:color w:val="231F20"/>
          <w:sz w:val="18"/>
        </w:rPr>
        <w:t>Centro</w:t>
      </w:r>
      <w:r>
        <w:rPr>
          <w:color w:val="231F20"/>
          <w:spacing w:val="-10"/>
          <w:sz w:val="18"/>
        </w:rPr>
        <w:t> </w:t>
      </w:r>
      <w:r>
        <w:rPr>
          <w:color w:val="231F20"/>
          <w:sz w:val="18"/>
        </w:rPr>
        <w:t>de</w:t>
      </w:r>
      <w:r>
        <w:rPr>
          <w:color w:val="231F20"/>
          <w:spacing w:val="-10"/>
          <w:sz w:val="18"/>
        </w:rPr>
        <w:t> </w:t>
      </w:r>
      <w:r>
        <w:rPr>
          <w:color w:val="231F20"/>
          <w:sz w:val="18"/>
        </w:rPr>
        <w:t>Estudios</w:t>
      </w:r>
      <w:r>
        <w:rPr>
          <w:color w:val="231F20"/>
          <w:spacing w:val="-10"/>
          <w:sz w:val="18"/>
        </w:rPr>
        <w:t> </w:t>
      </w:r>
      <w:r>
        <w:rPr>
          <w:color w:val="231F20"/>
          <w:sz w:val="18"/>
        </w:rPr>
        <w:t>Miguel</w:t>
      </w:r>
      <w:r>
        <w:rPr>
          <w:color w:val="231F20"/>
          <w:spacing w:val="-10"/>
          <w:sz w:val="18"/>
        </w:rPr>
        <w:t> </w:t>
      </w:r>
      <w:r>
        <w:rPr>
          <w:color w:val="231F20"/>
          <w:sz w:val="18"/>
        </w:rPr>
        <w:t>Enríquez.</w:t>
      </w:r>
    </w:p>
    <w:p>
      <w:pPr>
        <w:spacing w:line="254" w:lineRule="auto" w:before="57"/>
        <w:ind w:left="113" w:right="108" w:firstLine="0"/>
        <w:jc w:val="both"/>
        <w:rPr>
          <w:sz w:val="18"/>
        </w:rPr>
      </w:pPr>
      <w:r>
        <w:rPr>
          <w:color w:val="231F20"/>
          <w:sz w:val="18"/>
        </w:rPr>
        <w:t>Arellano, Karina, Diego Bacarelli, Lucía De Gennaro, Soraya Giradles, Emilio Sadier, Cecilia Dallacia (2009) “Construcción del sujeto de trabajo en la condi- ción de precariedad”, en Julio César Neffa, Enrique de la Garza </w:t>
      </w:r>
      <w:r>
        <w:rPr>
          <w:color w:val="231F20"/>
          <w:spacing w:val="-3"/>
          <w:sz w:val="18"/>
        </w:rPr>
        <w:t>Toledo </w:t>
      </w:r>
      <w:r>
        <w:rPr>
          <w:color w:val="231F20"/>
          <w:sz w:val="18"/>
        </w:rPr>
        <w:t>y</w:t>
      </w:r>
      <w:r>
        <w:rPr>
          <w:color w:val="231F20"/>
          <w:spacing w:val="-23"/>
          <w:sz w:val="18"/>
        </w:rPr>
        <w:t> </w:t>
      </w:r>
      <w:r>
        <w:rPr>
          <w:color w:val="231F20"/>
          <w:sz w:val="18"/>
        </w:rPr>
        <w:t>Leticia Muñiz </w:t>
      </w:r>
      <w:r>
        <w:rPr>
          <w:color w:val="231F20"/>
          <w:spacing w:val="-3"/>
          <w:sz w:val="18"/>
        </w:rPr>
        <w:t>Terra </w:t>
      </w:r>
      <w:r>
        <w:rPr>
          <w:color w:val="231F20"/>
          <w:sz w:val="18"/>
        </w:rPr>
        <w:t>(comp.), </w:t>
      </w:r>
      <w:r>
        <w:rPr>
          <w:i/>
          <w:color w:val="231F20"/>
          <w:sz w:val="18"/>
        </w:rPr>
        <w:t>Trabajo, empleo, calificaciones profesionales, relaciones </w:t>
      </w:r>
      <w:r>
        <w:rPr>
          <w:i/>
          <w:color w:val="231F20"/>
          <w:sz w:val="18"/>
        </w:rPr>
        <w:t>de trabajo e identidades laborales</w:t>
      </w:r>
      <w:r>
        <w:rPr>
          <w:color w:val="231F20"/>
          <w:sz w:val="18"/>
        </w:rPr>
        <w:t>, Buenos</w:t>
      </w:r>
      <w:r>
        <w:rPr>
          <w:color w:val="231F20"/>
          <w:spacing w:val="-32"/>
          <w:sz w:val="18"/>
        </w:rPr>
        <w:t> </w:t>
      </w:r>
      <w:r>
        <w:rPr>
          <w:color w:val="231F20"/>
          <w:sz w:val="18"/>
        </w:rPr>
        <w:t>Aires: Clacso/CAICyT, vol. I.</w:t>
      </w:r>
    </w:p>
    <w:p>
      <w:pPr>
        <w:spacing w:line="254" w:lineRule="auto" w:before="57"/>
        <w:ind w:left="113" w:right="108" w:firstLine="0"/>
        <w:jc w:val="both"/>
        <w:rPr>
          <w:sz w:val="18"/>
        </w:rPr>
      </w:pPr>
      <w:r>
        <w:rPr>
          <w:color w:val="231F20"/>
          <w:sz w:val="18"/>
        </w:rPr>
        <w:t>Barrientos, Armando (1998) </w:t>
      </w:r>
      <w:r>
        <w:rPr>
          <w:i/>
          <w:color w:val="231F20"/>
          <w:sz w:val="18"/>
        </w:rPr>
        <w:t>Pension Reform in Latin America</w:t>
      </w:r>
      <w:r>
        <w:rPr>
          <w:color w:val="231F20"/>
          <w:sz w:val="18"/>
        </w:rPr>
        <w:t>, Aldershot: Ash- gate.</w:t>
      </w:r>
    </w:p>
    <w:p>
      <w:pPr>
        <w:spacing w:line="254" w:lineRule="auto" w:before="57"/>
        <w:ind w:left="113" w:right="108" w:firstLine="0"/>
        <w:jc w:val="both"/>
        <w:rPr>
          <w:sz w:val="18"/>
        </w:rPr>
      </w:pPr>
      <w:r>
        <w:rPr>
          <w:color w:val="231F20"/>
          <w:sz w:val="18"/>
        </w:rPr>
        <w:t>Bensusán, Graciela (2009) “Estándares laborales y calidad de los empleos en América Latina”, en </w:t>
      </w:r>
      <w:r>
        <w:rPr>
          <w:i/>
          <w:color w:val="231F20"/>
          <w:sz w:val="18"/>
        </w:rPr>
        <w:t>Perfiles Latinoamericanos</w:t>
      </w:r>
      <w:r>
        <w:rPr>
          <w:color w:val="231F20"/>
          <w:sz w:val="18"/>
        </w:rPr>
        <w:t>, año 17, núm. 34.</w:t>
      </w:r>
    </w:p>
    <w:p>
      <w:pPr>
        <w:spacing w:line="254" w:lineRule="auto" w:before="57"/>
        <w:ind w:left="113" w:right="108" w:firstLine="0"/>
        <w:jc w:val="both"/>
        <w:rPr>
          <w:sz w:val="18"/>
        </w:rPr>
      </w:pPr>
      <w:r>
        <w:rPr>
          <w:color w:val="231F20"/>
          <w:sz w:val="18"/>
        </w:rPr>
        <w:t>Bruchardt, Hans-Jürgen y Nico Weinmann (2012) </w:t>
      </w:r>
      <w:r>
        <w:rPr>
          <w:i/>
          <w:color w:val="231F20"/>
          <w:sz w:val="18"/>
        </w:rPr>
        <w:t>Social Inequality and Social </w:t>
      </w:r>
      <w:r>
        <w:rPr>
          <w:i/>
          <w:color w:val="231F20"/>
          <w:sz w:val="18"/>
        </w:rPr>
        <w:t>Policy</w:t>
      </w:r>
      <w:r>
        <w:rPr>
          <w:i/>
          <w:color w:val="231F20"/>
          <w:spacing w:val="-5"/>
          <w:sz w:val="18"/>
        </w:rPr>
        <w:t> </w:t>
      </w:r>
      <w:r>
        <w:rPr>
          <w:i/>
          <w:color w:val="231F20"/>
          <w:sz w:val="18"/>
        </w:rPr>
        <w:t>outside</w:t>
      </w:r>
      <w:r>
        <w:rPr>
          <w:i/>
          <w:color w:val="231F20"/>
          <w:spacing w:val="-5"/>
          <w:sz w:val="18"/>
        </w:rPr>
        <w:t> </w:t>
      </w:r>
      <w:r>
        <w:rPr>
          <w:i/>
          <w:color w:val="231F20"/>
          <w:sz w:val="18"/>
        </w:rPr>
        <w:t>the</w:t>
      </w:r>
      <w:r>
        <w:rPr>
          <w:i/>
          <w:color w:val="231F20"/>
          <w:spacing w:val="-5"/>
          <w:sz w:val="18"/>
        </w:rPr>
        <w:t> </w:t>
      </w:r>
      <w:r>
        <w:rPr>
          <w:i/>
          <w:color w:val="231F20"/>
          <w:sz w:val="18"/>
        </w:rPr>
        <w:t>OECD.</w:t>
      </w:r>
      <w:r>
        <w:rPr>
          <w:i/>
          <w:color w:val="231F20"/>
          <w:spacing w:val="-8"/>
          <w:sz w:val="18"/>
        </w:rPr>
        <w:t> </w:t>
      </w:r>
      <w:r>
        <w:rPr>
          <w:i/>
          <w:color w:val="231F20"/>
          <w:sz w:val="18"/>
        </w:rPr>
        <w:t>A</w:t>
      </w:r>
      <w:r>
        <w:rPr>
          <w:i/>
          <w:color w:val="231F20"/>
          <w:spacing w:val="-5"/>
          <w:sz w:val="18"/>
        </w:rPr>
        <w:t> </w:t>
      </w:r>
      <w:r>
        <w:rPr>
          <w:i/>
          <w:color w:val="231F20"/>
          <w:sz w:val="18"/>
        </w:rPr>
        <w:t>New</w:t>
      </w:r>
      <w:r>
        <w:rPr>
          <w:i/>
          <w:color w:val="231F20"/>
          <w:spacing w:val="-5"/>
          <w:sz w:val="18"/>
        </w:rPr>
        <w:t> </w:t>
      </w:r>
      <w:r>
        <w:rPr>
          <w:i/>
          <w:color w:val="231F20"/>
          <w:sz w:val="18"/>
        </w:rPr>
        <w:t>Research</w:t>
      </w:r>
      <w:r>
        <w:rPr>
          <w:i/>
          <w:color w:val="231F20"/>
          <w:spacing w:val="-5"/>
          <w:sz w:val="18"/>
        </w:rPr>
        <w:t> </w:t>
      </w:r>
      <w:r>
        <w:rPr>
          <w:i/>
          <w:color w:val="231F20"/>
          <w:sz w:val="18"/>
        </w:rPr>
        <w:t>Perspective</w:t>
      </w:r>
      <w:r>
        <w:rPr>
          <w:i/>
          <w:color w:val="231F20"/>
          <w:spacing w:val="-6"/>
          <w:sz w:val="18"/>
        </w:rPr>
        <w:t> </w:t>
      </w:r>
      <w:r>
        <w:rPr>
          <w:i/>
          <w:color w:val="231F20"/>
          <w:sz w:val="18"/>
        </w:rPr>
        <w:t>on</w:t>
      </w:r>
      <w:r>
        <w:rPr>
          <w:i/>
          <w:color w:val="231F20"/>
          <w:spacing w:val="-5"/>
          <w:sz w:val="18"/>
        </w:rPr>
        <w:t> </w:t>
      </w:r>
      <w:r>
        <w:rPr>
          <w:i/>
          <w:color w:val="231F20"/>
          <w:sz w:val="18"/>
        </w:rPr>
        <w:t>Latin</w:t>
      </w:r>
      <w:r>
        <w:rPr>
          <w:i/>
          <w:color w:val="231F20"/>
          <w:spacing w:val="-8"/>
          <w:sz w:val="18"/>
        </w:rPr>
        <w:t> </w:t>
      </w:r>
      <w:r>
        <w:rPr>
          <w:i/>
          <w:color w:val="231F20"/>
          <w:sz w:val="18"/>
        </w:rPr>
        <w:t>America</w:t>
      </w:r>
      <w:r>
        <w:rPr>
          <w:color w:val="231F20"/>
          <w:sz w:val="18"/>
        </w:rPr>
        <w:t>,</w:t>
      </w:r>
      <w:r>
        <w:rPr>
          <w:color w:val="231F20"/>
          <w:spacing w:val="-5"/>
          <w:sz w:val="18"/>
        </w:rPr>
        <w:t> </w:t>
      </w:r>
      <w:r>
        <w:rPr>
          <w:color w:val="231F20"/>
          <w:sz w:val="18"/>
        </w:rPr>
        <w:t>ICDD </w:t>
      </w:r>
      <w:r>
        <w:rPr>
          <w:color w:val="231F20"/>
          <w:spacing w:val="-3"/>
          <w:sz w:val="18"/>
        </w:rPr>
        <w:t>Working</w:t>
      </w:r>
      <w:r>
        <w:rPr>
          <w:color w:val="231F20"/>
          <w:spacing w:val="-7"/>
          <w:sz w:val="18"/>
        </w:rPr>
        <w:t> </w:t>
      </w:r>
      <w:r>
        <w:rPr>
          <w:color w:val="231F20"/>
          <w:sz w:val="18"/>
        </w:rPr>
        <w:t>Papers,</w:t>
      </w:r>
      <w:r>
        <w:rPr>
          <w:color w:val="231F20"/>
          <w:spacing w:val="-7"/>
          <w:sz w:val="18"/>
        </w:rPr>
        <w:t> </w:t>
      </w:r>
      <w:r>
        <w:rPr>
          <w:color w:val="231F20"/>
          <w:sz w:val="18"/>
        </w:rPr>
        <w:t>núm.</w:t>
      </w:r>
      <w:r>
        <w:rPr>
          <w:color w:val="231F20"/>
          <w:spacing w:val="-7"/>
          <w:sz w:val="18"/>
        </w:rPr>
        <w:t> </w:t>
      </w:r>
      <w:r>
        <w:rPr>
          <w:color w:val="231F20"/>
          <w:sz w:val="18"/>
        </w:rPr>
        <w:t>51,</w:t>
      </w:r>
      <w:r>
        <w:rPr>
          <w:color w:val="231F20"/>
          <w:spacing w:val="-7"/>
          <w:sz w:val="18"/>
        </w:rPr>
        <w:t> </w:t>
      </w:r>
      <w:r>
        <w:rPr>
          <w:color w:val="231F20"/>
          <w:sz w:val="18"/>
        </w:rPr>
        <w:t>Kassel:</w:t>
      </w:r>
      <w:r>
        <w:rPr>
          <w:color w:val="231F20"/>
          <w:spacing w:val="-7"/>
          <w:sz w:val="18"/>
        </w:rPr>
        <w:t> </w:t>
      </w:r>
      <w:r>
        <w:rPr>
          <w:color w:val="231F20"/>
          <w:sz w:val="18"/>
        </w:rPr>
        <w:t>International</w:t>
      </w:r>
      <w:r>
        <w:rPr>
          <w:color w:val="231F20"/>
          <w:spacing w:val="-7"/>
          <w:sz w:val="18"/>
        </w:rPr>
        <w:t> </w:t>
      </w:r>
      <w:r>
        <w:rPr>
          <w:color w:val="231F20"/>
          <w:sz w:val="18"/>
        </w:rPr>
        <w:t>Center</w:t>
      </w:r>
      <w:r>
        <w:rPr>
          <w:color w:val="231F20"/>
          <w:spacing w:val="-7"/>
          <w:sz w:val="18"/>
        </w:rPr>
        <w:t> </w:t>
      </w:r>
      <w:r>
        <w:rPr>
          <w:color w:val="231F20"/>
          <w:sz w:val="18"/>
        </w:rPr>
        <w:t>for</w:t>
      </w:r>
      <w:r>
        <w:rPr>
          <w:color w:val="231F20"/>
          <w:spacing w:val="-7"/>
          <w:sz w:val="18"/>
        </w:rPr>
        <w:t> </w:t>
      </w:r>
      <w:r>
        <w:rPr>
          <w:color w:val="231F20"/>
          <w:sz w:val="18"/>
        </w:rPr>
        <w:t>Development</w:t>
      </w:r>
      <w:r>
        <w:rPr>
          <w:color w:val="231F20"/>
          <w:spacing w:val="-7"/>
          <w:sz w:val="18"/>
        </w:rPr>
        <w:t> </w:t>
      </w:r>
      <w:r>
        <w:rPr>
          <w:color w:val="231F20"/>
          <w:sz w:val="18"/>
        </w:rPr>
        <w:t>and</w:t>
      </w:r>
      <w:r>
        <w:rPr>
          <w:color w:val="231F20"/>
          <w:spacing w:val="-7"/>
          <w:sz w:val="18"/>
        </w:rPr>
        <w:t> </w:t>
      </w:r>
      <w:r>
        <w:rPr>
          <w:color w:val="231F20"/>
          <w:sz w:val="18"/>
        </w:rPr>
        <w:t>De- cent</w:t>
      </w:r>
      <w:r>
        <w:rPr>
          <w:color w:val="231F20"/>
          <w:spacing w:val="-4"/>
          <w:sz w:val="18"/>
        </w:rPr>
        <w:t> </w:t>
      </w:r>
      <w:r>
        <w:rPr>
          <w:color w:val="231F20"/>
          <w:spacing w:val="-3"/>
          <w:sz w:val="18"/>
        </w:rPr>
        <w:t>Work.</w:t>
      </w:r>
    </w:p>
    <w:p>
      <w:pPr>
        <w:spacing w:line="254" w:lineRule="auto" w:before="57"/>
        <w:ind w:left="113" w:right="110" w:firstLine="0"/>
        <w:jc w:val="both"/>
        <w:rPr>
          <w:sz w:val="18"/>
        </w:rPr>
      </w:pPr>
      <w:r>
        <w:rPr>
          <w:color w:val="231F20"/>
          <w:spacing w:val="-3"/>
          <w:sz w:val="18"/>
        </w:rPr>
        <w:t>Burki, Shaid Javed. </w:t>
      </w:r>
      <w:r>
        <w:rPr>
          <w:color w:val="231F20"/>
          <w:sz w:val="18"/>
        </w:rPr>
        <w:t>y </w:t>
      </w:r>
      <w:r>
        <w:rPr>
          <w:color w:val="231F20"/>
          <w:spacing w:val="-3"/>
          <w:sz w:val="18"/>
        </w:rPr>
        <w:t>Guillermo Perry (1997) </w:t>
      </w:r>
      <w:r>
        <w:rPr>
          <w:i/>
          <w:color w:val="231F20"/>
          <w:sz w:val="18"/>
        </w:rPr>
        <w:t>The </w:t>
      </w:r>
      <w:r>
        <w:rPr>
          <w:i/>
          <w:color w:val="231F20"/>
          <w:spacing w:val="-3"/>
          <w:sz w:val="18"/>
        </w:rPr>
        <w:t>Long </w:t>
      </w:r>
      <w:r>
        <w:rPr>
          <w:i/>
          <w:color w:val="231F20"/>
          <w:spacing w:val="-4"/>
          <w:sz w:val="18"/>
        </w:rPr>
        <w:t>March: </w:t>
      </w:r>
      <w:r>
        <w:rPr>
          <w:i/>
          <w:color w:val="231F20"/>
          <w:sz w:val="18"/>
        </w:rPr>
        <w:t>A </w:t>
      </w:r>
      <w:r>
        <w:rPr>
          <w:i/>
          <w:color w:val="231F20"/>
          <w:spacing w:val="-3"/>
          <w:sz w:val="18"/>
        </w:rPr>
        <w:t>Reform Agenda </w:t>
      </w:r>
      <w:r>
        <w:rPr>
          <w:i/>
          <w:color w:val="231F20"/>
          <w:sz w:val="18"/>
        </w:rPr>
        <w:t>for </w:t>
      </w:r>
      <w:r>
        <w:rPr>
          <w:i/>
          <w:color w:val="231F20"/>
          <w:spacing w:val="-3"/>
          <w:sz w:val="18"/>
        </w:rPr>
        <w:t>Latin America </w:t>
      </w:r>
      <w:r>
        <w:rPr>
          <w:i/>
          <w:color w:val="231F20"/>
          <w:sz w:val="18"/>
        </w:rPr>
        <w:t>and the </w:t>
      </w:r>
      <w:r>
        <w:rPr>
          <w:i/>
          <w:color w:val="231F20"/>
          <w:spacing w:val="-3"/>
          <w:sz w:val="18"/>
        </w:rPr>
        <w:t>Caribbean </w:t>
      </w:r>
      <w:r>
        <w:rPr>
          <w:i/>
          <w:color w:val="231F20"/>
          <w:sz w:val="18"/>
        </w:rPr>
        <w:t>in the </w:t>
      </w:r>
      <w:r>
        <w:rPr>
          <w:i/>
          <w:color w:val="231F20"/>
          <w:spacing w:val="-3"/>
          <w:sz w:val="18"/>
        </w:rPr>
        <w:t>Next Decade</w:t>
      </w:r>
      <w:r>
        <w:rPr>
          <w:color w:val="231F20"/>
          <w:spacing w:val="-3"/>
          <w:sz w:val="18"/>
        </w:rPr>
        <w:t>, </w:t>
      </w:r>
      <w:r>
        <w:rPr>
          <w:color w:val="231F20"/>
          <w:spacing w:val="-4"/>
          <w:sz w:val="18"/>
        </w:rPr>
        <w:t>Washington: </w:t>
      </w:r>
      <w:r>
        <w:rPr>
          <w:color w:val="231F20"/>
          <w:sz w:val="18"/>
        </w:rPr>
        <w:t>The </w:t>
      </w:r>
      <w:r>
        <w:rPr>
          <w:color w:val="231F20"/>
          <w:spacing w:val="-6"/>
          <w:sz w:val="18"/>
        </w:rPr>
        <w:t>World </w:t>
      </w:r>
      <w:r>
        <w:rPr>
          <w:color w:val="231F20"/>
          <w:spacing w:val="-3"/>
          <w:sz w:val="18"/>
        </w:rPr>
        <w:t>Bank.</w:t>
      </w:r>
    </w:p>
    <w:p>
      <w:pPr>
        <w:spacing w:after="0" w:line="254" w:lineRule="auto"/>
        <w:jc w:val="both"/>
        <w:rPr>
          <w:sz w:val="18"/>
        </w:rPr>
        <w:sectPr>
          <w:footerReference w:type="default" r:id="rId25"/>
          <w:pgSz w:w="7770" w:h="11740"/>
          <w:pgMar w:footer="474" w:header="0" w:top="840" w:bottom="660" w:left="1020" w:right="740"/>
          <w:pgNumType w:start="33"/>
        </w:sectPr>
      </w:pPr>
    </w:p>
    <w:p>
      <w:pPr>
        <w:spacing w:line="254" w:lineRule="auto" w:before="66"/>
        <w:ind w:left="110" w:right="111" w:firstLine="0"/>
        <w:jc w:val="both"/>
        <w:rPr>
          <w:sz w:val="18"/>
        </w:rPr>
      </w:pPr>
      <w:r>
        <w:rPr>
          <w:color w:val="231F20"/>
          <w:sz w:val="18"/>
        </w:rPr>
        <w:t>Carrillo, Jorge (1995) “La experiencia latinoamericana del Justo a Tiempo y del Control</w:t>
      </w:r>
      <w:r>
        <w:rPr>
          <w:color w:val="231F20"/>
          <w:spacing w:val="-7"/>
          <w:sz w:val="18"/>
        </w:rPr>
        <w:t> </w:t>
      </w:r>
      <w:r>
        <w:rPr>
          <w:color w:val="231F20"/>
          <w:spacing w:val="-3"/>
          <w:sz w:val="18"/>
        </w:rPr>
        <w:t>Total</w:t>
      </w:r>
      <w:r>
        <w:rPr>
          <w:color w:val="231F20"/>
          <w:spacing w:val="-4"/>
          <w:sz w:val="18"/>
        </w:rPr>
        <w:t> </w:t>
      </w:r>
      <w:r>
        <w:rPr>
          <w:color w:val="231F20"/>
          <w:sz w:val="18"/>
        </w:rPr>
        <w:t>de</w:t>
      </w:r>
      <w:r>
        <w:rPr>
          <w:color w:val="231F20"/>
          <w:spacing w:val="-4"/>
          <w:sz w:val="18"/>
        </w:rPr>
        <w:t> </w:t>
      </w:r>
      <w:r>
        <w:rPr>
          <w:color w:val="231F20"/>
          <w:sz w:val="18"/>
        </w:rPr>
        <w:t>Calidad”,</w:t>
      </w:r>
      <w:r>
        <w:rPr>
          <w:color w:val="231F20"/>
          <w:spacing w:val="-3"/>
          <w:sz w:val="18"/>
        </w:rPr>
        <w:t> </w:t>
      </w:r>
      <w:r>
        <w:rPr>
          <w:color w:val="231F20"/>
          <w:sz w:val="18"/>
        </w:rPr>
        <w:t>en</w:t>
      </w:r>
      <w:r>
        <w:rPr>
          <w:color w:val="231F20"/>
          <w:spacing w:val="-4"/>
          <w:sz w:val="18"/>
        </w:rPr>
        <w:t> </w:t>
      </w:r>
      <w:r>
        <w:rPr>
          <w:i/>
          <w:color w:val="231F20"/>
          <w:sz w:val="18"/>
        </w:rPr>
        <w:t>Revista</w:t>
      </w:r>
      <w:r>
        <w:rPr>
          <w:i/>
          <w:color w:val="231F20"/>
          <w:spacing w:val="-4"/>
          <w:sz w:val="18"/>
        </w:rPr>
        <w:t> </w:t>
      </w:r>
      <w:r>
        <w:rPr>
          <w:i/>
          <w:color w:val="231F20"/>
          <w:sz w:val="18"/>
        </w:rPr>
        <w:t>Latinoamericana</w:t>
      </w:r>
      <w:r>
        <w:rPr>
          <w:i/>
          <w:color w:val="231F20"/>
          <w:spacing w:val="-3"/>
          <w:sz w:val="18"/>
        </w:rPr>
        <w:t> </w:t>
      </w:r>
      <w:r>
        <w:rPr>
          <w:i/>
          <w:color w:val="231F20"/>
          <w:sz w:val="18"/>
        </w:rPr>
        <w:t>de</w:t>
      </w:r>
      <w:r>
        <w:rPr>
          <w:i/>
          <w:color w:val="231F20"/>
          <w:spacing w:val="-4"/>
          <w:sz w:val="18"/>
        </w:rPr>
        <w:t> </w:t>
      </w:r>
      <w:r>
        <w:rPr>
          <w:i/>
          <w:color w:val="231F20"/>
          <w:sz w:val="18"/>
        </w:rPr>
        <w:t>Estudios</w:t>
      </w:r>
      <w:r>
        <w:rPr>
          <w:i/>
          <w:color w:val="231F20"/>
          <w:spacing w:val="-4"/>
          <w:sz w:val="18"/>
        </w:rPr>
        <w:t> </w:t>
      </w:r>
      <w:r>
        <w:rPr>
          <w:i/>
          <w:color w:val="231F20"/>
          <w:sz w:val="18"/>
        </w:rPr>
        <w:t>del</w:t>
      </w:r>
      <w:r>
        <w:rPr>
          <w:i/>
          <w:color w:val="231F20"/>
          <w:spacing w:val="-3"/>
          <w:sz w:val="18"/>
        </w:rPr>
        <w:t> </w:t>
      </w:r>
      <w:r>
        <w:rPr>
          <w:i/>
          <w:color w:val="231F20"/>
          <w:sz w:val="18"/>
        </w:rPr>
        <w:t>Trabajo</w:t>
      </w:r>
      <w:r>
        <w:rPr>
          <w:color w:val="231F20"/>
          <w:sz w:val="18"/>
        </w:rPr>
        <w:t>, núm. 1.</w:t>
      </w:r>
    </w:p>
    <w:p>
      <w:pPr>
        <w:spacing w:line="254" w:lineRule="auto" w:before="57"/>
        <w:ind w:left="110" w:right="111" w:firstLine="0"/>
        <w:jc w:val="both"/>
        <w:rPr>
          <w:sz w:val="18"/>
        </w:rPr>
      </w:pPr>
      <w:r>
        <w:rPr>
          <w:color w:val="231F20"/>
          <w:sz w:val="18"/>
        </w:rPr>
        <w:t>Castel, Robert (1997) </w:t>
      </w:r>
      <w:r>
        <w:rPr>
          <w:i/>
          <w:color w:val="231F20"/>
          <w:sz w:val="18"/>
        </w:rPr>
        <w:t>La metamorfosis de la cuestión social: una crónica del </w:t>
      </w:r>
      <w:r>
        <w:rPr>
          <w:i/>
          <w:color w:val="231F20"/>
          <w:sz w:val="18"/>
        </w:rPr>
        <w:t>salariado</w:t>
      </w:r>
      <w:r>
        <w:rPr>
          <w:color w:val="231F20"/>
          <w:sz w:val="18"/>
        </w:rPr>
        <w:t>, Buenos Aires: Paidós.</w:t>
      </w:r>
    </w:p>
    <w:p>
      <w:pPr>
        <w:spacing w:line="254" w:lineRule="auto" w:before="57"/>
        <w:ind w:left="110" w:right="112" w:firstLine="0"/>
        <w:jc w:val="both"/>
        <w:rPr>
          <w:sz w:val="18"/>
        </w:rPr>
      </w:pPr>
      <w:r>
        <w:rPr>
          <w:color w:val="231F20"/>
          <w:sz w:val="18"/>
        </w:rPr>
        <w:t>Castillo Fernández, Dídimo (2009) </w:t>
      </w:r>
      <w:r>
        <w:rPr>
          <w:i/>
          <w:color w:val="231F20"/>
          <w:sz w:val="18"/>
        </w:rPr>
        <w:t>Los nuevos trabajadores precarios</w:t>
      </w:r>
      <w:r>
        <w:rPr>
          <w:color w:val="231F20"/>
          <w:sz w:val="18"/>
        </w:rPr>
        <w:t>, México: Universidad Autónoma del Estado de México/Porrúa.</w:t>
      </w:r>
    </w:p>
    <w:p>
      <w:pPr>
        <w:spacing w:line="254" w:lineRule="auto" w:before="57"/>
        <w:ind w:left="110" w:right="114" w:firstLine="0"/>
        <w:jc w:val="both"/>
        <w:rPr>
          <w:sz w:val="18"/>
        </w:rPr>
      </w:pPr>
      <w:r>
        <w:rPr>
          <w:color w:val="231F20"/>
          <w:spacing w:val="-3"/>
          <w:sz w:val="18"/>
        </w:rPr>
        <w:t>Cepal (2003) </w:t>
      </w:r>
      <w:r>
        <w:rPr>
          <w:i/>
          <w:color w:val="231F20"/>
          <w:spacing w:val="-3"/>
          <w:sz w:val="18"/>
        </w:rPr>
        <w:t>Panorama social </w:t>
      </w:r>
      <w:r>
        <w:rPr>
          <w:i/>
          <w:color w:val="231F20"/>
          <w:sz w:val="18"/>
        </w:rPr>
        <w:t>de </w:t>
      </w:r>
      <w:r>
        <w:rPr>
          <w:i/>
          <w:color w:val="231F20"/>
          <w:spacing w:val="-3"/>
          <w:sz w:val="18"/>
        </w:rPr>
        <w:t>América Latina. 2002-2003</w:t>
      </w:r>
      <w:r>
        <w:rPr>
          <w:color w:val="231F20"/>
          <w:spacing w:val="-3"/>
          <w:sz w:val="18"/>
        </w:rPr>
        <w:t>, Santiago </w:t>
      </w:r>
      <w:r>
        <w:rPr>
          <w:color w:val="231F20"/>
          <w:sz w:val="18"/>
        </w:rPr>
        <w:t>de </w:t>
      </w:r>
      <w:r>
        <w:rPr>
          <w:color w:val="231F20"/>
          <w:spacing w:val="-3"/>
          <w:sz w:val="18"/>
        </w:rPr>
        <w:t>Chile: Cepal.</w:t>
      </w:r>
    </w:p>
    <w:p>
      <w:pPr>
        <w:spacing w:line="254" w:lineRule="auto" w:before="57"/>
        <w:ind w:left="110" w:right="111" w:firstLine="0"/>
        <w:jc w:val="both"/>
        <w:rPr>
          <w:sz w:val="18"/>
        </w:rPr>
      </w:pPr>
      <w:r>
        <w:rPr>
          <w:color w:val="231F20"/>
          <w:sz w:val="18"/>
        </w:rPr>
        <w:t>Cook, María Lorena (2007) </w:t>
      </w:r>
      <w:r>
        <w:rPr>
          <w:i/>
          <w:color w:val="231F20"/>
          <w:sz w:val="18"/>
        </w:rPr>
        <w:t>The Politics of Labor Reform in Latin America. Be- </w:t>
      </w:r>
      <w:r>
        <w:rPr>
          <w:i/>
          <w:color w:val="231F20"/>
          <w:sz w:val="18"/>
        </w:rPr>
        <w:t>tween</w:t>
      </w:r>
      <w:r>
        <w:rPr>
          <w:i/>
          <w:color w:val="231F20"/>
          <w:spacing w:val="-10"/>
          <w:sz w:val="18"/>
        </w:rPr>
        <w:t> </w:t>
      </w:r>
      <w:r>
        <w:rPr>
          <w:i/>
          <w:color w:val="231F20"/>
          <w:sz w:val="18"/>
        </w:rPr>
        <w:t>Flexibility</w:t>
      </w:r>
      <w:r>
        <w:rPr>
          <w:i/>
          <w:color w:val="231F20"/>
          <w:spacing w:val="-10"/>
          <w:sz w:val="18"/>
        </w:rPr>
        <w:t> </w:t>
      </w:r>
      <w:r>
        <w:rPr>
          <w:i/>
          <w:color w:val="231F20"/>
          <w:sz w:val="18"/>
        </w:rPr>
        <w:t>and</w:t>
      </w:r>
      <w:r>
        <w:rPr>
          <w:i/>
          <w:color w:val="231F20"/>
          <w:spacing w:val="-10"/>
          <w:sz w:val="18"/>
        </w:rPr>
        <w:t> </w:t>
      </w:r>
      <w:r>
        <w:rPr>
          <w:i/>
          <w:color w:val="231F20"/>
          <w:sz w:val="18"/>
        </w:rPr>
        <w:t>Rigths</w:t>
      </w:r>
      <w:r>
        <w:rPr>
          <w:color w:val="231F20"/>
          <w:sz w:val="18"/>
        </w:rPr>
        <w:t>,</w:t>
      </w:r>
      <w:r>
        <w:rPr>
          <w:color w:val="231F20"/>
          <w:spacing w:val="-10"/>
          <w:sz w:val="18"/>
        </w:rPr>
        <w:t> </w:t>
      </w:r>
      <w:r>
        <w:rPr>
          <w:color w:val="231F20"/>
          <w:sz w:val="18"/>
        </w:rPr>
        <w:t>University</w:t>
      </w:r>
      <w:r>
        <w:rPr>
          <w:color w:val="231F20"/>
          <w:spacing w:val="-9"/>
          <w:sz w:val="18"/>
        </w:rPr>
        <w:t> </w:t>
      </w:r>
      <w:r>
        <w:rPr>
          <w:color w:val="231F20"/>
          <w:sz w:val="18"/>
        </w:rPr>
        <w:t>Park,</w:t>
      </w:r>
      <w:r>
        <w:rPr>
          <w:color w:val="231F20"/>
          <w:spacing w:val="-13"/>
          <w:sz w:val="18"/>
        </w:rPr>
        <w:t> </w:t>
      </w:r>
      <w:r>
        <w:rPr>
          <w:color w:val="231F20"/>
          <w:sz w:val="18"/>
        </w:rPr>
        <w:t>The</w:t>
      </w:r>
      <w:r>
        <w:rPr>
          <w:color w:val="231F20"/>
          <w:spacing w:val="-10"/>
          <w:sz w:val="18"/>
        </w:rPr>
        <w:t> </w:t>
      </w:r>
      <w:r>
        <w:rPr>
          <w:color w:val="231F20"/>
          <w:sz w:val="18"/>
        </w:rPr>
        <w:t>Pennsylvania</w:t>
      </w:r>
      <w:r>
        <w:rPr>
          <w:color w:val="231F20"/>
          <w:spacing w:val="-10"/>
          <w:sz w:val="18"/>
        </w:rPr>
        <w:t> </w:t>
      </w:r>
      <w:r>
        <w:rPr>
          <w:color w:val="231F20"/>
          <w:sz w:val="18"/>
        </w:rPr>
        <w:t>State</w:t>
      </w:r>
      <w:r>
        <w:rPr>
          <w:color w:val="231F20"/>
          <w:spacing w:val="-10"/>
          <w:sz w:val="18"/>
        </w:rPr>
        <w:t> </w:t>
      </w:r>
      <w:r>
        <w:rPr>
          <w:color w:val="231F20"/>
          <w:sz w:val="18"/>
        </w:rPr>
        <w:t>University Press.</w:t>
      </w:r>
    </w:p>
    <w:p>
      <w:pPr>
        <w:spacing w:line="254" w:lineRule="auto" w:before="57"/>
        <w:ind w:left="110" w:right="111" w:firstLine="0"/>
        <w:jc w:val="both"/>
        <w:rPr>
          <w:sz w:val="18"/>
        </w:rPr>
      </w:pPr>
      <w:r>
        <w:rPr>
          <w:color w:val="231F20"/>
          <w:sz w:val="18"/>
        </w:rPr>
        <w:t>De la Garza Toledo, Enrique (2000) “La flexibilidad del trabajo en América Latina”, en Enrique de la Garza Toledo (coord.), </w:t>
      </w:r>
      <w:r>
        <w:rPr>
          <w:i/>
          <w:color w:val="231F20"/>
          <w:sz w:val="18"/>
        </w:rPr>
        <w:t>Tratado latinoamericano de </w:t>
      </w:r>
      <w:r>
        <w:rPr>
          <w:i/>
          <w:color w:val="231F20"/>
          <w:sz w:val="18"/>
        </w:rPr>
        <w:t>sociología del trabajo</w:t>
      </w:r>
      <w:r>
        <w:rPr>
          <w:color w:val="231F20"/>
          <w:sz w:val="18"/>
        </w:rPr>
        <w:t>, México: El Colegio de México/Flacso/UAM/Fondo de Cultura Económica.</w:t>
      </w:r>
    </w:p>
    <w:p>
      <w:pPr>
        <w:spacing w:line="254" w:lineRule="auto" w:before="57"/>
        <w:ind w:left="110" w:right="111" w:firstLine="0"/>
        <w:jc w:val="both"/>
        <w:rPr>
          <w:sz w:val="18"/>
        </w:rPr>
      </w:pP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O,</w:t>
      </w:r>
      <w:r>
        <w:rPr>
          <w:color w:val="231F20"/>
          <w:spacing w:val="-8"/>
          <w:sz w:val="18"/>
        </w:rPr>
        <w:t> </w:t>
      </w:r>
      <w:r>
        <w:rPr>
          <w:color w:val="231F20"/>
          <w:sz w:val="18"/>
        </w:rPr>
        <w:t>María</w:t>
      </w:r>
      <w:r>
        <w:rPr>
          <w:color w:val="231F20"/>
          <w:spacing w:val="-8"/>
          <w:sz w:val="18"/>
        </w:rPr>
        <w:t> </w:t>
      </w:r>
      <w:r>
        <w:rPr>
          <w:color w:val="231F20"/>
          <w:sz w:val="18"/>
        </w:rPr>
        <w:t>Eugenia</w:t>
      </w:r>
      <w:r>
        <w:rPr>
          <w:color w:val="231F20"/>
          <w:spacing w:val="-8"/>
          <w:sz w:val="18"/>
        </w:rPr>
        <w:t> </w:t>
      </w:r>
      <w:r>
        <w:rPr>
          <w:color w:val="231F20"/>
          <w:sz w:val="18"/>
        </w:rPr>
        <w:t>y</w:t>
      </w:r>
      <w:r>
        <w:rPr>
          <w:color w:val="231F20"/>
          <w:spacing w:val="-8"/>
          <w:sz w:val="18"/>
        </w:rPr>
        <w:t> </w:t>
      </w:r>
      <w:r>
        <w:rPr>
          <w:color w:val="231F20"/>
          <w:sz w:val="18"/>
        </w:rPr>
        <w:t>Rocío</w:t>
      </w:r>
      <w:r>
        <w:rPr>
          <w:color w:val="231F20"/>
          <w:spacing w:val="-8"/>
          <w:sz w:val="18"/>
        </w:rPr>
        <w:t> </w:t>
      </w:r>
      <w:r>
        <w:rPr>
          <w:color w:val="231F20"/>
          <w:sz w:val="18"/>
        </w:rPr>
        <w:t>Guadarrama</w:t>
      </w:r>
      <w:r>
        <w:rPr>
          <w:color w:val="231F20"/>
          <w:spacing w:val="-7"/>
          <w:sz w:val="18"/>
        </w:rPr>
        <w:t> </w:t>
      </w:r>
      <w:r>
        <w:rPr>
          <w:color w:val="231F20"/>
          <w:sz w:val="18"/>
        </w:rPr>
        <w:t>(2006)</w:t>
      </w:r>
      <w:r>
        <w:rPr>
          <w:color w:val="231F20"/>
          <w:spacing w:val="-8"/>
          <w:sz w:val="18"/>
        </w:rPr>
        <w:t> </w:t>
      </w:r>
      <w:r>
        <w:rPr>
          <w:color w:val="231F20"/>
          <w:sz w:val="18"/>
        </w:rPr>
        <w:t>“Género,</w:t>
      </w:r>
      <w:r>
        <w:rPr>
          <w:color w:val="231F20"/>
          <w:spacing w:val="-8"/>
          <w:sz w:val="18"/>
        </w:rPr>
        <w:t> </w:t>
      </w:r>
      <w:r>
        <w:rPr>
          <w:color w:val="231F20"/>
          <w:sz w:val="18"/>
        </w:rPr>
        <w:t>proceso</w:t>
      </w:r>
      <w:r>
        <w:rPr>
          <w:color w:val="231F20"/>
          <w:spacing w:val="-8"/>
          <w:sz w:val="18"/>
        </w:rPr>
        <w:t> </w:t>
      </w:r>
      <w:r>
        <w:rPr>
          <w:color w:val="231F20"/>
          <w:sz w:val="18"/>
        </w:rPr>
        <w:t>de</w:t>
      </w:r>
      <w:r>
        <w:rPr>
          <w:color w:val="231F20"/>
          <w:spacing w:val="-8"/>
          <w:sz w:val="18"/>
        </w:rPr>
        <w:t> </w:t>
      </w:r>
      <w:r>
        <w:rPr>
          <w:color w:val="231F20"/>
          <w:sz w:val="18"/>
        </w:rPr>
        <w:t>trabajo y flexibilidad laboral en América Latina”, en Enrique de la Garza </w:t>
      </w:r>
      <w:r>
        <w:rPr>
          <w:color w:val="231F20"/>
          <w:spacing w:val="-3"/>
          <w:sz w:val="18"/>
        </w:rPr>
        <w:t>Toledo </w:t>
      </w:r>
      <w:r>
        <w:rPr>
          <w:color w:val="231F20"/>
          <w:sz w:val="18"/>
        </w:rPr>
        <w:t>(co- ord.), </w:t>
      </w:r>
      <w:r>
        <w:rPr>
          <w:i/>
          <w:color w:val="231F20"/>
          <w:spacing w:val="-3"/>
          <w:sz w:val="18"/>
        </w:rPr>
        <w:t>Teorías </w:t>
      </w:r>
      <w:r>
        <w:rPr>
          <w:i/>
          <w:color w:val="231F20"/>
          <w:sz w:val="18"/>
        </w:rPr>
        <w:t>sociales y estudios del trabajo: nuevos enfoques</w:t>
      </w:r>
      <w:r>
        <w:rPr>
          <w:color w:val="231F20"/>
          <w:sz w:val="18"/>
        </w:rPr>
        <w:t>, México: Anthro- pos/Universidad Autónoma</w:t>
      </w:r>
      <w:r>
        <w:rPr>
          <w:color w:val="231F20"/>
          <w:spacing w:val="-32"/>
          <w:sz w:val="18"/>
        </w:rPr>
        <w:t> </w:t>
      </w:r>
      <w:r>
        <w:rPr>
          <w:color w:val="231F20"/>
          <w:sz w:val="18"/>
        </w:rPr>
        <w:t>Metropolitana.</w:t>
      </w:r>
    </w:p>
    <w:p>
      <w:pPr>
        <w:spacing w:line="254" w:lineRule="auto" w:before="57"/>
        <w:ind w:left="110" w:right="113" w:firstLine="0"/>
        <w:jc w:val="both"/>
        <w:rPr>
          <w:sz w:val="18"/>
        </w:rPr>
      </w:pPr>
      <w:r>
        <w:rPr>
          <w:color w:val="231F20"/>
          <w:sz w:val="18"/>
        </w:rPr>
        <w:t>Dedecca, Claudio Salvadori (2012): “Población, trabajo y desarrollo en Brasil: oportunidades y desafios”, en </w:t>
      </w:r>
      <w:r>
        <w:rPr>
          <w:i/>
          <w:color w:val="231F20"/>
          <w:sz w:val="18"/>
        </w:rPr>
        <w:t>Estudios Sociológicos</w:t>
      </w:r>
      <w:r>
        <w:rPr>
          <w:color w:val="231F20"/>
          <w:sz w:val="18"/>
        </w:rPr>
        <w:t>, vol. 30, núm. 90.</w:t>
      </w:r>
    </w:p>
    <w:p>
      <w:pPr>
        <w:spacing w:line="254" w:lineRule="auto" w:before="57"/>
        <w:ind w:left="110" w:right="111" w:firstLine="0"/>
        <w:jc w:val="both"/>
        <w:rPr>
          <w:sz w:val="18"/>
        </w:rPr>
      </w:pPr>
      <w:r>
        <w:rPr>
          <w:color w:val="231F20"/>
          <w:spacing w:val="-4"/>
          <w:sz w:val="18"/>
        </w:rPr>
        <w:t>Dubar, </w:t>
      </w:r>
      <w:r>
        <w:rPr>
          <w:color w:val="231F20"/>
          <w:spacing w:val="-3"/>
          <w:sz w:val="18"/>
        </w:rPr>
        <w:t>Claude (1991) </w:t>
      </w:r>
      <w:r>
        <w:rPr>
          <w:i/>
          <w:color w:val="231F20"/>
          <w:sz w:val="18"/>
        </w:rPr>
        <w:t>La </w:t>
      </w:r>
      <w:r>
        <w:rPr>
          <w:i/>
          <w:color w:val="231F20"/>
          <w:spacing w:val="-3"/>
          <w:sz w:val="18"/>
        </w:rPr>
        <w:t>socialisation. Construction </w:t>
      </w:r>
      <w:r>
        <w:rPr>
          <w:i/>
          <w:color w:val="231F20"/>
          <w:sz w:val="18"/>
        </w:rPr>
        <w:t>des </w:t>
      </w:r>
      <w:r>
        <w:rPr>
          <w:i/>
          <w:color w:val="231F20"/>
          <w:spacing w:val="-3"/>
          <w:sz w:val="18"/>
        </w:rPr>
        <w:t>identités sociales </w:t>
      </w:r>
      <w:r>
        <w:rPr>
          <w:i/>
          <w:color w:val="231F20"/>
          <w:sz w:val="18"/>
        </w:rPr>
        <w:t>et </w:t>
      </w:r>
      <w:r>
        <w:rPr>
          <w:i/>
          <w:color w:val="231F20"/>
          <w:spacing w:val="-4"/>
          <w:sz w:val="18"/>
        </w:rPr>
        <w:t>pro- </w:t>
      </w:r>
      <w:r>
        <w:rPr>
          <w:i/>
          <w:color w:val="231F20"/>
          <w:spacing w:val="-3"/>
          <w:sz w:val="18"/>
        </w:rPr>
        <w:t>fessionnelles</w:t>
      </w:r>
      <w:r>
        <w:rPr>
          <w:color w:val="231F20"/>
          <w:spacing w:val="-3"/>
          <w:sz w:val="18"/>
        </w:rPr>
        <w:t>, París: Armand Collin.</w:t>
      </w:r>
    </w:p>
    <w:p>
      <w:pPr>
        <w:spacing w:line="254" w:lineRule="auto" w:before="57"/>
        <w:ind w:left="110" w:right="111" w:firstLine="0"/>
        <w:jc w:val="both"/>
        <w:rPr>
          <w:sz w:val="18"/>
        </w:rPr>
      </w:pPr>
      <w:r>
        <w:rPr>
          <w:color w:val="231F20"/>
          <w:sz w:val="18"/>
        </w:rPr>
        <w:t>Escobar</w:t>
      </w:r>
      <w:r>
        <w:rPr>
          <w:color w:val="231F20"/>
          <w:spacing w:val="-6"/>
          <w:sz w:val="18"/>
        </w:rPr>
        <w:t> </w:t>
      </w:r>
      <w:r>
        <w:rPr>
          <w:color w:val="231F20"/>
          <w:sz w:val="18"/>
        </w:rPr>
        <w:t>Latapí,</w:t>
      </w:r>
      <w:r>
        <w:rPr>
          <w:color w:val="231F20"/>
          <w:spacing w:val="-16"/>
          <w:sz w:val="18"/>
        </w:rPr>
        <w:t> </w:t>
      </w:r>
      <w:r>
        <w:rPr>
          <w:color w:val="231F20"/>
          <w:sz w:val="18"/>
        </w:rPr>
        <w:t>Agustín</w:t>
      </w:r>
      <w:r>
        <w:rPr>
          <w:color w:val="231F20"/>
          <w:spacing w:val="-6"/>
          <w:sz w:val="18"/>
        </w:rPr>
        <w:t> </w:t>
      </w:r>
      <w:r>
        <w:rPr>
          <w:color w:val="231F20"/>
          <w:sz w:val="18"/>
        </w:rPr>
        <w:t>(1999)</w:t>
      </w:r>
      <w:r>
        <w:rPr>
          <w:color w:val="231F20"/>
          <w:spacing w:val="-6"/>
          <w:sz w:val="18"/>
        </w:rPr>
        <w:t> </w:t>
      </w:r>
      <w:r>
        <w:rPr>
          <w:color w:val="231F20"/>
          <w:sz w:val="18"/>
        </w:rPr>
        <w:t>“Los</w:t>
      </w:r>
      <w:r>
        <w:rPr>
          <w:color w:val="231F20"/>
          <w:spacing w:val="-6"/>
          <w:sz w:val="18"/>
        </w:rPr>
        <w:t> </w:t>
      </w:r>
      <w:r>
        <w:rPr>
          <w:color w:val="231F20"/>
          <w:sz w:val="18"/>
        </w:rPr>
        <w:t>hombres</w:t>
      </w:r>
      <w:r>
        <w:rPr>
          <w:color w:val="231F20"/>
          <w:spacing w:val="-6"/>
          <w:sz w:val="18"/>
        </w:rPr>
        <w:t> </w:t>
      </w:r>
      <w:r>
        <w:rPr>
          <w:color w:val="231F20"/>
          <w:sz w:val="18"/>
        </w:rPr>
        <w:t>y</w:t>
      </w:r>
      <w:r>
        <w:rPr>
          <w:color w:val="231F20"/>
          <w:spacing w:val="-6"/>
          <w:sz w:val="18"/>
        </w:rPr>
        <w:t> </w:t>
      </w:r>
      <w:r>
        <w:rPr>
          <w:color w:val="231F20"/>
          <w:sz w:val="18"/>
        </w:rPr>
        <w:t>sus</w:t>
      </w:r>
      <w:r>
        <w:rPr>
          <w:color w:val="231F20"/>
          <w:spacing w:val="-6"/>
          <w:sz w:val="18"/>
        </w:rPr>
        <w:t> </w:t>
      </w:r>
      <w:r>
        <w:rPr>
          <w:color w:val="231F20"/>
          <w:sz w:val="18"/>
        </w:rPr>
        <w:t>historias.</w:t>
      </w:r>
      <w:r>
        <w:rPr>
          <w:color w:val="231F20"/>
          <w:spacing w:val="-6"/>
          <w:sz w:val="18"/>
        </w:rPr>
        <w:t> </w:t>
      </w:r>
      <w:r>
        <w:rPr>
          <w:color w:val="231F20"/>
          <w:sz w:val="18"/>
        </w:rPr>
        <w:t>Reestructuración</w:t>
      </w:r>
      <w:r>
        <w:rPr>
          <w:color w:val="231F20"/>
          <w:spacing w:val="-6"/>
          <w:sz w:val="18"/>
        </w:rPr>
        <w:t> </w:t>
      </w:r>
      <w:r>
        <w:rPr>
          <w:color w:val="231F20"/>
          <w:sz w:val="18"/>
        </w:rPr>
        <w:t>y masculinidad</w:t>
      </w:r>
      <w:r>
        <w:rPr>
          <w:color w:val="231F20"/>
          <w:spacing w:val="-5"/>
          <w:sz w:val="18"/>
        </w:rPr>
        <w:t> </w:t>
      </w:r>
      <w:r>
        <w:rPr>
          <w:color w:val="231F20"/>
          <w:sz w:val="18"/>
        </w:rPr>
        <w:t>en</w:t>
      </w:r>
      <w:r>
        <w:rPr>
          <w:color w:val="231F20"/>
          <w:spacing w:val="-4"/>
          <w:sz w:val="18"/>
        </w:rPr>
        <w:t> </w:t>
      </w:r>
      <w:r>
        <w:rPr>
          <w:color w:val="231F20"/>
          <w:sz w:val="18"/>
        </w:rPr>
        <w:t>México”,</w:t>
      </w:r>
      <w:r>
        <w:rPr>
          <w:color w:val="231F20"/>
          <w:spacing w:val="-4"/>
          <w:sz w:val="18"/>
        </w:rPr>
        <w:t> </w:t>
      </w:r>
      <w:r>
        <w:rPr>
          <w:color w:val="231F20"/>
          <w:sz w:val="18"/>
        </w:rPr>
        <w:t>en</w:t>
      </w:r>
      <w:r>
        <w:rPr>
          <w:color w:val="231F20"/>
          <w:spacing w:val="-14"/>
          <w:sz w:val="18"/>
        </w:rPr>
        <w:t> </w:t>
      </w:r>
      <w:r>
        <w:rPr>
          <w:color w:val="231F20"/>
          <w:sz w:val="18"/>
        </w:rPr>
        <w:t>A.</w:t>
      </w:r>
      <w:r>
        <w:rPr>
          <w:color w:val="231F20"/>
          <w:spacing w:val="-4"/>
          <w:sz w:val="18"/>
        </w:rPr>
        <w:t> </w:t>
      </w:r>
      <w:r>
        <w:rPr>
          <w:color w:val="231F20"/>
          <w:sz w:val="18"/>
        </w:rPr>
        <w:t>Escobar</w:t>
      </w:r>
      <w:r>
        <w:rPr>
          <w:color w:val="231F20"/>
          <w:spacing w:val="-5"/>
          <w:sz w:val="18"/>
        </w:rPr>
        <w:t> </w:t>
      </w:r>
      <w:r>
        <w:rPr>
          <w:color w:val="231F20"/>
          <w:sz w:val="18"/>
        </w:rPr>
        <w:t>y</w:t>
      </w:r>
      <w:r>
        <w:rPr>
          <w:color w:val="231F20"/>
          <w:spacing w:val="-4"/>
          <w:sz w:val="18"/>
        </w:rPr>
        <w:t> </w:t>
      </w:r>
      <w:r>
        <w:rPr>
          <w:color w:val="231F20"/>
          <w:sz w:val="18"/>
        </w:rPr>
        <w:t>S.</w:t>
      </w:r>
      <w:r>
        <w:rPr>
          <w:color w:val="231F20"/>
          <w:spacing w:val="-4"/>
          <w:sz w:val="18"/>
        </w:rPr>
        <w:t> </w:t>
      </w:r>
      <w:r>
        <w:rPr>
          <w:color w:val="231F20"/>
          <w:sz w:val="18"/>
        </w:rPr>
        <w:t>Bastos,</w:t>
      </w:r>
      <w:r>
        <w:rPr>
          <w:color w:val="231F20"/>
          <w:spacing w:val="-4"/>
          <w:sz w:val="18"/>
        </w:rPr>
        <w:t> </w:t>
      </w:r>
      <w:r>
        <w:rPr>
          <w:i/>
          <w:color w:val="231F20"/>
          <w:sz w:val="18"/>
        </w:rPr>
        <w:t>Hombres,</w:t>
      </w:r>
      <w:r>
        <w:rPr>
          <w:i/>
          <w:color w:val="231F20"/>
          <w:spacing w:val="-4"/>
          <w:sz w:val="18"/>
        </w:rPr>
        <w:t> </w:t>
      </w:r>
      <w:r>
        <w:rPr>
          <w:i/>
          <w:color w:val="231F20"/>
          <w:sz w:val="18"/>
        </w:rPr>
        <w:t>trabajo</w:t>
      </w:r>
      <w:r>
        <w:rPr>
          <w:i/>
          <w:color w:val="231F20"/>
          <w:spacing w:val="-4"/>
          <w:sz w:val="18"/>
        </w:rPr>
        <w:t> </w:t>
      </w:r>
      <w:r>
        <w:rPr>
          <w:i/>
          <w:color w:val="231F20"/>
          <w:sz w:val="18"/>
        </w:rPr>
        <w:t>y</w:t>
      </w:r>
      <w:r>
        <w:rPr>
          <w:i/>
          <w:color w:val="231F20"/>
          <w:spacing w:val="-4"/>
          <w:sz w:val="18"/>
        </w:rPr>
        <w:t> </w:t>
      </w:r>
      <w:r>
        <w:rPr>
          <w:i/>
          <w:color w:val="231F20"/>
          <w:sz w:val="18"/>
        </w:rPr>
        <w:t>hogar</w:t>
      </w:r>
      <w:r>
        <w:rPr>
          <w:color w:val="231F20"/>
          <w:sz w:val="18"/>
        </w:rPr>
        <w:t>, en </w:t>
      </w:r>
      <w:r>
        <w:rPr>
          <w:i/>
          <w:color w:val="231F20"/>
          <w:sz w:val="18"/>
        </w:rPr>
        <w:t>Cuadernos de Ciencias Sociales</w:t>
      </w:r>
      <w:r>
        <w:rPr>
          <w:color w:val="231F20"/>
          <w:sz w:val="18"/>
        </w:rPr>
        <w:t>, núm. 112, San José:</w:t>
      </w:r>
      <w:r>
        <w:rPr>
          <w:color w:val="231F20"/>
          <w:spacing w:val="-23"/>
          <w:sz w:val="18"/>
        </w:rPr>
        <w:t> </w:t>
      </w:r>
      <w:r>
        <w:rPr>
          <w:color w:val="231F20"/>
          <w:sz w:val="18"/>
        </w:rPr>
        <w:t>Flacso.</w:t>
      </w:r>
    </w:p>
    <w:p>
      <w:pPr>
        <w:spacing w:line="254" w:lineRule="auto" w:before="57"/>
        <w:ind w:left="110" w:right="111" w:firstLine="0"/>
        <w:jc w:val="both"/>
        <w:rPr>
          <w:sz w:val="18"/>
        </w:rPr>
      </w:pPr>
      <w:r>
        <w:rPr>
          <w:color w:val="231F20"/>
          <w:sz w:val="18"/>
        </w:rPr>
        <w:t>Figueiredo Santos, José Alcides (2005) “Efeitos de Classe na Desigualdade Ra- cial no Brasil”, en </w:t>
      </w:r>
      <w:r>
        <w:rPr>
          <w:i/>
          <w:color w:val="231F20"/>
          <w:sz w:val="18"/>
        </w:rPr>
        <w:t>DADOS-Revista de Ciências Sociais</w:t>
      </w:r>
      <w:r>
        <w:rPr>
          <w:color w:val="231F20"/>
          <w:sz w:val="18"/>
        </w:rPr>
        <w:t>, vol. 48, núm. 1.</w:t>
      </w:r>
    </w:p>
    <w:p>
      <w:pPr>
        <w:spacing w:line="254" w:lineRule="auto" w:before="57"/>
        <w:ind w:left="110" w:right="115" w:firstLine="0"/>
        <w:jc w:val="both"/>
        <w:rPr>
          <w:sz w:val="18"/>
        </w:rPr>
      </w:pPr>
      <w:r>
        <w:rPr>
          <w:color w:val="231F20"/>
          <w:spacing w:val="-3"/>
          <w:sz w:val="18"/>
        </w:rPr>
        <w:t>Galín, Pedro (1991) </w:t>
      </w:r>
      <w:r>
        <w:rPr>
          <w:color w:val="231F20"/>
          <w:sz w:val="18"/>
        </w:rPr>
        <w:t>“El </w:t>
      </w:r>
      <w:r>
        <w:rPr>
          <w:color w:val="231F20"/>
          <w:spacing w:val="-3"/>
          <w:sz w:val="18"/>
        </w:rPr>
        <w:t>empleo precario </w:t>
      </w:r>
      <w:r>
        <w:rPr>
          <w:color w:val="231F20"/>
          <w:sz w:val="18"/>
        </w:rPr>
        <w:t>en </w:t>
      </w:r>
      <w:r>
        <w:rPr>
          <w:color w:val="231F20"/>
          <w:spacing w:val="-3"/>
          <w:sz w:val="18"/>
        </w:rPr>
        <w:t>América Latina”, </w:t>
      </w:r>
      <w:r>
        <w:rPr>
          <w:color w:val="231F20"/>
          <w:sz w:val="18"/>
        </w:rPr>
        <w:t>en </w:t>
      </w:r>
      <w:r>
        <w:rPr>
          <w:color w:val="231F20"/>
          <w:spacing w:val="-12"/>
          <w:sz w:val="18"/>
        </w:rPr>
        <w:t>P. </w:t>
      </w:r>
      <w:r>
        <w:rPr>
          <w:color w:val="231F20"/>
          <w:spacing w:val="-3"/>
          <w:sz w:val="18"/>
        </w:rPr>
        <w:t>Galín </w:t>
      </w:r>
      <w:r>
        <w:rPr>
          <w:i/>
          <w:color w:val="231F20"/>
          <w:sz w:val="18"/>
        </w:rPr>
        <w:t>et </w:t>
      </w:r>
      <w:r>
        <w:rPr>
          <w:i/>
          <w:color w:val="231F20"/>
          <w:spacing w:val="-3"/>
          <w:sz w:val="18"/>
        </w:rPr>
        <w:t>al</w:t>
      </w:r>
      <w:r>
        <w:rPr>
          <w:color w:val="231F20"/>
          <w:spacing w:val="-3"/>
          <w:sz w:val="18"/>
        </w:rPr>
        <w:t>., </w:t>
      </w:r>
      <w:r>
        <w:rPr>
          <w:i/>
          <w:color w:val="231F20"/>
          <w:spacing w:val="-3"/>
          <w:sz w:val="18"/>
        </w:rPr>
        <w:t>La </w:t>
      </w:r>
      <w:r>
        <w:rPr>
          <w:i/>
          <w:color w:val="231F20"/>
          <w:spacing w:val="-3"/>
          <w:sz w:val="18"/>
        </w:rPr>
        <w:t>flexibilización laboral </w:t>
      </w:r>
      <w:r>
        <w:rPr>
          <w:i/>
          <w:color w:val="231F20"/>
          <w:sz w:val="18"/>
        </w:rPr>
        <w:t>en </w:t>
      </w:r>
      <w:r>
        <w:rPr>
          <w:i/>
          <w:color w:val="231F20"/>
          <w:spacing w:val="-5"/>
          <w:sz w:val="18"/>
        </w:rPr>
        <w:t>Venezuela. </w:t>
      </w:r>
      <w:r>
        <w:rPr>
          <w:i/>
          <w:color w:val="231F20"/>
          <w:spacing w:val="-3"/>
          <w:sz w:val="18"/>
        </w:rPr>
        <w:t>¿Nuevo </w:t>
      </w:r>
      <w:r>
        <w:rPr>
          <w:i/>
          <w:color w:val="231F20"/>
          <w:spacing w:val="-4"/>
          <w:sz w:val="18"/>
        </w:rPr>
        <w:t>nombre </w:t>
      </w:r>
      <w:r>
        <w:rPr>
          <w:i/>
          <w:color w:val="231F20"/>
          <w:sz w:val="18"/>
        </w:rPr>
        <w:t>o </w:t>
      </w:r>
      <w:r>
        <w:rPr>
          <w:i/>
          <w:color w:val="231F20"/>
          <w:spacing w:val="-3"/>
          <w:sz w:val="18"/>
        </w:rPr>
        <w:t>nueva </w:t>
      </w:r>
      <w:r>
        <w:rPr>
          <w:i/>
          <w:color w:val="231F20"/>
          <w:spacing w:val="-4"/>
          <w:sz w:val="18"/>
        </w:rPr>
        <w:t>realidad?</w:t>
      </w:r>
      <w:r>
        <w:rPr>
          <w:color w:val="231F20"/>
          <w:spacing w:val="-4"/>
          <w:sz w:val="18"/>
        </w:rPr>
        <w:t>, </w:t>
      </w:r>
      <w:r>
        <w:rPr>
          <w:color w:val="231F20"/>
          <w:spacing w:val="-3"/>
          <w:sz w:val="18"/>
        </w:rPr>
        <w:t>Caracas: ILDIS/Nueva Sociedad.</w:t>
      </w:r>
    </w:p>
    <w:p>
      <w:pPr>
        <w:spacing w:line="254" w:lineRule="auto" w:before="57"/>
        <w:ind w:left="110" w:right="111" w:firstLine="0"/>
        <w:jc w:val="both"/>
        <w:rPr>
          <w:sz w:val="18"/>
        </w:rPr>
      </w:pPr>
      <w:r>
        <w:rPr>
          <w:color w:val="231F20"/>
          <w:sz w:val="18"/>
        </w:rPr>
        <w:t>Gálvez,</w:t>
      </w:r>
      <w:r>
        <w:rPr>
          <w:color w:val="231F20"/>
          <w:spacing w:val="-12"/>
          <w:sz w:val="18"/>
        </w:rPr>
        <w:t> </w:t>
      </w:r>
      <w:r>
        <w:rPr>
          <w:color w:val="231F20"/>
          <w:sz w:val="18"/>
        </w:rPr>
        <w:t>Thelma</w:t>
      </w:r>
      <w:r>
        <w:rPr>
          <w:color w:val="231F20"/>
          <w:spacing w:val="-10"/>
          <w:sz w:val="18"/>
        </w:rPr>
        <w:t> </w:t>
      </w:r>
      <w:r>
        <w:rPr>
          <w:color w:val="231F20"/>
          <w:sz w:val="18"/>
        </w:rPr>
        <w:t>(2001)</w:t>
      </w:r>
      <w:r>
        <w:rPr>
          <w:color w:val="231F20"/>
          <w:spacing w:val="-9"/>
          <w:sz w:val="18"/>
        </w:rPr>
        <w:t> </w:t>
      </w:r>
      <w:r>
        <w:rPr>
          <w:color w:val="231F20"/>
          <w:sz w:val="18"/>
        </w:rPr>
        <w:t>“Aspectos</w:t>
      </w:r>
      <w:r>
        <w:rPr>
          <w:color w:val="231F20"/>
          <w:spacing w:val="-10"/>
          <w:sz w:val="18"/>
        </w:rPr>
        <w:t> </w:t>
      </w:r>
      <w:r>
        <w:rPr>
          <w:color w:val="231F20"/>
          <w:sz w:val="18"/>
        </w:rPr>
        <w:t>económicos</w:t>
      </w:r>
      <w:r>
        <w:rPr>
          <w:color w:val="231F20"/>
          <w:spacing w:val="-10"/>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equidad</w:t>
      </w:r>
      <w:r>
        <w:rPr>
          <w:color w:val="231F20"/>
          <w:spacing w:val="-10"/>
          <w:sz w:val="18"/>
        </w:rPr>
        <w:t> </w:t>
      </w:r>
      <w:r>
        <w:rPr>
          <w:color w:val="231F20"/>
          <w:sz w:val="18"/>
        </w:rPr>
        <w:t>de</w:t>
      </w:r>
      <w:r>
        <w:rPr>
          <w:color w:val="231F20"/>
          <w:spacing w:val="-9"/>
          <w:sz w:val="18"/>
        </w:rPr>
        <w:t> </w:t>
      </w:r>
      <w:r>
        <w:rPr>
          <w:color w:val="231F20"/>
          <w:sz w:val="18"/>
        </w:rPr>
        <w:t>género”,</w:t>
      </w:r>
      <w:r>
        <w:rPr>
          <w:color w:val="231F20"/>
          <w:spacing w:val="-9"/>
          <w:sz w:val="18"/>
        </w:rPr>
        <w:t> </w:t>
      </w:r>
      <w:r>
        <w:rPr>
          <w:color w:val="231F20"/>
          <w:sz w:val="18"/>
        </w:rPr>
        <w:t>en</w:t>
      </w:r>
      <w:r>
        <w:rPr>
          <w:color w:val="231F20"/>
          <w:spacing w:val="-9"/>
          <w:sz w:val="18"/>
        </w:rPr>
        <w:t> </w:t>
      </w:r>
      <w:r>
        <w:rPr>
          <w:i/>
          <w:color w:val="231F20"/>
          <w:sz w:val="18"/>
        </w:rPr>
        <w:t>Serie </w:t>
      </w:r>
      <w:r>
        <w:rPr>
          <w:i/>
          <w:color w:val="231F20"/>
          <w:sz w:val="18"/>
        </w:rPr>
        <w:t>Mujer y Desarrollo</w:t>
      </w:r>
      <w:r>
        <w:rPr>
          <w:color w:val="231F20"/>
          <w:sz w:val="18"/>
        </w:rPr>
        <w:t>, núm. 35, Santiago de Chile:</w:t>
      </w:r>
      <w:r>
        <w:rPr>
          <w:color w:val="231F20"/>
          <w:spacing w:val="-19"/>
          <w:sz w:val="18"/>
        </w:rPr>
        <w:t> </w:t>
      </w:r>
      <w:r>
        <w:rPr>
          <w:color w:val="231F20"/>
          <w:sz w:val="18"/>
        </w:rPr>
        <w:t>Cepal.</w:t>
      </w:r>
    </w:p>
    <w:p>
      <w:pPr>
        <w:spacing w:line="254" w:lineRule="auto" w:before="57"/>
        <w:ind w:left="110" w:right="111" w:firstLine="0"/>
        <w:jc w:val="both"/>
        <w:rPr>
          <w:sz w:val="18"/>
        </w:rPr>
      </w:pPr>
      <w:r>
        <w:rPr>
          <w:color w:val="231F20"/>
          <w:sz w:val="18"/>
        </w:rPr>
        <w:t>González</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Rocha,</w:t>
      </w:r>
      <w:r>
        <w:rPr>
          <w:color w:val="231F20"/>
          <w:spacing w:val="-9"/>
          <w:sz w:val="18"/>
        </w:rPr>
        <w:t> </w:t>
      </w:r>
      <w:r>
        <w:rPr>
          <w:color w:val="231F20"/>
          <w:sz w:val="18"/>
        </w:rPr>
        <w:t>Mecedes</w:t>
      </w:r>
      <w:r>
        <w:rPr>
          <w:color w:val="231F20"/>
          <w:spacing w:val="-9"/>
          <w:sz w:val="18"/>
        </w:rPr>
        <w:t> </w:t>
      </w:r>
      <w:r>
        <w:rPr>
          <w:color w:val="231F20"/>
          <w:sz w:val="18"/>
        </w:rPr>
        <w:t>(1998)</w:t>
      </w:r>
      <w:r>
        <w:rPr>
          <w:color w:val="231F20"/>
          <w:spacing w:val="-9"/>
          <w:sz w:val="18"/>
        </w:rPr>
        <w:t> </w:t>
      </w:r>
      <w:r>
        <w:rPr>
          <w:color w:val="231F20"/>
          <w:sz w:val="18"/>
        </w:rPr>
        <w:t>“Exclusión</w:t>
      </w:r>
      <w:r>
        <w:rPr>
          <w:color w:val="231F20"/>
          <w:spacing w:val="-10"/>
          <w:sz w:val="18"/>
        </w:rPr>
        <w:t> </w:t>
      </w:r>
      <w:r>
        <w:rPr>
          <w:color w:val="231F20"/>
          <w:sz w:val="18"/>
        </w:rPr>
        <w:t>laboral:</w:t>
      </w:r>
      <w:r>
        <w:rPr>
          <w:color w:val="231F20"/>
          <w:spacing w:val="-10"/>
          <w:sz w:val="18"/>
        </w:rPr>
        <w:t> </w:t>
      </w:r>
      <w:r>
        <w:rPr>
          <w:color w:val="231F20"/>
          <w:sz w:val="18"/>
        </w:rPr>
        <w:t>dilemas</w:t>
      </w:r>
      <w:r>
        <w:rPr>
          <w:color w:val="231F20"/>
          <w:spacing w:val="-9"/>
          <w:sz w:val="18"/>
        </w:rPr>
        <w:t> </w:t>
      </w:r>
      <w:r>
        <w:rPr>
          <w:color w:val="231F20"/>
          <w:sz w:val="18"/>
        </w:rPr>
        <w:t>y</w:t>
      </w:r>
      <w:r>
        <w:rPr>
          <w:color w:val="231F20"/>
          <w:spacing w:val="-9"/>
          <w:sz w:val="18"/>
        </w:rPr>
        <w:t> </w:t>
      </w:r>
      <w:r>
        <w:rPr>
          <w:color w:val="231F20"/>
          <w:sz w:val="18"/>
        </w:rPr>
        <w:t>retos</w:t>
      </w:r>
      <w:r>
        <w:rPr>
          <w:color w:val="231F20"/>
          <w:spacing w:val="-9"/>
          <w:sz w:val="18"/>
        </w:rPr>
        <w:t> </w:t>
      </w:r>
      <w:r>
        <w:rPr>
          <w:color w:val="231F20"/>
          <w:sz w:val="18"/>
        </w:rPr>
        <w:t>analí- ticos.</w:t>
      </w:r>
      <w:r>
        <w:rPr>
          <w:color w:val="231F20"/>
          <w:spacing w:val="-14"/>
          <w:sz w:val="18"/>
        </w:rPr>
        <w:t> </w:t>
      </w:r>
      <w:r>
        <w:rPr>
          <w:color w:val="231F20"/>
          <w:sz w:val="18"/>
        </w:rPr>
        <w:t>Algunas</w:t>
      </w:r>
      <w:r>
        <w:rPr>
          <w:color w:val="231F20"/>
          <w:spacing w:val="-4"/>
          <w:sz w:val="18"/>
        </w:rPr>
        <w:t> </w:t>
      </w:r>
      <w:r>
        <w:rPr>
          <w:color w:val="231F20"/>
          <w:sz w:val="18"/>
        </w:rPr>
        <w:t>reflexiones</w:t>
      </w:r>
      <w:r>
        <w:rPr>
          <w:color w:val="231F20"/>
          <w:spacing w:val="-4"/>
          <w:sz w:val="18"/>
        </w:rPr>
        <w:t> </w:t>
      </w:r>
      <w:r>
        <w:rPr>
          <w:color w:val="231F20"/>
          <w:sz w:val="18"/>
        </w:rPr>
        <w:t>sobre</w:t>
      </w:r>
      <w:r>
        <w:rPr>
          <w:color w:val="231F20"/>
          <w:spacing w:val="-4"/>
          <w:sz w:val="18"/>
        </w:rPr>
        <w:t> </w:t>
      </w:r>
      <w:r>
        <w:rPr>
          <w:color w:val="231F20"/>
          <w:sz w:val="18"/>
        </w:rPr>
        <w:t>el</w:t>
      </w:r>
      <w:r>
        <w:rPr>
          <w:color w:val="231F20"/>
          <w:spacing w:val="-4"/>
          <w:sz w:val="18"/>
        </w:rPr>
        <w:t> </w:t>
      </w:r>
      <w:r>
        <w:rPr>
          <w:color w:val="231F20"/>
          <w:sz w:val="18"/>
        </w:rPr>
        <w:t>impacto</w:t>
      </w:r>
      <w:r>
        <w:rPr>
          <w:color w:val="231F20"/>
          <w:spacing w:val="-4"/>
          <w:sz w:val="18"/>
        </w:rPr>
        <w:t> </w:t>
      </w:r>
      <w:r>
        <w:rPr>
          <w:color w:val="231F20"/>
          <w:sz w:val="18"/>
        </w:rPr>
        <w:t>del</w:t>
      </w:r>
      <w:r>
        <w:rPr>
          <w:color w:val="231F20"/>
          <w:spacing w:val="-4"/>
          <w:sz w:val="18"/>
        </w:rPr>
        <w:t> </w:t>
      </w:r>
      <w:r>
        <w:rPr>
          <w:color w:val="231F20"/>
          <w:sz w:val="18"/>
        </w:rPr>
        <w:t>desempleo</w:t>
      </w:r>
      <w:r>
        <w:rPr>
          <w:color w:val="231F20"/>
          <w:spacing w:val="-4"/>
          <w:sz w:val="18"/>
        </w:rPr>
        <w:t> </w:t>
      </w:r>
      <w:r>
        <w:rPr>
          <w:color w:val="231F20"/>
          <w:sz w:val="18"/>
        </w:rPr>
        <w:t>en</w:t>
      </w:r>
      <w:r>
        <w:rPr>
          <w:color w:val="231F20"/>
          <w:spacing w:val="-4"/>
          <w:sz w:val="18"/>
        </w:rPr>
        <w:t> </w:t>
      </w:r>
      <w:r>
        <w:rPr>
          <w:color w:val="231F20"/>
          <w:sz w:val="18"/>
        </w:rPr>
        <w:t>la</w:t>
      </w:r>
      <w:r>
        <w:rPr>
          <w:color w:val="231F20"/>
          <w:spacing w:val="-4"/>
          <w:sz w:val="18"/>
        </w:rPr>
        <w:t> </w:t>
      </w:r>
      <w:r>
        <w:rPr>
          <w:color w:val="231F20"/>
          <w:sz w:val="18"/>
        </w:rPr>
        <w:t>vida</w:t>
      </w:r>
      <w:r>
        <w:rPr>
          <w:color w:val="231F20"/>
          <w:spacing w:val="-4"/>
          <w:sz w:val="18"/>
        </w:rPr>
        <w:t> </w:t>
      </w:r>
      <w:r>
        <w:rPr>
          <w:color w:val="231F20"/>
          <w:sz w:val="18"/>
        </w:rPr>
        <w:t>doméstica”, en Nadya A. de Castro y Claudio S. Dedecca (org.), </w:t>
      </w:r>
      <w:r>
        <w:rPr>
          <w:i/>
          <w:color w:val="231F20"/>
          <w:sz w:val="18"/>
        </w:rPr>
        <w:t>A ocupacao na América </w:t>
      </w:r>
      <w:r>
        <w:rPr>
          <w:i/>
          <w:color w:val="231F20"/>
          <w:sz w:val="18"/>
        </w:rPr>
        <w:t>Latina:</w:t>
      </w:r>
      <w:r>
        <w:rPr>
          <w:i/>
          <w:color w:val="231F20"/>
          <w:spacing w:val="-5"/>
          <w:sz w:val="18"/>
        </w:rPr>
        <w:t> </w:t>
      </w:r>
      <w:r>
        <w:rPr>
          <w:i/>
          <w:color w:val="231F20"/>
          <w:sz w:val="18"/>
        </w:rPr>
        <w:t>tempos</w:t>
      </w:r>
      <w:r>
        <w:rPr>
          <w:i/>
          <w:color w:val="231F20"/>
          <w:spacing w:val="-6"/>
          <w:sz w:val="18"/>
        </w:rPr>
        <w:t> </w:t>
      </w:r>
      <w:r>
        <w:rPr>
          <w:i/>
          <w:color w:val="231F20"/>
          <w:sz w:val="18"/>
        </w:rPr>
        <w:t>mais</w:t>
      </w:r>
      <w:r>
        <w:rPr>
          <w:i/>
          <w:color w:val="231F20"/>
          <w:spacing w:val="-5"/>
          <w:sz w:val="18"/>
        </w:rPr>
        <w:t> </w:t>
      </w:r>
      <w:r>
        <w:rPr>
          <w:i/>
          <w:color w:val="231F20"/>
          <w:sz w:val="18"/>
        </w:rPr>
        <w:t>duros</w:t>
      </w:r>
      <w:r>
        <w:rPr>
          <w:color w:val="231F20"/>
          <w:sz w:val="18"/>
        </w:rPr>
        <w:t>,</w:t>
      </w:r>
      <w:r>
        <w:rPr>
          <w:color w:val="231F20"/>
          <w:spacing w:val="-5"/>
          <w:sz w:val="18"/>
        </w:rPr>
        <w:t> </w:t>
      </w:r>
      <w:r>
        <w:rPr>
          <w:color w:val="231F20"/>
          <w:sz w:val="18"/>
        </w:rPr>
        <w:t>Sao</w:t>
      </w:r>
      <w:r>
        <w:rPr>
          <w:color w:val="231F20"/>
          <w:spacing w:val="-5"/>
          <w:sz w:val="18"/>
        </w:rPr>
        <w:t> </w:t>
      </w:r>
      <w:r>
        <w:rPr>
          <w:color w:val="231F20"/>
          <w:sz w:val="18"/>
        </w:rPr>
        <w:t>Paulo/Rio</w:t>
      </w:r>
      <w:r>
        <w:rPr>
          <w:color w:val="231F20"/>
          <w:spacing w:val="-5"/>
          <w:sz w:val="18"/>
        </w:rPr>
        <w:t> </w:t>
      </w:r>
      <w:r>
        <w:rPr>
          <w:color w:val="231F20"/>
          <w:sz w:val="18"/>
        </w:rPr>
        <w:t>de</w:t>
      </w:r>
      <w:r>
        <w:rPr>
          <w:color w:val="231F20"/>
          <w:spacing w:val="-5"/>
          <w:sz w:val="18"/>
        </w:rPr>
        <w:t> </w:t>
      </w:r>
      <w:r>
        <w:rPr>
          <w:color w:val="231F20"/>
          <w:sz w:val="18"/>
        </w:rPr>
        <w:t>Janeiro:</w:t>
      </w:r>
      <w:r>
        <w:rPr>
          <w:color w:val="231F20"/>
          <w:spacing w:val="-14"/>
          <w:sz w:val="18"/>
        </w:rPr>
        <w:t> </w:t>
      </w:r>
      <w:r>
        <w:rPr>
          <w:color w:val="231F20"/>
          <w:spacing w:val="-3"/>
          <w:sz w:val="18"/>
        </w:rPr>
        <w:t>ALAST.</w:t>
      </w:r>
    </w:p>
    <w:p>
      <w:pPr>
        <w:spacing w:before="57"/>
        <w:ind w:left="110" w:right="0" w:firstLine="0"/>
        <w:jc w:val="both"/>
        <w:rPr>
          <w:sz w:val="18"/>
        </w:rPr>
      </w:pPr>
      <w:r>
        <w:rPr>
          <w:color w:val="231F20"/>
          <w:sz w:val="18"/>
        </w:rPr>
        <w:t>González de la Rocha, Mercedes (1999) “La reciprocidad amenazada: un  costo</w:t>
      </w:r>
    </w:p>
    <w:p>
      <w:pPr>
        <w:spacing w:after="0"/>
        <w:jc w:val="both"/>
        <w:rPr>
          <w:sz w:val="18"/>
        </w:rPr>
        <w:sectPr>
          <w:pgSz w:w="7770" w:h="11740"/>
          <w:pgMar w:header="0" w:footer="474" w:top="820" w:bottom="740" w:left="740" w:right="1020"/>
        </w:sectPr>
      </w:pPr>
    </w:p>
    <w:p>
      <w:pPr>
        <w:spacing w:line="254" w:lineRule="auto" w:before="65"/>
        <w:ind w:left="113" w:right="108" w:firstLine="0"/>
        <w:jc w:val="both"/>
        <w:rPr>
          <w:sz w:val="18"/>
        </w:rPr>
      </w:pPr>
      <w:r>
        <w:rPr>
          <w:color w:val="231F20"/>
          <w:sz w:val="18"/>
        </w:rPr>
        <w:t>más</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pobreza</w:t>
      </w:r>
      <w:r>
        <w:rPr>
          <w:color w:val="231F20"/>
          <w:spacing w:val="-8"/>
          <w:sz w:val="18"/>
        </w:rPr>
        <w:t> </w:t>
      </w:r>
      <w:r>
        <w:rPr>
          <w:color w:val="231F20"/>
          <w:sz w:val="18"/>
        </w:rPr>
        <w:t>urbana”,</w:t>
      </w:r>
      <w:r>
        <w:rPr>
          <w:color w:val="231F20"/>
          <w:spacing w:val="-8"/>
          <w:sz w:val="18"/>
        </w:rPr>
        <w:t> </w:t>
      </w:r>
      <w:r>
        <w:rPr>
          <w:color w:val="231F20"/>
          <w:sz w:val="18"/>
        </w:rPr>
        <w:t>en</w:t>
      </w:r>
      <w:r>
        <w:rPr>
          <w:color w:val="231F20"/>
          <w:spacing w:val="-8"/>
          <w:sz w:val="18"/>
        </w:rPr>
        <w:t> </w:t>
      </w:r>
      <w:r>
        <w:rPr>
          <w:i/>
          <w:color w:val="231F20"/>
          <w:sz w:val="18"/>
        </w:rPr>
        <w:t>Revista</w:t>
      </w:r>
      <w:r>
        <w:rPr>
          <w:i/>
          <w:color w:val="231F20"/>
          <w:spacing w:val="-8"/>
          <w:sz w:val="18"/>
        </w:rPr>
        <w:t> </w:t>
      </w:r>
      <w:r>
        <w:rPr>
          <w:i/>
          <w:color w:val="231F20"/>
          <w:sz w:val="18"/>
        </w:rPr>
        <w:t>Latinoamericana</w:t>
      </w:r>
      <w:r>
        <w:rPr>
          <w:i/>
          <w:color w:val="231F20"/>
          <w:spacing w:val="-7"/>
          <w:sz w:val="18"/>
        </w:rPr>
        <w:t> </w:t>
      </w:r>
      <w:r>
        <w:rPr>
          <w:i/>
          <w:color w:val="231F20"/>
          <w:sz w:val="18"/>
        </w:rPr>
        <w:t>de</w:t>
      </w:r>
      <w:r>
        <w:rPr>
          <w:i/>
          <w:color w:val="231F20"/>
          <w:spacing w:val="-8"/>
          <w:sz w:val="18"/>
        </w:rPr>
        <w:t> </w:t>
      </w:r>
      <w:r>
        <w:rPr>
          <w:i/>
          <w:color w:val="231F20"/>
          <w:sz w:val="18"/>
        </w:rPr>
        <w:t>Estudios</w:t>
      </w:r>
      <w:r>
        <w:rPr>
          <w:i/>
          <w:color w:val="231F20"/>
          <w:spacing w:val="-9"/>
          <w:sz w:val="18"/>
        </w:rPr>
        <w:t> </w:t>
      </w:r>
      <w:r>
        <w:rPr>
          <w:i/>
          <w:color w:val="231F20"/>
          <w:sz w:val="18"/>
        </w:rPr>
        <w:t>del</w:t>
      </w:r>
      <w:r>
        <w:rPr>
          <w:i/>
          <w:color w:val="231F20"/>
          <w:spacing w:val="-8"/>
          <w:sz w:val="18"/>
        </w:rPr>
        <w:t> </w:t>
      </w:r>
      <w:r>
        <w:rPr>
          <w:i/>
          <w:color w:val="231F20"/>
          <w:sz w:val="18"/>
        </w:rPr>
        <w:t>Trabajo</w:t>
      </w:r>
      <w:r>
        <w:rPr>
          <w:color w:val="231F20"/>
          <w:sz w:val="18"/>
        </w:rPr>
        <w:t>, núm. 9.</w:t>
      </w:r>
    </w:p>
    <w:p>
      <w:pPr>
        <w:spacing w:line="254" w:lineRule="auto" w:before="57"/>
        <w:ind w:left="113" w:right="107" w:firstLine="0"/>
        <w:jc w:val="both"/>
        <w:rPr>
          <w:sz w:val="18"/>
        </w:rPr>
      </w:pPr>
      <w:r>
        <w:rPr>
          <w:color w:val="231F20"/>
          <w:sz w:val="18"/>
        </w:rPr>
        <w:t>Guadarrama Olivera, Rocío, Alfredo Hualde Alfaro y Silvia López Estrada (2012) “Precariedad laboral y heterogeneidad ocupacional: una propuesta teóri- ca-metodológica”, en </w:t>
      </w:r>
      <w:r>
        <w:rPr>
          <w:i/>
          <w:color w:val="231F20"/>
          <w:sz w:val="18"/>
        </w:rPr>
        <w:t>Revista Mexicana de Sociología</w:t>
      </w:r>
      <w:r>
        <w:rPr>
          <w:color w:val="231F20"/>
          <w:sz w:val="18"/>
        </w:rPr>
        <w:t>, año 74, núm. 2.</w:t>
      </w:r>
    </w:p>
    <w:p>
      <w:pPr>
        <w:spacing w:line="254" w:lineRule="auto" w:before="57"/>
        <w:ind w:left="113" w:right="108" w:firstLine="0"/>
        <w:jc w:val="both"/>
        <w:rPr>
          <w:sz w:val="18"/>
        </w:rPr>
      </w:pPr>
      <w:r>
        <w:rPr>
          <w:color w:val="231F20"/>
          <w:sz w:val="18"/>
        </w:rPr>
        <w:t>Guimarães, Nadia, Didier Demazière, Helena Hirata y Kurumi Sugita (2010) “Unemployment, A Social Construction”, en </w:t>
      </w:r>
      <w:r>
        <w:rPr>
          <w:i/>
          <w:color w:val="231F20"/>
          <w:sz w:val="18"/>
        </w:rPr>
        <w:t>Economic Sociology_the european </w:t>
      </w:r>
      <w:r>
        <w:rPr>
          <w:i/>
          <w:color w:val="231F20"/>
          <w:sz w:val="18"/>
        </w:rPr>
        <w:t>electronic newsletter</w:t>
      </w:r>
      <w:r>
        <w:rPr>
          <w:color w:val="231F20"/>
          <w:sz w:val="18"/>
        </w:rPr>
        <w:t>, vol. 11, núm. 3.</w:t>
      </w:r>
    </w:p>
    <w:p>
      <w:pPr>
        <w:spacing w:line="254" w:lineRule="auto" w:before="57"/>
        <w:ind w:left="113" w:right="107" w:firstLine="0"/>
        <w:jc w:val="both"/>
        <w:rPr>
          <w:sz w:val="18"/>
        </w:rPr>
      </w:pPr>
      <w:r>
        <w:rPr>
          <w:color w:val="231F20"/>
          <w:sz w:val="18"/>
        </w:rPr>
        <w:t>Guimarães,</w:t>
      </w:r>
      <w:r>
        <w:rPr>
          <w:color w:val="231F20"/>
          <w:spacing w:val="-5"/>
          <w:sz w:val="18"/>
        </w:rPr>
        <w:t> </w:t>
      </w:r>
      <w:r>
        <w:rPr>
          <w:color w:val="231F20"/>
          <w:sz w:val="18"/>
        </w:rPr>
        <w:t>Nadia</w:t>
      </w:r>
      <w:r>
        <w:rPr>
          <w:color w:val="231F20"/>
          <w:spacing w:val="-5"/>
          <w:sz w:val="18"/>
        </w:rPr>
        <w:t> </w:t>
      </w:r>
      <w:r>
        <w:rPr>
          <w:color w:val="231F20"/>
          <w:sz w:val="18"/>
        </w:rPr>
        <w:t>(2009)</w:t>
      </w:r>
      <w:r>
        <w:rPr>
          <w:color w:val="231F20"/>
          <w:spacing w:val="-5"/>
          <w:sz w:val="18"/>
        </w:rPr>
        <w:t> </w:t>
      </w:r>
      <w:r>
        <w:rPr>
          <w:i/>
          <w:color w:val="231F20"/>
          <w:sz w:val="18"/>
        </w:rPr>
        <w:t>Desemprego,</w:t>
      </w:r>
      <w:r>
        <w:rPr>
          <w:i/>
          <w:color w:val="231F20"/>
          <w:spacing w:val="-5"/>
          <w:sz w:val="18"/>
        </w:rPr>
        <w:t> </w:t>
      </w:r>
      <w:r>
        <w:rPr>
          <w:i/>
          <w:color w:val="231F20"/>
          <w:sz w:val="18"/>
        </w:rPr>
        <w:t>uma</w:t>
      </w:r>
      <w:r>
        <w:rPr>
          <w:i/>
          <w:color w:val="231F20"/>
          <w:spacing w:val="-5"/>
          <w:sz w:val="18"/>
        </w:rPr>
        <w:t> </w:t>
      </w:r>
      <w:r>
        <w:rPr>
          <w:i/>
          <w:color w:val="231F20"/>
          <w:sz w:val="18"/>
        </w:rPr>
        <w:t>construção</w:t>
      </w:r>
      <w:r>
        <w:rPr>
          <w:i/>
          <w:color w:val="231F20"/>
          <w:spacing w:val="-6"/>
          <w:sz w:val="18"/>
        </w:rPr>
        <w:t> </w:t>
      </w:r>
      <w:r>
        <w:rPr>
          <w:i/>
          <w:color w:val="231F20"/>
          <w:sz w:val="18"/>
        </w:rPr>
        <w:t>social.</w:t>
      </w:r>
      <w:r>
        <w:rPr>
          <w:i/>
          <w:color w:val="231F20"/>
          <w:spacing w:val="-5"/>
          <w:sz w:val="18"/>
        </w:rPr>
        <w:t> </w:t>
      </w:r>
      <w:r>
        <w:rPr>
          <w:i/>
          <w:color w:val="231F20"/>
          <w:sz w:val="18"/>
        </w:rPr>
        <w:t>São</w:t>
      </w:r>
      <w:r>
        <w:rPr>
          <w:i/>
          <w:color w:val="231F20"/>
          <w:spacing w:val="-5"/>
          <w:sz w:val="18"/>
        </w:rPr>
        <w:t> </w:t>
      </w:r>
      <w:r>
        <w:rPr>
          <w:i/>
          <w:color w:val="231F20"/>
          <w:sz w:val="18"/>
        </w:rPr>
        <w:t>Paulo,</w:t>
      </w:r>
      <w:r>
        <w:rPr>
          <w:i/>
          <w:color w:val="231F20"/>
          <w:spacing w:val="-6"/>
          <w:sz w:val="18"/>
        </w:rPr>
        <w:t> </w:t>
      </w:r>
      <w:r>
        <w:rPr>
          <w:i/>
          <w:color w:val="231F20"/>
          <w:sz w:val="18"/>
        </w:rPr>
        <w:t>Paris </w:t>
      </w:r>
      <w:r>
        <w:rPr>
          <w:i/>
          <w:color w:val="231F20"/>
          <w:sz w:val="18"/>
        </w:rPr>
        <w:t>e Tóquio</w:t>
      </w:r>
      <w:r>
        <w:rPr>
          <w:color w:val="231F20"/>
          <w:sz w:val="18"/>
        </w:rPr>
        <w:t>, Belo Horizonte: Argvmentvm</w:t>
      </w:r>
      <w:r>
        <w:rPr>
          <w:color w:val="231F20"/>
          <w:spacing w:val="-29"/>
          <w:sz w:val="18"/>
        </w:rPr>
        <w:t> </w:t>
      </w:r>
      <w:r>
        <w:rPr>
          <w:color w:val="231F20"/>
          <w:sz w:val="18"/>
        </w:rPr>
        <w:t>Editora.</w:t>
      </w:r>
    </w:p>
    <w:p>
      <w:pPr>
        <w:spacing w:line="254" w:lineRule="auto" w:before="57"/>
        <w:ind w:left="113" w:right="108" w:firstLine="0"/>
        <w:jc w:val="both"/>
        <w:rPr>
          <w:sz w:val="18"/>
        </w:rPr>
      </w:pPr>
      <w:r>
        <w:rPr>
          <w:color w:val="231F20"/>
          <w:sz w:val="18"/>
        </w:rPr>
        <w:t>Guimarães, Nadia (2011) “O Que Muda Quando se Expande o Assalaramiento (E Em Que o Debate da Sociologia Pode nos Ajudar a Compreendê-lo)?”, en </w:t>
      </w:r>
      <w:r>
        <w:rPr>
          <w:i/>
          <w:color w:val="231F20"/>
          <w:sz w:val="18"/>
        </w:rPr>
        <w:t>DADOS-Revista de Ciências Sociais</w:t>
      </w:r>
      <w:r>
        <w:rPr>
          <w:color w:val="231F20"/>
          <w:sz w:val="18"/>
        </w:rPr>
        <w:t>, vol. 54, núm. 4.</w:t>
      </w:r>
    </w:p>
    <w:p>
      <w:pPr>
        <w:spacing w:line="254" w:lineRule="auto" w:before="57"/>
        <w:ind w:left="113" w:right="108" w:firstLine="0"/>
        <w:jc w:val="both"/>
        <w:rPr>
          <w:sz w:val="18"/>
        </w:rPr>
      </w:pPr>
      <w:r>
        <w:rPr>
          <w:color w:val="231F20"/>
          <w:sz w:val="18"/>
        </w:rPr>
        <w:t>Iranzo, Consuelo y Marcia Paula Leite (2006) </w:t>
      </w:r>
      <w:r>
        <w:rPr>
          <w:i/>
          <w:color w:val="231F20"/>
          <w:sz w:val="18"/>
        </w:rPr>
        <w:t>La subcontratación laboral en </w:t>
      </w:r>
      <w:r>
        <w:rPr>
          <w:i/>
          <w:color w:val="231F20"/>
          <w:sz w:val="18"/>
        </w:rPr>
        <w:t>América Latina</w:t>
      </w:r>
      <w:r>
        <w:rPr>
          <w:color w:val="231F20"/>
          <w:sz w:val="18"/>
        </w:rPr>
        <w:t>, en Enrique de la Garza Toledo (coord.).</w:t>
      </w:r>
    </w:p>
    <w:p>
      <w:pPr>
        <w:spacing w:line="254" w:lineRule="auto" w:before="57"/>
        <w:ind w:left="113" w:right="107" w:firstLine="0"/>
        <w:jc w:val="both"/>
        <w:rPr>
          <w:sz w:val="18"/>
        </w:rPr>
      </w:pPr>
      <w:r>
        <w:rPr>
          <w:color w:val="231F20"/>
          <w:sz w:val="18"/>
        </w:rPr>
        <w:t>Krein,</w:t>
      </w:r>
      <w:r>
        <w:rPr>
          <w:color w:val="231F20"/>
          <w:spacing w:val="-6"/>
          <w:sz w:val="18"/>
        </w:rPr>
        <w:t> </w:t>
      </w:r>
      <w:r>
        <w:rPr>
          <w:color w:val="231F20"/>
          <w:sz w:val="18"/>
        </w:rPr>
        <w:t>José</w:t>
      </w:r>
      <w:r>
        <w:rPr>
          <w:color w:val="231F20"/>
          <w:spacing w:val="-6"/>
          <w:sz w:val="18"/>
        </w:rPr>
        <w:t> </w:t>
      </w:r>
      <w:r>
        <w:rPr>
          <w:color w:val="231F20"/>
          <w:sz w:val="18"/>
        </w:rPr>
        <w:t>Dari</w:t>
      </w:r>
      <w:r>
        <w:rPr>
          <w:color w:val="231F20"/>
          <w:spacing w:val="-6"/>
          <w:sz w:val="18"/>
        </w:rPr>
        <w:t> </w:t>
      </w:r>
      <w:r>
        <w:rPr>
          <w:color w:val="231F20"/>
          <w:sz w:val="18"/>
        </w:rPr>
        <w:t>y</w:t>
      </w:r>
      <w:r>
        <w:rPr>
          <w:color w:val="231F20"/>
          <w:spacing w:val="-16"/>
          <w:sz w:val="18"/>
        </w:rPr>
        <w:t> </w:t>
      </w:r>
      <w:r>
        <w:rPr>
          <w:color w:val="231F20"/>
          <w:sz w:val="18"/>
        </w:rPr>
        <w:t>Aselmo</w:t>
      </w:r>
      <w:r>
        <w:rPr>
          <w:color w:val="231F20"/>
          <w:spacing w:val="-6"/>
          <w:sz w:val="18"/>
        </w:rPr>
        <w:t> </w:t>
      </w:r>
      <w:r>
        <w:rPr>
          <w:color w:val="231F20"/>
          <w:sz w:val="18"/>
        </w:rPr>
        <w:t>Luis</w:t>
      </w:r>
      <w:r>
        <w:rPr>
          <w:color w:val="231F20"/>
          <w:spacing w:val="-6"/>
          <w:sz w:val="18"/>
        </w:rPr>
        <w:t> </w:t>
      </w:r>
      <w:r>
        <w:rPr>
          <w:color w:val="231F20"/>
          <w:sz w:val="18"/>
        </w:rPr>
        <w:t>dos</w:t>
      </w:r>
      <w:r>
        <w:rPr>
          <w:color w:val="231F20"/>
          <w:spacing w:val="-6"/>
          <w:sz w:val="18"/>
        </w:rPr>
        <w:t> </w:t>
      </w:r>
      <w:r>
        <w:rPr>
          <w:color w:val="231F20"/>
          <w:sz w:val="18"/>
        </w:rPr>
        <w:t>Santos,</w:t>
      </w:r>
      <w:r>
        <w:rPr>
          <w:color w:val="231F20"/>
          <w:spacing w:val="-6"/>
          <w:sz w:val="18"/>
        </w:rPr>
        <w:t> </w:t>
      </w:r>
      <w:r>
        <w:rPr>
          <w:color w:val="231F20"/>
          <w:sz w:val="18"/>
        </w:rPr>
        <w:t>(2012)</w:t>
      </w:r>
      <w:r>
        <w:rPr>
          <w:color w:val="231F20"/>
          <w:spacing w:val="-6"/>
          <w:sz w:val="18"/>
        </w:rPr>
        <w:t> </w:t>
      </w:r>
      <w:r>
        <w:rPr>
          <w:color w:val="231F20"/>
          <w:sz w:val="18"/>
        </w:rPr>
        <w:t>“La</w:t>
      </w:r>
      <w:r>
        <w:rPr>
          <w:color w:val="231F20"/>
          <w:spacing w:val="-6"/>
          <w:sz w:val="18"/>
        </w:rPr>
        <w:t> </w:t>
      </w:r>
      <w:r>
        <w:rPr>
          <w:color w:val="231F20"/>
          <w:sz w:val="18"/>
        </w:rPr>
        <w:t>formalización</w:t>
      </w:r>
      <w:r>
        <w:rPr>
          <w:color w:val="231F20"/>
          <w:spacing w:val="-6"/>
          <w:sz w:val="18"/>
        </w:rPr>
        <w:t> </w:t>
      </w:r>
      <w:r>
        <w:rPr>
          <w:color w:val="231F20"/>
          <w:sz w:val="18"/>
        </w:rPr>
        <w:t>del</w:t>
      </w:r>
      <w:r>
        <w:rPr>
          <w:color w:val="231F20"/>
          <w:spacing w:val="-6"/>
          <w:sz w:val="18"/>
        </w:rPr>
        <w:t> </w:t>
      </w:r>
      <w:r>
        <w:rPr>
          <w:color w:val="231F20"/>
          <w:sz w:val="18"/>
        </w:rPr>
        <w:t>trabajo en Brasil. El crecimiento económico y los efectos de las políticas laborales”, en </w:t>
      </w:r>
      <w:r>
        <w:rPr>
          <w:i/>
          <w:color w:val="231F20"/>
          <w:sz w:val="18"/>
        </w:rPr>
        <w:t>Nueva Sociedad</w:t>
      </w:r>
      <w:r>
        <w:rPr>
          <w:color w:val="231F20"/>
          <w:sz w:val="18"/>
        </w:rPr>
        <w:t>, núm.</w:t>
      </w:r>
      <w:r>
        <w:rPr>
          <w:color w:val="231F20"/>
          <w:spacing w:val="-1"/>
          <w:sz w:val="18"/>
        </w:rPr>
        <w:t> </w:t>
      </w:r>
      <w:r>
        <w:rPr>
          <w:color w:val="231F20"/>
          <w:sz w:val="18"/>
        </w:rPr>
        <w:t>239.</w:t>
      </w:r>
    </w:p>
    <w:p>
      <w:pPr>
        <w:spacing w:line="254" w:lineRule="auto" w:before="57"/>
        <w:ind w:left="113" w:right="108" w:firstLine="0"/>
        <w:jc w:val="both"/>
        <w:rPr>
          <w:sz w:val="18"/>
        </w:rPr>
      </w:pPr>
      <w:r>
        <w:rPr>
          <w:color w:val="231F20"/>
          <w:sz w:val="18"/>
        </w:rPr>
        <w:t>Lavinas, Lena (2012) “Desafíos de la política social de Brasil: ¿cómo mantener el crecimiento económico con inclusión social?”, en </w:t>
      </w:r>
      <w:r>
        <w:rPr>
          <w:i/>
          <w:color w:val="231F20"/>
          <w:sz w:val="18"/>
        </w:rPr>
        <w:t>Revista Ciencias Sociales</w:t>
      </w:r>
      <w:r>
        <w:rPr>
          <w:color w:val="231F20"/>
          <w:sz w:val="18"/>
        </w:rPr>
        <w:t>.</w:t>
      </w:r>
    </w:p>
    <w:p>
      <w:pPr>
        <w:spacing w:line="254" w:lineRule="auto" w:before="57"/>
        <w:ind w:left="113" w:right="108" w:firstLine="0"/>
        <w:jc w:val="both"/>
        <w:rPr>
          <w:sz w:val="18"/>
        </w:rPr>
      </w:pPr>
      <w:r>
        <w:rPr>
          <w:color w:val="231F20"/>
          <w:spacing w:val="-3"/>
          <w:sz w:val="18"/>
        </w:rPr>
        <w:t>Lemus Barahona, Leslie </w:t>
      </w:r>
      <w:r>
        <w:rPr>
          <w:color w:val="231F20"/>
          <w:spacing w:val="-4"/>
          <w:sz w:val="18"/>
        </w:rPr>
        <w:t>(2011) </w:t>
      </w:r>
      <w:r>
        <w:rPr>
          <w:color w:val="231F20"/>
          <w:sz w:val="18"/>
        </w:rPr>
        <w:t>“De la </w:t>
      </w:r>
      <w:r>
        <w:rPr>
          <w:color w:val="231F20"/>
          <w:spacing w:val="-3"/>
          <w:sz w:val="18"/>
        </w:rPr>
        <w:t>formalidad </w:t>
      </w:r>
      <w:r>
        <w:rPr>
          <w:color w:val="231F20"/>
          <w:sz w:val="18"/>
        </w:rPr>
        <w:t>a la </w:t>
      </w:r>
      <w:r>
        <w:rPr>
          <w:color w:val="231F20"/>
          <w:spacing w:val="-3"/>
          <w:sz w:val="18"/>
        </w:rPr>
        <w:t>empleabilidad: ¿prolongada transición </w:t>
      </w:r>
      <w:r>
        <w:rPr>
          <w:color w:val="231F20"/>
          <w:sz w:val="18"/>
        </w:rPr>
        <w:t>o </w:t>
      </w:r>
      <w:r>
        <w:rPr>
          <w:color w:val="231F20"/>
          <w:spacing w:val="-3"/>
          <w:sz w:val="18"/>
        </w:rPr>
        <w:t>modelo híbrido </w:t>
      </w:r>
      <w:r>
        <w:rPr>
          <w:color w:val="231F20"/>
          <w:sz w:val="18"/>
        </w:rPr>
        <w:t>del </w:t>
      </w:r>
      <w:r>
        <w:rPr>
          <w:color w:val="231F20"/>
          <w:spacing w:val="-3"/>
          <w:sz w:val="18"/>
        </w:rPr>
        <w:t>mercado laboral? </w:t>
      </w:r>
      <w:r>
        <w:rPr>
          <w:color w:val="231F20"/>
          <w:sz w:val="18"/>
        </w:rPr>
        <w:t>Las </w:t>
      </w:r>
      <w:r>
        <w:rPr>
          <w:color w:val="231F20"/>
          <w:spacing w:val="-3"/>
          <w:sz w:val="18"/>
        </w:rPr>
        <w:t>trayectorias laborales del campo profesional </w:t>
      </w:r>
      <w:r>
        <w:rPr>
          <w:color w:val="231F20"/>
          <w:sz w:val="18"/>
        </w:rPr>
        <w:t>de la </w:t>
      </w:r>
      <w:r>
        <w:rPr>
          <w:color w:val="231F20"/>
          <w:spacing w:val="-3"/>
          <w:sz w:val="18"/>
        </w:rPr>
        <w:t>ingeniería industrial </w:t>
      </w:r>
      <w:r>
        <w:rPr>
          <w:color w:val="231F20"/>
          <w:sz w:val="18"/>
        </w:rPr>
        <w:t>en </w:t>
      </w:r>
      <w:r>
        <w:rPr>
          <w:color w:val="231F20"/>
          <w:spacing w:val="-3"/>
          <w:sz w:val="18"/>
        </w:rPr>
        <w:t>Costa Rica”, </w:t>
      </w:r>
      <w:r>
        <w:rPr>
          <w:color w:val="231F20"/>
          <w:sz w:val="18"/>
        </w:rPr>
        <w:t>en </w:t>
      </w:r>
      <w:r>
        <w:rPr>
          <w:i/>
          <w:color w:val="231F20"/>
          <w:sz w:val="18"/>
        </w:rPr>
        <w:t>Revista Centroa- </w:t>
      </w:r>
      <w:r>
        <w:rPr>
          <w:i/>
          <w:color w:val="231F20"/>
          <w:sz w:val="18"/>
        </w:rPr>
        <w:t>mericana de Ciencias Sociales</w:t>
      </w:r>
      <w:r>
        <w:rPr>
          <w:color w:val="231F20"/>
          <w:sz w:val="18"/>
        </w:rPr>
        <w:t>, vol. 8, núm. 1.</w:t>
      </w:r>
    </w:p>
    <w:p>
      <w:pPr>
        <w:spacing w:line="254" w:lineRule="auto" w:before="57"/>
        <w:ind w:left="113" w:right="108" w:firstLine="0"/>
        <w:jc w:val="both"/>
        <w:rPr>
          <w:sz w:val="18"/>
        </w:rPr>
      </w:pPr>
      <w:r>
        <w:rPr>
          <w:color w:val="231F20"/>
          <w:sz w:val="18"/>
        </w:rPr>
        <w:t>Lindenboim, Javier y Carolos Pérez (2004) “The Precariousness of Argentine Labor Relations in the 1990s”, en </w:t>
      </w:r>
      <w:r>
        <w:rPr>
          <w:i/>
          <w:color w:val="231F20"/>
          <w:sz w:val="18"/>
        </w:rPr>
        <w:t>Latin American Perspectives</w:t>
      </w:r>
      <w:r>
        <w:rPr>
          <w:color w:val="231F20"/>
          <w:sz w:val="18"/>
        </w:rPr>
        <w:t>, vol. 31, núm. 4.</w:t>
      </w:r>
    </w:p>
    <w:p>
      <w:pPr>
        <w:spacing w:line="254" w:lineRule="auto" w:before="57"/>
        <w:ind w:left="113" w:right="108" w:firstLine="0"/>
        <w:jc w:val="both"/>
        <w:rPr>
          <w:sz w:val="18"/>
        </w:rPr>
      </w:pPr>
      <w:r>
        <w:rPr>
          <w:color w:val="231F20"/>
          <w:sz w:val="18"/>
        </w:rPr>
        <w:t>López-Calva,</w:t>
      </w:r>
      <w:r>
        <w:rPr>
          <w:color w:val="231F20"/>
          <w:spacing w:val="-7"/>
          <w:sz w:val="18"/>
        </w:rPr>
        <w:t> </w:t>
      </w:r>
      <w:r>
        <w:rPr>
          <w:color w:val="231F20"/>
          <w:sz w:val="18"/>
        </w:rPr>
        <w:t>Luis</w:t>
      </w:r>
      <w:r>
        <w:rPr>
          <w:color w:val="231F20"/>
          <w:spacing w:val="-7"/>
          <w:sz w:val="18"/>
        </w:rPr>
        <w:t> </w:t>
      </w:r>
      <w:r>
        <w:rPr>
          <w:color w:val="231F20"/>
          <w:sz w:val="18"/>
        </w:rPr>
        <w:t>y</w:t>
      </w:r>
      <w:r>
        <w:rPr>
          <w:color w:val="231F20"/>
          <w:spacing w:val="-7"/>
          <w:sz w:val="18"/>
        </w:rPr>
        <w:t> </w:t>
      </w:r>
      <w:r>
        <w:rPr>
          <w:color w:val="231F20"/>
          <w:sz w:val="18"/>
        </w:rPr>
        <w:t>Nora</w:t>
      </w:r>
      <w:r>
        <w:rPr>
          <w:color w:val="231F20"/>
          <w:spacing w:val="-7"/>
          <w:sz w:val="18"/>
        </w:rPr>
        <w:t> </w:t>
      </w:r>
      <w:r>
        <w:rPr>
          <w:color w:val="231F20"/>
          <w:sz w:val="18"/>
        </w:rPr>
        <w:t>Lustig</w:t>
      </w:r>
      <w:r>
        <w:rPr>
          <w:color w:val="231F20"/>
          <w:spacing w:val="-7"/>
          <w:sz w:val="18"/>
        </w:rPr>
        <w:t> </w:t>
      </w:r>
      <w:r>
        <w:rPr>
          <w:color w:val="231F20"/>
          <w:sz w:val="18"/>
        </w:rPr>
        <w:t>(2010)</w:t>
      </w:r>
      <w:r>
        <w:rPr>
          <w:color w:val="231F20"/>
          <w:spacing w:val="-7"/>
          <w:sz w:val="18"/>
        </w:rPr>
        <w:t> </w:t>
      </w:r>
      <w:r>
        <w:rPr>
          <w:color w:val="231F20"/>
          <w:sz w:val="18"/>
        </w:rPr>
        <w:t>“Explaining</w:t>
      </w:r>
      <w:r>
        <w:rPr>
          <w:color w:val="231F20"/>
          <w:spacing w:val="-7"/>
          <w:sz w:val="18"/>
        </w:rPr>
        <w:t> </w:t>
      </w:r>
      <w:r>
        <w:rPr>
          <w:color w:val="231F20"/>
          <w:sz w:val="18"/>
        </w:rPr>
        <w:t>the</w:t>
      </w:r>
      <w:r>
        <w:rPr>
          <w:color w:val="231F20"/>
          <w:spacing w:val="-7"/>
          <w:sz w:val="18"/>
        </w:rPr>
        <w:t> </w:t>
      </w:r>
      <w:r>
        <w:rPr>
          <w:color w:val="231F20"/>
          <w:sz w:val="18"/>
        </w:rPr>
        <w:t>Decline</w:t>
      </w:r>
      <w:r>
        <w:rPr>
          <w:color w:val="231F20"/>
          <w:spacing w:val="-6"/>
          <w:sz w:val="18"/>
        </w:rPr>
        <w:t> </w:t>
      </w:r>
      <w:r>
        <w:rPr>
          <w:color w:val="231F20"/>
          <w:sz w:val="18"/>
        </w:rPr>
        <w:t>in</w:t>
      </w:r>
      <w:r>
        <w:rPr>
          <w:color w:val="231F20"/>
          <w:spacing w:val="-7"/>
          <w:sz w:val="18"/>
        </w:rPr>
        <w:t> </w:t>
      </w:r>
      <w:r>
        <w:rPr>
          <w:color w:val="231F20"/>
          <w:sz w:val="18"/>
        </w:rPr>
        <w:t>Inequality</w:t>
      </w:r>
      <w:r>
        <w:rPr>
          <w:color w:val="231F20"/>
          <w:spacing w:val="-7"/>
          <w:sz w:val="18"/>
        </w:rPr>
        <w:t> </w:t>
      </w:r>
      <w:r>
        <w:rPr>
          <w:color w:val="231F20"/>
          <w:sz w:val="18"/>
        </w:rPr>
        <w:t>in Latin</w:t>
      </w:r>
      <w:r>
        <w:rPr>
          <w:color w:val="231F20"/>
          <w:spacing w:val="-22"/>
          <w:sz w:val="18"/>
        </w:rPr>
        <w:t> </w:t>
      </w:r>
      <w:r>
        <w:rPr>
          <w:color w:val="231F20"/>
          <w:sz w:val="18"/>
        </w:rPr>
        <w:t>America:</w:t>
      </w:r>
      <w:r>
        <w:rPr>
          <w:color w:val="231F20"/>
          <w:spacing w:val="-17"/>
          <w:sz w:val="18"/>
        </w:rPr>
        <w:t> </w:t>
      </w:r>
      <w:r>
        <w:rPr>
          <w:color w:val="231F20"/>
          <w:sz w:val="18"/>
        </w:rPr>
        <w:t>Technological</w:t>
      </w:r>
      <w:r>
        <w:rPr>
          <w:color w:val="231F20"/>
          <w:spacing w:val="-15"/>
          <w:sz w:val="18"/>
        </w:rPr>
        <w:t> </w:t>
      </w:r>
      <w:r>
        <w:rPr>
          <w:color w:val="231F20"/>
          <w:sz w:val="18"/>
        </w:rPr>
        <w:t>Change,</w:t>
      </w:r>
      <w:r>
        <w:rPr>
          <w:color w:val="231F20"/>
          <w:spacing w:val="-15"/>
          <w:sz w:val="18"/>
        </w:rPr>
        <w:t> </w:t>
      </w:r>
      <w:r>
        <w:rPr>
          <w:color w:val="231F20"/>
          <w:sz w:val="18"/>
        </w:rPr>
        <w:t>Educational</w:t>
      </w:r>
      <w:r>
        <w:rPr>
          <w:color w:val="231F20"/>
          <w:spacing w:val="-15"/>
          <w:sz w:val="18"/>
        </w:rPr>
        <w:t> </w:t>
      </w:r>
      <w:r>
        <w:rPr>
          <w:color w:val="231F20"/>
          <w:sz w:val="18"/>
        </w:rPr>
        <w:t>Upgrading,</w:t>
      </w:r>
      <w:r>
        <w:rPr>
          <w:color w:val="231F20"/>
          <w:spacing w:val="-15"/>
          <w:sz w:val="18"/>
        </w:rPr>
        <w:t> </w:t>
      </w:r>
      <w:r>
        <w:rPr>
          <w:color w:val="231F20"/>
          <w:sz w:val="18"/>
        </w:rPr>
        <w:t>and</w:t>
      </w:r>
      <w:r>
        <w:rPr>
          <w:color w:val="231F20"/>
          <w:spacing w:val="-15"/>
          <w:sz w:val="18"/>
        </w:rPr>
        <w:t> </w:t>
      </w:r>
      <w:r>
        <w:rPr>
          <w:color w:val="231F20"/>
          <w:sz w:val="18"/>
        </w:rPr>
        <w:t>Democracy”, en Luis López-Calva y Nora Lustig (eds.), </w:t>
      </w:r>
      <w:r>
        <w:rPr>
          <w:i/>
          <w:color w:val="231F20"/>
          <w:sz w:val="18"/>
        </w:rPr>
        <w:t>Declining Income Inequality in Latin </w:t>
      </w:r>
      <w:r>
        <w:rPr>
          <w:i/>
          <w:color w:val="231F20"/>
          <w:sz w:val="18"/>
        </w:rPr>
        <w:t>America:</w:t>
      </w:r>
      <w:r>
        <w:rPr>
          <w:i/>
          <w:color w:val="231F20"/>
          <w:spacing w:val="-10"/>
          <w:sz w:val="18"/>
        </w:rPr>
        <w:t> </w:t>
      </w:r>
      <w:r>
        <w:rPr>
          <w:i/>
          <w:color w:val="231F20"/>
          <w:sz w:val="18"/>
        </w:rPr>
        <w:t>A</w:t>
      </w:r>
      <w:r>
        <w:rPr>
          <w:i/>
          <w:color w:val="231F20"/>
          <w:spacing w:val="-7"/>
          <w:sz w:val="18"/>
        </w:rPr>
        <w:t> </w:t>
      </w:r>
      <w:r>
        <w:rPr>
          <w:i/>
          <w:color w:val="231F20"/>
          <w:sz w:val="18"/>
        </w:rPr>
        <w:t>Decade</w:t>
      </w:r>
      <w:r>
        <w:rPr>
          <w:i/>
          <w:color w:val="231F20"/>
          <w:spacing w:val="-7"/>
          <w:sz w:val="18"/>
        </w:rPr>
        <w:t> </w:t>
      </w:r>
      <w:r>
        <w:rPr>
          <w:i/>
          <w:color w:val="231F20"/>
          <w:sz w:val="18"/>
        </w:rPr>
        <w:t>of</w:t>
      </w:r>
      <w:r>
        <w:rPr>
          <w:i/>
          <w:color w:val="231F20"/>
          <w:spacing w:val="-7"/>
          <w:sz w:val="18"/>
        </w:rPr>
        <w:t> </w:t>
      </w:r>
      <w:r>
        <w:rPr>
          <w:i/>
          <w:color w:val="231F20"/>
          <w:spacing w:val="-3"/>
          <w:sz w:val="18"/>
        </w:rPr>
        <w:t>Progress?</w:t>
      </w:r>
      <w:r>
        <w:rPr>
          <w:color w:val="231F20"/>
          <w:spacing w:val="-3"/>
          <w:sz w:val="18"/>
        </w:rPr>
        <w:t>,</w:t>
      </w:r>
      <w:r>
        <w:rPr>
          <w:color w:val="231F20"/>
          <w:spacing w:val="-7"/>
          <w:sz w:val="18"/>
        </w:rPr>
        <w:t> </w:t>
      </w:r>
      <w:r>
        <w:rPr>
          <w:color w:val="231F20"/>
          <w:sz w:val="18"/>
        </w:rPr>
        <w:t>Baltimore:</w:t>
      </w:r>
      <w:r>
        <w:rPr>
          <w:color w:val="231F20"/>
          <w:spacing w:val="-7"/>
          <w:sz w:val="18"/>
        </w:rPr>
        <w:t> </w:t>
      </w:r>
      <w:r>
        <w:rPr>
          <w:color w:val="231F20"/>
          <w:sz w:val="18"/>
        </w:rPr>
        <w:t>Brookings</w:t>
      </w:r>
      <w:r>
        <w:rPr>
          <w:color w:val="231F20"/>
          <w:spacing w:val="-7"/>
          <w:sz w:val="18"/>
        </w:rPr>
        <w:t> </w:t>
      </w:r>
      <w:r>
        <w:rPr>
          <w:color w:val="231F20"/>
          <w:sz w:val="18"/>
        </w:rPr>
        <w:t>Institution</w:t>
      </w:r>
      <w:r>
        <w:rPr>
          <w:color w:val="231F20"/>
          <w:spacing w:val="-7"/>
          <w:sz w:val="18"/>
        </w:rPr>
        <w:t> </w:t>
      </w:r>
      <w:r>
        <w:rPr>
          <w:color w:val="231F20"/>
          <w:sz w:val="18"/>
        </w:rPr>
        <w:t>Press.</w:t>
      </w:r>
    </w:p>
    <w:p>
      <w:pPr>
        <w:spacing w:line="254" w:lineRule="auto" w:before="57"/>
        <w:ind w:left="113" w:right="108" w:firstLine="0"/>
        <w:jc w:val="both"/>
        <w:rPr>
          <w:sz w:val="18"/>
        </w:rPr>
      </w:pPr>
      <w:r>
        <w:rPr>
          <w:color w:val="231F20"/>
          <w:sz w:val="18"/>
        </w:rPr>
        <w:t>López-Calva, Luis y Nora Lustig (2012) “The Decline in Inequality in Latin America: The role of Markets and the State”, en </w:t>
      </w:r>
      <w:r>
        <w:rPr>
          <w:i/>
          <w:color w:val="231F20"/>
          <w:sz w:val="18"/>
        </w:rPr>
        <w:t>LASA Forum</w:t>
      </w:r>
      <w:r>
        <w:rPr>
          <w:color w:val="231F20"/>
          <w:sz w:val="18"/>
        </w:rPr>
        <w:t>, vol. 43, issue 3.</w:t>
      </w:r>
    </w:p>
    <w:p>
      <w:pPr>
        <w:spacing w:line="254" w:lineRule="auto" w:before="57"/>
        <w:ind w:left="113" w:right="108" w:firstLine="0"/>
        <w:jc w:val="both"/>
        <w:rPr>
          <w:sz w:val="18"/>
        </w:rPr>
      </w:pPr>
      <w:r>
        <w:rPr>
          <w:color w:val="231F20"/>
          <w:sz w:val="18"/>
        </w:rPr>
        <w:t>Lucena, Héctor (2006) </w:t>
      </w:r>
      <w:r>
        <w:rPr>
          <w:i/>
          <w:color w:val="231F20"/>
          <w:sz w:val="18"/>
        </w:rPr>
        <w:t>Las nuevas Relaciones Industriales</w:t>
      </w:r>
      <w:r>
        <w:rPr>
          <w:color w:val="231F20"/>
          <w:sz w:val="18"/>
        </w:rPr>
        <w:t>, en Enrique de la Garza Toledo (coord.).</w:t>
      </w:r>
    </w:p>
    <w:p>
      <w:pPr>
        <w:spacing w:line="254" w:lineRule="auto" w:before="57"/>
        <w:ind w:left="113" w:right="105" w:firstLine="0"/>
        <w:jc w:val="both"/>
        <w:rPr>
          <w:sz w:val="18"/>
        </w:rPr>
      </w:pPr>
      <w:r>
        <w:rPr>
          <w:color w:val="231F20"/>
          <w:spacing w:val="-3"/>
          <w:sz w:val="18"/>
        </w:rPr>
        <w:t>Mezzera,</w:t>
      </w:r>
      <w:r>
        <w:rPr>
          <w:color w:val="231F20"/>
          <w:spacing w:val="-8"/>
          <w:sz w:val="18"/>
        </w:rPr>
        <w:t> </w:t>
      </w:r>
      <w:r>
        <w:rPr>
          <w:color w:val="231F20"/>
          <w:spacing w:val="-3"/>
          <w:sz w:val="18"/>
        </w:rPr>
        <w:t>Jaime</w:t>
      </w:r>
      <w:r>
        <w:rPr>
          <w:color w:val="231F20"/>
          <w:spacing w:val="-8"/>
          <w:sz w:val="18"/>
        </w:rPr>
        <w:t> </w:t>
      </w:r>
      <w:r>
        <w:rPr>
          <w:color w:val="231F20"/>
          <w:sz w:val="18"/>
        </w:rPr>
        <w:t>(1985)</w:t>
      </w:r>
      <w:r>
        <w:rPr>
          <w:color w:val="231F20"/>
          <w:spacing w:val="-3"/>
          <w:sz w:val="18"/>
        </w:rPr>
        <w:t> </w:t>
      </w:r>
      <w:r>
        <w:rPr>
          <w:color w:val="231F20"/>
          <w:sz w:val="18"/>
        </w:rPr>
        <w:t>“Apuntes</w:t>
      </w:r>
      <w:r>
        <w:rPr>
          <w:color w:val="231F20"/>
          <w:spacing w:val="-4"/>
          <w:sz w:val="18"/>
        </w:rPr>
        <w:t> </w:t>
      </w:r>
      <w:r>
        <w:rPr>
          <w:color w:val="231F20"/>
          <w:sz w:val="18"/>
        </w:rPr>
        <w:t>sobre</w:t>
      </w:r>
      <w:r>
        <w:rPr>
          <w:color w:val="231F20"/>
          <w:spacing w:val="-3"/>
          <w:sz w:val="18"/>
        </w:rPr>
        <w:t> </w:t>
      </w:r>
      <w:r>
        <w:rPr>
          <w:color w:val="231F20"/>
          <w:sz w:val="18"/>
        </w:rPr>
        <w:t>la</w:t>
      </w:r>
      <w:r>
        <w:rPr>
          <w:color w:val="231F20"/>
          <w:spacing w:val="-4"/>
          <w:sz w:val="18"/>
        </w:rPr>
        <w:t> </w:t>
      </w:r>
      <w:r>
        <w:rPr>
          <w:color w:val="231F20"/>
          <w:sz w:val="18"/>
        </w:rPr>
        <w:t>heterogeneidad</w:t>
      </w:r>
      <w:r>
        <w:rPr>
          <w:color w:val="231F20"/>
          <w:spacing w:val="-4"/>
          <w:sz w:val="18"/>
        </w:rPr>
        <w:t> </w:t>
      </w:r>
      <w:r>
        <w:rPr>
          <w:color w:val="231F20"/>
          <w:sz w:val="18"/>
        </w:rPr>
        <w:t>en</w:t>
      </w:r>
      <w:r>
        <w:rPr>
          <w:color w:val="231F20"/>
          <w:spacing w:val="-4"/>
          <w:sz w:val="18"/>
        </w:rPr>
        <w:t> </w:t>
      </w:r>
      <w:r>
        <w:rPr>
          <w:color w:val="231F20"/>
          <w:sz w:val="18"/>
        </w:rPr>
        <w:t>los</w:t>
      </w:r>
      <w:r>
        <w:rPr>
          <w:color w:val="231F20"/>
          <w:spacing w:val="-3"/>
          <w:sz w:val="18"/>
        </w:rPr>
        <w:t> </w:t>
      </w:r>
      <w:r>
        <w:rPr>
          <w:color w:val="231F20"/>
          <w:sz w:val="18"/>
        </w:rPr>
        <w:t>mercados</w:t>
      </w:r>
      <w:r>
        <w:rPr>
          <w:color w:val="231F20"/>
          <w:spacing w:val="-3"/>
          <w:sz w:val="18"/>
        </w:rPr>
        <w:t> </w:t>
      </w:r>
      <w:r>
        <w:rPr>
          <w:color w:val="231F20"/>
          <w:sz w:val="18"/>
        </w:rPr>
        <w:t>de</w:t>
      </w:r>
      <w:r>
        <w:rPr>
          <w:color w:val="231F20"/>
          <w:spacing w:val="-4"/>
          <w:sz w:val="18"/>
        </w:rPr>
        <w:t> </w:t>
      </w:r>
      <w:r>
        <w:rPr>
          <w:color w:val="231F20"/>
          <w:sz w:val="18"/>
        </w:rPr>
        <w:t>tra- bajo de América Latina”, en Daniel Carbonetto </w:t>
      </w:r>
      <w:r>
        <w:rPr>
          <w:i/>
          <w:color w:val="231F20"/>
          <w:sz w:val="18"/>
        </w:rPr>
        <w:t>et al</w:t>
      </w:r>
      <w:r>
        <w:rPr>
          <w:color w:val="231F20"/>
          <w:sz w:val="18"/>
        </w:rPr>
        <w:t>., </w:t>
      </w:r>
      <w:r>
        <w:rPr>
          <w:i/>
          <w:color w:val="231F20"/>
          <w:sz w:val="18"/>
        </w:rPr>
        <w:t>El sector informal </w:t>
      </w:r>
      <w:r>
        <w:rPr>
          <w:i/>
          <w:color w:val="231F20"/>
          <w:spacing w:val="2"/>
          <w:sz w:val="18"/>
        </w:rPr>
        <w:t>urbano </w:t>
      </w:r>
      <w:r>
        <w:rPr>
          <w:i/>
          <w:color w:val="231F20"/>
          <w:sz w:val="18"/>
        </w:rPr>
        <w:t>en los países andinos</w:t>
      </w:r>
      <w:r>
        <w:rPr>
          <w:color w:val="231F20"/>
          <w:sz w:val="18"/>
        </w:rPr>
        <w:t>, Quito: ILDIS/ </w:t>
      </w:r>
      <w:r>
        <w:rPr>
          <w:color w:val="231F20"/>
          <w:spacing w:val="32"/>
          <w:sz w:val="18"/>
        </w:rPr>
        <w:t> </w:t>
      </w:r>
      <w:r>
        <w:rPr>
          <w:color w:val="231F20"/>
          <w:sz w:val="18"/>
        </w:rPr>
        <w:t>CEPESIU.</w:t>
      </w:r>
    </w:p>
    <w:p>
      <w:pPr>
        <w:spacing w:line="254" w:lineRule="auto" w:before="57"/>
        <w:ind w:left="113" w:right="108" w:firstLine="0"/>
        <w:jc w:val="both"/>
        <w:rPr>
          <w:sz w:val="18"/>
        </w:rPr>
      </w:pPr>
      <w:r>
        <w:rPr>
          <w:color w:val="231F20"/>
          <w:sz w:val="18"/>
        </w:rPr>
        <w:t>Mora Salas, Minor y Orlandina de Oliveira (2012) “Las vicisitudes de la inclu- sión laboral en los albores del siglo XXI: trayectorias ocupacionales y desigual-</w:t>
      </w:r>
    </w:p>
    <w:p>
      <w:pPr>
        <w:spacing w:after="0" w:line="254" w:lineRule="auto"/>
        <w:jc w:val="both"/>
        <w:rPr>
          <w:sz w:val="18"/>
        </w:rPr>
        <w:sectPr>
          <w:footerReference w:type="default" r:id="rId26"/>
          <w:pgSz w:w="7770" w:h="11740"/>
          <w:pgMar w:footer="474" w:header="0" w:top="840" w:bottom="660" w:left="1020" w:right="740"/>
          <w:pgNumType w:start="35"/>
        </w:sectPr>
      </w:pPr>
    </w:p>
    <w:p>
      <w:pPr>
        <w:spacing w:line="254" w:lineRule="auto" w:before="65"/>
        <w:ind w:left="110" w:right="111" w:firstLine="0"/>
        <w:jc w:val="both"/>
        <w:rPr>
          <w:sz w:val="18"/>
        </w:rPr>
      </w:pPr>
      <w:r>
        <w:rPr>
          <w:color w:val="231F20"/>
          <w:sz w:val="18"/>
        </w:rPr>
        <w:t>dades sociales entre jóvenes profesionistas mexicanos”, en </w:t>
      </w:r>
      <w:r>
        <w:rPr>
          <w:i/>
          <w:color w:val="231F20"/>
          <w:sz w:val="18"/>
        </w:rPr>
        <w:t>Estudios Sociológi- </w:t>
      </w:r>
      <w:r>
        <w:rPr>
          <w:i/>
          <w:color w:val="231F20"/>
          <w:sz w:val="18"/>
        </w:rPr>
        <w:t>cos</w:t>
      </w:r>
      <w:r>
        <w:rPr>
          <w:color w:val="231F20"/>
          <w:sz w:val="18"/>
        </w:rPr>
        <w:t>, vol. 30, núm. 88.</w:t>
      </w:r>
    </w:p>
    <w:p>
      <w:pPr>
        <w:spacing w:line="254" w:lineRule="auto" w:before="57"/>
        <w:ind w:left="110" w:right="111" w:firstLine="0"/>
        <w:jc w:val="both"/>
        <w:rPr>
          <w:sz w:val="18"/>
        </w:rPr>
      </w:pPr>
      <w:r>
        <w:rPr>
          <w:color w:val="231F20"/>
          <w:spacing w:val="-3"/>
          <w:sz w:val="18"/>
        </w:rPr>
        <w:t>Mora</w:t>
      </w:r>
      <w:r>
        <w:rPr>
          <w:color w:val="231F20"/>
          <w:spacing w:val="-11"/>
          <w:sz w:val="18"/>
        </w:rPr>
        <w:t> </w:t>
      </w:r>
      <w:r>
        <w:rPr>
          <w:color w:val="231F20"/>
          <w:spacing w:val="-3"/>
          <w:sz w:val="18"/>
        </w:rPr>
        <w:t>Salas,</w:t>
      </w:r>
      <w:r>
        <w:rPr>
          <w:color w:val="231F20"/>
          <w:spacing w:val="-11"/>
          <w:sz w:val="18"/>
        </w:rPr>
        <w:t> </w:t>
      </w:r>
      <w:r>
        <w:rPr>
          <w:color w:val="231F20"/>
          <w:spacing w:val="-3"/>
          <w:sz w:val="18"/>
        </w:rPr>
        <w:t>Minor</w:t>
      </w:r>
      <w:r>
        <w:rPr>
          <w:color w:val="231F20"/>
          <w:spacing w:val="-9"/>
          <w:sz w:val="18"/>
        </w:rPr>
        <w:t> </w:t>
      </w:r>
      <w:r>
        <w:rPr>
          <w:color w:val="231F20"/>
          <w:sz w:val="18"/>
        </w:rPr>
        <w:t>(2010)</w:t>
      </w:r>
      <w:r>
        <w:rPr>
          <w:color w:val="231F20"/>
          <w:spacing w:val="-7"/>
          <w:sz w:val="18"/>
        </w:rPr>
        <w:t> </w:t>
      </w:r>
      <w:r>
        <w:rPr>
          <w:i/>
          <w:color w:val="231F20"/>
          <w:sz w:val="18"/>
        </w:rPr>
        <w:t>Ajuste</w:t>
      </w:r>
      <w:r>
        <w:rPr>
          <w:i/>
          <w:color w:val="231F20"/>
          <w:spacing w:val="-7"/>
          <w:sz w:val="18"/>
        </w:rPr>
        <w:t> </w:t>
      </w:r>
      <w:r>
        <w:rPr>
          <w:i/>
          <w:color w:val="231F20"/>
          <w:sz w:val="18"/>
        </w:rPr>
        <w:t>y</w:t>
      </w:r>
      <w:r>
        <w:rPr>
          <w:i/>
          <w:color w:val="231F20"/>
          <w:spacing w:val="-7"/>
          <w:sz w:val="18"/>
        </w:rPr>
        <w:t> </w:t>
      </w:r>
      <w:r>
        <w:rPr>
          <w:i/>
          <w:color w:val="231F20"/>
          <w:sz w:val="18"/>
        </w:rPr>
        <w:t>empleo:</w:t>
      </w:r>
      <w:r>
        <w:rPr>
          <w:i/>
          <w:color w:val="231F20"/>
          <w:spacing w:val="-7"/>
          <w:sz w:val="18"/>
        </w:rPr>
        <w:t> </w:t>
      </w:r>
      <w:r>
        <w:rPr>
          <w:i/>
          <w:color w:val="231F20"/>
          <w:sz w:val="18"/>
        </w:rPr>
        <w:t>la</w:t>
      </w:r>
      <w:r>
        <w:rPr>
          <w:i/>
          <w:color w:val="231F20"/>
          <w:spacing w:val="-7"/>
          <w:sz w:val="18"/>
        </w:rPr>
        <w:t> </w:t>
      </w:r>
      <w:r>
        <w:rPr>
          <w:i/>
          <w:color w:val="231F20"/>
          <w:sz w:val="18"/>
        </w:rPr>
        <w:t>precarización</w:t>
      </w:r>
      <w:r>
        <w:rPr>
          <w:i/>
          <w:color w:val="231F20"/>
          <w:spacing w:val="-8"/>
          <w:sz w:val="18"/>
        </w:rPr>
        <w:t> </w:t>
      </w:r>
      <w:r>
        <w:rPr>
          <w:i/>
          <w:color w:val="231F20"/>
          <w:sz w:val="18"/>
        </w:rPr>
        <w:t>del</w:t>
      </w:r>
      <w:r>
        <w:rPr>
          <w:i/>
          <w:color w:val="231F20"/>
          <w:spacing w:val="-7"/>
          <w:sz w:val="18"/>
        </w:rPr>
        <w:t> </w:t>
      </w:r>
      <w:r>
        <w:rPr>
          <w:i/>
          <w:color w:val="231F20"/>
          <w:sz w:val="18"/>
        </w:rPr>
        <w:t>trabajo</w:t>
      </w:r>
      <w:r>
        <w:rPr>
          <w:i/>
          <w:color w:val="231F20"/>
          <w:spacing w:val="-7"/>
          <w:sz w:val="18"/>
        </w:rPr>
        <w:t> </w:t>
      </w:r>
      <w:r>
        <w:rPr>
          <w:i/>
          <w:color w:val="231F20"/>
          <w:sz w:val="18"/>
        </w:rPr>
        <w:t>asalaria- </w:t>
      </w:r>
      <w:r>
        <w:rPr>
          <w:i/>
          <w:color w:val="231F20"/>
          <w:sz w:val="18"/>
        </w:rPr>
        <w:t>do en la era de la globalización</w:t>
      </w:r>
      <w:r>
        <w:rPr>
          <w:color w:val="231F20"/>
          <w:sz w:val="18"/>
        </w:rPr>
        <w:t>, México: El Colegio de</w:t>
      </w:r>
      <w:r>
        <w:rPr>
          <w:color w:val="231F20"/>
          <w:spacing w:val="-18"/>
          <w:sz w:val="18"/>
        </w:rPr>
        <w:t> </w:t>
      </w:r>
      <w:r>
        <w:rPr>
          <w:color w:val="231F20"/>
          <w:sz w:val="18"/>
        </w:rPr>
        <w:t>México.</w:t>
      </w:r>
    </w:p>
    <w:p>
      <w:pPr>
        <w:spacing w:line="254" w:lineRule="auto" w:before="57"/>
        <w:ind w:left="110" w:right="111" w:firstLine="0"/>
        <w:jc w:val="both"/>
        <w:rPr>
          <w:sz w:val="18"/>
        </w:rPr>
      </w:pPr>
      <w:r>
        <w:rPr>
          <w:color w:val="231F20"/>
          <w:sz w:val="18"/>
        </w:rPr>
        <w:t>Murillo, María Victoria (2001) “La encrucijada del sindicalismo latinoamerica- no”, en </w:t>
      </w:r>
      <w:r>
        <w:rPr>
          <w:i/>
          <w:color w:val="231F20"/>
          <w:sz w:val="18"/>
        </w:rPr>
        <w:t>Política y Gobierno</w:t>
      </w:r>
      <w:r>
        <w:rPr>
          <w:color w:val="231F20"/>
          <w:sz w:val="18"/>
        </w:rPr>
        <w:t>, vol. 8, núm. 2.</w:t>
      </w:r>
    </w:p>
    <w:p>
      <w:pPr>
        <w:spacing w:line="254" w:lineRule="auto" w:before="57"/>
        <w:ind w:left="110" w:right="111" w:firstLine="0"/>
        <w:jc w:val="both"/>
        <w:rPr>
          <w:sz w:val="18"/>
        </w:rPr>
      </w:pPr>
      <w:r>
        <w:rPr>
          <w:color w:val="231F20"/>
          <w:sz w:val="18"/>
        </w:rPr>
        <w:t>Neffa, Julio César (2009) “El Plan de Jefes y Jefas de Hogar Desocupados (PJyJHD). Análisis de sus características y objetivos. Fortalezas y debilidades”, en J.C. Neffa, Enrique de la Garza </w:t>
      </w:r>
      <w:r>
        <w:rPr>
          <w:color w:val="231F20"/>
          <w:spacing w:val="-3"/>
          <w:sz w:val="18"/>
        </w:rPr>
        <w:t>Toledo </w:t>
      </w:r>
      <w:r>
        <w:rPr>
          <w:color w:val="231F20"/>
          <w:sz w:val="18"/>
        </w:rPr>
        <w:t>y L. Muñiz </w:t>
      </w:r>
      <w:r>
        <w:rPr>
          <w:color w:val="231F20"/>
          <w:spacing w:val="-3"/>
          <w:sz w:val="18"/>
        </w:rPr>
        <w:t>Terra </w:t>
      </w:r>
      <w:r>
        <w:rPr>
          <w:color w:val="231F20"/>
          <w:sz w:val="18"/>
        </w:rPr>
        <w:t>(comp.), </w:t>
      </w:r>
      <w:r>
        <w:rPr>
          <w:i/>
          <w:color w:val="231F20"/>
          <w:spacing w:val="-3"/>
          <w:sz w:val="18"/>
        </w:rPr>
        <w:t>Trabajo, </w:t>
      </w:r>
      <w:r>
        <w:rPr>
          <w:i/>
          <w:color w:val="231F20"/>
          <w:sz w:val="18"/>
        </w:rPr>
        <w:t>empleo,</w:t>
      </w:r>
      <w:r>
        <w:rPr>
          <w:i/>
          <w:color w:val="231F20"/>
          <w:spacing w:val="-8"/>
          <w:sz w:val="18"/>
        </w:rPr>
        <w:t> </w:t>
      </w:r>
      <w:r>
        <w:rPr>
          <w:i/>
          <w:color w:val="231F20"/>
          <w:sz w:val="18"/>
        </w:rPr>
        <w:t>calificaciones</w:t>
      </w:r>
      <w:r>
        <w:rPr>
          <w:i/>
          <w:color w:val="231F20"/>
          <w:spacing w:val="-8"/>
          <w:sz w:val="18"/>
        </w:rPr>
        <w:t> </w:t>
      </w:r>
      <w:r>
        <w:rPr>
          <w:i/>
          <w:color w:val="231F20"/>
          <w:sz w:val="18"/>
        </w:rPr>
        <w:t>profesionales,</w:t>
      </w:r>
      <w:r>
        <w:rPr>
          <w:i/>
          <w:color w:val="231F20"/>
          <w:spacing w:val="-8"/>
          <w:sz w:val="18"/>
        </w:rPr>
        <w:t> </w:t>
      </w:r>
      <w:r>
        <w:rPr>
          <w:i/>
          <w:color w:val="231F20"/>
          <w:sz w:val="18"/>
        </w:rPr>
        <w:t>relaciones</w:t>
      </w:r>
      <w:r>
        <w:rPr>
          <w:i/>
          <w:color w:val="231F20"/>
          <w:spacing w:val="-8"/>
          <w:sz w:val="18"/>
        </w:rPr>
        <w:t> </w:t>
      </w:r>
      <w:r>
        <w:rPr>
          <w:i/>
          <w:color w:val="231F20"/>
          <w:sz w:val="18"/>
        </w:rPr>
        <w:t>de</w:t>
      </w:r>
      <w:r>
        <w:rPr>
          <w:i/>
          <w:color w:val="231F20"/>
          <w:spacing w:val="-8"/>
          <w:sz w:val="18"/>
        </w:rPr>
        <w:t> </w:t>
      </w:r>
      <w:r>
        <w:rPr>
          <w:i/>
          <w:color w:val="231F20"/>
          <w:sz w:val="18"/>
        </w:rPr>
        <w:t>trabajo</w:t>
      </w:r>
      <w:r>
        <w:rPr>
          <w:i/>
          <w:color w:val="231F20"/>
          <w:spacing w:val="-8"/>
          <w:sz w:val="18"/>
        </w:rPr>
        <w:t> </w:t>
      </w:r>
      <w:r>
        <w:rPr>
          <w:i/>
          <w:color w:val="231F20"/>
          <w:sz w:val="18"/>
        </w:rPr>
        <w:t>e</w:t>
      </w:r>
      <w:r>
        <w:rPr>
          <w:i/>
          <w:color w:val="231F20"/>
          <w:spacing w:val="-8"/>
          <w:sz w:val="18"/>
        </w:rPr>
        <w:t> </w:t>
      </w:r>
      <w:r>
        <w:rPr>
          <w:i/>
          <w:color w:val="231F20"/>
          <w:sz w:val="18"/>
        </w:rPr>
        <w:t>identidades</w:t>
      </w:r>
      <w:r>
        <w:rPr>
          <w:i/>
          <w:color w:val="231F20"/>
          <w:spacing w:val="-8"/>
          <w:sz w:val="18"/>
        </w:rPr>
        <w:t> </w:t>
      </w:r>
      <w:r>
        <w:rPr>
          <w:i/>
          <w:color w:val="231F20"/>
          <w:sz w:val="18"/>
        </w:rPr>
        <w:t>labora- les</w:t>
      </w:r>
      <w:r>
        <w:rPr>
          <w:color w:val="231F20"/>
          <w:sz w:val="18"/>
        </w:rPr>
        <w:t>, Buenos Aires: CLACSO/CAICyT, vol.</w:t>
      </w:r>
      <w:r>
        <w:rPr>
          <w:color w:val="231F20"/>
          <w:spacing w:val="-30"/>
          <w:sz w:val="18"/>
        </w:rPr>
        <w:t> </w:t>
      </w:r>
      <w:r>
        <w:rPr>
          <w:color w:val="231F20"/>
          <w:sz w:val="18"/>
        </w:rPr>
        <w:t>II.</w:t>
      </w:r>
    </w:p>
    <w:p>
      <w:pPr>
        <w:spacing w:line="254" w:lineRule="auto" w:before="57"/>
        <w:ind w:left="110" w:right="111" w:firstLine="0"/>
        <w:jc w:val="both"/>
        <w:rPr>
          <w:sz w:val="18"/>
        </w:rPr>
      </w:pPr>
      <w:r>
        <w:rPr>
          <w:color w:val="231F20"/>
          <w:spacing w:val="-4"/>
          <w:sz w:val="18"/>
        </w:rPr>
        <w:t>OIT, </w:t>
      </w:r>
      <w:r>
        <w:rPr>
          <w:color w:val="231F20"/>
          <w:sz w:val="18"/>
        </w:rPr>
        <w:t>Organización</w:t>
      </w:r>
      <w:r>
        <w:rPr>
          <w:color w:val="231F20"/>
          <w:spacing w:val="-4"/>
          <w:sz w:val="18"/>
        </w:rPr>
        <w:t> </w:t>
      </w:r>
      <w:r>
        <w:rPr>
          <w:color w:val="231F20"/>
          <w:sz w:val="18"/>
        </w:rPr>
        <w:t>Internacional</w:t>
      </w:r>
      <w:r>
        <w:rPr>
          <w:color w:val="231F20"/>
          <w:spacing w:val="-4"/>
          <w:sz w:val="18"/>
        </w:rPr>
        <w:t> </w:t>
      </w:r>
      <w:r>
        <w:rPr>
          <w:color w:val="231F20"/>
          <w:sz w:val="18"/>
        </w:rPr>
        <w:t>del</w:t>
      </w:r>
      <w:r>
        <w:rPr>
          <w:color w:val="231F20"/>
          <w:spacing w:val="-8"/>
          <w:sz w:val="18"/>
        </w:rPr>
        <w:t> </w:t>
      </w:r>
      <w:r>
        <w:rPr>
          <w:color w:val="231F20"/>
          <w:sz w:val="18"/>
        </w:rPr>
        <w:t>Trabajo</w:t>
      </w:r>
      <w:r>
        <w:rPr>
          <w:color w:val="231F20"/>
          <w:spacing w:val="-5"/>
          <w:sz w:val="18"/>
        </w:rPr>
        <w:t> </w:t>
      </w:r>
      <w:r>
        <w:rPr>
          <w:color w:val="231F20"/>
          <w:sz w:val="18"/>
        </w:rPr>
        <w:t>(2000)</w:t>
      </w:r>
      <w:r>
        <w:rPr>
          <w:color w:val="231F20"/>
          <w:spacing w:val="-5"/>
          <w:sz w:val="18"/>
        </w:rPr>
        <w:t> </w:t>
      </w:r>
      <w:r>
        <w:rPr>
          <w:i/>
          <w:color w:val="231F20"/>
          <w:sz w:val="18"/>
        </w:rPr>
        <w:t>Panorama</w:t>
      </w:r>
      <w:r>
        <w:rPr>
          <w:i/>
          <w:color w:val="231F20"/>
          <w:spacing w:val="-5"/>
          <w:sz w:val="18"/>
        </w:rPr>
        <w:t> </w:t>
      </w:r>
      <w:r>
        <w:rPr>
          <w:i/>
          <w:color w:val="231F20"/>
          <w:sz w:val="18"/>
        </w:rPr>
        <w:t>laboral.</w:t>
      </w:r>
      <w:r>
        <w:rPr>
          <w:i/>
          <w:color w:val="231F20"/>
          <w:spacing w:val="-8"/>
          <w:sz w:val="18"/>
        </w:rPr>
        <w:t> </w:t>
      </w:r>
      <w:r>
        <w:rPr>
          <w:i/>
          <w:color w:val="231F20"/>
          <w:sz w:val="18"/>
        </w:rPr>
        <w:t>América </w:t>
      </w:r>
      <w:r>
        <w:rPr>
          <w:i/>
          <w:color w:val="231F20"/>
          <w:sz w:val="18"/>
        </w:rPr>
        <w:t>Latina y el Caribe 2000</w:t>
      </w:r>
      <w:r>
        <w:rPr>
          <w:color w:val="231F20"/>
          <w:sz w:val="18"/>
        </w:rPr>
        <w:t>, Lima: Organización Internacional del</w:t>
      </w:r>
      <w:r>
        <w:rPr>
          <w:color w:val="231F20"/>
          <w:spacing w:val="-23"/>
          <w:sz w:val="18"/>
        </w:rPr>
        <w:t> </w:t>
      </w:r>
      <w:r>
        <w:rPr>
          <w:color w:val="231F20"/>
          <w:sz w:val="18"/>
        </w:rPr>
        <w:t>Trabajo.</w:t>
      </w:r>
    </w:p>
    <w:p>
      <w:pPr>
        <w:spacing w:line="254" w:lineRule="auto" w:before="57"/>
        <w:ind w:left="110" w:right="111" w:firstLine="0"/>
        <w:jc w:val="both"/>
        <w:rPr>
          <w:sz w:val="18"/>
        </w:rPr>
      </w:pPr>
      <w:r>
        <w:rPr>
          <w:color w:val="231F20"/>
          <w:spacing w:val="-4"/>
          <w:sz w:val="18"/>
        </w:rPr>
        <w:t>OIT, </w:t>
      </w:r>
      <w:r>
        <w:rPr>
          <w:color w:val="231F20"/>
          <w:sz w:val="18"/>
        </w:rPr>
        <w:t>Organización</w:t>
      </w:r>
      <w:r>
        <w:rPr>
          <w:color w:val="231F20"/>
          <w:spacing w:val="-4"/>
          <w:sz w:val="18"/>
        </w:rPr>
        <w:t> </w:t>
      </w:r>
      <w:r>
        <w:rPr>
          <w:color w:val="231F20"/>
          <w:sz w:val="18"/>
        </w:rPr>
        <w:t>Internacional</w:t>
      </w:r>
      <w:r>
        <w:rPr>
          <w:color w:val="231F20"/>
          <w:spacing w:val="-4"/>
          <w:sz w:val="18"/>
        </w:rPr>
        <w:t> </w:t>
      </w:r>
      <w:r>
        <w:rPr>
          <w:color w:val="231F20"/>
          <w:sz w:val="18"/>
        </w:rPr>
        <w:t>del</w:t>
      </w:r>
      <w:r>
        <w:rPr>
          <w:color w:val="231F20"/>
          <w:spacing w:val="-8"/>
          <w:sz w:val="18"/>
        </w:rPr>
        <w:t> </w:t>
      </w:r>
      <w:r>
        <w:rPr>
          <w:color w:val="231F20"/>
          <w:sz w:val="18"/>
        </w:rPr>
        <w:t>Trabajo</w:t>
      </w:r>
      <w:r>
        <w:rPr>
          <w:color w:val="231F20"/>
          <w:spacing w:val="-5"/>
          <w:sz w:val="18"/>
        </w:rPr>
        <w:t> </w:t>
      </w:r>
      <w:r>
        <w:rPr>
          <w:color w:val="231F20"/>
          <w:sz w:val="18"/>
        </w:rPr>
        <w:t>(2009)</w:t>
      </w:r>
      <w:r>
        <w:rPr>
          <w:color w:val="231F20"/>
          <w:spacing w:val="-5"/>
          <w:sz w:val="18"/>
        </w:rPr>
        <w:t> </w:t>
      </w:r>
      <w:r>
        <w:rPr>
          <w:i/>
          <w:color w:val="231F20"/>
          <w:sz w:val="18"/>
        </w:rPr>
        <w:t>Panorama</w:t>
      </w:r>
      <w:r>
        <w:rPr>
          <w:i/>
          <w:color w:val="231F20"/>
          <w:spacing w:val="-5"/>
          <w:sz w:val="18"/>
        </w:rPr>
        <w:t> </w:t>
      </w:r>
      <w:r>
        <w:rPr>
          <w:i/>
          <w:color w:val="231F20"/>
          <w:sz w:val="18"/>
        </w:rPr>
        <w:t>laboral.</w:t>
      </w:r>
      <w:r>
        <w:rPr>
          <w:i/>
          <w:color w:val="231F20"/>
          <w:spacing w:val="-8"/>
          <w:sz w:val="18"/>
        </w:rPr>
        <w:t> </w:t>
      </w:r>
      <w:r>
        <w:rPr>
          <w:i/>
          <w:color w:val="231F20"/>
          <w:sz w:val="18"/>
        </w:rPr>
        <w:t>América </w:t>
      </w:r>
      <w:r>
        <w:rPr>
          <w:i/>
          <w:color w:val="231F20"/>
          <w:sz w:val="18"/>
        </w:rPr>
        <w:t>Latina y el Caribe 2009</w:t>
      </w:r>
      <w:r>
        <w:rPr>
          <w:color w:val="231F20"/>
          <w:sz w:val="18"/>
        </w:rPr>
        <w:t>, Lima: Organización Internacional del</w:t>
      </w:r>
      <w:r>
        <w:rPr>
          <w:color w:val="231F20"/>
          <w:spacing w:val="-23"/>
          <w:sz w:val="18"/>
        </w:rPr>
        <w:t> </w:t>
      </w:r>
      <w:r>
        <w:rPr>
          <w:color w:val="231F20"/>
          <w:sz w:val="18"/>
        </w:rPr>
        <w:t>Trabajo.</w:t>
      </w:r>
    </w:p>
    <w:p>
      <w:pPr>
        <w:spacing w:line="254" w:lineRule="auto" w:before="57"/>
        <w:ind w:left="110" w:right="110" w:firstLine="0"/>
        <w:jc w:val="both"/>
        <w:rPr>
          <w:sz w:val="18"/>
        </w:rPr>
      </w:pPr>
      <w:r>
        <w:rPr>
          <w:color w:val="231F20"/>
          <w:spacing w:val="-4"/>
          <w:sz w:val="18"/>
        </w:rPr>
        <w:t>OIT,</w:t>
      </w:r>
      <w:r>
        <w:rPr>
          <w:color w:val="231F20"/>
          <w:spacing w:val="-8"/>
          <w:sz w:val="18"/>
        </w:rPr>
        <w:t> </w:t>
      </w:r>
      <w:r>
        <w:rPr>
          <w:color w:val="231F20"/>
          <w:sz w:val="18"/>
        </w:rPr>
        <w:t>Organización</w:t>
      </w:r>
      <w:r>
        <w:rPr>
          <w:color w:val="231F20"/>
          <w:spacing w:val="-8"/>
          <w:sz w:val="18"/>
        </w:rPr>
        <w:t> </w:t>
      </w:r>
      <w:r>
        <w:rPr>
          <w:color w:val="231F20"/>
          <w:sz w:val="18"/>
        </w:rPr>
        <w:t>Internacional</w:t>
      </w:r>
      <w:r>
        <w:rPr>
          <w:color w:val="231F20"/>
          <w:spacing w:val="-8"/>
          <w:sz w:val="18"/>
        </w:rPr>
        <w:t> </w:t>
      </w:r>
      <w:r>
        <w:rPr>
          <w:color w:val="231F20"/>
          <w:sz w:val="18"/>
        </w:rPr>
        <w:t>del</w:t>
      </w:r>
      <w:r>
        <w:rPr>
          <w:color w:val="231F20"/>
          <w:spacing w:val="-11"/>
          <w:sz w:val="18"/>
        </w:rPr>
        <w:t> </w:t>
      </w:r>
      <w:r>
        <w:rPr>
          <w:color w:val="231F20"/>
          <w:sz w:val="18"/>
        </w:rPr>
        <w:t>Trabajo</w:t>
      </w:r>
      <w:r>
        <w:rPr>
          <w:color w:val="231F20"/>
          <w:spacing w:val="-8"/>
          <w:sz w:val="18"/>
        </w:rPr>
        <w:t> </w:t>
      </w:r>
      <w:r>
        <w:rPr>
          <w:color w:val="231F20"/>
          <w:sz w:val="18"/>
        </w:rPr>
        <w:t>(2010)</w:t>
      </w:r>
      <w:r>
        <w:rPr>
          <w:color w:val="231F20"/>
          <w:spacing w:val="-8"/>
          <w:sz w:val="18"/>
        </w:rPr>
        <w:t> </w:t>
      </w:r>
      <w:r>
        <w:rPr>
          <w:color w:val="231F20"/>
          <w:sz w:val="18"/>
        </w:rPr>
        <w:t>“Entendiendo</w:t>
      </w:r>
      <w:r>
        <w:rPr>
          <w:color w:val="231F20"/>
          <w:spacing w:val="-8"/>
          <w:sz w:val="18"/>
        </w:rPr>
        <w:t> </w:t>
      </w:r>
      <w:r>
        <w:rPr>
          <w:color w:val="231F20"/>
          <w:sz w:val="18"/>
        </w:rPr>
        <w:t>el</w:t>
      </w:r>
      <w:r>
        <w:rPr>
          <w:color w:val="231F20"/>
          <w:spacing w:val="-8"/>
          <w:sz w:val="18"/>
        </w:rPr>
        <w:t> </w:t>
      </w:r>
      <w:r>
        <w:rPr>
          <w:color w:val="231F20"/>
          <w:sz w:val="18"/>
        </w:rPr>
        <w:t>crecimiento del empleo formal en Brasil, </w:t>
      </w:r>
      <w:r>
        <w:rPr>
          <w:color w:val="231F20"/>
          <w:spacing w:val="-3"/>
          <w:sz w:val="18"/>
        </w:rPr>
        <w:t>Temas </w:t>
      </w:r>
      <w:r>
        <w:rPr>
          <w:color w:val="231F20"/>
          <w:sz w:val="18"/>
        </w:rPr>
        <w:t>especiales”, en </w:t>
      </w:r>
      <w:r>
        <w:rPr>
          <w:i/>
          <w:color w:val="231F20"/>
          <w:sz w:val="18"/>
        </w:rPr>
        <w:t>Panorama laboral. América </w:t>
      </w:r>
      <w:r>
        <w:rPr>
          <w:i/>
          <w:color w:val="231F20"/>
          <w:sz w:val="18"/>
        </w:rPr>
        <w:t>Latina y el Caribe 2010</w:t>
      </w:r>
      <w:r>
        <w:rPr>
          <w:color w:val="231F20"/>
          <w:sz w:val="18"/>
        </w:rPr>
        <w:t>, Lima: Organización Internacional del</w:t>
      </w:r>
      <w:r>
        <w:rPr>
          <w:color w:val="231F20"/>
          <w:spacing w:val="-23"/>
          <w:sz w:val="18"/>
        </w:rPr>
        <w:t> </w:t>
      </w:r>
      <w:r>
        <w:rPr>
          <w:color w:val="231F20"/>
          <w:sz w:val="18"/>
        </w:rPr>
        <w:t>Trabajo.</w:t>
      </w:r>
    </w:p>
    <w:p>
      <w:pPr>
        <w:spacing w:line="254" w:lineRule="auto" w:before="57"/>
        <w:ind w:left="110" w:right="111" w:firstLine="0"/>
        <w:jc w:val="both"/>
        <w:rPr>
          <w:sz w:val="18"/>
        </w:rPr>
      </w:pPr>
      <w:r>
        <w:rPr>
          <w:color w:val="231F20"/>
          <w:sz w:val="18"/>
        </w:rPr>
        <w:t>Oliveira, Orlandina de y Bryan Roberts (1997) “El crecimiento urbano y la es- tructura social urbana en América Latina, 1930-1990”, en L. Bethell (ed.), </w:t>
      </w:r>
      <w:r>
        <w:rPr>
          <w:i/>
          <w:color w:val="231F20"/>
          <w:sz w:val="18"/>
        </w:rPr>
        <w:t>His- </w:t>
      </w:r>
      <w:r>
        <w:rPr>
          <w:i/>
          <w:color w:val="231F20"/>
          <w:sz w:val="18"/>
        </w:rPr>
        <w:t>toria de América Latina. Economía y sociedad desde 1930</w:t>
      </w:r>
      <w:r>
        <w:rPr>
          <w:color w:val="231F20"/>
          <w:sz w:val="18"/>
        </w:rPr>
        <w:t>, Barcelona: Editorial Crítica, vol. 11.</w:t>
      </w:r>
    </w:p>
    <w:p>
      <w:pPr>
        <w:spacing w:line="254" w:lineRule="auto" w:before="57"/>
        <w:ind w:left="110" w:right="112" w:firstLine="0"/>
        <w:jc w:val="both"/>
        <w:rPr>
          <w:sz w:val="18"/>
        </w:rPr>
      </w:pPr>
      <w:r>
        <w:rPr>
          <w:color w:val="231F20"/>
          <w:sz w:val="18"/>
        </w:rPr>
        <w:t>Pacheco, Edith, Enrique De la Garza, y Luis Reygadas (coord.) (2012) </w:t>
      </w:r>
      <w:r>
        <w:rPr>
          <w:i/>
          <w:color w:val="231F20"/>
          <w:sz w:val="18"/>
        </w:rPr>
        <w:t>Trabajos </w:t>
      </w:r>
      <w:r>
        <w:rPr>
          <w:i/>
          <w:color w:val="231F20"/>
          <w:sz w:val="18"/>
        </w:rPr>
        <w:t>atípicos y precarización del empleo</w:t>
      </w:r>
      <w:r>
        <w:rPr>
          <w:color w:val="231F20"/>
          <w:sz w:val="18"/>
        </w:rPr>
        <w:t>, México: El Colegio de México.</w:t>
      </w:r>
    </w:p>
    <w:p>
      <w:pPr>
        <w:spacing w:line="254" w:lineRule="auto" w:before="57"/>
        <w:ind w:left="110" w:right="111" w:firstLine="0"/>
        <w:jc w:val="both"/>
        <w:rPr>
          <w:sz w:val="18"/>
        </w:rPr>
      </w:pPr>
      <w:r>
        <w:rPr>
          <w:color w:val="231F20"/>
          <w:sz w:val="18"/>
        </w:rPr>
        <w:t>Pérez Sáinz, Juan Pablo (1998) “¿Es necesario aún el concepto de informali- dad?”, en </w:t>
      </w:r>
      <w:r>
        <w:rPr>
          <w:i/>
          <w:color w:val="231F20"/>
          <w:sz w:val="18"/>
        </w:rPr>
        <w:t>Perfiles Latinoamericanos</w:t>
      </w:r>
      <w:r>
        <w:rPr>
          <w:color w:val="231F20"/>
          <w:sz w:val="18"/>
        </w:rPr>
        <w:t>, núm. 13.</w:t>
      </w:r>
    </w:p>
    <w:p>
      <w:pPr>
        <w:spacing w:line="254" w:lineRule="auto" w:before="57"/>
        <w:ind w:left="110" w:right="111" w:firstLine="0"/>
        <w:jc w:val="both"/>
        <w:rPr>
          <w:sz w:val="18"/>
        </w:rPr>
      </w:pPr>
      <w:r>
        <w:rPr>
          <w:color w:val="231F20"/>
          <w:sz w:val="18"/>
        </w:rPr>
        <w:t>Pérez</w:t>
      </w:r>
      <w:r>
        <w:rPr>
          <w:color w:val="231F20"/>
          <w:spacing w:val="-5"/>
          <w:sz w:val="18"/>
        </w:rPr>
        <w:t> </w:t>
      </w:r>
      <w:r>
        <w:rPr>
          <w:color w:val="231F20"/>
          <w:sz w:val="18"/>
        </w:rPr>
        <w:t>Sáinz,</w:t>
      </w:r>
      <w:r>
        <w:rPr>
          <w:color w:val="231F20"/>
          <w:spacing w:val="-5"/>
          <w:sz w:val="18"/>
        </w:rPr>
        <w:t> </w:t>
      </w:r>
      <w:r>
        <w:rPr>
          <w:color w:val="231F20"/>
          <w:sz w:val="18"/>
        </w:rPr>
        <w:t>Juan</w:t>
      </w:r>
      <w:r>
        <w:rPr>
          <w:color w:val="231F20"/>
          <w:spacing w:val="-5"/>
          <w:sz w:val="18"/>
        </w:rPr>
        <w:t> </w:t>
      </w:r>
      <w:r>
        <w:rPr>
          <w:color w:val="231F20"/>
          <w:sz w:val="18"/>
        </w:rPr>
        <w:t>Pablo</w:t>
      </w:r>
      <w:r>
        <w:rPr>
          <w:color w:val="231F20"/>
          <w:spacing w:val="-7"/>
          <w:sz w:val="18"/>
        </w:rPr>
        <w:t> </w:t>
      </w:r>
      <w:r>
        <w:rPr>
          <w:color w:val="231F20"/>
          <w:sz w:val="18"/>
        </w:rPr>
        <w:t>(1999)</w:t>
      </w:r>
      <w:r>
        <w:rPr>
          <w:color w:val="231F20"/>
          <w:spacing w:val="-5"/>
          <w:sz w:val="18"/>
        </w:rPr>
        <w:t> </w:t>
      </w:r>
      <w:r>
        <w:rPr>
          <w:i/>
          <w:color w:val="231F20"/>
          <w:sz w:val="18"/>
        </w:rPr>
        <w:t>From</w:t>
      </w:r>
      <w:r>
        <w:rPr>
          <w:i/>
          <w:color w:val="231F20"/>
          <w:spacing w:val="-5"/>
          <w:sz w:val="18"/>
        </w:rPr>
        <w:t> </w:t>
      </w:r>
      <w:r>
        <w:rPr>
          <w:i/>
          <w:color w:val="231F20"/>
          <w:sz w:val="18"/>
        </w:rPr>
        <w:t>the</w:t>
      </w:r>
      <w:r>
        <w:rPr>
          <w:i/>
          <w:color w:val="231F20"/>
          <w:spacing w:val="-5"/>
          <w:sz w:val="18"/>
        </w:rPr>
        <w:t> </w:t>
      </w:r>
      <w:r>
        <w:rPr>
          <w:i/>
          <w:color w:val="231F20"/>
          <w:sz w:val="18"/>
        </w:rPr>
        <w:t>Finca</w:t>
      </w:r>
      <w:r>
        <w:rPr>
          <w:i/>
          <w:color w:val="231F20"/>
          <w:spacing w:val="-5"/>
          <w:sz w:val="18"/>
        </w:rPr>
        <w:t> </w:t>
      </w:r>
      <w:r>
        <w:rPr>
          <w:i/>
          <w:color w:val="231F20"/>
          <w:sz w:val="18"/>
        </w:rPr>
        <w:t>to</w:t>
      </w:r>
      <w:r>
        <w:rPr>
          <w:i/>
          <w:color w:val="231F20"/>
          <w:spacing w:val="-5"/>
          <w:sz w:val="18"/>
        </w:rPr>
        <w:t> </w:t>
      </w:r>
      <w:r>
        <w:rPr>
          <w:i/>
          <w:color w:val="231F20"/>
          <w:sz w:val="18"/>
        </w:rPr>
        <w:t>the</w:t>
      </w:r>
      <w:r>
        <w:rPr>
          <w:i/>
          <w:color w:val="231F20"/>
          <w:spacing w:val="-5"/>
          <w:sz w:val="18"/>
        </w:rPr>
        <w:t> </w:t>
      </w:r>
      <w:r>
        <w:rPr>
          <w:i/>
          <w:color w:val="231F20"/>
          <w:sz w:val="18"/>
        </w:rPr>
        <w:t>Maquila.</w:t>
      </w:r>
      <w:r>
        <w:rPr>
          <w:i/>
          <w:color w:val="231F20"/>
          <w:spacing w:val="-5"/>
          <w:sz w:val="18"/>
        </w:rPr>
        <w:t> </w:t>
      </w:r>
      <w:r>
        <w:rPr>
          <w:i/>
          <w:color w:val="231F20"/>
          <w:sz w:val="18"/>
        </w:rPr>
        <w:t>Labor</w:t>
      </w:r>
      <w:r>
        <w:rPr>
          <w:i/>
          <w:color w:val="231F20"/>
          <w:spacing w:val="-5"/>
          <w:sz w:val="18"/>
        </w:rPr>
        <w:t> </w:t>
      </w:r>
      <w:r>
        <w:rPr>
          <w:i/>
          <w:color w:val="231F20"/>
          <w:sz w:val="18"/>
        </w:rPr>
        <w:t>and</w:t>
      </w:r>
      <w:r>
        <w:rPr>
          <w:i/>
          <w:color w:val="231F20"/>
          <w:spacing w:val="-5"/>
          <w:sz w:val="18"/>
        </w:rPr>
        <w:t> </w:t>
      </w:r>
      <w:r>
        <w:rPr>
          <w:i/>
          <w:color w:val="231F20"/>
          <w:sz w:val="18"/>
        </w:rPr>
        <w:t>Capi- </w:t>
      </w:r>
      <w:r>
        <w:rPr>
          <w:i/>
          <w:color w:val="231F20"/>
          <w:sz w:val="18"/>
        </w:rPr>
        <w:t>talist</w:t>
      </w:r>
      <w:r>
        <w:rPr>
          <w:i/>
          <w:color w:val="231F20"/>
          <w:spacing w:val="-6"/>
          <w:sz w:val="18"/>
        </w:rPr>
        <w:t> </w:t>
      </w:r>
      <w:r>
        <w:rPr>
          <w:i/>
          <w:color w:val="231F20"/>
          <w:sz w:val="18"/>
        </w:rPr>
        <w:t>Development</w:t>
      </w:r>
      <w:r>
        <w:rPr>
          <w:i/>
          <w:color w:val="231F20"/>
          <w:spacing w:val="-5"/>
          <w:sz w:val="18"/>
        </w:rPr>
        <w:t> </w:t>
      </w:r>
      <w:r>
        <w:rPr>
          <w:i/>
          <w:color w:val="231F20"/>
          <w:sz w:val="18"/>
        </w:rPr>
        <w:t>in</w:t>
      </w:r>
      <w:r>
        <w:rPr>
          <w:i/>
          <w:color w:val="231F20"/>
          <w:spacing w:val="-6"/>
          <w:sz w:val="18"/>
        </w:rPr>
        <w:t> </w:t>
      </w:r>
      <w:r>
        <w:rPr>
          <w:i/>
          <w:color w:val="231F20"/>
          <w:sz w:val="18"/>
        </w:rPr>
        <w:t>Central</w:t>
      </w:r>
      <w:r>
        <w:rPr>
          <w:i/>
          <w:color w:val="231F20"/>
          <w:spacing w:val="-9"/>
          <w:sz w:val="18"/>
        </w:rPr>
        <w:t> </w:t>
      </w:r>
      <w:r>
        <w:rPr>
          <w:i/>
          <w:color w:val="231F20"/>
          <w:sz w:val="18"/>
        </w:rPr>
        <w:t>America</w:t>
      </w:r>
      <w:r>
        <w:rPr>
          <w:color w:val="231F20"/>
          <w:sz w:val="18"/>
        </w:rPr>
        <w:t>,</w:t>
      </w:r>
      <w:r>
        <w:rPr>
          <w:color w:val="231F20"/>
          <w:spacing w:val="-5"/>
          <w:sz w:val="18"/>
        </w:rPr>
        <w:t> </w:t>
      </w:r>
      <w:r>
        <w:rPr>
          <w:color w:val="231F20"/>
          <w:sz w:val="18"/>
        </w:rPr>
        <w:t>Boulder:</w:t>
      </w:r>
      <w:r>
        <w:rPr>
          <w:color w:val="231F20"/>
          <w:spacing w:val="-9"/>
          <w:sz w:val="18"/>
        </w:rPr>
        <w:t> </w:t>
      </w:r>
      <w:r>
        <w:rPr>
          <w:color w:val="231F20"/>
          <w:sz w:val="18"/>
        </w:rPr>
        <w:t>Westview</w:t>
      </w:r>
      <w:r>
        <w:rPr>
          <w:color w:val="231F20"/>
          <w:spacing w:val="-6"/>
          <w:sz w:val="18"/>
        </w:rPr>
        <w:t> </w:t>
      </w:r>
      <w:r>
        <w:rPr>
          <w:color w:val="231F20"/>
          <w:sz w:val="18"/>
        </w:rPr>
        <w:t>Press.</w:t>
      </w:r>
    </w:p>
    <w:p>
      <w:pPr>
        <w:spacing w:line="254" w:lineRule="auto" w:before="57"/>
        <w:ind w:left="110" w:right="111" w:firstLine="0"/>
        <w:jc w:val="both"/>
        <w:rPr>
          <w:sz w:val="18"/>
        </w:rPr>
      </w:pPr>
      <w:r>
        <w:rPr>
          <w:color w:val="231F20"/>
          <w:sz w:val="18"/>
        </w:rPr>
        <w:t>Pérez Sáinz, Juan Pablo (2013) “¿Disminuyeron las desigualdades sociales en América</w:t>
      </w:r>
      <w:r>
        <w:rPr>
          <w:color w:val="231F20"/>
          <w:spacing w:val="-6"/>
          <w:sz w:val="18"/>
        </w:rPr>
        <w:t> </w:t>
      </w:r>
      <w:r>
        <w:rPr>
          <w:color w:val="231F20"/>
          <w:sz w:val="18"/>
        </w:rPr>
        <w:t>Latina</w:t>
      </w:r>
      <w:r>
        <w:rPr>
          <w:color w:val="231F20"/>
          <w:spacing w:val="-6"/>
          <w:sz w:val="18"/>
        </w:rPr>
        <w:t> </w:t>
      </w:r>
      <w:r>
        <w:rPr>
          <w:color w:val="231F20"/>
          <w:sz w:val="18"/>
        </w:rPr>
        <w:t>durante</w:t>
      </w:r>
      <w:r>
        <w:rPr>
          <w:color w:val="231F20"/>
          <w:spacing w:val="-6"/>
          <w:sz w:val="18"/>
        </w:rPr>
        <w:t> </w:t>
      </w:r>
      <w:r>
        <w:rPr>
          <w:color w:val="231F20"/>
          <w:sz w:val="18"/>
        </w:rPr>
        <w:t>la</w:t>
      </w:r>
      <w:r>
        <w:rPr>
          <w:color w:val="231F20"/>
          <w:spacing w:val="-6"/>
          <w:sz w:val="18"/>
        </w:rPr>
        <w:t> </w:t>
      </w:r>
      <w:r>
        <w:rPr>
          <w:color w:val="231F20"/>
          <w:sz w:val="18"/>
        </w:rPr>
        <w:t>primera</w:t>
      </w:r>
      <w:r>
        <w:rPr>
          <w:color w:val="231F20"/>
          <w:spacing w:val="-6"/>
          <w:sz w:val="18"/>
        </w:rPr>
        <w:t> </w:t>
      </w:r>
      <w:r>
        <w:rPr>
          <w:color w:val="231F20"/>
          <w:sz w:val="18"/>
        </w:rPr>
        <w:t>década</w:t>
      </w:r>
      <w:r>
        <w:rPr>
          <w:color w:val="231F20"/>
          <w:spacing w:val="-6"/>
          <w:sz w:val="18"/>
        </w:rPr>
        <w:t> </w:t>
      </w:r>
      <w:r>
        <w:rPr>
          <w:color w:val="231F20"/>
          <w:sz w:val="18"/>
        </w:rPr>
        <w:t>del</w:t>
      </w:r>
      <w:r>
        <w:rPr>
          <w:color w:val="231F20"/>
          <w:spacing w:val="-6"/>
          <w:sz w:val="18"/>
        </w:rPr>
        <w:t> </w:t>
      </w:r>
      <w:r>
        <w:rPr>
          <w:color w:val="231F20"/>
          <w:sz w:val="18"/>
        </w:rPr>
        <w:t>siglo</w:t>
      </w:r>
      <w:r>
        <w:rPr>
          <w:color w:val="231F20"/>
          <w:spacing w:val="-6"/>
          <w:sz w:val="18"/>
        </w:rPr>
        <w:t> </w:t>
      </w:r>
      <w:r>
        <w:rPr>
          <w:color w:val="231F20"/>
          <w:sz w:val="18"/>
        </w:rPr>
        <w:t>XXI?</w:t>
      </w:r>
      <w:r>
        <w:rPr>
          <w:color w:val="231F20"/>
          <w:spacing w:val="-6"/>
          <w:sz w:val="18"/>
        </w:rPr>
        <w:t> </w:t>
      </w:r>
      <w:r>
        <w:rPr>
          <w:color w:val="231F20"/>
          <w:sz w:val="18"/>
        </w:rPr>
        <w:t>Evidencia</w:t>
      </w:r>
      <w:r>
        <w:rPr>
          <w:color w:val="231F20"/>
          <w:spacing w:val="-7"/>
          <w:sz w:val="18"/>
        </w:rPr>
        <w:t> </w:t>
      </w:r>
      <w:r>
        <w:rPr>
          <w:color w:val="231F20"/>
          <w:sz w:val="18"/>
        </w:rPr>
        <w:t>e</w:t>
      </w:r>
      <w:r>
        <w:rPr>
          <w:color w:val="231F20"/>
          <w:spacing w:val="-6"/>
          <w:sz w:val="18"/>
        </w:rPr>
        <w:t> </w:t>
      </w:r>
      <w:r>
        <w:rPr>
          <w:color w:val="231F20"/>
          <w:sz w:val="18"/>
        </w:rPr>
        <w:t>interpreta- ciones”, en </w:t>
      </w:r>
      <w:r>
        <w:rPr>
          <w:i/>
          <w:color w:val="231F20"/>
          <w:sz w:val="18"/>
        </w:rPr>
        <w:t>Desarrollo Económico</w:t>
      </w:r>
      <w:r>
        <w:rPr>
          <w:color w:val="231F20"/>
          <w:sz w:val="18"/>
        </w:rPr>
        <w:t>, vol.</w:t>
      </w:r>
      <w:r>
        <w:rPr>
          <w:color w:val="231F20"/>
          <w:spacing w:val="-15"/>
          <w:sz w:val="18"/>
        </w:rPr>
        <w:t> </w:t>
      </w:r>
      <w:r>
        <w:rPr>
          <w:color w:val="231F20"/>
          <w:sz w:val="18"/>
        </w:rPr>
        <w:t>53.</w:t>
      </w:r>
    </w:p>
    <w:p>
      <w:pPr>
        <w:spacing w:line="254" w:lineRule="auto" w:before="57"/>
        <w:ind w:left="110" w:right="111" w:firstLine="0"/>
        <w:jc w:val="both"/>
        <w:rPr>
          <w:sz w:val="18"/>
        </w:rPr>
      </w:pPr>
      <w:r>
        <w:rPr>
          <w:color w:val="231F20"/>
          <w:sz w:val="18"/>
        </w:rPr>
        <w:t>Pérez Sáinz, Juan Pablo (2014) </w:t>
      </w:r>
      <w:r>
        <w:rPr>
          <w:i/>
          <w:color w:val="231F20"/>
          <w:sz w:val="18"/>
        </w:rPr>
        <w:t>Mercados y bárbaros. La persistencia de las </w:t>
      </w:r>
      <w:r>
        <w:rPr>
          <w:i/>
          <w:color w:val="231F20"/>
          <w:sz w:val="18"/>
        </w:rPr>
        <w:t>desigualdades de excedente en América Latina</w:t>
      </w:r>
      <w:r>
        <w:rPr>
          <w:color w:val="231F20"/>
          <w:sz w:val="18"/>
        </w:rPr>
        <w:t>, San José: FLACSO.</w:t>
      </w:r>
    </w:p>
    <w:p>
      <w:pPr>
        <w:spacing w:line="254" w:lineRule="auto" w:before="57"/>
        <w:ind w:left="110" w:right="111" w:firstLine="0"/>
        <w:jc w:val="both"/>
        <w:rPr>
          <w:sz w:val="18"/>
        </w:rPr>
      </w:pPr>
      <w:r>
        <w:rPr>
          <w:color w:val="231F20"/>
          <w:sz w:val="18"/>
        </w:rPr>
        <w:t>Pérez</w:t>
      </w:r>
      <w:r>
        <w:rPr>
          <w:color w:val="231F20"/>
          <w:spacing w:val="-4"/>
          <w:sz w:val="18"/>
        </w:rPr>
        <w:t> </w:t>
      </w:r>
      <w:r>
        <w:rPr>
          <w:color w:val="231F20"/>
          <w:sz w:val="18"/>
        </w:rPr>
        <w:t>Sáinz,</w:t>
      </w:r>
      <w:r>
        <w:rPr>
          <w:color w:val="231F20"/>
          <w:spacing w:val="-4"/>
          <w:sz w:val="18"/>
        </w:rPr>
        <w:t> </w:t>
      </w:r>
      <w:r>
        <w:rPr>
          <w:color w:val="231F20"/>
          <w:sz w:val="18"/>
        </w:rPr>
        <w:t>Juan</w:t>
      </w:r>
      <w:r>
        <w:rPr>
          <w:color w:val="231F20"/>
          <w:spacing w:val="-4"/>
          <w:sz w:val="18"/>
        </w:rPr>
        <w:t> </w:t>
      </w:r>
      <w:r>
        <w:rPr>
          <w:color w:val="231F20"/>
          <w:sz w:val="18"/>
        </w:rPr>
        <w:t>Pablo</w:t>
      </w:r>
      <w:r>
        <w:rPr>
          <w:color w:val="231F20"/>
          <w:spacing w:val="-4"/>
          <w:sz w:val="18"/>
        </w:rPr>
        <w:t> </w:t>
      </w:r>
      <w:r>
        <w:rPr>
          <w:color w:val="231F20"/>
          <w:sz w:val="18"/>
        </w:rPr>
        <w:t>y</w:t>
      </w:r>
      <w:r>
        <w:rPr>
          <w:color w:val="231F20"/>
          <w:spacing w:val="-5"/>
          <w:sz w:val="18"/>
        </w:rPr>
        <w:t> </w:t>
      </w:r>
      <w:r>
        <w:rPr>
          <w:color w:val="231F20"/>
          <w:sz w:val="18"/>
        </w:rPr>
        <w:t>Minor</w:t>
      </w:r>
      <w:r>
        <w:rPr>
          <w:color w:val="231F20"/>
          <w:spacing w:val="-4"/>
          <w:sz w:val="18"/>
        </w:rPr>
        <w:t> </w:t>
      </w:r>
      <w:r>
        <w:rPr>
          <w:color w:val="231F20"/>
          <w:sz w:val="18"/>
        </w:rPr>
        <w:t>Mora</w:t>
      </w:r>
      <w:r>
        <w:rPr>
          <w:color w:val="231F20"/>
          <w:spacing w:val="-4"/>
          <w:sz w:val="18"/>
        </w:rPr>
        <w:t> </w:t>
      </w:r>
      <w:r>
        <w:rPr>
          <w:color w:val="231F20"/>
          <w:sz w:val="18"/>
        </w:rPr>
        <w:t>Salas</w:t>
      </w:r>
      <w:r>
        <w:rPr>
          <w:color w:val="231F20"/>
          <w:spacing w:val="-4"/>
          <w:sz w:val="18"/>
        </w:rPr>
        <w:t> </w:t>
      </w:r>
      <w:r>
        <w:rPr>
          <w:color w:val="231F20"/>
          <w:sz w:val="18"/>
        </w:rPr>
        <w:t>(2006)</w:t>
      </w:r>
      <w:r>
        <w:rPr>
          <w:color w:val="231F20"/>
          <w:spacing w:val="-5"/>
          <w:sz w:val="18"/>
        </w:rPr>
        <w:t> </w:t>
      </w:r>
      <w:r>
        <w:rPr>
          <w:color w:val="231F20"/>
          <w:sz w:val="18"/>
        </w:rPr>
        <w:t>“Exclusión</w:t>
      </w:r>
      <w:r>
        <w:rPr>
          <w:color w:val="231F20"/>
          <w:spacing w:val="-5"/>
          <w:sz w:val="18"/>
        </w:rPr>
        <w:t> </w:t>
      </w:r>
      <w:r>
        <w:rPr>
          <w:color w:val="231F20"/>
          <w:sz w:val="18"/>
        </w:rPr>
        <w:t>social,</w:t>
      </w:r>
      <w:r>
        <w:rPr>
          <w:color w:val="231F20"/>
          <w:spacing w:val="-4"/>
          <w:sz w:val="18"/>
        </w:rPr>
        <w:t> </w:t>
      </w:r>
      <w:r>
        <w:rPr>
          <w:color w:val="231F20"/>
          <w:sz w:val="18"/>
        </w:rPr>
        <w:t>desigual- dades y excedente laboral. Reflexiones sobre América Latina”, en </w:t>
      </w:r>
      <w:r>
        <w:rPr>
          <w:i/>
          <w:color w:val="231F20"/>
          <w:sz w:val="18"/>
        </w:rPr>
        <w:t>Revista</w:t>
      </w:r>
      <w:r>
        <w:rPr>
          <w:i/>
          <w:color w:val="231F20"/>
          <w:spacing w:val="-10"/>
          <w:sz w:val="18"/>
        </w:rPr>
        <w:t> </w:t>
      </w:r>
      <w:r>
        <w:rPr>
          <w:i/>
          <w:color w:val="231F20"/>
          <w:sz w:val="18"/>
        </w:rPr>
        <w:t>Mexi- </w:t>
      </w:r>
      <w:r>
        <w:rPr>
          <w:i/>
          <w:color w:val="231F20"/>
          <w:sz w:val="18"/>
        </w:rPr>
        <w:t>cana de Sociología</w:t>
      </w:r>
      <w:r>
        <w:rPr>
          <w:color w:val="231F20"/>
          <w:sz w:val="18"/>
        </w:rPr>
        <w:t>, año 68, núm.</w:t>
      </w:r>
      <w:r>
        <w:rPr>
          <w:color w:val="231F20"/>
          <w:spacing w:val="-3"/>
          <w:sz w:val="18"/>
        </w:rPr>
        <w:t> </w:t>
      </w:r>
      <w:r>
        <w:rPr>
          <w:color w:val="231F20"/>
          <w:sz w:val="18"/>
        </w:rPr>
        <w:t>3.</w:t>
      </w:r>
    </w:p>
    <w:p>
      <w:pPr>
        <w:spacing w:line="254" w:lineRule="auto" w:before="57"/>
        <w:ind w:left="110" w:right="114" w:firstLine="0"/>
        <w:jc w:val="both"/>
        <w:rPr>
          <w:sz w:val="18"/>
        </w:rPr>
      </w:pPr>
      <w:r>
        <w:rPr>
          <w:color w:val="231F20"/>
          <w:spacing w:val="-3"/>
          <w:sz w:val="18"/>
        </w:rPr>
        <w:t>Polanyi, Karl (1992) </w:t>
      </w:r>
      <w:r>
        <w:rPr>
          <w:i/>
          <w:color w:val="231F20"/>
          <w:sz w:val="18"/>
        </w:rPr>
        <w:t>La </w:t>
      </w:r>
      <w:r>
        <w:rPr>
          <w:i/>
          <w:color w:val="231F20"/>
          <w:spacing w:val="-3"/>
          <w:sz w:val="18"/>
        </w:rPr>
        <w:t>gran transformación. </w:t>
      </w:r>
      <w:r>
        <w:rPr>
          <w:i/>
          <w:color w:val="231F20"/>
          <w:sz w:val="18"/>
        </w:rPr>
        <w:t>Los </w:t>
      </w:r>
      <w:r>
        <w:rPr>
          <w:i/>
          <w:color w:val="231F20"/>
          <w:spacing w:val="-3"/>
          <w:sz w:val="18"/>
        </w:rPr>
        <w:t>orígenes políticos </w:t>
      </w:r>
      <w:r>
        <w:rPr>
          <w:i/>
          <w:color w:val="231F20"/>
          <w:sz w:val="18"/>
        </w:rPr>
        <w:t>y </w:t>
      </w:r>
      <w:r>
        <w:rPr>
          <w:i/>
          <w:color w:val="231F20"/>
          <w:spacing w:val="-3"/>
          <w:sz w:val="18"/>
        </w:rPr>
        <w:t>económicos </w:t>
      </w:r>
      <w:r>
        <w:rPr>
          <w:i/>
          <w:color w:val="231F20"/>
          <w:sz w:val="18"/>
        </w:rPr>
        <w:t>de </w:t>
      </w:r>
      <w:r>
        <w:rPr>
          <w:i/>
          <w:color w:val="231F20"/>
          <w:spacing w:val="-4"/>
          <w:sz w:val="18"/>
        </w:rPr>
        <w:t>nuestro </w:t>
      </w:r>
      <w:r>
        <w:rPr>
          <w:i/>
          <w:color w:val="231F20"/>
          <w:spacing w:val="-3"/>
          <w:sz w:val="18"/>
        </w:rPr>
        <w:t>tiempo</w:t>
      </w:r>
      <w:r>
        <w:rPr>
          <w:color w:val="231F20"/>
          <w:spacing w:val="-3"/>
          <w:sz w:val="18"/>
        </w:rPr>
        <w:t>, México: Fondo </w:t>
      </w:r>
      <w:r>
        <w:rPr>
          <w:color w:val="231F20"/>
          <w:sz w:val="18"/>
        </w:rPr>
        <w:t>de </w:t>
      </w:r>
      <w:r>
        <w:rPr>
          <w:color w:val="231F20"/>
          <w:spacing w:val="-3"/>
          <w:sz w:val="18"/>
        </w:rPr>
        <w:t>Cultura Económica.</w:t>
      </w:r>
    </w:p>
    <w:p>
      <w:pPr>
        <w:spacing w:line="321" w:lineRule="auto" w:before="57"/>
        <w:ind w:left="110" w:right="111" w:firstLine="0"/>
        <w:jc w:val="both"/>
        <w:rPr>
          <w:sz w:val="18"/>
        </w:rPr>
      </w:pPr>
      <w:r>
        <w:rPr>
          <w:color w:val="231F20"/>
          <w:spacing w:val="-3"/>
          <w:sz w:val="18"/>
        </w:rPr>
        <w:t>Prealc </w:t>
      </w:r>
      <w:r>
        <w:rPr>
          <w:color w:val="231F20"/>
          <w:sz w:val="18"/>
        </w:rPr>
        <w:t>(1991) </w:t>
      </w:r>
      <w:r>
        <w:rPr>
          <w:i/>
          <w:color w:val="231F20"/>
          <w:sz w:val="18"/>
        </w:rPr>
        <w:t>Empleo y equidad: el desafío de los 90</w:t>
      </w:r>
      <w:r>
        <w:rPr>
          <w:color w:val="231F20"/>
          <w:sz w:val="18"/>
        </w:rPr>
        <w:t>, Santiago de Chile: Prealc. Reygadas, Luis (2004) “Más allá de la clase, la etnia y el género: acciones</w:t>
      </w:r>
      <w:r>
        <w:rPr>
          <w:color w:val="231F20"/>
          <w:spacing w:val="-31"/>
          <w:sz w:val="18"/>
        </w:rPr>
        <w:t> </w:t>
      </w:r>
      <w:r>
        <w:rPr>
          <w:color w:val="231F20"/>
          <w:sz w:val="18"/>
        </w:rPr>
        <w:t>frente</w:t>
      </w:r>
    </w:p>
    <w:p>
      <w:pPr>
        <w:spacing w:after="0" w:line="321" w:lineRule="auto"/>
        <w:jc w:val="both"/>
        <w:rPr>
          <w:sz w:val="18"/>
        </w:rPr>
        <w:sectPr>
          <w:pgSz w:w="7770" w:h="11740"/>
          <w:pgMar w:header="0" w:footer="474" w:top="840" w:bottom="740" w:left="740" w:right="1020"/>
        </w:sectPr>
      </w:pPr>
    </w:p>
    <w:p>
      <w:pPr>
        <w:spacing w:line="254" w:lineRule="auto" w:before="65"/>
        <w:ind w:left="113" w:right="108" w:firstLine="0"/>
        <w:jc w:val="both"/>
        <w:rPr>
          <w:sz w:val="18"/>
        </w:rPr>
      </w:pPr>
      <w:r>
        <w:rPr>
          <w:color w:val="231F20"/>
          <w:sz w:val="18"/>
        </w:rPr>
        <w:t>a diversas formas de desigualdad en América Latina”, en </w:t>
      </w:r>
      <w:r>
        <w:rPr>
          <w:i/>
          <w:color w:val="231F20"/>
          <w:sz w:val="18"/>
        </w:rPr>
        <w:t>Alteridades</w:t>
      </w:r>
      <w:r>
        <w:rPr>
          <w:color w:val="231F20"/>
          <w:sz w:val="18"/>
        </w:rPr>
        <w:t>, año 14, núm. 28.</w:t>
      </w:r>
    </w:p>
    <w:p>
      <w:pPr>
        <w:spacing w:line="254" w:lineRule="auto" w:before="57"/>
        <w:ind w:left="113" w:right="108" w:firstLine="0"/>
        <w:jc w:val="both"/>
        <w:rPr>
          <w:sz w:val="18"/>
        </w:rPr>
      </w:pPr>
      <w:r>
        <w:rPr>
          <w:color w:val="231F20"/>
          <w:sz w:val="18"/>
        </w:rPr>
        <w:t>Roberts, Kenneth (2012) </w:t>
      </w:r>
      <w:r>
        <w:rPr>
          <w:i/>
          <w:color w:val="231F20"/>
          <w:sz w:val="18"/>
        </w:rPr>
        <w:t>The Politics of Inequality and Redistribution in Latin </w:t>
      </w:r>
      <w:r>
        <w:rPr>
          <w:i/>
          <w:color w:val="231F20"/>
          <w:sz w:val="18"/>
        </w:rPr>
        <w:t>America´s Post-Adjustment Era</w:t>
      </w:r>
      <w:r>
        <w:rPr>
          <w:color w:val="231F20"/>
          <w:sz w:val="18"/>
        </w:rPr>
        <w:t>, </w:t>
      </w:r>
      <w:r>
        <w:rPr>
          <w:color w:val="231F20"/>
          <w:spacing w:val="-3"/>
          <w:sz w:val="18"/>
        </w:rPr>
        <w:t>Working </w:t>
      </w:r>
      <w:r>
        <w:rPr>
          <w:color w:val="231F20"/>
          <w:spacing w:val="-2"/>
          <w:sz w:val="18"/>
        </w:rPr>
        <w:t>Paper, </w:t>
      </w:r>
      <w:r>
        <w:rPr>
          <w:color w:val="231F20"/>
          <w:sz w:val="18"/>
        </w:rPr>
        <w:t>núm. 2012/08, Helsinki, UNU- WIDER.</w:t>
      </w:r>
    </w:p>
    <w:p>
      <w:pPr>
        <w:spacing w:line="254" w:lineRule="auto" w:before="57"/>
        <w:ind w:left="113" w:right="110" w:firstLine="0"/>
        <w:jc w:val="both"/>
        <w:rPr>
          <w:sz w:val="18"/>
        </w:rPr>
      </w:pPr>
      <w:r>
        <w:rPr>
          <w:color w:val="231F20"/>
          <w:sz w:val="18"/>
        </w:rPr>
        <w:t>Stallings, Barbara y Wilson Peres (2000) </w:t>
      </w:r>
      <w:r>
        <w:rPr>
          <w:i/>
          <w:color w:val="231F20"/>
          <w:sz w:val="18"/>
        </w:rPr>
        <w:t>Growth, Employment and Equity: The </w:t>
      </w:r>
      <w:r>
        <w:rPr>
          <w:i/>
          <w:color w:val="231F20"/>
          <w:sz w:val="18"/>
        </w:rPr>
        <w:t>Impact of Economic Reforms in Latin America and the Caribbean</w:t>
      </w:r>
      <w:r>
        <w:rPr>
          <w:color w:val="231F20"/>
          <w:sz w:val="18"/>
        </w:rPr>
        <w:t>, Washington: Brookings Institution/ECLAC.</w:t>
      </w:r>
    </w:p>
    <w:p>
      <w:pPr>
        <w:spacing w:line="254" w:lineRule="auto" w:before="57"/>
        <w:ind w:left="113" w:right="109" w:firstLine="0"/>
        <w:jc w:val="both"/>
        <w:rPr>
          <w:sz w:val="18"/>
        </w:rPr>
      </w:pPr>
      <w:r>
        <w:rPr>
          <w:color w:val="231F20"/>
          <w:spacing w:val="-5"/>
          <w:sz w:val="18"/>
        </w:rPr>
        <w:t>Tello, </w:t>
      </w:r>
      <w:r>
        <w:rPr>
          <w:color w:val="231F20"/>
          <w:spacing w:val="-3"/>
          <w:sz w:val="18"/>
        </w:rPr>
        <w:t>Griselda (1989) </w:t>
      </w:r>
      <w:r>
        <w:rPr>
          <w:color w:val="231F20"/>
          <w:sz w:val="18"/>
        </w:rPr>
        <w:t>“La </w:t>
      </w:r>
      <w:r>
        <w:rPr>
          <w:color w:val="231F20"/>
          <w:spacing w:val="-3"/>
          <w:sz w:val="18"/>
        </w:rPr>
        <w:t>segregación </w:t>
      </w:r>
      <w:r>
        <w:rPr>
          <w:color w:val="231F20"/>
          <w:sz w:val="18"/>
        </w:rPr>
        <w:t>por </w:t>
      </w:r>
      <w:r>
        <w:rPr>
          <w:color w:val="231F20"/>
          <w:spacing w:val="-3"/>
          <w:sz w:val="18"/>
        </w:rPr>
        <w:t>género </w:t>
      </w:r>
      <w:r>
        <w:rPr>
          <w:color w:val="231F20"/>
          <w:sz w:val="18"/>
        </w:rPr>
        <w:t>en el </w:t>
      </w:r>
      <w:r>
        <w:rPr>
          <w:color w:val="231F20"/>
          <w:spacing w:val="-3"/>
          <w:sz w:val="18"/>
        </w:rPr>
        <w:t>mercado laboral. Lima 1974-1987”, </w:t>
      </w:r>
      <w:r>
        <w:rPr>
          <w:color w:val="231F20"/>
          <w:sz w:val="18"/>
        </w:rPr>
        <w:t>en </w:t>
      </w:r>
      <w:r>
        <w:rPr>
          <w:color w:val="231F20"/>
          <w:spacing w:val="-3"/>
          <w:sz w:val="18"/>
        </w:rPr>
        <w:t>Peri Paredes </w:t>
      </w:r>
      <w:r>
        <w:rPr>
          <w:color w:val="231F20"/>
          <w:sz w:val="18"/>
        </w:rPr>
        <w:t>y </w:t>
      </w:r>
      <w:r>
        <w:rPr>
          <w:color w:val="231F20"/>
          <w:spacing w:val="-3"/>
          <w:sz w:val="18"/>
        </w:rPr>
        <w:t>Griselda </w:t>
      </w:r>
      <w:r>
        <w:rPr>
          <w:color w:val="231F20"/>
          <w:spacing w:val="-5"/>
          <w:sz w:val="18"/>
        </w:rPr>
        <w:t>Tello, </w:t>
      </w:r>
      <w:r>
        <w:rPr>
          <w:i/>
          <w:color w:val="231F20"/>
          <w:sz w:val="18"/>
        </w:rPr>
        <w:t>Los </w:t>
      </w:r>
      <w:r>
        <w:rPr>
          <w:i/>
          <w:color w:val="231F20"/>
          <w:spacing w:val="-3"/>
          <w:sz w:val="18"/>
        </w:rPr>
        <w:t>trabajos </w:t>
      </w:r>
      <w:r>
        <w:rPr>
          <w:i/>
          <w:color w:val="231F20"/>
          <w:sz w:val="18"/>
        </w:rPr>
        <w:t>de las </w:t>
      </w:r>
      <w:r>
        <w:rPr>
          <w:i/>
          <w:color w:val="231F20"/>
          <w:spacing w:val="-4"/>
          <w:sz w:val="18"/>
        </w:rPr>
        <w:t>mujeres. </w:t>
      </w:r>
      <w:r>
        <w:rPr>
          <w:i/>
          <w:color w:val="231F20"/>
          <w:spacing w:val="-3"/>
          <w:sz w:val="18"/>
        </w:rPr>
        <w:t>Lima, </w:t>
      </w:r>
      <w:r>
        <w:rPr>
          <w:i/>
          <w:color w:val="231F20"/>
          <w:spacing w:val="-3"/>
          <w:sz w:val="18"/>
        </w:rPr>
        <w:t>1980-1987</w:t>
      </w:r>
      <w:r>
        <w:rPr>
          <w:color w:val="231F20"/>
          <w:spacing w:val="-3"/>
          <w:sz w:val="18"/>
        </w:rPr>
        <w:t>, Lima: </w:t>
      </w:r>
      <w:r>
        <w:rPr>
          <w:color w:val="231F20"/>
          <w:spacing w:val="-6"/>
          <w:sz w:val="18"/>
        </w:rPr>
        <w:t>AED-ATC </w:t>
      </w:r>
      <w:r>
        <w:rPr>
          <w:color w:val="231F20"/>
          <w:spacing w:val="-3"/>
          <w:sz w:val="18"/>
        </w:rPr>
        <w:t>Asociación Laboral para </w:t>
      </w:r>
      <w:r>
        <w:rPr>
          <w:color w:val="231F20"/>
          <w:sz w:val="18"/>
        </w:rPr>
        <w:t>el </w:t>
      </w:r>
      <w:r>
        <w:rPr>
          <w:color w:val="231F20"/>
          <w:spacing w:val="-3"/>
          <w:sz w:val="18"/>
        </w:rPr>
        <w:t>Desarrollo.</w:t>
      </w:r>
    </w:p>
    <w:p>
      <w:pPr>
        <w:spacing w:before="57"/>
        <w:ind w:left="113" w:right="0" w:firstLine="0"/>
        <w:jc w:val="both"/>
        <w:rPr>
          <w:sz w:val="18"/>
        </w:rPr>
      </w:pPr>
      <w:r>
        <w:rPr>
          <w:color w:val="231F20"/>
          <w:spacing w:val="-6"/>
          <w:sz w:val="18"/>
        </w:rPr>
        <w:t>Tilly, </w:t>
      </w:r>
      <w:r>
        <w:rPr>
          <w:color w:val="231F20"/>
          <w:spacing w:val="-3"/>
          <w:sz w:val="18"/>
        </w:rPr>
        <w:t>Charles (1999) </w:t>
      </w:r>
      <w:r>
        <w:rPr>
          <w:i/>
          <w:color w:val="231F20"/>
          <w:spacing w:val="-3"/>
          <w:sz w:val="18"/>
        </w:rPr>
        <w:t>Durable Inequality</w:t>
      </w:r>
      <w:r>
        <w:rPr>
          <w:color w:val="231F20"/>
          <w:spacing w:val="-3"/>
          <w:sz w:val="18"/>
        </w:rPr>
        <w:t>, Berkeley: University </w:t>
      </w:r>
      <w:r>
        <w:rPr>
          <w:color w:val="231F20"/>
          <w:sz w:val="18"/>
        </w:rPr>
        <w:t>of </w:t>
      </w:r>
      <w:r>
        <w:rPr>
          <w:color w:val="231F20"/>
          <w:spacing w:val="-3"/>
          <w:sz w:val="18"/>
        </w:rPr>
        <w:t>California Press.</w:t>
      </w:r>
    </w:p>
    <w:p>
      <w:pPr>
        <w:spacing w:line="254" w:lineRule="auto" w:before="69"/>
        <w:ind w:left="113" w:right="108" w:firstLine="0"/>
        <w:jc w:val="both"/>
        <w:rPr>
          <w:sz w:val="18"/>
        </w:rPr>
      </w:pPr>
      <w:r>
        <w:rPr>
          <w:color w:val="231F20"/>
          <w:spacing w:val="-5"/>
          <w:sz w:val="18"/>
        </w:rPr>
        <w:t>Tokman, Victor </w:t>
      </w:r>
      <w:r>
        <w:rPr>
          <w:color w:val="231F20"/>
          <w:sz w:val="18"/>
        </w:rPr>
        <w:t>(1998) </w:t>
      </w:r>
      <w:r>
        <w:rPr>
          <w:color w:val="231F20"/>
          <w:spacing w:val="-3"/>
          <w:sz w:val="18"/>
        </w:rPr>
        <w:t>“Empleo </w:t>
      </w:r>
      <w:r>
        <w:rPr>
          <w:color w:val="231F20"/>
          <w:sz w:val="18"/>
        </w:rPr>
        <w:t>y </w:t>
      </w:r>
      <w:r>
        <w:rPr>
          <w:color w:val="231F20"/>
          <w:spacing w:val="-3"/>
          <w:sz w:val="18"/>
        </w:rPr>
        <w:t>seguridad: demandas </w:t>
      </w:r>
      <w:r>
        <w:rPr>
          <w:color w:val="231F20"/>
          <w:sz w:val="18"/>
        </w:rPr>
        <w:t>de fin de </w:t>
      </w:r>
      <w:r>
        <w:rPr>
          <w:color w:val="231F20"/>
          <w:spacing w:val="-3"/>
          <w:sz w:val="18"/>
        </w:rPr>
        <w:t>siglo”, </w:t>
      </w:r>
      <w:r>
        <w:rPr>
          <w:color w:val="231F20"/>
          <w:sz w:val="18"/>
        </w:rPr>
        <w:t>en </w:t>
      </w:r>
      <w:r>
        <w:rPr>
          <w:i/>
          <w:color w:val="231F20"/>
          <w:spacing w:val="-3"/>
          <w:sz w:val="18"/>
        </w:rPr>
        <w:t>Anu- </w:t>
      </w:r>
      <w:r>
        <w:rPr>
          <w:i/>
          <w:color w:val="231F20"/>
          <w:spacing w:val="-3"/>
          <w:sz w:val="18"/>
        </w:rPr>
        <w:t>ario Social </w:t>
      </w:r>
      <w:r>
        <w:rPr>
          <w:i/>
          <w:color w:val="231F20"/>
          <w:sz w:val="18"/>
        </w:rPr>
        <w:t>y </w:t>
      </w:r>
      <w:r>
        <w:rPr>
          <w:i/>
          <w:color w:val="231F20"/>
          <w:spacing w:val="-3"/>
          <w:sz w:val="18"/>
        </w:rPr>
        <w:t>Político </w:t>
      </w:r>
      <w:r>
        <w:rPr>
          <w:i/>
          <w:color w:val="231F20"/>
          <w:sz w:val="18"/>
        </w:rPr>
        <w:t>de </w:t>
      </w:r>
      <w:r>
        <w:rPr>
          <w:i/>
          <w:color w:val="231F20"/>
          <w:spacing w:val="-3"/>
          <w:sz w:val="18"/>
        </w:rPr>
        <w:t>América Latina </w:t>
      </w:r>
      <w:r>
        <w:rPr>
          <w:i/>
          <w:color w:val="231F20"/>
          <w:sz w:val="18"/>
        </w:rPr>
        <w:t>y El </w:t>
      </w:r>
      <w:r>
        <w:rPr>
          <w:i/>
          <w:color w:val="231F20"/>
          <w:spacing w:val="-3"/>
          <w:sz w:val="18"/>
        </w:rPr>
        <w:t>Caribe </w:t>
      </w:r>
      <w:r>
        <w:rPr>
          <w:i/>
          <w:color w:val="231F20"/>
          <w:sz w:val="18"/>
        </w:rPr>
        <w:t>2</w:t>
      </w:r>
      <w:r>
        <w:rPr>
          <w:color w:val="231F20"/>
          <w:sz w:val="18"/>
        </w:rPr>
        <w:t>, </w:t>
      </w:r>
      <w:r>
        <w:rPr>
          <w:color w:val="231F20"/>
          <w:spacing w:val="-3"/>
          <w:sz w:val="18"/>
        </w:rPr>
        <w:t>Caracas: Flacso/ Nueva Sociedad.</w:t>
      </w:r>
    </w:p>
    <w:p>
      <w:pPr>
        <w:spacing w:line="254" w:lineRule="auto" w:before="57"/>
        <w:ind w:left="113" w:right="108" w:firstLine="0"/>
        <w:jc w:val="both"/>
        <w:rPr>
          <w:sz w:val="18"/>
        </w:rPr>
      </w:pPr>
      <w:r>
        <w:rPr>
          <w:color w:val="231F20"/>
          <w:spacing w:val="-5"/>
          <w:sz w:val="18"/>
        </w:rPr>
        <w:t>Vega</w:t>
      </w:r>
      <w:r>
        <w:rPr>
          <w:color w:val="231F20"/>
          <w:spacing w:val="-7"/>
          <w:sz w:val="18"/>
        </w:rPr>
        <w:t> </w:t>
      </w:r>
      <w:r>
        <w:rPr>
          <w:color w:val="231F20"/>
          <w:sz w:val="18"/>
        </w:rPr>
        <w:t>Ruíz,</w:t>
      </w:r>
      <w:r>
        <w:rPr>
          <w:color w:val="231F20"/>
          <w:spacing w:val="-7"/>
          <w:sz w:val="18"/>
        </w:rPr>
        <w:t> </w:t>
      </w:r>
      <w:r>
        <w:rPr>
          <w:color w:val="231F20"/>
          <w:sz w:val="18"/>
        </w:rPr>
        <w:t>María</w:t>
      </w:r>
      <w:r>
        <w:rPr>
          <w:color w:val="231F20"/>
          <w:spacing w:val="-7"/>
          <w:sz w:val="18"/>
        </w:rPr>
        <w:t> </w:t>
      </w:r>
      <w:r>
        <w:rPr>
          <w:color w:val="231F20"/>
          <w:sz w:val="18"/>
        </w:rPr>
        <w:t>Luz</w:t>
      </w:r>
      <w:r>
        <w:rPr>
          <w:color w:val="231F20"/>
          <w:spacing w:val="-7"/>
          <w:sz w:val="18"/>
        </w:rPr>
        <w:t> </w:t>
      </w:r>
      <w:r>
        <w:rPr>
          <w:color w:val="231F20"/>
          <w:sz w:val="18"/>
        </w:rPr>
        <w:t>(2001)</w:t>
      </w:r>
      <w:r>
        <w:rPr>
          <w:color w:val="231F20"/>
          <w:spacing w:val="-7"/>
          <w:sz w:val="18"/>
        </w:rPr>
        <w:t> </w:t>
      </w:r>
      <w:r>
        <w:rPr>
          <w:i/>
          <w:color w:val="231F20"/>
          <w:sz w:val="18"/>
        </w:rPr>
        <w:t>La</w:t>
      </w:r>
      <w:r>
        <w:rPr>
          <w:i/>
          <w:color w:val="231F20"/>
          <w:spacing w:val="-7"/>
          <w:sz w:val="18"/>
        </w:rPr>
        <w:t> </w:t>
      </w:r>
      <w:r>
        <w:rPr>
          <w:i/>
          <w:color w:val="231F20"/>
          <w:sz w:val="18"/>
        </w:rPr>
        <w:t>reforma</w:t>
      </w:r>
      <w:r>
        <w:rPr>
          <w:i/>
          <w:color w:val="231F20"/>
          <w:spacing w:val="-7"/>
          <w:sz w:val="18"/>
        </w:rPr>
        <w:t> </w:t>
      </w:r>
      <w:r>
        <w:rPr>
          <w:i/>
          <w:color w:val="231F20"/>
          <w:sz w:val="18"/>
        </w:rPr>
        <w:t>laboral</w:t>
      </w:r>
      <w:r>
        <w:rPr>
          <w:i/>
          <w:color w:val="231F20"/>
          <w:spacing w:val="-7"/>
          <w:sz w:val="18"/>
        </w:rPr>
        <w:t> </w:t>
      </w:r>
      <w:r>
        <w:rPr>
          <w:i/>
          <w:color w:val="231F20"/>
          <w:sz w:val="18"/>
        </w:rPr>
        <w:t>en</w:t>
      </w:r>
      <w:r>
        <w:rPr>
          <w:i/>
          <w:color w:val="231F20"/>
          <w:spacing w:val="-11"/>
          <w:sz w:val="18"/>
        </w:rPr>
        <w:t> </w:t>
      </w:r>
      <w:r>
        <w:rPr>
          <w:i/>
          <w:color w:val="231F20"/>
          <w:sz w:val="18"/>
        </w:rPr>
        <w:t>América</w:t>
      </w:r>
      <w:r>
        <w:rPr>
          <w:i/>
          <w:color w:val="231F20"/>
          <w:spacing w:val="-8"/>
          <w:sz w:val="18"/>
        </w:rPr>
        <w:t> </w:t>
      </w:r>
      <w:r>
        <w:rPr>
          <w:i/>
          <w:color w:val="231F20"/>
          <w:sz w:val="18"/>
        </w:rPr>
        <w:t>Latina.</w:t>
      </w:r>
      <w:r>
        <w:rPr>
          <w:i/>
          <w:color w:val="231F20"/>
          <w:spacing w:val="-7"/>
          <w:sz w:val="18"/>
        </w:rPr>
        <w:t> </w:t>
      </w:r>
      <w:r>
        <w:rPr>
          <w:i/>
          <w:color w:val="231F20"/>
          <w:sz w:val="18"/>
        </w:rPr>
        <w:t>Un</w:t>
      </w:r>
      <w:r>
        <w:rPr>
          <w:i/>
          <w:color w:val="231F20"/>
          <w:spacing w:val="-7"/>
          <w:sz w:val="18"/>
        </w:rPr>
        <w:t> </w:t>
      </w:r>
      <w:r>
        <w:rPr>
          <w:i/>
          <w:color w:val="231F20"/>
          <w:sz w:val="18"/>
        </w:rPr>
        <w:t>análisis </w:t>
      </w:r>
      <w:r>
        <w:rPr>
          <w:i/>
          <w:color w:val="231F20"/>
          <w:sz w:val="18"/>
        </w:rPr>
        <w:t>comparado</w:t>
      </w:r>
      <w:r>
        <w:rPr>
          <w:color w:val="231F20"/>
          <w:sz w:val="18"/>
        </w:rPr>
        <w:t>, Lima:</w:t>
      </w:r>
      <w:r>
        <w:rPr>
          <w:color w:val="231F20"/>
          <w:spacing w:val="-2"/>
          <w:sz w:val="18"/>
        </w:rPr>
        <w:t> </w:t>
      </w:r>
      <w:r>
        <w:rPr>
          <w:color w:val="231F20"/>
          <w:spacing w:val="-4"/>
          <w:sz w:val="18"/>
        </w:rPr>
        <w:t>OIT.</w:t>
      </w:r>
    </w:p>
    <w:p>
      <w:pPr>
        <w:spacing w:line="254" w:lineRule="auto" w:before="57"/>
        <w:ind w:left="113" w:right="108" w:firstLine="0"/>
        <w:jc w:val="both"/>
        <w:rPr>
          <w:sz w:val="18"/>
        </w:rPr>
      </w:pPr>
      <w:r>
        <w:rPr>
          <w:color w:val="231F20"/>
          <w:spacing w:val="-4"/>
          <w:sz w:val="18"/>
        </w:rPr>
        <w:t>Weller,</w:t>
      </w:r>
      <w:r>
        <w:rPr>
          <w:color w:val="231F20"/>
          <w:spacing w:val="-9"/>
          <w:sz w:val="18"/>
        </w:rPr>
        <w:t> </w:t>
      </w:r>
      <w:r>
        <w:rPr>
          <w:color w:val="231F20"/>
          <w:sz w:val="18"/>
        </w:rPr>
        <w:t>Jürgen</w:t>
      </w:r>
      <w:r>
        <w:rPr>
          <w:color w:val="231F20"/>
          <w:spacing w:val="-9"/>
          <w:sz w:val="18"/>
        </w:rPr>
        <w:t> </w:t>
      </w:r>
      <w:r>
        <w:rPr>
          <w:color w:val="231F20"/>
          <w:sz w:val="18"/>
        </w:rPr>
        <w:t>(2014)</w:t>
      </w:r>
      <w:r>
        <w:rPr>
          <w:color w:val="231F20"/>
          <w:spacing w:val="-9"/>
          <w:sz w:val="18"/>
        </w:rPr>
        <w:t> </w:t>
      </w:r>
      <w:r>
        <w:rPr>
          <w:color w:val="231F20"/>
          <w:sz w:val="18"/>
        </w:rPr>
        <w:t>“Aspectos</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evolución</w:t>
      </w:r>
      <w:r>
        <w:rPr>
          <w:color w:val="231F20"/>
          <w:spacing w:val="-9"/>
          <w:sz w:val="18"/>
        </w:rPr>
        <w:t> </w:t>
      </w:r>
      <w:r>
        <w:rPr>
          <w:color w:val="231F20"/>
          <w:sz w:val="18"/>
        </w:rPr>
        <w:t>reciente</w:t>
      </w:r>
      <w:r>
        <w:rPr>
          <w:color w:val="231F20"/>
          <w:spacing w:val="-9"/>
          <w:sz w:val="18"/>
        </w:rPr>
        <w:t> </w:t>
      </w:r>
      <w:r>
        <w:rPr>
          <w:color w:val="231F20"/>
          <w:sz w:val="18"/>
        </w:rPr>
        <w:t>de</w:t>
      </w:r>
      <w:r>
        <w:rPr>
          <w:color w:val="231F20"/>
          <w:spacing w:val="-9"/>
          <w:sz w:val="18"/>
        </w:rPr>
        <w:t> </w:t>
      </w:r>
      <w:r>
        <w:rPr>
          <w:color w:val="231F20"/>
          <w:sz w:val="18"/>
        </w:rPr>
        <w:t>los</w:t>
      </w:r>
      <w:r>
        <w:rPr>
          <w:color w:val="231F20"/>
          <w:spacing w:val="-9"/>
          <w:sz w:val="18"/>
        </w:rPr>
        <w:t> </w:t>
      </w:r>
      <w:r>
        <w:rPr>
          <w:color w:val="231F20"/>
          <w:sz w:val="18"/>
        </w:rPr>
        <w:t>mercados</w:t>
      </w:r>
      <w:r>
        <w:rPr>
          <w:color w:val="231F20"/>
          <w:spacing w:val="-9"/>
          <w:sz w:val="18"/>
        </w:rPr>
        <w:t> </w:t>
      </w:r>
      <w:r>
        <w:rPr>
          <w:color w:val="231F20"/>
          <w:sz w:val="18"/>
        </w:rPr>
        <w:t>labora- les en América Latina y el Caribe”, en </w:t>
      </w:r>
      <w:r>
        <w:rPr>
          <w:i/>
          <w:color w:val="231F20"/>
          <w:sz w:val="18"/>
        </w:rPr>
        <w:t>Revista de la Cepal</w:t>
      </w:r>
      <w:r>
        <w:rPr>
          <w:color w:val="231F20"/>
          <w:sz w:val="18"/>
        </w:rPr>
        <w:t>, núm.</w:t>
      </w:r>
      <w:r>
        <w:rPr>
          <w:color w:val="231F20"/>
          <w:spacing w:val="-30"/>
          <w:sz w:val="18"/>
        </w:rPr>
        <w:t> </w:t>
      </w:r>
      <w:r>
        <w:rPr>
          <w:color w:val="231F20"/>
          <w:sz w:val="18"/>
        </w:rPr>
        <w:t>114.</w:t>
      </w:r>
    </w:p>
    <w:p>
      <w:pPr>
        <w:spacing w:after="0" w:line="254" w:lineRule="auto"/>
        <w:jc w:val="both"/>
        <w:rPr>
          <w:sz w:val="18"/>
        </w:rPr>
        <w:sectPr>
          <w:footerReference w:type="default" r:id="rId27"/>
          <w:pgSz w:w="7770" w:h="11740"/>
          <w:pgMar w:footer="474" w:header="0" w:top="840" w:bottom="660" w:left="1020" w:right="740"/>
        </w:sectPr>
      </w:pPr>
    </w:p>
    <w:p>
      <w:pPr>
        <w:pStyle w:val="BodyText"/>
      </w:pPr>
      <w:r>
        <w:rPr/>
        <w:pict>
          <v:shape style="position:absolute;margin-left:56.693001pt;margin-top:540.425964pt;width:295.4pt;height:31.75pt;mso-position-horizontal-relative:page;mso-position-vertical-relative:page;z-index:-336664" type="#_x0000_t202" filled="false" stroked="false">
            <v:textbox inset="0,0,0,0">
              <w:txbxContent>
                <w:p>
                  <w:pPr>
                    <w:pStyle w:val="BodyText"/>
                    <w:spacing w:before="142"/>
                    <w:ind w:left="1740" w:right="2532"/>
                    <w:jc w:val="center"/>
                  </w:pPr>
                  <w:r>
                    <w:rPr>
                      <w:color w:val="231F20"/>
                    </w:rPr>
                    <w:t>38</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after="1"/>
        <w:rPr>
          <w:sz w:val="24"/>
        </w:rPr>
      </w:pPr>
    </w:p>
    <w:p>
      <w:pPr>
        <w:pStyle w:val="BodyText"/>
        <w:ind w:left="113"/>
      </w:pPr>
      <w:r>
        <w:rPr/>
        <w:pict>
          <v:group style="width:295.4pt;height:31.75pt;mso-position-horizontal-relative:char;mso-position-vertical-relative:line" coordorigin="0,0" coordsize="5908,635">
            <v:rect style="position:absolute;left:0;top:0;width:5907;height:635" filled="true" fillcolor="#ffffff" stroked="false">
              <v:fill type="solid"/>
            </v:rect>
          </v:group>
        </w:pict>
      </w:r>
      <w:r>
        <w:rPr/>
      </w:r>
    </w:p>
    <w:p>
      <w:pPr>
        <w:spacing w:after="0"/>
        <w:sectPr>
          <w:footerReference w:type="default" r:id="rId28"/>
          <w:pgSz w:w="7770" w:h="11740"/>
          <w:pgMar w:footer="0" w:header="0" w:top="1080" w:bottom="0" w:left="1020" w:right="620"/>
        </w:sectPr>
      </w:pPr>
    </w:p>
    <w:p>
      <w:pPr>
        <w:pStyle w:val="Heading2"/>
        <w:ind w:left="1824" w:hanging="1069"/>
      </w:pPr>
      <w:r>
        <w:rPr>
          <w:w w:val="75"/>
        </w:rPr>
        <w:t>Teoría sociológica y trayectorias profesionales: nociones para el análisis del mercado de trabajo de América Latina</w:t>
      </w:r>
    </w:p>
    <w:p>
      <w:pPr>
        <w:pStyle w:val="BodyText"/>
        <w:spacing w:before="6"/>
        <w:rPr>
          <w:sz w:val="39"/>
        </w:rPr>
      </w:pPr>
    </w:p>
    <w:p>
      <w:pPr>
        <w:pStyle w:val="Heading3"/>
        <w:ind w:left="1870"/>
        <w:rPr>
          <w:sz w:val="15"/>
        </w:rPr>
      </w:pPr>
      <w:r>
        <w:rPr>
          <w:color w:val="231F20"/>
        </w:rPr>
        <w:t>Luís Fernando Santos Corrêa da Silva</w:t>
      </w:r>
      <w:r>
        <w:rPr>
          <w:color w:val="231F20"/>
          <w:position w:val="9"/>
          <w:sz w:val="15"/>
        </w:rPr>
        <w:t>*</w:t>
      </w:r>
    </w:p>
    <w:p>
      <w:pPr>
        <w:pStyle w:val="BodyText"/>
        <w:rPr>
          <w:sz w:val="26"/>
        </w:rPr>
      </w:pPr>
    </w:p>
    <w:p>
      <w:pPr>
        <w:pStyle w:val="BodyText"/>
        <w:rPr>
          <w:sz w:val="26"/>
        </w:rPr>
      </w:pPr>
    </w:p>
    <w:p>
      <w:pPr>
        <w:pStyle w:val="BodyText"/>
        <w:rPr>
          <w:sz w:val="28"/>
        </w:rPr>
      </w:pPr>
    </w:p>
    <w:p>
      <w:pPr>
        <w:pStyle w:val="Heading4"/>
        <w:spacing w:before="1"/>
      </w:pPr>
      <w:r>
        <w:rPr>
          <w:w w:val="85"/>
        </w:rPr>
        <w:t>Introducción</w:t>
      </w:r>
    </w:p>
    <w:p>
      <w:pPr>
        <w:pStyle w:val="BodyText"/>
        <w:rPr>
          <w:b/>
          <w:sz w:val="24"/>
        </w:rPr>
      </w:pPr>
    </w:p>
    <w:p>
      <w:pPr>
        <w:pStyle w:val="BodyText"/>
        <w:rPr>
          <w:b/>
          <w:sz w:val="32"/>
        </w:rPr>
      </w:pPr>
    </w:p>
    <w:p>
      <w:pPr>
        <w:pStyle w:val="BodyText"/>
        <w:spacing w:line="249" w:lineRule="auto"/>
        <w:ind w:left="113" w:right="107"/>
        <w:jc w:val="both"/>
      </w:pPr>
      <w:r>
        <w:rPr>
          <w:color w:val="231F20"/>
        </w:rPr>
        <w:t>El concepto de trayectoria ocupacional remite a la construcción proce- sual de la ruta que ha seguido un individuo en el mercado de trabajo, ya sea por un periodo de tiempo predefinido o a lo largo de toda su vida. Este concepto articula aspectos estructurales del mercado de trabajo como son: la influencia de factores macro-económicos (tanto locales como globales); la naturaleza de las estrategias empresariales para de- terminado segmento del mercado y la demanda de determinado perfil de trabajadores </w:t>
      </w:r>
      <w:r>
        <w:rPr>
          <w:color w:val="231F20"/>
          <w:spacing w:val="-7"/>
        </w:rPr>
        <w:t>y, </w:t>
      </w:r>
      <w:r>
        <w:rPr>
          <w:color w:val="231F20"/>
        </w:rPr>
        <w:t>por último, factores inherentes a los proyectos</w:t>
      </w:r>
      <w:r>
        <w:rPr>
          <w:color w:val="231F20"/>
          <w:spacing w:val="-19"/>
        </w:rPr>
        <w:t> </w:t>
      </w:r>
      <w:r>
        <w:rPr>
          <w:color w:val="231F20"/>
        </w:rPr>
        <w:t>personales de</w:t>
      </w:r>
      <w:r>
        <w:rPr>
          <w:color w:val="231F20"/>
          <w:spacing w:val="-7"/>
        </w:rPr>
        <w:t> </w:t>
      </w:r>
      <w:r>
        <w:rPr>
          <w:color w:val="231F20"/>
        </w:rPr>
        <w:t>los</w:t>
      </w:r>
      <w:r>
        <w:rPr>
          <w:color w:val="231F20"/>
          <w:spacing w:val="-8"/>
        </w:rPr>
        <w:t> </w:t>
      </w:r>
      <w:r>
        <w:rPr>
          <w:color w:val="231F20"/>
        </w:rPr>
        <w:t>trabajadores</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los</w:t>
      </w:r>
      <w:r>
        <w:rPr>
          <w:color w:val="231F20"/>
          <w:spacing w:val="-8"/>
        </w:rPr>
        <w:t> </w:t>
      </w:r>
      <w:r>
        <w:rPr>
          <w:color w:val="231F20"/>
        </w:rPr>
        <w:t>capitales</w:t>
      </w:r>
      <w:r>
        <w:rPr>
          <w:color w:val="231F20"/>
          <w:spacing w:val="-8"/>
        </w:rPr>
        <w:t> </w:t>
      </w:r>
      <w:r>
        <w:rPr>
          <w:color w:val="231F20"/>
        </w:rPr>
        <w:t>(económicos</w:t>
      </w:r>
      <w:r>
        <w:rPr>
          <w:color w:val="231F20"/>
          <w:spacing w:val="-8"/>
        </w:rPr>
        <w:t> </w:t>
      </w:r>
      <w:r>
        <w:rPr>
          <w:color w:val="231F20"/>
        </w:rPr>
        <w:t>y</w:t>
      </w:r>
      <w:r>
        <w:rPr>
          <w:color w:val="231F20"/>
          <w:spacing w:val="-7"/>
        </w:rPr>
        <w:t> </w:t>
      </w:r>
      <w:r>
        <w:rPr>
          <w:color w:val="231F20"/>
        </w:rPr>
        <w:t>simbólicos)</w:t>
      </w:r>
      <w:r>
        <w:rPr>
          <w:color w:val="231F20"/>
          <w:spacing w:val="-8"/>
        </w:rPr>
        <w:t> </w:t>
      </w:r>
      <w:r>
        <w:rPr>
          <w:color w:val="231F20"/>
        </w:rPr>
        <w:t>que éstos ponen en acción buscando su inserción o movilidad en el mercado de</w:t>
      </w:r>
      <w:r>
        <w:rPr>
          <w:color w:val="231F20"/>
          <w:spacing w:val="-7"/>
        </w:rPr>
        <w:t> </w:t>
      </w:r>
      <w:r>
        <w:rPr>
          <w:color w:val="231F20"/>
        </w:rPr>
        <w:t>trabajo.</w:t>
      </w:r>
      <w:r>
        <w:rPr>
          <w:color w:val="231F20"/>
          <w:spacing w:val="-7"/>
        </w:rPr>
        <w:t> </w:t>
      </w:r>
      <w:r>
        <w:rPr>
          <w:color w:val="231F20"/>
        </w:rPr>
        <w:t>Las</w:t>
      </w:r>
      <w:r>
        <w:rPr>
          <w:color w:val="231F20"/>
          <w:spacing w:val="-7"/>
        </w:rPr>
        <w:t> </w:t>
      </w:r>
      <w:r>
        <w:rPr>
          <w:color w:val="231F20"/>
        </w:rPr>
        <w:t>trayectorias</w:t>
      </w:r>
      <w:r>
        <w:rPr>
          <w:color w:val="231F20"/>
          <w:spacing w:val="-8"/>
        </w:rPr>
        <w:t> </w:t>
      </w:r>
      <w:r>
        <w:rPr>
          <w:color w:val="231F20"/>
        </w:rPr>
        <w:t>ocupacionales</w:t>
      </w:r>
      <w:r>
        <w:rPr>
          <w:color w:val="231F20"/>
          <w:spacing w:val="-7"/>
        </w:rPr>
        <w:t> </w:t>
      </w:r>
      <w:r>
        <w:rPr>
          <w:color w:val="231F20"/>
        </w:rPr>
        <w:t>también</w:t>
      </w:r>
      <w:r>
        <w:rPr>
          <w:color w:val="231F20"/>
          <w:spacing w:val="-7"/>
        </w:rPr>
        <w:t> </w:t>
      </w:r>
      <w:r>
        <w:rPr>
          <w:color w:val="231F20"/>
        </w:rPr>
        <w:t>son</w:t>
      </w:r>
      <w:r>
        <w:rPr>
          <w:color w:val="231F20"/>
          <w:spacing w:val="-7"/>
        </w:rPr>
        <w:t> </w:t>
      </w:r>
      <w:r>
        <w:rPr>
          <w:color w:val="231F20"/>
        </w:rPr>
        <w:t>un</w:t>
      </w:r>
      <w:r>
        <w:rPr>
          <w:color w:val="231F20"/>
          <w:spacing w:val="-7"/>
        </w:rPr>
        <w:t> </w:t>
      </w:r>
      <w:r>
        <w:rPr>
          <w:color w:val="231F20"/>
        </w:rPr>
        <w:t>fenómeno</w:t>
      </w:r>
      <w:r>
        <w:rPr>
          <w:color w:val="231F20"/>
          <w:spacing w:val="-7"/>
        </w:rPr>
        <w:t> </w:t>
      </w:r>
      <w:r>
        <w:rPr>
          <w:color w:val="231F20"/>
        </w:rPr>
        <w:t>dia- crónico, pues se desarrollan a través del tiempo, mediante continuidades y rupturas </w:t>
      </w:r>
      <w:r>
        <w:rPr>
          <w:color w:val="231F20"/>
          <w:spacing w:val="-3"/>
        </w:rPr>
        <w:t>(Valenduc, </w:t>
      </w:r>
      <w:r>
        <w:rPr>
          <w:color w:val="231F20"/>
        </w:rPr>
        <w:t>2008; Silva,</w:t>
      </w:r>
      <w:r>
        <w:rPr>
          <w:color w:val="231F20"/>
          <w:spacing w:val="4"/>
        </w:rPr>
        <w:t> </w:t>
      </w:r>
      <w:r>
        <w:rPr>
          <w:color w:val="231F20"/>
        </w:rPr>
        <w:t>2003).</w:t>
      </w:r>
    </w:p>
    <w:p>
      <w:pPr>
        <w:pStyle w:val="BodyText"/>
        <w:spacing w:line="249" w:lineRule="auto" w:before="1"/>
        <w:ind w:left="113" w:right="107" w:firstLine="283"/>
        <w:jc w:val="both"/>
      </w:pPr>
      <w:r>
        <w:rPr>
          <w:color w:val="231F20"/>
        </w:rPr>
        <w:t>En los últimos años, se han llevado a cabo estudios empíricos sobre las trayectorias ocupacionales en el ámbito de la sociología del trabajo latinoamericana, analizando sobre todo los efectos de la reestructura- ción productiva en el mercado de trabajo en la década de los noventa. En Brasil, por ejemplo, lo que orientó los estudios sobre las trayectorias ocupacionales fueron las posibilidades de reinserción profesional de los trabajadores despedidos de los segmentos del mercado afectados por la reestructuración productiva (Cardoso, 2000; Guimarães, 2004).</w:t>
      </w:r>
    </w:p>
    <w:p>
      <w:pPr>
        <w:pStyle w:val="BodyText"/>
        <w:spacing w:line="249" w:lineRule="auto" w:before="1"/>
        <w:ind w:left="113" w:right="107" w:firstLine="283"/>
        <w:jc w:val="both"/>
      </w:pPr>
      <w:r>
        <w:rPr>
          <w:color w:val="231F20"/>
        </w:rPr>
        <w:t>No obstante, las bases teóricas que han fundamentado los estudios de</w:t>
      </w:r>
      <w:r>
        <w:rPr>
          <w:color w:val="231F20"/>
          <w:spacing w:val="25"/>
        </w:rPr>
        <w:t> </w:t>
      </w:r>
      <w:r>
        <w:rPr>
          <w:color w:val="231F20"/>
        </w:rPr>
        <w:t>las</w:t>
      </w:r>
      <w:r>
        <w:rPr>
          <w:color w:val="231F20"/>
          <w:spacing w:val="25"/>
        </w:rPr>
        <w:t> </w:t>
      </w:r>
      <w:r>
        <w:rPr>
          <w:color w:val="231F20"/>
        </w:rPr>
        <w:t>trayectorias</w:t>
      </w:r>
      <w:r>
        <w:rPr>
          <w:color w:val="231F20"/>
          <w:spacing w:val="25"/>
        </w:rPr>
        <w:t> </w:t>
      </w:r>
      <w:r>
        <w:rPr>
          <w:color w:val="231F20"/>
        </w:rPr>
        <w:t>ocupacionales</w:t>
      </w:r>
      <w:r>
        <w:rPr>
          <w:color w:val="231F20"/>
          <w:spacing w:val="25"/>
        </w:rPr>
        <w:t> </w:t>
      </w:r>
      <w:r>
        <w:rPr>
          <w:color w:val="231F20"/>
        </w:rPr>
        <w:t>en</w:t>
      </w:r>
      <w:r>
        <w:rPr>
          <w:color w:val="231F20"/>
          <w:spacing w:val="13"/>
        </w:rPr>
        <w:t> </w:t>
      </w:r>
      <w:r>
        <w:rPr>
          <w:color w:val="231F20"/>
        </w:rPr>
        <w:t>América</w:t>
      </w:r>
      <w:r>
        <w:rPr>
          <w:color w:val="231F20"/>
          <w:spacing w:val="25"/>
        </w:rPr>
        <w:t> </w:t>
      </w:r>
      <w:r>
        <w:rPr>
          <w:color w:val="231F20"/>
        </w:rPr>
        <w:t>Latina</w:t>
      </w:r>
      <w:r>
        <w:rPr>
          <w:color w:val="231F20"/>
          <w:spacing w:val="24"/>
        </w:rPr>
        <w:t> </w:t>
      </w:r>
      <w:r>
        <w:rPr>
          <w:color w:val="231F20"/>
        </w:rPr>
        <w:t>tienen</w:t>
      </w:r>
      <w:r>
        <w:rPr>
          <w:color w:val="231F20"/>
          <w:spacing w:val="24"/>
        </w:rPr>
        <w:t> </w:t>
      </w:r>
      <w:r>
        <w:rPr>
          <w:color w:val="231F20"/>
        </w:rPr>
        <w:t>una</w:t>
      </w:r>
      <w:r>
        <w:rPr>
          <w:color w:val="231F20"/>
          <w:spacing w:val="25"/>
        </w:rPr>
        <w:t> </w:t>
      </w:r>
      <w:r>
        <w:rPr>
          <w:color w:val="231F20"/>
        </w:rPr>
        <w:t>fuerte</w:t>
      </w:r>
    </w:p>
    <w:p>
      <w:pPr>
        <w:pStyle w:val="BodyText"/>
        <w:spacing w:before="1"/>
        <w:rPr>
          <w:sz w:val="29"/>
        </w:rPr>
      </w:pPr>
    </w:p>
    <w:p>
      <w:pPr>
        <w:spacing w:before="0"/>
        <w:ind w:left="113" w:right="0" w:firstLine="0"/>
        <w:jc w:val="both"/>
        <w:rPr>
          <w:sz w:val="14"/>
        </w:rPr>
      </w:pPr>
      <w:r>
        <w:rPr>
          <w:color w:val="231F20"/>
          <w:sz w:val="14"/>
        </w:rPr>
        <w:t>* Profesor de la Universidad Federal de la Frontera Sur (UFFS), Brasil.</w:t>
      </w:r>
    </w:p>
    <w:p>
      <w:pPr>
        <w:spacing w:after="0"/>
        <w:jc w:val="both"/>
        <w:rPr>
          <w:sz w:val="14"/>
        </w:rPr>
        <w:sectPr>
          <w:footerReference w:type="default" r:id="rId29"/>
          <w:pgSz w:w="7770" w:h="11740"/>
          <w:pgMar w:footer="559" w:header="0" w:top="820" w:bottom="740" w:left="1020" w:right="740"/>
          <w:pgNumType w:start="39"/>
        </w:sectPr>
      </w:pPr>
    </w:p>
    <w:p>
      <w:pPr>
        <w:pStyle w:val="BodyText"/>
        <w:spacing w:line="249" w:lineRule="auto" w:before="55"/>
        <w:ind w:left="110" w:right="111"/>
        <w:jc w:val="both"/>
      </w:pPr>
      <w:r>
        <w:rPr>
          <w:color w:val="231F20"/>
        </w:rPr>
        <w:t>relación</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realidad</w:t>
      </w:r>
      <w:r>
        <w:rPr>
          <w:color w:val="231F20"/>
          <w:spacing w:val="-5"/>
        </w:rPr>
        <w:t> </w:t>
      </w:r>
      <w:r>
        <w:rPr>
          <w:color w:val="231F20"/>
        </w:rPr>
        <w:t>europea</w:t>
      </w:r>
      <w:r>
        <w:rPr>
          <w:color w:val="231F20"/>
          <w:spacing w:val="-5"/>
        </w:rPr>
        <w:t> </w:t>
      </w:r>
      <w:r>
        <w:rPr>
          <w:color w:val="231F20"/>
        </w:rPr>
        <w:t>y</w:t>
      </w:r>
      <w:r>
        <w:rPr>
          <w:color w:val="231F20"/>
          <w:spacing w:val="-5"/>
        </w:rPr>
        <w:t> </w:t>
      </w:r>
      <w:r>
        <w:rPr>
          <w:color w:val="231F20"/>
        </w:rPr>
        <w:t>su</w:t>
      </w:r>
      <w:r>
        <w:rPr>
          <w:color w:val="231F20"/>
          <w:spacing w:val="-4"/>
        </w:rPr>
        <w:t> </w:t>
      </w:r>
      <w:r>
        <w:rPr>
          <w:color w:val="231F20"/>
        </w:rPr>
        <w:t>experiencia</w:t>
      </w:r>
      <w:r>
        <w:rPr>
          <w:color w:val="231F20"/>
          <w:spacing w:val="-5"/>
        </w:rPr>
        <w:t> </w:t>
      </w:r>
      <w:r>
        <w:rPr>
          <w:color w:val="231F20"/>
        </w:rPr>
        <w:t>histórica</w:t>
      </w:r>
      <w:r>
        <w:rPr>
          <w:color w:val="231F20"/>
          <w:spacing w:val="-5"/>
        </w:rPr>
        <w:t> </w:t>
      </w:r>
      <w:r>
        <w:rPr>
          <w:color w:val="231F20"/>
        </w:rPr>
        <w:t>reciente,</w:t>
      </w:r>
      <w:r>
        <w:rPr>
          <w:color w:val="231F20"/>
          <w:spacing w:val="-5"/>
        </w:rPr>
        <w:t> </w:t>
      </w:r>
      <w:r>
        <w:rPr>
          <w:color w:val="231F20"/>
        </w:rPr>
        <w:t>sien- do insuficientes para el análisis del contexto latinoamericano. En este sentido, es necesario indagar las características particulares del mercado de trabajo para poder comprender los tipos de trayectorias que experi- mentan los trabajadores de la</w:t>
      </w:r>
      <w:r>
        <w:rPr>
          <w:color w:val="231F20"/>
          <w:spacing w:val="-3"/>
        </w:rPr>
        <w:t> </w:t>
      </w:r>
      <w:r>
        <w:rPr>
          <w:color w:val="231F20"/>
        </w:rPr>
        <w:t>región.</w:t>
      </w:r>
    </w:p>
    <w:p>
      <w:pPr>
        <w:pStyle w:val="BodyText"/>
        <w:spacing w:line="249" w:lineRule="auto" w:before="1"/>
        <w:ind w:left="110" w:right="111" w:firstLine="283"/>
        <w:jc w:val="both"/>
      </w:pPr>
      <w:r>
        <w:rPr>
          <w:color w:val="231F20"/>
        </w:rPr>
        <w:t>En</w:t>
      </w:r>
      <w:r>
        <w:rPr>
          <w:color w:val="231F20"/>
          <w:spacing w:val="-11"/>
        </w:rPr>
        <w:t> </w:t>
      </w:r>
      <w:r>
        <w:rPr>
          <w:color w:val="231F20"/>
        </w:rPr>
        <w:t>este</w:t>
      </w:r>
      <w:r>
        <w:rPr>
          <w:color w:val="231F20"/>
          <w:spacing w:val="-11"/>
        </w:rPr>
        <w:t> </w:t>
      </w:r>
      <w:r>
        <w:rPr>
          <w:color w:val="231F20"/>
        </w:rPr>
        <w:t>artículo</w:t>
      </w:r>
      <w:r>
        <w:rPr>
          <w:color w:val="231F20"/>
          <w:spacing w:val="-11"/>
        </w:rPr>
        <w:t> </w:t>
      </w:r>
      <w:r>
        <w:rPr>
          <w:color w:val="231F20"/>
        </w:rPr>
        <w:t>se</w:t>
      </w:r>
      <w:r>
        <w:rPr>
          <w:color w:val="231F20"/>
          <w:spacing w:val="-11"/>
        </w:rPr>
        <w:t> </w:t>
      </w:r>
      <w:r>
        <w:rPr>
          <w:color w:val="231F20"/>
        </w:rPr>
        <w:t>plantea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configuración</w:t>
      </w:r>
      <w:r>
        <w:rPr>
          <w:color w:val="231F20"/>
          <w:spacing w:val="-11"/>
        </w:rPr>
        <w:t> </w:t>
      </w:r>
      <w:r>
        <w:rPr>
          <w:color w:val="231F20"/>
        </w:rPr>
        <w:t>que</w:t>
      </w:r>
      <w:r>
        <w:rPr>
          <w:color w:val="231F20"/>
          <w:spacing w:val="-11"/>
        </w:rPr>
        <w:t> </w:t>
      </w:r>
      <w:r>
        <w:rPr>
          <w:color w:val="231F20"/>
        </w:rPr>
        <w:t>asume</w:t>
      </w:r>
      <w:r>
        <w:rPr>
          <w:color w:val="231F20"/>
          <w:spacing w:val="-11"/>
        </w:rPr>
        <w:t> </w:t>
      </w:r>
      <w:r>
        <w:rPr>
          <w:color w:val="231F20"/>
        </w:rPr>
        <w:t>el</w:t>
      </w:r>
      <w:r>
        <w:rPr>
          <w:color w:val="231F20"/>
          <w:spacing w:val="-11"/>
        </w:rPr>
        <w:t> </w:t>
      </w:r>
      <w:r>
        <w:rPr>
          <w:color w:val="231F20"/>
        </w:rPr>
        <w:t>mercado de trabajo en América Latina impone desafíos al pensamiento socioló- gico, dado que la producción teórica que se propone para entender las trayectorias de los trabajadores se apoya principalmente en la realidad de los países europeos, discutiendo cuáles serían las posibilidades de promoción de seguridad laboral para el trabajador. Como es del cono- cimiento de todos, la experiencia histórica europea tiene características peculiares que no permiten su generalización a la realidad de los demás contextos sociales</w:t>
      </w:r>
      <w:r>
        <w:rPr>
          <w:color w:val="231F20"/>
          <w:spacing w:val="-11"/>
        </w:rPr>
        <w:t> </w:t>
      </w:r>
      <w:r>
        <w:rPr>
          <w:color w:val="231F20"/>
        </w:rPr>
        <w:t>específicos.</w:t>
      </w:r>
    </w:p>
    <w:p>
      <w:pPr>
        <w:pStyle w:val="BodyText"/>
        <w:spacing w:line="249" w:lineRule="auto" w:before="1"/>
        <w:ind w:left="110" w:right="111" w:firstLine="283"/>
        <w:jc w:val="both"/>
      </w:pPr>
      <w:r>
        <w:rPr>
          <w:color w:val="231F20"/>
        </w:rPr>
        <w:t>A continuación se analizan las aportaciones de cuatro sociólogos contemporáneos</w:t>
      </w:r>
      <w:r>
        <w:rPr>
          <w:color w:val="231F20"/>
          <w:spacing w:val="-6"/>
        </w:rPr>
        <w:t> </w:t>
      </w:r>
      <w:r>
        <w:rPr>
          <w:color w:val="231F20"/>
        </w:rPr>
        <w:t>—Zygmunt</w:t>
      </w:r>
      <w:r>
        <w:rPr>
          <w:color w:val="231F20"/>
          <w:spacing w:val="-5"/>
        </w:rPr>
        <w:t> </w:t>
      </w:r>
      <w:r>
        <w:rPr>
          <w:color w:val="231F20"/>
        </w:rPr>
        <w:t>Bauman,</w:t>
      </w:r>
      <w:r>
        <w:rPr>
          <w:color w:val="231F20"/>
          <w:spacing w:val="-5"/>
        </w:rPr>
        <w:t> </w:t>
      </w:r>
      <w:r>
        <w:rPr>
          <w:color w:val="231F20"/>
        </w:rPr>
        <w:t>Robert</w:t>
      </w:r>
      <w:r>
        <w:rPr>
          <w:color w:val="231F20"/>
          <w:spacing w:val="-5"/>
        </w:rPr>
        <w:t> </w:t>
      </w:r>
      <w:r>
        <w:rPr>
          <w:color w:val="231F20"/>
        </w:rPr>
        <w:t>Castel,</w:t>
      </w:r>
      <w:r>
        <w:rPr>
          <w:color w:val="231F20"/>
          <w:spacing w:val="-5"/>
        </w:rPr>
        <w:t> </w:t>
      </w:r>
      <w:r>
        <w:rPr>
          <w:color w:val="231F20"/>
        </w:rPr>
        <w:t>Ulrich</w:t>
      </w:r>
      <w:r>
        <w:rPr>
          <w:color w:val="231F20"/>
          <w:spacing w:val="-4"/>
        </w:rPr>
        <w:t> </w:t>
      </w:r>
      <w:r>
        <w:rPr>
          <w:color w:val="231F20"/>
        </w:rPr>
        <w:t>Beck</w:t>
      </w:r>
      <w:r>
        <w:rPr>
          <w:color w:val="231F20"/>
          <w:spacing w:val="-5"/>
        </w:rPr>
        <w:t> </w:t>
      </w:r>
      <w:r>
        <w:rPr>
          <w:color w:val="231F20"/>
        </w:rPr>
        <w:t>y</w:t>
      </w:r>
      <w:r>
        <w:rPr>
          <w:color w:val="231F20"/>
          <w:spacing w:val="-5"/>
        </w:rPr>
        <w:t> </w:t>
      </w:r>
      <w:r>
        <w:rPr>
          <w:color w:val="231F20"/>
        </w:rPr>
        <w:t>Ma- nuel Castells— con el fin de explicar sus límites y posibilidades para la comprensión de la realidad laboral latinoamericana. Después se presen- tan datos sobre los mercados de trabajo de América del Norte y algunos países de América Latina y Europa, con la finalidad de demostrar sus particularidades.</w:t>
      </w:r>
    </w:p>
    <w:p>
      <w:pPr>
        <w:pStyle w:val="Heading4"/>
        <w:ind w:left="110"/>
      </w:pPr>
      <w:r>
        <w:rPr>
          <w:w w:val="75"/>
        </w:rPr>
        <w:t>Teoría sociológica y trayectorias ocupacionales de los trabajadores</w:t>
      </w:r>
    </w:p>
    <w:p>
      <w:pPr>
        <w:pStyle w:val="BodyText"/>
        <w:spacing w:line="249" w:lineRule="auto" w:before="171"/>
        <w:ind w:left="110" w:right="111"/>
        <w:jc w:val="both"/>
      </w:pPr>
      <w:r>
        <w:rPr>
          <w:color w:val="231F20"/>
        </w:rPr>
        <w:t>El trabajo se ha constituido en uno de los principales valores de las so- ciedades</w:t>
      </w:r>
      <w:r>
        <w:rPr>
          <w:color w:val="231F20"/>
          <w:spacing w:val="-6"/>
        </w:rPr>
        <w:t> </w:t>
      </w:r>
      <w:r>
        <w:rPr>
          <w:color w:val="231F20"/>
        </w:rPr>
        <w:t>modernas,</w:t>
      </w:r>
      <w:r>
        <w:rPr>
          <w:color w:val="231F20"/>
          <w:spacing w:val="-6"/>
        </w:rPr>
        <w:t> </w:t>
      </w:r>
      <w:r>
        <w:rPr>
          <w:color w:val="231F20"/>
        </w:rPr>
        <w:t>ya</w:t>
      </w:r>
      <w:r>
        <w:rPr>
          <w:color w:val="231F20"/>
          <w:spacing w:val="-6"/>
        </w:rPr>
        <w:t> </w:t>
      </w:r>
      <w:r>
        <w:rPr>
          <w:color w:val="231F20"/>
        </w:rPr>
        <w:t>sea</w:t>
      </w:r>
      <w:r>
        <w:rPr>
          <w:color w:val="231F20"/>
          <w:spacing w:val="-6"/>
        </w:rPr>
        <w:t> </w:t>
      </w:r>
      <w:r>
        <w:rPr>
          <w:color w:val="231F20"/>
        </w:rPr>
        <w:t>como</w:t>
      </w:r>
      <w:r>
        <w:rPr>
          <w:color w:val="231F20"/>
          <w:spacing w:val="-6"/>
        </w:rPr>
        <w:t> </w:t>
      </w:r>
      <w:r>
        <w:rPr>
          <w:color w:val="231F20"/>
        </w:rPr>
        <w:t>actividad</w:t>
      </w:r>
      <w:r>
        <w:rPr>
          <w:color w:val="231F20"/>
          <w:spacing w:val="-6"/>
        </w:rPr>
        <w:t> </w:t>
      </w:r>
      <w:r>
        <w:rPr>
          <w:color w:val="231F20"/>
        </w:rPr>
        <w:t>dirigida</w:t>
      </w:r>
      <w:r>
        <w:rPr>
          <w:color w:val="231F20"/>
          <w:spacing w:val="-6"/>
        </w:rPr>
        <w:t> </w:t>
      </w:r>
      <w:r>
        <w:rPr>
          <w:color w:val="231F20"/>
        </w:rPr>
        <w:t>al</w:t>
      </w:r>
      <w:r>
        <w:rPr>
          <w:color w:val="231F20"/>
          <w:spacing w:val="-6"/>
        </w:rPr>
        <w:t> </w:t>
      </w:r>
      <w:r>
        <w:rPr>
          <w:color w:val="231F20"/>
        </w:rPr>
        <w:t>progreso</w:t>
      </w:r>
      <w:r>
        <w:rPr>
          <w:color w:val="231F20"/>
          <w:spacing w:val="-6"/>
        </w:rPr>
        <w:t> </w:t>
      </w:r>
      <w:r>
        <w:rPr>
          <w:color w:val="231F20"/>
        </w:rPr>
        <w:t>socioeco- nómico, o como </w:t>
      </w:r>
      <w:r>
        <w:rPr>
          <w:i/>
          <w:color w:val="231F20"/>
        </w:rPr>
        <w:t>locus </w:t>
      </w:r>
      <w:r>
        <w:rPr>
          <w:color w:val="231F20"/>
        </w:rPr>
        <w:t>de emergencia de la emancipación humana,</w:t>
      </w:r>
      <w:r>
        <w:rPr>
          <w:color w:val="231F20"/>
          <w:spacing w:val="-21"/>
        </w:rPr>
        <w:t> </w:t>
      </w:r>
      <w:r>
        <w:rPr>
          <w:color w:val="231F20"/>
        </w:rPr>
        <w:t>como argumenta la teoría marxista. En la modernidad, el trabajo estuvo rela- cionado con una esencia intrínsecamente humana: el ser humano contri- buiría, por medio de su inserción en el proceso productivo, a la consa- gración de una nueva lógica societal, previsible y controlable, teniendo como objetivo el aumento de las riquezas y la erradicación de la miseria (Bauman, 2001: 157-158).</w:t>
      </w:r>
    </w:p>
    <w:p>
      <w:pPr>
        <w:pStyle w:val="BodyText"/>
        <w:spacing w:line="249" w:lineRule="auto" w:before="1"/>
        <w:ind w:left="110" w:right="111" w:firstLine="283"/>
        <w:jc w:val="both"/>
      </w:pPr>
      <w:r>
        <w:rPr>
          <w:color w:val="231F20"/>
        </w:rPr>
        <w:t>En el contexto de las sociedades contemporáneas, donde son cues- tionados los presupuestos que dieron consistencia a la noción de mo- dernidad, dio inicio un intenso debate sobre el papel del trabajo en la conformación de la vida social. La centralidad del trabajo, por ejemplo, pasó</w:t>
      </w:r>
      <w:r>
        <w:rPr>
          <w:color w:val="231F20"/>
          <w:spacing w:val="-11"/>
        </w:rPr>
        <w:t> </w:t>
      </w:r>
      <w:r>
        <w:rPr>
          <w:color w:val="231F20"/>
        </w:rPr>
        <w:t>a</w:t>
      </w:r>
      <w:r>
        <w:rPr>
          <w:color w:val="231F20"/>
          <w:spacing w:val="-11"/>
        </w:rPr>
        <w:t> </w:t>
      </w:r>
      <w:r>
        <w:rPr>
          <w:color w:val="231F20"/>
        </w:rPr>
        <w:t>ser</w:t>
      </w:r>
      <w:r>
        <w:rPr>
          <w:color w:val="231F20"/>
          <w:spacing w:val="-11"/>
        </w:rPr>
        <w:t> </w:t>
      </w:r>
      <w:r>
        <w:rPr>
          <w:color w:val="231F20"/>
        </w:rPr>
        <w:t>cuestionada</w:t>
      </w:r>
      <w:r>
        <w:rPr>
          <w:color w:val="231F20"/>
          <w:spacing w:val="-11"/>
        </w:rPr>
        <w:t> </w:t>
      </w:r>
      <w:r>
        <w:rPr>
          <w:color w:val="231F20"/>
        </w:rPr>
        <w:t>en</w:t>
      </w:r>
      <w:r>
        <w:rPr>
          <w:color w:val="231F20"/>
          <w:spacing w:val="-11"/>
        </w:rPr>
        <w:t> </w:t>
      </w:r>
      <w:r>
        <w:rPr>
          <w:color w:val="231F20"/>
        </w:rPr>
        <w:t>sus</w:t>
      </w:r>
      <w:r>
        <w:rPr>
          <w:color w:val="231F20"/>
          <w:spacing w:val="-10"/>
        </w:rPr>
        <w:t> </w:t>
      </w:r>
      <w:r>
        <w:rPr>
          <w:color w:val="231F20"/>
        </w:rPr>
        <w:t>aspectos</w:t>
      </w:r>
      <w:r>
        <w:rPr>
          <w:color w:val="231F20"/>
          <w:spacing w:val="-11"/>
        </w:rPr>
        <w:t> </w:t>
      </w:r>
      <w:r>
        <w:rPr>
          <w:color w:val="231F20"/>
        </w:rPr>
        <w:t>sociales,</w:t>
      </w:r>
      <w:r>
        <w:rPr>
          <w:color w:val="231F20"/>
          <w:spacing w:val="-10"/>
        </w:rPr>
        <w:t> </w:t>
      </w:r>
      <w:r>
        <w:rPr>
          <w:color w:val="231F20"/>
        </w:rPr>
        <w:t>económicos</w:t>
      </w:r>
      <w:r>
        <w:rPr>
          <w:color w:val="231F20"/>
          <w:spacing w:val="-11"/>
        </w:rPr>
        <w:t> </w:t>
      </w:r>
      <w:r>
        <w:rPr>
          <w:color w:val="231F20"/>
        </w:rPr>
        <w:t>y</w:t>
      </w:r>
      <w:r>
        <w:rPr>
          <w:color w:val="231F20"/>
          <w:spacing w:val="-11"/>
        </w:rPr>
        <w:t> </w:t>
      </w:r>
      <w:r>
        <w:rPr>
          <w:color w:val="231F20"/>
        </w:rPr>
        <w:t>subjetivos, y también como fundamento clave de la explicación</w:t>
      </w:r>
      <w:r>
        <w:rPr>
          <w:color w:val="231F20"/>
          <w:spacing w:val="-16"/>
        </w:rPr>
        <w:t> </w:t>
      </w:r>
      <w:r>
        <w:rPr>
          <w:color w:val="231F20"/>
        </w:rPr>
        <w:t>sociológica.</w:t>
      </w:r>
    </w:p>
    <w:p>
      <w:pPr>
        <w:pStyle w:val="BodyText"/>
        <w:spacing w:line="249" w:lineRule="auto" w:before="1"/>
        <w:ind w:left="110" w:right="111" w:firstLine="283"/>
        <w:jc w:val="both"/>
      </w:pPr>
      <w:r>
        <w:rPr>
          <w:color w:val="231F20"/>
        </w:rPr>
        <w:t>Las interpretaciones más comunes sobre la naturaleza de las trans- formaciones</w:t>
      </w:r>
      <w:r>
        <w:rPr>
          <w:color w:val="231F20"/>
          <w:spacing w:val="-7"/>
        </w:rPr>
        <w:t> </w:t>
      </w:r>
      <w:r>
        <w:rPr>
          <w:color w:val="231F20"/>
        </w:rPr>
        <w:t>sociales</w:t>
      </w:r>
      <w:r>
        <w:rPr>
          <w:color w:val="231F20"/>
          <w:spacing w:val="-6"/>
        </w:rPr>
        <w:t> </w:t>
      </w:r>
      <w:r>
        <w:rPr>
          <w:color w:val="231F20"/>
        </w:rPr>
        <w:t>en</w:t>
      </w:r>
      <w:r>
        <w:rPr>
          <w:color w:val="231F20"/>
          <w:spacing w:val="-7"/>
        </w:rPr>
        <w:t> </w:t>
      </w:r>
      <w:r>
        <w:rPr>
          <w:color w:val="231F20"/>
        </w:rPr>
        <w:t>curso</w:t>
      </w:r>
      <w:r>
        <w:rPr>
          <w:color w:val="231F20"/>
          <w:spacing w:val="-7"/>
        </w:rPr>
        <w:t> </w:t>
      </w:r>
      <w:r>
        <w:rPr>
          <w:color w:val="231F20"/>
        </w:rPr>
        <w:t>argumentan</w:t>
      </w:r>
      <w:r>
        <w:rPr>
          <w:color w:val="231F20"/>
          <w:spacing w:val="-7"/>
        </w:rPr>
        <w:t> </w:t>
      </w:r>
      <w:r>
        <w:rPr>
          <w:color w:val="231F20"/>
        </w:rPr>
        <w:t>que</w:t>
      </w:r>
      <w:r>
        <w:rPr>
          <w:color w:val="231F20"/>
          <w:spacing w:val="-7"/>
        </w:rPr>
        <w:t> </w:t>
      </w:r>
      <w:r>
        <w:rPr>
          <w:color w:val="231F20"/>
        </w:rPr>
        <w:t>desde</w:t>
      </w:r>
      <w:r>
        <w:rPr>
          <w:color w:val="231F20"/>
          <w:spacing w:val="-7"/>
        </w:rPr>
        <w:t> </w:t>
      </w:r>
      <w:r>
        <w:rPr>
          <w:color w:val="231F20"/>
        </w:rPr>
        <w:t>las</w:t>
      </w:r>
      <w:r>
        <w:rPr>
          <w:color w:val="231F20"/>
          <w:spacing w:val="-7"/>
        </w:rPr>
        <w:t> </w:t>
      </w:r>
      <w:r>
        <w:rPr>
          <w:color w:val="231F20"/>
        </w:rPr>
        <w:t>últimas</w:t>
      </w:r>
      <w:r>
        <w:rPr>
          <w:color w:val="231F20"/>
          <w:spacing w:val="-7"/>
        </w:rPr>
        <w:t> </w:t>
      </w:r>
      <w:r>
        <w:rPr>
          <w:color w:val="231F20"/>
        </w:rPr>
        <w:t>décadas</w:t>
      </w:r>
    </w:p>
    <w:p>
      <w:pPr>
        <w:spacing w:after="0" w:line="249" w:lineRule="auto"/>
        <w:jc w:val="both"/>
        <w:sectPr>
          <w:pgSz w:w="7770" w:h="11740"/>
          <w:pgMar w:header="0" w:footer="559" w:top="840" w:bottom="740" w:left="740" w:right="1020"/>
        </w:sectPr>
      </w:pPr>
    </w:p>
    <w:p>
      <w:pPr>
        <w:pStyle w:val="BodyText"/>
        <w:spacing w:line="249" w:lineRule="auto" w:before="60"/>
        <w:ind w:left="113" w:right="108"/>
        <w:jc w:val="both"/>
      </w:pPr>
      <w:r>
        <w:rPr>
          <w:color w:val="231F20"/>
        </w:rPr>
        <w:t>del siglo pasado estaríamos presenciando el pasaje a un nuevo tipo de sociedad. En la esfera de la teoría sociológica, autores como Zygmunt Bauman, Robert Castel, Ulrich Beck y Manuel Castells han tratado de interpretar la nueva realidad del trabajo y del empleo, destacando los efectos que los cambios acarrean en la vida de los trabajadores.</w:t>
      </w:r>
    </w:p>
    <w:p>
      <w:pPr>
        <w:pStyle w:val="BodyText"/>
        <w:spacing w:line="249" w:lineRule="auto" w:before="1"/>
        <w:ind w:left="113" w:right="107" w:firstLine="283"/>
        <w:jc w:val="both"/>
      </w:pPr>
      <w:r>
        <w:rPr>
          <w:color w:val="231F20"/>
        </w:rPr>
        <w:t>Según Bauman (2001), la principal característica del actual estadio de la modernidad es la fluidez. Para este autor, los proyectos colectivos tenidos</w:t>
      </w:r>
      <w:r>
        <w:rPr>
          <w:color w:val="231F20"/>
          <w:spacing w:val="-7"/>
        </w:rPr>
        <w:t> </w:t>
      </w:r>
      <w:r>
        <w:rPr>
          <w:color w:val="231F20"/>
        </w:rPr>
        <w:t>como</w:t>
      </w:r>
      <w:r>
        <w:rPr>
          <w:color w:val="231F20"/>
          <w:spacing w:val="-6"/>
        </w:rPr>
        <w:t> </w:t>
      </w:r>
      <w:r>
        <w:rPr>
          <w:color w:val="231F20"/>
        </w:rPr>
        <w:t>referencia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“modernidad</w:t>
      </w:r>
      <w:r>
        <w:rPr>
          <w:color w:val="231F20"/>
          <w:spacing w:val="-7"/>
        </w:rPr>
        <w:t> </w:t>
      </w:r>
      <w:r>
        <w:rPr>
          <w:color w:val="231F20"/>
        </w:rPr>
        <w:t>sólida”</w:t>
      </w:r>
      <w:r>
        <w:rPr>
          <w:color w:val="231F20"/>
          <w:spacing w:val="-6"/>
        </w:rPr>
        <w:t> </w:t>
      </w:r>
      <w:r>
        <w:rPr>
          <w:color w:val="231F20"/>
        </w:rPr>
        <w:t>están</w:t>
      </w:r>
      <w:r>
        <w:rPr>
          <w:color w:val="231F20"/>
          <w:spacing w:val="-7"/>
        </w:rPr>
        <w:t> </w:t>
      </w:r>
      <w:r>
        <w:rPr>
          <w:color w:val="231F20"/>
        </w:rPr>
        <w:t>en</w:t>
      </w:r>
      <w:r>
        <w:rPr>
          <w:color w:val="231F20"/>
          <w:spacing w:val="-6"/>
        </w:rPr>
        <w:t> </w:t>
      </w:r>
      <w:r>
        <w:rPr>
          <w:color w:val="231F20"/>
        </w:rPr>
        <w:t>crisis</w:t>
      </w:r>
      <w:r>
        <w:rPr>
          <w:color w:val="231F20"/>
          <w:spacing w:val="-7"/>
        </w:rPr>
        <w:t> </w:t>
      </w:r>
      <w:r>
        <w:rPr>
          <w:color w:val="231F20"/>
        </w:rPr>
        <w:t>debido a la emergencia de una versión privatizada de la modernidad, caracteri- zada</w:t>
      </w:r>
      <w:r>
        <w:rPr>
          <w:color w:val="231F20"/>
          <w:spacing w:val="-9"/>
        </w:rPr>
        <w:t> </w:t>
      </w:r>
      <w:r>
        <w:rPr>
          <w:color w:val="231F20"/>
        </w:rPr>
        <w:t>sobre</w:t>
      </w:r>
      <w:r>
        <w:rPr>
          <w:color w:val="231F20"/>
          <w:spacing w:val="-8"/>
        </w:rPr>
        <w:t> </w:t>
      </w:r>
      <w:r>
        <w:rPr>
          <w:color w:val="231F20"/>
        </w:rPr>
        <w:t>todo</w:t>
      </w:r>
      <w:r>
        <w:rPr>
          <w:color w:val="231F20"/>
          <w:spacing w:val="-9"/>
        </w:rPr>
        <w:t> </w:t>
      </w:r>
      <w:r>
        <w:rPr>
          <w:color w:val="231F20"/>
        </w:rPr>
        <w:t>por</w:t>
      </w:r>
      <w:r>
        <w:rPr>
          <w:color w:val="231F20"/>
          <w:spacing w:val="-8"/>
        </w:rPr>
        <w:t> </w:t>
      </w:r>
      <w:r>
        <w:rPr>
          <w:color w:val="231F20"/>
        </w:rPr>
        <w:t>el</w:t>
      </w:r>
      <w:r>
        <w:rPr>
          <w:color w:val="231F20"/>
          <w:spacing w:val="-8"/>
        </w:rPr>
        <w:t> </w:t>
      </w:r>
      <w:r>
        <w:rPr>
          <w:color w:val="231F20"/>
        </w:rPr>
        <w:t>individualismo</w:t>
      </w:r>
      <w:r>
        <w:rPr>
          <w:color w:val="231F20"/>
          <w:spacing w:val="-9"/>
        </w:rPr>
        <w:t> </w:t>
      </w:r>
      <w:r>
        <w:rPr>
          <w:color w:val="231F20"/>
        </w:rPr>
        <w:t>y</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debilitamiento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lazos sociales (Bauman, 2001:</w:t>
      </w:r>
      <w:r>
        <w:rPr>
          <w:color w:val="231F20"/>
          <w:spacing w:val="-7"/>
        </w:rPr>
        <w:t> </w:t>
      </w:r>
      <w:r>
        <w:rPr>
          <w:color w:val="231F20"/>
        </w:rPr>
        <w:t>7-22).</w:t>
      </w:r>
    </w:p>
    <w:p>
      <w:pPr>
        <w:pStyle w:val="BodyText"/>
        <w:spacing w:line="249" w:lineRule="auto" w:before="1"/>
        <w:ind w:left="113" w:right="108" w:firstLine="283"/>
        <w:jc w:val="both"/>
      </w:pPr>
      <w:r>
        <w:rPr>
          <w:color w:val="231F20"/>
        </w:rPr>
        <w:t>En el contexto de la “modernidad líquida”, como la denomina Bau- man,</w:t>
      </w:r>
      <w:r>
        <w:rPr>
          <w:color w:val="231F20"/>
          <w:spacing w:val="-6"/>
        </w:rPr>
        <w:t> </w:t>
      </w:r>
      <w:r>
        <w:rPr>
          <w:color w:val="231F20"/>
        </w:rPr>
        <w:t>las</w:t>
      </w:r>
      <w:r>
        <w:rPr>
          <w:color w:val="231F20"/>
          <w:spacing w:val="-6"/>
        </w:rPr>
        <w:t> </w:t>
      </w:r>
      <w:r>
        <w:rPr>
          <w:color w:val="231F20"/>
        </w:rPr>
        <w:t>trayectorias</w:t>
      </w:r>
      <w:r>
        <w:rPr>
          <w:color w:val="231F20"/>
          <w:spacing w:val="-6"/>
        </w:rPr>
        <w:t> </w:t>
      </w:r>
      <w:r>
        <w:rPr>
          <w:color w:val="231F20"/>
        </w:rPr>
        <w:t>individuales</w:t>
      </w:r>
      <w:r>
        <w:rPr>
          <w:color w:val="231F20"/>
          <w:spacing w:val="-6"/>
        </w:rPr>
        <w:t> </w:t>
      </w:r>
      <w:r>
        <w:rPr>
          <w:color w:val="231F20"/>
        </w:rPr>
        <w:t>se</w:t>
      </w:r>
      <w:r>
        <w:rPr>
          <w:color w:val="231F20"/>
          <w:spacing w:val="-6"/>
        </w:rPr>
        <w:t> </w:t>
      </w:r>
      <w:r>
        <w:rPr>
          <w:color w:val="231F20"/>
        </w:rPr>
        <w:t>guían</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lógica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flexibilidad y los proyectos de vida son concebidos en escenarios de corto plazo. Bauman considera que el trabajo substantivo, proyecto compartido por toda la humanidad, se está transformando en “episodios de trabajo”, ais- lados del resto de la vida de los individuos (Bauman, 2001:</w:t>
      </w:r>
      <w:r>
        <w:rPr>
          <w:color w:val="231F20"/>
          <w:spacing w:val="-3"/>
        </w:rPr>
        <w:t> </w:t>
      </w:r>
      <w:r>
        <w:rPr>
          <w:color w:val="231F20"/>
        </w:rPr>
        <w:t>157-161).</w:t>
      </w:r>
    </w:p>
    <w:p>
      <w:pPr>
        <w:pStyle w:val="BodyText"/>
        <w:spacing w:line="249" w:lineRule="auto" w:before="1"/>
        <w:ind w:left="113" w:right="107" w:firstLine="283"/>
        <w:jc w:val="both"/>
      </w:pPr>
      <w:r>
        <w:rPr>
          <w:color w:val="231F20"/>
        </w:rPr>
        <w:t>Según este autor, la “modernidad sólida” estableció una relación    de complementariedad entre capital y trabajo basada en compromisos mutuos y necesarios para el desarrollo sostenido. El empleo industrial, típico del periodo, se constituía en una relación de largo plazo, dada la expectativa del empleo para toda la vida. No obstante, la emergencia de la “modernidad líquida” acarreó el derrumbe del “empleo como lo</w:t>
      </w:r>
      <w:r>
        <w:rPr>
          <w:color w:val="231F20"/>
          <w:spacing w:val="-34"/>
        </w:rPr>
        <w:t> </w:t>
      </w:r>
      <w:r>
        <w:rPr>
          <w:color w:val="231F20"/>
        </w:rPr>
        <w:t>cono- cemos”.</w:t>
      </w:r>
      <w:r>
        <w:rPr>
          <w:color w:val="231F20"/>
          <w:spacing w:val="-7"/>
        </w:rPr>
        <w:t> </w:t>
      </w:r>
      <w:r>
        <w:rPr>
          <w:color w:val="231F20"/>
        </w:rPr>
        <w:t>Para</w:t>
      </w:r>
      <w:r>
        <w:rPr>
          <w:color w:val="231F20"/>
          <w:spacing w:val="-7"/>
        </w:rPr>
        <w:t> </w:t>
      </w:r>
      <w:r>
        <w:rPr>
          <w:color w:val="231F20"/>
        </w:rPr>
        <w:t>Bauman,</w:t>
      </w:r>
      <w:r>
        <w:rPr>
          <w:color w:val="231F20"/>
          <w:spacing w:val="-7"/>
        </w:rPr>
        <w:t> </w:t>
      </w:r>
      <w:r>
        <w:rPr>
          <w:color w:val="231F20"/>
        </w:rPr>
        <w:t>la</w:t>
      </w:r>
      <w:r>
        <w:rPr>
          <w:color w:val="231F20"/>
          <w:spacing w:val="-7"/>
        </w:rPr>
        <w:t> </w:t>
      </w:r>
      <w:r>
        <w:rPr>
          <w:color w:val="231F20"/>
        </w:rPr>
        <w:t>nueva</w:t>
      </w:r>
      <w:r>
        <w:rPr>
          <w:color w:val="231F20"/>
          <w:spacing w:val="-7"/>
        </w:rPr>
        <w:t> </w:t>
      </w:r>
      <w:r>
        <w:rPr>
          <w:color w:val="231F20"/>
        </w:rPr>
        <w:t>lógica</w:t>
      </w:r>
      <w:r>
        <w:rPr>
          <w:color w:val="231F20"/>
          <w:spacing w:val="-7"/>
        </w:rPr>
        <w:t> </w:t>
      </w:r>
      <w:r>
        <w:rPr>
          <w:color w:val="231F20"/>
        </w:rPr>
        <w:t>del</w:t>
      </w:r>
      <w:r>
        <w:rPr>
          <w:color w:val="231F20"/>
          <w:spacing w:val="-7"/>
        </w:rPr>
        <w:t> </w:t>
      </w:r>
      <w:r>
        <w:rPr>
          <w:color w:val="231F20"/>
        </w:rPr>
        <w:t>mercado</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basada</w:t>
      </w:r>
      <w:r>
        <w:rPr>
          <w:color w:val="231F20"/>
          <w:spacing w:val="-7"/>
        </w:rPr>
        <w:t> </w:t>
      </w:r>
      <w:r>
        <w:rPr>
          <w:color w:val="231F20"/>
        </w:rPr>
        <w:t>en el empleo por tiempo determinado, sin contrato y sin protección social, tiende a marcar de incertidumbre la vida del trabajador (Bauman, 2001: 166-169).</w:t>
      </w:r>
    </w:p>
    <w:p>
      <w:pPr>
        <w:pStyle w:val="BodyText"/>
        <w:spacing w:line="249" w:lineRule="auto" w:before="1"/>
        <w:ind w:left="113" w:right="108" w:firstLine="283"/>
        <w:jc w:val="right"/>
      </w:pPr>
      <w:r>
        <w:rPr>
          <w:color w:val="231F20"/>
        </w:rPr>
        <w:t>Bauman</w:t>
      </w:r>
      <w:r>
        <w:rPr>
          <w:color w:val="231F20"/>
          <w:spacing w:val="-6"/>
        </w:rPr>
        <w:t> </w:t>
      </w:r>
      <w:r>
        <w:rPr>
          <w:color w:val="231F20"/>
        </w:rPr>
        <w:t>también</w:t>
      </w:r>
      <w:r>
        <w:rPr>
          <w:color w:val="231F20"/>
          <w:spacing w:val="-6"/>
        </w:rPr>
        <w:t> </w:t>
      </w:r>
      <w:r>
        <w:rPr>
          <w:color w:val="231F20"/>
        </w:rPr>
        <w:t>destaca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“modernidad</w:t>
      </w:r>
      <w:r>
        <w:rPr>
          <w:color w:val="231F20"/>
          <w:spacing w:val="-7"/>
        </w:rPr>
        <w:t> </w:t>
      </w:r>
      <w:r>
        <w:rPr>
          <w:color w:val="231F20"/>
        </w:rPr>
        <w:t>líquida”</w:t>
      </w:r>
      <w:r>
        <w:rPr>
          <w:color w:val="231F20"/>
          <w:spacing w:val="-6"/>
        </w:rPr>
        <w:t> </w:t>
      </w:r>
      <w:r>
        <w:rPr>
          <w:color w:val="231F20"/>
        </w:rPr>
        <w:t>está</w:t>
      </w:r>
      <w:r>
        <w:rPr>
          <w:color w:val="231F20"/>
          <w:spacing w:val="-6"/>
        </w:rPr>
        <w:t> </w:t>
      </w:r>
      <w:r>
        <w:rPr>
          <w:color w:val="231F20"/>
        </w:rPr>
        <w:t>provocan- do</w:t>
      </w:r>
      <w:r>
        <w:rPr>
          <w:color w:val="231F20"/>
          <w:spacing w:val="-7"/>
        </w:rPr>
        <w:t> </w:t>
      </w:r>
      <w:r>
        <w:rPr>
          <w:color w:val="231F20"/>
        </w:rPr>
        <w:t>la</w:t>
      </w:r>
      <w:r>
        <w:rPr>
          <w:color w:val="231F20"/>
          <w:spacing w:val="-7"/>
        </w:rPr>
        <w:t> </w:t>
      </w:r>
      <w:r>
        <w:rPr>
          <w:color w:val="231F20"/>
        </w:rPr>
        <w:t>segregación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mercados</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en</w:t>
      </w:r>
      <w:r>
        <w:rPr>
          <w:color w:val="231F20"/>
          <w:spacing w:val="-7"/>
        </w:rPr>
        <w:t> </w:t>
      </w:r>
      <w:r>
        <w:rPr>
          <w:color w:val="231F20"/>
        </w:rPr>
        <w:t>dos</w:t>
      </w:r>
      <w:r>
        <w:rPr>
          <w:color w:val="231F20"/>
          <w:spacing w:val="-7"/>
        </w:rPr>
        <w:t> </w:t>
      </w:r>
      <w:r>
        <w:rPr>
          <w:color w:val="231F20"/>
        </w:rPr>
        <w:t>polos: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primero, constituido por “trabajadores de rutina” que son</w:t>
      </w:r>
      <w:r>
        <w:rPr>
          <w:color w:val="231F20"/>
          <w:spacing w:val="33"/>
        </w:rPr>
        <w:t> </w:t>
      </w:r>
      <w:r>
        <w:rPr>
          <w:color w:val="231F20"/>
        </w:rPr>
        <w:t>fácilmente</w:t>
      </w:r>
      <w:r>
        <w:rPr>
          <w:color w:val="231F20"/>
          <w:spacing w:val="5"/>
        </w:rPr>
        <w:t> </w:t>
      </w:r>
      <w:r>
        <w:rPr>
          <w:color w:val="231F20"/>
        </w:rPr>
        <w:t>sustituibles,</w:t>
      </w:r>
      <w:r>
        <w:rPr>
          <w:color w:val="231F20"/>
          <w:spacing w:val="-1"/>
        </w:rPr>
        <w:t> </w:t>
      </w:r>
      <w:r>
        <w:rPr>
          <w:color w:val="231F20"/>
        </w:rPr>
        <w:t>se</w:t>
      </w:r>
      <w:r>
        <w:rPr>
          <w:color w:val="231F20"/>
          <w:spacing w:val="26"/>
        </w:rPr>
        <w:t> </w:t>
      </w:r>
      <w:r>
        <w:rPr>
          <w:color w:val="231F20"/>
        </w:rPr>
        <w:t>destaca</w:t>
      </w:r>
      <w:r>
        <w:rPr>
          <w:color w:val="231F20"/>
          <w:spacing w:val="26"/>
        </w:rPr>
        <w:t> </w:t>
      </w:r>
      <w:r>
        <w:rPr>
          <w:color w:val="231F20"/>
        </w:rPr>
        <w:t>la</w:t>
      </w:r>
      <w:r>
        <w:rPr>
          <w:color w:val="231F20"/>
          <w:spacing w:val="26"/>
        </w:rPr>
        <w:t> </w:t>
      </w:r>
      <w:r>
        <w:rPr>
          <w:color w:val="231F20"/>
        </w:rPr>
        <w:t>falta</w:t>
      </w:r>
      <w:r>
        <w:rPr>
          <w:color w:val="231F20"/>
          <w:spacing w:val="26"/>
        </w:rPr>
        <w:t> </w:t>
      </w:r>
      <w:r>
        <w:rPr>
          <w:color w:val="231F20"/>
        </w:rPr>
        <w:t>de</w:t>
      </w:r>
      <w:r>
        <w:rPr>
          <w:color w:val="231F20"/>
          <w:spacing w:val="26"/>
        </w:rPr>
        <w:t> </w:t>
      </w:r>
      <w:r>
        <w:rPr>
          <w:color w:val="231F20"/>
        </w:rPr>
        <w:t>vínculos</w:t>
      </w:r>
      <w:r>
        <w:rPr>
          <w:color w:val="231F20"/>
          <w:spacing w:val="26"/>
        </w:rPr>
        <w:t> </w:t>
      </w:r>
      <w:r>
        <w:rPr>
          <w:color w:val="231F20"/>
        </w:rPr>
        <w:t>sólidos</w:t>
      </w:r>
      <w:r>
        <w:rPr>
          <w:color w:val="231F20"/>
          <w:spacing w:val="26"/>
        </w:rPr>
        <w:t> </w:t>
      </w:r>
      <w:r>
        <w:rPr>
          <w:color w:val="231F20"/>
        </w:rPr>
        <w:t>entre</w:t>
      </w:r>
      <w:r>
        <w:rPr>
          <w:color w:val="231F20"/>
          <w:spacing w:val="26"/>
        </w:rPr>
        <w:t> </w:t>
      </w:r>
      <w:r>
        <w:rPr>
          <w:color w:val="231F20"/>
        </w:rPr>
        <w:t>el</w:t>
      </w:r>
      <w:r>
        <w:rPr>
          <w:color w:val="231F20"/>
          <w:spacing w:val="26"/>
        </w:rPr>
        <w:t> </w:t>
      </w:r>
      <w:r>
        <w:rPr>
          <w:color w:val="231F20"/>
        </w:rPr>
        <w:t>trabajo</w:t>
      </w:r>
      <w:r>
        <w:rPr>
          <w:color w:val="231F20"/>
          <w:spacing w:val="25"/>
        </w:rPr>
        <w:t> </w:t>
      </w:r>
      <w:r>
        <w:rPr>
          <w:color w:val="231F20"/>
        </w:rPr>
        <w:t>realizado</w:t>
      </w:r>
      <w:r>
        <w:rPr>
          <w:color w:val="231F20"/>
          <w:spacing w:val="26"/>
        </w:rPr>
        <w:t> </w:t>
      </w:r>
      <w:r>
        <w:rPr>
          <w:color w:val="231F20"/>
        </w:rPr>
        <w:t>y</w:t>
      </w:r>
      <w:r>
        <w:rPr>
          <w:color w:val="231F20"/>
          <w:spacing w:val="26"/>
        </w:rPr>
        <w:t> </w:t>
      </w:r>
      <w:r>
        <w:rPr>
          <w:color w:val="231F20"/>
        </w:rPr>
        <w:t>los proyectos de vida de quien lo realiza; y en el segundo,</w:t>
      </w:r>
      <w:r>
        <w:rPr>
          <w:color w:val="231F20"/>
          <w:spacing w:val="8"/>
        </w:rPr>
        <w:t> </w:t>
      </w:r>
      <w:r>
        <w:rPr>
          <w:color w:val="231F20"/>
        </w:rPr>
        <w:t>constituido</w:t>
      </w:r>
      <w:r>
        <w:rPr>
          <w:color w:val="231F20"/>
          <w:spacing w:val="14"/>
        </w:rPr>
        <w:t> </w:t>
      </w:r>
      <w:r>
        <w:rPr>
          <w:color w:val="231F20"/>
        </w:rPr>
        <w:t>por trabajadores</w:t>
      </w:r>
      <w:r>
        <w:rPr>
          <w:color w:val="231F20"/>
          <w:spacing w:val="-10"/>
        </w:rPr>
        <w:t> </w:t>
      </w:r>
      <w:r>
        <w:rPr>
          <w:color w:val="231F20"/>
        </w:rPr>
        <w:t>ubicados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cúspide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pirámide</w:t>
      </w:r>
      <w:r>
        <w:rPr>
          <w:color w:val="231F20"/>
          <w:spacing w:val="-9"/>
        </w:rPr>
        <w:t> </w:t>
      </w:r>
      <w:r>
        <w:rPr>
          <w:color w:val="231F20"/>
        </w:rPr>
        <w:t>ocupacional,</w:t>
      </w:r>
      <w:r>
        <w:rPr>
          <w:color w:val="231F20"/>
          <w:spacing w:val="-9"/>
        </w:rPr>
        <w:t> </w:t>
      </w:r>
      <w:r>
        <w:rPr>
          <w:color w:val="231F20"/>
        </w:rPr>
        <w:t>se</w:t>
      </w:r>
      <w:r>
        <w:rPr>
          <w:color w:val="231F20"/>
          <w:spacing w:val="-9"/>
        </w:rPr>
        <w:t> </w:t>
      </w:r>
      <w:r>
        <w:rPr>
          <w:color w:val="231F20"/>
        </w:rPr>
        <w:t>subra- yan cualidades como ligereza y volatilidad: la inestabilidad,</w:t>
      </w:r>
      <w:r>
        <w:rPr>
          <w:color w:val="231F20"/>
          <w:spacing w:val="28"/>
        </w:rPr>
        <w:t> </w:t>
      </w:r>
      <w:r>
        <w:rPr>
          <w:color w:val="231F20"/>
        </w:rPr>
        <w:t>la</w:t>
      </w:r>
      <w:r>
        <w:rPr>
          <w:color w:val="231F20"/>
          <w:spacing w:val="9"/>
        </w:rPr>
        <w:t> </w:t>
      </w:r>
      <w:r>
        <w:rPr>
          <w:color w:val="231F20"/>
        </w:rPr>
        <w:t>hibridez y la desorientación son consideradas como valores primordiales</w:t>
      </w:r>
      <w:r>
        <w:rPr>
          <w:color w:val="231F20"/>
          <w:spacing w:val="36"/>
        </w:rPr>
        <w:t> </w:t>
      </w:r>
      <w:r>
        <w:rPr>
          <w:color w:val="231F20"/>
        </w:rPr>
        <w:t>y</w:t>
      </w:r>
      <w:r>
        <w:rPr>
          <w:color w:val="231F20"/>
          <w:spacing w:val="23"/>
        </w:rPr>
        <w:t> </w:t>
      </w:r>
      <w:r>
        <w:rPr>
          <w:color w:val="231F20"/>
        </w:rPr>
        <w:t>sus</w:t>
      </w:r>
      <w:r>
        <w:rPr>
          <w:color w:val="231F20"/>
          <w:spacing w:val="-1"/>
        </w:rPr>
        <w:t> </w:t>
      </w:r>
      <w:r>
        <w:rPr>
          <w:color w:val="231F20"/>
        </w:rPr>
        <w:t>ocupantes son “cazadores de oportunidades” (Bauman,</w:t>
      </w:r>
      <w:r>
        <w:rPr>
          <w:color w:val="231F20"/>
          <w:spacing w:val="-3"/>
        </w:rPr>
        <w:t> </w:t>
      </w:r>
      <w:r>
        <w:rPr>
          <w:color w:val="231F20"/>
        </w:rPr>
        <w:t>2001:</w:t>
      </w:r>
      <w:r>
        <w:rPr>
          <w:color w:val="231F20"/>
          <w:spacing w:val="-1"/>
        </w:rPr>
        <w:t> </w:t>
      </w:r>
      <w:r>
        <w:rPr>
          <w:color w:val="231F20"/>
        </w:rPr>
        <w:t>174-178). Bauman argumenta que la modernidad se atribuye a sí misma</w:t>
      </w:r>
      <w:r>
        <w:rPr>
          <w:color w:val="231F20"/>
          <w:spacing w:val="39"/>
        </w:rPr>
        <w:t> </w:t>
      </w:r>
      <w:r>
        <w:rPr>
          <w:color w:val="231F20"/>
        </w:rPr>
        <w:t>el</w:t>
      </w:r>
      <w:r>
        <w:rPr>
          <w:color w:val="231F20"/>
          <w:spacing w:val="9"/>
        </w:rPr>
        <w:t> </w:t>
      </w:r>
      <w:r>
        <w:rPr>
          <w:color w:val="231F20"/>
        </w:rPr>
        <w:t>in- tento de combatir la ambivalencia</w:t>
      </w:r>
      <w:r>
        <w:rPr>
          <w:color w:val="231F20"/>
          <w:position w:val="7"/>
          <w:sz w:val="11"/>
        </w:rPr>
        <w:t>1  </w:t>
      </w:r>
      <w:r>
        <w:rPr>
          <w:color w:val="231F20"/>
        </w:rPr>
        <w:t>por medio de la instauración del  </w:t>
      </w:r>
      <w:r>
        <w:rPr>
          <w:color w:val="231F20"/>
          <w:spacing w:val="2"/>
        </w:rPr>
        <w:t> </w:t>
      </w:r>
      <w:r>
        <w:rPr>
          <w:color w:val="231F20"/>
        </w:rPr>
        <w:t>or-</w:t>
      </w:r>
    </w:p>
    <w:p>
      <w:pPr>
        <w:spacing w:before="116"/>
        <w:ind w:left="113" w:right="108" w:firstLine="0"/>
        <w:jc w:val="both"/>
        <w:rPr>
          <w:sz w:val="14"/>
        </w:rPr>
      </w:pPr>
      <w:r>
        <w:rPr>
          <w:color w:val="231F20"/>
          <w:position w:val="5"/>
          <w:sz w:val="8"/>
        </w:rPr>
        <w:t>1</w:t>
      </w:r>
      <w:r>
        <w:rPr>
          <w:color w:val="231F20"/>
          <w:spacing w:val="11"/>
          <w:position w:val="5"/>
          <w:sz w:val="8"/>
        </w:rPr>
        <w:t> </w:t>
      </w:r>
      <w:r>
        <w:rPr>
          <w:color w:val="231F20"/>
          <w:sz w:val="14"/>
        </w:rPr>
        <w:t>Según</w:t>
      </w:r>
      <w:r>
        <w:rPr>
          <w:color w:val="231F20"/>
          <w:spacing w:val="-4"/>
          <w:sz w:val="14"/>
        </w:rPr>
        <w:t> </w:t>
      </w:r>
      <w:r>
        <w:rPr>
          <w:color w:val="231F20"/>
          <w:sz w:val="14"/>
        </w:rPr>
        <w:t>Bauman,</w:t>
      </w:r>
      <w:r>
        <w:rPr>
          <w:color w:val="231F20"/>
          <w:spacing w:val="-4"/>
          <w:sz w:val="14"/>
        </w:rPr>
        <w:t> </w:t>
      </w:r>
      <w:r>
        <w:rPr>
          <w:color w:val="231F20"/>
          <w:sz w:val="14"/>
        </w:rPr>
        <w:t>la</w:t>
      </w:r>
      <w:r>
        <w:rPr>
          <w:color w:val="231F20"/>
          <w:spacing w:val="-4"/>
          <w:sz w:val="14"/>
        </w:rPr>
        <w:t> </w:t>
      </w:r>
      <w:r>
        <w:rPr>
          <w:color w:val="231F20"/>
          <w:sz w:val="14"/>
        </w:rPr>
        <w:t>ambivalencia</w:t>
      </w:r>
      <w:r>
        <w:rPr>
          <w:color w:val="231F20"/>
          <w:spacing w:val="-4"/>
          <w:sz w:val="14"/>
        </w:rPr>
        <w:t> </w:t>
      </w:r>
      <w:r>
        <w:rPr>
          <w:color w:val="231F20"/>
          <w:sz w:val="14"/>
        </w:rPr>
        <w:t>sería:</w:t>
      </w:r>
      <w:r>
        <w:rPr>
          <w:color w:val="231F20"/>
          <w:spacing w:val="-4"/>
          <w:sz w:val="14"/>
        </w:rPr>
        <w:t> </w:t>
      </w:r>
      <w:r>
        <w:rPr>
          <w:color w:val="231F20"/>
          <w:sz w:val="14"/>
        </w:rPr>
        <w:t>“la</w:t>
      </w:r>
      <w:r>
        <w:rPr>
          <w:color w:val="231F20"/>
          <w:spacing w:val="-4"/>
          <w:sz w:val="14"/>
        </w:rPr>
        <w:t> </w:t>
      </w:r>
      <w:r>
        <w:rPr>
          <w:color w:val="231F20"/>
          <w:sz w:val="14"/>
        </w:rPr>
        <w:t>posibilidad</w:t>
      </w:r>
      <w:r>
        <w:rPr>
          <w:color w:val="231F20"/>
          <w:spacing w:val="-4"/>
          <w:sz w:val="14"/>
        </w:rPr>
        <w:t> </w:t>
      </w:r>
      <w:r>
        <w:rPr>
          <w:color w:val="231F20"/>
          <w:sz w:val="14"/>
        </w:rPr>
        <w:t>de</w:t>
      </w:r>
      <w:r>
        <w:rPr>
          <w:color w:val="231F20"/>
          <w:spacing w:val="-4"/>
          <w:sz w:val="14"/>
        </w:rPr>
        <w:t> </w:t>
      </w:r>
      <w:r>
        <w:rPr>
          <w:color w:val="231F20"/>
          <w:sz w:val="14"/>
        </w:rPr>
        <w:t>conferir</w:t>
      </w:r>
      <w:r>
        <w:rPr>
          <w:color w:val="231F20"/>
          <w:spacing w:val="-4"/>
          <w:sz w:val="14"/>
        </w:rPr>
        <w:t> </w:t>
      </w:r>
      <w:r>
        <w:rPr>
          <w:color w:val="231F20"/>
          <w:sz w:val="14"/>
        </w:rPr>
        <w:t>a</w:t>
      </w:r>
      <w:r>
        <w:rPr>
          <w:color w:val="231F20"/>
          <w:spacing w:val="-4"/>
          <w:sz w:val="14"/>
        </w:rPr>
        <w:t> </w:t>
      </w:r>
      <w:r>
        <w:rPr>
          <w:color w:val="231F20"/>
          <w:sz w:val="14"/>
        </w:rPr>
        <w:t>un</w:t>
      </w:r>
      <w:r>
        <w:rPr>
          <w:color w:val="231F20"/>
          <w:spacing w:val="-4"/>
          <w:sz w:val="14"/>
        </w:rPr>
        <w:t> </w:t>
      </w:r>
      <w:r>
        <w:rPr>
          <w:color w:val="231F20"/>
          <w:sz w:val="14"/>
        </w:rPr>
        <w:t>objeto</w:t>
      </w:r>
      <w:r>
        <w:rPr>
          <w:color w:val="231F20"/>
          <w:spacing w:val="-4"/>
          <w:sz w:val="14"/>
        </w:rPr>
        <w:t> </w:t>
      </w:r>
      <w:r>
        <w:rPr>
          <w:color w:val="231F20"/>
          <w:sz w:val="14"/>
        </w:rPr>
        <w:t>o</w:t>
      </w:r>
      <w:r>
        <w:rPr>
          <w:color w:val="231F20"/>
          <w:spacing w:val="-4"/>
          <w:sz w:val="14"/>
        </w:rPr>
        <w:t> </w:t>
      </w:r>
      <w:r>
        <w:rPr>
          <w:color w:val="231F20"/>
          <w:sz w:val="14"/>
        </w:rPr>
        <w:t>a</w:t>
      </w:r>
      <w:r>
        <w:rPr>
          <w:color w:val="231F20"/>
          <w:spacing w:val="-4"/>
          <w:sz w:val="14"/>
        </w:rPr>
        <w:t> </w:t>
      </w:r>
      <w:r>
        <w:rPr>
          <w:color w:val="231F20"/>
          <w:sz w:val="14"/>
        </w:rPr>
        <w:t>un</w:t>
      </w:r>
      <w:r>
        <w:rPr>
          <w:color w:val="231F20"/>
          <w:spacing w:val="-4"/>
          <w:sz w:val="14"/>
        </w:rPr>
        <w:t> </w:t>
      </w:r>
      <w:r>
        <w:rPr>
          <w:color w:val="231F20"/>
          <w:sz w:val="14"/>
        </w:rPr>
        <w:t>evento</w:t>
      </w:r>
      <w:r>
        <w:rPr>
          <w:color w:val="231F20"/>
          <w:spacing w:val="-4"/>
          <w:sz w:val="14"/>
        </w:rPr>
        <w:t> </w:t>
      </w:r>
      <w:r>
        <w:rPr>
          <w:color w:val="231F20"/>
          <w:sz w:val="14"/>
        </w:rPr>
        <w:t>más</w:t>
      </w:r>
      <w:r>
        <w:rPr>
          <w:color w:val="231F20"/>
          <w:spacing w:val="-4"/>
          <w:sz w:val="14"/>
        </w:rPr>
        <w:t> </w:t>
      </w:r>
      <w:r>
        <w:rPr>
          <w:color w:val="231F20"/>
          <w:sz w:val="14"/>
        </w:rPr>
        <w:t>de</w:t>
      </w:r>
      <w:r>
        <w:rPr>
          <w:color w:val="231F20"/>
          <w:spacing w:val="-4"/>
          <w:sz w:val="14"/>
        </w:rPr>
        <w:t> </w:t>
      </w:r>
      <w:r>
        <w:rPr>
          <w:color w:val="231F20"/>
          <w:sz w:val="14"/>
        </w:rPr>
        <w:t>una categoría, es un desorden específico del lenguaje, una falla de la función nominadora (segregadora)</w:t>
      </w:r>
      <w:r>
        <w:rPr>
          <w:color w:val="231F20"/>
          <w:spacing w:val="-21"/>
          <w:sz w:val="14"/>
        </w:rPr>
        <w:t> </w:t>
      </w:r>
      <w:r>
        <w:rPr>
          <w:color w:val="231F20"/>
          <w:sz w:val="14"/>
        </w:rPr>
        <w:t>que el lenguaje debe desempeñar” (Bauman, 1999:</w:t>
      </w:r>
      <w:r>
        <w:rPr>
          <w:color w:val="231F20"/>
          <w:spacing w:val="-1"/>
          <w:sz w:val="14"/>
        </w:rPr>
        <w:t> </w:t>
      </w:r>
      <w:r>
        <w:rPr>
          <w:color w:val="231F20"/>
          <w:sz w:val="14"/>
        </w:rPr>
        <w:t>09).</w:t>
      </w:r>
    </w:p>
    <w:p>
      <w:pPr>
        <w:spacing w:after="0"/>
        <w:jc w:val="both"/>
        <w:rPr>
          <w:sz w:val="14"/>
        </w:rPr>
        <w:sectPr>
          <w:footerReference w:type="default" r:id="rId30"/>
          <w:pgSz w:w="7770" w:h="11740"/>
          <w:pgMar w:footer="559" w:header="0" w:top="840" w:bottom="740" w:left="1020" w:right="740"/>
          <w:pgNumType w:start="41"/>
        </w:sectPr>
      </w:pPr>
    </w:p>
    <w:p>
      <w:pPr>
        <w:pStyle w:val="BodyText"/>
        <w:spacing w:line="249" w:lineRule="auto" w:before="60"/>
        <w:ind w:left="110" w:right="111"/>
        <w:jc w:val="both"/>
      </w:pPr>
      <w:r>
        <w:rPr>
          <w:color w:val="231F20"/>
        </w:rPr>
        <w:t>den y de la negación del caos. No obstante, según el autor, esta tarea es imposible ya que el orden y la ambivalencia son, ambos, producto de la modernidad. Así, en la medida en que la actividad ordenadora tendría como uno de sus elementos fundamentales la producción polisémica de discursos</w:t>
      </w:r>
      <w:r>
        <w:rPr>
          <w:color w:val="231F20"/>
          <w:spacing w:val="-5"/>
        </w:rPr>
        <w:t> </w:t>
      </w:r>
      <w:r>
        <w:rPr>
          <w:color w:val="231F20"/>
        </w:rPr>
        <w:t>sobre</w:t>
      </w:r>
      <w:r>
        <w:rPr>
          <w:color w:val="231F20"/>
          <w:spacing w:val="-4"/>
        </w:rPr>
        <w:t> </w:t>
      </w:r>
      <w:r>
        <w:rPr>
          <w:color w:val="231F20"/>
        </w:rPr>
        <w:t>un</w:t>
      </w:r>
      <w:r>
        <w:rPr>
          <w:color w:val="231F20"/>
          <w:spacing w:val="-5"/>
        </w:rPr>
        <w:t> </w:t>
      </w:r>
      <w:r>
        <w:rPr>
          <w:color w:val="231F20"/>
        </w:rPr>
        <w:t>mismo</w:t>
      </w:r>
      <w:r>
        <w:rPr>
          <w:color w:val="231F20"/>
          <w:spacing w:val="-5"/>
        </w:rPr>
        <w:t> </w:t>
      </w:r>
      <w:r>
        <w:rPr>
          <w:color w:val="231F20"/>
        </w:rPr>
        <w:t>objeto,</w:t>
      </w:r>
      <w:r>
        <w:rPr>
          <w:color w:val="231F20"/>
          <w:spacing w:val="-5"/>
        </w:rPr>
        <w:t> </w:t>
      </w:r>
      <w:r>
        <w:rPr>
          <w:color w:val="231F20"/>
        </w:rPr>
        <w:t>ella</w:t>
      </w:r>
      <w:r>
        <w:rPr>
          <w:color w:val="231F20"/>
          <w:spacing w:val="-5"/>
        </w:rPr>
        <w:t> </w:t>
      </w:r>
      <w:r>
        <w:rPr>
          <w:color w:val="231F20"/>
        </w:rPr>
        <w:t>misma</w:t>
      </w:r>
      <w:r>
        <w:rPr>
          <w:color w:val="231F20"/>
          <w:spacing w:val="-5"/>
        </w:rPr>
        <w:t> </w:t>
      </w:r>
      <w:r>
        <w:rPr>
          <w:color w:val="231F20"/>
        </w:rPr>
        <w:t>se</w:t>
      </w:r>
      <w:r>
        <w:rPr>
          <w:color w:val="231F20"/>
          <w:spacing w:val="-5"/>
        </w:rPr>
        <w:t> </w:t>
      </w:r>
      <w:r>
        <w:rPr>
          <w:color w:val="231F20"/>
        </w:rPr>
        <w:t>construye</w:t>
      </w:r>
      <w:r>
        <w:rPr>
          <w:color w:val="231F20"/>
          <w:spacing w:val="-5"/>
        </w:rPr>
        <w:t> </w:t>
      </w:r>
      <w:r>
        <w:rPr>
          <w:color w:val="231F20"/>
        </w:rPr>
        <w:t>como</w:t>
      </w:r>
      <w:r>
        <w:rPr>
          <w:color w:val="231F20"/>
          <w:spacing w:val="-5"/>
        </w:rPr>
        <w:t> </w:t>
      </w:r>
      <w:r>
        <w:rPr>
          <w:color w:val="231F20"/>
        </w:rPr>
        <w:t>práctica ambivalente</w:t>
      </w:r>
      <w:r>
        <w:rPr>
          <w:color w:val="231F20"/>
          <w:position w:val="7"/>
          <w:sz w:val="11"/>
        </w:rPr>
        <w:t>2  </w:t>
      </w:r>
      <w:r>
        <w:rPr>
          <w:color w:val="231F20"/>
        </w:rPr>
        <w:t>(Bauman, 1999:</w:t>
      </w:r>
      <w:r>
        <w:rPr>
          <w:color w:val="231F20"/>
          <w:spacing w:val="-3"/>
        </w:rPr>
        <w:t> </w:t>
      </w:r>
      <w:r>
        <w:rPr>
          <w:color w:val="231F20"/>
        </w:rPr>
        <w:t>14-26).</w:t>
      </w:r>
    </w:p>
    <w:p>
      <w:pPr>
        <w:pStyle w:val="BodyText"/>
        <w:spacing w:line="249" w:lineRule="auto" w:before="1"/>
        <w:ind w:left="110" w:right="111" w:firstLine="283"/>
        <w:jc w:val="both"/>
      </w:pPr>
      <w:r>
        <w:rPr>
          <w:color w:val="231F20"/>
        </w:rPr>
        <w:t>De acuerdo con Bauman, en la actualidad el problema de la ambiva- lencia se está volviendo una cuestión personal, pues se está desplazando de</w:t>
      </w:r>
      <w:r>
        <w:rPr>
          <w:color w:val="231F20"/>
          <w:spacing w:val="-9"/>
        </w:rPr>
        <w:t> </w:t>
      </w:r>
      <w:r>
        <w:rPr>
          <w:color w:val="231F20"/>
        </w:rPr>
        <w:t>la</w:t>
      </w:r>
      <w:r>
        <w:rPr>
          <w:color w:val="231F20"/>
          <w:spacing w:val="-9"/>
        </w:rPr>
        <w:t> </w:t>
      </w:r>
      <w:r>
        <w:rPr>
          <w:color w:val="231F20"/>
        </w:rPr>
        <w:t>esfera</w:t>
      </w:r>
      <w:r>
        <w:rPr>
          <w:color w:val="231F20"/>
          <w:spacing w:val="-10"/>
        </w:rPr>
        <w:t> </w:t>
      </w:r>
      <w:r>
        <w:rPr>
          <w:color w:val="231F20"/>
        </w:rPr>
        <w:t>colectiva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esfera</w:t>
      </w:r>
      <w:r>
        <w:rPr>
          <w:color w:val="231F20"/>
          <w:spacing w:val="-10"/>
        </w:rPr>
        <w:t> </w:t>
      </w:r>
      <w:r>
        <w:rPr>
          <w:color w:val="231F20"/>
        </w:rPr>
        <w:t>privada.</w:t>
      </w:r>
      <w:r>
        <w:rPr>
          <w:color w:val="231F20"/>
          <w:spacing w:val="-9"/>
        </w:rPr>
        <w:t> </w:t>
      </w:r>
      <w:r>
        <w:rPr>
          <w:color w:val="231F20"/>
        </w:rPr>
        <w:t>En</w:t>
      </w:r>
      <w:r>
        <w:rPr>
          <w:color w:val="231F20"/>
          <w:spacing w:val="-9"/>
        </w:rPr>
        <w:t> </w:t>
      </w:r>
      <w:r>
        <w:rPr>
          <w:color w:val="231F20"/>
        </w:rPr>
        <w:t>consecuencia,</w:t>
      </w:r>
      <w:r>
        <w:rPr>
          <w:color w:val="231F20"/>
          <w:spacing w:val="-10"/>
        </w:rPr>
        <w:t> </w:t>
      </w:r>
      <w:r>
        <w:rPr>
          <w:color w:val="231F20"/>
        </w:rPr>
        <w:t>ocurre</w:t>
      </w:r>
      <w:r>
        <w:rPr>
          <w:color w:val="231F20"/>
          <w:spacing w:val="-9"/>
        </w:rPr>
        <w:t> </w:t>
      </w:r>
      <w:r>
        <w:rPr>
          <w:color w:val="231F20"/>
        </w:rPr>
        <w:t>un</w:t>
      </w:r>
      <w:r>
        <w:rPr>
          <w:color w:val="231F20"/>
          <w:spacing w:val="-9"/>
        </w:rPr>
        <w:t> </w:t>
      </w:r>
      <w:r>
        <w:rPr>
          <w:color w:val="231F20"/>
        </w:rPr>
        <w:t>pro- ceso de privatización de la ambivalencia que demanda de los individuos la capacidad de obtener respuestas a sus necesidades e inquietudes por medio del conocimiento especializado (Bauman, 1999:</w:t>
      </w:r>
      <w:r>
        <w:rPr>
          <w:color w:val="231F20"/>
          <w:spacing w:val="-3"/>
        </w:rPr>
        <w:t> </w:t>
      </w:r>
      <w:r>
        <w:rPr>
          <w:color w:val="231F20"/>
        </w:rPr>
        <w:t>207).</w:t>
      </w:r>
    </w:p>
    <w:p>
      <w:pPr>
        <w:pStyle w:val="BodyText"/>
        <w:spacing w:line="249" w:lineRule="auto" w:before="1"/>
        <w:ind w:left="110" w:right="111" w:firstLine="283"/>
        <w:jc w:val="both"/>
      </w:pPr>
      <w:r>
        <w:rPr>
          <w:color w:val="231F20"/>
        </w:rPr>
        <w:t>Si consideramos los argumentos presentados por Bauman, es</w:t>
      </w:r>
      <w:r>
        <w:rPr>
          <w:color w:val="231F20"/>
          <w:spacing w:val="-13"/>
        </w:rPr>
        <w:t> </w:t>
      </w:r>
      <w:r>
        <w:rPr>
          <w:color w:val="231F20"/>
        </w:rPr>
        <w:t>posible suponer que la valorización de las competencias especializadas también influye en los mercados de trabajo, haciendo que las ocupaciones con contenidos especializados sean todavía más centrales en el proceso de creación de valor. De ese modo, los trabajadores que desempeñan acti- vidades laborales especializadas tendrían mayores oportunidades de re- correr trayectorias ocupacionales menos marcadas por la incertidumbre, dado que disponen de un capital de calificación bien cotizado en el mer- cado de trabajo. En el marco de la polarización laboral de las</w:t>
      </w:r>
      <w:r>
        <w:rPr>
          <w:color w:val="231F20"/>
          <w:spacing w:val="-24"/>
        </w:rPr>
        <w:t> </w:t>
      </w:r>
      <w:r>
        <w:rPr>
          <w:color w:val="231F20"/>
        </w:rPr>
        <w:t>sociedades occidentales</w:t>
      </w:r>
      <w:r>
        <w:rPr>
          <w:color w:val="231F20"/>
          <w:spacing w:val="-11"/>
        </w:rPr>
        <w:t> </w:t>
      </w:r>
      <w:r>
        <w:rPr>
          <w:color w:val="231F20"/>
        </w:rPr>
        <w:t>contemporáneas,</w:t>
      </w:r>
      <w:r>
        <w:rPr>
          <w:color w:val="231F20"/>
          <w:spacing w:val="-12"/>
        </w:rPr>
        <w:t> </w:t>
      </w:r>
      <w:r>
        <w:rPr>
          <w:color w:val="231F20"/>
        </w:rPr>
        <w:t>como</w:t>
      </w:r>
      <w:r>
        <w:rPr>
          <w:color w:val="231F20"/>
          <w:spacing w:val="-11"/>
        </w:rPr>
        <w:t> </w:t>
      </w:r>
      <w:r>
        <w:rPr>
          <w:color w:val="231F20"/>
        </w:rPr>
        <w:t>subraya</w:t>
      </w:r>
      <w:r>
        <w:rPr>
          <w:color w:val="231F20"/>
          <w:spacing w:val="-10"/>
        </w:rPr>
        <w:t> </w:t>
      </w:r>
      <w:r>
        <w:rPr>
          <w:color w:val="231F20"/>
        </w:rPr>
        <w:t>Bauman,</w:t>
      </w:r>
      <w:r>
        <w:rPr>
          <w:color w:val="231F20"/>
          <w:spacing w:val="-11"/>
        </w:rPr>
        <w:t> </w:t>
      </w:r>
      <w:r>
        <w:rPr>
          <w:color w:val="231F20"/>
        </w:rPr>
        <w:t>el</w:t>
      </w:r>
      <w:r>
        <w:rPr>
          <w:color w:val="231F20"/>
          <w:spacing w:val="-11"/>
        </w:rPr>
        <w:t> </w:t>
      </w:r>
      <w:r>
        <w:rPr>
          <w:color w:val="231F20"/>
        </w:rPr>
        <w:t>especialista</w:t>
      </w:r>
      <w:r>
        <w:rPr>
          <w:color w:val="231F20"/>
          <w:spacing w:val="-12"/>
        </w:rPr>
        <w:t> </w:t>
      </w:r>
      <w:r>
        <w:rPr>
          <w:color w:val="231F20"/>
        </w:rPr>
        <w:t>está ubicado en la cúspide de la estructura del</w:t>
      </w:r>
      <w:r>
        <w:rPr>
          <w:color w:val="231F20"/>
          <w:spacing w:val="-3"/>
        </w:rPr>
        <w:t> </w:t>
      </w:r>
      <w:r>
        <w:rPr>
          <w:color w:val="231F20"/>
        </w:rPr>
        <w:t>empleo.</w:t>
      </w:r>
    </w:p>
    <w:p>
      <w:pPr>
        <w:pStyle w:val="BodyText"/>
        <w:spacing w:line="249" w:lineRule="auto" w:before="1"/>
        <w:ind w:left="110" w:right="111" w:firstLine="283"/>
        <w:jc w:val="both"/>
      </w:pPr>
      <w:r>
        <w:rPr>
          <w:color w:val="231F20"/>
        </w:rPr>
        <w:t>No obstante todo lo anterior, se considera que la principal limitación de</w:t>
      </w:r>
      <w:r>
        <w:rPr>
          <w:color w:val="231F20"/>
          <w:spacing w:val="-13"/>
        </w:rPr>
        <w:t> </w:t>
      </w:r>
      <w:r>
        <w:rPr>
          <w:color w:val="231F20"/>
        </w:rPr>
        <w:t>la</w:t>
      </w:r>
      <w:r>
        <w:rPr>
          <w:color w:val="231F20"/>
          <w:spacing w:val="-13"/>
        </w:rPr>
        <w:t> </w:t>
      </w:r>
      <w:r>
        <w:rPr>
          <w:color w:val="231F20"/>
        </w:rPr>
        <w:t>perspectiva</w:t>
      </w:r>
      <w:r>
        <w:rPr>
          <w:color w:val="231F20"/>
          <w:spacing w:val="-14"/>
        </w:rPr>
        <w:t> </w:t>
      </w:r>
      <w:r>
        <w:rPr>
          <w:color w:val="231F20"/>
        </w:rPr>
        <w:t>de</w:t>
      </w:r>
      <w:r>
        <w:rPr>
          <w:color w:val="231F20"/>
          <w:spacing w:val="-13"/>
        </w:rPr>
        <w:t> </w:t>
      </w:r>
      <w:r>
        <w:rPr>
          <w:color w:val="231F20"/>
        </w:rPr>
        <w:t>Bauman</w:t>
      </w:r>
      <w:r>
        <w:rPr>
          <w:color w:val="231F20"/>
          <w:spacing w:val="-13"/>
        </w:rPr>
        <w:t> </w:t>
      </w:r>
      <w:r>
        <w:rPr>
          <w:color w:val="231F20"/>
        </w:rPr>
        <w:t>es</w:t>
      </w:r>
      <w:r>
        <w:rPr>
          <w:color w:val="231F20"/>
          <w:spacing w:val="-14"/>
        </w:rPr>
        <w:t> </w:t>
      </w:r>
      <w:r>
        <w:rPr>
          <w:color w:val="231F20"/>
        </w:rPr>
        <w:t>su</w:t>
      </w:r>
      <w:r>
        <w:rPr>
          <w:color w:val="231F20"/>
          <w:spacing w:val="-13"/>
        </w:rPr>
        <w:t> </w:t>
      </w:r>
      <w:r>
        <w:rPr>
          <w:color w:val="231F20"/>
        </w:rPr>
        <w:t>generalidad.</w:t>
      </w:r>
      <w:r>
        <w:rPr>
          <w:color w:val="231F20"/>
          <w:spacing w:val="-24"/>
        </w:rPr>
        <w:t> </w:t>
      </w:r>
      <w:r>
        <w:rPr>
          <w:color w:val="231F20"/>
        </w:rPr>
        <w:t>Al</w:t>
      </w:r>
      <w:r>
        <w:rPr>
          <w:color w:val="231F20"/>
          <w:spacing w:val="-13"/>
        </w:rPr>
        <w:t> </w:t>
      </w:r>
      <w:r>
        <w:rPr>
          <w:color w:val="231F20"/>
        </w:rPr>
        <w:t>proponer</w:t>
      </w:r>
      <w:r>
        <w:rPr>
          <w:color w:val="231F20"/>
          <w:spacing w:val="-13"/>
        </w:rPr>
        <w:t> </w:t>
      </w:r>
      <w:r>
        <w:rPr>
          <w:color w:val="231F20"/>
        </w:rPr>
        <w:t>un</w:t>
      </w:r>
      <w:r>
        <w:rPr>
          <w:color w:val="231F20"/>
          <w:spacing w:val="-13"/>
        </w:rPr>
        <w:t> </w:t>
      </w:r>
      <w:r>
        <w:rPr>
          <w:color w:val="231F20"/>
        </w:rPr>
        <w:t>análisis</w:t>
      </w:r>
      <w:r>
        <w:rPr>
          <w:color w:val="231F20"/>
          <w:spacing w:val="-14"/>
        </w:rPr>
        <w:t> </w:t>
      </w:r>
      <w:r>
        <w:rPr>
          <w:color w:val="231F20"/>
        </w:rPr>
        <w:t>en términos de las consecuencias de la modernidad —que, como sabemos, es un proceso de transformación histórica de largo alcance—, Bauman termina por no incorporar supuestas diferencias derivadas de contextos sociales específicos. Algunos aspectos subrayados por el autor, como la creciente individualización del trabajo y la fragmentación de los lazos sociales,</w:t>
      </w:r>
      <w:r>
        <w:rPr>
          <w:color w:val="231F20"/>
          <w:spacing w:val="-6"/>
        </w:rPr>
        <w:t> </w:t>
      </w:r>
      <w:r>
        <w:rPr>
          <w:color w:val="231F20"/>
        </w:rPr>
        <w:t>merecen</w:t>
      </w:r>
      <w:r>
        <w:rPr>
          <w:color w:val="231F20"/>
          <w:spacing w:val="-6"/>
        </w:rPr>
        <w:t> </w:t>
      </w:r>
      <w:r>
        <w:rPr>
          <w:color w:val="231F20"/>
        </w:rPr>
        <w:t>ser</w:t>
      </w:r>
      <w:r>
        <w:rPr>
          <w:color w:val="231F20"/>
          <w:spacing w:val="-6"/>
        </w:rPr>
        <w:t> </w:t>
      </w:r>
      <w:r>
        <w:rPr>
          <w:color w:val="231F20"/>
        </w:rPr>
        <w:t>analizados</w:t>
      </w:r>
      <w:r>
        <w:rPr>
          <w:color w:val="231F20"/>
          <w:spacing w:val="-7"/>
        </w:rPr>
        <w:t> </w:t>
      </w:r>
      <w:r>
        <w:rPr>
          <w:color w:val="231F20"/>
        </w:rPr>
        <w:t>en</w:t>
      </w:r>
      <w:r>
        <w:rPr>
          <w:color w:val="231F20"/>
          <w:spacing w:val="-7"/>
        </w:rPr>
        <w:t> </w:t>
      </w:r>
      <w:r>
        <w:rPr>
          <w:color w:val="231F20"/>
        </w:rPr>
        <w:t>el</w:t>
      </w:r>
      <w:r>
        <w:rPr>
          <w:color w:val="231F20"/>
          <w:spacing w:val="-6"/>
        </w:rPr>
        <w:t> </w:t>
      </w:r>
      <w:r>
        <w:rPr>
          <w:color w:val="231F20"/>
        </w:rPr>
        <w:t>marco</w:t>
      </w:r>
      <w:r>
        <w:rPr>
          <w:color w:val="231F20"/>
          <w:spacing w:val="-7"/>
        </w:rPr>
        <w:t> </w:t>
      </w:r>
      <w:r>
        <w:rPr>
          <w:color w:val="231F20"/>
        </w:rPr>
        <w:t>de</w:t>
      </w:r>
      <w:r>
        <w:rPr>
          <w:color w:val="231F20"/>
          <w:spacing w:val="-6"/>
        </w:rPr>
        <w:t> </w:t>
      </w:r>
      <w:r>
        <w:rPr>
          <w:color w:val="231F20"/>
        </w:rPr>
        <w:t>cada</w:t>
      </w:r>
      <w:r>
        <w:rPr>
          <w:color w:val="231F20"/>
          <w:spacing w:val="-7"/>
        </w:rPr>
        <w:t> </w:t>
      </w:r>
      <w:r>
        <w:rPr>
          <w:color w:val="231F20"/>
        </w:rPr>
        <w:t>contexto</w:t>
      </w:r>
      <w:r>
        <w:rPr>
          <w:color w:val="231F20"/>
          <w:spacing w:val="-7"/>
        </w:rPr>
        <w:t> </w:t>
      </w:r>
      <w:r>
        <w:rPr>
          <w:color w:val="231F20"/>
        </w:rPr>
        <w:t>particular, abarcando especificidades nacionales, regionales o</w:t>
      </w:r>
      <w:r>
        <w:rPr>
          <w:color w:val="231F20"/>
          <w:spacing w:val="-11"/>
        </w:rPr>
        <w:t> </w:t>
      </w:r>
      <w:r>
        <w:rPr>
          <w:color w:val="231F20"/>
        </w:rPr>
        <w:t>sectoriales.</w:t>
      </w:r>
    </w:p>
    <w:p>
      <w:pPr>
        <w:pStyle w:val="BodyText"/>
        <w:spacing w:line="249" w:lineRule="auto" w:before="1"/>
        <w:ind w:left="110" w:right="111" w:firstLine="283"/>
        <w:jc w:val="both"/>
      </w:pPr>
      <w:r>
        <w:rPr>
          <w:color w:val="231F20"/>
          <w:spacing w:val="-5"/>
        </w:rPr>
        <w:t>Tal </w:t>
      </w:r>
      <w:r>
        <w:rPr>
          <w:color w:val="231F20"/>
        </w:rPr>
        <w:t>y como lo hace Bauman, Robert Castel (2005), al analizar algu- nos aspectos relacionados con la condición de los individuos en la mo- dernidad, considera que la seguridad e inseguridad sociales son las</w:t>
      </w:r>
      <w:r>
        <w:rPr>
          <w:color w:val="231F20"/>
          <w:spacing w:val="-29"/>
        </w:rPr>
        <w:t> </w:t>
      </w:r>
      <w:r>
        <w:rPr>
          <w:color w:val="231F20"/>
        </w:rPr>
        <w:t>caras de</w:t>
      </w:r>
      <w:r>
        <w:rPr>
          <w:color w:val="231F20"/>
          <w:spacing w:val="-11"/>
        </w:rPr>
        <w:t> </w:t>
      </w:r>
      <w:r>
        <w:rPr>
          <w:color w:val="231F20"/>
        </w:rPr>
        <w:t>una</w:t>
      </w:r>
      <w:r>
        <w:rPr>
          <w:color w:val="231F20"/>
          <w:spacing w:val="-11"/>
        </w:rPr>
        <w:t> </w:t>
      </w:r>
      <w:r>
        <w:rPr>
          <w:color w:val="231F20"/>
        </w:rPr>
        <w:t>misma</w:t>
      </w:r>
      <w:r>
        <w:rPr>
          <w:color w:val="231F20"/>
          <w:spacing w:val="-11"/>
        </w:rPr>
        <w:t> </w:t>
      </w:r>
      <w:r>
        <w:rPr>
          <w:color w:val="231F20"/>
        </w:rPr>
        <w:t>moneda.</w:t>
      </w:r>
      <w:r>
        <w:rPr>
          <w:color w:val="231F20"/>
          <w:spacing w:val="-11"/>
        </w:rPr>
        <w:t> </w:t>
      </w:r>
      <w:r>
        <w:rPr>
          <w:color w:val="231F20"/>
        </w:rPr>
        <w:t>Según</w:t>
      </w:r>
      <w:r>
        <w:rPr>
          <w:color w:val="231F20"/>
          <w:spacing w:val="-11"/>
        </w:rPr>
        <w:t> </w:t>
      </w:r>
      <w:r>
        <w:rPr>
          <w:color w:val="231F20"/>
        </w:rPr>
        <w:t>este</w:t>
      </w:r>
      <w:r>
        <w:rPr>
          <w:color w:val="231F20"/>
          <w:spacing w:val="-11"/>
        </w:rPr>
        <w:t> </w:t>
      </w:r>
      <w:r>
        <w:rPr>
          <w:color w:val="231F20"/>
        </w:rPr>
        <w:t>autor,</w:t>
      </w:r>
      <w:r>
        <w:rPr>
          <w:color w:val="231F20"/>
          <w:spacing w:val="-11"/>
        </w:rPr>
        <w:t> </w:t>
      </w:r>
      <w:r>
        <w:rPr>
          <w:color w:val="231F20"/>
        </w:rPr>
        <w:t>las</w:t>
      </w:r>
      <w:r>
        <w:rPr>
          <w:color w:val="231F20"/>
          <w:spacing w:val="-11"/>
        </w:rPr>
        <w:t> </w:t>
      </w:r>
      <w:r>
        <w:rPr>
          <w:color w:val="231F20"/>
        </w:rPr>
        <w:t>sociedades</w:t>
      </w:r>
      <w:r>
        <w:rPr>
          <w:color w:val="231F20"/>
          <w:spacing w:val="-10"/>
        </w:rPr>
        <w:t> </w:t>
      </w:r>
      <w:r>
        <w:rPr>
          <w:color w:val="231F20"/>
        </w:rPr>
        <w:t>occidentales</w:t>
      </w:r>
      <w:r>
        <w:rPr>
          <w:color w:val="231F20"/>
          <w:spacing w:val="-11"/>
        </w:rPr>
        <w:t> </w:t>
      </w:r>
      <w:r>
        <w:rPr>
          <w:color w:val="231F20"/>
        </w:rPr>
        <w:t>mo- dernas</w:t>
      </w:r>
      <w:r>
        <w:rPr>
          <w:color w:val="231F20"/>
          <w:spacing w:val="-8"/>
        </w:rPr>
        <w:t> </w:t>
      </w:r>
      <w:r>
        <w:rPr>
          <w:color w:val="231F20"/>
        </w:rPr>
        <w:t>—Europa</w:t>
      </w:r>
      <w:r>
        <w:rPr>
          <w:color w:val="231F20"/>
          <w:spacing w:val="-8"/>
        </w:rPr>
        <w:t> </w:t>
      </w:r>
      <w:r>
        <w:rPr>
          <w:color w:val="231F20"/>
        </w:rPr>
        <w:t>central,</w:t>
      </w:r>
      <w:r>
        <w:rPr>
          <w:color w:val="231F20"/>
          <w:spacing w:val="-9"/>
        </w:rPr>
        <w:t> </w:t>
      </w:r>
      <w:r>
        <w:rPr>
          <w:color w:val="231F20"/>
        </w:rPr>
        <w:t>Estados</w:t>
      </w:r>
      <w:r>
        <w:rPr>
          <w:color w:val="231F20"/>
          <w:spacing w:val="-9"/>
        </w:rPr>
        <w:t> </w:t>
      </w:r>
      <w:r>
        <w:rPr>
          <w:color w:val="231F20"/>
        </w:rPr>
        <w:t>Unidos</w:t>
      </w:r>
      <w:r>
        <w:rPr>
          <w:color w:val="231F20"/>
          <w:spacing w:val="-8"/>
        </w:rPr>
        <w:t> </w:t>
      </w:r>
      <w:r>
        <w:rPr>
          <w:color w:val="231F20"/>
        </w:rPr>
        <w:t>y</w:t>
      </w:r>
      <w:r>
        <w:rPr>
          <w:color w:val="231F20"/>
          <w:spacing w:val="-8"/>
        </w:rPr>
        <w:t> </w:t>
      </w:r>
      <w:r>
        <w:rPr>
          <w:color w:val="231F20"/>
        </w:rPr>
        <w:t>Canadá—</w:t>
      </w:r>
      <w:r>
        <w:rPr>
          <w:color w:val="231F20"/>
          <w:spacing w:val="-8"/>
        </w:rPr>
        <w:t> </w:t>
      </w:r>
      <w:r>
        <w:rPr>
          <w:color w:val="231F20"/>
        </w:rPr>
        <w:t>están</w:t>
      </w:r>
      <w:r>
        <w:rPr>
          <w:color w:val="231F20"/>
          <w:spacing w:val="-8"/>
        </w:rPr>
        <w:t> </w:t>
      </w:r>
      <w:r>
        <w:rPr>
          <w:color w:val="231F20"/>
        </w:rPr>
        <w:t>consideradas entre</w:t>
      </w:r>
      <w:r>
        <w:rPr>
          <w:color w:val="231F20"/>
          <w:spacing w:val="26"/>
        </w:rPr>
        <w:t> </w:t>
      </w:r>
      <w:r>
        <w:rPr>
          <w:color w:val="231F20"/>
        </w:rPr>
        <w:t>las</w:t>
      </w:r>
      <w:r>
        <w:rPr>
          <w:color w:val="231F20"/>
          <w:spacing w:val="26"/>
        </w:rPr>
        <w:t> </w:t>
      </w:r>
      <w:r>
        <w:rPr>
          <w:color w:val="231F20"/>
        </w:rPr>
        <w:t>más</w:t>
      </w:r>
      <w:r>
        <w:rPr>
          <w:color w:val="231F20"/>
          <w:spacing w:val="26"/>
        </w:rPr>
        <w:t> </w:t>
      </w:r>
      <w:r>
        <w:rPr>
          <w:color w:val="231F20"/>
        </w:rPr>
        <w:t>seguras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historia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humanidad.</w:t>
      </w:r>
      <w:r>
        <w:rPr>
          <w:color w:val="231F20"/>
          <w:spacing w:val="26"/>
        </w:rPr>
        <w:t> </w:t>
      </w:r>
      <w:r>
        <w:rPr>
          <w:color w:val="231F20"/>
        </w:rPr>
        <w:t>No</w:t>
      </w:r>
      <w:r>
        <w:rPr>
          <w:color w:val="231F20"/>
          <w:spacing w:val="26"/>
        </w:rPr>
        <w:t> </w:t>
      </w:r>
      <w:r>
        <w:rPr>
          <w:color w:val="231F20"/>
        </w:rPr>
        <w:t>obstante,</w:t>
      </w:r>
      <w:r>
        <w:rPr>
          <w:color w:val="231F20"/>
          <w:spacing w:val="26"/>
        </w:rPr>
        <w:t> </w:t>
      </w:r>
      <w:r>
        <w:rPr>
          <w:color w:val="231F20"/>
        </w:rPr>
        <w:t>el</w:t>
      </w:r>
    </w:p>
    <w:p>
      <w:pPr>
        <w:spacing w:before="116"/>
        <w:ind w:left="110" w:right="111" w:firstLine="0"/>
        <w:jc w:val="both"/>
        <w:rPr>
          <w:sz w:val="14"/>
        </w:rPr>
      </w:pPr>
      <w:r>
        <w:rPr>
          <w:color w:val="231F20"/>
          <w:position w:val="5"/>
          <w:sz w:val="8"/>
        </w:rPr>
        <w:t>2 </w:t>
      </w:r>
      <w:r>
        <w:rPr>
          <w:color w:val="231F20"/>
          <w:sz w:val="14"/>
        </w:rPr>
        <w:t>Ejemplo de ello sería la ciencia, que al mismo tiempo que contribuye al ordenamiento del mundo, a través de la producción de conocimiento, está inmersa en los múltiples discursos y disensos inherentes al campo científico.</w:t>
      </w:r>
    </w:p>
    <w:p>
      <w:pPr>
        <w:spacing w:after="0"/>
        <w:jc w:val="both"/>
        <w:rPr>
          <w:sz w:val="14"/>
        </w:rPr>
        <w:sectPr>
          <w:pgSz w:w="7770" w:h="11740"/>
          <w:pgMar w:header="0" w:footer="559" w:top="840" w:bottom="740" w:left="740" w:right="1020"/>
        </w:sectPr>
      </w:pPr>
    </w:p>
    <w:p>
      <w:pPr>
        <w:pStyle w:val="BodyText"/>
        <w:spacing w:line="249" w:lineRule="auto" w:before="60"/>
        <w:ind w:left="113" w:right="107"/>
        <w:jc w:val="both"/>
      </w:pPr>
      <w:r>
        <w:rPr>
          <w:color w:val="231F20"/>
        </w:rPr>
        <w:t>autor sostiene que en la actualidad se experimenta un sentimiento de in- seguridad, compartido colectivamente, generado a partir de la búsqueda de seguridad. Castel argumenta que en las sociedades modernas, donde los sistemas de protección social no pueden ser plenamente acatados, están en conflicto las expectativas de seguridad socialmente</w:t>
      </w:r>
      <w:r>
        <w:rPr>
          <w:color w:val="231F20"/>
          <w:spacing w:val="-28"/>
        </w:rPr>
        <w:t> </w:t>
      </w:r>
      <w:r>
        <w:rPr>
          <w:color w:val="231F20"/>
        </w:rPr>
        <w:t>construidas, y la capacidad real de las sociedades para proveerla. Para Castel, el sen- timiento de inseguridad vivido en la actualidad no tiene que ver con las amenazas</w:t>
      </w:r>
      <w:r>
        <w:rPr>
          <w:color w:val="231F20"/>
          <w:spacing w:val="-11"/>
        </w:rPr>
        <w:t> </w:t>
      </w:r>
      <w:r>
        <w:rPr>
          <w:color w:val="231F20"/>
        </w:rPr>
        <w:t>reales</w:t>
      </w:r>
      <w:r>
        <w:rPr>
          <w:color w:val="231F20"/>
          <w:spacing w:val="-10"/>
        </w:rPr>
        <w:t> </w:t>
      </w:r>
      <w:r>
        <w:rPr>
          <w:color w:val="231F20"/>
        </w:rPr>
        <w:t>sino</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resultado</w:t>
      </w:r>
      <w:r>
        <w:rPr>
          <w:color w:val="231F20"/>
          <w:spacing w:val="-10"/>
        </w:rPr>
        <w:t> </w:t>
      </w:r>
      <w:r>
        <w:rPr>
          <w:color w:val="231F20"/>
        </w:rPr>
        <w:t>del</w:t>
      </w:r>
      <w:r>
        <w:rPr>
          <w:color w:val="231F20"/>
          <w:spacing w:val="-10"/>
        </w:rPr>
        <w:t> </w:t>
      </w:r>
      <w:r>
        <w:rPr>
          <w:color w:val="231F20"/>
        </w:rPr>
        <w:t>desplazamiento</w:t>
      </w:r>
      <w:r>
        <w:rPr>
          <w:color w:val="231F20"/>
          <w:spacing w:val="-10"/>
        </w:rPr>
        <w:t> </w:t>
      </w:r>
      <w:r>
        <w:rPr>
          <w:color w:val="231F20"/>
        </w:rPr>
        <w:t>ininterrumpido de las exigencias por protección, en la medida en que anteriormente</w:t>
      </w:r>
      <w:r>
        <w:rPr>
          <w:color w:val="231F20"/>
          <w:spacing w:val="-34"/>
        </w:rPr>
        <w:t> </w:t>
      </w:r>
      <w:r>
        <w:rPr>
          <w:color w:val="231F20"/>
        </w:rPr>
        <w:t>esas demandas eran satisfechas (Castel, 2005:</w:t>
      </w:r>
      <w:r>
        <w:rPr>
          <w:color w:val="231F20"/>
          <w:spacing w:val="-19"/>
        </w:rPr>
        <w:t> </w:t>
      </w:r>
      <w:r>
        <w:rPr>
          <w:color w:val="231F20"/>
        </w:rPr>
        <w:t>7-11).</w:t>
      </w:r>
    </w:p>
    <w:p>
      <w:pPr>
        <w:pStyle w:val="BodyText"/>
        <w:spacing w:line="249" w:lineRule="auto" w:before="1"/>
        <w:ind w:left="113" w:right="107" w:firstLine="283"/>
        <w:jc w:val="both"/>
      </w:pPr>
      <w:r>
        <w:rPr>
          <w:color w:val="231F20"/>
        </w:rPr>
        <w:t>La noción de inseguridad desarrollada por Castel remite a la inca- pacidad de los individuos para garantizar la subsistencia a través de    sus propios medios y recursos. De esa manera, concomitantemente a la constitución del Estado liberal en el siglo XVIII surgió la noción de que la propiedad privada, vinculada a un Estado de derecho, son condicio- nes necesarias para la seguridad de los ciudadanos. En consecuencia, también surgió la cuestión de cómo garantizar la seguridad de los de- más miembros de la sociedad, es decir, de los no propietarios. Castel argumenta que tal </w:t>
      </w:r>
      <w:r>
        <w:rPr>
          <w:i/>
          <w:color w:val="231F20"/>
        </w:rPr>
        <w:t>impasse </w:t>
      </w:r>
      <w:r>
        <w:rPr>
          <w:color w:val="231F20"/>
        </w:rPr>
        <w:t>fue solucionado concediendo una importante protección al trabajo por medio de un nuevo tipo de propiedad, en este caso de naturaleza social: el empleo, dotado de derechos y protecciones sociales.</w:t>
      </w:r>
    </w:p>
    <w:p>
      <w:pPr>
        <w:pStyle w:val="BodyText"/>
        <w:spacing w:line="249" w:lineRule="auto" w:before="1"/>
        <w:ind w:left="113" w:right="107" w:firstLine="283"/>
        <w:jc w:val="both"/>
      </w:pPr>
      <w:r>
        <w:rPr>
          <w:color w:val="231F20"/>
          <w:spacing w:val="-5"/>
        </w:rPr>
        <w:t>Tal  </w:t>
      </w:r>
      <w:r>
        <w:rPr>
          <w:color w:val="231F20"/>
        </w:rPr>
        <w:t>y como la propiedad privada, la propiedad social está dirigida    a la seguridad de los individuos, condición necesaria para la cohesión social. De ahí surgió la sociedad salarial, fuertemente jerarquizada, pero también fuertemente protectora. Castel argumenta que capital y trabajo se articularon como aliados sociales para establecer la agenda del fu- turo, teniendo como objetivo la eliminación de riesgos de inseguridad social.  En  consecuencia,  surgieron  sistemas  de  regulación </w:t>
      </w:r>
      <w:r>
        <w:rPr>
          <w:color w:val="231F20"/>
          <w:spacing w:val="22"/>
        </w:rPr>
        <w:t> </w:t>
      </w:r>
      <w:r>
        <w:rPr>
          <w:color w:val="231F20"/>
        </w:rPr>
        <w:t>colectiva</w:t>
      </w:r>
    </w:p>
    <w:p>
      <w:pPr>
        <w:pStyle w:val="BodyText"/>
        <w:spacing w:line="249" w:lineRule="auto" w:before="1"/>
        <w:ind w:left="113" w:right="108"/>
        <w:jc w:val="both"/>
      </w:pPr>
      <w:r>
        <w:rPr>
          <w:color w:val="231F20"/>
        </w:rPr>
        <w:t>—como el derecho al trabajo y a la protección social— con el propósito de</w:t>
      </w:r>
      <w:r>
        <w:rPr>
          <w:color w:val="231F20"/>
          <w:spacing w:val="-8"/>
        </w:rPr>
        <w:t> </w:t>
      </w:r>
      <w:r>
        <w:rPr>
          <w:color w:val="231F20"/>
        </w:rPr>
        <w:t>atenuar</w:t>
      </w:r>
      <w:r>
        <w:rPr>
          <w:color w:val="231F20"/>
          <w:spacing w:val="-8"/>
        </w:rPr>
        <w:t> </w:t>
      </w:r>
      <w:r>
        <w:rPr>
          <w:color w:val="231F20"/>
        </w:rPr>
        <w:t>las</w:t>
      </w:r>
      <w:r>
        <w:rPr>
          <w:color w:val="231F20"/>
          <w:spacing w:val="-8"/>
        </w:rPr>
        <w:t> </w:t>
      </w:r>
      <w:r>
        <w:rPr>
          <w:color w:val="231F20"/>
        </w:rPr>
        <w:t>desigualdades</w:t>
      </w:r>
      <w:r>
        <w:rPr>
          <w:color w:val="231F20"/>
          <w:spacing w:val="-8"/>
        </w:rPr>
        <w:t> </w:t>
      </w:r>
      <w:r>
        <w:rPr>
          <w:color w:val="231F20"/>
        </w:rPr>
        <w:t>inherentes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relación</w:t>
      </w:r>
      <w:r>
        <w:rPr>
          <w:color w:val="231F20"/>
          <w:spacing w:val="-8"/>
        </w:rPr>
        <w:t> </w:t>
      </w:r>
      <w:r>
        <w:rPr>
          <w:color w:val="231F20"/>
        </w:rPr>
        <w:t>capital/trabajo</w:t>
      </w:r>
      <w:r>
        <w:rPr>
          <w:color w:val="231F20"/>
          <w:spacing w:val="-9"/>
        </w:rPr>
        <w:t> </w:t>
      </w:r>
      <w:r>
        <w:rPr>
          <w:color w:val="231F20"/>
        </w:rPr>
        <w:t>(Cas- tel, 2005:</w:t>
      </w:r>
      <w:r>
        <w:rPr>
          <w:color w:val="231F20"/>
          <w:spacing w:val="-1"/>
        </w:rPr>
        <w:t> </w:t>
      </w:r>
      <w:r>
        <w:rPr>
          <w:color w:val="231F20"/>
        </w:rPr>
        <w:t>35).</w:t>
      </w:r>
    </w:p>
    <w:p>
      <w:pPr>
        <w:pStyle w:val="BodyText"/>
        <w:spacing w:line="249" w:lineRule="auto" w:before="1"/>
        <w:ind w:left="113" w:right="107" w:firstLine="283"/>
        <w:jc w:val="both"/>
      </w:pPr>
      <w:r>
        <w:rPr>
          <w:color w:val="231F20"/>
        </w:rPr>
        <w:t>No obstante, la crisis que afectó a la sociedad en el último cuarto del siglo XX puso en jaque al sistema de protección social característico del periodo</w:t>
      </w:r>
      <w:r>
        <w:rPr>
          <w:color w:val="231F20"/>
          <w:spacing w:val="-5"/>
        </w:rPr>
        <w:t> </w:t>
      </w:r>
      <w:r>
        <w:rPr>
          <w:color w:val="231F20"/>
        </w:rPr>
        <w:t>posterior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Segunda</w:t>
      </w:r>
      <w:r>
        <w:rPr>
          <w:color w:val="231F20"/>
          <w:spacing w:val="-5"/>
        </w:rPr>
        <w:t> </w:t>
      </w:r>
      <w:r>
        <w:rPr>
          <w:color w:val="231F20"/>
        </w:rPr>
        <w:t>Guerra</w:t>
      </w:r>
      <w:r>
        <w:rPr>
          <w:color w:val="231F20"/>
          <w:spacing w:val="-5"/>
        </w:rPr>
        <w:t> </w:t>
      </w:r>
      <w:r>
        <w:rPr>
          <w:color w:val="231F20"/>
        </w:rPr>
        <w:t>Mundial.</w:t>
      </w:r>
      <w:r>
        <w:rPr>
          <w:color w:val="231F20"/>
          <w:spacing w:val="-5"/>
        </w:rPr>
        <w:t> </w:t>
      </w:r>
      <w:r>
        <w:rPr>
          <w:color w:val="231F20"/>
        </w:rPr>
        <w:t>Como</w:t>
      </w:r>
      <w:r>
        <w:rPr>
          <w:color w:val="231F20"/>
          <w:spacing w:val="-5"/>
        </w:rPr>
        <w:t> </w:t>
      </w:r>
      <w:r>
        <w:rPr>
          <w:color w:val="231F20"/>
        </w:rPr>
        <w:t>símbolos</w:t>
      </w:r>
      <w:r>
        <w:rPr>
          <w:color w:val="231F20"/>
          <w:spacing w:val="-5"/>
        </w:rPr>
        <w:t> </w:t>
      </w:r>
      <w:r>
        <w:rPr>
          <w:color w:val="231F20"/>
        </w:rPr>
        <w:t>visibles de esta crisis, Castel cita el aumento del desempleo, la precarización de las relaciones de trabajo y las formas atípicas de contratación, aspectos que en conjunto acarrean grados más elevados de vulnerabilidad social (Castel, 1998: 513-518).</w:t>
      </w:r>
    </w:p>
    <w:p>
      <w:pPr>
        <w:pStyle w:val="BodyText"/>
        <w:spacing w:before="1"/>
        <w:ind w:left="397"/>
      </w:pPr>
      <w:r>
        <w:rPr>
          <w:color w:val="231F20"/>
        </w:rPr>
        <w:t>Por otro lado, la crisis que marcó a la sociedad salarial ocurrió pa-</w:t>
      </w:r>
    </w:p>
    <w:p>
      <w:pPr>
        <w:spacing w:after="0"/>
        <w:sectPr>
          <w:footerReference w:type="default" r:id="rId31"/>
          <w:pgSz w:w="7770" w:h="11740"/>
          <w:pgMar w:footer="559" w:header="0" w:top="840" w:bottom="740" w:left="1020" w:right="740"/>
          <w:pgNumType w:start="43"/>
        </w:sectPr>
      </w:pPr>
    </w:p>
    <w:p>
      <w:pPr>
        <w:pStyle w:val="BodyText"/>
        <w:spacing w:line="249" w:lineRule="auto" w:before="60"/>
        <w:ind w:left="110" w:right="111"/>
        <w:jc w:val="both"/>
      </w:pPr>
      <w:r>
        <w:rPr>
          <w:color w:val="231F20"/>
        </w:rPr>
        <w:t>ralelamente a la fragmentación de las categorías socio-profesionales homogéneas, pivote del sistema colectivo de protección social. Según Castel, el escenario surgido de ese proceso apunta a la diversificación  de las categorías profesionales y de las desigualdades, que también son significativas al interior de una misma categoría profesional, así como entre</w:t>
      </w:r>
      <w:r>
        <w:rPr>
          <w:color w:val="231F20"/>
          <w:spacing w:val="-9"/>
        </w:rPr>
        <w:t> </w:t>
      </w:r>
      <w:r>
        <w:rPr>
          <w:color w:val="231F20"/>
        </w:rPr>
        <w:t>trabajadores</w:t>
      </w:r>
      <w:r>
        <w:rPr>
          <w:color w:val="231F20"/>
          <w:spacing w:val="-9"/>
        </w:rPr>
        <w:t> </w:t>
      </w:r>
      <w:r>
        <w:rPr>
          <w:color w:val="231F20"/>
        </w:rPr>
        <w:t>portadores</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nivel</w:t>
      </w:r>
      <w:r>
        <w:rPr>
          <w:color w:val="231F20"/>
          <w:spacing w:val="-9"/>
        </w:rPr>
        <w:t> </w:t>
      </w:r>
      <w:r>
        <w:rPr>
          <w:color w:val="231F20"/>
        </w:rPr>
        <w:t>similar</w:t>
      </w:r>
      <w:r>
        <w:rPr>
          <w:color w:val="231F20"/>
          <w:spacing w:val="-9"/>
        </w:rPr>
        <w:t> </w:t>
      </w:r>
      <w:r>
        <w:rPr>
          <w:color w:val="231F20"/>
        </w:rPr>
        <w:t>de</w:t>
      </w:r>
      <w:r>
        <w:rPr>
          <w:color w:val="231F20"/>
          <w:spacing w:val="-9"/>
        </w:rPr>
        <w:t> </w:t>
      </w:r>
      <w:r>
        <w:rPr>
          <w:color w:val="231F20"/>
        </w:rPr>
        <w:t>calificación.</w:t>
      </w:r>
      <w:r>
        <w:rPr>
          <w:color w:val="231F20"/>
          <w:spacing w:val="-9"/>
        </w:rPr>
        <w:t> </w:t>
      </w:r>
      <w:r>
        <w:rPr>
          <w:color w:val="231F20"/>
        </w:rPr>
        <w:t>En</w:t>
      </w:r>
      <w:r>
        <w:rPr>
          <w:color w:val="231F20"/>
          <w:spacing w:val="-9"/>
        </w:rPr>
        <w:t> </w:t>
      </w:r>
      <w:r>
        <w:rPr>
          <w:color w:val="231F20"/>
        </w:rPr>
        <w:t>resu- men, para Castel el mundo del trabajo pasó a estructurarse en relaciones individualizadas e inestables, basadas en una movilidad generalizada en el mercado de</w:t>
      </w:r>
      <w:r>
        <w:rPr>
          <w:color w:val="231F20"/>
          <w:spacing w:val="-1"/>
        </w:rPr>
        <w:t> </w:t>
      </w:r>
      <w:r>
        <w:rPr>
          <w:color w:val="231F20"/>
        </w:rPr>
        <w:t>trabajo.</w:t>
      </w:r>
    </w:p>
    <w:p>
      <w:pPr>
        <w:pStyle w:val="BodyText"/>
        <w:spacing w:line="249" w:lineRule="auto" w:before="1"/>
        <w:ind w:left="110" w:right="110" w:firstLine="283"/>
        <w:jc w:val="both"/>
      </w:pPr>
      <w:r>
        <w:rPr>
          <w:color w:val="231F20"/>
        </w:rPr>
        <w:t>En este contexto, para Castel, la trayectoria ocupacional se está vol- viendo</w:t>
      </w:r>
      <w:r>
        <w:rPr>
          <w:color w:val="231F20"/>
          <w:spacing w:val="-4"/>
        </w:rPr>
        <w:t> </w:t>
      </w:r>
      <w:r>
        <w:rPr>
          <w:color w:val="231F20"/>
        </w:rPr>
        <w:t>movible</w:t>
      </w:r>
      <w:r>
        <w:rPr>
          <w:color w:val="231F20"/>
          <w:spacing w:val="-5"/>
        </w:rPr>
        <w:t> </w:t>
      </w:r>
      <w:r>
        <w:rPr>
          <w:color w:val="231F20"/>
        </w:rPr>
        <w:t>y</w:t>
      </w:r>
      <w:r>
        <w:rPr>
          <w:color w:val="231F20"/>
          <w:spacing w:val="-4"/>
        </w:rPr>
        <w:t> </w:t>
      </w:r>
      <w:r>
        <w:rPr>
          <w:color w:val="231F20"/>
        </w:rPr>
        <w:t>las</w:t>
      </w:r>
      <w:r>
        <w:rPr>
          <w:color w:val="231F20"/>
          <w:spacing w:val="-4"/>
        </w:rPr>
        <w:t> </w:t>
      </w:r>
      <w:r>
        <w:rPr>
          <w:color w:val="231F20"/>
        </w:rPr>
        <w:t>carreras</w:t>
      </w:r>
      <w:r>
        <w:rPr>
          <w:color w:val="231F20"/>
          <w:spacing w:val="-5"/>
        </w:rPr>
        <w:t> </w:t>
      </w:r>
      <w:r>
        <w:rPr>
          <w:color w:val="231F20"/>
        </w:rPr>
        <w:t>laborales</w:t>
      </w:r>
      <w:r>
        <w:rPr>
          <w:color w:val="231F20"/>
          <w:spacing w:val="-5"/>
        </w:rPr>
        <w:t> </w:t>
      </w:r>
      <w:r>
        <w:rPr>
          <w:color w:val="231F20"/>
        </w:rPr>
        <w:t>pasan</w:t>
      </w:r>
      <w:r>
        <w:rPr>
          <w:color w:val="231F20"/>
          <w:spacing w:val="-4"/>
        </w:rPr>
        <w:t> </w:t>
      </w:r>
      <w:r>
        <w:rPr>
          <w:color w:val="231F20"/>
        </w:rPr>
        <w:t>a</w:t>
      </w:r>
      <w:r>
        <w:rPr>
          <w:color w:val="231F20"/>
          <w:spacing w:val="-4"/>
        </w:rPr>
        <w:t> </w:t>
      </w:r>
      <w:r>
        <w:rPr>
          <w:color w:val="231F20"/>
        </w:rPr>
        <w:t>ser</w:t>
      </w:r>
      <w:r>
        <w:rPr>
          <w:color w:val="231F20"/>
          <w:spacing w:val="-4"/>
        </w:rPr>
        <w:t> </w:t>
      </w:r>
      <w:r>
        <w:rPr>
          <w:color w:val="231F20"/>
        </w:rPr>
        <w:t>construidas</w:t>
      </w:r>
      <w:r>
        <w:rPr>
          <w:color w:val="231F20"/>
          <w:spacing w:val="-5"/>
        </w:rPr>
        <w:t> </w:t>
      </w:r>
      <w:r>
        <w:rPr>
          <w:color w:val="231F20"/>
        </w:rPr>
        <w:t>a</w:t>
      </w:r>
      <w:r>
        <w:rPr>
          <w:color w:val="231F20"/>
          <w:spacing w:val="-4"/>
        </w:rPr>
        <w:t> </w:t>
      </w:r>
      <w:r>
        <w:rPr>
          <w:color w:val="231F20"/>
        </w:rPr>
        <w:t>lo</w:t>
      </w:r>
      <w:r>
        <w:rPr>
          <w:color w:val="231F20"/>
          <w:spacing w:val="-4"/>
        </w:rPr>
        <w:t> </w:t>
      </w:r>
      <w:r>
        <w:rPr>
          <w:color w:val="231F20"/>
        </w:rPr>
        <w:t>largo de diversas inserciones y reinserciones en el mercado de trabajo en el transcurso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productiva.</w:t>
      </w:r>
      <w:r>
        <w:rPr>
          <w:color w:val="231F20"/>
          <w:spacing w:val="-18"/>
        </w:rPr>
        <w:t> </w:t>
      </w:r>
      <w:r>
        <w:rPr>
          <w:color w:val="231F20"/>
        </w:rPr>
        <w:t>Aunque</w:t>
      </w:r>
      <w:r>
        <w:rPr>
          <w:color w:val="231F20"/>
          <w:spacing w:val="-8"/>
        </w:rPr>
        <w:t> </w:t>
      </w:r>
      <w:r>
        <w:rPr>
          <w:color w:val="231F20"/>
        </w:rPr>
        <w:t>esta</w:t>
      </w:r>
      <w:r>
        <w:rPr>
          <w:color w:val="231F20"/>
          <w:spacing w:val="-8"/>
        </w:rPr>
        <w:t> </w:t>
      </w:r>
      <w:r>
        <w:rPr>
          <w:color w:val="231F20"/>
        </w:rPr>
        <w:t>situación</w:t>
      </w:r>
      <w:r>
        <w:rPr>
          <w:color w:val="231F20"/>
          <w:spacing w:val="-7"/>
        </w:rPr>
        <w:t> </w:t>
      </w:r>
      <w:r>
        <w:rPr>
          <w:color w:val="231F20"/>
        </w:rPr>
        <w:t>afecta</w:t>
      </w:r>
      <w:r>
        <w:rPr>
          <w:color w:val="231F20"/>
          <w:spacing w:val="-8"/>
        </w:rPr>
        <w:t> </w:t>
      </w:r>
      <w:r>
        <w:rPr>
          <w:color w:val="231F20"/>
        </w:rPr>
        <w:t>a</w:t>
      </w:r>
      <w:r>
        <w:rPr>
          <w:color w:val="231F20"/>
          <w:spacing w:val="-8"/>
        </w:rPr>
        <w:t> </w:t>
      </w:r>
      <w:r>
        <w:rPr>
          <w:color w:val="231F20"/>
        </w:rPr>
        <w:t>todos</w:t>
      </w:r>
      <w:r>
        <w:rPr>
          <w:color w:val="231F20"/>
          <w:spacing w:val="-8"/>
        </w:rPr>
        <w:t> </w:t>
      </w:r>
      <w:r>
        <w:rPr>
          <w:color w:val="231F20"/>
        </w:rPr>
        <w:t>los grupos profesionales, el impacto de la movilidad no les afecta por igual: este autor considera que la mayor inestabilidad puede observarse en</w:t>
      </w:r>
      <w:r>
        <w:rPr>
          <w:color w:val="231F20"/>
          <w:spacing w:val="-34"/>
        </w:rPr>
        <w:t> </w:t>
      </w:r>
      <w:r>
        <w:rPr>
          <w:color w:val="231F20"/>
        </w:rPr>
        <w:t>seg- mentos</w:t>
      </w:r>
      <w:r>
        <w:rPr>
          <w:color w:val="231F20"/>
          <w:spacing w:val="-8"/>
        </w:rPr>
        <w:t> </w:t>
      </w:r>
      <w:r>
        <w:rPr>
          <w:color w:val="231F20"/>
        </w:rPr>
        <w:t>de</w:t>
      </w:r>
      <w:r>
        <w:rPr>
          <w:color w:val="231F20"/>
          <w:spacing w:val="-8"/>
        </w:rPr>
        <w:t> </w:t>
      </w:r>
      <w:r>
        <w:rPr>
          <w:color w:val="231F20"/>
        </w:rPr>
        <w:t>actividades</w:t>
      </w:r>
      <w:r>
        <w:rPr>
          <w:color w:val="231F20"/>
          <w:spacing w:val="-8"/>
        </w:rPr>
        <w:t> </w:t>
      </w:r>
      <w:r>
        <w:rPr>
          <w:color w:val="231F20"/>
        </w:rPr>
        <w:t>relacionadas</w:t>
      </w:r>
      <w:r>
        <w:rPr>
          <w:color w:val="231F20"/>
          <w:spacing w:val="-8"/>
        </w:rPr>
        <w:t> </w:t>
      </w:r>
      <w:r>
        <w:rPr>
          <w:color w:val="231F20"/>
        </w:rPr>
        <w:t>con</w:t>
      </w:r>
      <w:r>
        <w:rPr>
          <w:color w:val="231F20"/>
          <w:spacing w:val="-8"/>
        </w:rPr>
        <w:t> </w:t>
      </w:r>
      <w:r>
        <w:rPr>
          <w:color w:val="231F20"/>
        </w:rPr>
        <w:t>las</w:t>
      </w:r>
      <w:r>
        <w:rPr>
          <w:color w:val="231F20"/>
          <w:spacing w:val="-8"/>
        </w:rPr>
        <w:t> </w:t>
      </w:r>
      <w:r>
        <w:rPr>
          <w:color w:val="231F20"/>
        </w:rPr>
        <w:t>tecnologías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información (Castel, 2005: 47-48).</w:t>
      </w:r>
    </w:p>
    <w:p>
      <w:pPr>
        <w:pStyle w:val="BodyText"/>
        <w:spacing w:line="249" w:lineRule="auto" w:before="1"/>
        <w:ind w:left="110" w:right="111" w:firstLine="283"/>
        <w:jc w:val="both"/>
      </w:pPr>
      <w:r>
        <w:rPr>
          <w:color w:val="231F20"/>
        </w:rPr>
        <w:t>Por último, Castel sostiene que las perspectivas para el futuro del trabajo no deben ser analizadas desde la dualidad de visiones optimistas o pesimistas, dado que todavía está por conocerse si las sociedades con- temporáneas</w:t>
      </w:r>
      <w:r>
        <w:rPr>
          <w:color w:val="231F20"/>
          <w:spacing w:val="-9"/>
        </w:rPr>
        <w:t> </w:t>
      </w:r>
      <w:r>
        <w:rPr>
          <w:color w:val="231F20"/>
        </w:rPr>
        <w:t>atraviesan</w:t>
      </w:r>
      <w:r>
        <w:rPr>
          <w:color w:val="231F20"/>
          <w:spacing w:val="-9"/>
        </w:rPr>
        <w:t> </w:t>
      </w:r>
      <w:r>
        <w:rPr>
          <w:color w:val="231F20"/>
        </w:rPr>
        <w:t>por</w:t>
      </w:r>
      <w:r>
        <w:rPr>
          <w:color w:val="231F20"/>
          <w:spacing w:val="-9"/>
        </w:rPr>
        <w:t> </w:t>
      </w:r>
      <w:r>
        <w:rPr>
          <w:color w:val="231F20"/>
        </w:rPr>
        <w:t>un</w:t>
      </w:r>
      <w:r>
        <w:rPr>
          <w:color w:val="231F20"/>
          <w:spacing w:val="-9"/>
        </w:rPr>
        <w:t> </w:t>
      </w:r>
      <w:r>
        <w:rPr>
          <w:color w:val="231F20"/>
        </w:rPr>
        <w:t>periodo</w:t>
      </w:r>
      <w:r>
        <w:rPr>
          <w:color w:val="231F20"/>
          <w:spacing w:val="-9"/>
        </w:rPr>
        <w:t> </w:t>
      </w:r>
      <w:r>
        <w:rPr>
          <w:color w:val="231F20"/>
        </w:rPr>
        <w:t>de</w:t>
      </w:r>
      <w:r>
        <w:rPr>
          <w:color w:val="231F20"/>
          <w:spacing w:val="-9"/>
        </w:rPr>
        <w:t> </w:t>
      </w:r>
      <w:r>
        <w:rPr>
          <w:color w:val="231F20"/>
        </w:rPr>
        <w:t>transición</w:t>
      </w:r>
      <w:r>
        <w:rPr>
          <w:color w:val="231F20"/>
          <w:spacing w:val="-9"/>
        </w:rPr>
        <w:t> </w:t>
      </w:r>
      <w:r>
        <w:rPr>
          <w:color w:val="231F20"/>
        </w:rPr>
        <w:t>entre</w:t>
      </w:r>
      <w:r>
        <w:rPr>
          <w:color w:val="231F20"/>
          <w:spacing w:val="-9"/>
        </w:rPr>
        <w:t> </w:t>
      </w:r>
      <w:r>
        <w:rPr>
          <w:color w:val="231F20"/>
        </w:rPr>
        <w:t>un</w:t>
      </w:r>
      <w:r>
        <w:rPr>
          <w:color w:val="231F20"/>
          <w:spacing w:val="-9"/>
        </w:rPr>
        <w:t> </w:t>
      </w:r>
      <w:r>
        <w:rPr>
          <w:color w:val="231F20"/>
        </w:rPr>
        <w:t>capitalismo industrial y otro tipo de capitalismo, o si estaríamos presenciando un</w:t>
      </w:r>
      <w:r>
        <w:rPr>
          <w:color w:val="231F20"/>
          <w:spacing w:val="-28"/>
        </w:rPr>
        <w:t> </w:t>
      </w:r>
      <w:r>
        <w:rPr>
          <w:color w:val="231F20"/>
        </w:rPr>
        <w:t>pe- riodo</w:t>
      </w:r>
      <w:r>
        <w:rPr>
          <w:color w:val="231F20"/>
          <w:spacing w:val="-6"/>
        </w:rPr>
        <w:t> </w:t>
      </w:r>
      <w:r>
        <w:rPr>
          <w:color w:val="231F20"/>
        </w:rPr>
        <w:t>de</w:t>
      </w:r>
      <w:r>
        <w:rPr>
          <w:color w:val="231F20"/>
          <w:spacing w:val="-6"/>
        </w:rPr>
        <w:t> </w:t>
      </w:r>
      <w:r>
        <w:rPr>
          <w:color w:val="231F20"/>
        </w:rPr>
        <w:t>consolidación</w:t>
      </w:r>
      <w:r>
        <w:rPr>
          <w:color w:val="231F20"/>
          <w:spacing w:val="-6"/>
        </w:rPr>
        <w:t> </w:t>
      </w:r>
      <w:r>
        <w:rPr>
          <w:color w:val="231F20"/>
        </w:rPr>
        <w:t>del</w:t>
      </w:r>
      <w:r>
        <w:rPr>
          <w:color w:val="231F20"/>
          <w:spacing w:val="-6"/>
        </w:rPr>
        <w:t> </w:t>
      </w:r>
      <w:r>
        <w:rPr>
          <w:color w:val="231F20"/>
        </w:rPr>
        <w:t>nuevo</w:t>
      </w:r>
      <w:r>
        <w:rPr>
          <w:color w:val="231F20"/>
          <w:spacing w:val="-6"/>
        </w:rPr>
        <w:t> </w:t>
      </w:r>
      <w:r>
        <w:rPr>
          <w:color w:val="231F20"/>
        </w:rPr>
        <w:t>capitalismo.</w:t>
      </w:r>
      <w:r>
        <w:rPr>
          <w:color w:val="231F20"/>
          <w:spacing w:val="-6"/>
        </w:rPr>
        <w:t> </w:t>
      </w:r>
      <w:r>
        <w:rPr>
          <w:color w:val="231F20"/>
        </w:rPr>
        <w:t>De</w:t>
      </w:r>
      <w:r>
        <w:rPr>
          <w:color w:val="231F20"/>
          <w:spacing w:val="-6"/>
        </w:rPr>
        <w:t> </w:t>
      </w:r>
      <w:r>
        <w:rPr>
          <w:color w:val="231F20"/>
        </w:rPr>
        <w:t>esa</w:t>
      </w:r>
      <w:r>
        <w:rPr>
          <w:color w:val="231F20"/>
          <w:spacing w:val="-6"/>
        </w:rPr>
        <w:t> </w:t>
      </w:r>
      <w:r>
        <w:rPr>
          <w:color w:val="231F20"/>
        </w:rPr>
        <w:t>definición</w:t>
      </w:r>
      <w:r>
        <w:rPr>
          <w:color w:val="231F20"/>
          <w:spacing w:val="-6"/>
        </w:rPr>
        <w:t> </w:t>
      </w:r>
      <w:r>
        <w:rPr>
          <w:color w:val="231F20"/>
        </w:rPr>
        <w:t>—la</w:t>
      </w:r>
      <w:r>
        <w:rPr>
          <w:color w:val="231F20"/>
          <w:spacing w:val="-6"/>
        </w:rPr>
        <w:t> </w:t>
      </w:r>
      <w:r>
        <w:rPr>
          <w:color w:val="231F20"/>
        </w:rPr>
        <w:t>na- turaleza de los nuevos tiempos— dependen las expectativas planteadas para el mundo del trabajo. Para este autor, primero es necesario aceptar lo imprevisible del futuro, aunque sin hacer a un lado la importancia</w:t>
      </w:r>
      <w:r>
        <w:rPr>
          <w:color w:val="231F20"/>
          <w:spacing w:val="-29"/>
        </w:rPr>
        <w:t> </w:t>
      </w:r>
      <w:r>
        <w:rPr>
          <w:color w:val="231F20"/>
        </w:rPr>
        <w:t>que tiene</w:t>
      </w:r>
      <w:r>
        <w:rPr>
          <w:color w:val="231F20"/>
          <w:spacing w:val="-12"/>
        </w:rPr>
        <w:t> </w:t>
      </w:r>
      <w:r>
        <w:rPr>
          <w:color w:val="231F20"/>
        </w:rPr>
        <w:t>la</w:t>
      </w:r>
      <w:r>
        <w:rPr>
          <w:color w:val="231F20"/>
          <w:spacing w:val="-12"/>
        </w:rPr>
        <w:t> </w:t>
      </w:r>
      <w:r>
        <w:rPr>
          <w:color w:val="231F20"/>
        </w:rPr>
        <w:t>protección</w:t>
      </w:r>
      <w:r>
        <w:rPr>
          <w:color w:val="231F20"/>
          <w:spacing w:val="-12"/>
        </w:rPr>
        <w:t> </w:t>
      </w:r>
      <w:r>
        <w:rPr>
          <w:color w:val="231F20"/>
        </w:rPr>
        <w:t>social</w:t>
      </w:r>
      <w:r>
        <w:rPr>
          <w:color w:val="231F20"/>
          <w:spacing w:val="-12"/>
        </w:rPr>
        <w:t> </w:t>
      </w:r>
      <w:r>
        <w:rPr>
          <w:color w:val="231F20"/>
        </w:rPr>
        <w:t>en</w:t>
      </w:r>
      <w:r>
        <w:rPr>
          <w:color w:val="231F20"/>
          <w:spacing w:val="-12"/>
        </w:rPr>
        <w:t> </w:t>
      </w:r>
      <w:r>
        <w:rPr>
          <w:color w:val="231F20"/>
        </w:rPr>
        <w:t>cualquier</w:t>
      </w:r>
      <w:r>
        <w:rPr>
          <w:color w:val="231F20"/>
          <w:spacing w:val="-12"/>
        </w:rPr>
        <w:t> </w:t>
      </w:r>
      <w:r>
        <w:rPr>
          <w:color w:val="231F20"/>
        </w:rPr>
        <w:t>configuración</w:t>
      </w:r>
      <w:r>
        <w:rPr>
          <w:color w:val="231F20"/>
          <w:spacing w:val="-12"/>
        </w:rPr>
        <w:t> </w:t>
      </w:r>
      <w:r>
        <w:rPr>
          <w:color w:val="231F20"/>
        </w:rPr>
        <w:t>que</w:t>
      </w:r>
      <w:r>
        <w:rPr>
          <w:color w:val="231F20"/>
          <w:spacing w:val="-12"/>
        </w:rPr>
        <w:t> </w:t>
      </w:r>
      <w:r>
        <w:rPr>
          <w:color w:val="231F20"/>
        </w:rPr>
        <w:t>esté</w:t>
      </w:r>
      <w:r>
        <w:rPr>
          <w:color w:val="231F20"/>
          <w:spacing w:val="-12"/>
        </w:rPr>
        <w:t> </w:t>
      </w:r>
      <w:r>
        <w:rPr>
          <w:color w:val="231F20"/>
        </w:rPr>
        <w:t>emergiendo (Castel, 2005: 88).</w:t>
      </w:r>
    </w:p>
    <w:p>
      <w:pPr>
        <w:pStyle w:val="BodyText"/>
        <w:spacing w:line="249" w:lineRule="auto" w:before="1"/>
        <w:ind w:left="110" w:right="111" w:firstLine="283"/>
        <w:jc w:val="both"/>
      </w:pPr>
      <w:r>
        <w:rPr>
          <w:color w:val="231F20"/>
        </w:rPr>
        <w:t>Frente a los argumentos presentados, es necesario evaluar hasta dón- de es posible comprender la realidad social de los países latinoameri- canos a partir de la teoría de Castel. A pesar de basarse en la realidad europea, que experimentó la sociedad salarial en sus fundamentos, la teoría de Castel analiza procesos que comprenden a todas las sociedades occidentales contemporáneas y que pueden ser entendidos a través de los conceptos de vulnerabilidad social, seguridad/inseguridad sociales e individualización del trabajo. No obstante, determinadas categorías de análisis utilizadas por el autor, como sociedad salarial y estatuto del tra- bajo, abarcan apenas un </w:t>
      </w:r>
      <w:r>
        <w:rPr>
          <w:i/>
          <w:color w:val="231F20"/>
        </w:rPr>
        <w:t>locus </w:t>
      </w:r>
      <w:r>
        <w:rPr>
          <w:color w:val="231F20"/>
        </w:rPr>
        <w:t>de reproducción situado en el tiempo y en el espacio (Europa central). En este caso, cabe resaltar que el empleo de la teoría de Castel para entender el mercado de trabajo latinoamerica-</w:t>
      </w:r>
    </w:p>
    <w:p>
      <w:pPr>
        <w:spacing w:after="0" w:line="249" w:lineRule="auto"/>
        <w:jc w:val="both"/>
        <w:sectPr>
          <w:pgSz w:w="7770" w:h="11740"/>
          <w:pgMar w:header="0" w:footer="559" w:top="840" w:bottom="740" w:left="740" w:right="1020"/>
        </w:sectPr>
      </w:pPr>
    </w:p>
    <w:p>
      <w:pPr>
        <w:pStyle w:val="BodyText"/>
        <w:spacing w:line="249" w:lineRule="auto" w:before="60"/>
        <w:ind w:left="113" w:right="108"/>
        <w:jc w:val="both"/>
      </w:pPr>
      <w:r>
        <w:rPr>
          <w:color w:val="231F20"/>
        </w:rPr>
        <w:t>no debe tener presente las singularidades locales que condicionarían los diferentes tipos de trayectorias vividas por los trabajadores. Hasta los procesos globales —como la individualización del trabajo— tienden a asumir características diferentes según el contexto social, económico y cultural en el cual se desarrollan las relaciones de trabajo.</w:t>
      </w:r>
    </w:p>
    <w:p>
      <w:pPr>
        <w:pStyle w:val="BodyText"/>
        <w:spacing w:line="249" w:lineRule="auto" w:before="1"/>
        <w:ind w:left="113" w:right="107" w:firstLine="283"/>
        <w:jc w:val="both"/>
      </w:pPr>
      <w:r>
        <w:rPr>
          <w:color w:val="231F20"/>
          <w:spacing w:val="-5"/>
        </w:rPr>
        <w:t>Tal </w:t>
      </w:r>
      <w:r>
        <w:rPr>
          <w:color w:val="231F20"/>
        </w:rPr>
        <w:t>y como lo hace Castel, el sociólogo alemán Ulrich Beck le con- cede una centralidad analítica al régimen de inseguridad a que están so- metidas las sociedades occidentales en la actualidad. Para este autor, las sociedades</w:t>
      </w:r>
      <w:r>
        <w:rPr>
          <w:color w:val="231F20"/>
          <w:spacing w:val="-10"/>
        </w:rPr>
        <w:t> </w:t>
      </w:r>
      <w:r>
        <w:rPr>
          <w:color w:val="231F20"/>
        </w:rPr>
        <w:t>occidentales</w:t>
      </w:r>
      <w:r>
        <w:rPr>
          <w:color w:val="231F20"/>
          <w:spacing w:val="-10"/>
        </w:rPr>
        <w:t> </w:t>
      </w:r>
      <w:r>
        <w:rPr>
          <w:color w:val="231F20"/>
        </w:rPr>
        <w:t>contemporáneas</w:t>
      </w:r>
      <w:r>
        <w:rPr>
          <w:color w:val="231F20"/>
          <w:spacing w:val="-10"/>
        </w:rPr>
        <w:t> </w:t>
      </w:r>
      <w:r>
        <w:rPr>
          <w:color w:val="231F20"/>
        </w:rPr>
        <w:t>experimentan</w:t>
      </w:r>
      <w:r>
        <w:rPr>
          <w:color w:val="231F20"/>
          <w:spacing w:val="-11"/>
        </w:rPr>
        <w:t> </w:t>
      </w:r>
      <w:r>
        <w:rPr>
          <w:color w:val="231F20"/>
        </w:rPr>
        <w:t>formas</w:t>
      </w:r>
      <w:r>
        <w:rPr>
          <w:color w:val="231F20"/>
          <w:spacing w:val="-10"/>
        </w:rPr>
        <w:t> </w:t>
      </w:r>
      <w:r>
        <w:rPr>
          <w:color w:val="231F20"/>
        </w:rPr>
        <w:t>precarias, imprecisas,</w:t>
      </w:r>
      <w:r>
        <w:rPr>
          <w:color w:val="231F20"/>
          <w:spacing w:val="-10"/>
        </w:rPr>
        <w:t> </w:t>
      </w:r>
      <w:r>
        <w:rPr>
          <w:color w:val="231F20"/>
        </w:rPr>
        <w:t>discontinuas</w:t>
      </w:r>
      <w:r>
        <w:rPr>
          <w:color w:val="231F20"/>
          <w:spacing w:val="-9"/>
        </w:rPr>
        <w:t> </w:t>
      </w:r>
      <w:r>
        <w:rPr>
          <w:color w:val="231F20"/>
        </w:rPr>
        <w:t>e</w:t>
      </w:r>
      <w:r>
        <w:rPr>
          <w:color w:val="231F20"/>
          <w:spacing w:val="-9"/>
        </w:rPr>
        <w:t> </w:t>
      </w:r>
      <w:r>
        <w:rPr>
          <w:color w:val="231F20"/>
        </w:rPr>
        <w:t>informales</w:t>
      </w:r>
      <w:r>
        <w:rPr>
          <w:color w:val="231F20"/>
          <w:spacing w:val="-10"/>
        </w:rPr>
        <w:t> </w:t>
      </w:r>
      <w:r>
        <w:rPr>
          <w:color w:val="231F20"/>
        </w:rPr>
        <w:t>de</w:t>
      </w:r>
      <w:r>
        <w:rPr>
          <w:color w:val="231F20"/>
          <w:spacing w:val="-9"/>
        </w:rPr>
        <w:t> </w:t>
      </w:r>
      <w:r>
        <w:rPr>
          <w:color w:val="231F20"/>
        </w:rPr>
        <w:t>empleo.</w:t>
      </w:r>
      <w:r>
        <w:rPr>
          <w:color w:val="231F20"/>
          <w:spacing w:val="-10"/>
        </w:rPr>
        <w:t> </w:t>
      </w:r>
      <w:r>
        <w:rPr>
          <w:color w:val="231F20"/>
        </w:rPr>
        <w:t>Él</w:t>
      </w:r>
      <w:r>
        <w:rPr>
          <w:color w:val="231F20"/>
          <w:spacing w:val="-9"/>
        </w:rPr>
        <w:t> </w:t>
      </w:r>
      <w:r>
        <w:rPr>
          <w:color w:val="231F20"/>
        </w:rPr>
        <w:t>argumenta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es- tilo de vida en los países del sur del planeta, caracterizado por múltiples formas de inserción laboral e inseguridad en el empleo, se está generali- zando a todo occidente (Beck, 2009:</w:t>
      </w:r>
      <w:r>
        <w:rPr>
          <w:color w:val="231F20"/>
          <w:spacing w:val="-2"/>
        </w:rPr>
        <w:t> </w:t>
      </w:r>
      <w:r>
        <w:rPr>
          <w:color w:val="231F20"/>
        </w:rPr>
        <w:t>9).</w:t>
      </w:r>
    </w:p>
    <w:p>
      <w:pPr>
        <w:pStyle w:val="BodyText"/>
        <w:spacing w:line="249" w:lineRule="auto" w:before="1"/>
        <w:ind w:left="113" w:right="107" w:firstLine="283"/>
        <w:jc w:val="both"/>
      </w:pPr>
      <w:r>
        <w:rPr>
          <w:color w:val="231F20"/>
        </w:rPr>
        <w:t>De esta manera, Beck desarrolla la tesis de la —brasileñización de Occidente—</w:t>
      </w:r>
      <w:r>
        <w:rPr>
          <w:color w:val="231F20"/>
          <w:position w:val="7"/>
          <w:sz w:val="11"/>
        </w:rPr>
        <w:t>3 </w:t>
      </w:r>
      <w:r>
        <w:rPr>
          <w:color w:val="231F20"/>
        </w:rPr>
        <w:t>entendiendo por esto los cambios en el empleo observados en los países de Europa central a partir de las dos últimas décadas del siglo XX y que en sus principales aspectos reproducen las condiciones del mercado de trabajo brasileño. Según Beck, el ejemplo de Brasil es emblemático debido a la desvinculación entre crecimiento económico   y mejora en las condiciones laborales, dado que la estabilización eco- nómica de la década de los noventa no estuvo acompañada de efectos positivos sobre el trabajo organizado (Beck, 2000:</w:t>
      </w:r>
      <w:r>
        <w:rPr>
          <w:color w:val="231F20"/>
          <w:spacing w:val="-9"/>
        </w:rPr>
        <w:t> </w:t>
      </w:r>
      <w:r>
        <w:rPr>
          <w:color w:val="231F20"/>
        </w:rPr>
        <w:t>104-108).</w:t>
      </w:r>
    </w:p>
    <w:p>
      <w:pPr>
        <w:pStyle w:val="BodyText"/>
        <w:spacing w:line="249" w:lineRule="auto" w:before="1"/>
        <w:ind w:left="113" w:right="107" w:firstLine="283"/>
        <w:jc w:val="both"/>
      </w:pPr>
      <w:r>
        <w:rPr>
          <w:color w:val="231F20"/>
        </w:rPr>
        <w:t>Beck considera que la “brasileñización de Occidente</w:t>
      </w:r>
      <w:r>
        <w:rPr>
          <w:b/>
          <w:color w:val="231F20"/>
        </w:rPr>
        <w:t>” </w:t>
      </w:r>
      <w:r>
        <w:rPr>
          <w:color w:val="231F20"/>
        </w:rPr>
        <w:t>está enmar- cada en un proceso más amplio y puede ser definida como “economía política de la inseguridad”, caracterizada por los siguientes aspectos: las relaciones de poder pasarían a estructurarse entre agentes vinculados a un territorio (gobierno, parlamento, sindicatos) y agentes económicos desterritorializados (el capital, las finanzas y el comercio); la capacidad de los Estados para manejar las cuestiones relativas a la pobreza y al desempleo ha disminuido; el trabajo remunerado se ve amenazado por  la introducción de las tecnologías de la información en los procesos</w:t>
      </w:r>
      <w:r>
        <w:rPr>
          <w:color w:val="231F20"/>
          <w:spacing w:val="-17"/>
        </w:rPr>
        <w:t> </w:t>
      </w:r>
      <w:r>
        <w:rPr>
          <w:color w:val="231F20"/>
        </w:rPr>
        <w:t>pro- ductivos; el trabajo tiende a volverse precario, las biografías personales se vuelven frágiles y el Estado asistencial disminuye su efectividad; por último, la economía está transfiriendo los riesgos a los individuos, en la medida que los contratos laborales son de corta duración y pueden ser fácilmente rescindidos (Beck, 2000:</w:t>
      </w:r>
      <w:r>
        <w:rPr>
          <w:color w:val="231F20"/>
          <w:spacing w:val="-8"/>
        </w:rPr>
        <w:t> </w:t>
      </w:r>
      <w:r>
        <w:rPr>
          <w:color w:val="231F20"/>
        </w:rPr>
        <w:t>11).</w:t>
      </w:r>
    </w:p>
    <w:p>
      <w:pPr>
        <w:pStyle w:val="BodyText"/>
        <w:spacing w:line="249" w:lineRule="auto" w:before="1"/>
        <w:ind w:left="113" w:right="108" w:firstLine="283"/>
        <w:jc w:val="both"/>
      </w:pPr>
      <w:r>
        <w:rPr>
          <w:color w:val="231F20"/>
        </w:rPr>
        <w:t>Según Beck, cuanto más las relaciones de trabajo están sujetas a la desregulación</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flexibilidad,</w:t>
      </w:r>
      <w:r>
        <w:rPr>
          <w:color w:val="231F20"/>
          <w:spacing w:val="-8"/>
        </w:rPr>
        <w:t> </w:t>
      </w:r>
      <w:r>
        <w:rPr>
          <w:color w:val="231F20"/>
        </w:rPr>
        <w:t>mayor</w:t>
      </w:r>
      <w:r>
        <w:rPr>
          <w:color w:val="231F20"/>
          <w:spacing w:val="-8"/>
        </w:rPr>
        <w:t> </w:t>
      </w:r>
      <w:r>
        <w:rPr>
          <w:color w:val="231F20"/>
        </w:rPr>
        <w:t>la</w:t>
      </w:r>
      <w:r>
        <w:rPr>
          <w:color w:val="231F20"/>
          <w:spacing w:val="-8"/>
        </w:rPr>
        <w:t> </w:t>
      </w:r>
      <w:r>
        <w:rPr>
          <w:color w:val="231F20"/>
        </w:rPr>
        <w:t>intensidad</w:t>
      </w:r>
      <w:r>
        <w:rPr>
          <w:color w:val="231F20"/>
          <w:spacing w:val="-8"/>
        </w:rPr>
        <w:t> </w:t>
      </w:r>
      <w:r>
        <w:rPr>
          <w:color w:val="231F20"/>
        </w:rPr>
        <w:t>con</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sociedad laboral se vuelve una sociedad de</w:t>
      </w:r>
      <w:r>
        <w:rPr>
          <w:color w:val="231F20"/>
          <w:spacing w:val="-9"/>
        </w:rPr>
        <w:t> </w:t>
      </w:r>
      <w:r>
        <w:rPr>
          <w:color w:val="231F20"/>
        </w:rPr>
        <w:t>riesgo.</w:t>
      </w:r>
    </w:p>
    <w:p>
      <w:pPr>
        <w:pStyle w:val="BodyText"/>
        <w:rPr>
          <w:sz w:val="17"/>
        </w:rPr>
      </w:pPr>
    </w:p>
    <w:p>
      <w:pPr>
        <w:spacing w:before="1"/>
        <w:ind w:left="113" w:right="0" w:firstLine="0"/>
        <w:jc w:val="both"/>
        <w:rPr>
          <w:sz w:val="14"/>
        </w:rPr>
      </w:pPr>
      <w:r>
        <w:rPr>
          <w:color w:val="231F20"/>
          <w:position w:val="5"/>
          <w:sz w:val="8"/>
        </w:rPr>
        <w:t>3  </w:t>
      </w:r>
      <w:r>
        <w:rPr>
          <w:color w:val="231F20"/>
          <w:sz w:val="14"/>
        </w:rPr>
        <w:t>“brasileñización de Occidente”, en español.</w:t>
      </w:r>
    </w:p>
    <w:p>
      <w:pPr>
        <w:spacing w:after="0"/>
        <w:jc w:val="both"/>
        <w:rPr>
          <w:sz w:val="14"/>
        </w:rPr>
        <w:sectPr>
          <w:footerReference w:type="default" r:id="rId32"/>
          <w:pgSz w:w="7770" w:h="11740"/>
          <w:pgMar w:footer="559" w:header="0" w:top="840" w:bottom="740" w:left="1020" w:right="740"/>
          <w:pgNumType w:start="45"/>
        </w:sectPr>
      </w:pPr>
    </w:p>
    <w:p>
      <w:pPr>
        <w:pStyle w:val="BodyText"/>
        <w:spacing w:line="249" w:lineRule="auto" w:before="60"/>
        <w:ind w:left="110" w:right="111" w:firstLine="283"/>
        <w:jc w:val="both"/>
      </w:pPr>
      <w:r>
        <w:rPr>
          <w:color w:val="231F20"/>
        </w:rPr>
        <w:t>Otro</w:t>
      </w:r>
      <w:r>
        <w:rPr>
          <w:color w:val="231F20"/>
          <w:spacing w:val="-7"/>
        </w:rPr>
        <w:t> </w:t>
      </w:r>
      <w:r>
        <w:rPr>
          <w:color w:val="231F20"/>
        </w:rPr>
        <w:t>aspecto</w:t>
      </w:r>
      <w:r>
        <w:rPr>
          <w:color w:val="231F20"/>
          <w:spacing w:val="-7"/>
        </w:rPr>
        <w:t> </w:t>
      </w:r>
      <w:r>
        <w:rPr>
          <w:color w:val="231F20"/>
        </w:rPr>
        <w:t>destacado</w:t>
      </w:r>
      <w:r>
        <w:rPr>
          <w:color w:val="231F20"/>
          <w:spacing w:val="-7"/>
        </w:rPr>
        <w:t> </w:t>
      </w:r>
      <w:r>
        <w:rPr>
          <w:color w:val="231F20"/>
        </w:rPr>
        <w:t>por</w:t>
      </w:r>
      <w:r>
        <w:rPr>
          <w:color w:val="231F20"/>
          <w:spacing w:val="-7"/>
        </w:rPr>
        <w:t> </w:t>
      </w:r>
      <w:r>
        <w:rPr>
          <w:color w:val="231F20"/>
        </w:rPr>
        <w:t>Beck</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individualización</w:t>
      </w:r>
      <w:r>
        <w:rPr>
          <w:color w:val="231F20"/>
          <w:spacing w:val="-8"/>
        </w:rPr>
        <w:t> </w:t>
      </w:r>
      <w:r>
        <w:rPr>
          <w:color w:val="231F20"/>
        </w:rPr>
        <w:t>creciente</w:t>
      </w:r>
      <w:r>
        <w:rPr>
          <w:color w:val="231F20"/>
          <w:spacing w:val="-7"/>
        </w:rPr>
        <w:t> </w:t>
      </w:r>
      <w:r>
        <w:rPr>
          <w:color w:val="231F20"/>
        </w:rPr>
        <w:t>del trabajo experimentada después de los treinta gloriosos años de la pos- guerra. De acuerdo con este autor, la individualización laboral acarrea  la indiferenciación de pares esenciales para el mantenimiento de la co- hesión social, entre ellos: capital y trabajo, empresa y mercado, trabajo doméstico y trabajo profesional. Beck considera que la fragmentación del trabajo regular, tanto desde el punto de vista contractual como tem- poral, contribuye a la desagregación de la vida social en la familia y en las</w:t>
      </w:r>
      <w:r>
        <w:rPr>
          <w:color w:val="231F20"/>
          <w:spacing w:val="-1"/>
        </w:rPr>
        <w:t> </w:t>
      </w:r>
      <w:r>
        <w:rPr>
          <w:color w:val="231F20"/>
        </w:rPr>
        <w:t>localidades.</w:t>
      </w:r>
    </w:p>
    <w:p>
      <w:pPr>
        <w:pStyle w:val="BodyText"/>
        <w:spacing w:line="249" w:lineRule="auto" w:before="1"/>
        <w:ind w:left="110" w:right="111" w:firstLine="283"/>
        <w:jc w:val="both"/>
      </w:pPr>
      <w:r>
        <w:rPr>
          <w:color w:val="231F20"/>
        </w:rPr>
        <w:t>Con</w:t>
      </w:r>
      <w:r>
        <w:rPr>
          <w:color w:val="231F20"/>
          <w:spacing w:val="-10"/>
        </w:rPr>
        <w:t> </w:t>
      </w:r>
      <w:r>
        <w:rPr>
          <w:color w:val="231F20"/>
        </w:rPr>
        <w:t>respecto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trayectorias</w:t>
      </w:r>
      <w:r>
        <w:rPr>
          <w:color w:val="231F20"/>
          <w:spacing w:val="-11"/>
        </w:rPr>
        <w:t> </w:t>
      </w:r>
      <w:r>
        <w:rPr>
          <w:color w:val="231F20"/>
        </w:rPr>
        <w:t>individuales,</w:t>
      </w:r>
      <w:r>
        <w:rPr>
          <w:color w:val="231F20"/>
          <w:spacing w:val="-11"/>
        </w:rPr>
        <w:t> </w:t>
      </w:r>
      <w:r>
        <w:rPr>
          <w:color w:val="231F20"/>
        </w:rPr>
        <w:t>Beck</w:t>
      </w:r>
      <w:r>
        <w:rPr>
          <w:color w:val="231F20"/>
          <w:spacing w:val="-10"/>
        </w:rPr>
        <w:t> </w:t>
      </w:r>
      <w:r>
        <w:rPr>
          <w:color w:val="231F20"/>
        </w:rPr>
        <w:t>argumenta</w:t>
      </w:r>
      <w:r>
        <w:rPr>
          <w:color w:val="231F20"/>
          <w:spacing w:val="-10"/>
        </w:rPr>
        <w:t> </w:t>
      </w:r>
      <w:r>
        <w:rPr>
          <w:color w:val="231F20"/>
        </w:rPr>
        <w:t>que</w:t>
      </w:r>
      <w:r>
        <w:rPr>
          <w:color w:val="231F20"/>
          <w:spacing w:val="-10"/>
        </w:rPr>
        <w:t> </w:t>
      </w:r>
      <w:r>
        <w:rPr>
          <w:color w:val="231F20"/>
        </w:rPr>
        <w:t>sur- gieron dos modelos de acción: por un lado, están emergiendo nuevos espacios de libertad en la elección y conformación del propio trabajo y de la propia vida; por otro lado, se están experimentando nuevas formas de exclusión y riesgos que el Estado y la economía tratan de desligar de la esfera colectiva remitiéndolos a los individuos. De acuerdo con este autor, lo que queda de esa nueva configuración societal son oportunida- des y riesgos al mismo tiempo, dando lugar a trayectorias individuales contingentes (Beck, 2000:</w:t>
      </w:r>
      <w:r>
        <w:rPr>
          <w:color w:val="231F20"/>
          <w:spacing w:val="-1"/>
        </w:rPr>
        <w:t> </w:t>
      </w:r>
      <w:r>
        <w:rPr>
          <w:color w:val="231F20"/>
        </w:rPr>
        <w:t>63-64).</w:t>
      </w:r>
    </w:p>
    <w:p>
      <w:pPr>
        <w:pStyle w:val="BodyText"/>
        <w:spacing w:line="249" w:lineRule="auto" w:before="1"/>
        <w:ind w:left="110" w:right="110" w:firstLine="283"/>
        <w:jc w:val="both"/>
      </w:pPr>
      <w:r>
        <w:rPr>
          <w:color w:val="231F20"/>
        </w:rPr>
        <w:t>Según Beck, en caso de que persista la tendencia a la inseguridad, será posible observar cuatro diferentes grupos de trabajadores en las so- ciedades occidentales, mismos que se presentan en el Cuadro 1.</w:t>
      </w:r>
    </w:p>
    <w:p>
      <w:pPr>
        <w:pStyle w:val="BodyText"/>
        <w:spacing w:line="249" w:lineRule="auto" w:before="1"/>
        <w:ind w:left="110" w:right="111" w:firstLine="283"/>
        <w:jc w:val="both"/>
      </w:pPr>
      <w:r>
        <w:rPr>
          <w:color w:val="231F20"/>
        </w:rPr>
        <w:t>El análisis de los argumentos presentados por Beck permite concluir que hay un déficit explicativo en su teoría, principalmente en lo concer- niente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utilización</w:t>
      </w:r>
      <w:r>
        <w:rPr>
          <w:color w:val="231F20"/>
          <w:spacing w:val="-11"/>
        </w:rPr>
        <w:t> </w:t>
      </w:r>
      <w:r>
        <w:rPr>
          <w:color w:val="231F20"/>
        </w:rPr>
        <w:t>del</w:t>
      </w:r>
      <w:r>
        <w:rPr>
          <w:color w:val="231F20"/>
          <w:spacing w:val="-11"/>
        </w:rPr>
        <w:t> </w:t>
      </w:r>
      <w:r>
        <w:rPr>
          <w:color w:val="231F20"/>
        </w:rPr>
        <w:t>concepto</w:t>
      </w:r>
      <w:r>
        <w:rPr>
          <w:color w:val="231F20"/>
          <w:spacing w:val="-12"/>
        </w:rPr>
        <w:t> </w:t>
      </w:r>
      <w:r>
        <w:rPr>
          <w:color w:val="231F20"/>
        </w:rPr>
        <w:t>de</w:t>
      </w:r>
      <w:r>
        <w:rPr>
          <w:color w:val="231F20"/>
          <w:spacing w:val="-11"/>
        </w:rPr>
        <w:t> </w:t>
      </w:r>
      <w:r>
        <w:rPr>
          <w:color w:val="231F20"/>
        </w:rPr>
        <w:t>“brasileñización</w:t>
      </w:r>
      <w:r>
        <w:rPr>
          <w:color w:val="231F20"/>
          <w:spacing w:val="-12"/>
        </w:rPr>
        <w:t> </w:t>
      </w:r>
      <w:r>
        <w:rPr>
          <w:color w:val="231F20"/>
        </w:rPr>
        <w:t>de</w:t>
      </w:r>
      <w:r>
        <w:rPr>
          <w:color w:val="231F20"/>
          <w:spacing w:val="-11"/>
        </w:rPr>
        <w:t> </w:t>
      </w:r>
      <w:r>
        <w:rPr>
          <w:color w:val="231F20"/>
        </w:rPr>
        <w:t>Occidente”</w:t>
      </w:r>
      <w:r>
        <w:rPr>
          <w:b/>
          <w:color w:val="231F20"/>
        </w:rPr>
        <w:t>.</w:t>
      </w:r>
      <w:r>
        <w:rPr>
          <w:b/>
          <w:color w:val="231F20"/>
          <w:spacing w:val="-11"/>
        </w:rPr>
        <w:t> </w:t>
      </w:r>
      <w:r>
        <w:rPr>
          <w:color w:val="231F20"/>
        </w:rPr>
        <w:t>En años</w:t>
      </w:r>
      <w:r>
        <w:rPr>
          <w:color w:val="231F20"/>
          <w:spacing w:val="-10"/>
        </w:rPr>
        <w:t> </w:t>
      </w:r>
      <w:r>
        <w:rPr>
          <w:color w:val="231F20"/>
        </w:rPr>
        <w:t>recientes,</w:t>
      </w:r>
      <w:r>
        <w:rPr>
          <w:color w:val="231F20"/>
          <w:spacing w:val="-10"/>
        </w:rPr>
        <w:t> </w:t>
      </w:r>
      <w:r>
        <w:rPr>
          <w:color w:val="231F20"/>
        </w:rPr>
        <w:t>el</w:t>
      </w:r>
      <w:r>
        <w:rPr>
          <w:color w:val="231F20"/>
          <w:spacing w:val="-10"/>
        </w:rPr>
        <w:t> </w:t>
      </w:r>
      <w:r>
        <w:rPr>
          <w:color w:val="231F20"/>
        </w:rPr>
        <w:t>mercado</w:t>
      </w:r>
      <w:r>
        <w:rPr>
          <w:color w:val="231F20"/>
          <w:spacing w:val="-11"/>
        </w:rPr>
        <w:t> </w:t>
      </w:r>
      <w:r>
        <w:rPr>
          <w:color w:val="231F20"/>
        </w:rPr>
        <w:t>de</w:t>
      </w:r>
      <w:r>
        <w:rPr>
          <w:color w:val="231F20"/>
          <w:spacing w:val="-10"/>
        </w:rPr>
        <w:t> </w:t>
      </w:r>
      <w:r>
        <w:rPr>
          <w:color w:val="231F20"/>
        </w:rPr>
        <w:t>trabajo</w:t>
      </w:r>
      <w:r>
        <w:rPr>
          <w:color w:val="231F20"/>
          <w:spacing w:val="-11"/>
        </w:rPr>
        <w:t> </w:t>
      </w:r>
      <w:r>
        <w:rPr>
          <w:color w:val="231F20"/>
        </w:rPr>
        <w:t>brasileño</w:t>
      </w:r>
      <w:r>
        <w:rPr>
          <w:color w:val="231F20"/>
          <w:spacing w:val="-10"/>
        </w:rPr>
        <w:t> </w:t>
      </w:r>
      <w:r>
        <w:rPr>
          <w:color w:val="231F20"/>
        </w:rPr>
        <w:t>presentó</w:t>
      </w:r>
      <w:r>
        <w:rPr>
          <w:color w:val="231F20"/>
          <w:spacing w:val="-10"/>
        </w:rPr>
        <w:t> </w:t>
      </w:r>
      <w:r>
        <w:rPr>
          <w:color w:val="231F20"/>
        </w:rPr>
        <w:t>una</w:t>
      </w:r>
      <w:r>
        <w:rPr>
          <w:color w:val="231F20"/>
          <w:spacing w:val="-10"/>
        </w:rPr>
        <w:t> </w:t>
      </w:r>
      <w:r>
        <w:rPr>
          <w:color w:val="231F20"/>
        </w:rPr>
        <w:t>reducción</w:t>
      </w:r>
      <w:r>
        <w:rPr>
          <w:color w:val="231F20"/>
          <w:spacing w:val="-10"/>
        </w:rPr>
        <w:t> </w:t>
      </w:r>
      <w:r>
        <w:rPr>
          <w:color w:val="231F20"/>
        </w:rPr>
        <w:t>en su nivel de informalidad</w:t>
      </w:r>
      <w:r>
        <w:rPr>
          <w:color w:val="231F20"/>
          <w:position w:val="7"/>
          <w:sz w:val="11"/>
        </w:rPr>
        <w:t>4 </w:t>
      </w:r>
      <w:r>
        <w:rPr>
          <w:color w:val="231F20"/>
        </w:rPr>
        <w:t>debido a la mejora en los indicadores de creci- miento económico y una consecuente expansión del mercado de trabajo formal. En este sentido, la reversión de la tendencia histórica al</w:t>
      </w:r>
      <w:r>
        <w:rPr>
          <w:color w:val="231F20"/>
          <w:spacing w:val="-32"/>
        </w:rPr>
        <w:t> </w:t>
      </w:r>
      <w:r>
        <w:rPr>
          <w:color w:val="231F20"/>
        </w:rPr>
        <w:t>aumento de la informalidad en Brasil no permite la generalización de las condi- ciones del mercado de trabajo brasileño al resto del mundo. Por otro lado, también deben destacarse los límites de una posible generalización de la experiencia histórica brasileña, ya sea por el carácter etnocéntrico de esa empresa, o porque las experiencias singulares sufren la</w:t>
      </w:r>
      <w:r>
        <w:rPr>
          <w:color w:val="231F20"/>
          <w:spacing w:val="-11"/>
        </w:rPr>
        <w:t> </w:t>
      </w:r>
      <w:r>
        <w:rPr>
          <w:color w:val="231F20"/>
        </w:rPr>
        <w:t>influencia de factores económicos, sociales, culturales y políticos específicos, que difícilmente son reproducidos en los mismos</w:t>
      </w:r>
      <w:r>
        <w:rPr>
          <w:color w:val="231F20"/>
          <w:spacing w:val="-5"/>
        </w:rPr>
        <w:t> </w:t>
      </w:r>
      <w:r>
        <w:rPr>
          <w:color w:val="231F20"/>
        </w:rPr>
        <w:t>moldes.</w:t>
      </w:r>
    </w:p>
    <w:p>
      <w:pPr>
        <w:pStyle w:val="BodyText"/>
        <w:spacing w:line="249" w:lineRule="auto" w:before="1"/>
        <w:ind w:left="110" w:right="111" w:firstLine="283"/>
        <w:jc w:val="both"/>
      </w:pPr>
      <w:r>
        <w:rPr>
          <w:color w:val="231F20"/>
        </w:rPr>
        <w:t>La tipología presentada por Beck, que clasifica en cuatro diferentes grupos</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trabajadores</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sociedades</w:t>
      </w:r>
      <w:r>
        <w:rPr>
          <w:color w:val="231F20"/>
          <w:spacing w:val="-11"/>
        </w:rPr>
        <w:t> </w:t>
      </w:r>
      <w:r>
        <w:rPr>
          <w:color w:val="231F20"/>
        </w:rPr>
        <w:t>occidentales</w:t>
      </w:r>
      <w:r>
        <w:rPr>
          <w:color w:val="231F20"/>
          <w:spacing w:val="-12"/>
        </w:rPr>
        <w:t> </w:t>
      </w:r>
      <w:r>
        <w:rPr>
          <w:color w:val="231F20"/>
        </w:rPr>
        <w:t>contemporáneas, parece presentar un vacío entre las dos primeras posiciones. En este</w:t>
      </w:r>
      <w:r>
        <w:rPr>
          <w:color w:val="231F20"/>
          <w:spacing w:val="-25"/>
        </w:rPr>
        <w:t> </w:t>
      </w:r>
      <w:r>
        <w:rPr>
          <w:color w:val="231F20"/>
        </w:rPr>
        <w:t>sen-</w:t>
      </w:r>
    </w:p>
    <w:p>
      <w:pPr>
        <w:spacing w:before="116"/>
        <w:ind w:left="110" w:right="111" w:firstLine="0"/>
        <w:jc w:val="both"/>
        <w:rPr>
          <w:sz w:val="14"/>
        </w:rPr>
      </w:pPr>
      <w:r>
        <w:rPr>
          <w:color w:val="231F20"/>
          <w:position w:val="5"/>
          <w:sz w:val="8"/>
        </w:rPr>
        <w:t>4 </w:t>
      </w:r>
      <w:r>
        <w:rPr>
          <w:color w:val="231F20"/>
          <w:sz w:val="14"/>
        </w:rPr>
        <w:t>Datos de la Investigación Nacional por Muestra de Domicilios </w:t>
      </w:r>
      <w:r>
        <w:rPr>
          <w:i/>
          <w:color w:val="231F20"/>
          <w:sz w:val="14"/>
        </w:rPr>
        <w:t>Pesquisa Nacional por Amostra de </w:t>
      </w:r>
      <w:r>
        <w:rPr>
          <w:i/>
          <w:color w:val="231F20"/>
          <w:sz w:val="14"/>
        </w:rPr>
        <w:t>Domicílios </w:t>
      </w:r>
      <w:r>
        <w:rPr>
          <w:color w:val="231F20"/>
          <w:sz w:val="14"/>
        </w:rPr>
        <w:t>(PNAD) señalan que la informalidad habría disminuido en el mercado de trabajo brasileño, pasando de 57 por ciento en 2001 a 49 por ciento en 2007.</w:t>
      </w:r>
    </w:p>
    <w:p>
      <w:pPr>
        <w:spacing w:after="0"/>
        <w:jc w:val="both"/>
        <w:rPr>
          <w:sz w:val="14"/>
        </w:rPr>
        <w:sectPr>
          <w:pgSz w:w="7770" w:h="11740"/>
          <w:pgMar w:header="0" w:footer="559" w:top="840" w:bottom="740" w:left="740" w:right="1020"/>
        </w:sectPr>
      </w:pPr>
    </w:p>
    <w:p>
      <w:pPr>
        <w:pStyle w:val="BodyText"/>
        <w:spacing w:line="249" w:lineRule="auto" w:before="60"/>
        <w:ind w:left="113" w:right="108"/>
        <w:jc w:val="both"/>
      </w:pPr>
      <w:r>
        <w:rPr>
          <w:color w:val="231F20"/>
        </w:rPr>
        <w:t>tido, es de suma importancia considerar la categoría ausente de traba- jadores calificados no-precarios, sobre todo técnicos de nivel medio y superior,</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ubican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categoría</w:t>
      </w:r>
      <w:r>
        <w:rPr>
          <w:color w:val="231F20"/>
          <w:spacing w:val="-7"/>
        </w:rPr>
        <w:t> </w:t>
      </w:r>
      <w:r>
        <w:rPr>
          <w:color w:val="231F20"/>
        </w:rPr>
        <w:t>“Colones”,</w:t>
      </w:r>
      <w:r>
        <w:rPr>
          <w:color w:val="231F20"/>
          <w:spacing w:val="-7"/>
        </w:rPr>
        <w:t> </w:t>
      </w:r>
      <w:r>
        <w:rPr>
          <w:color w:val="231F20"/>
        </w:rPr>
        <w:t>pero</w:t>
      </w:r>
      <w:r>
        <w:rPr>
          <w:color w:val="231F20"/>
          <w:spacing w:val="-7"/>
        </w:rPr>
        <w:t> </w:t>
      </w:r>
      <w:r>
        <w:rPr>
          <w:color w:val="231F20"/>
        </w:rPr>
        <w:t>tampoco</w:t>
      </w:r>
      <w:r>
        <w:rPr>
          <w:color w:val="231F20"/>
          <w:spacing w:val="-7"/>
        </w:rPr>
        <w:t> </w:t>
      </w:r>
      <w:r>
        <w:rPr>
          <w:color w:val="231F20"/>
        </w:rPr>
        <w:t>entre los</w:t>
      </w:r>
      <w:r>
        <w:rPr>
          <w:color w:val="231F20"/>
          <w:spacing w:val="-10"/>
        </w:rPr>
        <w:t> </w:t>
      </w:r>
      <w:r>
        <w:rPr>
          <w:color w:val="231F20"/>
        </w:rPr>
        <w:t>trabajadores</w:t>
      </w:r>
      <w:r>
        <w:rPr>
          <w:color w:val="231F20"/>
          <w:spacing w:val="-10"/>
        </w:rPr>
        <w:t> </w:t>
      </w:r>
      <w:r>
        <w:rPr>
          <w:color w:val="231F20"/>
        </w:rPr>
        <w:t>calificados</w:t>
      </w:r>
      <w:r>
        <w:rPr>
          <w:color w:val="231F20"/>
          <w:spacing w:val="-10"/>
        </w:rPr>
        <w:t> </w:t>
      </w:r>
      <w:r>
        <w:rPr>
          <w:color w:val="231F20"/>
        </w:rPr>
        <w:t>precarios,</w:t>
      </w:r>
      <w:r>
        <w:rPr>
          <w:color w:val="231F20"/>
          <w:spacing w:val="-10"/>
        </w:rPr>
        <w:t> </w:t>
      </w:r>
      <w:r>
        <w:rPr>
          <w:color w:val="231F20"/>
        </w:rPr>
        <w:t>puesto</w:t>
      </w:r>
      <w:r>
        <w:rPr>
          <w:color w:val="231F20"/>
          <w:spacing w:val="-10"/>
        </w:rPr>
        <w:t> </w:t>
      </w:r>
      <w:r>
        <w:rPr>
          <w:color w:val="231F20"/>
        </w:rPr>
        <w:t>que</w:t>
      </w:r>
      <w:r>
        <w:rPr>
          <w:color w:val="231F20"/>
          <w:spacing w:val="-10"/>
        </w:rPr>
        <w:t> </w:t>
      </w:r>
      <w:r>
        <w:rPr>
          <w:color w:val="231F20"/>
        </w:rPr>
        <w:t>forman</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seg- mento del mercado de trabajo que no puede ser</w:t>
      </w:r>
      <w:r>
        <w:rPr>
          <w:color w:val="231F20"/>
          <w:spacing w:val="-5"/>
        </w:rPr>
        <w:t> </w:t>
      </w:r>
      <w:r>
        <w:rPr>
          <w:color w:val="231F20"/>
        </w:rPr>
        <w:t>despreciado.</w:t>
      </w:r>
    </w:p>
    <w:p>
      <w:pPr>
        <w:pStyle w:val="BodyText"/>
        <w:spacing w:before="10"/>
        <w:rPr>
          <w:sz w:val="23"/>
        </w:rPr>
      </w:pPr>
    </w:p>
    <w:p>
      <w:pPr>
        <w:spacing w:line="252" w:lineRule="auto" w:before="0"/>
        <w:ind w:left="277" w:right="633" w:firstLine="0"/>
        <w:jc w:val="left"/>
        <w:rPr>
          <w:sz w:val="19"/>
        </w:rPr>
      </w:pPr>
      <w:r>
        <w:rPr>
          <w:w w:val="105"/>
          <w:sz w:val="19"/>
        </w:rPr>
        <w:t>Cuadro 1. Clases de trabajadores en las sociedades occidentales modernas</w:t>
      </w:r>
    </w:p>
    <w:p>
      <w:pPr>
        <w:pStyle w:val="BodyText"/>
        <w:spacing w:line="20" w:lineRule="exact"/>
        <w:ind w:left="162"/>
        <w:rPr>
          <w:sz w:val="2"/>
        </w:rPr>
      </w:pPr>
      <w:r>
        <w:rPr>
          <w:sz w:val="2"/>
        </w:rPr>
        <w:pict>
          <v:group style="width:282.75pt;height:.5pt;mso-position-horizontal-relative:char;mso-position-vertical-relative:line" coordorigin="0,0" coordsize="5655,10">
            <v:line style="position:absolute" from="5,5" to="2813,5" stroked="true" strokeweight=".48pt" strokecolor="#000000"/>
            <v:line style="position:absolute" from="2813,5" to="2823,5" stroked="true" strokeweight=".48pt" strokecolor="#000000"/>
            <v:line style="position:absolute" from="2823,5" to="5650,5" stroked="true" strokeweight=".48pt" strokecolor="#000000"/>
          </v:group>
        </w:pict>
      </w:r>
      <w:r>
        <w:rPr>
          <w:sz w:val="2"/>
        </w:rPr>
      </w:r>
    </w:p>
    <w:p>
      <w:pPr>
        <w:tabs>
          <w:tab w:pos="3085" w:val="left" w:leader="none"/>
        </w:tabs>
        <w:spacing w:line="202" w:lineRule="exact" w:before="0"/>
        <w:ind w:left="277" w:right="792" w:firstLine="0"/>
        <w:jc w:val="left"/>
        <w:rPr>
          <w:sz w:val="19"/>
        </w:rPr>
      </w:pPr>
      <w:r>
        <w:rPr>
          <w:w w:val="105"/>
          <w:sz w:val="19"/>
        </w:rPr>
        <w:t>Clases</w:t>
        <w:tab/>
        <w:t>Definición</w:t>
      </w:r>
    </w:p>
    <w:p>
      <w:pPr>
        <w:tabs>
          <w:tab w:pos="3085" w:val="left" w:leader="none"/>
        </w:tabs>
        <w:spacing w:line="246" w:lineRule="exact" w:before="0"/>
        <w:ind w:left="277" w:right="792" w:firstLine="0"/>
        <w:jc w:val="left"/>
        <w:rPr>
          <w:sz w:val="19"/>
        </w:rPr>
      </w:pPr>
      <w:r>
        <w:rPr/>
        <w:pict>
          <v:shape style="position:absolute;margin-left:59.358002pt;margin-top:.896924pt;width:282.25pt;height:.1pt;mso-position-horizontal-relative:page;mso-position-vertical-relative:paragraph;z-index:-336592" coordorigin="1187,18" coordsize="5645,0" path="m1187,18l3995,18m3995,18l4005,18m4005,18l6832,18e" filled="false" stroked="true" strokeweight=".481pt" strokecolor="#000000">
            <v:path arrowok="t"/>
            <w10:wrap type="none"/>
          </v:shape>
        </w:pict>
      </w:r>
      <w:r>
        <w:rPr>
          <w:w w:val="105"/>
          <w:sz w:val="19"/>
        </w:rPr>
        <w:t>“Colones”</w:t>
      </w:r>
      <w:r>
        <w:rPr>
          <w:w w:val="105"/>
          <w:position w:val="9"/>
          <w:sz w:val="13"/>
        </w:rPr>
        <w:t>* </w:t>
      </w:r>
      <w:r>
        <w:rPr>
          <w:w w:val="105"/>
          <w:sz w:val="19"/>
        </w:rPr>
        <w:t>de la</w:t>
      </w:r>
      <w:r>
        <w:rPr>
          <w:spacing w:val="11"/>
          <w:w w:val="105"/>
          <w:sz w:val="19"/>
        </w:rPr>
        <w:t> </w:t>
      </w:r>
      <w:r>
        <w:rPr>
          <w:w w:val="105"/>
          <w:sz w:val="19"/>
        </w:rPr>
        <w:t>era</w:t>
      </w:r>
      <w:r>
        <w:rPr>
          <w:spacing w:val="-2"/>
          <w:w w:val="105"/>
          <w:sz w:val="19"/>
        </w:rPr>
        <w:t> </w:t>
      </w:r>
      <w:r>
        <w:rPr>
          <w:w w:val="105"/>
          <w:sz w:val="19"/>
        </w:rPr>
        <w:t>global</w:t>
        <w:tab/>
        <w:t>Son los beneficiados de</w:t>
      </w:r>
      <w:r>
        <w:rPr>
          <w:spacing w:val="-10"/>
          <w:w w:val="105"/>
          <w:sz w:val="19"/>
        </w:rPr>
        <w:t> </w:t>
      </w:r>
      <w:r>
        <w:rPr>
          <w:w w:val="105"/>
          <w:sz w:val="19"/>
        </w:rPr>
        <w:t>la</w:t>
      </w:r>
    </w:p>
    <w:p>
      <w:pPr>
        <w:spacing w:line="252" w:lineRule="auto" w:before="12"/>
        <w:ind w:left="3085" w:right="317" w:firstLine="0"/>
        <w:jc w:val="left"/>
        <w:rPr>
          <w:sz w:val="19"/>
        </w:rPr>
      </w:pPr>
      <w:r>
        <w:rPr>
          <w:w w:val="105"/>
          <w:sz w:val="19"/>
        </w:rPr>
        <w:t>globalización, propietarios de capital que se mueven globalmente y ocupan cargos de dirección. Son también las élites económicas y del conocimiento.</w:t>
      </w:r>
    </w:p>
    <w:p>
      <w:pPr>
        <w:tabs>
          <w:tab w:pos="3085" w:val="left" w:leader="none"/>
        </w:tabs>
        <w:spacing w:line="252" w:lineRule="auto" w:before="121"/>
        <w:ind w:left="3085" w:right="405" w:hanging="2808"/>
        <w:jc w:val="left"/>
        <w:rPr>
          <w:sz w:val="19"/>
        </w:rPr>
      </w:pPr>
      <w:r>
        <w:rPr>
          <w:w w:val="105"/>
          <w:sz w:val="19"/>
        </w:rPr>
        <w:t>Calificados</w:t>
      </w:r>
      <w:r>
        <w:rPr>
          <w:spacing w:val="-2"/>
          <w:w w:val="105"/>
          <w:sz w:val="19"/>
        </w:rPr>
        <w:t> </w:t>
      </w:r>
      <w:r>
        <w:rPr>
          <w:w w:val="105"/>
          <w:sz w:val="19"/>
        </w:rPr>
        <w:t>precarios</w:t>
        <w:tab/>
        <w:t>Son</w:t>
      </w:r>
      <w:r>
        <w:rPr>
          <w:spacing w:val="-3"/>
          <w:w w:val="105"/>
          <w:sz w:val="19"/>
        </w:rPr>
        <w:t> </w:t>
      </w:r>
      <w:r>
        <w:rPr>
          <w:w w:val="105"/>
          <w:sz w:val="19"/>
        </w:rPr>
        <w:t>trabajadores</w:t>
      </w:r>
      <w:r>
        <w:rPr>
          <w:spacing w:val="-4"/>
          <w:w w:val="105"/>
          <w:sz w:val="19"/>
        </w:rPr>
        <w:t> </w:t>
      </w:r>
      <w:r>
        <w:rPr>
          <w:w w:val="105"/>
          <w:sz w:val="19"/>
        </w:rPr>
        <w:t>temporales,</w:t>
      </w:r>
      <w:r>
        <w:rPr>
          <w:w w:val="103"/>
          <w:sz w:val="19"/>
        </w:rPr>
        <w:t> </w:t>
      </w:r>
      <w:r>
        <w:rPr>
          <w:w w:val="105"/>
          <w:sz w:val="19"/>
        </w:rPr>
        <w:t>bien remunerados y poseedores de excelentes currículos; no obstante, están insertos en contextos socio-ocupacionales inestables.</w:t>
      </w:r>
    </w:p>
    <w:p>
      <w:pPr>
        <w:tabs>
          <w:tab w:pos="3085" w:val="left" w:leader="none"/>
        </w:tabs>
        <w:spacing w:line="268" w:lineRule="exact" w:before="89"/>
        <w:ind w:left="277" w:right="792" w:firstLine="0"/>
        <w:jc w:val="left"/>
        <w:rPr>
          <w:sz w:val="19"/>
        </w:rPr>
      </w:pPr>
      <w:r>
        <w:rPr>
          <w:w w:val="105"/>
          <w:sz w:val="19"/>
        </w:rPr>
        <w:t>“Trabajadores</w:t>
      </w:r>
      <w:r>
        <w:rPr>
          <w:spacing w:val="-3"/>
          <w:w w:val="105"/>
          <w:sz w:val="19"/>
        </w:rPr>
        <w:t> </w:t>
      </w:r>
      <w:r>
        <w:rPr>
          <w:w w:val="105"/>
          <w:sz w:val="19"/>
        </w:rPr>
        <w:t>pobres”</w:t>
      </w:r>
      <w:r>
        <w:rPr>
          <w:rFonts w:ascii="Calibri" w:hAnsi="Calibri"/>
          <w:w w:val="105"/>
          <w:position w:val="10"/>
          <w:sz w:val="14"/>
        </w:rPr>
        <w:t>**</w:t>
        <w:tab/>
      </w:r>
      <w:r>
        <w:rPr>
          <w:w w:val="105"/>
          <w:position w:val="2"/>
          <w:sz w:val="19"/>
        </w:rPr>
        <w:t>Son trabajadores</w:t>
      </w:r>
      <w:r>
        <w:rPr>
          <w:spacing w:val="-6"/>
          <w:w w:val="105"/>
          <w:position w:val="2"/>
          <w:sz w:val="19"/>
        </w:rPr>
        <w:t> </w:t>
      </w:r>
      <w:r>
        <w:rPr>
          <w:w w:val="105"/>
          <w:position w:val="2"/>
          <w:sz w:val="19"/>
        </w:rPr>
        <w:t>poco</w:t>
      </w:r>
    </w:p>
    <w:p>
      <w:pPr>
        <w:spacing w:line="252" w:lineRule="auto" w:before="0"/>
        <w:ind w:left="3085" w:right="296" w:firstLine="0"/>
        <w:jc w:val="left"/>
        <w:rPr>
          <w:sz w:val="19"/>
        </w:rPr>
      </w:pPr>
      <w:r>
        <w:rPr>
          <w:w w:val="105"/>
          <w:sz w:val="19"/>
        </w:rPr>
        <w:t>calificados, constantemente amenazados por la globalización y por la posible automatización de sus puestos de trabajo.</w:t>
      </w:r>
    </w:p>
    <w:p>
      <w:pPr>
        <w:tabs>
          <w:tab w:pos="3085" w:val="left" w:leader="none"/>
        </w:tabs>
        <w:spacing w:line="249" w:lineRule="auto" w:before="121"/>
        <w:ind w:left="3085" w:right="503" w:hanging="2808"/>
        <w:jc w:val="left"/>
        <w:rPr>
          <w:sz w:val="19"/>
        </w:rPr>
      </w:pPr>
      <w:r>
        <w:rPr>
          <w:w w:val="105"/>
          <w:sz w:val="19"/>
        </w:rPr>
        <w:t>Pobres</w:t>
      </w:r>
      <w:r>
        <w:rPr>
          <w:spacing w:val="-2"/>
          <w:w w:val="105"/>
          <w:sz w:val="19"/>
        </w:rPr>
        <w:t> </w:t>
      </w:r>
      <w:r>
        <w:rPr>
          <w:w w:val="105"/>
          <w:sz w:val="19"/>
        </w:rPr>
        <w:t>localizados</w:t>
        <w:tab/>
        <w:t>Los pobres</w:t>
      </w:r>
      <w:r>
        <w:rPr>
          <w:spacing w:val="-5"/>
          <w:w w:val="105"/>
          <w:sz w:val="19"/>
        </w:rPr>
        <w:t> </w:t>
      </w:r>
      <w:r>
        <w:rPr>
          <w:w w:val="105"/>
          <w:sz w:val="19"/>
        </w:rPr>
        <w:t>localizados</w:t>
      </w:r>
      <w:r>
        <w:rPr>
          <w:spacing w:val="-3"/>
          <w:w w:val="105"/>
          <w:sz w:val="19"/>
        </w:rPr>
        <w:t> </w:t>
      </w:r>
      <w:r>
        <w:rPr>
          <w:w w:val="105"/>
          <w:sz w:val="19"/>
        </w:rPr>
        <w:t>tienen</w:t>
      </w:r>
      <w:r>
        <w:rPr>
          <w:spacing w:val="1"/>
          <w:w w:val="103"/>
          <w:sz w:val="19"/>
        </w:rPr>
        <w:t> </w:t>
      </w:r>
      <w:r>
        <w:rPr>
          <w:w w:val="105"/>
          <w:sz w:val="19"/>
        </w:rPr>
        <w:t>tiempo de sobra, pero están localizados en un espacio</w:t>
      </w:r>
      <w:r>
        <w:rPr>
          <w:spacing w:val="-7"/>
          <w:w w:val="105"/>
          <w:sz w:val="19"/>
        </w:rPr>
        <w:t> </w:t>
      </w:r>
      <w:r>
        <w:rPr>
          <w:w w:val="105"/>
          <w:sz w:val="19"/>
        </w:rPr>
        <w:t>fijo.</w:t>
      </w:r>
    </w:p>
    <w:p>
      <w:pPr>
        <w:pStyle w:val="BodyText"/>
        <w:spacing w:line="20" w:lineRule="exact"/>
        <w:ind w:left="162"/>
        <w:rPr>
          <w:sz w:val="2"/>
        </w:rPr>
      </w:pPr>
      <w:r>
        <w:rPr>
          <w:sz w:val="2"/>
        </w:rPr>
        <w:pict>
          <v:group style="width:282.75pt;height:.5pt;mso-position-horizontal-relative:char;mso-position-vertical-relative:line" coordorigin="0,0" coordsize="5655,10">
            <v:line style="position:absolute" from="5,5" to="2813,5" stroked="true" strokeweight=".481pt" strokecolor="#000000"/>
            <v:line style="position:absolute" from="2813,5" to="2823,5" stroked="true" strokeweight=".481pt" strokecolor="#000000"/>
            <v:line style="position:absolute" from="2823,5" to="5650,5" stroked="true" strokeweight=".481pt" strokecolor="#000000"/>
          </v:group>
        </w:pict>
      </w:r>
      <w:r>
        <w:rPr>
          <w:sz w:val="2"/>
        </w:rPr>
      </w:r>
    </w:p>
    <w:p>
      <w:pPr>
        <w:spacing w:line="244" w:lineRule="auto" w:before="0"/>
        <w:ind w:left="277" w:right="317" w:firstLine="0"/>
        <w:jc w:val="left"/>
        <w:rPr>
          <w:sz w:val="16"/>
        </w:rPr>
      </w:pPr>
      <w:r>
        <w:rPr>
          <w:sz w:val="16"/>
        </w:rPr>
        <w:t>* “Clase de Colón”, en el texto en español. Beck compara a esa clase con Cristóbal Colón en su marcha por nuevas conquistas territoriales.</w:t>
      </w:r>
    </w:p>
    <w:p>
      <w:pPr>
        <w:spacing w:line="237" w:lineRule="auto" w:before="0"/>
        <w:ind w:left="277" w:right="2998" w:firstLine="0"/>
        <w:jc w:val="left"/>
        <w:rPr>
          <w:sz w:val="16"/>
        </w:rPr>
      </w:pPr>
      <w:r>
        <w:rPr>
          <w:sz w:val="16"/>
        </w:rPr>
        <w:t>** </w:t>
      </w:r>
      <w:r>
        <w:rPr>
          <w:i/>
          <w:sz w:val="16"/>
        </w:rPr>
        <w:t>Working poor </w:t>
      </w:r>
      <w:r>
        <w:rPr>
          <w:sz w:val="16"/>
        </w:rPr>
        <w:t>en el texto original. Fuente: adaptado de Beck, 2000: 117-118.</w:t>
      </w:r>
    </w:p>
    <w:p>
      <w:pPr>
        <w:pStyle w:val="BodyText"/>
        <w:spacing w:line="249" w:lineRule="auto" w:before="139"/>
        <w:ind w:left="113" w:right="107" w:firstLine="283"/>
        <w:jc w:val="both"/>
      </w:pPr>
      <w:r>
        <w:rPr>
          <w:color w:val="231F20"/>
        </w:rPr>
        <w:t>Para efectos del análisis de la realidad latinoamericana, la teoría de Beck se muestra de difícil aplicación, dado que asume el principio de la totalidad al generalizar características que pueden ser consideradas pro- pias</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realidad</w:t>
      </w:r>
      <w:r>
        <w:rPr>
          <w:color w:val="231F20"/>
          <w:spacing w:val="-5"/>
        </w:rPr>
        <w:t> </w:t>
      </w:r>
      <w:r>
        <w:rPr>
          <w:color w:val="231F20"/>
        </w:rPr>
        <w:t>particular,</w:t>
      </w:r>
      <w:r>
        <w:rPr>
          <w:color w:val="231F20"/>
          <w:spacing w:val="-5"/>
        </w:rPr>
        <w:t> </w:t>
      </w:r>
      <w:r>
        <w:rPr>
          <w:color w:val="231F20"/>
        </w:rPr>
        <w:t>la</w:t>
      </w:r>
      <w:r>
        <w:rPr>
          <w:color w:val="231F20"/>
          <w:spacing w:val="-5"/>
        </w:rPr>
        <w:t> </w:t>
      </w:r>
      <w:r>
        <w:rPr>
          <w:color w:val="231F20"/>
        </w:rPr>
        <w:t>brasileña,</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ni</w:t>
      </w:r>
      <w:r>
        <w:rPr>
          <w:color w:val="231F20"/>
          <w:spacing w:val="-5"/>
        </w:rPr>
        <w:t> </w:t>
      </w:r>
      <w:r>
        <w:rPr>
          <w:color w:val="231F20"/>
        </w:rPr>
        <w:t>siquiera</w:t>
      </w:r>
      <w:r>
        <w:rPr>
          <w:color w:val="231F20"/>
          <w:spacing w:val="-5"/>
        </w:rPr>
        <w:t> </w:t>
      </w:r>
      <w:r>
        <w:rPr>
          <w:color w:val="231F20"/>
        </w:rPr>
        <w:t>se</w:t>
      </w:r>
      <w:r>
        <w:rPr>
          <w:color w:val="231F20"/>
          <w:spacing w:val="-5"/>
        </w:rPr>
        <w:t> </w:t>
      </w:r>
      <w:r>
        <w:rPr>
          <w:color w:val="231F20"/>
        </w:rPr>
        <w:t>mantuvo estable en el transcurso de la última década. Del mismo modo, la tipolo- gía</w:t>
      </w:r>
      <w:r>
        <w:rPr>
          <w:color w:val="231F20"/>
          <w:spacing w:val="-8"/>
        </w:rPr>
        <w:t> </w:t>
      </w:r>
      <w:r>
        <w:rPr>
          <w:color w:val="231F20"/>
        </w:rPr>
        <w:t>de</w:t>
      </w:r>
      <w:r>
        <w:rPr>
          <w:color w:val="231F20"/>
          <w:spacing w:val="-8"/>
        </w:rPr>
        <w:t> </w:t>
      </w:r>
      <w:r>
        <w:rPr>
          <w:color w:val="231F20"/>
        </w:rPr>
        <w:t>trabajadores</w:t>
      </w:r>
      <w:r>
        <w:rPr>
          <w:color w:val="231F20"/>
          <w:spacing w:val="-9"/>
        </w:rPr>
        <w:t> </w:t>
      </w:r>
      <w:r>
        <w:rPr>
          <w:color w:val="231F20"/>
        </w:rPr>
        <w:t>elaborada</w:t>
      </w:r>
      <w:r>
        <w:rPr>
          <w:color w:val="231F20"/>
          <w:spacing w:val="-9"/>
        </w:rPr>
        <w:t> </w:t>
      </w:r>
      <w:r>
        <w:rPr>
          <w:color w:val="231F20"/>
        </w:rPr>
        <w:t>por</w:t>
      </w:r>
      <w:r>
        <w:rPr>
          <w:color w:val="231F20"/>
          <w:spacing w:val="-8"/>
        </w:rPr>
        <w:t> </w:t>
      </w:r>
      <w:r>
        <w:rPr>
          <w:color w:val="231F20"/>
        </w:rPr>
        <w:t>el</w:t>
      </w:r>
      <w:r>
        <w:rPr>
          <w:color w:val="231F20"/>
          <w:spacing w:val="-8"/>
        </w:rPr>
        <w:t> </w:t>
      </w:r>
      <w:r>
        <w:rPr>
          <w:color w:val="231F20"/>
        </w:rPr>
        <w:t>autor</w:t>
      </w:r>
      <w:r>
        <w:rPr>
          <w:color w:val="231F20"/>
          <w:spacing w:val="-9"/>
        </w:rPr>
        <w:t> </w:t>
      </w:r>
      <w:r>
        <w:rPr>
          <w:color w:val="231F20"/>
        </w:rPr>
        <w:t>necesita</w:t>
      </w:r>
      <w:r>
        <w:rPr>
          <w:color w:val="231F20"/>
          <w:spacing w:val="-8"/>
        </w:rPr>
        <w:t> </w:t>
      </w:r>
      <w:r>
        <w:rPr>
          <w:color w:val="231F20"/>
        </w:rPr>
        <w:t>adecuarse</w:t>
      </w:r>
      <w:r>
        <w:rPr>
          <w:color w:val="231F20"/>
          <w:spacing w:val="-9"/>
        </w:rPr>
        <w:t> </w:t>
      </w:r>
      <w:r>
        <w:rPr>
          <w:color w:val="231F20"/>
        </w:rPr>
        <w:t>a</w:t>
      </w:r>
      <w:r>
        <w:rPr>
          <w:color w:val="231F20"/>
          <w:spacing w:val="-8"/>
        </w:rPr>
        <w:t> </w:t>
      </w:r>
      <w:r>
        <w:rPr>
          <w:color w:val="231F20"/>
        </w:rPr>
        <w:t>la</w:t>
      </w:r>
      <w:r>
        <w:rPr>
          <w:color w:val="231F20"/>
          <w:spacing w:val="-8"/>
        </w:rPr>
        <w:t> </w:t>
      </w:r>
      <w:r>
        <w:rPr>
          <w:color w:val="231F20"/>
        </w:rPr>
        <w:t>realidad de América Latina, de modo que incorpore elementos como la</w:t>
      </w:r>
      <w:r>
        <w:rPr>
          <w:color w:val="231F20"/>
          <w:spacing w:val="33"/>
        </w:rPr>
        <w:t> </w:t>
      </w:r>
      <w:r>
        <w:rPr>
          <w:color w:val="231F20"/>
        </w:rPr>
        <w:t>informa-</w:t>
      </w:r>
    </w:p>
    <w:p>
      <w:pPr>
        <w:spacing w:after="0" w:line="249" w:lineRule="auto"/>
        <w:jc w:val="both"/>
        <w:sectPr>
          <w:footerReference w:type="default" r:id="rId33"/>
          <w:pgSz w:w="7770" w:h="11740"/>
          <w:pgMar w:footer="559" w:header="0" w:top="840" w:bottom="740" w:left="1020" w:right="740"/>
          <w:pgNumType w:start="47"/>
        </w:sectPr>
      </w:pPr>
    </w:p>
    <w:p>
      <w:pPr>
        <w:pStyle w:val="BodyText"/>
        <w:spacing w:before="60"/>
        <w:ind w:left="110"/>
      </w:pPr>
      <w:r>
        <w:rPr>
          <w:color w:val="231F20"/>
        </w:rPr>
        <w:t>lidad, el desempleo y las desigualdades por motivos de edad y género.</w:t>
      </w:r>
    </w:p>
    <w:p>
      <w:pPr>
        <w:pStyle w:val="BodyText"/>
        <w:spacing w:line="249" w:lineRule="auto" w:before="10"/>
        <w:ind w:left="110" w:right="111" w:firstLine="283"/>
        <w:jc w:val="right"/>
      </w:pPr>
      <w:r>
        <w:rPr>
          <w:color w:val="231F20"/>
        </w:rPr>
        <w:t>Un cuarto y último enfoque es introducido por</w:t>
      </w:r>
      <w:r>
        <w:rPr>
          <w:color w:val="231F20"/>
          <w:spacing w:val="28"/>
        </w:rPr>
        <w:t> </w:t>
      </w:r>
      <w:r>
        <w:rPr>
          <w:color w:val="231F20"/>
        </w:rPr>
        <w:t>Manuel</w:t>
      </w:r>
      <w:r>
        <w:rPr>
          <w:color w:val="231F20"/>
          <w:spacing w:val="48"/>
        </w:rPr>
        <w:t> </w:t>
      </w:r>
      <w:r>
        <w:rPr>
          <w:color w:val="231F20"/>
        </w:rPr>
        <w:t>Castells (2000), para quien las sociedades contemporáneas asisten a</w:t>
      </w:r>
      <w:r>
        <w:rPr>
          <w:color w:val="231F20"/>
          <w:spacing w:val="22"/>
        </w:rPr>
        <w:t> </w:t>
      </w:r>
      <w:r>
        <w:rPr>
          <w:color w:val="231F20"/>
        </w:rPr>
        <w:t>la</w:t>
      </w:r>
      <w:r>
        <w:rPr>
          <w:color w:val="231F20"/>
          <w:spacing w:val="2"/>
        </w:rPr>
        <w:t> </w:t>
      </w:r>
      <w:r>
        <w:rPr>
          <w:color w:val="231F20"/>
        </w:rPr>
        <w:t>emergen- cia</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nueva</w:t>
      </w:r>
      <w:r>
        <w:rPr>
          <w:color w:val="231F20"/>
          <w:spacing w:val="-8"/>
        </w:rPr>
        <w:t> </w:t>
      </w:r>
      <w:r>
        <w:rPr>
          <w:color w:val="231F20"/>
        </w:rPr>
        <w:t>estructura</w:t>
      </w:r>
      <w:r>
        <w:rPr>
          <w:color w:val="231F20"/>
          <w:spacing w:val="-8"/>
        </w:rPr>
        <w:t> </w:t>
      </w:r>
      <w:r>
        <w:rPr>
          <w:color w:val="231F20"/>
        </w:rPr>
        <w:t>social,</w:t>
      </w:r>
      <w:r>
        <w:rPr>
          <w:color w:val="231F20"/>
          <w:spacing w:val="-7"/>
        </w:rPr>
        <w:t> </w:t>
      </w:r>
      <w:r>
        <w:rPr>
          <w:color w:val="231F20"/>
        </w:rPr>
        <w:t>asociada</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nuevo</w:t>
      </w:r>
      <w:r>
        <w:rPr>
          <w:color w:val="231F20"/>
          <w:spacing w:val="-8"/>
        </w:rPr>
        <w:t> </w:t>
      </w:r>
      <w:r>
        <w:rPr>
          <w:color w:val="231F20"/>
        </w:rPr>
        <w:t>modo</w:t>
      </w:r>
      <w:r>
        <w:rPr>
          <w:color w:val="231F20"/>
          <w:spacing w:val="-8"/>
        </w:rPr>
        <w:t> </w:t>
      </w:r>
      <w:r>
        <w:rPr>
          <w:color w:val="231F20"/>
        </w:rPr>
        <w:t>de</w:t>
      </w:r>
      <w:r>
        <w:rPr>
          <w:color w:val="231F20"/>
          <w:spacing w:val="-8"/>
        </w:rPr>
        <w:t> </w:t>
      </w:r>
      <w:r>
        <w:rPr>
          <w:color w:val="231F20"/>
        </w:rPr>
        <w:t>desarro- llo denominado por él como informacionalismo (Castells,</w:t>
      </w:r>
      <w:r>
        <w:rPr>
          <w:color w:val="231F20"/>
          <w:spacing w:val="-3"/>
        </w:rPr>
        <w:t> </w:t>
      </w:r>
      <w:r>
        <w:rPr>
          <w:color w:val="231F20"/>
        </w:rPr>
        <w:t>2000: 50-54). Según Castells, la difusión de las tecnologías de la información</w:t>
      </w:r>
      <w:r>
        <w:rPr>
          <w:color w:val="231F20"/>
          <w:spacing w:val="-7"/>
        </w:rPr>
        <w:t> </w:t>
      </w:r>
      <w:r>
        <w:rPr>
          <w:color w:val="231F20"/>
        </w:rPr>
        <w:t>en</w:t>
      </w:r>
      <w:r>
        <w:rPr>
          <w:color w:val="231F20"/>
          <w:spacing w:val="-2"/>
        </w:rPr>
        <w:t> </w:t>
      </w:r>
      <w:r>
        <w:rPr>
          <w:color w:val="231F20"/>
        </w:rPr>
        <w:t>el proceso</w:t>
      </w:r>
      <w:r>
        <w:rPr>
          <w:color w:val="231F20"/>
          <w:spacing w:val="-5"/>
        </w:rPr>
        <w:t> </w:t>
      </w:r>
      <w:r>
        <w:rPr>
          <w:color w:val="231F20"/>
        </w:rPr>
        <w:t>productivo</w:t>
      </w:r>
      <w:r>
        <w:rPr>
          <w:color w:val="231F20"/>
          <w:spacing w:val="-5"/>
        </w:rPr>
        <w:t> </w:t>
      </w:r>
      <w:r>
        <w:rPr>
          <w:color w:val="231F20"/>
        </w:rPr>
        <w:t>lleva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adopción</w:t>
      </w:r>
      <w:r>
        <w:rPr>
          <w:color w:val="231F20"/>
          <w:spacing w:val="-5"/>
        </w:rPr>
        <w:t> </w:t>
      </w:r>
      <w:r>
        <w:rPr>
          <w:color w:val="231F20"/>
        </w:rPr>
        <w:t>de</w:t>
      </w:r>
      <w:r>
        <w:rPr>
          <w:color w:val="231F20"/>
          <w:spacing w:val="-5"/>
        </w:rPr>
        <w:t> </w:t>
      </w:r>
      <w:r>
        <w:rPr>
          <w:color w:val="231F20"/>
        </w:rPr>
        <w:t>nuevas</w:t>
      </w:r>
      <w:r>
        <w:rPr>
          <w:color w:val="231F20"/>
          <w:spacing w:val="-5"/>
        </w:rPr>
        <w:t> </w:t>
      </w:r>
      <w:r>
        <w:rPr>
          <w:color w:val="231F20"/>
        </w:rPr>
        <w:t>prácticas</w:t>
      </w:r>
      <w:r>
        <w:rPr>
          <w:color w:val="231F20"/>
          <w:spacing w:val="-5"/>
        </w:rPr>
        <w:t> </w:t>
      </w:r>
      <w:r>
        <w:rPr>
          <w:color w:val="231F20"/>
        </w:rPr>
        <w:t>organizativas con</w:t>
      </w:r>
      <w:r>
        <w:rPr>
          <w:color w:val="231F20"/>
          <w:spacing w:val="23"/>
        </w:rPr>
        <w:t> </w:t>
      </w:r>
      <w:r>
        <w:rPr>
          <w:color w:val="231F20"/>
        </w:rPr>
        <w:t>el</w:t>
      </w:r>
      <w:r>
        <w:rPr>
          <w:color w:val="231F20"/>
          <w:spacing w:val="23"/>
        </w:rPr>
        <w:t> </w:t>
      </w:r>
      <w:r>
        <w:rPr>
          <w:color w:val="231F20"/>
        </w:rPr>
        <w:t>objetivo</w:t>
      </w:r>
      <w:r>
        <w:rPr>
          <w:color w:val="231F20"/>
          <w:spacing w:val="23"/>
        </w:rPr>
        <w:t> </w:t>
      </w:r>
      <w:r>
        <w:rPr>
          <w:color w:val="231F20"/>
        </w:rPr>
        <w:t>de</w:t>
      </w:r>
      <w:r>
        <w:rPr>
          <w:color w:val="231F20"/>
          <w:spacing w:val="23"/>
        </w:rPr>
        <w:t> </w:t>
      </w:r>
      <w:r>
        <w:rPr>
          <w:color w:val="231F20"/>
        </w:rPr>
        <w:t>reestructurar</w:t>
      </w:r>
      <w:r>
        <w:rPr>
          <w:color w:val="231F20"/>
          <w:spacing w:val="23"/>
        </w:rPr>
        <w:t> </w:t>
      </w:r>
      <w:r>
        <w:rPr>
          <w:color w:val="231F20"/>
        </w:rPr>
        <w:t>los</w:t>
      </w:r>
      <w:r>
        <w:rPr>
          <w:color w:val="231F20"/>
          <w:spacing w:val="23"/>
        </w:rPr>
        <w:t> </w:t>
      </w:r>
      <w:r>
        <w:rPr>
          <w:color w:val="231F20"/>
        </w:rPr>
        <w:t>procesos</w:t>
      </w:r>
      <w:r>
        <w:rPr>
          <w:color w:val="231F20"/>
          <w:spacing w:val="23"/>
        </w:rPr>
        <w:t> </w:t>
      </w:r>
      <w:r>
        <w:rPr>
          <w:color w:val="231F20"/>
        </w:rPr>
        <w:t>de</w:t>
      </w:r>
      <w:r>
        <w:rPr>
          <w:color w:val="231F20"/>
          <w:spacing w:val="23"/>
        </w:rPr>
        <w:t> </w:t>
      </w:r>
      <w:r>
        <w:rPr>
          <w:color w:val="231F20"/>
        </w:rPr>
        <w:t>trabajo</w:t>
      </w:r>
      <w:r>
        <w:rPr>
          <w:color w:val="231F20"/>
          <w:spacing w:val="22"/>
        </w:rPr>
        <w:t> </w:t>
      </w:r>
      <w:r>
        <w:rPr>
          <w:color w:val="231F20"/>
        </w:rPr>
        <w:t>y</w:t>
      </w:r>
      <w:r>
        <w:rPr>
          <w:color w:val="231F20"/>
          <w:spacing w:val="23"/>
        </w:rPr>
        <w:t> </w:t>
      </w:r>
      <w:r>
        <w:rPr>
          <w:color w:val="231F20"/>
        </w:rPr>
        <w:t>los</w:t>
      </w:r>
      <w:r>
        <w:rPr>
          <w:color w:val="231F20"/>
          <w:spacing w:val="23"/>
        </w:rPr>
        <w:t> </w:t>
      </w:r>
      <w:r>
        <w:rPr>
          <w:color w:val="231F20"/>
        </w:rPr>
        <w:t>modelos de empleo. </w:t>
      </w:r>
      <w:r>
        <w:rPr>
          <w:color w:val="231F20"/>
          <w:spacing w:val="-3"/>
        </w:rPr>
        <w:t>Tales </w:t>
      </w:r>
      <w:r>
        <w:rPr>
          <w:color w:val="231F20"/>
        </w:rPr>
        <w:t>innovaciones transforman las</w:t>
      </w:r>
      <w:r>
        <w:rPr>
          <w:color w:val="231F20"/>
          <w:spacing w:val="6"/>
        </w:rPr>
        <w:t> </w:t>
      </w:r>
      <w:r>
        <w:rPr>
          <w:color w:val="231F20"/>
        </w:rPr>
        <w:t>estructuras organizativas vigentes</w:t>
      </w:r>
      <w:r>
        <w:rPr>
          <w:color w:val="231F20"/>
          <w:spacing w:val="-11"/>
        </w:rPr>
        <w:t> </w:t>
      </w:r>
      <w:r>
        <w:rPr>
          <w:color w:val="231F20"/>
        </w:rPr>
        <w:t>—fundadas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principios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integración</w:t>
      </w:r>
      <w:r>
        <w:rPr>
          <w:color w:val="231F20"/>
          <w:spacing w:val="-12"/>
        </w:rPr>
        <w:t> </w:t>
      </w:r>
      <w:r>
        <w:rPr>
          <w:color w:val="231F20"/>
        </w:rPr>
        <w:t>vertical</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 visión técnica del trabajo— logrando una mayor integración</w:t>
      </w:r>
      <w:r>
        <w:rPr>
          <w:color w:val="231F20"/>
          <w:spacing w:val="34"/>
        </w:rPr>
        <w:t> </w:t>
      </w:r>
      <w:r>
        <w:rPr>
          <w:color w:val="231F20"/>
        </w:rPr>
        <w:t>entre</w:t>
      </w:r>
      <w:r>
        <w:rPr>
          <w:color w:val="231F20"/>
          <w:spacing w:val="4"/>
        </w:rPr>
        <w:t> </w:t>
      </w:r>
      <w:r>
        <w:rPr>
          <w:color w:val="231F20"/>
        </w:rPr>
        <w:t>todas las</w:t>
      </w:r>
      <w:r>
        <w:rPr>
          <w:color w:val="231F20"/>
          <w:spacing w:val="-12"/>
        </w:rPr>
        <w:t> </w:t>
      </w:r>
      <w:r>
        <w:rPr>
          <w:color w:val="231F20"/>
        </w:rPr>
        <w:t>actividades</w:t>
      </w:r>
      <w:r>
        <w:rPr>
          <w:color w:val="231F20"/>
          <w:spacing w:val="-12"/>
        </w:rPr>
        <w:t> </w:t>
      </w:r>
      <w:r>
        <w:rPr>
          <w:color w:val="231F20"/>
        </w:rPr>
        <w:t>desempeñadas</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empresa</w:t>
      </w:r>
      <w:r>
        <w:rPr>
          <w:color w:val="231F20"/>
          <w:spacing w:val="-12"/>
        </w:rPr>
        <w:t> </w:t>
      </w:r>
      <w:r>
        <w:rPr>
          <w:color w:val="231F20"/>
        </w:rPr>
        <w:t>y</w:t>
      </w:r>
      <w:r>
        <w:rPr>
          <w:color w:val="231F20"/>
          <w:spacing w:val="-12"/>
        </w:rPr>
        <w:t> </w:t>
      </w:r>
      <w:r>
        <w:rPr>
          <w:color w:val="231F20"/>
        </w:rPr>
        <w:t>ofreciendo,</w:t>
      </w:r>
      <w:r>
        <w:rPr>
          <w:color w:val="231F20"/>
          <w:spacing w:val="-12"/>
        </w:rPr>
        <w:t> </w:t>
      </w:r>
      <w:r>
        <w:rPr>
          <w:color w:val="231F20"/>
        </w:rPr>
        <w:t>supuestamen- te, al trabajador mayor capacidad de intervenir en la toma de</w:t>
      </w:r>
      <w:r>
        <w:rPr>
          <w:color w:val="231F20"/>
          <w:spacing w:val="42"/>
        </w:rPr>
        <w:t> </w:t>
      </w:r>
      <w:r>
        <w:rPr>
          <w:color w:val="231F20"/>
        </w:rPr>
        <w:t>decisiones</w:t>
      </w:r>
    </w:p>
    <w:p>
      <w:pPr>
        <w:pStyle w:val="BodyText"/>
        <w:spacing w:before="1"/>
        <w:ind w:left="110" w:right="792"/>
      </w:pPr>
      <w:r>
        <w:rPr>
          <w:color w:val="231F20"/>
        </w:rPr>
        <w:t>(Castells, 2000: 210-214).</w:t>
      </w:r>
    </w:p>
    <w:p>
      <w:pPr>
        <w:pStyle w:val="BodyText"/>
        <w:spacing w:line="249" w:lineRule="auto" w:before="10"/>
        <w:ind w:left="110" w:right="111" w:firstLine="283"/>
        <w:jc w:val="both"/>
      </w:pPr>
      <w:r>
        <w:rPr>
          <w:color w:val="231F20"/>
        </w:rPr>
        <w:t>Castells considera que la transformación de la estructura del empleo es uno de los principales indicadores de los grandes procesos de tran- sición histórica. No obstante, el autor cree que no hay una ruta única     a ser seguida por todas las sociedades, tomando en cuenta que los as- pectos culturales, institucionales y de naturaleza política influyen en sus opciones. Según Castells, en el informacionalismo se da una tendencia al aumento de la participación relativa de las ocupaciones consideradas informacionales —tales como administradores, profesionales especiali- zados y técnicos— en la composición de la estructura ocupacional, así como de ocupaciones relacionadas con los servicios de</w:t>
      </w:r>
      <w:r>
        <w:rPr>
          <w:color w:val="231F20"/>
          <w:spacing w:val="-11"/>
        </w:rPr>
        <w:t> </w:t>
      </w:r>
      <w:r>
        <w:rPr>
          <w:color w:val="231F20"/>
        </w:rPr>
        <w:t>oficina.</w:t>
      </w:r>
    </w:p>
    <w:p>
      <w:pPr>
        <w:pStyle w:val="BodyText"/>
        <w:spacing w:line="249" w:lineRule="auto" w:before="1"/>
        <w:ind w:left="110" w:right="111" w:firstLine="283"/>
        <w:jc w:val="both"/>
      </w:pPr>
      <w:r>
        <w:rPr>
          <w:color w:val="231F20"/>
        </w:rPr>
        <w:t>Para</w:t>
      </w:r>
      <w:r>
        <w:rPr>
          <w:color w:val="231F20"/>
          <w:spacing w:val="-11"/>
        </w:rPr>
        <w:t> </w:t>
      </w:r>
      <w:r>
        <w:rPr>
          <w:color w:val="231F20"/>
        </w:rPr>
        <w:t>ilustrar</w:t>
      </w:r>
      <w:r>
        <w:rPr>
          <w:color w:val="231F20"/>
          <w:spacing w:val="-11"/>
        </w:rPr>
        <w:t> </w:t>
      </w:r>
      <w:r>
        <w:rPr>
          <w:color w:val="231F20"/>
        </w:rPr>
        <w:t>las</w:t>
      </w:r>
      <w:r>
        <w:rPr>
          <w:color w:val="231F20"/>
          <w:spacing w:val="-11"/>
        </w:rPr>
        <w:t> </w:t>
      </w:r>
      <w:r>
        <w:rPr>
          <w:color w:val="231F20"/>
        </w:rPr>
        <w:t>transformaciones</w:t>
      </w:r>
      <w:r>
        <w:rPr>
          <w:color w:val="231F20"/>
          <w:spacing w:val="-11"/>
        </w:rPr>
        <w:t> </w:t>
      </w:r>
      <w:r>
        <w:rPr>
          <w:color w:val="231F20"/>
        </w:rPr>
        <w:t>ocurridas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estructura</w:t>
      </w:r>
      <w:r>
        <w:rPr>
          <w:color w:val="231F20"/>
          <w:spacing w:val="-12"/>
        </w:rPr>
        <w:t> </w:t>
      </w:r>
      <w:r>
        <w:rPr>
          <w:color w:val="231F20"/>
        </w:rPr>
        <w:t>ocupacio- nal de las sociedades en transición hacia el informacionalismo, Castells desarrolló una tipología del proceso productivo organizado con base en la tecnología. Dicha tipología busca articular las tareas básicas del pro- ceso de trabajo informacional y sus respectivos ejecutores (Cuadro</w:t>
      </w:r>
      <w:r>
        <w:rPr>
          <w:color w:val="231F20"/>
          <w:spacing w:val="-6"/>
        </w:rPr>
        <w:t> </w:t>
      </w:r>
      <w:r>
        <w:rPr>
          <w:color w:val="231F20"/>
        </w:rPr>
        <w:t>2).</w:t>
      </w:r>
    </w:p>
    <w:p>
      <w:pPr>
        <w:pStyle w:val="BodyText"/>
        <w:spacing w:line="249" w:lineRule="auto" w:before="1"/>
        <w:ind w:left="110" w:right="112" w:firstLine="283"/>
        <w:jc w:val="both"/>
      </w:pPr>
      <w:r>
        <w:rPr>
          <w:color w:val="231F20"/>
        </w:rPr>
        <w:t>La tipología presentada en el cuadro respecto a las funciones, está relacionada a otras dos tipologías también elaboradas por Castells:</w:t>
      </w:r>
    </w:p>
    <w:p>
      <w:pPr>
        <w:pStyle w:val="ListParagraph"/>
        <w:numPr>
          <w:ilvl w:val="0"/>
          <w:numId w:val="1"/>
        </w:numPr>
        <w:tabs>
          <w:tab w:pos="471" w:val="left" w:leader="none"/>
        </w:tabs>
        <w:spacing w:line="249" w:lineRule="auto" w:before="171" w:after="0"/>
        <w:ind w:left="470" w:right="111" w:hanging="360"/>
        <w:jc w:val="both"/>
        <w:rPr>
          <w:sz w:val="20"/>
        </w:rPr>
      </w:pPr>
      <w:r>
        <w:rPr>
          <w:color w:val="231F20"/>
          <w:sz w:val="20"/>
        </w:rPr>
        <w:t>La primera, referente a los cargos, representada por: i) trabajadores activos en la red, que están conectados a ella y tienen autonomía para</w:t>
      </w:r>
      <w:r>
        <w:rPr>
          <w:color w:val="231F20"/>
          <w:spacing w:val="-7"/>
          <w:sz w:val="20"/>
        </w:rPr>
        <w:t> </w:t>
      </w:r>
      <w:r>
        <w:rPr>
          <w:color w:val="231F20"/>
          <w:sz w:val="20"/>
        </w:rPr>
        <w:t>navegar</w:t>
      </w:r>
      <w:r>
        <w:rPr>
          <w:color w:val="231F20"/>
          <w:spacing w:val="-7"/>
          <w:sz w:val="20"/>
        </w:rPr>
        <w:t> </w:t>
      </w:r>
      <w:r>
        <w:rPr>
          <w:color w:val="231F20"/>
          <w:sz w:val="20"/>
        </w:rPr>
        <w:t>por</w:t>
      </w:r>
      <w:r>
        <w:rPr>
          <w:color w:val="231F20"/>
          <w:spacing w:val="-7"/>
          <w:sz w:val="20"/>
        </w:rPr>
        <w:t> </w:t>
      </w:r>
      <w:r>
        <w:rPr>
          <w:color w:val="231F20"/>
          <w:sz w:val="20"/>
        </w:rPr>
        <w:t>las</w:t>
      </w:r>
      <w:r>
        <w:rPr>
          <w:color w:val="231F20"/>
          <w:spacing w:val="-7"/>
          <w:sz w:val="20"/>
        </w:rPr>
        <w:t> </w:t>
      </w:r>
      <w:r>
        <w:rPr>
          <w:color w:val="231F20"/>
          <w:sz w:val="20"/>
        </w:rPr>
        <w:t>rutas</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empresa</w:t>
      </w:r>
      <w:r>
        <w:rPr>
          <w:color w:val="231F20"/>
          <w:spacing w:val="-7"/>
          <w:sz w:val="20"/>
        </w:rPr>
        <w:t> </w:t>
      </w:r>
      <w:r>
        <w:rPr>
          <w:color w:val="231F20"/>
          <w:sz w:val="20"/>
        </w:rPr>
        <w:t>en</w:t>
      </w:r>
      <w:r>
        <w:rPr>
          <w:color w:val="231F20"/>
          <w:spacing w:val="-7"/>
          <w:sz w:val="20"/>
        </w:rPr>
        <w:t> </w:t>
      </w:r>
      <w:r>
        <w:rPr>
          <w:color w:val="231F20"/>
          <w:sz w:val="20"/>
        </w:rPr>
        <w:t>red;</w:t>
      </w:r>
      <w:r>
        <w:rPr>
          <w:color w:val="231F20"/>
          <w:spacing w:val="-7"/>
          <w:sz w:val="20"/>
        </w:rPr>
        <w:t> </w:t>
      </w:r>
      <w:r>
        <w:rPr>
          <w:color w:val="231F20"/>
          <w:sz w:val="20"/>
        </w:rPr>
        <w:t>ii)</w:t>
      </w:r>
      <w:r>
        <w:rPr>
          <w:color w:val="231F20"/>
          <w:spacing w:val="-7"/>
          <w:sz w:val="20"/>
        </w:rPr>
        <w:t> </w:t>
      </w:r>
      <w:r>
        <w:rPr>
          <w:color w:val="231F20"/>
          <w:sz w:val="20"/>
        </w:rPr>
        <w:t>trabajadores</w:t>
      </w:r>
      <w:r>
        <w:rPr>
          <w:color w:val="231F20"/>
          <w:spacing w:val="-7"/>
          <w:sz w:val="20"/>
        </w:rPr>
        <w:t> </w:t>
      </w:r>
      <w:r>
        <w:rPr>
          <w:color w:val="231F20"/>
          <w:sz w:val="20"/>
        </w:rPr>
        <w:t>pasi- vos en la red, que están conectados a ella pero no tienen autonomía de decisión, y iii) trabajadores desconectados, que realizan sus acti- vidades fuera de la red y permanecen cautivos a las tareas definidas por los niveles jerárquicos</w:t>
      </w:r>
      <w:r>
        <w:rPr>
          <w:color w:val="231F20"/>
          <w:spacing w:val="-13"/>
          <w:sz w:val="20"/>
        </w:rPr>
        <w:t> </w:t>
      </w:r>
      <w:r>
        <w:rPr>
          <w:color w:val="231F20"/>
          <w:sz w:val="20"/>
        </w:rPr>
        <w:t>superiores.</w:t>
      </w:r>
    </w:p>
    <w:p>
      <w:pPr>
        <w:pStyle w:val="ListParagraph"/>
        <w:numPr>
          <w:ilvl w:val="0"/>
          <w:numId w:val="1"/>
        </w:numPr>
        <w:tabs>
          <w:tab w:pos="359" w:val="left" w:leader="none"/>
          <w:tab w:pos="471" w:val="left" w:leader="none"/>
        </w:tabs>
        <w:spacing w:line="240" w:lineRule="auto" w:before="1" w:after="0"/>
        <w:ind w:left="470" w:right="111" w:hanging="360"/>
        <w:jc w:val="right"/>
        <w:rPr>
          <w:sz w:val="20"/>
        </w:rPr>
      </w:pPr>
      <w:r>
        <w:rPr>
          <w:color w:val="231F20"/>
          <w:sz w:val="20"/>
        </w:rPr>
        <w:t>La segunda, referente a la capacidad para actuar en los procesos </w:t>
      </w:r>
      <w:r>
        <w:rPr>
          <w:color w:val="231F20"/>
          <w:spacing w:val="8"/>
          <w:sz w:val="20"/>
        </w:rPr>
        <w:t> </w:t>
      </w:r>
      <w:r>
        <w:rPr>
          <w:color w:val="231F20"/>
          <w:sz w:val="20"/>
        </w:rPr>
        <w:t>de</w:t>
      </w:r>
    </w:p>
    <w:p>
      <w:pPr>
        <w:spacing w:after="0" w:line="240" w:lineRule="auto"/>
        <w:jc w:val="right"/>
        <w:rPr>
          <w:sz w:val="20"/>
        </w:rPr>
        <w:sectPr>
          <w:pgSz w:w="7770" w:h="11740"/>
          <w:pgMar w:header="0" w:footer="559" w:top="840" w:bottom="740" w:left="740" w:right="1020"/>
        </w:sectPr>
      </w:pPr>
    </w:p>
    <w:p>
      <w:pPr>
        <w:pStyle w:val="BodyText"/>
        <w:spacing w:line="249" w:lineRule="auto" w:before="60"/>
        <w:ind w:left="473" w:right="108"/>
        <w:jc w:val="both"/>
      </w:pPr>
      <w:r>
        <w:rPr>
          <w:color w:val="231F20"/>
        </w:rPr>
        <w:t>toma de decisiones y que serían: i) los que dicen la última palabra, o sea, los que deciden en última instancia; ii) los participantes, que están incluidos en los procesos de toma de decisiones, y iii) los eje- cutores, que ponen en práctica las decisiones (Castells, 2000:</w:t>
      </w:r>
      <w:r>
        <w:rPr>
          <w:color w:val="231F20"/>
          <w:spacing w:val="-3"/>
        </w:rPr>
        <w:t> </w:t>
      </w:r>
      <w:r>
        <w:rPr>
          <w:color w:val="231F20"/>
        </w:rPr>
        <w:t>308).</w:t>
      </w:r>
    </w:p>
    <w:p>
      <w:pPr>
        <w:pStyle w:val="BodyText"/>
        <w:spacing w:before="6"/>
        <w:rPr>
          <w:sz w:val="22"/>
        </w:rPr>
      </w:pPr>
    </w:p>
    <w:p>
      <w:pPr>
        <w:spacing w:line="252" w:lineRule="auto" w:before="1"/>
        <w:ind w:left="226" w:right="434" w:firstLine="0"/>
        <w:jc w:val="left"/>
        <w:rPr>
          <w:sz w:val="19"/>
        </w:rPr>
      </w:pPr>
      <w:r>
        <w:rPr>
          <w:w w:val="105"/>
          <w:sz w:val="19"/>
        </w:rPr>
        <w:t>Cuadro 2. Tareas básicas y sus ejecutantes en el proceso de trabajo informacional</w:t>
      </w:r>
    </w:p>
    <w:p>
      <w:pPr>
        <w:pStyle w:val="BodyText"/>
        <w:spacing w:line="20" w:lineRule="exact"/>
        <w:ind w:left="111"/>
        <w:rPr>
          <w:sz w:val="2"/>
        </w:rPr>
      </w:pPr>
      <w:r>
        <w:rPr>
          <w:sz w:val="2"/>
        </w:rPr>
        <w:pict>
          <v:group style="width:289.55pt;height:.5pt;mso-position-horizontal-relative:char;mso-position-vertical-relative:line" coordorigin="0,0" coordsize="5791,10">
            <v:line style="position:absolute" from="5,5" to="4229,5" stroked="true" strokeweight=".48pt" strokecolor="#000000"/>
            <v:line style="position:absolute" from="4229,5" to="4239,5" stroked="true" strokeweight=".48pt" strokecolor="#000000"/>
            <v:line style="position:absolute" from="4239,5" to="5785,5" stroked="true" strokeweight=".48pt" strokecolor="#000000"/>
          </v:group>
        </w:pict>
      </w:r>
      <w:r>
        <w:rPr>
          <w:sz w:val="2"/>
        </w:rPr>
      </w:r>
    </w:p>
    <w:p>
      <w:pPr>
        <w:tabs>
          <w:tab w:pos="4450" w:val="left" w:leader="none"/>
        </w:tabs>
        <w:spacing w:before="0" w:after="7"/>
        <w:ind w:left="226" w:right="0" w:firstLine="0"/>
        <w:jc w:val="left"/>
        <w:rPr>
          <w:sz w:val="19"/>
        </w:rPr>
      </w:pPr>
      <w:r>
        <w:rPr>
          <w:w w:val="105"/>
          <w:sz w:val="19"/>
        </w:rPr>
        <w:t>Tarea</w:t>
        <w:tab/>
        <w:t>Ejecutores</w:t>
      </w:r>
    </w:p>
    <w:p>
      <w:pPr>
        <w:pStyle w:val="BodyText"/>
        <w:spacing w:line="20" w:lineRule="exact"/>
        <w:ind w:left="111"/>
        <w:rPr>
          <w:sz w:val="2"/>
        </w:rPr>
      </w:pPr>
      <w:r>
        <w:rPr>
          <w:sz w:val="2"/>
        </w:rPr>
        <w:pict>
          <v:group style="width:289.55pt;height:.5pt;mso-position-horizontal-relative:char;mso-position-vertical-relative:line" coordorigin="0,0" coordsize="5791,10">
            <v:line style="position:absolute" from="5,5" to="4229,5" stroked="true" strokeweight=".481pt" strokecolor="#000000"/>
            <v:line style="position:absolute" from="4229,5" to="4239,5" stroked="true" strokeweight=".481pt" strokecolor="#000000"/>
            <v:line style="position:absolute" from="4239,5" to="5785,5" stroked="true" strokeweight=".481pt" strokecolor="#000000"/>
          </v:group>
        </w:pict>
      </w:r>
      <w:r>
        <w:rPr>
          <w:sz w:val="2"/>
        </w:rPr>
      </w:r>
    </w:p>
    <w:p>
      <w:pPr>
        <w:tabs>
          <w:tab w:pos="4450" w:val="left" w:leader="none"/>
        </w:tabs>
        <w:spacing w:line="230" w:lineRule="atLeast" w:before="0"/>
        <w:ind w:left="226" w:right="389" w:firstLine="0"/>
        <w:jc w:val="left"/>
        <w:rPr>
          <w:sz w:val="19"/>
        </w:rPr>
      </w:pPr>
      <w:r>
        <w:rPr>
          <w:w w:val="105"/>
          <w:sz w:val="19"/>
        </w:rPr>
        <w:t>Toma de decisiones estratégicas</w:t>
      </w:r>
      <w:r>
        <w:rPr>
          <w:spacing w:val="-6"/>
          <w:w w:val="105"/>
          <w:sz w:val="19"/>
        </w:rPr>
        <w:t> </w:t>
      </w:r>
      <w:r>
        <w:rPr>
          <w:w w:val="105"/>
          <w:sz w:val="19"/>
        </w:rPr>
        <w:t>y</w:t>
      </w:r>
      <w:r>
        <w:rPr>
          <w:spacing w:val="-1"/>
          <w:w w:val="105"/>
          <w:sz w:val="19"/>
        </w:rPr>
        <w:t> </w:t>
      </w:r>
      <w:r>
        <w:rPr>
          <w:w w:val="105"/>
          <w:sz w:val="19"/>
        </w:rPr>
        <w:t>planeación</w:t>
        <w:tab/>
        <w:t>Dirigentes Innovación en productos</w:t>
      </w:r>
      <w:r>
        <w:rPr>
          <w:spacing w:val="-3"/>
          <w:w w:val="105"/>
          <w:sz w:val="19"/>
        </w:rPr>
        <w:t> </w:t>
      </w:r>
      <w:r>
        <w:rPr>
          <w:w w:val="105"/>
          <w:sz w:val="19"/>
        </w:rPr>
        <w:t>y</w:t>
      </w:r>
      <w:r>
        <w:rPr>
          <w:spacing w:val="-1"/>
          <w:w w:val="105"/>
          <w:sz w:val="19"/>
        </w:rPr>
        <w:t> </w:t>
      </w:r>
      <w:r>
        <w:rPr>
          <w:w w:val="105"/>
          <w:sz w:val="19"/>
        </w:rPr>
        <w:t>procesos</w:t>
        <w:tab/>
        <w:t>Investigadores Adaptación y definición de los</w:t>
      </w:r>
      <w:r>
        <w:rPr>
          <w:spacing w:val="-7"/>
          <w:w w:val="105"/>
          <w:sz w:val="19"/>
        </w:rPr>
        <w:t> </w:t>
      </w:r>
      <w:r>
        <w:rPr>
          <w:w w:val="105"/>
          <w:sz w:val="19"/>
        </w:rPr>
        <w:t>objetivos</w:t>
      </w:r>
    </w:p>
    <w:p>
      <w:pPr>
        <w:tabs>
          <w:tab w:pos="4450" w:val="left" w:leader="none"/>
        </w:tabs>
        <w:spacing w:line="230" w:lineRule="exact" w:before="0"/>
        <w:ind w:left="226" w:right="0" w:firstLine="0"/>
        <w:jc w:val="left"/>
        <w:rPr>
          <w:sz w:val="19"/>
        </w:rPr>
      </w:pPr>
      <w:r>
        <w:rPr>
          <w:w w:val="105"/>
          <w:sz w:val="19"/>
        </w:rPr>
        <w:t>de</w:t>
      </w:r>
      <w:r>
        <w:rPr>
          <w:spacing w:val="-1"/>
          <w:w w:val="105"/>
          <w:sz w:val="19"/>
        </w:rPr>
        <w:t> </w:t>
      </w:r>
      <w:r>
        <w:rPr>
          <w:w w:val="105"/>
          <w:sz w:val="19"/>
        </w:rPr>
        <w:t>la</w:t>
      </w:r>
      <w:r>
        <w:rPr>
          <w:spacing w:val="-1"/>
          <w:w w:val="105"/>
          <w:sz w:val="19"/>
        </w:rPr>
        <w:t> </w:t>
      </w:r>
      <w:r>
        <w:rPr>
          <w:w w:val="105"/>
          <w:sz w:val="19"/>
        </w:rPr>
        <w:t>innovación</w:t>
        <w:tab/>
      </w:r>
      <w:r>
        <w:rPr>
          <w:w w:val="105"/>
          <w:position w:val="12"/>
          <w:sz w:val="19"/>
        </w:rPr>
        <w:t>Proyectistas</w:t>
      </w:r>
    </w:p>
    <w:p>
      <w:pPr>
        <w:spacing w:line="164" w:lineRule="exact" w:before="12"/>
        <w:ind w:left="226" w:right="792" w:firstLine="0"/>
        <w:jc w:val="left"/>
        <w:rPr>
          <w:sz w:val="19"/>
        </w:rPr>
      </w:pPr>
      <w:r>
        <w:rPr>
          <w:w w:val="105"/>
          <w:sz w:val="19"/>
        </w:rPr>
        <w:t>Gestión de las relaciones entre la decisión,</w:t>
      </w:r>
    </w:p>
    <w:p>
      <w:pPr>
        <w:tabs>
          <w:tab w:pos="4450" w:val="left" w:leader="none"/>
        </w:tabs>
        <w:spacing w:line="284" w:lineRule="exact" w:before="0"/>
        <w:ind w:left="226" w:right="0" w:firstLine="0"/>
        <w:jc w:val="left"/>
        <w:rPr>
          <w:sz w:val="19"/>
        </w:rPr>
      </w:pPr>
      <w:r>
        <w:rPr>
          <w:w w:val="105"/>
          <w:sz w:val="19"/>
        </w:rPr>
        <w:t>la innovación, el proyecto y</w:t>
      </w:r>
      <w:r>
        <w:rPr>
          <w:spacing w:val="-5"/>
          <w:w w:val="105"/>
          <w:sz w:val="19"/>
        </w:rPr>
        <w:t> </w:t>
      </w:r>
      <w:r>
        <w:rPr>
          <w:w w:val="105"/>
          <w:sz w:val="19"/>
        </w:rPr>
        <w:t>la</w:t>
      </w:r>
      <w:r>
        <w:rPr>
          <w:spacing w:val="-2"/>
          <w:w w:val="105"/>
          <w:sz w:val="19"/>
        </w:rPr>
        <w:t> </w:t>
      </w:r>
      <w:r>
        <w:rPr>
          <w:w w:val="105"/>
          <w:sz w:val="19"/>
        </w:rPr>
        <w:t>ejecución</w:t>
        <w:tab/>
      </w:r>
      <w:r>
        <w:rPr>
          <w:w w:val="105"/>
          <w:position w:val="12"/>
          <w:sz w:val="19"/>
        </w:rPr>
        <w:t>Integradores</w:t>
      </w:r>
    </w:p>
    <w:p>
      <w:pPr>
        <w:spacing w:line="164" w:lineRule="exact" w:before="12"/>
        <w:ind w:left="226" w:right="792" w:firstLine="0"/>
        <w:jc w:val="left"/>
        <w:rPr>
          <w:sz w:val="19"/>
        </w:rPr>
      </w:pPr>
      <w:r>
        <w:rPr>
          <w:w w:val="105"/>
          <w:sz w:val="19"/>
        </w:rPr>
        <w:t>Ejecución de las tareas bajo la propia iniciativa</w:t>
      </w:r>
    </w:p>
    <w:p>
      <w:pPr>
        <w:tabs>
          <w:tab w:pos="4450" w:val="left" w:leader="none"/>
        </w:tabs>
        <w:spacing w:line="284" w:lineRule="exact" w:before="0"/>
        <w:ind w:left="226" w:right="0" w:firstLine="0"/>
        <w:jc w:val="left"/>
        <w:rPr>
          <w:sz w:val="19"/>
        </w:rPr>
      </w:pPr>
      <w:r>
        <w:rPr>
          <w:w w:val="105"/>
          <w:sz w:val="19"/>
        </w:rPr>
        <w:t>y</w:t>
      </w:r>
      <w:r>
        <w:rPr>
          <w:spacing w:val="-1"/>
          <w:w w:val="105"/>
          <w:sz w:val="19"/>
        </w:rPr>
        <w:t> </w:t>
      </w:r>
      <w:r>
        <w:rPr>
          <w:w w:val="105"/>
          <w:sz w:val="19"/>
        </w:rPr>
        <w:t>entendimiento</w:t>
        <w:tab/>
      </w:r>
      <w:r>
        <w:rPr>
          <w:w w:val="105"/>
          <w:position w:val="12"/>
          <w:sz w:val="19"/>
        </w:rPr>
        <w:t>Operadores</w:t>
      </w:r>
    </w:p>
    <w:p>
      <w:pPr>
        <w:spacing w:line="164" w:lineRule="exact" w:before="7"/>
        <w:ind w:left="226" w:right="792" w:firstLine="0"/>
        <w:jc w:val="left"/>
        <w:rPr>
          <w:sz w:val="19"/>
        </w:rPr>
      </w:pPr>
      <w:r>
        <w:rPr>
          <w:w w:val="105"/>
          <w:sz w:val="19"/>
        </w:rPr>
        <w:t>Ejecución de tareas auxiliares, que no fueron</w:t>
      </w:r>
    </w:p>
    <w:p>
      <w:pPr>
        <w:tabs>
          <w:tab w:pos="4450" w:val="left" w:leader="none"/>
        </w:tabs>
        <w:spacing w:line="284" w:lineRule="exact" w:before="0" w:after="7"/>
        <w:ind w:left="226" w:right="0" w:firstLine="0"/>
        <w:jc w:val="left"/>
        <w:rPr>
          <w:sz w:val="19"/>
        </w:rPr>
      </w:pPr>
      <w:r>
        <w:rPr>
          <w:w w:val="105"/>
          <w:sz w:val="19"/>
        </w:rPr>
        <w:t>o no pueden</w:t>
      </w:r>
      <w:r>
        <w:rPr>
          <w:spacing w:val="-1"/>
          <w:w w:val="105"/>
          <w:sz w:val="19"/>
        </w:rPr>
        <w:t> </w:t>
      </w:r>
      <w:r>
        <w:rPr>
          <w:w w:val="105"/>
          <w:sz w:val="19"/>
        </w:rPr>
        <w:t>ser</w:t>
      </w:r>
      <w:r>
        <w:rPr>
          <w:spacing w:val="-2"/>
          <w:w w:val="105"/>
          <w:sz w:val="19"/>
        </w:rPr>
        <w:t> </w:t>
      </w:r>
      <w:r>
        <w:rPr>
          <w:w w:val="105"/>
          <w:sz w:val="19"/>
        </w:rPr>
        <w:t>automatizadas</w:t>
        <w:tab/>
      </w:r>
      <w:r>
        <w:rPr>
          <w:w w:val="105"/>
          <w:position w:val="12"/>
          <w:sz w:val="19"/>
        </w:rPr>
        <w:t>Dirigidos</w:t>
      </w:r>
    </w:p>
    <w:p>
      <w:pPr>
        <w:pStyle w:val="BodyText"/>
        <w:spacing w:line="20" w:lineRule="exact"/>
        <w:ind w:left="111"/>
        <w:rPr>
          <w:sz w:val="2"/>
        </w:rPr>
      </w:pPr>
      <w:r>
        <w:rPr>
          <w:sz w:val="2"/>
        </w:rPr>
        <w:pict>
          <v:group style="width:289.55pt;height:.5pt;mso-position-horizontal-relative:char;mso-position-vertical-relative:line" coordorigin="0,0" coordsize="5791,10">
            <v:line style="position:absolute" from="5,5" to="4229,5" stroked="true" strokeweight=".48pt" strokecolor="#000000"/>
            <v:line style="position:absolute" from="4229,5" to="4239,5" stroked="true" strokeweight=".48pt" strokecolor="#000000"/>
            <v:line style="position:absolute" from="4239,5" to="5785,5" stroked="true" strokeweight=".48pt" strokecolor="#000000"/>
          </v:group>
        </w:pict>
      </w:r>
      <w:r>
        <w:rPr>
          <w:sz w:val="2"/>
        </w:rPr>
      </w:r>
    </w:p>
    <w:p>
      <w:pPr>
        <w:spacing w:before="0"/>
        <w:ind w:left="226" w:right="792" w:firstLine="0"/>
        <w:jc w:val="left"/>
        <w:rPr>
          <w:sz w:val="16"/>
        </w:rPr>
      </w:pPr>
      <w:r>
        <w:rPr>
          <w:sz w:val="16"/>
        </w:rPr>
        <w:t>Fuente: adaptado de Castells, 2000: 308.</w:t>
      </w:r>
    </w:p>
    <w:p>
      <w:pPr>
        <w:pStyle w:val="BodyText"/>
        <w:spacing w:before="7"/>
        <w:rPr>
          <w:sz w:val="18"/>
        </w:rPr>
      </w:pPr>
    </w:p>
    <w:p>
      <w:pPr>
        <w:pStyle w:val="BodyText"/>
        <w:spacing w:line="249" w:lineRule="auto" w:before="75"/>
        <w:ind w:left="113" w:right="107" w:firstLine="283"/>
        <w:jc w:val="both"/>
      </w:pPr>
      <w:r>
        <w:rPr>
          <w:color w:val="231F20"/>
        </w:rPr>
        <w:t>Castells argumenta que las anteriores tipologías —de tareas y eje- cutores, de cargos y de actuación en los procesos de toma de decisiones de las empresas— no son un tipo ideal, tampoco un “paisaje futurista” (Castells, 2000: 309). </w:t>
      </w:r>
      <w:r>
        <w:rPr>
          <w:color w:val="231F20"/>
          <w:spacing w:val="-3"/>
        </w:rPr>
        <w:t>Tales </w:t>
      </w:r>
      <w:r>
        <w:rPr>
          <w:color w:val="231F20"/>
        </w:rPr>
        <w:t>tipologías fueron creadas de acuerdo a los resultados de estudios empíricos sobre la influencia de las tecnologías de la información en la organización y en las relaciones de trabajo. No obstante, aunque tales tipologías sean adecuadas para mostrar las trans- formaciones del trabajo en la sociedad de la información, no es posible reducir la heterogeneidad de los mercados y procesos de trabajo a esas definiciones.</w:t>
      </w:r>
    </w:p>
    <w:p>
      <w:pPr>
        <w:pStyle w:val="BodyText"/>
        <w:spacing w:line="249" w:lineRule="auto" w:before="1"/>
        <w:ind w:left="113" w:right="107" w:firstLine="283"/>
        <w:jc w:val="both"/>
      </w:pPr>
      <w:r>
        <w:rPr>
          <w:color w:val="231F20"/>
        </w:rPr>
        <w:t>Por otro lado, una de las principales tesis desarrolladas por Castells se refiere a la individualización del trabajo en las sociedades occidenta- les contemporáneas, posible gracias a las tecnologías de la información y estimulada por la competencia global. En el contexto de la sociedad de la información, dos modelos de fuerza de trabajo pueden conside- rarse predominantes: una permanente, constituida por administradores   y “analistas simbólicos”, que actúan con base en la información; otra disponible, que está sujeta a la automatización de sus puestos de</w:t>
      </w:r>
      <w:r>
        <w:rPr>
          <w:color w:val="231F20"/>
          <w:spacing w:val="-20"/>
        </w:rPr>
        <w:t> </w:t>
      </w:r>
      <w:r>
        <w:rPr>
          <w:color w:val="231F20"/>
        </w:rPr>
        <w:t>trabajo, así como a las variaciones de la demanda y de los costos del trabajo. Según Castells, la ausencia de acuerdos socialmente establecidos </w:t>
      </w:r>
      <w:r>
        <w:rPr>
          <w:color w:val="231F20"/>
          <w:spacing w:val="27"/>
        </w:rPr>
        <w:t> </w:t>
      </w:r>
      <w:r>
        <w:rPr>
          <w:color w:val="231F20"/>
        </w:rPr>
        <w:t>sobre</w:t>
      </w:r>
    </w:p>
    <w:p>
      <w:pPr>
        <w:spacing w:after="0" w:line="249" w:lineRule="auto"/>
        <w:jc w:val="both"/>
        <w:sectPr>
          <w:footerReference w:type="default" r:id="rId34"/>
          <w:pgSz w:w="7770" w:h="11740"/>
          <w:pgMar w:footer="559" w:header="0" w:top="840" w:bottom="740" w:left="1020" w:right="740"/>
          <w:pgNumType w:start="49"/>
        </w:sectPr>
      </w:pPr>
    </w:p>
    <w:p>
      <w:pPr>
        <w:pStyle w:val="BodyText"/>
        <w:spacing w:line="249" w:lineRule="auto" w:before="60"/>
        <w:ind w:left="110" w:right="111"/>
        <w:jc w:val="both"/>
      </w:pPr>
      <w:r>
        <w:rPr>
          <w:color w:val="231F20"/>
        </w:rPr>
        <w:t>las</w:t>
      </w:r>
      <w:r>
        <w:rPr>
          <w:color w:val="231F20"/>
          <w:spacing w:val="-7"/>
        </w:rPr>
        <w:t> </w:t>
      </w:r>
      <w:r>
        <w:rPr>
          <w:color w:val="231F20"/>
        </w:rPr>
        <w:t>múltiples</w:t>
      </w:r>
      <w:r>
        <w:rPr>
          <w:color w:val="231F20"/>
          <w:spacing w:val="-7"/>
        </w:rPr>
        <w:t> </w:t>
      </w:r>
      <w:r>
        <w:rPr>
          <w:color w:val="231F20"/>
        </w:rPr>
        <w:t>dimensiones</w:t>
      </w:r>
      <w:r>
        <w:rPr>
          <w:color w:val="231F20"/>
          <w:spacing w:val="-6"/>
        </w:rPr>
        <w:t> </w:t>
      </w:r>
      <w:r>
        <w:rPr>
          <w:color w:val="231F20"/>
        </w:rPr>
        <w:t>del</w:t>
      </w:r>
      <w:r>
        <w:rPr>
          <w:color w:val="231F20"/>
          <w:spacing w:val="-6"/>
        </w:rPr>
        <w:t> </w:t>
      </w:r>
      <w:r>
        <w:rPr>
          <w:color w:val="231F20"/>
        </w:rPr>
        <w:t>trabajo</w:t>
      </w:r>
      <w:r>
        <w:rPr>
          <w:color w:val="231F20"/>
          <w:spacing w:val="-7"/>
        </w:rPr>
        <w:t> </w:t>
      </w:r>
      <w:r>
        <w:rPr>
          <w:color w:val="231F20"/>
        </w:rPr>
        <w:t>puede</w:t>
      </w:r>
      <w:r>
        <w:rPr>
          <w:color w:val="231F20"/>
          <w:spacing w:val="-6"/>
        </w:rPr>
        <w:t> </w:t>
      </w:r>
      <w:r>
        <w:rPr>
          <w:color w:val="231F20"/>
        </w:rPr>
        <w:t>acarrear</w:t>
      </w:r>
      <w:r>
        <w:rPr>
          <w:color w:val="231F20"/>
          <w:spacing w:val="-7"/>
        </w:rPr>
        <w:t> </w:t>
      </w:r>
      <w:r>
        <w:rPr>
          <w:color w:val="231F20"/>
        </w:rPr>
        <w:t>la</w:t>
      </w:r>
      <w:r>
        <w:rPr>
          <w:color w:val="231F20"/>
          <w:spacing w:val="-6"/>
        </w:rPr>
        <w:t> </w:t>
      </w:r>
      <w:r>
        <w:rPr>
          <w:color w:val="231F20"/>
        </w:rPr>
        <w:t>generalización</w:t>
      </w:r>
      <w:r>
        <w:rPr>
          <w:color w:val="231F20"/>
          <w:spacing w:val="-6"/>
        </w:rPr>
        <w:t> </w:t>
      </w:r>
      <w:r>
        <w:rPr>
          <w:color w:val="231F20"/>
        </w:rPr>
        <w:t>de diferentes formas de flexibilidad para trabajadores poco o muy especia- lizados</w:t>
      </w:r>
      <w:r>
        <w:rPr>
          <w:color w:val="231F20"/>
          <w:spacing w:val="-6"/>
        </w:rPr>
        <w:t> </w:t>
      </w:r>
      <w:r>
        <w:rPr>
          <w:color w:val="231F20"/>
        </w:rPr>
        <w:t>(Castells,</w:t>
      </w:r>
      <w:r>
        <w:rPr>
          <w:color w:val="231F20"/>
          <w:spacing w:val="-6"/>
        </w:rPr>
        <w:t> </w:t>
      </w:r>
      <w:r>
        <w:rPr>
          <w:color w:val="231F20"/>
        </w:rPr>
        <w:t>2000:</w:t>
      </w:r>
      <w:r>
        <w:rPr>
          <w:color w:val="231F20"/>
          <w:spacing w:val="-6"/>
        </w:rPr>
        <w:t> </w:t>
      </w:r>
      <w:r>
        <w:rPr>
          <w:color w:val="231F20"/>
        </w:rPr>
        <w:t>344-345).</w:t>
      </w:r>
      <w:r>
        <w:rPr>
          <w:color w:val="231F20"/>
          <w:spacing w:val="-9"/>
        </w:rPr>
        <w:t> </w:t>
      </w:r>
      <w:r>
        <w:rPr>
          <w:color w:val="231F20"/>
        </w:rPr>
        <w:t>También</w:t>
      </w:r>
      <w:r>
        <w:rPr>
          <w:color w:val="231F20"/>
          <w:spacing w:val="-6"/>
        </w:rPr>
        <w:t> </w:t>
      </w:r>
      <w:r>
        <w:rPr>
          <w:color w:val="231F20"/>
        </w:rPr>
        <w:t>considera</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surgimiento de un modelo flexible de empleo lleva a la desaparición de la idea de carrera previsible, con contrato de trabajo de tiempo completo, por un largo periodo y mediado por derechos y obligaciones comunes a toda fuerza de trabajo.</w:t>
      </w:r>
    </w:p>
    <w:p>
      <w:pPr>
        <w:pStyle w:val="BodyText"/>
        <w:spacing w:line="249" w:lineRule="auto" w:before="1"/>
        <w:ind w:left="110" w:right="111" w:firstLine="283"/>
        <w:jc w:val="both"/>
      </w:pPr>
      <w:r>
        <w:rPr>
          <w:color w:val="231F20"/>
        </w:rPr>
        <w:t>Con respecto a las trayectorias ocupacionales propiamente dichas, la teoría</w:t>
      </w:r>
      <w:r>
        <w:rPr>
          <w:color w:val="231F20"/>
          <w:spacing w:val="-11"/>
        </w:rPr>
        <w:t> </w:t>
      </w:r>
      <w:r>
        <w:rPr>
          <w:color w:val="231F20"/>
        </w:rPr>
        <w:t>de</w:t>
      </w:r>
      <w:r>
        <w:rPr>
          <w:color w:val="231F20"/>
          <w:spacing w:val="-11"/>
        </w:rPr>
        <w:t> </w:t>
      </w:r>
      <w:r>
        <w:rPr>
          <w:color w:val="231F20"/>
        </w:rPr>
        <w:t>Castells</w:t>
      </w:r>
      <w:r>
        <w:rPr>
          <w:color w:val="231F20"/>
          <w:spacing w:val="-11"/>
        </w:rPr>
        <w:t> </w:t>
      </w:r>
      <w:r>
        <w:rPr>
          <w:color w:val="231F20"/>
        </w:rPr>
        <w:t>sugiere</w:t>
      </w:r>
      <w:r>
        <w:rPr>
          <w:color w:val="231F20"/>
          <w:spacing w:val="-10"/>
        </w:rPr>
        <w:t> </w:t>
      </w:r>
      <w:r>
        <w:rPr>
          <w:color w:val="231F20"/>
        </w:rPr>
        <w:t>que</w:t>
      </w:r>
      <w:r>
        <w:rPr>
          <w:color w:val="231F20"/>
          <w:spacing w:val="-11"/>
        </w:rPr>
        <w:t> </w:t>
      </w:r>
      <w:r>
        <w:rPr>
          <w:color w:val="231F20"/>
        </w:rPr>
        <w:t>las</w:t>
      </w:r>
      <w:r>
        <w:rPr>
          <w:color w:val="231F20"/>
          <w:spacing w:val="-11"/>
        </w:rPr>
        <w:t> </w:t>
      </w:r>
      <w:r>
        <w:rPr>
          <w:color w:val="231F20"/>
        </w:rPr>
        <w:t>posibilidades</w:t>
      </w:r>
      <w:r>
        <w:rPr>
          <w:color w:val="231F20"/>
          <w:spacing w:val="-11"/>
        </w:rPr>
        <w:t> </w:t>
      </w:r>
      <w:r>
        <w:rPr>
          <w:color w:val="231F20"/>
        </w:rPr>
        <w:t>de</w:t>
      </w:r>
      <w:r>
        <w:rPr>
          <w:color w:val="231F20"/>
          <w:spacing w:val="-11"/>
        </w:rPr>
        <w:t> </w:t>
      </w:r>
      <w:r>
        <w:rPr>
          <w:color w:val="231F20"/>
        </w:rPr>
        <w:t>inserción,</w:t>
      </w:r>
      <w:r>
        <w:rPr>
          <w:color w:val="231F20"/>
          <w:spacing w:val="-11"/>
        </w:rPr>
        <w:t> </w:t>
      </w:r>
      <w:r>
        <w:rPr>
          <w:color w:val="231F20"/>
        </w:rPr>
        <w:t>permanencia y reinserción en el mercado de trabajo están condicionadas por la posi- ción que el trabajador ocupa en la estructura ocupacional, así como por los contextos geográficos, institucionales, culturales y sectoriales. Por  lo tanto, la naturaleza de la ocupación en la cual está inserto el trabaja- dor (relacionada o no con las calificaciones más cotizadas en el</w:t>
      </w:r>
      <w:r>
        <w:rPr>
          <w:color w:val="231F20"/>
          <w:spacing w:val="-22"/>
        </w:rPr>
        <w:t> </w:t>
      </w:r>
      <w:r>
        <w:rPr>
          <w:color w:val="231F20"/>
        </w:rPr>
        <w:t>mercado de trabajo), tiene mucha importancia a la hora de establecer las trayec- torias ocupacionales en la sociedad de la información. En este sentido, es posible suponer que cuanto mayor es el conocimiento agregado a la ocupación, mayores son las posibilidades de que el trabajador inserto  en ella integre lo que Castells llama fuerza de trabajo “permanente”, en oposición a la fuerza de trabajo</w:t>
      </w:r>
      <w:r>
        <w:rPr>
          <w:color w:val="231F20"/>
          <w:spacing w:val="-1"/>
        </w:rPr>
        <w:t> </w:t>
      </w:r>
      <w:r>
        <w:rPr>
          <w:color w:val="231F20"/>
        </w:rPr>
        <w:t>“disponible”.</w:t>
      </w:r>
    </w:p>
    <w:p>
      <w:pPr>
        <w:pStyle w:val="BodyText"/>
        <w:spacing w:line="249" w:lineRule="auto" w:before="1"/>
        <w:ind w:left="110" w:right="111" w:firstLine="283"/>
        <w:jc w:val="both"/>
      </w:pPr>
      <w:r>
        <w:rPr>
          <w:color w:val="231F20"/>
        </w:rPr>
        <w:t>En comparación con los demás enfoques, el de Castells parece ofre- cer</w:t>
      </w:r>
      <w:r>
        <w:rPr>
          <w:color w:val="231F20"/>
          <w:spacing w:val="-3"/>
        </w:rPr>
        <w:t> </w:t>
      </w:r>
      <w:r>
        <w:rPr>
          <w:color w:val="231F20"/>
        </w:rPr>
        <w:t>mejores</w:t>
      </w:r>
      <w:r>
        <w:rPr>
          <w:color w:val="231F20"/>
          <w:spacing w:val="-3"/>
        </w:rPr>
        <w:t> </w:t>
      </w:r>
      <w:r>
        <w:rPr>
          <w:color w:val="231F20"/>
        </w:rPr>
        <w:t>recursos</w:t>
      </w:r>
      <w:r>
        <w:rPr>
          <w:color w:val="231F20"/>
          <w:spacing w:val="-3"/>
        </w:rPr>
        <w:t> </w:t>
      </w:r>
      <w:r>
        <w:rPr>
          <w:color w:val="231F20"/>
        </w:rPr>
        <w:t>para</w:t>
      </w:r>
      <w:r>
        <w:rPr>
          <w:color w:val="231F20"/>
          <w:spacing w:val="-3"/>
        </w:rPr>
        <w:t> </w:t>
      </w:r>
      <w:r>
        <w:rPr>
          <w:color w:val="231F20"/>
        </w:rPr>
        <w:t>el</w:t>
      </w:r>
      <w:r>
        <w:rPr>
          <w:color w:val="231F20"/>
          <w:spacing w:val="-3"/>
        </w:rPr>
        <w:t> </w:t>
      </w:r>
      <w:r>
        <w:rPr>
          <w:color w:val="231F20"/>
        </w:rPr>
        <w:t>análisis</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mercados</w:t>
      </w:r>
      <w:r>
        <w:rPr>
          <w:color w:val="231F20"/>
          <w:spacing w:val="-3"/>
        </w:rPr>
        <w:t> </w:t>
      </w:r>
      <w:r>
        <w:rPr>
          <w:color w:val="231F20"/>
        </w:rPr>
        <w:t>de</w:t>
      </w:r>
      <w:r>
        <w:rPr>
          <w:color w:val="231F20"/>
          <w:spacing w:val="-3"/>
        </w:rPr>
        <w:t> </w:t>
      </w:r>
      <w:r>
        <w:rPr>
          <w:color w:val="231F20"/>
        </w:rPr>
        <w:t>trabajo</w:t>
      </w:r>
      <w:r>
        <w:rPr>
          <w:color w:val="231F20"/>
          <w:spacing w:val="-3"/>
        </w:rPr>
        <w:t> </w:t>
      </w:r>
      <w:r>
        <w:rPr>
          <w:color w:val="231F20"/>
        </w:rPr>
        <w:t>en</w:t>
      </w:r>
      <w:r>
        <w:rPr>
          <w:color w:val="231F20"/>
          <w:spacing w:val="-14"/>
        </w:rPr>
        <w:t> </w:t>
      </w:r>
      <w:r>
        <w:rPr>
          <w:color w:val="231F20"/>
        </w:rPr>
        <w:t>Amé- rica</w:t>
      </w:r>
      <w:r>
        <w:rPr>
          <w:color w:val="231F20"/>
          <w:spacing w:val="-7"/>
        </w:rPr>
        <w:t> </w:t>
      </w:r>
      <w:r>
        <w:rPr>
          <w:color w:val="231F20"/>
        </w:rPr>
        <w:t>Latina,</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destaca</w:t>
      </w:r>
      <w:r>
        <w:rPr>
          <w:color w:val="231F20"/>
          <w:spacing w:val="-7"/>
        </w:rPr>
        <w:t> </w:t>
      </w:r>
      <w:r>
        <w:rPr>
          <w:color w:val="231F20"/>
        </w:rPr>
        <w:t>la</w:t>
      </w:r>
      <w:r>
        <w:rPr>
          <w:color w:val="231F20"/>
          <w:spacing w:val="-7"/>
        </w:rPr>
        <w:t> </w:t>
      </w:r>
      <w:r>
        <w:rPr>
          <w:color w:val="231F20"/>
        </w:rPr>
        <w:t>importancia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especificidades</w:t>
      </w:r>
      <w:r>
        <w:rPr>
          <w:color w:val="231F20"/>
          <w:spacing w:val="-7"/>
        </w:rPr>
        <w:t> </w:t>
      </w:r>
      <w:r>
        <w:rPr>
          <w:color w:val="231F20"/>
        </w:rPr>
        <w:t>sociales, económicas y culturales en las cuales se desarrolla la acción humana, como uno de los principales elementos de</w:t>
      </w:r>
      <w:r>
        <w:rPr>
          <w:color w:val="231F20"/>
          <w:spacing w:val="-3"/>
        </w:rPr>
        <w:t> </w:t>
      </w:r>
      <w:r>
        <w:rPr>
          <w:color w:val="231F20"/>
        </w:rPr>
        <w:t>análisis.</w:t>
      </w:r>
    </w:p>
    <w:p>
      <w:pPr>
        <w:pStyle w:val="BodyText"/>
        <w:spacing w:line="249" w:lineRule="auto" w:before="1"/>
        <w:ind w:left="110" w:right="111" w:firstLine="283"/>
        <w:jc w:val="both"/>
      </w:pPr>
      <w:r>
        <w:rPr>
          <w:color w:val="231F20"/>
        </w:rPr>
        <w:t>No obstante, los análisis de los mercados de trabajo anclados en la teoría de Castells deben aclarar el estadio de inserción de las sociedades analizadas en el informacionalismo, así como elucidar si éste ya es una realidad en determinado país o región. Por otro lado, conviene decir que la teoría de Castells fue desarrollada tomando como base el análisis de la</w:t>
      </w:r>
      <w:r>
        <w:rPr>
          <w:color w:val="231F20"/>
          <w:spacing w:val="-6"/>
        </w:rPr>
        <w:t> </w:t>
      </w:r>
      <w:r>
        <w:rPr>
          <w:color w:val="231F20"/>
        </w:rPr>
        <w:t>realidad</w:t>
      </w:r>
      <w:r>
        <w:rPr>
          <w:color w:val="231F20"/>
          <w:spacing w:val="-6"/>
        </w:rPr>
        <w:t> </w:t>
      </w:r>
      <w:r>
        <w:rPr>
          <w:color w:val="231F20"/>
        </w:rPr>
        <w:t>social</w:t>
      </w:r>
      <w:r>
        <w:rPr>
          <w:color w:val="231F20"/>
          <w:spacing w:val="-5"/>
        </w:rPr>
        <w:t> </w:t>
      </w:r>
      <w:r>
        <w:rPr>
          <w:color w:val="231F20"/>
        </w:rPr>
        <w:t>de</w:t>
      </w:r>
      <w:r>
        <w:rPr>
          <w:color w:val="231F20"/>
          <w:spacing w:val="-6"/>
        </w:rPr>
        <w:t> </w:t>
      </w:r>
      <w:r>
        <w:rPr>
          <w:color w:val="231F20"/>
        </w:rPr>
        <w:t>los</w:t>
      </w:r>
      <w:r>
        <w:rPr>
          <w:color w:val="231F20"/>
          <w:spacing w:val="-6"/>
        </w:rPr>
        <w:t> </w:t>
      </w:r>
      <w:r>
        <w:rPr>
          <w:color w:val="231F20"/>
        </w:rPr>
        <w:t>países</w:t>
      </w:r>
      <w:r>
        <w:rPr>
          <w:color w:val="231F20"/>
          <w:spacing w:val="-6"/>
        </w:rPr>
        <w:t> </w:t>
      </w:r>
      <w:r>
        <w:rPr>
          <w:color w:val="231F20"/>
        </w:rPr>
        <w:t>de</w:t>
      </w:r>
      <w:r>
        <w:rPr>
          <w:color w:val="231F20"/>
          <w:spacing w:val="-6"/>
        </w:rPr>
        <w:t> </w:t>
      </w:r>
      <w:r>
        <w:rPr>
          <w:color w:val="231F20"/>
        </w:rPr>
        <w:t>Europa,</w:t>
      </w:r>
      <w:r>
        <w:rPr>
          <w:color w:val="231F20"/>
          <w:spacing w:val="-17"/>
        </w:rPr>
        <w:t> </w:t>
      </w:r>
      <w:r>
        <w:rPr>
          <w:color w:val="231F20"/>
        </w:rPr>
        <w:t>América</w:t>
      </w:r>
      <w:r>
        <w:rPr>
          <w:color w:val="231F20"/>
          <w:spacing w:val="-5"/>
        </w:rPr>
        <w:t> </w:t>
      </w:r>
      <w:r>
        <w:rPr>
          <w:color w:val="231F20"/>
        </w:rPr>
        <w:t>del</w:t>
      </w:r>
      <w:r>
        <w:rPr>
          <w:color w:val="231F20"/>
          <w:spacing w:val="-6"/>
        </w:rPr>
        <w:t> </w:t>
      </w:r>
      <w:r>
        <w:rPr>
          <w:color w:val="231F20"/>
        </w:rPr>
        <w:t>Norte</w:t>
      </w:r>
      <w:r>
        <w:rPr>
          <w:color w:val="231F20"/>
          <w:spacing w:val="-6"/>
        </w:rPr>
        <w:t> </w:t>
      </w:r>
      <w:r>
        <w:rPr>
          <w:color w:val="231F20"/>
        </w:rPr>
        <w:t>y</w:t>
      </w:r>
      <w:r>
        <w:rPr>
          <w:color w:val="231F20"/>
          <w:spacing w:val="-6"/>
        </w:rPr>
        <w:t> </w:t>
      </w:r>
      <w:r>
        <w:rPr>
          <w:color w:val="231F20"/>
        </w:rPr>
        <w:t>Japón,</w:t>
      </w:r>
      <w:r>
        <w:rPr>
          <w:color w:val="231F20"/>
          <w:spacing w:val="-6"/>
        </w:rPr>
        <w:t> </w:t>
      </w:r>
      <w:r>
        <w:rPr>
          <w:color w:val="231F20"/>
        </w:rPr>
        <w:t>no permitiendo, por lo tanto, su generalización en los mismos términos al contexto</w:t>
      </w:r>
      <w:r>
        <w:rPr>
          <w:color w:val="231F20"/>
          <w:spacing w:val="-1"/>
        </w:rPr>
        <w:t> </w:t>
      </w:r>
      <w:r>
        <w:rPr>
          <w:color w:val="231F20"/>
        </w:rPr>
        <w:t>latinoamericano.</w:t>
      </w:r>
    </w:p>
    <w:p>
      <w:pPr>
        <w:pStyle w:val="BodyText"/>
        <w:spacing w:line="249" w:lineRule="auto" w:before="1"/>
        <w:ind w:left="110" w:right="111" w:firstLine="283"/>
        <w:jc w:val="both"/>
      </w:pPr>
      <w:r>
        <w:rPr>
          <w:color w:val="231F20"/>
        </w:rPr>
        <w:t>Frente a todo lo expuesto, es necesario destacar que los análisis de Bauman, Castel, Beck y Castells tienen en común el hecho de tomar como base la realidad europea, lo que limita su potencial explicativo de lo que pasa en América Latina, sobre todo cuando son apropiados en su totalidad</w:t>
      </w:r>
      <w:r>
        <w:rPr>
          <w:color w:val="231F20"/>
          <w:spacing w:val="-5"/>
        </w:rPr>
        <w:t> </w:t>
      </w:r>
      <w:r>
        <w:rPr>
          <w:color w:val="231F20"/>
        </w:rPr>
        <w:t>para</w:t>
      </w:r>
      <w:r>
        <w:rPr>
          <w:color w:val="231F20"/>
          <w:spacing w:val="-4"/>
        </w:rPr>
        <w:t> </w:t>
      </w:r>
      <w:r>
        <w:rPr>
          <w:color w:val="231F20"/>
        </w:rPr>
        <w:t>ilustrar</w:t>
      </w:r>
      <w:r>
        <w:rPr>
          <w:color w:val="231F20"/>
          <w:spacing w:val="-4"/>
        </w:rPr>
        <w:t> </w:t>
      </w:r>
      <w:r>
        <w:rPr>
          <w:color w:val="231F20"/>
        </w:rPr>
        <w:t>la</w:t>
      </w:r>
      <w:r>
        <w:rPr>
          <w:color w:val="231F20"/>
          <w:spacing w:val="-4"/>
        </w:rPr>
        <w:t> </w:t>
      </w:r>
      <w:r>
        <w:rPr>
          <w:color w:val="231F20"/>
        </w:rPr>
        <w:t>realidad</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mercados</w:t>
      </w:r>
      <w:r>
        <w:rPr>
          <w:color w:val="231F20"/>
          <w:spacing w:val="-4"/>
        </w:rPr>
        <w:t> </w:t>
      </w:r>
      <w:r>
        <w:rPr>
          <w:color w:val="231F20"/>
        </w:rPr>
        <w:t>de</w:t>
      </w:r>
      <w:r>
        <w:rPr>
          <w:color w:val="231F20"/>
          <w:spacing w:val="-4"/>
        </w:rPr>
        <w:t> </w:t>
      </w:r>
      <w:r>
        <w:rPr>
          <w:color w:val="231F20"/>
        </w:rPr>
        <w:t>trabajo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región. A diferencia de lo que ocurrió en Europa central, los países latinoame- ricanos no contaron con un Estado de Bienestar Social consolidado. </w:t>
      </w:r>
      <w:r>
        <w:rPr>
          <w:color w:val="231F20"/>
          <w:spacing w:val="29"/>
        </w:rPr>
        <w:t> </w:t>
      </w:r>
      <w:r>
        <w:rPr>
          <w:color w:val="231F20"/>
        </w:rPr>
        <w:t>En</w:t>
      </w:r>
    </w:p>
    <w:p>
      <w:pPr>
        <w:spacing w:after="0" w:line="249" w:lineRule="auto"/>
        <w:jc w:val="both"/>
        <w:sectPr>
          <w:pgSz w:w="7770" w:h="11740"/>
          <w:pgMar w:header="0" w:footer="559" w:top="840" w:bottom="740" w:left="740" w:right="1020"/>
        </w:sectPr>
      </w:pPr>
    </w:p>
    <w:p>
      <w:pPr>
        <w:pStyle w:val="BodyText"/>
        <w:spacing w:line="249" w:lineRule="auto" w:before="60"/>
        <w:ind w:left="113" w:right="108"/>
        <w:jc w:val="both"/>
      </w:pPr>
      <w:r>
        <w:rPr>
          <w:color w:val="231F20"/>
        </w:rPr>
        <w:t>Brasil, por ejemplo, el empleo industrial, característico de esa realidad, nunca representó más de una quinta parte del empleo total.</w:t>
      </w:r>
    </w:p>
    <w:p>
      <w:pPr>
        <w:pStyle w:val="BodyText"/>
        <w:spacing w:line="249" w:lineRule="auto" w:before="1"/>
        <w:ind w:left="113" w:right="108" w:firstLine="283"/>
        <w:jc w:val="both"/>
      </w:pPr>
      <w:r>
        <w:rPr>
          <w:color w:val="231F20"/>
        </w:rPr>
        <w:t>Aunque tal hecho no invalide la utilidad analítica de esos enfoques, pues sigue siendo fundamental relacionar los grandes procesos de trans- formación histórica de occidente con las especificidades de la realidad latinoamericana, podemos afirmar que la heterogeneidad del mercado  de trabajo latinoamericano impone desafíos a los investigadores que se lanzan a la tarea de interpretarla. Por eso, a continuación se presentan algunos datos donde se comparan los mercados de trabajo de varios paí- ses latinoamericanos, europeos y los de América del Norte, con el fin de alertar sobre la necesidad de analizar las trayectorias ocupacionales de los trabajadores según las particularidades observadas en cada</w:t>
      </w:r>
      <w:r>
        <w:rPr>
          <w:color w:val="231F20"/>
          <w:spacing w:val="-9"/>
        </w:rPr>
        <w:t> </w:t>
      </w:r>
      <w:r>
        <w:rPr>
          <w:color w:val="231F20"/>
        </w:rPr>
        <w:t>contexto.</w:t>
      </w:r>
    </w:p>
    <w:p>
      <w:pPr>
        <w:pStyle w:val="Heading4"/>
        <w:spacing w:line="240" w:lineRule="exact" w:before="166"/>
        <w:ind w:right="1641"/>
        <w:jc w:val="left"/>
      </w:pPr>
      <w:r>
        <w:rPr>
          <w:w w:val="80"/>
        </w:rPr>
        <w:t>El</w:t>
      </w:r>
      <w:r>
        <w:rPr>
          <w:spacing w:val="-33"/>
          <w:w w:val="80"/>
        </w:rPr>
        <w:t> </w:t>
      </w:r>
      <w:r>
        <w:rPr>
          <w:w w:val="80"/>
        </w:rPr>
        <w:t>mercado</w:t>
      </w:r>
      <w:r>
        <w:rPr>
          <w:spacing w:val="-34"/>
          <w:w w:val="80"/>
        </w:rPr>
        <w:t> </w:t>
      </w:r>
      <w:r>
        <w:rPr>
          <w:w w:val="80"/>
        </w:rPr>
        <w:t>de</w:t>
      </w:r>
      <w:r>
        <w:rPr>
          <w:spacing w:val="-33"/>
          <w:w w:val="80"/>
        </w:rPr>
        <w:t> </w:t>
      </w:r>
      <w:r>
        <w:rPr>
          <w:w w:val="80"/>
        </w:rPr>
        <w:t>trabajo</w:t>
      </w:r>
      <w:r>
        <w:rPr>
          <w:spacing w:val="-33"/>
          <w:w w:val="80"/>
        </w:rPr>
        <w:t> </w:t>
      </w:r>
      <w:r>
        <w:rPr>
          <w:w w:val="80"/>
        </w:rPr>
        <w:t>en</w:t>
      </w:r>
      <w:r>
        <w:rPr>
          <w:spacing w:val="-37"/>
          <w:w w:val="80"/>
        </w:rPr>
        <w:t> </w:t>
      </w:r>
      <w:r>
        <w:rPr>
          <w:w w:val="80"/>
        </w:rPr>
        <w:t>América</w:t>
      </w:r>
      <w:r>
        <w:rPr>
          <w:spacing w:val="-33"/>
          <w:w w:val="80"/>
        </w:rPr>
        <w:t> </w:t>
      </w:r>
      <w:r>
        <w:rPr>
          <w:w w:val="80"/>
        </w:rPr>
        <w:t>Latina</w:t>
      </w:r>
      <w:r>
        <w:rPr>
          <w:spacing w:val="-33"/>
          <w:w w:val="80"/>
        </w:rPr>
        <w:t> </w:t>
      </w:r>
      <w:r>
        <w:rPr>
          <w:w w:val="80"/>
        </w:rPr>
        <w:t>y</w:t>
      </w:r>
      <w:r>
        <w:rPr>
          <w:spacing w:val="-33"/>
          <w:w w:val="80"/>
        </w:rPr>
        <w:t> </w:t>
      </w:r>
      <w:r>
        <w:rPr>
          <w:w w:val="80"/>
        </w:rPr>
        <w:t>los</w:t>
      </w:r>
      <w:r>
        <w:rPr>
          <w:spacing w:val="-34"/>
          <w:w w:val="80"/>
        </w:rPr>
        <w:t> </w:t>
      </w:r>
      <w:r>
        <w:rPr>
          <w:w w:val="80"/>
        </w:rPr>
        <w:t>desafíos </w:t>
      </w:r>
      <w:r>
        <w:rPr>
          <w:w w:val="75"/>
        </w:rPr>
        <w:t>para la teoría</w:t>
      </w:r>
      <w:r>
        <w:rPr>
          <w:spacing w:val="-15"/>
          <w:w w:val="75"/>
        </w:rPr>
        <w:t> </w:t>
      </w:r>
      <w:r>
        <w:rPr>
          <w:w w:val="75"/>
        </w:rPr>
        <w:t>sociológica</w:t>
      </w:r>
    </w:p>
    <w:p>
      <w:pPr>
        <w:pStyle w:val="BodyText"/>
        <w:spacing w:line="249" w:lineRule="auto" w:before="175"/>
        <w:ind w:left="113" w:right="108"/>
        <w:jc w:val="both"/>
      </w:pPr>
      <w:r>
        <w:rPr>
          <w:color w:val="231F20"/>
        </w:rPr>
        <w:t>Las especificidades del mercado de trabajo latinoamericano —en lo que respecta a sus diferencias con los mercados de trabajo de los países del centro</w:t>
      </w:r>
      <w:r>
        <w:rPr>
          <w:color w:val="231F20"/>
          <w:spacing w:val="-11"/>
        </w:rPr>
        <w:t> </w:t>
      </w:r>
      <w:r>
        <w:rPr>
          <w:color w:val="231F20"/>
        </w:rPr>
        <w:t>capitalista,</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sus</w:t>
      </w:r>
      <w:r>
        <w:rPr>
          <w:color w:val="231F20"/>
          <w:spacing w:val="-10"/>
        </w:rPr>
        <w:t> </w:t>
      </w:r>
      <w:r>
        <w:rPr>
          <w:color w:val="231F20"/>
        </w:rPr>
        <w:t>diferencias</w:t>
      </w:r>
      <w:r>
        <w:rPr>
          <w:color w:val="231F20"/>
          <w:spacing w:val="-11"/>
        </w:rPr>
        <w:t> </w:t>
      </w:r>
      <w:r>
        <w:rPr>
          <w:color w:val="231F20"/>
        </w:rPr>
        <w:t>internas</w:t>
      </w:r>
      <w:r>
        <w:rPr>
          <w:color w:val="231F20"/>
          <w:spacing w:val="-11"/>
        </w:rPr>
        <w:t> </w:t>
      </w:r>
      <w:r>
        <w:rPr>
          <w:color w:val="231F20"/>
        </w:rPr>
        <w:t>entre</w:t>
      </w:r>
      <w:r>
        <w:rPr>
          <w:color w:val="231F20"/>
          <w:spacing w:val="-11"/>
        </w:rPr>
        <w:t> </w:t>
      </w:r>
      <w:r>
        <w:rPr>
          <w:color w:val="231F20"/>
        </w:rPr>
        <w:t>los</w:t>
      </w:r>
      <w:r>
        <w:rPr>
          <w:color w:val="231F20"/>
          <w:spacing w:val="-11"/>
        </w:rPr>
        <w:t> </w:t>
      </w:r>
      <w:r>
        <w:rPr>
          <w:color w:val="231F20"/>
        </w:rPr>
        <w:t>países</w:t>
      </w:r>
      <w:r>
        <w:rPr>
          <w:color w:val="231F20"/>
          <w:spacing w:val="-11"/>
        </w:rPr>
        <w:t> </w:t>
      </w:r>
      <w:r>
        <w:rPr>
          <w:color w:val="231F20"/>
        </w:rPr>
        <w:t>que</w:t>
      </w:r>
      <w:r>
        <w:rPr>
          <w:color w:val="231F20"/>
          <w:spacing w:val="-11"/>
        </w:rPr>
        <w:t> </w:t>
      </w:r>
      <w:r>
        <w:rPr>
          <w:color w:val="231F20"/>
        </w:rPr>
        <w:t>lo</w:t>
      </w:r>
      <w:r>
        <w:rPr>
          <w:color w:val="231F20"/>
          <w:spacing w:val="-11"/>
        </w:rPr>
        <w:t> </w:t>
      </w:r>
      <w:r>
        <w:rPr>
          <w:color w:val="231F20"/>
        </w:rPr>
        <w:t>com- ponen— deben ser tomadas como punto de partida en cualquier investi- gación que tenga como objetivo analizar las trayectorias ocupacionales de los trabajadores de la</w:t>
      </w:r>
      <w:r>
        <w:rPr>
          <w:color w:val="231F20"/>
          <w:spacing w:val="-2"/>
        </w:rPr>
        <w:t> </w:t>
      </w:r>
      <w:r>
        <w:rPr>
          <w:color w:val="231F20"/>
        </w:rPr>
        <w:t>región.</w:t>
      </w:r>
    </w:p>
    <w:p>
      <w:pPr>
        <w:pStyle w:val="BodyText"/>
        <w:spacing w:line="249" w:lineRule="auto" w:before="1"/>
        <w:ind w:left="113" w:right="108" w:firstLine="283"/>
        <w:jc w:val="both"/>
      </w:pPr>
      <w:r>
        <w:rPr>
          <w:color w:val="231F20"/>
        </w:rPr>
        <w:t>Para ilustrar las particularidades laborales de la zona, se han selec- cionado</w:t>
      </w:r>
      <w:r>
        <w:rPr>
          <w:color w:val="231F20"/>
          <w:spacing w:val="-7"/>
        </w:rPr>
        <w:t> </w:t>
      </w:r>
      <w:r>
        <w:rPr>
          <w:color w:val="231F20"/>
        </w:rPr>
        <w:t>algunos</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principales</w:t>
      </w:r>
      <w:r>
        <w:rPr>
          <w:color w:val="231F20"/>
          <w:spacing w:val="-6"/>
        </w:rPr>
        <w:t> </w:t>
      </w:r>
      <w:r>
        <w:rPr>
          <w:color w:val="231F20"/>
        </w:rPr>
        <w:t>indicadores</w:t>
      </w:r>
      <w:r>
        <w:rPr>
          <w:color w:val="231F20"/>
          <w:spacing w:val="-7"/>
        </w:rPr>
        <w:t> </w:t>
      </w:r>
      <w:r>
        <w:rPr>
          <w:color w:val="231F20"/>
        </w:rPr>
        <w:t>estructurales</w:t>
      </w:r>
      <w:r>
        <w:rPr>
          <w:color w:val="231F20"/>
          <w:spacing w:val="-7"/>
        </w:rPr>
        <w:t> </w:t>
      </w:r>
      <w:r>
        <w:rPr>
          <w:color w:val="231F20"/>
        </w:rPr>
        <w:t>del</w:t>
      </w:r>
      <w:r>
        <w:rPr>
          <w:color w:val="231F20"/>
          <w:spacing w:val="-6"/>
        </w:rPr>
        <w:t> </w:t>
      </w:r>
      <w:r>
        <w:rPr>
          <w:color w:val="231F20"/>
        </w:rPr>
        <w:t>mercado de trabajo latinoamericano, durante los 2000: i) la tasa de ocupación de la Población Económicamente Activa (PEA), desagregada por rango de edad; ii) la tasa de desempleo, desagregada por sexo, y iii) las tasas de informalidad y el porcentaje de trabajadores sin protección social. La elección de esos indicadores tiene que ver con la posibilidad de identifi- car características estructurantes de los mercados de trabajo</w:t>
      </w:r>
      <w:r>
        <w:rPr>
          <w:color w:val="231F20"/>
          <w:spacing w:val="-22"/>
        </w:rPr>
        <w:t> </w:t>
      </w:r>
      <w:r>
        <w:rPr>
          <w:color w:val="231F20"/>
        </w:rPr>
        <w:t>latinoameri- canos</w:t>
      </w:r>
      <w:r>
        <w:rPr>
          <w:color w:val="231F20"/>
          <w:spacing w:val="-7"/>
        </w:rPr>
        <w:t> </w:t>
      </w:r>
      <w:r>
        <w:rPr>
          <w:color w:val="231F20"/>
        </w:rPr>
        <w:t>y</w:t>
      </w:r>
      <w:r>
        <w:rPr>
          <w:color w:val="231F20"/>
          <w:spacing w:val="-7"/>
        </w:rPr>
        <w:t> </w:t>
      </w:r>
      <w:r>
        <w:rPr>
          <w:color w:val="231F20"/>
        </w:rPr>
        <w:t>porque</w:t>
      </w:r>
      <w:r>
        <w:rPr>
          <w:color w:val="231F20"/>
          <w:spacing w:val="-7"/>
        </w:rPr>
        <w:t> </w:t>
      </w:r>
      <w:r>
        <w:rPr>
          <w:color w:val="231F20"/>
        </w:rPr>
        <w:t>permiten</w:t>
      </w:r>
      <w:r>
        <w:rPr>
          <w:color w:val="231F20"/>
          <w:spacing w:val="-7"/>
        </w:rPr>
        <w:t> </w:t>
      </w:r>
      <w:r>
        <w:rPr>
          <w:color w:val="231F20"/>
        </w:rPr>
        <w:t>identificar</w:t>
      </w:r>
      <w:r>
        <w:rPr>
          <w:color w:val="231F20"/>
          <w:spacing w:val="-7"/>
        </w:rPr>
        <w:t> </w:t>
      </w:r>
      <w:r>
        <w:rPr>
          <w:color w:val="231F20"/>
        </w:rPr>
        <w:t>desigualdades</w:t>
      </w:r>
      <w:r>
        <w:rPr>
          <w:color w:val="231F20"/>
          <w:spacing w:val="-7"/>
        </w:rPr>
        <w:t> </w:t>
      </w:r>
      <w:r>
        <w:rPr>
          <w:color w:val="231F20"/>
        </w:rPr>
        <w:t>de</w:t>
      </w:r>
      <w:r>
        <w:rPr>
          <w:color w:val="231F20"/>
          <w:spacing w:val="-7"/>
        </w:rPr>
        <w:t> </w:t>
      </w:r>
      <w:r>
        <w:rPr>
          <w:color w:val="231F20"/>
        </w:rPr>
        <w:t>género,</w:t>
      </w:r>
      <w:r>
        <w:rPr>
          <w:color w:val="231F20"/>
          <w:spacing w:val="-7"/>
        </w:rPr>
        <w:t> </w:t>
      </w:r>
      <w:r>
        <w:rPr>
          <w:color w:val="231F20"/>
        </w:rPr>
        <w:t>por</w:t>
      </w:r>
      <w:r>
        <w:rPr>
          <w:color w:val="231F20"/>
          <w:spacing w:val="-7"/>
        </w:rPr>
        <w:t> </w:t>
      </w:r>
      <w:r>
        <w:rPr>
          <w:color w:val="231F20"/>
        </w:rPr>
        <w:t>edad,</w:t>
      </w:r>
      <w:r>
        <w:rPr>
          <w:color w:val="231F20"/>
          <w:spacing w:val="-7"/>
        </w:rPr>
        <w:t> </w:t>
      </w:r>
      <w:r>
        <w:rPr>
          <w:color w:val="231F20"/>
        </w:rPr>
        <w:t>y en lo que se refiere  a la seguridad social de los</w:t>
      </w:r>
      <w:r>
        <w:rPr>
          <w:color w:val="231F20"/>
          <w:spacing w:val="-11"/>
        </w:rPr>
        <w:t> </w:t>
      </w:r>
      <w:r>
        <w:rPr>
          <w:color w:val="231F20"/>
        </w:rPr>
        <w:t>trabajadores.</w:t>
      </w:r>
    </w:p>
    <w:p>
      <w:pPr>
        <w:pStyle w:val="BodyText"/>
        <w:spacing w:line="249" w:lineRule="auto" w:before="1"/>
        <w:ind w:left="113" w:right="108" w:firstLine="283"/>
        <w:jc w:val="both"/>
      </w:pPr>
      <w:r>
        <w:rPr>
          <w:color w:val="231F20"/>
        </w:rPr>
        <w:t>El</w:t>
      </w:r>
      <w:r>
        <w:rPr>
          <w:color w:val="231F20"/>
          <w:spacing w:val="-9"/>
        </w:rPr>
        <w:t> </w:t>
      </w:r>
      <w:r>
        <w:rPr>
          <w:color w:val="231F20"/>
        </w:rPr>
        <w:t>análisis</w:t>
      </w:r>
      <w:r>
        <w:rPr>
          <w:color w:val="231F20"/>
          <w:spacing w:val="-9"/>
        </w:rPr>
        <w:t> </w:t>
      </w:r>
      <w:r>
        <w:rPr>
          <w:color w:val="231F20"/>
        </w:rPr>
        <w:t>comparativo</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datos</w:t>
      </w:r>
      <w:r>
        <w:rPr>
          <w:color w:val="231F20"/>
          <w:spacing w:val="-9"/>
        </w:rPr>
        <w:t> </w:t>
      </w:r>
      <w:r>
        <w:rPr>
          <w:color w:val="231F20"/>
        </w:rPr>
        <w:t>obtenidos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muestra</w:t>
      </w:r>
      <w:r>
        <w:rPr>
          <w:color w:val="231F20"/>
          <w:spacing w:val="-9"/>
        </w:rPr>
        <w:t> </w:t>
      </w:r>
      <w:r>
        <w:rPr>
          <w:color w:val="231F20"/>
        </w:rPr>
        <w:t>de</w:t>
      </w:r>
      <w:r>
        <w:rPr>
          <w:color w:val="231F20"/>
          <w:spacing w:val="-9"/>
        </w:rPr>
        <w:t> </w:t>
      </w:r>
      <w:r>
        <w:rPr>
          <w:color w:val="231F20"/>
        </w:rPr>
        <w:t>países de América Latina y de Europa, así como de Estados Unidos y  </w:t>
      </w:r>
      <w:r>
        <w:rPr>
          <w:color w:val="231F20"/>
          <w:spacing w:val="7"/>
        </w:rPr>
        <w:t> </w:t>
      </w:r>
      <w:r>
        <w:rPr>
          <w:color w:val="231F20"/>
        </w:rPr>
        <w:t>Canadá</w:t>
      </w:r>
    </w:p>
    <w:p>
      <w:pPr>
        <w:pStyle w:val="BodyText"/>
        <w:spacing w:line="249" w:lineRule="auto" w:before="1"/>
        <w:ind w:left="113" w:right="108"/>
        <w:jc w:val="both"/>
      </w:pPr>
      <w:r>
        <w:rPr>
          <w:color w:val="231F20"/>
        </w:rPr>
        <w:t>—referentes a la tasa de ocupación por rango de edad—señala que no es posible identificar un modelo que establezca una diferencia significativa entre los países latinoamericanos y los no latinoamericanos en lo que se refiere al momento de ingreso al mercado de trabajo. En la comparación entre los diez países seleccionados (cinco latinoamericanos y cinco no latinoamericanos), Chile y Francia son los que presentan menor tasa de ocupación de la PEA entre 15 y 19 años (15.2 y 15.3 por ciento, respec-</w:t>
      </w:r>
    </w:p>
    <w:p>
      <w:pPr>
        <w:spacing w:after="0" w:line="249" w:lineRule="auto"/>
        <w:jc w:val="both"/>
        <w:sectPr>
          <w:footerReference w:type="default" r:id="rId35"/>
          <w:pgSz w:w="7770" w:h="11740"/>
          <w:pgMar w:footer="559" w:header="0" w:top="840" w:bottom="740" w:left="1020" w:right="740"/>
          <w:pgNumType w:start="51"/>
        </w:sectPr>
      </w:pPr>
    </w:p>
    <w:p>
      <w:pPr>
        <w:pStyle w:val="BodyText"/>
        <w:spacing w:line="249" w:lineRule="auto" w:before="60"/>
        <w:ind w:left="110" w:right="111"/>
        <w:jc w:val="both"/>
      </w:pPr>
      <w:r>
        <w:rPr>
          <w:color w:val="231F20"/>
        </w:rPr>
        <w:t>tivamente). De la misma forma, la heterogeneidad en las tasas de</w:t>
      </w:r>
      <w:r>
        <w:rPr>
          <w:color w:val="231F20"/>
          <w:spacing w:val="-17"/>
        </w:rPr>
        <w:t> </w:t>
      </w:r>
      <w:r>
        <w:rPr>
          <w:color w:val="231F20"/>
        </w:rPr>
        <w:t>ocupa- ción de la PEA puede ser observada entre los países que tienen mayores tasas</w:t>
      </w:r>
      <w:r>
        <w:rPr>
          <w:color w:val="231F20"/>
          <w:spacing w:val="16"/>
        </w:rPr>
        <w:t> </w:t>
      </w:r>
      <w:r>
        <w:rPr>
          <w:color w:val="231F20"/>
        </w:rPr>
        <w:t>de</w:t>
      </w:r>
      <w:r>
        <w:rPr>
          <w:color w:val="231F20"/>
          <w:spacing w:val="17"/>
        </w:rPr>
        <w:t> </w:t>
      </w:r>
      <w:r>
        <w:rPr>
          <w:color w:val="231F20"/>
        </w:rPr>
        <w:t>ocupación</w:t>
      </w:r>
      <w:r>
        <w:rPr>
          <w:color w:val="231F20"/>
          <w:spacing w:val="17"/>
        </w:rPr>
        <w:t> </w:t>
      </w:r>
      <w:r>
        <w:rPr>
          <w:color w:val="231F20"/>
        </w:rPr>
        <w:t>entre</w:t>
      </w:r>
      <w:r>
        <w:rPr>
          <w:color w:val="231F20"/>
          <w:spacing w:val="16"/>
        </w:rPr>
        <w:t> </w:t>
      </w:r>
      <w:r>
        <w:rPr>
          <w:color w:val="231F20"/>
        </w:rPr>
        <w:t>los</w:t>
      </w:r>
      <w:r>
        <w:rPr>
          <w:color w:val="231F20"/>
          <w:spacing w:val="17"/>
        </w:rPr>
        <w:t> </w:t>
      </w:r>
      <w:r>
        <w:rPr>
          <w:color w:val="231F20"/>
        </w:rPr>
        <w:t>15</w:t>
      </w:r>
      <w:r>
        <w:rPr>
          <w:color w:val="231F20"/>
          <w:spacing w:val="17"/>
        </w:rPr>
        <w:t> </w:t>
      </w:r>
      <w:r>
        <w:rPr>
          <w:color w:val="231F20"/>
        </w:rPr>
        <w:t>y</w:t>
      </w:r>
      <w:r>
        <w:rPr>
          <w:color w:val="231F20"/>
          <w:spacing w:val="17"/>
        </w:rPr>
        <w:t> </w:t>
      </w:r>
      <w:r>
        <w:rPr>
          <w:color w:val="231F20"/>
        </w:rPr>
        <w:t>19</w:t>
      </w:r>
      <w:r>
        <w:rPr>
          <w:color w:val="231F20"/>
          <w:spacing w:val="17"/>
        </w:rPr>
        <w:t> </w:t>
      </w:r>
      <w:r>
        <w:rPr>
          <w:color w:val="231F20"/>
        </w:rPr>
        <w:t>años,</w:t>
      </w:r>
      <w:r>
        <w:rPr>
          <w:color w:val="231F20"/>
          <w:spacing w:val="16"/>
        </w:rPr>
        <w:t> </w:t>
      </w:r>
      <w:r>
        <w:rPr>
          <w:color w:val="231F20"/>
        </w:rPr>
        <w:t>como</w:t>
      </w:r>
      <w:r>
        <w:rPr>
          <w:color w:val="231F20"/>
          <w:spacing w:val="16"/>
        </w:rPr>
        <w:t> </w:t>
      </w:r>
      <w:r>
        <w:rPr>
          <w:color w:val="231F20"/>
        </w:rPr>
        <w:t>Canadá</w:t>
      </w:r>
      <w:r>
        <w:rPr>
          <w:color w:val="231F20"/>
          <w:spacing w:val="17"/>
        </w:rPr>
        <w:t> </w:t>
      </w:r>
      <w:r>
        <w:rPr>
          <w:color w:val="231F20"/>
        </w:rPr>
        <w:t>y</w:t>
      </w:r>
      <w:r>
        <w:rPr>
          <w:color w:val="231F20"/>
          <w:spacing w:val="17"/>
        </w:rPr>
        <w:t> </w:t>
      </w:r>
      <w:r>
        <w:rPr>
          <w:color w:val="231F20"/>
        </w:rPr>
        <w:t>Brasil,</w:t>
      </w:r>
      <w:r>
        <w:rPr>
          <w:color w:val="231F20"/>
          <w:spacing w:val="17"/>
        </w:rPr>
        <w:t> </w:t>
      </w:r>
      <w:r>
        <w:rPr>
          <w:color w:val="231F20"/>
        </w:rPr>
        <w:t>con</w:t>
      </w:r>
    </w:p>
    <w:p>
      <w:pPr>
        <w:pStyle w:val="BodyText"/>
        <w:spacing w:before="1"/>
        <w:ind w:left="110"/>
        <w:jc w:val="both"/>
      </w:pPr>
      <w:r>
        <w:rPr>
          <w:color w:val="231F20"/>
        </w:rPr>
        <w:t>55.1 y 50 por ciento, respectivamente.</w:t>
      </w:r>
    </w:p>
    <w:p>
      <w:pPr>
        <w:pStyle w:val="BodyText"/>
        <w:spacing w:line="249" w:lineRule="auto" w:before="10"/>
        <w:ind w:left="110" w:right="111" w:firstLine="283"/>
        <w:jc w:val="both"/>
      </w:pPr>
      <w:r>
        <w:rPr>
          <w:color w:val="231F20"/>
        </w:rPr>
        <w:t>No obstante lo anterior, los trabajadores latinoamericanos se mantie- nen activos por más tiempo en el mercado de trabajo. Excepto Estados Unidos, todos los demás países no latinoamericanos</w:t>
      </w:r>
      <w:r>
        <w:rPr>
          <w:color w:val="231F20"/>
          <w:position w:val="7"/>
          <w:sz w:val="11"/>
        </w:rPr>
        <w:t>5 </w:t>
      </w:r>
      <w:r>
        <w:rPr>
          <w:color w:val="231F20"/>
        </w:rPr>
        <w:t>presentan índices menores a diez por ciento en la tasa de ocupación de la PEA con 65 años o más. En lo que se refiere a los países latinoamericanos, Méxi-   co y Perú presentan los índices más elevados de tasa de ocupación de   la PEA con 65 años o más (28.9 y 27.3 por ciento, respectivamente) y Uruguay presenta el menor índice (18 por ciento), aunque superior al  de Estados Unidos (17 por ciento). Esto demuestra que los trabajadores latinoamericanos ejercen una actividad laboral por un periodo más largo de tiempo, ya sea a consecuencia de lo frágil de los sistemas nacionales de protección y previsión social, en términos de su amplitud, o debido   a los bajos rendimientos de las pensiones y jubilaciones. Esta situación hace</w:t>
      </w:r>
      <w:r>
        <w:rPr>
          <w:color w:val="231F20"/>
          <w:spacing w:val="-5"/>
        </w:rPr>
        <w:t> </w:t>
      </w:r>
      <w:r>
        <w:rPr>
          <w:color w:val="231F20"/>
        </w:rPr>
        <w:t>que</w:t>
      </w:r>
      <w:r>
        <w:rPr>
          <w:color w:val="231F20"/>
          <w:spacing w:val="-5"/>
        </w:rPr>
        <w:t> </w:t>
      </w:r>
      <w:r>
        <w:rPr>
          <w:color w:val="231F20"/>
        </w:rPr>
        <w:t>sea</w:t>
      </w:r>
      <w:r>
        <w:rPr>
          <w:color w:val="231F20"/>
          <w:spacing w:val="-5"/>
        </w:rPr>
        <w:t> </w:t>
      </w:r>
      <w:r>
        <w:rPr>
          <w:color w:val="231F20"/>
        </w:rPr>
        <w:t>necesario</w:t>
      </w:r>
      <w:r>
        <w:rPr>
          <w:color w:val="231F20"/>
          <w:spacing w:val="-5"/>
        </w:rPr>
        <w:t> </w:t>
      </w:r>
      <w:r>
        <w:rPr>
          <w:color w:val="231F20"/>
        </w:rPr>
        <w:t>analizar</w:t>
      </w:r>
      <w:r>
        <w:rPr>
          <w:color w:val="231F20"/>
          <w:spacing w:val="-5"/>
        </w:rPr>
        <w:t> </w:t>
      </w:r>
      <w:r>
        <w:rPr>
          <w:color w:val="231F20"/>
        </w:rPr>
        <w:t>las</w:t>
      </w:r>
      <w:r>
        <w:rPr>
          <w:color w:val="231F20"/>
          <w:spacing w:val="-5"/>
        </w:rPr>
        <w:t> </w:t>
      </w:r>
      <w:r>
        <w:rPr>
          <w:color w:val="231F20"/>
        </w:rPr>
        <w:t>trayectorias</w:t>
      </w:r>
      <w:r>
        <w:rPr>
          <w:color w:val="231F20"/>
          <w:spacing w:val="-6"/>
        </w:rPr>
        <w:t> </w:t>
      </w:r>
      <w:r>
        <w:rPr>
          <w:color w:val="231F20"/>
        </w:rPr>
        <w:t>ocupacionales</w:t>
      </w:r>
      <w:r>
        <w:rPr>
          <w:color w:val="231F20"/>
          <w:spacing w:val="-5"/>
        </w:rPr>
        <w:t> </w:t>
      </w:r>
      <w:r>
        <w:rPr>
          <w:color w:val="231F20"/>
        </w:rPr>
        <w:t>de</w:t>
      </w:r>
      <w:r>
        <w:rPr>
          <w:color w:val="231F20"/>
          <w:spacing w:val="-5"/>
        </w:rPr>
        <w:t> </w:t>
      </w:r>
      <w:r>
        <w:rPr>
          <w:color w:val="231F20"/>
        </w:rPr>
        <w:t>manera específica,</w:t>
      </w:r>
      <w:r>
        <w:rPr>
          <w:color w:val="231F20"/>
          <w:spacing w:val="-6"/>
        </w:rPr>
        <w:t> </w:t>
      </w:r>
      <w:r>
        <w:rPr>
          <w:color w:val="231F20"/>
        </w:rPr>
        <w:t>ya</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países</w:t>
      </w:r>
      <w:r>
        <w:rPr>
          <w:color w:val="231F20"/>
          <w:spacing w:val="-6"/>
        </w:rPr>
        <w:t> </w:t>
      </w:r>
      <w:r>
        <w:rPr>
          <w:color w:val="231F20"/>
        </w:rPr>
        <w:t>de</w:t>
      </w:r>
      <w:r>
        <w:rPr>
          <w:color w:val="231F20"/>
          <w:spacing w:val="-17"/>
        </w:rPr>
        <w:t> </w:t>
      </w:r>
      <w:r>
        <w:rPr>
          <w:color w:val="231F20"/>
        </w:rPr>
        <w:t>América</w:t>
      </w:r>
      <w:r>
        <w:rPr>
          <w:color w:val="231F20"/>
          <w:spacing w:val="-6"/>
        </w:rPr>
        <w:t> </w:t>
      </w:r>
      <w:r>
        <w:rPr>
          <w:color w:val="231F20"/>
        </w:rPr>
        <w:t>Latina</w:t>
      </w:r>
      <w:r>
        <w:rPr>
          <w:color w:val="231F20"/>
          <w:spacing w:val="-6"/>
        </w:rPr>
        <w:t> </w:t>
      </w:r>
      <w:r>
        <w:rPr>
          <w:color w:val="231F20"/>
        </w:rPr>
        <w:t>se</w:t>
      </w:r>
      <w:r>
        <w:rPr>
          <w:color w:val="231F20"/>
          <w:spacing w:val="-6"/>
        </w:rPr>
        <w:t> </w:t>
      </w:r>
      <w:r>
        <w:rPr>
          <w:color w:val="231F20"/>
        </w:rPr>
        <w:t>mantiene</w:t>
      </w:r>
      <w:r>
        <w:rPr>
          <w:color w:val="231F20"/>
          <w:spacing w:val="-6"/>
        </w:rPr>
        <w:t> </w:t>
      </w:r>
      <w:r>
        <w:rPr>
          <w:color w:val="231F20"/>
        </w:rPr>
        <w:t>empleado un</w:t>
      </w:r>
      <w:r>
        <w:rPr>
          <w:color w:val="231F20"/>
          <w:spacing w:val="-6"/>
        </w:rPr>
        <w:t> </w:t>
      </w:r>
      <w:r>
        <w:rPr>
          <w:color w:val="231F20"/>
        </w:rPr>
        <w:t>considerable</w:t>
      </w:r>
      <w:r>
        <w:rPr>
          <w:color w:val="231F20"/>
          <w:spacing w:val="-7"/>
        </w:rPr>
        <w:t> </w:t>
      </w:r>
      <w:r>
        <w:rPr>
          <w:color w:val="231F20"/>
        </w:rPr>
        <w:t>porcentaje</w:t>
      </w:r>
      <w:r>
        <w:rPr>
          <w:color w:val="231F20"/>
          <w:spacing w:val="-6"/>
        </w:rPr>
        <w:t> </w:t>
      </w:r>
      <w:r>
        <w:rPr>
          <w:color w:val="231F20"/>
        </w:rPr>
        <w:t>de</w:t>
      </w:r>
      <w:r>
        <w:rPr>
          <w:color w:val="231F20"/>
          <w:spacing w:val="-6"/>
        </w:rPr>
        <w:t> </w:t>
      </w:r>
      <w:r>
        <w:rPr>
          <w:color w:val="231F20"/>
        </w:rPr>
        <w:t>individuos</w:t>
      </w:r>
      <w:r>
        <w:rPr>
          <w:color w:val="231F20"/>
          <w:spacing w:val="-6"/>
        </w:rPr>
        <w:t> </w:t>
      </w:r>
      <w:r>
        <w:rPr>
          <w:color w:val="231F20"/>
        </w:rPr>
        <w:t>por</w:t>
      </w:r>
      <w:r>
        <w:rPr>
          <w:color w:val="231F20"/>
          <w:spacing w:val="-6"/>
        </w:rPr>
        <w:t> </w:t>
      </w:r>
      <w:r>
        <w:rPr>
          <w:color w:val="231F20"/>
        </w:rPr>
        <w:t>encima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65</w:t>
      </w:r>
      <w:r>
        <w:rPr>
          <w:color w:val="231F20"/>
          <w:spacing w:val="-6"/>
        </w:rPr>
        <w:t> </w:t>
      </w:r>
      <w:r>
        <w:rPr>
          <w:color w:val="231F20"/>
        </w:rPr>
        <w:t>años,</w:t>
      </w:r>
      <w:r>
        <w:rPr>
          <w:color w:val="231F20"/>
          <w:spacing w:val="-6"/>
        </w:rPr>
        <w:t> </w:t>
      </w:r>
      <w:r>
        <w:rPr>
          <w:color w:val="231F20"/>
        </w:rPr>
        <w:t>ran- go</w:t>
      </w:r>
      <w:r>
        <w:rPr>
          <w:color w:val="231F20"/>
          <w:spacing w:val="-4"/>
        </w:rPr>
        <w:t> </w:t>
      </w:r>
      <w:r>
        <w:rPr>
          <w:color w:val="231F20"/>
        </w:rPr>
        <w:t>de</w:t>
      </w:r>
      <w:r>
        <w:rPr>
          <w:color w:val="231F20"/>
          <w:spacing w:val="-4"/>
        </w:rPr>
        <w:t> </w:t>
      </w:r>
      <w:r>
        <w:rPr>
          <w:color w:val="231F20"/>
        </w:rPr>
        <w:t>edad</w:t>
      </w:r>
      <w:r>
        <w:rPr>
          <w:color w:val="231F20"/>
          <w:spacing w:val="-4"/>
        </w:rPr>
        <w:t> </w:t>
      </w:r>
      <w:r>
        <w:rPr>
          <w:color w:val="231F20"/>
        </w:rPr>
        <w:t>evidentemente</w:t>
      </w:r>
      <w:r>
        <w:rPr>
          <w:color w:val="231F20"/>
          <w:spacing w:val="-5"/>
        </w:rPr>
        <w:t> </w:t>
      </w:r>
      <w:r>
        <w:rPr>
          <w:color w:val="231F20"/>
        </w:rPr>
        <w:t>más</w:t>
      </w:r>
      <w:r>
        <w:rPr>
          <w:color w:val="231F20"/>
          <w:spacing w:val="-4"/>
        </w:rPr>
        <w:t> </w:t>
      </w:r>
      <w:r>
        <w:rPr>
          <w:color w:val="231F20"/>
        </w:rPr>
        <w:t>vulnerable</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oscilaciones</w:t>
      </w:r>
      <w:r>
        <w:rPr>
          <w:color w:val="231F20"/>
          <w:spacing w:val="-4"/>
        </w:rPr>
        <w:t> </w:t>
      </w:r>
      <w:r>
        <w:rPr>
          <w:color w:val="231F20"/>
        </w:rPr>
        <w:t>del</w:t>
      </w:r>
      <w:r>
        <w:rPr>
          <w:color w:val="231F20"/>
          <w:spacing w:val="-4"/>
        </w:rPr>
        <w:t> </w:t>
      </w:r>
      <w:r>
        <w:rPr>
          <w:color w:val="231F20"/>
        </w:rPr>
        <w:t>mercado de trabajo.</w:t>
      </w:r>
    </w:p>
    <w:p>
      <w:pPr>
        <w:pStyle w:val="BodyText"/>
        <w:spacing w:line="249" w:lineRule="auto" w:before="1"/>
        <w:ind w:left="110" w:right="111" w:firstLine="283"/>
        <w:jc w:val="both"/>
        <w:rPr>
          <w:sz w:val="11"/>
        </w:rPr>
      </w:pPr>
      <w:r>
        <w:rPr>
          <w:color w:val="231F20"/>
        </w:rPr>
        <w:t>Datos</w:t>
      </w:r>
      <w:r>
        <w:rPr>
          <w:color w:val="231F20"/>
          <w:spacing w:val="-12"/>
        </w:rPr>
        <w:t> </w:t>
      </w:r>
      <w:r>
        <w:rPr>
          <w:color w:val="231F20"/>
        </w:rPr>
        <w:t>del</w:t>
      </w:r>
      <w:r>
        <w:rPr>
          <w:color w:val="231F20"/>
          <w:spacing w:val="-12"/>
        </w:rPr>
        <w:t> </w:t>
      </w:r>
      <w:r>
        <w:rPr>
          <w:color w:val="231F20"/>
        </w:rPr>
        <w:t>año</w:t>
      </w:r>
      <w:r>
        <w:rPr>
          <w:color w:val="231F20"/>
          <w:spacing w:val="-12"/>
        </w:rPr>
        <w:t> </w:t>
      </w:r>
      <w:r>
        <w:rPr>
          <w:color w:val="231F20"/>
        </w:rPr>
        <w:t>2007,</w:t>
      </w:r>
      <w:r>
        <w:rPr>
          <w:color w:val="231F20"/>
          <w:spacing w:val="-12"/>
        </w:rPr>
        <w:t> </w:t>
      </w:r>
      <w:r>
        <w:rPr>
          <w:color w:val="231F20"/>
        </w:rPr>
        <w:t>es</w:t>
      </w:r>
      <w:r>
        <w:rPr>
          <w:color w:val="231F20"/>
          <w:spacing w:val="-12"/>
        </w:rPr>
        <w:t> </w:t>
      </w:r>
      <w:r>
        <w:rPr>
          <w:color w:val="231F20"/>
        </w:rPr>
        <w:t>decir,</w:t>
      </w:r>
      <w:r>
        <w:rPr>
          <w:color w:val="231F20"/>
          <w:spacing w:val="-12"/>
        </w:rPr>
        <w:t> </w:t>
      </w:r>
      <w:r>
        <w:rPr>
          <w:color w:val="231F20"/>
        </w:rPr>
        <w:t>previo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crisis</w:t>
      </w:r>
      <w:r>
        <w:rPr>
          <w:color w:val="231F20"/>
          <w:spacing w:val="-12"/>
        </w:rPr>
        <w:t> </w:t>
      </w:r>
      <w:r>
        <w:rPr>
          <w:color w:val="231F20"/>
        </w:rPr>
        <w:t>financiera</w:t>
      </w:r>
      <w:r>
        <w:rPr>
          <w:color w:val="231F20"/>
          <w:spacing w:val="-12"/>
        </w:rPr>
        <w:t> </w:t>
      </w:r>
      <w:r>
        <w:rPr>
          <w:color w:val="231F20"/>
        </w:rPr>
        <w:t>internacional de 2008, ilustran que Alemania y Francia presentaban los mayores índi- ces de desempleo en ese periodo (8.5 y 7.5 por ciento,</w:t>
      </w:r>
      <w:r>
        <w:rPr>
          <w:color w:val="231F20"/>
          <w:spacing w:val="-17"/>
        </w:rPr>
        <w:t> </w:t>
      </w:r>
      <w:r>
        <w:rPr>
          <w:color w:val="231F20"/>
        </w:rPr>
        <w:t>respectivamente), mientras que México y Estados Unidos presentaban los menores índices en</w:t>
      </w:r>
      <w:r>
        <w:rPr>
          <w:color w:val="231F20"/>
          <w:spacing w:val="-9"/>
        </w:rPr>
        <w:t> </w:t>
      </w:r>
      <w:r>
        <w:rPr>
          <w:color w:val="231F20"/>
        </w:rPr>
        <w:t>ese</w:t>
      </w:r>
      <w:r>
        <w:rPr>
          <w:color w:val="231F20"/>
          <w:spacing w:val="-9"/>
        </w:rPr>
        <w:t> </w:t>
      </w:r>
      <w:r>
        <w:rPr>
          <w:color w:val="231F20"/>
        </w:rPr>
        <w:t>sentido</w:t>
      </w:r>
      <w:r>
        <w:rPr>
          <w:color w:val="231F20"/>
          <w:spacing w:val="-9"/>
        </w:rPr>
        <w:t> </w:t>
      </w:r>
      <w:r>
        <w:rPr>
          <w:color w:val="231F20"/>
        </w:rPr>
        <w:t>(3.2</w:t>
      </w:r>
      <w:r>
        <w:rPr>
          <w:color w:val="231F20"/>
          <w:spacing w:val="-9"/>
        </w:rPr>
        <w:t> </w:t>
      </w:r>
      <w:r>
        <w:rPr>
          <w:color w:val="231F20"/>
        </w:rPr>
        <w:t>y</w:t>
      </w:r>
      <w:r>
        <w:rPr>
          <w:color w:val="231F20"/>
          <w:spacing w:val="-9"/>
        </w:rPr>
        <w:t> </w:t>
      </w:r>
      <w:r>
        <w:rPr>
          <w:color w:val="231F20"/>
        </w:rPr>
        <w:t>4,7</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respectivamente).</w:t>
      </w:r>
      <w:r>
        <w:rPr>
          <w:color w:val="231F20"/>
          <w:spacing w:val="-9"/>
        </w:rPr>
        <w:t> </w:t>
      </w:r>
      <w:r>
        <w:rPr>
          <w:color w:val="231F20"/>
        </w:rPr>
        <w:t>No</w:t>
      </w:r>
      <w:r>
        <w:rPr>
          <w:color w:val="231F20"/>
          <w:spacing w:val="-9"/>
        </w:rPr>
        <w:t> </w:t>
      </w:r>
      <w:r>
        <w:rPr>
          <w:color w:val="231F20"/>
        </w:rPr>
        <w:t>obstante,</w:t>
      </w:r>
      <w:r>
        <w:rPr>
          <w:color w:val="231F20"/>
          <w:spacing w:val="-9"/>
        </w:rPr>
        <w:t> </w:t>
      </w:r>
      <w:r>
        <w:rPr>
          <w:color w:val="231F20"/>
        </w:rPr>
        <w:t>cuan- do</w:t>
      </w:r>
      <w:r>
        <w:rPr>
          <w:color w:val="231F20"/>
          <w:spacing w:val="-5"/>
        </w:rPr>
        <w:t> </w:t>
      </w:r>
      <w:r>
        <w:rPr>
          <w:color w:val="231F20"/>
        </w:rPr>
        <w:t>esas</w:t>
      </w:r>
      <w:r>
        <w:rPr>
          <w:color w:val="231F20"/>
          <w:spacing w:val="-5"/>
        </w:rPr>
        <w:t> </w:t>
      </w:r>
      <w:r>
        <w:rPr>
          <w:color w:val="231F20"/>
        </w:rPr>
        <w:t>tasas</w:t>
      </w:r>
      <w:r>
        <w:rPr>
          <w:color w:val="231F20"/>
          <w:spacing w:val="-5"/>
        </w:rPr>
        <w:t> </w:t>
      </w:r>
      <w:r>
        <w:rPr>
          <w:color w:val="231F20"/>
        </w:rPr>
        <w:t>son</w:t>
      </w:r>
      <w:r>
        <w:rPr>
          <w:color w:val="231F20"/>
          <w:spacing w:val="-5"/>
        </w:rPr>
        <w:t> </w:t>
      </w:r>
      <w:r>
        <w:rPr>
          <w:color w:val="231F20"/>
        </w:rPr>
        <w:t>divididas</w:t>
      </w:r>
      <w:r>
        <w:rPr>
          <w:color w:val="231F20"/>
          <w:spacing w:val="-5"/>
        </w:rPr>
        <w:t> </w:t>
      </w:r>
      <w:r>
        <w:rPr>
          <w:color w:val="231F20"/>
        </w:rPr>
        <w:t>por</w:t>
      </w:r>
      <w:r>
        <w:rPr>
          <w:color w:val="231F20"/>
          <w:spacing w:val="-5"/>
        </w:rPr>
        <w:t> </w:t>
      </w:r>
      <w:r>
        <w:rPr>
          <w:color w:val="231F20"/>
        </w:rPr>
        <w:t>sexo,</w:t>
      </w:r>
      <w:r>
        <w:rPr>
          <w:color w:val="231F20"/>
          <w:spacing w:val="-5"/>
        </w:rPr>
        <w:t> </w:t>
      </w:r>
      <w:r>
        <w:rPr>
          <w:color w:val="231F20"/>
        </w:rPr>
        <w:t>se</w:t>
      </w:r>
      <w:r>
        <w:rPr>
          <w:color w:val="231F20"/>
          <w:spacing w:val="-5"/>
        </w:rPr>
        <w:t> </w:t>
      </w:r>
      <w:r>
        <w:rPr>
          <w:color w:val="231F20"/>
        </w:rPr>
        <w:t>percibe</w:t>
      </w:r>
      <w:r>
        <w:rPr>
          <w:color w:val="231F20"/>
          <w:spacing w:val="-5"/>
        </w:rPr>
        <w:t> </w:t>
      </w:r>
      <w:r>
        <w:rPr>
          <w:color w:val="231F20"/>
        </w:rPr>
        <w:t>que,</w:t>
      </w:r>
      <w:r>
        <w:rPr>
          <w:color w:val="231F20"/>
          <w:spacing w:val="-5"/>
        </w:rPr>
        <w:t> </w:t>
      </w:r>
      <w:r>
        <w:rPr>
          <w:color w:val="231F20"/>
        </w:rPr>
        <w:t>excepto</w:t>
      </w:r>
      <w:r>
        <w:rPr>
          <w:color w:val="231F20"/>
          <w:spacing w:val="-5"/>
        </w:rPr>
        <w:t> </w:t>
      </w:r>
      <w:r>
        <w:rPr>
          <w:color w:val="231F20"/>
        </w:rPr>
        <w:t>México,</w:t>
      </w:r>
      <w:r>
        <w:rPr>
          <w:color w:val="231F20"/>
          <w:spacing w:val="-5"/>
        </w:rPr>
        <w:t> </w:t>
      </w:r>
      <w:r>
        <w:rPr>
          <w:color w:val="231F20"/>
        </w:rPr>
        <w:t>las mujeres latinoamericanas están más sujetas al desempleo que los hom- bres. En el caso de </w:t>
      </w:r>
      <w:r>
        <w:rPr>
          <w:color w:val="231F20"/>
          <w:spacing w:val="-3"/>
        </w:rPr>
        <w:t>Uruguay, </w:t>
      </w:r>
      <w:r>
        <w:rPr>
          <w:color w:val="231F20"/>
        </w:rPr>
        <w:t>por ejemplo, el índice de desempleo es casi dos veces más alto entre las mujeres (12.4 por ciento entre las mujeres  y 6.6 por ciento entre los hombres). En este sentido, debemos hacer una excepción</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España</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rPr>
        <w:t>pesar</w:t>
      </w:r>
      <w:r>
        <w:rPr>
          <w:color w:val="231F20"/>
          <w:spacing w:val="-4"/>
        </w:rPr>
        <w:t> </w:t>
      </w:r>
      <w:r>
        <w:rPr>
          <w:color w:val="231F20"/>
        </w:rPr>
        <w:t>de</w:t>
      </w:r>
      <w:r>
        <w:rPr>
          <w:color w:val="231F20"/>
          <w:spacing w:val="-4"/>
        </w:rPr>
        <w:t> </w:t>
      </w:r>
      <w:r>
        <w:rPr>
          <w:color w:val="231F20"/>
        </w:rPr>
        <w:t>ser</w:t>
      </w:r>
      <w:r>
        <w:rPr>
          <w:color w:val="231F20"/>
          <w:spacing w:val="-4"/>
        </w:rPr>
        <w:t> </w:t>
      </w:r>
      <w:r>
        <w:rPr>
          <w:color w:val="231F20"/>
        </w:rPr>
        <w:t>un</w:t>
      </w:r>
      <w:r>
        <w:rPr>
          <w:color w:val="231F20"/>
          <w:spacing w:val="-4"/>
        </w:rPr>
        <w:t> </w:t>
      </w:r>
      <w:r>
        <w:rPr>
          <w:color w:val="231F20"/>
        </w:rPr>
        <w:t>país</w:t>
      </w:r>
      <w:r>
        <w:rPr>
          <w:color w:val="231F20"/>
          <w:spacing w:val="-4"/>
        </w:rPr>
        <w:t> </w:t>
      </w:r>
      <w:r>
        <w:rPr>
          <w:color w:val="231F20"/>
        </w:rPr>
        <w:t>no</w:t>
      </w:r>
      <w:r>
        <w:rPr>
          <w:color w:val="231F20"/>
          <w:spacing w:val="-4"/>
        </w:rPr>
        <w:t> </w:t>
      </w:r>
      <w:r>
        <w:rPr>
          <w:color w:val="231F20"/>
        </w:rPr>
        <w:t>latinoame- ricano, presenta, al igual que los países de América Latina, una marcada diferencia</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índices</w:t>
      </w:r>
      <w:r>
        <w:rPr>
          <w:color w:val="231F20"/>
          <w:spacing w:val="-10"/>
        </w:rPr>
        <w:t> </w:t>
      </w:r>
      <w:r>
        <w:rPr>
          <w:color w:val="231F20"/>
        </w:rPr>
        <w:t>de</w:t>
      </w:r>
      <w:r>
        <w:rPr>
          <w:color w:val="231F20"/>
          <w:spacing w:val="-10"/>
        </w:rPr>
        <w:t> </w:t>
      </w:r>
      <w:r>
        <w:rPr>
          <w:color w:val="231F20"/>
        </w:rPr>
        <w:t>desempleo</w:t>
      </w:r>
      <w:r>
        <w:rPr>
          <w:color w:val="231F20"/>
          <w:spacing w:val="-10"/>
        </w:rPr>
        <w:t> </w:t>
      </w:r>
      <w:r>
        <w:rPr>
          <w:color w:val="231F20"/>
        </w:rPr>
        <w:t>entre</w:t>
      </w:r>
      <w:r>
        <w:rPr>
          <w:color w:val="231F20"/>
          <w:spacing w:val="-10"/>
        </w:rPr>
        <w:t> </w:t>
      </w:r>
      <w:r>
        <w:rPr>
          <w:color w:val="231F20"/>
        </w:rPr>
        <w:t>hombres</w:t>
      </w:r>
      <w:r>
        <w:rPr>
          <w:color w:val="231F20"/>
          <w:spacing w:val="-10"/>
        </w:rPr>
        <w:t> </w:t>
      </w:r>
      <w:r>
        <w:rPr>
          <w:color w:val="231F20"/>
        </w:rPr>
        <w:t>y</w:t>
      </w:r>
      <w:r>
        <w:rPr>
          <w:color w:val="231F20"/>
          <w:spacing w:val="-10"/>
        </w:rPr>
        <w:t> </w:t>
      </w:r>
      <w:r>
        <w:rPr>
          <w:color w:val="231F20"/>
        </w:rPr>
        <w:t>mujeres</w:t>
      </w:r>
      <w:r>
        <w:rPr>
          <w:color w:val="231F20"/>
          <w:spacing w:val="-10"/>
        </w:rPr>
        <w:t> </w:t>
      </w:r>
      <w:r>
        <w:rPr>
          <w:color w:val="231F20"/>
        </w:rPr>
        <w:t>(10.9</w:t>
      </w:r>
      <w:r>
        <w:rPr>
          <w:color w:val="231F20"/>
          <w:spacing w:val="-10"/>
        </w:rPr>
        <w:t> </w:t>
      </w:r>
      <w:r>
        <w:rPr>
          <w:color w:val="231F20"/>
        </w:rPr>
        <w:t>por ciento para mujeres y 6.4 por ciento para</w:t>
      </w:r>
      <w:r>
        <w:rPr>
          <w:color w:val="231F20"/>
          <w:spacing w:val="-1"/>
        </w:rPr>
        <w:t> </w:t>
      </w:r>
      <w:r>
        <w:rPr>
          <w:color w:val="231F20"/>
        </w:rPr>
        <w:t>hombres).</w:t>
      </w:r>
      <w:r>
        <w:rPr>
          <w:color w:val="231F20"/>
          <w:position w:val="7"/>
          <w:sz w:val="11"/>
        </w:rPr>
        <w:t>6</w:t>
      </w:r>
    </w:p>
    <w:p>
      <w:pPr>
        <w:pStyle w:val="BodyText"/>
        <w:spacing w:line="249" w:lineRule="auto" w:before="1"/>
        <w:ind w:left="110" w:right="111" w:firstLine="283"/>
        <w:jc w:val="both"/>
      </w:pPr>
      <w:r>
        <w:rPr>
          <w:color w:val="231F20"/>
        </w:rPr>
        <w:t>Otro aspecto importante para comprender las trayectorias ocupacio- nales de los trabajadores latinoamericanos es el elevado índice de infor-</w:t>
      </w:r>
    </w:p>
    <w:p>
      <w:pPr>
        <w:pStyle w:val="BodyText"/>
        <w:rPr>
          <w:sz w:val="24"/>
        </w:rPr>
      </w:pPr>
    </w:p>
    <w:p>
      <w:pPr>
        <w:spacing w:line="160" w:lineRule="exact" w:before="0"/>
        <w:ind w:left="110" w:right="0" w:firstLine="0"/>
        <w:jc w:val="both"/>
        <w:rPr>
          <w:sz w:val="14"/>
        </w:rPr>
      </w:pPr>
      <w:r>
        <w:rPr>
          <w:position w:val="5"/>
          <w:sz w:val="8"/>
        </w:rPr>
        <w:t>5 </w:t>
      </w:r>
      <w:r>
        <w:rPr>
          <w:sz w:val="14"/>
        </w:rPr>
        <w:t>(</w:t>
      </w:r>
      <w:r>
        <w:rPr>
          <w:i/>
          <w:sz w:val="14"/>
        </w:rPr>
        <w:t>Laborista</w:t>
      </w:r>
      <w:hyperlink r:id="rId36">
        <w:r>
          <w:rPr>
            <w:sz w:val="14"/>
          </w:rPr>
          <w:t>, http://laborista.ilo.org/data_topic_S.html).</w:t>
        </w:r>
      </w:hyperlink>
    </w:p>
    <w:p>
      <w:pPr>
        <w:spacing w:line="160" w:lineRule="exact" w:before="0"/>
        <w:ind w:left="110" w:right="0" w:firstLine="0"/>
        <w:jc w:val="both"/>
        <w:rPr>
          <w:sz w:val="14"/>
        </w:rPr>
      </w:pPr>
      <w:r>
        <w:rPr>
          <w:position w:val="5"/>
          <w:sz w:val="8"/>
        </w:rPr>
        <w:t>6 </w:t>
      </w:r>
      <w:r>
        <w:rPr>
          <w:sz w:val="14"/>
        </w:rPr>
        <w:t>(</w:t>
      </w:r>
      <w:r>
        <w:rPr>
          <w:i/>
          <w:sz w:val="14"/>
        </w:rPr>
        <w:t>Laborista</w:t>
      </w:r>
      <w:hyperlink r:id="rId36">
        <w:r>
          <w:rPr>
            <w:sz w:val="14"/>
          </w:rPr>
          <w:t>, http://laborista.ilo.org/data_topic_S.html).</w:t>
        </w:r>
      </w:hyperlink>
    </w:p>
    <w:p>
      <w:pPr>
        <w:spacing w:after="0" w:line="160" w:lineRule="exact"/>
        <w:jc w:val="both"/>
        <w:rPr>
          <w:sz w:val="14"/>
        </w:rPr>
        <w:sectPr>
          <w:pgSz w:w="7770" w:h="11740"/>
          <w:pgMar w:header="0" w:footer="559" w:top="840" w:bottom="740" w:left="740" w:right="1020"/>
        </w:sectPr>
      </w:pPr>
    </w:p>
    <w:p>
      <w:pPr>
        <w:pStyle w:val="BodyText"/>
        <w:spacing w:line="249" w:lineRule="auto" w:before="60"/>
        <w:ind w:left="113" w:right="108"/>
        <w:jc w:val="both"/>
      </w:pPr>
      <w:r>
        <w:rPr>
          <w:color w:val="231F20"/>
        </w:rPr>
        <w:t>malidad en las relaciones de trabajo. Entre los 14 países seleccionados, nueve tienen mercados de trabajo con tasas de informalidad superiores  a 50 por ciento. Bolivia y Paraguay son los países latinoamericanos que tienen mayores índices de informalidad en las relaciones de trabajo,</w:t>
      </w:r>
      <w:r>
        <w:rPr>
          <w:color w:val="231F20"/>
          <w:spacing w:val="-19"/>
        </w:rPr>
        <w:t> </w:t>
      </w:r>
      <w:r>
        <w:rPr>
          <w:color w:val="231F20"/>
        </w:rPr>
        <w:t>pre- sentando tasas de 69 y 68.4 por ciento respectivamente. Los menores</w:t>
      </w:r>
      <w:r>
        <w:rPr>
          <w:color w:val="231F20"/>
          <w:spacing w:val="-22"/>
        </w:rPr>
        <w:t> </w:t>
      </w:r>
      <w:r>
        <w:rPr>
          <w:color w:val="231F20"/>
        </w:rPr>
        <w:t>ín- dices</w:t>
      </w:r>
      <w:r>
        <w:rPr>
          <w:color w:val="231F20"/>
          <w:spacing w:val="-9"/>
        </w:rPr>
        <w:t> </w:t>
      </w:r>
      <w:r>
        <w:rPr>
          <w:color w:val="231F20"/>
        </w:rPr>
        <w:t>de</w:t>
      </w:r>
      <w:r>
        <w:rPr>
          <w:color w:val="231F20"/>
          <w:spacing w:val="-9"/>
        </w:rPr>
        <w:t> </w:t>
      </w:r>
      <w:r>
        <w:rPr>
          <w:color w:val="231F20"/>
        </w:rPr>
        <w:t>informalidad</w:t>
      </w:r>
      <w:r>
        <w:rPr>
          <w:color w:val="231F20"/>
          <w:spacing w:val="-9"/>
        </w:rPr>
        <w:t> </w:t>
      </w:r>
      <w:r>
        <w:rPr>
          <w:color w:val="231F20"/>
        </w:rPr>
        <w:t>se</w:t>
      </w:r>
      <w:r>
        <w:rPr>
          <w:color w:val="231F20"/>
          <w:spacing w:val="-9"/>
        </w:rPr>
        <w:t> </w:t>
      </w:r>
      <w:r>
        <w:rPr>
          <w:color w:val="231F20"/>
        </w:rPr>
        <w:t>observan</w:t>
      </w:r>
      <w:r>
        <w:rPr>
          <w:color w:val="231F20"/>
          <w:spacing w:val="-9"/>
        </w:rPr>
        <w:t> </w:t>
      </w:r>
      <w:r>
        <w:rPr>
          <w:color w:val="231F20"/>
        </w:rPr>
        <w:t>en</w:t>
      </w:r>
      <w:r>
        <w:rPr>
          <w:color w:val="231F20"/>
          <w:spacing w:val="-9"/>
        </w:rPr>
        <w:t> </w:t>
      </w:r>
      <w:r>
        <w:rPr>
          <w:color w:val="231F20"/>
        </w:rPr>
        <w:t>Chile</w:t>
      </w:r>
      <w:r>
        <w:rPr>
          <w:color w:val="231F20"/>
          <w:spacing w:val="-9"/>
        </w:rPr>
        <w:t> </w:t>
      </w:r>
      <w:r>
        <w:rPr>
          <w:color w:val="231F20"/>
        </w:rPr>
        <w:t>y</w:t>
      </w:r>
      <w:r>
        <w:rPr>
          <w:color w:val="231F20"/>
          <w:spacing w:val="-9"/>
        </w:rPr>
        <w:t> </w:t>
      </w:r>
      <w:r>
        <w:rPr>
          <w:color w:val="231F20"/>
        </w:rPr>
        <w:t>Costa</w:t>
      </w:r>
      <w:r>
        <w:rPr>
          <w:color w:val="231F20"/>
          <w:spacing w:val="-9"/>
        </w:rPr>
        <w:t> </w:t>
      </w:r>
      <w:r>
        <w:rPr>
          <w:color w:val="231F20"/>
        </w:rPr>
        <w:t>Rica,</w:t>
      </w:r>
      <w:r>
        <w:rPr>
          <w:color w:val="231F20"/>
          <w:spacing w:val="-9"/>
        </w:rPr>
        <w:t> </w:t>
      </w:r>
      <w:r>
        <w:rPr>
          <w:color w:val="231F20"/>
        </w:rPr>
        <w:t>con</w:t>
      </w:r>
      <w:r>
        <w:rPr>
          <w:color w:val="231F20"/>
          <w:spacing w:val="-9"/>
        </w:rPr>
        <w:t> </w:t>
      </w:r>
      <w:r>
        <w:rPr>
          <w:color w:val="231F20"/>
        </w:rPr>
        <w:t>porcentajes menores a 40 por</w:t>
      </w:r>
      <w:r>
        <w:rPr>
          <w:color w:val="231F20"/>
          <w:spacing w:val="-1"/>
        </w:rPr>
        <w:t> </w:t>
      </w:r>
      <w:r>
        <w:rPr>
          <w:color w:val="231F20"/>
        </w:rPr>
        <w:t>ciento.</w:t>
      </w:r>
    </w:p>
    <w:p>
      <w:pPr>
        <w:pStyle w:val="BodyText"/>
        <w:spacing w:line="249" w:lineRule="auto" w:before="1"/>
        <w:ind w:left="113" w:right="108" w:firstLine="283"/>
        <w:jc w:val="right"/>
      </w:pPr>
      <w:r>
        <w:rPr>
          <w:color w:val="231F20"/>
        </w:rPr>
        <w:t>Por último, la cobertura de los programas de protección</w:t>
      </w:r>
      <w:r>
        <w:rPr>
          <w:color w:val="231F20"/>
          <w:spacing w:val="15"/>
        </w:rPr>
        <w:t> </w:t>
      </w:r>
      <w:r>
        <w:rPr>
          <w:color w:val="231F20"/>
        </w:rPr>
        <w:t>social</w:t>
      </w:r>
      <w:r>
        <w:rPr>
          <w:color w:val="231F20"/>
          <w:spacing w:val="13"/>
        </w:rPr>
        <w:t> </w:t>
      </w:r>
      <w:r>
        <w:rPr>
          <w:color w:val="231F20"/>
        </w:rPr>
        <w:t>para el trabajador también es un aspecto relevante para entender</w:t>
      </w:r>
      <w:r>
        <w:rPr>
          <w:color w:val="231F20"/>
          <w:spacing w:val="47"/>
        </w:rPr>
        <w:t> </w:t>
      </w:r>
      <w:r>
        <w:rPr>
          <w:color w:val="231F20"/>
        </w:rPr>
        <w:t>el</w:t>
      </w:r>
      <w:r>
        <w:rPr>
          <w:color w:val="231F20"/>
          <w:spacing w:val="10"/>
        </w:rPr>
        <w:t> </w:t>
      </w:r>
      <w:r>
        <w:rPr>
          <w:color w:val="231F20"/>
        </w:rPr>
        <w:t>mercado de trabajo latinoamericano. Los datos encontrados parecen</w:t>
      </w:r>
      <w:r>
        <w:rPr>
          <w:color w:val="231F20"/>
          <w:spacing w:val="-4"/>
        </w:rPr>
        <w:t> </w:t>
      </w:r>
      <w:r>
        <w:rPr>
          <w:color w:val="231F20"/>
        </w:rPr>
        <w:t>estar</w:t>
      </w:r>
      <w:r>
        <w:rPr>
          <w:color w:val="231F20"/>
          <w:spacing w:val="-1"/>
        </w:rPr>
        <w:t> </w:t>
      </w:r>
      <w:r>
        <w:rPr>
          <w:color w:val="231F20"/>
        </w:rPr>
        <w:t>directa- mente relacionados con la informalidad, dado que en la mayoría</w:t>
      </w:r>
      <w:r>
        <w:rPr>
          <w:color w:val="231F20"/>
          <w:spacing w:val="9"/>
        </w:rPr>
        <w:t> </w:t>
      </w:r>
      <w:r>
        <w:rPr>
          <w:color w:val="231F20"/>
        </w:rPr>
        <w:t>de</w:t>
      </w:r>
      <w:r>
        <w:rPr>
          <w:color w:val="231F20"/>
          <w:spacing w:val="11"/>
        </w:rPr>
        <w:t> </w:t>
      </w:r>
      <w:r>
        <w:rPr>
          <w:color w:val="231F20"/>
        </w:rPr>
        <w:t>los países</w:t>
      </w:r>
      <w:r>
        <w:rPr>
          <w:color w:val="231F20"/>
          <w:spacing w:val="-7"/>
        </w:rPr>
        <w:t> </w:t>
      </w:r>
      <w:r>
        <w:rPr>
          <w:color w:val="231F20"/>
        </w:rPr>
        <w:t>de</w:t>
      </w:r>
      <w:r>
        <w:rPr>
          <w:color w:val="231F20"/>
          <w:spacing w:val="-18"/>
        </w:rPr>
        <w:t> </w:t>
      </w:r>
      <w:r>
        <w:rPr>
          <w:color w:val="231F20"/>
        </w:rPr>
        <w:t>América</w:t>
      </w:r>
      <w:r>
        <w:rPr>
          <w:color w:val="231F20"/>
          <w:spacing w:val="-7"/>
        </w:rPr>
        <w:t> </w:t>
      </w:r>
      <w:r>
        <w:rPr>
          <w:color w:val="231F20"/>
        </w:rPr>
        <w:t>Latina</w:t>
      </w:r>
      <w:r>
        <w:rPr>
          <w:color w:val="231F20"/>
          <w:spacing w:val="-8"/>
        </w:rPr>
        <w:t> </w:t>
      </w:r>
      <w:r>
        <w:rPr>
          <w:color w:val="231F20"/>
        </w:rPr>
        <w:t>el</w:t>
      </w:r>
      <w:r>
        <w:rPr>
          <w:color w:val="231F20"/>
          <w:spacing w:val="-7"/>
        </w:rPr>
        <w:t> </w:t>
      </w:r>
      <w:r>
        <w:rPr>
          <w:color w:val="231F20"/>
        </w:rPr>
        <w:t>vínculo</w:t>
      </w:r>
      <w:r>
        <w:rPr>
          <w:color w:val="231F20"/>
          <w:spacing w:val="-7"/>
        </w:rPr>
        <w:t> </w:t>
      </w:r>
      <w:r>
        <w:rPr>
          <w:color w:val="231F20"/>
        </w:rPr>
        <w:t>formal</w:t>
      </w:r>
      <w:r>
        <w:rPr>
          <w:color w:val="231F20"/>
          <w:spacing w:val="-7"/>
        </w:rPr>
        <w:t> </w:t>
      </w:r>
      <w:r>
        <w:rPr>
          <w:color w:val="231F20"/>
        </w:rPr>
        <w:t>de</w:t>
      </w:r>
      <w:r>
        <w:rPr>
          <w:color w:val="231F20"/>
          <w:spacing w:val="-7"/>
        </w:rPr>
        <w:t> </w:t>
      </w:r>
      <w:r>
        <w:rPr>
          <w:color w:val="231F20"/>
        </w:rPr>
        <w:t>trabajo</w:t>
      </w:r>
      <w:r>
        <w:rPr>
          <w:color w:val="231F20"/>
          <w:spacing w:val="-8"/>
        </w:rPr>
        <w:t> </w:t>
      </w:r>
      <w:r>
        <w:rPr>
          <w:color w:val="231F20"/>
        </w:rPr>
        <w:t>garantiza</w:t>
      </w:r>
      <w:r>
        <w:rPr>
          <w:color w:val="231F20"/>
          <w:spacing w:val="-7"/>
        </w:rPr>
        <w:t> </w:t>
      </w:r>
      <w:r>
        <w:rPr>
          <w:color w:val="231F20"/>
        </w:rPr>
        <w:t>el</w:t>
      </w:r>
      <w:r>
        <w:rPr>
          <w:color w:val="231F20"/>
          <w:spacing w:val="-7"/>
        </w:rPr>
        <w:t> </w:t>
      </w:r>
      <w:r>
        <w:rPr>
          <w:color w:val="231F20"/>
        </w:rPr>
        <w:t>acceso a los programas de protección social. Colombia, por ejemplo,</w:t>
      </w:r>
      <w:r>
        <w:rPr>
          <w:color w:val="231F20"/>
          <w:spacing w:val="48"/>
        </w:rPr>
        <w:t> </w:t>
      </w:r>
      <w:r>
        <w:rPr>
          <w:color w:val="231F20"/>
        </w:rPr>
        <w:t>en</w:t>
      </w:r>
      <w:r>
        <w:rPr>
          <w:color w:val="231F20"/>
          <w:spacing w:val="16"/>
        </w:rPr>
        <w:t> </w:t>
      </w:r>
      <w:r>
        <w:rPr>
          <w:color w:val="231F20"/>
        </w:rPr>
        <w:t>2006 presentaba</w:t>
      </w:r>
      <w:r>
        <w:rPr>
          <w:color w:val="231F20"/>
          <w:spacing w:val="-8"/>
        </w:rPr>
        <w:t> </w:t>
      </w:r>
      <w:r>
        <w:rPr>
          <w:color w:val="231F20"/>
        </w:rPr>
        <w:t>el</w:t>
      </w:r>
      <w:r>
        <w:rPr>
          <w:color w:val="231F20"/>
          <w:spacing w:val="-8"/>
        </w:rPr>
        <w:t> </w:t>
      </w:r>
      <w:r>
        <w:rPr>
          <w:color w:val="231F20"/>
        </w:rPr>
        <w:t>índice</w:t>
      </w:r>
      <w:r>
        <w:rPr>
          <w:color w:val="231F20"/>
          <w:spacing w:val="-8"/>
        </w:rPr>
        <w:t> </w:t>
      </w:r>
      <w:r>
        <w:rPr>
          <w:color w:val="231F20"/>
        </w:rPr>
        <w:t>más</w:t>
      </w:r>
      <w:r>
        <w:rPr>
          <w:color w:val="231F20"/>
          <w:spacing w:val="-8"/>
        </w:rPr>
        <w:t> </w:t>
      </w:r>
      <w:r>
        <w:rPr>
          <w:color w:val="231F20"/>
        </w:rPr>
        <w:t>elevado,</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países</w:t>
      </w:r>
      <w:r>
        <w:rPr>
          <w:color w:val="231F20"/>
          <w:spacing w:val="-8"/>
        </w:rPr>
        <w:t> </w:t>
      </w:r>
      <w:r>
        <w:rPr>
          <w:color w:val="231F20"/>
        </w:rPr>
        <w:t>estudiados,</w:t>
      </w:r>
      <w:r>
        <w:rPr>
          <w:color w:val="231F20"/>
          <w:spacing w:val="-9"/>
        </w:rPr>
        <w:t> </w:t>
      </w:r>
      <w:r>
        <w:rPr>
          <w:color w:val="231F20"/>
        </w:rPr>
        <w:t>de</w:t>
      </w:r>
      <w:r>
        <w:rPr>
          <w:color w:val="231F20"/>
          <w:spacing w:val="-8"/>
        </w:rPr>
        <w:t> </w:t>
      </w:r>
      <w:r>
        <w:rPr>
          <w:color w:val="231F20"/>
        </w:rPr>
        <w:t>70.7</w:t>
      </w:r>
      <w:r>
        <w:rPr>
          <w:color w:val="231F20"/>
          <w:spacing w:val="-8"/>
        </w:rPr>
        <w:t> </w:t>
      </w:r>
      <w:r>
        <w:rPr>
          <w:color w:val="231F20"/>
        </w:rPr>
        <w:t>por ciento de los trabajadores sin protección social. Una</w:t>
      </w:r>
      <w:r>
        <w:rPr>
          <w:color w:val="231F20"/>
          <w:spacing w:val="-33"/>
        </w:rPr>
        <w:t> </w:t>
      </w:r>
      <w:r>
        <w:rPr>
          <w:color w:val="231F20"/>
        </w:rPr>
        <w:t>situación</w:t>
      </w:r>
      <w:r>
        <w:rPr>
          <w:color w:val="231F20"/>
          <w:spacing w:val="-4"/>
        </w:rPr>
        <w:t> </w:t>
      </w:r>
      <w:r>
        <w:rPr>
          <w:color w:val="231F20"/>
        </w:rPr>
        <w:t>semejante</w:t>
      </w:r>
      <w:r>
        <w:rPr>
          <w:color w:val="231F20"/>
          <w:spacing w:val="-1"/>
        </w:rPr>
        <w:t> </w:t>
      </w:r>
      <w:r>
        <w:rPr>
          <w:color w:val="231F20"/>
        </w:rPr>
        <w:t>se observaba en Bolivia, </w:t>
      </w:r>
      <w:r>
        <w:rPr>
          <w:color w:val="231F20"/>
          <w:spacing w:val="-3"/>
        </w:rPr>
        <w:t>Paraguay, </w:t>
      </w:r>
      <w:r>
        <w:rPr>
          <w:color w:val="231F20"/>
        </w:rPr>
        <w:t>Ecuador y Nicaragua,</w:t>
      </w:r>
      <w:r>
        <w:rPr>
          <w:color w:val="231F20"/>
          <w:spacing w:val="23"/>
        </w:rPr>
        <w:t> </w:t>
      </w:r>
      <w:r>
        <w:rPr>
          <w:color w:val="231F20"/>
        </w:rPr>
        <w:t>que</w:t>
      </w:r>
      <w:r>
        <w:rPr>
          <w:color w:val="231F20"/>
          <w:spacing w:val="8"/>
        </w:rPr>
        <w:t> </w:t>
      </w:r>
      <w:r>
        <w:rPr>
          <w:color w:val="231F20"/>
        </w:rPr>
        <w:t>presenta- ban</w:t>
      </w:r>
      <w:r>
        <w:rPr>
          <w:color w:val="231F20"/>
          <w:spacing w:val="-9"/>
        </w:rPr>
        <w:t> </w:t>
      </w:r>
      <w:r>
        <w:rPr>
          <w:color w:val="231F20"/>
        </w:rPr>
        <w:t>tasas</w:t>
      </w:r>
      <w:r>
        <w:rPr>
          <w:color w:val="231F20"/>
          <w:spacing w:val="-10"/>
        </w:rPr>
        <w:t> </w:t>
      </w:r>
      <w:r>
        <w:rPr>
          <w:color w:val="231F20"/>
        </w:rPr>
        <w:t>superiores</w:t>
      </w:r>
      <w:r>
        <w:rPr>
          <w:color w:val="231F20"/>
          <w:spacing w:val="-9"/>
        </w:rPr>
        <w:t> </w:t>
      </w:r>
      <w:r>
        <w:rPr>
          <w:color w:val="231F20"/>
        </w:rPr>
        <w:t>a</w:t>
      </w:r>
      <w:r>
        <w:rPr>
          <w:color w:val="231F20"/>
          <w:spacing w:val="-9"/>
        </w:rPr>
        <w:t> </w:t>
      </w:r>
      <w:r>
        <w:rPr>
          <w:color w:val="231F20"/>
        </w:rPr>
        <w:t>60</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trabajadores</w:t>
      </w:r>
      <w:r>
        <w:rPr>
          <w:color w:val="231F20"/>
          <w:spacing w:val="-10"/>
        </w:rPr>
        <w:t> </w:t>
      </w:r>
      <w:r>
        <w:rPr>
          <w:color w:val="231F20"/>
        </w:rPr>
        <w:t>sin</w:t>
      </w:r>
      <w:r>
        <w:rPr>
          <w:color w:val="231F20"/>
          <w:spacing w:val="-9"/>
        </w:rPr>
        <w:t> </w:t>
      </w:r>
      <w:r>
        <w:rPr>
          <w:color w:val="231F20"/>
        </w:rPr>
        <w:t>protección</w:t>
      </w:r>
      <w:r>
        <w:rPr>
          <w:color w:val="231F20"/>
          <w:spacing w:val="-10"/>
        </w:rPr>
        <w:t> </w:t>
      </w:r>
      <w:r>
        <w:rPr>
          <w:color w:val="231F20"/>
        </w:rPr>
        <w:t>so- cial.</w:t>
      </w:r>
      <w:r>
        <w:rPr>
          <w:color w:val="231F20"/>
          <w:spacing w:val="-8"/>
        </w:rPr>
        <w:t> </w:t>
      </w:r>
      <w:r>
        <w:rPr>
          <w:color w:val="231F20"/>
        </w:rPr>
        <w:t>Cabe</w:t>
      </w:r>
      <w:r>
        <w:rPr>
          <w:color w:val="231F20"/>
          <w:spacing w:val="-8"/>
        </w:rPr>
        <w:t> </w:t>
      </w:r>
      <w:r>
        <w:rPr>
          <w:color w:val="231F20"/>
        </w:rPr>
        <w:t>señalar</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índices</w:t>
      </w:r>
      <w:r>
        <w:rPr>
          <w:color w:val="231F20"/>
          <w:spacing w:val="-8"/>
        </w:rPr>
        <w:t> </w:t>
      </w:r>
      <w:r>
        <w:rPr>
          <w:color w:val="231F20"/>
        </w:rPr>
        <w:t>elevados</w:t>
      </w:r>
      <w:r>
        <w:rPr>
          <w:color w:val="231F20"/>
          <w:spacing w:val="-8"/>
        </w:rPr>
        <w:t> </w:t>
      </w:r>
      <w:r>
        <w:rPr>
          <w:color w:val="231F20"/>
        </w:rPr>
        <w:t>de</w:t>
      </w:r>
      <w:r>
        <w:rPr>
          <w:color w:val="231F20"/>
          <w:spacing w:val="-8"/>
        </w:rPr>
        <w:t> </w:t>
      </w:r>
      <w:r>
        <w:rPr>
          <w:color w:val="231F20"/>
        </w:rPr>
        <w:t>trabajadores</w:t>
      </w:r>
      <w:r>
        <w:rPr>
          <w:color w:val="231F20"/>
          <w:spacing w:val="-9"/>
        </w:rPr>
        <w:t> </w:t>
      </w:r>
      <w:r>
        <w:rPr>
          <w:color w:val="231F20"/>
        </w:rPr>
        <w:t>sin</w:t>
      </w:r>
      <w:r>
        <w:rPr>
          <w:color w:val="231F20"/>
          <w:spacing w:val="-8"/>
        </w:rPr>
        <w:t> </w:t>
      </w:r>
      <w:r>
        <w:rPr>
          <w:color w:val="231F20"/>
        </w:rPr>
        <w:t>protección social acarrean mayores niveles de vulnerabilidad laboral cuando</w:t>
      </w:r>
      <w:r>
        <w:rPr>
          <w:color w:val="231F20"/>
          <w:spacing w:val="1"/>
        </w:rPr>
        <w:t> </w:t>
      </w:r>
      <w:r>
        <w:rPr>
          <w:color w:val="231F20"/>
        </w:rPr>
        <w:t>se dan violaciones</w:t>
      </w:r>
      <w:r>
        <w:rPr>
          <w:color w:val="231F20"/>
          <w:spacing w:val="-11"/>
        </w:rPr>
        <w:t> </w:t>
      </w:r>
      <w:r>
        <w:rPr>
          <w:color w:val="231F20"/>
        </w:rPr>
        <w:t>al</w:t>
      </w:r>
      <w:r>
        <w:rPr>
          <w:color w:val="231F20"/>
          <w:spacing w:val="-11"/>
        </w:rPr>
        <w:t> </w:t>
      </w:r>
      <w:r>
        <w:rPr>
          <w:color w:val="231F20"/>
        </w:rPr>
        <w:t>contrato</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o</w:t>
      </w:r>
      <w:r>
        <w:rPr>
          <w:color w:val="231F20"/>
          <w:spacing w:val="-10"/>
        </w:rPr>
        <w:t> </w:t>
      </w:r>
      <w:r>
        <w:rPr>
          <w:color w:val="231F20"/>
        </w:rPr>
        <w:t>en</w:t>
      </w:r>
      <w:r>
        <w:rPr>
          <w:color w:val="231F20"/>
          <w:spacing w:val="-11"/>
        </w:rPr>
        <w:t> </w:t>
      </w:r>
      <w:r>
        <w:rPr>
          <w:color w:val="231F20"/>
        </w:rPr>
        <w:t>los</w:t>
      </w:r>
      <w:r>
        <w:rPr>
          <w:color w:val="231F20"/>
          <w:spacing w:val="-11"/>
        </w:rPr>
        <w:t> </w:t>
      </w:r>
      <w:r>
        <w:rPr>
          <w:color w:val="231F20"/>
        </w:rPr>
        <w:t>casos</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ni</w:t>
      </w:r>
      <w:r>
        <w:rPr>
          <w:color w:val="231F20"/>
          <w:spacing w:val="-11"/>
        </w:rPr>
        <w:t> </w:t>
      </w:r>
      <w:r>
        <w:rPr>
          <w:color w:val="231F20"/>
        </w:rPr>
        <w:t>siquiera</w:t>
      </w:r>
      <w:r>
        <w:rPr>
          <w:color w:val="231F20"/>
          <w:spacing w:val="-10"/>
        </w:rPr>
        <w:t> </w:t>
      </w:r>
      <w:r>
        <w:rPr>
          <w:color w:val="231F20"/>
        </w:rPr>
        <w:t>existe.</w:t>
      </w:r>
      <w:r>
        <w:rPr>
          <w:color w:val="231F20"/>
          <w:position w:val="7"/>
          <w:sz w:val="11"/>
        </w:rPr>
        <w:t>7</w:t>
      </w:r>
      <w:r>
        <w:rPr>
          <w:color w:val="231F20"/>
          <w:w w:val="106"/>
          <w:position w:val="7"/>
          <w:sz w:val="11"/>
        </w:rPr>
        <w:t> </w:t>
      </w:r>
      <w:r>
        <w:rPr>
          <w:color w:val="231F20"/>
        </w:rPr>
        <w:t>En</w:t>
      </w:r>
      <w:r>
        <w:rPr>
          <w:color w:val="231F20"/>
          <w:spacing w:val="-4"/>
        </w:rPr>
        <w:t> </w:t>
      </w:r>
      <w:r>
        <w:rPr>
          <w:color w:val="231F20"/>
        </w:rPr>
        <w:t>análisis</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datos</w:t>
      </w:r>
      <w:r>
        <w:rPr>
          <w:color w:val="231F20"/>
          <w:spacing w:val="-4"/>
        </w:rPr>
        <w:t> </w:t>
      </w:r>
      <w:r>
        <w:rPr>
          <w:color w:val="231F20"/>
        </w:rPr>
        <w:t>sobre</w:t>
      </w:r>
      <w:r>
        <w:rPr>
          <w:color w:val="231F20"/>
          <w:spacing w:val="-4"/>
        </w:rPr>
        <w:t> </w:t>
      </w:r>
      <w:r>
        <w:rPr>
          <w:color w:val="231F20"/>
        </w:rPr>
        <w:t>el</w:t>
      </w:r>
      <w:r>
        <w:rPr>
          <w:color w:val="231F20"/>
          <w:spacing w:val="-4"/>
        </w:rPr>
        <w:t> </w:t>
      </w:r>
      <w:r>
        <w:rPr>
          <w:color w:val="231F20"/>
        </w:rPr>
        <w:t>mercado</w:t>
      </w:r>
      <w:r>
        <w:rPr>
          <w:color w:val="231F20"/>
          <w:spacing w:val="-5"/>
        </w:rPr>
        <w:t> </w:t>
      </w:r>
      <w:r>
        <w:rPr>
          <w:color w:val="231F20"/>
        </w:rPr>
        <w:t>de</w:t>
      </w:r>
      <w:r>
        <w:rPr>
          <w:color w:val="231F20"/>
          <w:spacing w:val="-4"/>
        </w:rPr>
        <w:t> </w:t>
      </w:r>
      <w:r>
        <w:rPr>
          <w:color w:val="231F20"/>
        </w:rPr>
        <w:t>trabajo</w:t>
      </w:r>
      <w:r>
        <w:rPr>
          <w:color w:val="231F20"/>
          <w:spacing w:val="-5"/>
        </w:rPr>
        <w:t> </w:t>
      </w:r>
      <w:r>
        <w:rPr>
          <w:color w:val="231F20"/>
        </w:rPr>
        <w:t>en</w:t>
      </w:r>
      <w:r>
        <w:rPr>
          <w:color w:val="231F20"/>
          <w:spacing w:val="-15"/>
        </w:rPr>
        <w:t> </w:t>
      </w:r>
      <w:r>
        <w:rPr>
          <w:color w:val="231F20"/>
        </w:rPr>
        <w:t>América</w:t>
      </w:r>
      <w:r>
        <w:rPr>
          <w:color w:val="231F20"/>
          <w:spacing w:val="-4"/>
        </w:rPr>
        <w:t> </w:t>
      </w:r>
      <w:r>
        <w:rPr>
          <w:color w:val="231F20"/>
        </w:rPr>
        <w:t>Lati-</w:t>
      </w:r>
    </w:p>
    <w:p>
      <w:pPr>
        <w:pStyle w:val="BodyText"/>
        <w:spacing w:line="249" w:lineRule="auto" w:before="1"/>
        <w:ind w:left="113" w:right="107"/>
        <w:jc w:val="both"/>
      </w:pPr>
      <w:r>
        <w:rPr>
          <w:color w:val="231F20"/>
        </w:rPr>
        <w:t>na</w:t>
      </w:r>
      <w:r>
        <w:rPr>
          <w:color w:val="231F20"/>
          <w:spacing w:val="-4"/>
        </w:rPr>
        <w:t> </w:t>
      </w:r>
      <w:r>
        <w:rPr>
          <w:color w:val="231F20"/>
        </w:rPr>
        <w:t>reafirma</w:t>
      </w:r>
      <w:r>
        <w:rPr>
          <w:color w:val="231F20"/>
          <w:spacing w:val="-4"/>
        </w:rPr>
        <w:t> </w:t>
      </w:r>
      <w:r>
        <w:rPr>
          <w:color w:val="231F20"/>
        </w:rPr>
        <w:t>la</w:t>
      </w:r>
      <w:r>
        <w:rPr>
          <w:color w:val="231F20"/>
          <w:spacing w:val="-4"/>
        </w:rPr>
        <w:t> </w:t>
      </w:r>
      <w:r>
        <w:rPr>
          <w:color w:val="231F20"/>
        </w:rPr>
        <w:t>necesidad</w:t>
      </w:r>
      <w:r>
        <w:rPr>
          <w:color w:val="231F20"/>
          <w:spacing w:val="-4"/>
        </w:rPr>
        <w:t> </w:t>
      </w:r>
      <w:r>
        <w:rPr>
          <w:color w:val="231F20"/>
        </w:rPr>
        <w:t>de</w:t>
      </w:r>
      <w:r>
        <w:rPr>
          <w:color w:val="231F20"/>
          <w:spacing w:val="-4"/>
        </w:rPr>
        <w:t> </w:t>
      </w:r>
      <w:r>
        <w:rPr>
          <w:color w:val="231F20"/>
        </w:rPr>
        <w:t>revisar</w:t>
      </w:r>
      <w:r>
        <w:rPr>
          <w:color w:val="231F20"/>
          <w:spacing w:val="-4"/>
        </w:rPr>
        <w:t> </w:t>
      </w:r>
      <w:r>
        <w:rPr>
          <w:color w:val="231F20"/>
        </w:rPr>
        <w:t>críticamente</w:t>
      </w:r>
      <w:r>
        <w:rPr>
          <w:color w:val="231F20"/>
          <w:spacing w:val="-4"/>
        </w:rPr>
        <w:t> </w:t>
      </w:r>
      <w:r>
        <w:rPr>
          <w:color w:val="231F20"/>
        </w:rPr>
        <w:t>la</w:t>
      </w:r>
      <w:r>
        <w:rPr>
          <w:color w:val="231F20"/>
          <w:spacing w:val="-4"/>
        </w:rPr>
        <w:t> </w:t>
      </w:r>
      <w:r>
        <w:rPr>
          <w:color w:val="231F20"/>
        </w:rPr>
        <w:t>teoría</w:t>
      </w:r>
      <w:r>
        <w:rPr>
          <w:color w:val="231F20"/>
          <w:spacing w:val="-4"/>
        </w:rPr>
        <w:t> </w:t>
      </w:r>
      <w:r>
        <w:rPr>
          <w:color w:val="231F20"/>
        </w:rPr>
        <w:t>sociológica</w:t>
      </w:r>
      <w:r>
        <w:rPr>
          <w:color w:val="231F20"/>
          <w:spacing w:val="-4"/>
        </w:rPr>
        <w:t> </w:t>
      </w:r>
      <w:r>
        <w:rPr>
          <w:color w:val="231F20"/>
        </w:rPr>
        <w:t>que analiza las transformaciones en los mercados de trabajo y las trayecto- rias ocupacionales de los trabajadores. Es fundamental pensar en nuevas categorías de análisis que refuercen las especificidades de los mercados de trabajo locales, dejando atrás el estudio de la realidad laboral latinoa- mericana a partir de conceptos que tienen como referencia a los países europeos y su experiencia</w:t>
      </w:r>
      <w:r>
        <w:rPr>
          <w:color w:val="231F20"/>
          <w:spacing w:val="-3"/>
        </w:rPr>
        <w:t> </w:t>
      </w:r>
      <w:r>
        <w:rPr>
          <w:color w:val="231F20"/>
        </w:rPr>
        <w:t>histórica.</w:t>
      </w:r>
    </w:p>
    <w:p>
      <w:pPr>
        <w:pStyle w:val="BodyText"/>
        <w:spacing w:line="249" w:lineRule="auto" w:before="1"/>
        <w:ind w:left="113" w:right="108" w:firstLine="283"/>
        <w:jc w:val="both"/>
      </w:pPr>
      <w:r>
        <w:rPr>
          <w:color w:val="231F20"/>
        </w:rPr>
        <w:t>Aspectos estructurantes del mercado de trabajo latinoamericano — como</w:t>
      </w:r>
      <w:r>
        <w:rPr>
          <w:color w:val="231F20"/>
          <w:spacing w:val="-11"/>
        </w:rPr>
        <w:t> </w:t>
      </w:r>
      <w:r>
        <w:rPr>
          <w:color w:val="231F20"/>
        </w:rPr>
        <w:t>las</w:t>
      </w:r>
      <w:r>
        <w:rPr>
          <w:color w:val="231F20"/>
          <w:spacing w:val="-11"/>
        </w:rPr>
        <w:t> </w:t>
      </w:r>
      <w:r>
        <w:rPr>
          <w:color w:val="231F20"/>
        </w:rPr>
        <w:t>elevadas</w:t>
      </w:r>
      <w:r>
        <w:rPr>
          <w:color w:val="231F20"/>
          <w:spacing w:val="-11"/>
        </w:rPr>
        <w:t> </w:t>
      </w:r>
      <w:r>
        <w:rPr>
          <w:color w:val="231F20"/>
        </w:rPr>
        <w:t>tasas</w:t>
      </w:r>
      <w:r>
        <w:rPr>
          <w:color w:val="231F20"/>
          <w:spacing w:val="-11"/>
        </w:rPr>
        <w:t> </w:t>
      </w:r>
      <w:r>
        <w:rPr>
          <w:color w:val="231F20"/>
        </w:rPr>
        <w:t>de</w:t>
      </w:r>
      <w:r>
        <w:rPr>
          <w:color w:val="231F20"/>
          <w:spacing w:val="-10"/>
        </w:rPr>
        <w:t> </w:t>
      </w:r>
      <w:r>
        <w:rPr>
          <w:color w:val="231F20"/>
        </w:rPr>
        <w:t>desempleo</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informalidad</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relaciones de</w:t>
      </w:r>
      <w:r>
        <w:rPr>
          <w:color w:val="231F20"/>
          <w:spacing w:val="-10"/>
        </w:rPr>
        <w:t> </w:t>
      </w:r>
      <w:r>
        <w:rPr>
          <w:color w:val="231F20"/>
        </w:rPr>
        <w:t>trabajo,</w:t>
      </w:r>
      <w:r>
        <w:rPr>
          <w:color w:val="231F20"/>
          <w:spacing w:val="-10"/>
        </w:rPr>
        <w:t> </w:t>
      </w:r>
      <w:r>
        <w:rPr>
          <w:color w:val="231F20"/>
        </w:rPr>
        <w:t>la</w:t>
      </w:r>
      <w:r>
        <w:rPr>
          <w:color w:val="231F20"/>
          <w:spacing w:val="-10"/>
        </w:rPr>
        <w:t> </w:t>
      </w:r>
      <w:r>
        <w:rPr>
          <w:color w:val="231F20"/>
        </w:rPr>
        <w:t>limitada</w:t>
      </w:r>
      <w:r>
        <w:rPr>
          <w:color w:val="231F20"/>
          <w:spacing w:val="-10"/>
        </w:rPr>
        <w:t> </w:t>
      </w:r>
      <w:r>
        <w:rPr>
          <w:color w:val="231F20"/>
        </w:rPr>
        <w:t>cobertura</w:t>
      </w:r>
      <w:r>
        <w:rPr>
          <w:color w:val="231F20"/>
          <w:spacing w:val="30"/>
        </w:rPr>
        <w:t> </w:t>
      </w:r>
      <w:r>
        <w:rPr>
          <w:color w:val="231F20"/>
        </w:rPr>
        <w:t>de</w:t>
      </w:r>
      <w:r>
        <w:rPr>
          <w:color w:val="231F20"/>
          <w:spacing w:val="-10"/>
        </w:rPr>
        <w:t> </w:t>
      </w:r>
      <w:r>
        <w:rPr>
          <w:color w:val="231F20"/>
        </w:rPr>
        <w:t>los</w:t>
      </w:r>
      <w:r>
        <w:rPr>
          <w:color w:val="231F20"/>
          <w:spacing w:val="-10"/>
        </w:rPr>
        <w:t> </w:t>
      </w:r>
      <w:r>
        <w:rPr>
          <w:color w:val="231F20"/>
        </w:rPr>
        <w:t>sistemas</w:t>
      </w:r>
      <w:r>
        <w:rPr>
          <w:color w:val="231F20"/>
          <w:spacing w:val="-10"/>
        </w:rPr>
        <w:t> </w:t>
      </w:r>
      <w:r>
        <w:rPr>
          <w:color w:val="231F20"/>
        </w:rPr>
        <w:t>nacionales</w:t>
      </w:r>
      <w:r>
        <w:rPr>
          <w:color w:val="231F20"/>
          <w:spacing w:val="-10"/>
        </w:rPr>
        <w:t> </w:t>
      </w:r>
      <w:r>
        <w:rPr>
          <w:color w:val="231F20"/>
        </w:rPr>
        <w:t>de</w:t>
      </w:r>
      <w:r>
        <w:rPr>
          <w:color w:val="231F20"/>
          <w:spacing w:val="-10"/>
        </w:rPr>
        <w:t> </w:t>
      </w:r>
      <w:r>
        <w:rPr>
          <w:color w:val="231F20"/>
        </w:rPr>
        <w:t>protección social, así como la significativa desigualdad de género observada en al- gunos países— necesitan ser incorporados en los modelos de análisis de quien</w:t>
      </w:r>
      <w:r>
        <w:rPr>
          <w:color w:val="231F20"/>
          <w:spacing w:val="-9"/>
        </w:rPr>
        <w:t> </w:t>
      </w:r>
      <w:r>
        <w:rPr>
          <w:color w:val="231F20"/>
        </w:rPr>
        <w:t>pretende</w:t>
      </w:r>
      <w:r>
        <w:rPr>
          <w:color w:val="231F20"/>
          <w:spacing w:val="-9"/>
        </w:rPr>
        <w:t> </w:t>
      </w:r>
      <w:r>
        <w:rPr>
          <w:color w:val="231F20"/>
        </w:rPr>
        <w:t>investigar</w:t>
      </w:r>
      <w:r>
        <w:rPr>
          <w:color w:val="231F20"/>
          <w:spacing w:val="-10"/>
        </w:rPr>
        <w:t> </w:t>
      </w:r>
      <w:r>
        <w:rPr>
          <w:color w:val="231F20"/>
        </w:rPr>
        <w:t>las</w:t>
      </w:r>
      <w:r>
        <w:rPr>
          <w:color w:val="231F20"/>
          <w:spacing w:val="-9"/>
        </w:rPr>
        <w:t> </w:t>
      </w:r>
      <w:r>
        <w:rPr>
          <w:color w:val="231F20"/>
        </w:rPr>
        <w:t>trayectorias</w:t>
      </w:r>
      <w:r>
        <w:rPr>
          <w:color w:val="231F20"/>
          <w:spacing w:val="-10"/>
        </w:rPr>
        <w:t> </w:t>
      </w:r>
      <w:r>
        <w:rPr>
          <w:color w:val="231F20"/>
        </w:rPr>
        <w:t>ocupacionales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trabajado- res latinoamericanos.</w:t>
      </w:r>
    </w:p>
    <w:p>
      <w:pPr>
        <w:pStyle w:val="BodyText"/>
        <w:spacing w:line="249" w:lineRule="auto" w:before="1"/>
        <w:ind w:left="113" w:right="108" w:firstLine="283"/>
        <w:jc w:val="both"/>
      </w:pPr>
      <w:r>
        <w:rPr>
          <w:color w:val="231F20"/>
        </w:rPr>
        <w:t>Cabe subrayar que el objetivo de esa tarea no se fundamenta en la negación de la contribución de esas teorías sino en la necesidad de esta- blecer un diálogo crítico con las mismas, apuntando sus límites y posi- bilidades, dado que remiten a otros contextos sociales y son  producidas</w:t>
      </w:r>
    </w:p>
    <w:p>
      <w:pPr>
        <w:pStyle w:val="BodyText"/>
        <w:rPr>
          <w:sz w:val="17"/>
        </w:rPr>
      </w:pPr>
    </w:p>
    <w:p>
      <w:pPr>
        <w:spacing w:before="1"/>
        <w:ind w:left="113" w:right="0" w:firstLine="0"/>
        <w:jc w:val="both"/>
        <w:rPr>
          <w:sz w:val="14"/>
        </w:rPr>
      </w:pPr>
      <w:r>
        <w:rPr>
          <w:position w:val="5"/>
          <w:sz w:val="8"/>
        </w:rPr>
        <w:t>7 </w:t>
      </w:r>
      <w:hyperlink r:id="rId38">
        <w:r>
          <w:rPr>
            <w:sz w:val="14"/>
          </w:rPr>
          <w:t>(SEDLAC, http://www.depeco.econo.unlp.edu.ar/sedlac/esp/index.php).</w:t>
        </w:r>
      </w:hyperlink>
    </w:p>
    <w:p>
      <w:pPr>
        <w:spacing w:after="0"/>
        <w:jc w:val="both"/>
        <w:rPr>
          <w:sz w:val="14"/>
        </w:rPr>
        <w:sectPr>
          <w:footerReference w:type="default" r:id="rId37"/>
          <w:pgSz w:w="7770" w:h="11740"/>
          <w:pgMar w:footer="559" w:header="0" w:top="840" w:bottom="740" w:left="1020" w:right="740"/>
          <w:pgNumType w:start="53"/>
        </w:sectPr>
      </w:pPr>
    </w:p>
    <w:p>
      <w:pPr>
        <w:pStyle w:val="BodyText"/>
        <w:spacing w:line="249" w:lineRule="auto" w:before="60"/>
        <w:ind w:left="110" w:right="111"/>
        <w:jc w:val="both"/>
      </w:pPr>
      <w:r>
        <w:rPr>
          <w:color w:val="231F20"/>
        </w:rPr>
        <w:t>teniendo como referencia países que vivieron experiencias distintas a</w:t>
      </w:r>
      <w:r>
        <w:rPr>
          <w:color w:val="231F20"/>
          <w:spacing w:val="-27"/>
        </w:rPr>
        <w:t> </w:t>
      </w:r>
      <w:r>
        <w:rPr>
          <w:color w:val="231F20"/>
        </w:rPr>
        <w:t>las observadas en los países de América</w:t>
      </w:r>
      <w:r>
        <w:rPr>
          <w:color w:val="231F20"/>
          <w:spacing w:val="-20"/>
        </w:rPr>
        <w:t> </w:t>
      </w:r>
      <w:r>
        <w:rPr>
          <w:color w:val="231F20"/>
        </w:rPr>
        <w:t>Latina.</w:t>
      </w:r>
    </w:p>
    <w:p>
      <w:pPr>
        <w:pStyle w:val="Heading4"/>
        <w:ind w:left="110"/>
      </w:pPr>
      <w:r>
        <w:rPr>
          <w:w w:val="75"/>
        </w:rPr>
        <w:t>Consideraciones finales</w:t>
      </w:r>
    </w:p>
    <w:p>
      <w:pPr>
        <w:pStyle w:val="BodyText"/>
        <w:spacing w:line="249" w:lineRule="auto" w:before="171"/>
        <w:ind w:left="110" w:right="110"/>
        <w:jc w:val="both"/>
      </w:pPr>
      <w:r>
        <w:rPr>
          <w:color w:val="231F20"/>
        </w:rPr>
        <w:t>Este artículo tuvo como objetivo presentar y analizar los límites y posi- bilidades de la teoría sociológica para la comprensión de las trayectorias ocupacionales de los trabajadores latinoamericanos. La importancia de analizar las aportaciones de autores como Bauman, Castel, Beck y Cas- tells</w:t>
      </w:r>
      <w:r>
        <w:rPr>
          <w:color w:val="231F20"/>
          <w:spacing w:val="-6"/>
        </w:rPr>
        <w:t> </w:t>
      </w:r>
      <w:r>
        <w:rPr>
          <w:color w:val="231F20"/>
        </w:rPr>
        <w:t>se</w:t>
      </w:r>
      <w:r>
        <w:rPr>
          <w:color w:val="231F20"/>
          <w:spacing w:val="-6"/>
        </w:rPr>
        <w:t> </w:t>
      </w:r>
      <w:r>
        <w:rPr>
          <w:color w:val="231F20"/>
        </w:rPr>
        <w:t>apoyó</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de</w:t>
      </w:r>
      <w:r>
        <w:rPr>
          <w:color w:val="231F20"/>
          <w:spacing w:val="-6"/>
        </w:rPr>
        <w:t> </w:t>
      </w:r>
      <w:r>
        <w:rPr>
          <w:color w:val="231F20"/>
        </w:rPr>
        <w:t>repensar</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sus</w:t>
      </w:r>
      <w:r>
        <w:rPr>
          <w:color w:val="231F20"/>
          <w:spacing w:val="-6"/>
        </w:rPr>
        <w:t> </w:t>
      </w:r>
      <w:r>
        <w:rPr>
          <w:color w:val="231F20"/>
        </w:rPr>
        <w:t>teorías</w:t>
      </w:r>
      <w:r>
        <w:rPr>
          <w:color w:val="231F20"/>
          <w:spacing w:val="-6"/>
        </w:rPr>
        <w:t> </w:t>
      </w:r>
      <w:r>
        <w:rPr>
          <w:color w:val="231F20"/>
        </w:rPr>
        <w:t>son instrumentadas en los estudios sobre el mercado de trabajo en América Latina.</w:t>
      </w:r>
    </w:p>
    <w:p>
      <w:pPr>
        <w:pStyle w:val="BodyText"/>
        <w:spacing w:line="249" w:lineRule="auto" w:before="1"/>
        <w:ind w:left="110" w:right="111" w:firstLine="283"/>
        <w:jc w:val="both"/>
      </w:pPr>
      <w:r>
        <w:rPr>
          <w:color w:val="231F20"/>
        </w:rPr>
        <w:t>No obstante, esta reflexión no debe malinterpretarse, como podría ser el hecho de descartar la posibilidad de apropiarse de determinados conceptos propuestos por esas teorías en el análisis de los mercados     de trabajo de los países latinoamericanos. Así, conceptos como indivi- dualización y vulnerabilidad social, recurrentes en la teoría sociológica contemporánea, pueden contribuir a la comprensión de las trayectorias ocupacionales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trabajadores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región,</w:t>
      </w:r>
      <w:r>
        <w:rPr>
          <w:color w:val="231F20"/>
          <w:spacing w:val="-8"/>
        </w:rPr>
        <w:t> </w:t>
      </w:r>
      <w:r>
        <w:rPr>
          <w:color w:val="231F20"/>
        </w:rPr>
        <w:t>dado</w:t>
      </w:r>
      <w:r>
        <w:rPr>
          <w:color w:val="231F20"/>
          <w:spacing w:val="-8"/>
        </w:rPr>
        <w:t> </w:t>
      </w:r>
      <w:r>
        <w:rPr>
          <w:color w:val="231F20"/>
        </w:rPr>
        <w:t>que,</w:t>
      </w:r>
      <w:r>
        <w:rPr>
          <w:color w:val="231F20"/>
          <w:spacing w:val="-8"/>
        </w:rPr>
        <w:t> </w:t>
      </w:r>
      <w:r>
        <w:rPr>
          <w:color w:val="231F20"/>
        </w:rPr>
        <w:t>por</w:t>
      </w:r>
      <w:r>
        <w:rPr>
          <w:color w:val="231F20"/>
          <w:spacing w:val="-8"/>
        </w:rPr>
        <w:t> </w:t>
      </w:r>
      <w:r>
        <w:rPr>
          <w:color w:val="231F20"/>
        </w:rPr>
        <w:t>un</w:t>
      </w:r>
      <w:r>
        <w:rPr>
          <w:color w:val="231F20"/>
          <w:spacing w:val="-8"/>
        </w:rPr>
        <w:t> </w:t>
      </w:r>
      <w:r>
        <w:rPr>
          <w:color w:val="231F20"/>
        </w:rPr>
        <w:t>lado,</w:t>
      </w:r>
      <w:r>
        <w:rPr>
          <w:color w:val="231F20"/>
          <w:spacing w:val="-8"/>
        </w:rPr>
        <w:t> </w:t>
      </w:r>
      <w:r>
        <w:rPr>
          <w:color w:val="231F20"/>
        </w:rPr>
        <w:t>co- nectan</w:t>
      </w:r>
      <w:r>
        <w:rPr>
          <w:color w:val="231F20"/>
          <w:spacing w:val="-8"/>
        </w:rPr>
        <w:t> </w:t>
      </w:r>
      <w:r>
        <w:rPr>
          <w:color w:val="231F20"/>
        </w:rPr>
        <w:t>la</w:t>
      </w:r>
      <w:r>
        <w:rPr>
          <w:color w:val="231F20"/>
          <w:spacing w:val="-8"/>
        </w:rPr>
        <w:t> </w:t>
      </w:r>
      <w:r>
        <w:rPr>
          <w:color w:val="231F20"/>
        </w:rPr>
        <w:t>realidad</w:t>
      </w:r>
      <w:r>
        <w:rPr>
          <w:color w:val="231F20"/>
          <w:spacing w:val="-8"/>
        </w:rPr>
        <w:t> </w:t>
      </w:r>
      <w:r>
        <w:rPr>
          <w:color w:val="231F20"/>
        </w:rPr>
        <w:t>local</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mercados</w:t>
      </w:r>
      <w:r>
        <w:rPr>
          <w:color w:val="231F20"/>
          <w:spacing w:val="-9"/>
        </w:rPr>
        <w:t> </w:t>
      </w:r>
      <w:r>
        <w:rPr>
          <w:color w:val="231F20"/>
        </w:rPr>
        <w:t>de</w:t>
      </w:r>
      <w:r>
        <w:rPr>
          <w:color w:val="231F20"/>
          <w:spacing w:val="-8"/>
        </w:rPr>
        <w:t> </w:t>
      </w:r>
      <w:r>
        <w:rPr>
          <w:color w:val="231F20"/>
        </w:rPr>
        <w:t>trabajo</w:t>
      </w:r>
      <w:r>
        <w:rPr>
          <w:color w:val="231F20"/>
          <w:spacing w:val="-9"/>
        </w:rPr>
        <w:t> </w:t>
      </w:r>
      <w:r>
        <w:rPr>
          <w:color w:val="231F20"/>
        </w:rPr>
        <w:t>a</w:t>
      </w:r>
      <w:r>
        <w:rPr>
          <w:color w:val="231F20"/>
          <w:spacing w:val="-8"/>
        </w:rPr>
        <w:t> </w:t>
      </w:r>
      <w:r>
        <w:rPr>
          <w:color w:val="231F20"/>
        </w:rPr>
        <w:t>los</w:t>
      </w:r>
      <w:r>
        <w:rPr>
          <w:color w:val="231F20"/>
          <w:spacing w:val="-8"/>
        </w:rPr>
        <w:t> </w:t>
      </w:r>
      <w:r>
        <w:rPr>
          <w:color w:val="231F20"/>
        </w:rPr>
        <w:t>grandes</w:t>
      </w:r>
      <w:r>
        <w:rPr>
          <w:color w:val="231F20"/>
          <w:spacing w:val="-8"/>
        </w:rPr>
        <w:t> </w:t>
      </w:r>
      <w:r>
        <w:rPr>
          <w:color w:val="231F20"/>
        </w:rPr>
        <w:t>procesos de transformación social de occidente, y por otro, afinan tales conceptos a la luz de otros contextos sociales, de modo de promover su madurez y problematización.</w:t>
      </w:r>
    </w:p>
    <w:p>
      <w:pPr>
        <w:pStyle w:val="BodyText"/>
        <w:spacing w:line="249" w:lineRule="auto" w:before="1"/>
        <w:ind w:left="110" w:right="111" w:firstLine="283"/>
        <w:jc w:val="both"/>
      </w:pPr>
      <w:r>
        <w:rPr>
          <w:color w:val="231F20"/>
        </w:rPr>
        <w:t>Por otro lado, se impone una necesidad para todos aquellos que pre- tenden iniciarse en el estudio de la temática abordada en este artículo:</w:t>
      </w:r>
    </w:p>
    <w:p>
      <w:pPr>
        <w:pStyle w:val="BodyText"/>
        <w:spacing w:line="249" w:lineRule="auto" w:before="1"/>
        <w:ind w:left="110" w:right="111"/>
        <w:jc w:val="both"/>
      </w:pPr>
      <w:r>
        <w:rPr>
          <w:color w:val="231F20"/>
        </w:rPr>
        <w:t>¿cómo analizar trayectorias ocupacionales en contextos sociales que presentan elevadas tasas de desempleo, de informalidad laboral y de tra- bajadores sin protección social, así como una acentuada desigualdad de género? Ese contexto nos habla de trayectorias ocupacionales más frag- mentadas y mayor inseguridad en el mercado de trabajo, presentando desafíos para los investigadores latinoamericanos.</w:t>
      </w:r>
    </w:p>
    <w:p>
      <w:pPr>
        <w:pStyle w:val="BodyText"/>
        <w:spacing w:line="249" w:lineRule="auto" w:before="1"/>
        <w:ind w:left="110" w:right="111" w:firstLine="283"/>
        <w:jc w:val="both"/>
      </w:pPr>
      <w:r>
        <w:rPr>
          <w:color w:val="231F20"/>
        </w:rPr>
        <w:t>De esta manera, una primera cuestión reside en la necesidad de que los estudios contemplen la heterogeneidad de las situaciones de empleo como</w:t>
      </w:r>
      <w:r>
        <w:rPr>
          <w:color w:val="231F20"/>
          <w:spacing w:val="-11"/>
        </w:rPr>
        <w:t> </w:t>
      </w:r>
      <w:r>
        <w:rPr>
          <w:color w:val="231F20"/>
        </w:rPr>
        <w:t>un</w:t>
      </w:r>
      <w:r>
        <w:rPr>
          <w:color w:val="231F20"/>
          <w:spacing w:val="-10"/>
        </w:rPr>
        <w:t> </w:t>
      </w:r>
      <w:r>
        <w:rPr>
          <w:color w:val="231F20"/>
        </w:rPr>
        <w:t>presupuesto</w:t>
      </w:r>
      <w:r>
        <w:rPr>
          <w:color w:val="231F20"/>
          <w:spacing w:val="-10"/>
        </w:rPr>
        <w:t> </w:t>
      </w:r>
      <w:r>
        <w:rPr>
          <w:color w:val="231F20"/>
        </w:rPr>
        <w:t>fundamental</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modelos</w:t>
      </w:r>
      <w:r>
        <w:rPr>
          <w:color w:val="231F20"/>
          <w:spacing w:val="-11"/>
        </w:rPr>
        <w:t> </w:t>
      </w:r>
      <w:r>
        <w:rPr>
          <w:color w:val="231F20"/>
        </w:rPr>
        <w:t>de</w:t>
      </w:r>
      <w:r>
        <w:rPr>
          <w:color w:val="231F20"/>
          <w:spacing w:val="-10"/>
        </w:rPr>
        <w:t> </w:t>
      </w:r>
      <w:r>
        <w:rPr>
          <w:color w:val="231F20"/>
        </w:rPr>
        <w:t>análisis,</w:t>
      </w:r>
      <w:r>
        <w:rPr>
          <w:color w:val="231F20"/>
          <w:spacing w:val="-11"/>
        </w:rPr>
        <w:t> </w:t>
      </w:r>
      <w:r>
        <w:rPr>
          <w:color w:val="231F20"/>
        </w:rPr>
        <w:t>siendo</w:t>
      </w:r>
      <w:r>
        <w:rPr>
          <w:color w:val="231F20"/>
          <w:spacing w:val="-10"/>
        </w:rPr>
        <w:t> </w:t>
      </w:r>
      <w:r>
        <w:rPr>
          <w:color w:val="231F20"/>
        </w:rPr>
        <w:t>ésta una dimensión obligatoria para la comprensión de las trayectorias de los trabajadores. Aspectos como el tipo de vínculo laboral, la categoría ocu- pacional</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pertenece</w:t>
      </w:r>
      <w:r>
        <w:rPr>
          <w:color w:val="231F20"/>
          <w:spacing w:val="-5"/>
        </w:rPr>
        <w:t> </w:t>
      </w:r>
      <w:r>
        <w:rPr>
          <w:color w:val="231F20"/>
        </w:rPr>
        <w:t>el</w:t>
      </w:r>
      <w:r>
        <w:rPr>
          <w:color w:val="231F20"/>
          <w:spacing w:val="-5"/>
        </w:rPr>
        <w:t> </w:t>
      </w:r>
      <w:r>
        <w:rPr>
          <w:color w:val="231F20"/>
        </w:rPr>
        <w:t>trabajador,</w:t>
      </w:r>
      <w:r>
        <w:rPr>
          <w:color w:val="231F20"/>
          <w:spacing w:val="-5"/>
        </w:rPr>
        <w:t> </w:t>
      </w:r>
      <w:r>
        <w:rPr>
          <w:color w:val="231F20"/>
        </w:rPr>
        <w:t>así</w:t>
      </w:r>
      <w:r>
        <w:rPr>
          <w:color w:val="231F20"/>
          <w:spacing w:val="-5"/>
        </w:rPr>
        <w:t> </w:t>
      </w:r>
      <w:r>
        <w:rPr>
          <w:color w:val="231F20"/>
        </w:rPr>
        <w:t>como</w:t>
      </w:r>
      <w:r>
        <w:rPr>
          <w:color w:val="231F20"/>
          <w:spacing w:val="-5"/>
        </w:rPr>
        <w:t> </w:t>
      </w:r>
      <w:r>
        <w:rPr>
          <w:color w:val="231F20"/>
        </w:rPr>
        <w:t>las</w:t>
      </w:r>
      <w:r>
        <w:rPr>
          <w:color w:val="231F20"/>
          <w:spacing w:val="-5"/>
        </w:rPr>
        <w:t> </w:t>
      </w:r>
      <w:r>
        <w:rPr>
          <w:color w:val="231F20"/>
        </w:rPr>
        <w:t>características</w:t>
      </w:r>
      <w:r>
        <w:rPr>
          <w:color w:val="231F20"/>
          <w:spacing w:val="-6"/>
        </w:rPr>
        <w:t> </w:t>
      </w:r>
      <w:r>
        <w:rPr>
          <w:color w:val="231F20"/>
        </w:rPr>
        <w:t>que definen su perfil socio-ocupacional (sexo, edad, escolaridad, etnia, entre otros), son aspectos privilegiados para el análisis de las trayectorias</w:t>
      </w:r>
      <w:r>
        <w:rPr>
          <w:color w:val="231F20"/>
          <w:spacing w:val="-33"/>
        </w:rPr>
        <w:t> </w:t>
      </w:r>
      <w:r>
        <w:rPr>
          <w:color w:val="231F20"/>
        </w:rPr>
        <w:t>ocu- pacionales,</w:t>
      </w:r>
      <w:r>
        <w:rPr>
          <w:color w:val="231F20"/>
          <w:spacing w:val="-11"/>
        </w:rPr>
        <w:t> </w:t>
      </w:r>
      <w:r>
        <w:rPr>
          <w:color w:val="231F20"/>
        </w:rPr>
        <w:t>que</w:t>
      </w:r>
      <w:r>
        <w:rPr>
          <w:color w:val="231F20"/>
          <w:spacing w:val="-11"/>
        </w:rPr>
        <w:t> </w:t>
      </w:r>
      <w:r>
        <w:rPr>
          <w:color w:val="231F20"/>
        </w:rPr>
        <w:t>permiten</w:t>
      </w:r>
      <w:r>
        <w:rPr>
          <w:color w:val="231F20"/>
          <w:spacing w:val="-11"/>
        </w:rPr>
        <w:t> </w:t>
      </w:r>
      <w:r>
        <w:rPr>
          <w:color w:val="231F20"/>
        </w:rPr>
        <w:t>recomponer</w:t>
      </w:r>
      <w:r>
        <w:rPr>
          <w:color w:val="231F20"/>
          <w:spacing w:val="-11"/>
        </w:rPr>
        <w:t> </w:t>
      </w:r>
      <w:r>
        <w:rPr>
          <w:color w:val="231F20"/>
        </w:rPr>
        <w:t>las</w:t>
      </w:r>
      <w:r>
        <w:rPr>
          <w:color w:val="231F20"/>
          <w:spacing w:val="-11"/>
        </w:rPr>
        <w:t> </w:t>
      </w:r>
      <w:r>
        <w:rPr>
          <w:color w:val="231F20"/>
        </w:rPr>
        <w:t>posibilidades</w:t>
      </w:r>
      <w:r>
        <w:rPr>
          <w:color w:val="231F20"/>
          <w:spacing w:val="-11"/>
        </w:rPr>
        <w:t> </w:t>
      </w:r>
      <w:r>
        <w:rPr>
          <w:color w:val="231F20"/>
        </w:rPr>
        <w:t>cualitativas</w:t>
      </w:r>
      <w:r>
        <w:rPr>
          <w:color w:val="231F20"/>
          <w:spacing w:val="-11"/>
        </w:rPr>
        <w:t> </w:t>
      </w:r>
      <w:r>
        <w:rPr>
          <w:color w:val="231F20"/>
        </w:rPr>
        <w:t>de</w:t>
      </w:r>
      <w:r>
        <w:rPr>
          <w:color w:val="231F20"/>
          <w:spacing w:val="-11"/>
        </w:rPr>
        <w:t> </w:t>
      </w:r>
      <w:r>
        <w:rPr>
          <w:color w:val="231F20"/>
        </w:rPr>
        <w:t>los trabajadores en el mercado de</w:t>
      </w:r>
      <w:r>
        <w:rPr>
          <w:color w:val="231F20"/>
          <w:spacing w:val="-3"/>
        </w:rPr>
        <w:t> </w:t>
      </w:r>
      <w:r>
        <w:rPr>
          <w:color w:val="231F20"/>
        </w:rPr>
        <w:t>trabajo.</w:t>
      </w:r>
    </w:p>
    <w:p>
      <w:pPr>
        <w:spacing w:after="0" w:line="249" w:lineRule="auto"/>
        <w:jc w:val="both"/>
        <w:sectPr>
          <w:pgSz w:w="7770" w:h="11740"/>
          <w:pgMar w:header="0" w:footer="559" w:top="840" w:bottom="740" w:left="740" w:right="1020"/>
        </w:sectPr>
      </w:pPr>
    </w:p>
    <w:p>
      <w:pPr>
        <w:pStyle w:val="BodyText"/>
        <w:spacing w:line="249" w:lineRule="auto" w:before="60"/>
        <w:ind w:left="113" w:right="107" w:firstLine="283"/>
        <w:jc w:val="both"/>
      </w:pPr>
      <w:r>
        <w:rPr>
          <w:color w:val="231F20"/>
        </w:rPr>
        <w:t>De</w:t>
      </w:r>
      <w:r>
        <w:rPr>
          <w:color w:val="231F20"/>
          <w:spacing w:val="-5"/>
        </w:rPr>
        <w:t> </w:t>
      </w:r>
      <w:r>
        <w:rPr>
          <w:color w:val="231F20"/>
        </w:rPr>
        <w:t>la</w:t>
      </w:r>
      <w:r>
        <w:rPr>
          <w:color w:val="231F20"/>
          <w:spacing w:val="-5"/>
        </w:rPr>
        <w:t> </w:t>
      </w:r>
      <w:r>
        <w:rPr>
          <w:color w:val="231F20"/>
        </w:rPr>
        <w:t>misma</w:t>
      </w:r>
      <w:r>
        <w:rPr>
          <w:color w:val="231F20"/>
          <w:spacing w:val="-6"/>
        </w:rPr>
        <w:t> </w:t>
      </w:r>
      <w:r>
        <w:rPr>
          <w:color w:val="231F20"/>
        </w:rPr>
        <w:t>forma,</w:t>
      </w:r>
      <w:r>
        <w:rPr>
          <w:color w:val="231F20"/>
          <w:spacing w:val="-5"/>
        </w:rPr>
        <w:t> </w:t>
      </w:r>
      <w:r>
        <w:rPr>
          <w:color w:val="231F20"/>
        </w:rPr>
        <w:t>también</w:t>
      </w:r>
      <w:r>
        <w:rPr>
          <w:color w:val="231F20"/>
          <w:spacing w:val="-6"/>
        </w:rPr>
        <w:t> </w:t>
      </w:r>
      <w:r>
        <w:rPr>
          <w:color w:val="231F20"/>
        </w:rPr>
        <w:t>es</w:t>
      </w:r>
      <w:r>
        <w:rPr>
          <w:color w:val="231F20"/>
          <w:spacing w:val="-6"/>
        </w:rPr>
        <w:t> </w:t>
      </w:r>
      <w:r>
        <w:rPr>
          <w:color w:val="231F20"/>
        </w:rPr>
        <w:t>necesario</w:t>
      </w:r>
      <w:r>
        <w:rPr>
          <w:color w:val="231F20"/>
          <w:spacing w:val="-5"/>
        </w:rPr>
        <w:t> </w:t>
      </w:r>
      <w:r>
        <w:rPr>
          <w:color w:val="231F20"/>
        </w:rPr>
        <w:t>que</w:t>
      </w:r>
      <w:r>
        <w:rPr>
          <w:color w:val="231F20"/>
          <w:spacing w:val="-5"/>
        </w:rPr>
        <w:t> </w:t>
      </w:r>
      <w:r>
        <w:rPr>
          <w:color w:val="231F20"/>
        </w:rPr>
        <w:t>los</w:t>
      </w:r>
      <w:r>
        <w:rPr>
          <w:color w:val="231F20"/>
          <w:spacing w:val="-6"/>
        </w:rPr>
        <w:t> </w:t>
      </w:r>
      <w:r>
        <w:rPr>
          <w:color w:val="231F20"/>
        </w:rPr>
        <w:t>modelos</w:t>
      </w:r>
      <w:r>
        <w:rPr>
          <w:color w:val="231F20"/>
          <w:spacing w:val="-6"/>
        </w:rPr>
        <w:t> </w:t>
      </w:r>
      <w:r>
        <w:rPr>
          <w:color w:val="231F20"/>
        </w:rPr>
        <w:t>de</w:t>
      </w:r>
      <w:r>
        <w:rPr>
          <w:color w:val="231F20"/>
          <w:spacing w:val="-5"/>
        </w:rPr>
        <w:t> </w:t>
      </w:r>
      <w:r>
        <w:rPr>
          <w:color w:val="231F20"/>
        </w:rPr>
        <w:t>análisis contemplen tanto los aspectos estructurales del mercado de trabajo (di- mensión</w:t>
      </w:r>
      <w:r>
        <w:rPr>
          <w:color w:val="231F20"/>
          <w:spacing w:val="-4"/>
        </w:rPr>
        <w:t> </w:t>
      </w:r>
      <w:r>
        <w:rPr>
          <w:color w:val="231F20"/>
        </w:rPr>
        <w:t>macro),</w:t>
      </w:r>
      <w:r>
        <w:rPr>
          <w:color w:val="231F20"/>
          <w:spacing w:val="-3"/>
        </w:rPr>
        <w:t> </w:t>
      </w:r>
      <w:r>
        <w:rPr>
          <w:color w:val="231F20"/>
        </w:rPr>
        <w:t>como</w:t>
      </w:r>
      <w:r>
        <w:rPr>
          <w:color w:val="231F20"/>
          <w:spacing w:val="-4"/>
        </w:rPr>
        <w:t> </w:t>
      </w:r>
      <w:r>
        <w:rPr>
          <w:color w:val="231F20"/>
        </w:rPr>
        <w:t>las</w:t>
      </w:r>
      <w:r>
        <w:rPr>
          <w:color w:val="231F20"/>
          <w:spacing w:val="-4"/>
        </w:rPr>
        <w:t> </w:t>
      </w:r>
      <w:r>
        <w:rPr>
          <w:color w:val="231F20"/>
        </w:rPr>
        <w:t>estrategias</w:t>
      </w:r>
      <w:r>
        <w:rPr>
          <w:color w:val="231F20"/>
          <w:spacing w:val="-4"/>
        </w:rPr>
        <w:t> </w:t>
      </w:r>
      <w:r>
        <w:rPr>
          <w:color w:val="231F20"/>
        </w:rPr>
        <w:t>de</w:t>
      </w:r>
      <w:r>
        <w:rPr>
          <w:color w:val="231F20"/>
          <w:spacing w:val="-4"/>
        </w:rPr>
        <w:t> </w:t>
      </w:r>
      <w:r>
        <w:rPr>
          <w:color w:val="231F20"/>
        </w:rPr>
        <w:t>empleo</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actores</w:t>
      </w:r>
      <w:r>
        <w:rPr>
          <w:color w:val="231F20"/>
          <w:spacing w:val="-4"/>
        </w:rPr>
        <w:t> </w:t>
      </w:r>
      <w:r>
        <w:rPr>
          <w:color w:val="231F20"/>
        </w:rPr>
        <w:t>sociales desarrollan a lo largo de sus trayectorias ocupacionales (dimensión mi- cro). Sólo por medio de una “sociología de la heterogeneidad del traba- jo”, que concilie polos tradicionalmente opuestos en la investigación so- ciológica —como el condicionamiento estructural y la acción voluntaria de</w:t>
      </w:r>
      <w:r>
        <w:rPr>
          <w:color w:val="231F20"/>
          <w:spacing w:val="-10"/>
        </w:rPr>
        <w:t> </w:t>
      </w:r>
      <w:r>
        <w:rPr>
          <w:color w:val="231F20"/>
        </w:rPr>
        <w:t>los</w:t>
      </w:r>
      <w:r>
        <w:rPr>
          <w:color w:val="231F20"/>
          <w:spacing w:val="-10"/>
        </w:rPr>
        <w:t> </w:t>
      </w:r>
      <w:r>
        <w:rPr>
          <w:color w:val="231F20"/>
        </w:rPr>
        <w:t>agentes</w:t>
      </w:r>
      <w:r>
        <w:rPr>
          <w:color w:val="231F20"/>
          <w:spacing w:val="-10"/>
        </w:rPr>
        <w:t> </w:t>
      </w:r>
      <w:r>
        <w:rPr>
          <w:color w:val="231F20"/>
        </w:rPr>
        <w:t>sociales—será</w:t>
      </w:r>
      <w:r>
        <w:rPr>
          <w:color w:val="231F20"/>
          <w:spacing w:val="-9"/>
        </w:rPr>
        <w:t> </w:t>
      </w:r>
      <w:r>
        <w:rPr>
          <w:color w:val="231F20"/>
        </w:rPr>
        <w:t>posible</w:t>
      </w:r>
      <w:r>
        <w:rPr>
          <w:color w:val="231F20"/>
          <w:spacing w:val="-10"/>
        </w:rPr>
        <w:t> </w:t>
      </w:r>
      <w:r>
        <w:rPr>
          <w:color w:val="231F20"/>
        </w:rPr>
        <w:t>conocer</w:t>
      </w:r>
      <w:r>
        <w:rPr>
          <w:color w:val="231F20"/>
          <w:spacing w:val="-10"/>
        </w:rPr>
        <w:t> </w:t>
      </w:r>
      <w:r>
        <w:rPr>
          <w:color w:val="231F20"/>
        </w:rPr>
        <w:t>los</w:t>
      </w:r>
      <w:r>
        <w:rPr>
          <w:color w:val="231F20"/>
          <w:spacing w:val="-10"/>
        </w:rPr>
        <w:t> </w:t>
      </w:r>
      <w:r>
        <w:rPr>
          <w:color w:val="231F20"/>
        </w:rPr>
        <w:t>matices</w:t>
      </w:r>
      <w:r>
        <w:rPr>
          <w:color w:val="231F20"/>
          <w:spacing w:val="-10"/>
        </w:rPr>
        <w:t> </w:t>
      </w:r>
      <w:r>
        <w:rPr>
          <w:color w:val="231F20"/>
        </w:rPr>
        <w:t>del</w:t>
      </w:r>
      <w:r>
        <w:rPr>
          <w:color w:val="231F20"/>
          <w:spacing w:val="-10"/>
        </w:rPr>
        <w:t> </w:t>
      </w:r>
      <w:r>
        <w:rPr>
          <w:color w:val="231F20"/>
        </w:rPr>
        <w:t>mercado</w:t>
      </w:r>
      <w:r>
        <w:rPr>
          <w:color w:val="231F20"/>
          <w:spacing w:val="-10"/>
        </w:rPr>
        <w:t> </w:t>
      </w:r>
      <w:r>
        <w:rPr>
          <w:color w:val="231F20"/>
        </w:rPr>
        <w:t>de trabajo en América</w:t>
      </w:r>
      <w:r>
        <w:rPr>
          <w:color w:val="231F20"/>
          <w:spacing w:val="-19"/>
        </w:rPr>
        <w:t> </w:t>
      </w:r>
      <w:r>
        <w:rPr>
          <w:color w:val="231F20"/>
        </w:rPr>
        <w:t>Latina.</w:t>
      </w:r>
    </w:p>
    <w:p>
      <w:pPr>
        <w:pStyle w:val="BodyText"/>
      </w:pPr>
    </w:p>
    <w:p>
      <w:pPr>
        <w:pStyle w:val="Heading4"/>
        <w:spacing w:before="120"/>
        <w:ind w:right="792"/>
        <w:jc w:val="left"/>
      </w:pPr>
      <w:r>
        <w:rPr>
          <w:w w:val="85"/>
        </w:rPr>
        <w:t>Bibliografia</w:t>
      </w:r>
    </w:p>
    <w:p>
      <w:pPr>
        <w:pStyle w:val="BodyText"/>
        <w:spacing w:before="3"/>
        <w:rPr>
          <w:b/>
          <w:sz w:val="34"/>
        </w:rPr>
      </w:pPr>
    </w:p>
    <w:p>
      <w:pPr>
        <w:spacing w:line="254" w:lineRule="auto" w:before="0"/>
        <w:ind w:left="113" w:right="0" w:firstLine="0"/>
        <w:jc w:val="left"/>
        <w:rPr>
          <w:sz w:val="18"/>
        </w:rPr>
      </w:pPr>
      <w:r>
        <w:rPr>
          <w:color w:val="231F20"/>
          <w:sz w:val="18"/>
        </w:rPr>
        <w:t>Bauman, Zygmunt (1998) </w:t>
      </w:r>
      <w:r>
        <w:rPr>
          <w:i/>
          <w:color w:val="231F20"/>
          <w:sz w:val="18"/>
        </w:rPr>
        <w:t>O mal-estar da pós-modernidade</w:t>
      </w:r>
      <w:r>
        <w:rPr>
          <w:color w:val="231F20"/>
          <w:sz w:val="18"/>
        </w:rPr>
        <w:t>, Río de Janeiro: Jor- ge Zahar Editor.</w:t>
      </w:r>
    </w:p>
    <w:p>
      <w:pPr>
        <w:spacing w:line="254" w:lineRule="auto" w:before="57"/>
        <w:ind w:left="113" w:right="0" w:firstLine="0"/>
        <w:jc w:val="left"/>
        <w:rPr>
          <w:sz w:val="18"/>
        </w:rPr>
      </w:pPr>
      <w:r>
        <w:rPr>
          <w:color w:val="231F20"/>
          <w:sz w:val="18"/>
        </w:rPr>
        <w:t>Bauman, Zygmunt (1999) </w:t>
      </w:r>
      <w:r>
        <w:rPr>
          <w:i/>
          <w:color w:val="231F20"/>
          <w:sz w:val="18"/>
        </w:rPr>
        <w:t>Modernidade e ambivalência</w:t>
      </w:r>
      <w:r>
        <w:rPr>
          <w:color w:val="231F20"/>
          <w:sz w:val="18"/>
        </w:rPr>
        <w:t>, Río de Janeiro: Jorge Zahar Editor.</w:t>
      </w:r>
    </w:p>
    <w:p>
      <w:pPr>
        <w:spacing w:line="254" w:lineRule="auto" w:before="57"/>
        <w:ind w:left="113" w:right="0" w:firstLine="0"/>
        <w:jc w:val="left"/>
        <w:rPr>
          <w:sz w:val="18"/>
        </w:rPr>
      </w:pPr>
      <w:r>
        <w:rPr>
          <w:color w:val="231F20"/>
          <w:sz w:val="18"/>
        </w:rPr>
        <w:t>Bauman, Zygmunt (2001) </w:t>
      </w:r>
      <w:r>
        <w:rPr>
          <w:i/>
          <w:color w:val="231F20"/>
          <w:sz w:val="18"/>
        </w:rPr>
        <w:t>Modernidade líquida</w:t>
      </w:r>
      <w:r>
        <w:rPr>
          <w:color w:val="231F20"/>
          <w:sz w:val="18"/>
        </w:rPr>
        <w:t>, Río de Janeiro: Jorge Zahar Editor.</w:t>
      </w:r>
    </w:p>
    <w:p>
      <w:pPr>
        <w:spacing w:before="57"/>
        <w:ind w:left="113" w:right="0" w:firstLine="0"/>
        <w:jc w:val="left"/>
        <w:rPr>
          <w:i/>
          <w:sz w:val="18"/>
        </w:rPr>
      </w:pPr>
      <w:r>
        <w:rPr>
          <w:color w:val="231F20"/>
          <w:sz w:val="18"/>
        </w:rPr>
        <w:t>Bauman, Zygmunt (2003) </w:t>
      </w:r>
      <w:r>
        <w:rPr>
          <w:i/>
          <w:color w:val="231F20"/>
          <w:sz w:val="18"/>
        </w:rPr>
        <w:t>Comunidade: a busca por segurança no mundo atual,</w:t>
      </w:r>
    </w:p>
    <w:p>
      <w:pPr>
        <w:spacing w:before="13"/>
        <w:ind w:left="113" w:right="792" w:firstLine="0"/>
        <w:jc w:val="left"/>
        <w:rPr>
          <w:sz w:val="18"/>
        </w:rPr>
      </w:pPr>
      <w:r>
        <w:rPr>
          <w:color w:val="231F20"/>
          <w:sz w:val="18"/>
        </w:rPr>
        <w:t>Río de Janeiro: Jorge Zahar Editor.</w:t>
      </w:r>
    </w:p>
    <w:p>
      <w:pPr>
        <w:spacing w:before="69"/>
        <w:ind w:left="113" w:right="0" w:firstLine="0"/>
        <w:jc w:val="left"/>
        <w:rPr>
          <w:i/>
          <w:sz w:val="18"/>
        </w:rPr>
      </w:pPr>
      <w:r>
        <w:rPr>
          <w:color w:val="231F20"/>
          <w:sz w:val="18"/>
        </w:rPr>
        <w:t>Bauman, Zygmunt (2008) </w:t>
      </w:r>
      <w:r>
        <w:rPr>
          <w:i/>
          <w:color w:val="231F20"/>
          <w:sz w:val="18"/>
        </w:rPr>
        <w:t>Vidas  desperdiciadas: la modernidad y sus    parias,</w:t>
      </w:r>
    </w:p>
    <w:p>
      <w:pPr>
        <w:spacing w:before="13"/>
        <w:ind w:left="113" w:right="792" w:firstLine="0"/>
        <w:jc w:val="left"/>
        <w:rPr>
          <w:sz w:val="18"/>
        </w:rPr>
      </w:pPr>
      <w:r>
        <w:rPr>
          <w:color w:val="231F20"/>
          <w:sz w:val="18"/>
        </w:rPr>
        <w:t>Buenos Aires: Paidós.</w:t>
      </w:r>
    </w:p>
    <w:p>
      <w:pPr>
        <w:spacing w:line="254" w:lineRule="auto" w:before="69"/>
        <w:ind w:left="113" w:right="0" w:firstLine="0"/>
        <w:jc w:val="left"/>
        <w:rPr>
          <w:sz w:val="18"/>
        </w:rPr>
      </w:pPr>
      <w:r>
        <w:rPr>
          <w:color w:val="231F20"/>
          <w:sz w:val="18"/>
        </w:rPr>
        <w:t>Beck, Ulrich (1998) </w:t>
      </w:r>
      <w:r>
        <w:rPr>
          <w:i/>
          <w:color w:val="231F20"/>
          <w:sz w:val="18"/>
        </w:rPr>
        <w:t>La sociedad del riesgo: hacia una nueva modernidad</w:t>
      </w:r>
      <w:r>
        <w:rPr>
          <w:color w:val="231F20"/>
          <w:sz w:val="18"/>
        </w:rPr>
        <w:t>, Ma- drid: Paidós.</w:t>
      </w:r>
    </w:p>
    <w:p>
      <w:pPr>
        <w:spacing w:line="254" w:lineRule="auto" w:before="57"/>
        <w:ind w:left="113" w:right="0" w:firstLine="0"/>
        <w:jc w:val="left"/>
        <w:rPr>
          <w:sz w:val="18"/>
        </w:rPr>
      </w:pPr>
      <w:r>
        <w:rPr>
          <w:color w:val="231F20"/>
          <w:sz w:val="18"/>
        </w:rPr>
        <w:t>Beck, Ulrich (1999) </w:t>
      </w:r>
      <w:r>
        <w:rPr>
          <w:i/>
          <w:color w:val="231F20"/>
          <w:sz w:val="18"/>
        </w:rPr>
        <w:t>O que é globalização? Equívocos da globalização: respos- </w:t>
      </w:r>
      <w:r>
        <w:rPr>
          <w:i/>
          <w:color w:val="231F20"/>
          <w:sz w:val="18"/>
        </w:rPr>
        <w:t>tas à globalização, </w:t>
      </w:r>
      <w:r>
        <w:rPr>
          <w:color w:val="231F20"/>
          <w:sz w:val="18"/>
        </w:rPr>
        <w:t>São Paulo: Paz e Terra.</w:t>
      </w:r>
    </w:p>
    <w:p>
      <w:pPr>
        <w:spacing w:line="254" w:lineRule="auto" w:before="57"/>
        <w:ind w:left="113" w:right="0" w:firstLine="0"/>
        <w:jc w:val="left"/>
        <w:rPr>
          <w:sz w:val="18"/>
        </w:rPr>
      </w:pPr>
      <w:r>
        <w:rPr>
          <w:color w:val="231F20"/>
          <w:sz w:val="18"/>
        </w:rPr>
        <w:t>Beck, Ulrich (2000) </w:t>
      </w:r>
      <w:r>
        <w:rPr>
          <w:i/>
          <w:color w:val="231F20"/>
          <w:sz w:val="18"/>
        </w:rPr>
        <w:t>Un nuevo mundo feliz: la precariedad del trabajo en la era </w:t>
      </w:r>
      <w:r>
        <w:rPr>
          <w:i/>
          <w:color w:val="231F20"/>
          <w:sz w:val="18"/>
        </w:rPr>
        <w:t>de la globalización, </w:t>
      </w:r>
      <w:r>
        <w:rPr>
          <w:color w:val="231F20"/>
          <w:sz w:val="18"/>
        </w:rPr>
        <w:t>Buenos Aires: Paidós.</w:t>
      </w:r>
    </w:p>
    <w:p>
      <w:pPr>
        <w:spacing w:line="254" w:lineRule="auto" w:before="57"/>
        <w:ind w:left="113" w:right="0" w:firstLine="0"/>
        <w:jc w:val="left"/>
        <w:rPr>
          <w:sz w:val="18"/>
        </w:rPr>
      </w:pPr>
      <w:r>
        <w:rPr>
          <w:color w:val="231F20"/>
          <w:sz w:val="18"/>
        </w:rPr>
        <w:t>Beck, Ulrich (2008) </w:t>
      </w:r>
      <w:r>
        <w:rPr>
          <w:i/>
          <w:color w:val="231F20"/>
          <w:sz w:val="18"/>
        </w:rPr>
        <w:t>La sociedad del riesgo mundial: en busca de la seguridad </w:t>
      </w:r>
      <w:r>
        <w:rPr>
          <w:i/>
          <w:color w:val="231F20"/>
          <w:sz w:val="18"/>
        </w:rPr>
        <w:t>perdida, </w:t>
      </w:r>
      <w:r>
        <w:rPr>
          <w:color w:val="231F20"/>
          <w:sz w:val="18"/>
        </w:rPr>
        <w:t>Barcelona: Paidós.</w:t>
      </w:r>
    </w:p>
    <w:p>
      <w:pPr>
        <w:spacing w:line="254" w:lineRule="auto" w:before="57"/>
        <w:ind w:left="113" w:right="107" w:firstLine="0"/>
        <w:jc w:val="left"/>
        <w:rPr>
          <w:sz w:val="18"/>
        </w:rPr>
      </w:pPr>
      <w:r>
        <w:rPr>
          <w:color w:val="231F20"/>
          <w:sz w:val="18"/>
        </w:rPr>
        <w:t>Cardoso, Adalberto (2000) </w:t>
      </w:r>
      <w:r>
        <w:rPr>
          <w:i/>
          <w:color w:val="231F20"/>
          <w:sz w:val="18"/>
        </w:rPr>
        <w:t>Trabalhar, verbo transitivo: destinos profissionais </w:t>
      </w:r>
      <w:r>
        <w:rPr>
          <w:i/>
          <w:color w:val="231F20"/>
          <w:sz w:val="18"/>
        </w:rPr>
        <w:t>dos deserdados da indústria automobilística, </w:t>
      </w:r>
      <w:r>
        <w:rPr>
          <w:color w:val="231F20"/>
          <w:sz w:val="18"/>
        </w:rPr>
        <w:t>Río de Janeiro: Editora FGV.</w:t>
      </w:r>
    </w:p>
    <w:p>
      <w:pPr>
        <w:spacing w:line="254" w:lineRule="auto" w:before="57"/>
        <w:ind w:left="113" w:right="107" w:firstLine="0"/>
        <w:jc w:val="left"/>
        <w:rPr>
          <w:sz w:val="18"/>
        </w:rPr>
      </w:pPr>
      <w:r>
        <w:rPr>
          <w:color w:val="231F20"/>
          <w:sz w:val="18"/>
        </w:rPr>
        <w:t>Castel, Robert (1998) </w:t>
      </w:r>
      <w:r>
        <w:rPr>
          <w:i/>
          <w:color w:val="231F20"/>
          <w:sz w:val="18"/>
        </w:rPr>
        <w:t>As metamorfoses da questão social: uma crônica do salá- </w:t>
      </w:r>
      <w:r>
        <w:rPr>
          <w:i/>
          <w:color w:val="231F20"/>
          <w:sz w:val="18"/>
        </w:rPr>
        <w:t>rio, </w:t>
      </w:r>
      <w:r>
        <w:rPr>
          <w:color w:val="231F20"/>
          <w:sz w:val="18"/>
        </w:rPr>
        <w:t>Petrópolis: Editora Vozes.</w:t>
      </w:r>
    </w:p>
    <w:p>
      <w:pPr>
        <w:spacing w:line="254" w:lineRule="auto" w:before="57"/>
        <w:ind w:left="113" w:right="0" w:firstLine="0"/>
        <w:jc w:val="left"/>
        <w:rPr>
          <w:sz w:val="18"/>
        </w:rPr>
      </w:pPr>
      <w:r>
        <w:rPr>
          <w:color w:val="231F20"/>
          <w:sz w:val="18"/>
        </w:rPr>
        <w:t>Castel, Robert (2005) </w:t>
      </w:r>
      <w:r>
        <w:rPr>
          <w:i/>
          <w:color w:val="231F20"/>
          <w:sz w:val="18"/>
        </w:rPr>
        <w:t>A insegurança social: o que é ser protegido?, </w:t>
      </w:r>
      <w:r>
        <w:rPr>
          <w:color w:val="231F20"/>
          <w:sz w:val="18"/>
        </w:rPr>
        <w:t>Porto Ale- gre: Editora Vozes.</w:t>
      </w:r>
    </w:p>
    <w:p>
      <w:pPr>
        <w:spacing w:line="254" w:lineRule="auto" w:before="57"/>
        <w:ind w:left="113" w:right="107" w:firstLine="0"/>
        <w:jc w:val="left"/>
        <w:rPr>
          <w:sz w:val="18"/>
        </w:rPr>
      </w:pPr>
      <w:r>
        <w:rPr>
          <w:color w:val="231F20"/>
          <w:sz w:val="18"/>
        </w:rPr>
        <w:t>Castells, Manuel (2000) “A era da informação: economia, sociedade e cultura”, en </w:t>
      </w:r>
      <w:r>
        <w:rPr>
          <w:i/>
          <w:color w:val="231F20"/>
          <w:sz w:val="18"/>
        </w:rPr>
        <w:t>A sociedade em rede, </w:t>
      </w:r>
      <w:r>
        <w:rPr>
          <w:color w:val="231F20"/>
          <w:sz w:val="18"/>
        </w:rPr>
        <w:t>vol. 1, São Paulo: Paz e Terra.</w:t>
      </w:r>
    </w:p>
    <w:p>
      <w:pPr>
        <w:spacing w:after="0" w:line="254" w:lineRule="auto"/>
        <w:jc w:val="left"/>
        <w:rPr>
          <w:sz w:val="18"/>
        </w:rPr>
        <w:sectPr>
          <w:footerReference w:type="default" r:id="rId39"/>
          <w:pgSz w:w="7770" w:h="11740"/>
          <w:pgMar w:footer="559" w:header="0" w:top="840" w:bottom="740" w:left="1020" w:right="740"/>
          <w:pgNumType w:start="55"/>
        </w:sectPr>
      </w:pPr>
    </w:p>
    <w:p>
      <w:pPr>
        <w:spacing w:line="254" w:lineRule="auto" w:before="57"/>
        <w:ind w:left="106" w:right="115" w:firstLine="0"/>
        <w:jc w:val="both"/>
        <w:rPr>
          <w:sz w:val="18"/>
        </w:rPr>
      </w:pPr>
      <w:r>
        <w:rPr>
          <w:color w:val="231F20"/>
          <w:sz w:val="18"/>
        </w:rPr>
        <w:t>Castells, Manuel (2003) </w:t>
      </w:r>
      <w:r>
        <w:rPr>
          <w:i/>
          <w:color w:val="231F20"/>
          <w:sz w:val="18"/>
        </w:rPr>
        <w:t>A galáxia da internet: reflexões sobre a internet, os ne- </w:t>
      </w:r>
      <w:r>
        <w:rPr>
          <w:i/>
          <w:color w:val="231F20"/>
          <w:sz w:val="18"/>
        </w:rPr>
        <w:t>gócios e a sociedade, </w:t>
      </w:r>
      <w:r>
        <w:rPr>
          <w:color w:val="231F20"/>
          <w:sz w:val="18"/>
        </w:rPr>
        <w:t>Río de Janeiro: Jorge Zahar.</w:t>
      </w:r>
    </w:p>
    <w:p>
      <w:pPr>
        <w:spacing w:line="254" w:lineRule="auto" w:before="57"/>
        <w:ind w:left="106" w:right="115" w:firstLine="0"/>
        <w:jc w:val="both"/>
        <w:rPr>
          <w:sz w:val="18"/>
        </w:rPr>
      </w:pPr>
      <w:r>
        <w:rPr>
          <w:color w:val="231F20"/>
          <w:sz w:val="18"/>
        </w:rPr>
        <w:t>Castells, Manuel (2008) “Pensando la heterogeneidad del trabajo en la sociedad de la información: el caso de las empresas de </w:t>
      </w:r>
      <w:r>
        <w:rPr>
          <w:i/>
          <w:color w:val="231F20"/>
          <w:sz w:val="18"/>
        </w:rPr>
        <w:t>call center</w:t>
      </w:r>
      <w:r>
        <w:rPr>
          <w:color w:val="231F20"/>
          <w:sz w:val="18"/>
        </w:rPr>
        <w:t>”, en </w:t>
      </w:r>
      <w:r>
        <w:rPr>
          <w:i/>
          <w:color w:val="231F20"/>
          <w:sz w:val="18"/>
        </w:rPr>
        <w:t>Anais del VI Con- </w:t>
      </w:r>
      <w:r>
        <w:rPr>
          <w:i/>
          <w:color w:val="231F20"/>
          <w:sz w:val="18"/>
        </w:rPr>
        <w:t>greso Regional de Las Américas - IIRA</w:t>
      </w:r>
      <w:r>
        <w:rPr>
          <w:color w:val="231F20"/>
          <w:sz w:val="18"/>
        </w:rPr>
        <w:t>, Buenos Aires.</w:t>
      </w:r>
    </w:p>
    <w:p>
      <w:pPr>
        <w:spacing w:line="254" w:lineRule="auto" w:before="57"/>
        <w:ind w:left="106" w:right="115" w:firstLine="0"/>
        <w:jc w:val="both"/>
        <w:rPr>
          <w:sz w:val="18"/>
        </w:rPr>
      </w:pPr>
      <w:r>
        <w:rPr>
          <w:color w:val="231F20"/>
          <w:sz w:val="18"/>
        </w:rPr>
        <w:t>Castells, Manuel y Pekka Himanen (2002) </w:t>
      </w:r>
      <w:r>
        <w:rPr>
          <w:i/>
          <w:color w:val="231F20"/>
          <w:sz w:val="18"/>
        </w:rPr>
        <w:t>La sociedad de la información y el </w:t>
      </w:r>
      <w:r>
        <w:rPr>
          <w:i/>
          <w:color w:val="231F20"/>
          <w:sz w:val="18"/>
        </w:rPr>
        <w:t>Estado del bienestar: el modelo finlandés, </w:t>
      </w:r>
      <w:r>
        <w:rPr>
          <w:color w:val="231F20"/>
          <w:sz w:val="18"/>
        </w:rPr>
        <w:t>Madrid: Alianza Editorial.</w:t>
      </w:r>
    </w:p>
    <w:p>
      <w:pPr>
        <w:spacing w:line="254" w:lineRule="auto" w:before="57"/>
        <w:ind w:left="106" w:right="115" w:firstLine="0"/>
        <w:jc w:val="both"/>
        <w:rPr>
          <w:sz w:val="18"/>
        </w:rPr>
      </w:pPr>
      <w:r>
        <w:rPr>
          <w:color w:val="231F20"/>
          <w:sz w:val="18"/>
        </w:rPr>
        <w:t>Guimarães, Nadya (2004) </w:t>
      </w:r>
      <w:r>
        <w:rPr>
          <w:i/>
          <w:color w:val="231F20"/>
          <w:sz w:val="18"/>
        </w:rPr>
        <w:t>Caminhos cruzados: estratégias de empresas e traje- </w:t>
      </w:r>
      <w:r>
        <w:rPr>
          <w:i/>
          <w:color w:val="231F20"/>
          <w:sz w:val="18"/>
        </w:rPr>
        <w:t>tórias de trabalhadores</w:t>
      </w:r>
      <w:r>
        <w:rPr>
          <w:color w:val="231F20"/>
          <w:sz w:val="18"/>
        </w:rPr>
        <w:t>, São Paulo: Editora 34.</w:t>
      </w:r>
    </w:p>
    <w:p>
      <w:pPr>
        <w:spacing w:line="254" w:lineRule="auto" w:before="57"/>
        <w:ind w:left="106" w:right="115" w:firstLine="0"/>
        <w:jc w:val="both"/>
        <w:rPr>
          <w:sz w:val="18"/>
        </w:rPr>
      </w:pPr>
      <w:r>
        <w:rPr>
          <w:color w:val="231F20"/>
          <w:sz w:val="18"/>
        </w:rPr>
        <w:t>Silva, Luís Fernando Santos Corrêa (2006) </w:t>
      </w:r>
      <w:r>
        <w:rPr>
          <w:i/>
          <w:color w:val="231F20"/>
          <w:sz w:val="18"/>
        </w:rPr>
        <w:t>Relações de trabalho em Call Cen- </w:t>
      </w:r>
      <w:r>
        <w:rPr>
          <w:i/>
          <w:color w:val="231F20"/>
          <w:sz w:val="18"/>
        </w:rPr>
        <w:t>ters:</w:t>
      </w:r>
      <w:r>
        <w:rPr>
          <w:i/>
          <w:color w:val="231F20"/>
          <w:spacing w:val="-11"/>
          <w:sz w:val="18"/>
        </w:rPr>
        <w:t> </w:t>
      </w:r>
      <w:r>
        <w:rPr>
          <w:i/>
          <w:color w:val="231F20"/>
          <w:sz w:val="18"/>
        </w:rPr>
        <w:t>flexibilidade</w:t>
      </w:r>
      <w:r>
        <w:rPr>
          <w:i/>
          <w:color w:val="231F20"/>
          <w:spacing w:val="-12"/>
          <w:sz w:val="18"/>
        </w:rPr>
        <w:t> </w:t>
      </w:r>
      <w:r>
        <w:rPr>
          <w:i/>
          <w:color w:val="231F20"/>
          <w:sz w:val="18"/>
        </w:rPr>
        <w:t>laboral</w:t>
      </w:r>
      <w:r>
        <w:rPr>
          <w:i/>
          <w:color w:val="231F20"/>
          <w:spacing w:val="-11"/>
          <w:sz w:val="18"/>
        </w:rPr>
        <w:t> </w:t>
      </w:r>
      <w:r>
        <w:rPr>
          <w:i/>
          <w:color w:val="231F20"/>
          <w:sz w:val="18"/>
        </w:rPr>
        <w:t>e</w:t>
      </w:r>
      <w:r>
        <w:rPr>
          <w:i/>
          <w:color w:val="231F20"/>
          <w:spacing w:val="-11"/>
          <w:sz w:val="18"/>
        </w:rPr>
        <w:t> </w:t>
      </w:r>
      <w:r>
        <w:rPr>
          <w:i/>
          <w:color w:val="231F20"/>
          <w:sz w:val="18"/>
        </w:rPr>
        <w:t>perfis</w:t>
      </w:r>
      <w:r>
        <w:rPr>
          <w:i/>
          <w:color w:val="231F20"/>
          <w:spacing w:val="-11"/>
          <w:sz w:val="18"/>
        </w:rPr>
        <w:t> </w:t>
      </w:r>
      <w:r>
        <w:rPr>
          <w:i/>
          <w:color w:val="231F20"/>
          <w:sz w:val="18"/>
        </w:rPr>
        <w:t>sócio-ocupacionais</w:t>
      </w:r>
      <w:r>
        <w:rPr>
          <w:i/>
          <w:color w:val="231F20"/>
          <w:spacing w:val="-12"/>
          <w:sz w:val="18"/>
        </w:rPr>
        <w:t> </w:t>
      </w:r>
      <w:r>
        <w:rPr>
          <w:i/>
          <w:color w:val="231F20"/>
          <w:sz w:val="18"/>
        </w:rPr>
        <w:t>em</w:t>
      </w:r>
      <w:r>
        <w:rPr>
          <w:i/>
          <w:color w:val="231F20"/>
          <w:spacing w:val="-11"/>
          <w:sz w:val="18"/>
        </w:rPr>
        <w:t> </w:t>
      </w:r>
      <w:r>
        <w:rPr>
          <w:i/>
          <w:color w:val="231F20"/>
          <w:sz w:val="18"/>
        </w:rPr>
        <w:t>novo</w:t>
      </w:r>
      <w:r>
        <w:rPr>
          <w:i/>
          <w:color w:val="231F20"/>
          <w:spacing w:val="-11"/>
          <w:sz w:val="18"/>
        </w:rPr>
        <w:t> </w:t>
      </w:r>
      <w:r>
        <w:rPr>
          <w:i/>
          <w:color w:val="231F20"/>
          <w:sz w:val="18"/>
        </w:rPr>
        <w:t>cenário</w:t>
      </w:r>
      <w:r>
        <w:rPr>
          <w:i/>
          <w:color w:val="231F20"/>
          <w:spacing w:val="-11"/>
          <w:sz w:val="18"/>
        </w:rPr>
        <w:t> </w:t>
      </w:r>
      <w:r>
        <w:rPr>
          <w:i/>
          <w:color w:val="231F20"/>
          <w:sz w:val="18"/>
        </w:rPr>
        <w:t>de</w:t>
      </w:r>
      <w:r>
        <w:rPr>
          <w:i/>
          <w:color w:val="231F20"/>
          <w:spacing w:val="-11"/>
          <w:sz w:val="18"/>
        </w:rPr>
        <w:t> </w:t>
      </w:r>
      <w:r>
        <w:rPr>
          <w:i/>
          <w:color w:val="231F20"/>
          <w:sz w:val="18"/>
        </w:rPr>
        <w:t>empre- go, </w:t>
      </w:r>
      <w:r>
        <w:rPr>
          <w:color w:val="231F20"/>
          <w:sz w:val="18"/>
        </w:rPr>
        <w:t>tesis de maestría en sociología, Programa de Posgrado en Sociología, Brasil: Universidad Federal de Río Grande del</w:t>
      </w:r>
      <w:r>
        <w:rPr>
          <w:color w:val="231F20"/>
          <w:spacing w:val="-18"/>
          <w:sz w:val="18"/>
        </w:rPr>
        <w:t> </w:t>
      </w:r>
      <w:r>
        <w:rPr>
          <w:color w:val="231F20"/>
          <w:spacing w:val="-4"/>
          <w:sz w:val="18"/>
        </w:rPr>
        <w:t>Sur.</w:t>
      </w:r>
    </w:p>
    <w:p>
      <w:pPr>
        <w:spacing w:line="254" w:lineRule="auto" w:before="57"/>
        <w:ind w:left="106" w:right="115" w:firstLine="0"/>
        <w:jc w:val="both"/>
        <w:rPr>
          <w:sz w:val="18"/>
        </w:rPr>
      </w:pPr>
      <w:r>
        <w:rPr>
          <w:color w:val="231F20"/>
          <w:sz w:val="18"/>
        </w:rPr>
        <w:t>Silva,</w:t>
      </w:r>
      <w:r>
        <w:rPr>
          <w:color w:val="231F20"/>
          <w:spacing w:val="-8"/>
          <w:sz w:val="18"/>
        </w:rPr>
        <w:t> </w:t>
      </w:r>
      <w:r>
        <w:rPr>
          <w:color w:val="231F20"/>
          <w:sz w:val="18"/>
        </w:rPr>
        <w:t>Paulo</w:t>
      </w:r>
      <w:r>
        <w:rPr>
          <w:color w:val="231F20"/>
          <w:spacing w:val="-8"/>
          <w:sz w:val="18"/>
        </w:rPr>
        <w:t> </w:t>
      </w:r>
      <w:r>
        <w:rPr>
          <w:color w:val="231F20"/>
          <w:sz w:val="18"/>
        </w:rPr>
        <w:t>(2003)</w:t>
      </w:r>
      <w:r>
        <w:rPr>
          <w:color w:val="231F20"/>
          <w:spacing w:val="-8"/>
          <w:sz w:val="18"/>
        </w:rPr>
        <w:t> </w:t>
      </w:r>
      <w:r>
        <w:rPr>
          <w:i/>
          <w:color w:val="231F20"/>
          <w:sz w:val="18"/>
        </w:rPr>
        <w:t>Trajetórias</w:t>
      </w:r>
      <w:r>
        <w:rPr>
          <w:i/>
          <w:color w:val="231F20"/>
          <w:spacing w:val="-7"/>
          <w:sz w:val="18"/>
        </w:rPr>
        <w:t> </w:t>
      </w:r>
      <w:r>
        <w:rPr>
          <w:i/>
          <w:color w:val="231F20"/>
          <w:sz w:val="18"/>
        </w:rPr>
        <w:t>ocupacionais</w:t>
      </w:r>
      <w:r>
        <w:rPr>
          <w:i/>
          <w:color w:val="231F20"/>
          <w:spacing w:val="-8"/>
          <w:sz w:val="18"/>
        </w:rPr>
        <w:t> </w:t>
      </w:r>
      <w:r>
        <w:rPr>
          <w:i/>
          <w:color w:val="231F20"/>
          <w:sz w:val="18"/>
        </w:rPr>
        <w:t>de</w:t>
      </w:r>
      <w:r>
        <w:rPr>
          <w:i/>
          <w:color w:val="231F20"/>
          <w:spacing w:val="-8"/>
          <w:sz w:val="18"/>
        </w:rPr>
        <w:t> </w:t>
      </w:r>
      <w:r>
        <w:rPr>
          <w:i/>
          <w:color w:val="231F20"/>
          <w:sz w:val="18"/>
        </w:rPr>
        <w:t>trabalhadores</w:t>
      </w:r>
      <w:r>
        <w:rPr>
          <w:i/>
          <w:color w:val="231F20"/>
          <w:spacing w:val="-8"/>
          <w:sz w:val="18"/>
        </w:rPr>
        <w:t> </w:t>
      </w:r>
      <w:r>
        <w:rPr>
          <w:i/>
          <w:color w:val="231F20"/>
          <w:sz w:val="18"/>
        </w:rPr>
        <w:t>desligados</w:t>
      </w:r>
      <w:r>
        <w:rPr>
          <w:i/>
          <w:color w:val="231F20"/>
          <w:spacing w:val="-8"/>
          <w:sz w:val="18"/>
        </w:rPr>
        <w:t> </w:t>
      </w:r>
      <w:r>
        <w:rPr>
          <w:i/>
          <w:color w:val="231F20"/>
          <w:sz w:val="18"/>
        </w:rPr>
        <w:t>do</w:t>
      </w:r>
      <w:r>
        <w:rPr>
          <w:i/>
          <w:color w:val="231F20"/>
          <w:spacing w:val="-8"/>
          <w:sz w:val="18"/>
        </w:rPr>
        <w:t> </w:t>
      </w:r>
      <w:r>
        <w:rPr>
          <w:i/>
          <w:color w:val="231F20"/>
          <w:sz w:val="18"/>
        </w:rPr>
        <w:t>se- </w:t>
      </w:r>
      <w:r>
        <w:rPr>
          <w:i/>
          <w:color w:val="231F20"/>
          <w:sz w:val="18"/>
        </w:rPr>
        <w:t>tor de telecomunicações</w:t>
      </w:r>
      <w:r>
        <w:rPr>
          <w:color w:val="231F20"/>
          <w:sz w:val="18"/>
        </w:rPr>
        <w:t>, tesis de maestría en sociología, Programa de Posgrado en Sociología, Brasil: Universidad Federal de Río Grande del</w:t>
      </w:r>
      <w:r>
        <w:rPr>
          <w:color w:val="231F20"/>
          <w:spacing w:val="-29"/>
          <w:sz w:val="18"/>
        </w:rPr>
        <w:t> </w:t>
      </w:r>
      <w:r>
        <w:rPr>
          <w:color w:val="231F20"/>
          <w:spacing w:val="-4"/>
          <w:sz w:val="18"/>
        </w:rPr>
        <w:t>Sur.</w:t>
      </w:r>
    </w:p>
    <w:p>
      <w:pPr>
        <w:spacing w:line="254" w:lineRule="auto" w:before="57"/>
        <w:ind w:left="106" w:right="115" w:firstLine="0"/>
        <w:jc w:val="both"/>
        <w:rPr>
          <w:sz w:val="18"/>
        </w:rPr>
      </w:pPr>
      <w:r>
        <w:rPr>
          <w:color w:val="231F20"/>
          <w:sz w:val="18"/>
        </w:rPr>
        <w:t>Valenduc, Gérard; Patricia Vendramin, Marcello Pedaci, Mariângela Piersanti (2008) “Changing careers and trajectories: how individuals cope with organi- zational change and restructuring”, en </w:t>
      </w:r>
      <w:r>
        <w:rPr>
          <w:i/>
          <w:color w:val="231F20"/>
          <w:sz w:val="18"/>
        </w:rPr>
        <w:t>Work organization and restructuring in </w:t>
      </w:r>
      <w:r>
        <w:rPr>
          <w:i/>
          <w:color w:val="231F20"/>
          <w:sz w:val="18"/>
        </w:rPr>
        <w:t>the knowledge society–WORKS project, </w:t>
      </w:r>
      <w:r>
        <w:rPr>
          <w:color w:val="231F20"/>
          <w:sz w:val="18"/>
        </w:rPr>
        <w:t>disponible en </w:t>
      </w:r>
      <w:hyperlink r:id="rId40">
        <w:r>
          <w:rPr>
            <w:color w:val="231F20"/>
            <w:sz w:val="18"/>
          </w:rPr>
          <w:t>www.worksproject.com.</w:t>
        </w:r>
      </w:hyperlink>
      <w:r>
        <w:rPr>
          <w:color w:val="231F20"/>
          <w:sz w:val="18"/>
        </w:rPr>
        <w:t> be. Consultado el 28 de septiembre de 2008</w:t>
      </w:r>
      <w:r>
        <w:rPr>
          <w:color w:val="000080"/>
          <w:sz w:val="18"/>
        </w:rPr>
        <w:t>.</w:t>
      </w:r>
    </w:p>
    <w:p>
      <w:pPr>
        <w:spacing w:after="0" w:line="254" w:lineRule="auto"/>
        <w:jc w:val="both"/>
        <w:rPr>
          <w:sz w:val="18"/>
        </w:rPr>
        <w:sectPr>
          <w:pgSz w:w="7770" w:h="11740"/>
          <w:pgMar w:header="0" w:footer="559" w:top="840" w:bottom="740" w:left="740" w:right="1020"/>
        </w:sectPr>
      </w:pPr>
    </w:p>
    <w:p>
      <w:pPr>
        <w:pStyle w:val="Heading2"/>
        <w:ind w:left="1570" w:right="94" w:hanging="532"/>
        <w:jc w:val="left"/>
      </w:pPr>
      <w:r>
        <w:rPr>
          <w:w w:val="75"/>
        </w:rPr>
        <w:t>La deslocalización del trabajo y la migración </w:t>
      </w:r>
      <w:r>
        <w:rPr>
          <w:w w:val="80"/>
        </w:rPr>
        <w:t>hacia</w:t>
      </w:r>
      <w:r>
        <w:rPr>
          <w:spacing w:val="-50"/>
          <w:w w:val="80"/>
        </w:rPr>
        <w:t> </w:t>
      </w:r>
      <w:r>
        <w:rPr>
          <w:w w:val="80"/>
        </w:rPr>
        <w:t>Estados</w:t>
      </w:r>
      <w:r>
        <w:rPr>
          <w:spacing w:val="-50"/>
          <w:w w:val="80"/>
        </w:rPr>
        <w:t> </w:t>
      </w:r>
      <w:r>
        <w:rPr>
          <w:w w:val="80"/>
        </w:rPr>
        <w:t>Unidos.</w:t>
      </w:r>
      <w:r>
        <w:rPr>
          <w:spacing w:val="-50"/>
          <w:w w:val="80"/>
        </w:rPr>
        <w:t> </w:t>
      </w:r>
      <w:r>
        <w:rPr>
          <w:w w:val="80"/>
        </w:rPr>
        <w:t>La</w:t>
      </w:r>
      <w:r>
        <w:rPr>
          <w:spacing w:val="-50"/>
          <w:w w:val="80"/>
        </w:rPr>
        <w:t> </w:t>
      </w:r>
      <w:r>
        <w:rPr>
          <w:w w:val="80"/>
        </w:rPr>
        <w:t>paradoja</w:t>
      </w:r>
      <w:r>
        <w:rPr>
          <w:spacing w:val="-50"/>
          <w:w w:val="80"/>
        </w:rPr>
        <w:t> </w:t>
      </w:r>
      <w:r>
        <w:rPr>
          <w:w w:val="80"/>
        </w:rPr>
        <w:t>de</w:t>
      </w:r>
      <w:r>
        <w:rPr>
          <w:spacing w:val="-50"/>
          <w:w w:val="80"/>
        </w:rPr>
        <w:t> </w:t>
      </w:r>
      <w:r>
        <w:rPr>
          <w:w w:val="80"/>
        </w:rPr>
        <w:t>la</w:t>
      </w:r>
    </w:p>
    <w:p>
      <w:pPr>
        <w:spacing w:line="366" w:lineRule="exact" w:before="0"/>
        <w:ind w:left="2979" w:right="0" w:firstLine="0"/>
        <w:jc w:val="left"/>
        <w:rPr>
          <w:sz w:val="36"/>
        </w:rPr>
      </w:pPr>
      <w:r>
        <w:rPr>
          <w:w w:val="75"/>
          <w:sz w:val="36"/>
        </w:rPr>
        <w:t>“migración de los puestos”</w:t>
      </w:r>
    </w:p>
    <w:p>
      <w:pPr>
        <w:pStyle w:val="BodyText"/>
      </w:pPr>
    </w:p>
    <w:p>
      <w:pPr>
        <w:pStyle w:val="BodyText"/>
        <w:spacing w:before="11"/>
        <w:rPr>
          <w:sz w:val="19"/>
        </w:rPr>
      </w:pPr>
    </w:p>
    <w:p>
      <w:pPr>
        <w:pStyle w:val="Heading3"/>
        <w:spacing w:before="66"/>
        <w:ind w:left="3004"/>
        <w:rPr>
          <w:sz w:val="15"/>
        </w:rPr>
      </w:pPr>
      <w:r>
        <w:rPr/>
        <w:t>Dídimo Castillo Fernández</w:t>
      </w:r>
      <w:r>
        <w:rPr>
          <w:position w:val="9"/>
          <w:sz w:val="15"/>
        </w:rPr>
        <w:t>*</w:t>
      </w:r>
    </w:p>
    <w:p>
      <w:pPr>
        <w:pStyle w:val="BodyText"/>
      </w:pPr>
    </w:p>
    <w:p>
      <w:pPr>
        <w:pStyle w:val="BodyText"/>
      </w:pPr>
    </w:p>
    <w:p>
      <w:pPr>
        <w:pStyle w:val="BodyText"/>
      </w:pPr>
    </w:p>
    <w:p>
      <w:pPr>
        <w:pStyle w:val="BodyText"/>
        <w:spacing w:before="5"/>
      </w:pPr>
    </w:p>
    <w:p>
      <w:pPr>
        <w:pStyle w:val="Heading4"/>
        <w:spacing w:before="0"/>
      </w:pPr>
      <w:r>
        <w:rPr>
          <w:w w:val="85"/>
        </w:rPr>
        <w:t>Introducción</w:t>
      </w:r>
    </w:p>
    <w:p>
      <w:pPr>
        <w:pStyle w:val="BodyText"/>
        <w:rPr>
          <w:b/>
          <w:sz w:val="24"/>
        </w:rPr>
      </w:pPr>
    </w:p>
    <w:p>
      <w:pPr>
        <w:pStyle w:val="BodyText"/>
        <w:rPr>
          <w:b/>
          <w:sz w:val="25"/>
        </w:rPr>
      </w:pPr>
    </w:p>
    <w:p>
      <w:pPr>
        <w:pStyle w:val="BodyText"/>
        <w:spacing w:line="249" w:lineRule="auto"/>
        <w:ind w:left="113" w:right="108"/>
        <w:jc w:val="both"/>
      </w:pPr>
      <w:r>
        <w:rPr/>
        <w:t>La década de 1980 marcó un punto de inflexión en el escenario migra- torio de América Latina y el Caribe. La emigración hacia los países de- sarrollados, en particular hacia Estados Unidos, se convirtió a partir de entonces en el fenómeno social de mayor relevancia para algunos países latinoamericanos.</w:t>
      </w:r>
      <w:r>
        <w:rPr>
          <w:spacing w:val="-20"/>
        </w:rPr>
        <w:t> </w:t>
      </w:r>
      <w:r>
        <w:rPr/>
        <w:t>Algunos</w:t>
      </w:r>
      <w:r>
        <w:rPr>
          <w:spacing w:val="-10"/>
        </w:rPr>
        <w:t> </w:t>
      </w:r>
      <w:r>
        <w:rPr/>
        <w:t>países,</w:t>
      </w:r>
      <w:r>
        <w:rPr>
          <w:spacing w:val="-10"/>
        </w:rPr>
        <w:t> </w:t>
      </w:r>
      <w:r>
        <w:rPr/>
        <w:t>que</w:t>
      </w:r>
      <w:r>
        <w:rPr>
          <w:spacing w:val="-10"/>
        </w:rPr>
        <w:t> </w:t>
      </w:r>
      <w:r>
        <w:rPr/>
        <w:t>hasta</w:t>
      </w:r>
      <w:r>
        <w:rPr>
          <w:spacing w:val="-10"/>
        </w:rPr>
        <w:t> </w:t>
      </w:r>
      <w:r>
        <w:rPr/>
        <w:t>entonces</w:t>
      </w:r>
      <w:r>
        <w:rPr>
          <w:spacing w:val="-10"/>
        </w:rPr>
        <w:t> </w:t>
      </w:r>
      <w:r>
        <w:rPr/>
        <w:t>figuraban</w:t>
      </w:r>
      <w:r>
        <w:rPr>
          <w:spacing w:val="-10"/>
        </w:rPr>
        <w:t> </w:t>
      </w:r>
      <w:r>
        <w:rPr/>
        <w:t>como</w:t>
      </w:r>
      <w:r>
        <w:rPr>
          <w:spacing w:val="-10"/>
        </w:rPr>
        <w:t> </w:t>
      </w:r>
      <w:r>
        <w:rPr/>
        <w:t>lu- gares de destino, experimentaron marcados descensos de la</w:t>
      </w:r>
      <w:r>
        <w:rPr>
          <w:spacing w:val="-33"/>
        </w:rPr>
        <w:t> </w:t>
      </w:r>
      <w:r>
        <w:rPr/>
        <w:t>inmigración. A la larga historia de emigraciones mexicanas y caribeñas —particular- mente cubana y puertorriqueña— hacia Estados Unidos, se suman la centroamericana</w:t>
      </w:r>
      <w:r>
        <w:rPr>
          <w:spacing w:val="-9"/>
        </w:rPr>
        <w:t> </w:t>
      </w:r>
      <w:r>
        <w:rPr/>
        <w:t>y</w:t>
      </w:r>
      <w:r>
        <w:rPr>
          <w:spacing w:val="-8"/>
        </w:rPr>
        <w:t> </w:t>
      </w:r>
      <w:r>
        <w:rPr/>
        <w:t>sudamericana.</w:t>
      </w:r>
      <w:r>
        <w:rPr>
          <w:spacing w:val="-7"/>
        </w:rPr>
        <w:t> </w:t>
      </w:r>
      <w:r>
        <w:rPr/>
        <w:t>Con</w:t>
      </w:r>
      <w:r>
        <w:rPr>
          <w:spacing w:val="-8"/>
        </w:rPr>
        <w:t> </w:t>
      </w:r>
      <w:r>
        <w:rPr/>
        <w:t>la</w:t>
      </w:r>
      <w:r>
        <w:rPr>
          <w:spacing w:val="-8"/>
        </w:rPr>
        <w:t> </w:t>
      </w:r>
      <w:r>
        <w:rPr/>
        <w:t>crisis,</w:t>
      </w:r>
      <w:r>
        <w:rPr>
          <w:spacing w:val="-8"/>
        </w:rPr>
        <w:t> </w:t>
      </w:r>
      <w:r>
        <w:rPr/>
        <w:t>a</w:t>
      </w:r>
      <w:r>
        <w:rPr>
          <w:spacing w:val="-8"/>
        </w:rPr>
        <w:t> </w:t>
      </w:r>
      <w:r>
        <w:rPr/>
        <w:t>comienzos</w:t>
      </w:r>
      <w:r>
        <w:rPr>
          <w:spacing w:val="-8"/>
        </w:rPr>
        <w:t> </w:t>
      </w:r>
      <w:r>
        <w:rPr/>
        <w:t>del</w:t>
      </w:r>
      <w:r>
        <w:rPr>
          <w:spacing w:val="-8"/>
        </w:rPr>
        <w:t> </w:t>
      </w:r>
      <w:r>
        <w:rPr/>
        <w:t>decenio, y los posteriores procesos de ajuste y reestructuración económica, los flujos migratorios no sólo se intensificaron, sino que adquirieron</w:t>
      </w:r>
      <w:r>
        <w:rPr>
          <w:spacing w:val="-14"/>
        </w:rPr>
        <w:t> </w:t>
      </w:r>
      <w:r>
        <w:rPr/>
        <w:t>nuevos rasgos, en cuanto a la procedencia esencialmente urbana, la ampliación de las regiones de origen y las características sociodemográficas de los migrantes.</w:t>
      </w:r>
    </w:p>
    <w:p>
      <w:pPr>
        <w:pStyle w:val="BodyText"/>
        <w:spacing w:line="249" w:lineRule="auto" w:before="1"/>
        <w:ind w:left="113" w:right="108" w:firstLine="283"/>
        <w:jc w:val="both"/>
      </w:pPr>
      <w:r>
        <w:rPr/>
        <w:t>La inserción laboral de los migrantes latinos en Estados Unidos</w:t>
      </w:r>
      <w:r>
        <w:rPr>
          <w:spacing w:val="-24"/>
        </w:rPr>
        <w:t> </w:t>
      </w:r>
      <w:r>
        <w:rPr/>
        <w:t>debe analizarse en el contexto general del modelo neoliberal —adoptado des- de mediados de la década de 1970—, del proceso de reestructuración productiva consiguiente y el impacto de la crisis económica de 2008,  así como de las nuevas pautas de explotación y precarización de los tra- bajadores nativos e inmigrantes latinos. La reestructuración productiva gestada durante las tres últimas décadas conllevó un intenso proceso de desindustrialización —y consiguiente terciarización—, además de la flexibilización del mercado de trabajo —que afecta principalmente a </w:t>
      </w:r>
      <w:r>
        <w:rPr>
          <w:spacing w:val="47"/>
        </w:rPr>
        <w:t> </w:t>
      </w:r>
      <w:r>
        <w:rPr/>
        <w:t>la</w:t>
      </w:r>
    </w:p>
    <w:p>
      <w:pPr>
        <w:pStyle w:val="BodyText"/>
        <w:spacing w:before="2"/>
        <w:rPr>
          <w:sz w:val="24"/>
        </w:rPr>
      </w:pPr>
    </w:p>
    <w:p>
      <w:pPr>
        <w:spacing w:before="0"/>
        <w:ind w:left="113" w:right="0" w:firstLine="0"/>
        <w:jc w:val="both"/>
        <w:rPr>
          <w:sz w:val="14"/>
        </w:rPr>
      </w:pPr>
      <w:r>
        <w:rPr>
          <w:color w:val="231F20"/>
          <w:sz w:val="14"/>
        </w:rPr>
        <w:t>* Profesor-investigador de la Universidad Autónoma del Estado de México.</w:t>
      </w:r>
    </w:p>
    <w:p>
      <w:pPr>
        <w:spacing w:after="0"/>
        <w:jc w:val="both"/>
        <w:rPr>
          <w:sz w:val="14"/>
        </w:rPr>
        <w:sectPr>
          <w:footerReference w:type="default" r:id="rId41"/>
          <w:pgSz w:w="7770" w:h="11740"/>
          <w:pgMar w:footer="559" w:header="0" w:top="820" w:bottom="740" w:left="1020" w:right="740"/>
          <w:pgNumType w:start="57"/>
        </w:sectPr>
      </w:pPr>
    </w:p>
    <w:p>
      <w:pPr>
        <w:pStyle w:val="BodyText"/>
        <w:spacing w:line="249" w:lineRule="auto" w:before="56"/>
        <w:ind w:left="110" w:right="111"/>
        <w:jc w:val="both"/>
      </w:pPr>
      <w:r>
        <w:rPr/>
        <w:t>fuerza de trabajo inmigrante, legal e indocumentada, demográfica y so- cialmente</w:t>
      </w:r>
      <w:r>
        <w:rPr>
          <w:spacing w:val="-6"/>
        </w:rPr>
        <w:t> </w:t>
      </w:r>
      <w:r>
        <w:rPr/>
        <w:t>más</w:t>
      </w:r>
      <w:r>
        <w:rPr>
          <w:spacing w:val="-5"/>
        </w:rPr>
        <w:t> </w:t>
      </w:r>
      <w:r>
        <w:rPr/>
        <w:t>vulnerable—</w:t>
      </w:r>
      <w:r>
        <w:rPr>
          <w:spacing w:val="-5"/>
        </w:rPr>
        <w:t> </w:t>
      </w:r>
      <w:r>
        <w:rPr/>
        <w:t>y</w:t>
      </w:r>
      <w:r>
        <w:rPr>
          <w:spacing w:val="-5"/>
        </w:rPr>
        <w:t> </w:t>
      </w:r>
      <w:r>
        <w:rPr/>
        <w:t>el</w:t>
      </w:r>
      <w:r>
        <w:rPr>
          <w:spacing w:val="-5"/>
        </w:rPr>
        <w:t> </w:t>
      </w:r>
      <w:r>
        <w:rPr/>
        <w:t>incremento</w:t>
      </w:r>
      <w:r>
        <w:rPr>
          <w:spacing w:val="-6"/>
        </w:rPr>
        <w:t> </w:t>
      </w:r>
      <w:r>
        <w:rPr/>
        <w:t>del</w:t>
      </w:r>
      <w:r>
        <w:rPr>
          <w:spacing w:val="-5"/>
        </w:rPr>
        <w:t> </w:t>
      </w:r>
      <w:r>
        <w:rPr/>
        <w:t>trabajo</w:t>
      </w:r>
      <w:r>
        <w:rPr>
          <w:spacing w:val="-5"/>
        </w:rPr>
        <w:t> </w:t>
      </w:r>
      <w:r>
        <w:rPr/>
        <w:t>deslocalizado</w:t>
      </w:r>
      <w:r>
        <w:rPr>
          <w:spacing w:val="-5"/>
        </w:rPr>
        <w:t> </w:t>
      </w:r>
      <w:r>
        <w:rPr/>
        <w:t>de distintas modalidades. La crisis económica de Estados Unidos no sólo modificó el escenario para muchos potenciales migrantes con expectati- vas de migrar a ese país en búsqueda de empleo y mejores condiciones de vida (Canales, 2012). En particular, la pérdida de participación del empleo en el sector industrial, el incremento del desempleo y el trabajo informal y precario impactaron mucho más en la estructura de inserción laboral de los inmigrantes </w:t>
      </w:r>
      <w:r>
        <w:rPr>
          <w:spacing w:val="-7"/>
        </w:rPr>
        <w:t>y, </w:t>
      </w:r>
      <w:r>
        <w:rPr/>
        <w:t>entre ello, fue aún mayor entre los inmi- grantes latinos.</w:t>
      </w:r>
    </w:p>
    <w:p>
      <w:pPr>
        <w:pStyle w:val="BodyText"/>
        <w:spacing w:line="249" w:lineRule="auto" w:before="1"/>
        <w:ind w:left="110" w:right="110" w:firstLine="283"/>
        <w:jc w:val="both"/>
      </w:pPr>
      <w:r>
        <w:rPr/>
        <w:t>En el nuevo entorno de competencia, por un lado, los capitales se desplazan a otras regiones del país y a otros países con ventajas compa- rativas, creando nuevos polos de desarrollo internos y periféricos; por el otro, se incrementa la flexibilización del mercado laboral y se</w:t>
      </w:r>
      <w:r>
        <w:rPr>
          <w:spacing w:val="-13"/>
        </w:rPr>
        <w:t> </w:t>
      </w:r>
      <w:r>
        <w:rPr/>
        <w:t>modifican las formas o tipos de empleo asalariado, al sustituirse las contrataciones estables por las temporales y a tiempo parcial, generalmente con bajos salarios, en muchos casos no sindicalizado y desprovisto de seguridad social y prestaciones laborales. Al respecto, cabe destacar que el</w:t>
      </w:r>
      <w:r>
        <w:rPr>
          <w:spacing w:val="-28"/>
        </w:rPr>
        <w:t> </w:t>
      </w:r>
      <w:r>
        <w:rPr/>
        <w:t>modelo laboral estadounidense, comúnmente alabado por exhibir niveles relati- vamente bajos de desempleo, en los años recientes no sólo ha mostrado altas tasas en este rubro, sino también una amplia desregulación laboral, con alta desigualdad salarial, ligada a la heterogeneidad de la fuerza de trabajo. En este sentido, es de suponer que el nuevo mercado de trabajo demandará un cambio de perfil de los trabajadores, particularmente en cuanto</w:t>
      </w:r>
      <w:r>
        <w:rPr>
          <w:spacing w:val="-10"/>
        </w:rPr>
        <w:t> </w:t>
      </w:r>
      <w:r>
        <w:rPr/>
        <w:t>a</w:t>
      </w:r>
      <w:r>
        <w:rPr>
          <w:spacing w:val="-10"/>
        </w:rPr>
        <w:t> </w:t>
      </w:r>
      <w:r>
        <w:rPr/>
        <w:t>niveles</w:t>
      </w:r>
      <w:r>
        <w:rPr>
          <w:spacing w:val="-10"/>
        </w:rPr>
        <w:t> </w:t>
      </w:r>
      <w:r>
        <w:rPr/>
        <w:t>de</w:t>
      </w:r>
      <w:r>
        <w:rPr>
          <w:spacing w:val="-10"/>
        </w:rPr>
        <w:t> </w:t>
      </w:r>
      <w:r>
        <w:rPr/>
        <w:t>capital</w:t>
      </w:r>
      <w:r>
        <w:rPr>
          <w:spacing w:val="-10"/>
        </w:rPr>
        <w:t> </w:t>
      </w:r>
      <w:r>
        <w:rPr/>
        <w:t>humano</w:t>
      </w:r>
      <w:r>
        <w:rPr>
          <w:spacing w:val="-10"/>
        </w:rPr>
        <w:t> </w:t>
      </w:r>
      <w:r>
        <w:rPr/>
        <w:t>y</w:t>
      </w:r>
      <w:r>
        <w:rPr>
          <w:spacing w:val="-10"/>
        </w:rPr>
        <w:t> </w:t>
      </w:r>
      <w:r>
        <w:rPr/>
        <w:t>educación</w:t>
      </w:r>
      <w:r>
        <w:rPr>
          <w:spacing w:val="-10"/>
        </w:rPr>
        <w:t> </w:t>
      </w:r>
      <w:r>
        <w:rPr/>
        <w:t>formal,</w:t>
      </w:r>
      <w:r>
        <w:rPr>
          <w:spacing w:val="-10"/>
        </w:rPr>
        <w:t> </w:t>
      </w:r>
      <w:r>
        <w:rPr/>
        <w:t>lo</w:t>
      </w:r>
      <w:r>
        <w:rPr>
          <w:spacing w:val="-10"/>
        </w:rPr>
        <w:t> </w:t>
      </w:r>
      <w:r>
        <w:rPr/>
        <w:t>que</w:t>
      </w:r>
      <w:r>
        <w:rPr>
          <w:spacing w:val="-10"/>
        </w:rPr>
        <w:t> </w:t>
      </w:r>
      <w:r>
        <w:rPr/>
        <w:t>constituirá un elemento más restrictivo y selectivo que podría conllevar a reducir la migración tradicional de obreros y trabajadores no</w:t>
      </w:r>
      <w:r>
        <w:rPr>
          <w:spacing w:val="-11"/>
        </w:rPr>
        <w:t> </w:t>
      </w:r>
      <w:r>
        <w:rPr/>
        <w:t>calificados.</w:t>
      </w:r>
    </w:p>
    <w:p>
      <w:pPr>
        <w:pStyle w:val="BodyText"/>
        <w:spacing w:line="249" w:lineRule="auto" w:before="1"/>
        <w:ind w:left="110" w:right="111" w:firstLine="283"/>
        <w:jc w:val="both"/>
      </w:pPr>
      <w:r>
        <w:rPr/>
        <w:t>El presente artículo analiza —apoyado en datos empíricos— la pro- blemática de incorporación de los migrantes latinos en el mercado de trabajo de Estados Unidos, considerando el marco general del modelo neoliberal, la crisis económica actual y la reestructuración productiva consecuente —particularmente, la referida a los procesos de desindus- trialización y deslocalización de la producción—, así como la dinámica del mercado de trabajo y sus tendencias. La tesis central que se intenta sostener es que bajo las nuevas condiciones estructurales (y sus tenden- cias), los trabajadores inmigrantes enfrentan condiciones cada vez más desfavorables, en un mercado de trabajo tendencialmente más restrin- gido, competitivo e inestable. En términos estructurales, por un lado, la desindustrialización al desplazar a los inmigrantes del sector de ocupa- ción manufacturero tradicionalmente “cautivo” hacia otros sectores,   li-</w:t>
      </w:r>
    </w:p>
    <w:p>
      <w:pPr>
        <w:spacing w:after="0" w:line="249" w:lineRule="auto"/>
        <w:jc w:val="both"/>
        <w:sectPr>
          <w:pgSz w:w="7770" w:h="11740"/>
          <w:pgMar w:header="0" w:footer="559" w:top="840" w:bottom="740" w:left="740" w:right="1020"/>
        </w:sectPr>
      </w:pPr>
    </w:p>
    <w:p>
      <w:pPr>
        <w:pStyle w:val="BodyText"/>
        <w:spacing w:line="249" w:lineRule="auto" w:before="60"/>
        <w:ind w:left="46" w:right="108"/>
        <w:jc w:val="right"/>
      </w:pPr>
      <w:r>
        <w:rPr/>
        <w:t>mita los espacios de participación en el mercado laboral y los enfrenta a condiciones de mayor competitividad en otros subsectores y, por el otro, en la medida que avance el proceso de deslocalización de la producción hacia países con condiciones favorables y ventajas “competitivas” de bajo costo y relativa capacitación de la fuerza de trabajo, la lógica de la migración de los puestos podría sustituir a la migración de las personas. A partir de lo anterior, el artículo plantea algunos escenarios y re-</w:t>
      </w:r>
    </w:p>
    <w:p>
      <w:pPr>
        <w:pStyle w:val="BodyText"/>
        <w:spacing w:line="249" w:lineRule="auto" w:before="1"/>
        <w:ind w:left="113" w:right="107"/>
        <w:jc w:val="both"/>
      </w:pPr>
      <w:r>
        <w:rPr/>
        <w:t>tos sobre la reorientación de los flujos, el incremento de la migración interregional, así como la conformación de nuevos mercados laborales regionales en América Latina.</w:t>
      </w:r>
    </w:p>
    <w:p>
      <w:pPr>
        <w:pStyle w:val="Heading4"/>
      </w:pPr>
      <w:r>
        <w:rPr>
          <w:w w:val="80"/>
        </w:rPr>
        <w:t>La migración y el trabajo global</w:t>
      </w:r>
    </w:p>
    <w:p>
      <w:pPr>
        <w:pStyle w:val="BodyText"/>
        <w:spacing w:line="249" w:lineRule="auto" w:before="171"/>
        <w:ind w:left="113" w:right="107"/>
        <w:jc w:val="both"/>
      </w:pPr>
      <w:r>
        <w:rPr/>
        <w:t>La dinámica migratoria global responde, en lo fundamental, a la misma lógica que ha dado lugar a la “movilidad” y desplazamiento de capitales de los países centrales hacia los periféricos. La migración laboral actual enfrenta las contradicciones de la nueva división internacional del tra- bajo y de la dinámica recientemente gestada de los procesos de acumu- lación capitalista a escala mundial. Coincide con las transformaciones y estrategias capitalistas impulsadas en los países centrales, que dan lugar a la fragmentación de los procesos industriales y el traslado y deslocali- zación de parte de los procesos productivos a las periferias intensivas en mano</w:t>
      </w:r>
      <w:r>
        <w:rPr>
          <w:spacing w:val="-4"/>
        </w:rPr>
        <w:t> </w:t>
      </w:r>
      <w:r>
        <w:rPr/>
        <w:t>de</w:t>
      </w:r>
      <w:r>
        <w:rPr>
          <w:spacing w:val="-4"/>
        </w:rPr>
        <w:t> </w:t>
      </w:r>
      <w:r>
        <w:rPr/>
        <w:t>obra,</w:t>
      </w:r>
      <w:r>
        <w:rPr>
          <w:spacing w:val="-4"/>
        </w:rPr>
        <w:t> </w:t>
      </w:r>
      <w:r>
        <w:rPr/>
        <w:t>adecuadas</w:t>
      </w:r>
      <w:r>
        <w:rPr>
          <w:spacing w:val="-4"/>
        </w:rPr>
        <w:t> </w:t>
      </w:r>
      <w:r>
        <w:rPr/>
        <w:t>a</w:t>
      </w:r>
      <w:r>
        <w:rPr>
          <w:spacing w:val="-4"/>
        </w:rPr>
        <w:t> </w:t>
      </w:r>
      <w:r>
        <w:rPr/>
        <w:t>las</w:t>
      </w:r>
      <w:r>
        <w:rPr>
          <w:spacing w:val="-4"/>
        </w:rPr>
        <w:t> </w:t>
      </w:r>
      <w:r>
        <w:rPr/>
        <w:t>exigencias</w:t>
      </w:r>
      <w:r>
        <w:rPr>
          <w:spacing w:val="-4"/>
        </w:rPr>
        <w:t> </w:t>
      </w:r>
      <w:r>
        <w:rPr/>
        <w:t>de</w:t>
      </w:r>
      <w:r>
        <w:rPr>
          <w:spacing w:val="-4"/>
        </w:rPr>
        <w:t> </w:t>
      </w:r>
      <w:r>
        <w:rPr/>
        <w:t>calificación</w:t>
      </w:r>
      <w:r>
        <w:rPr>
          <w:spacing w:val="-4"/>
        </w:rPr>
        <w:t> </w:t>
      </w:r>
      <w:r>
        <w:rPr/>
        <w:t>y</w:t>
      </w:r>
      <w:r>
        <w:rPr>
          <w:spacing w:val="-4"/>
        </w:rPr>
        <w:t> </w:t>
      </w:r>
      <w:r>
        <w:rPr/>
        <w:t>bajos</w:t>
      </w:r>
      <w:r>
        <w:rPr>
          <w:spacing w:val="-4"/>
        </w:rPr>
        <w:t> </w:t>
      </w:r>
      <w:r>
        <w:rPr/>
        <w:t>salarios (Castillo y Martínez,</w:t>
      </w:r>
      <w:r>
        <w:rPr>
          <w:spacing w:val="-8"/>
        </w:rPr>
        <w:t> </w:t>
      </w:r>
      <w:r>
        <w:rPr/>
        <w:t>2010).</w:t>
      </w:r>
    </w:p>
    <w:p>
      <w:pPr>
        <w:pStyle w:val="BodyText"/>
        <w:spacing w:line="249" w:lineRule="auto" w:before="1"/>
        <w:ind w:left="113" w:right="108" w:firstLine="283"/>
        <w:jc w:val="both"/>
      </w:pPr>
      <w:r>
        <w:rPr/>
        <w:t>No obstante, en el contexto de la globalización el fenómeno migra- torio internacional está marcado por fuertes contradicciones: las mis- mas circunstancias que propician la liberalización, la circulación y los intercambios diversos de capitales, restringen la libre movilización de  la mano de obra entre países (Castillo y Martínez, 2010). El </w:t>
      </w:r>
      <w:r>
        <w:rPr>
          <w:spacing w:val="-3"/>
        </w:rPr>
        <w:t>neolibera- lismo promovió </w:t>
      </w:r>
      <w:r>
        <w:rPr/>
        <w:t>la </w:t>
      </w:r>
      <w:r>
        <w:rPr>
          <w:spacing w:val="-3"/>
        </w:rPr>
        <w:t>flexibilidad </w:t>
      </w:r>
      <w:r>
        <w:rPr/>
        <w:t>del </w:t>
      </w:r>
      <w:r>
        <w:rPr>
          <w:spacing w:val="-3"/>
        </w:rPr>
        <w:t>mercado </w:t>
      </w:r>
      <w:r>
        <w:rPr/>
        <w:t>de </w:t>
      </w:r>
      <w:r>
        <w:rPr>
          <w:spacing w:val="-3"/>
        </w:rPr>
        <w:t>trabajo, </w:t>
      </w:r>
      <w:r>
        <w:rPr/>
        <w:t>la </w:t>
      </w:r>
      <w:r>
        <w:rPr>
          <w:spacing w:val="-3"/>
        </w:rPr>
        <w:t>subutilización    </w:t>
      </w:r>
      <w:r>
        <w:rPr/>
        <w:t>y </w:t>
      </w:r>
      <w:r>
        <w:rPr>
          <w:spacing w:val="-3"/>
        </w:rPr>
        <w:t>libertad </w:t>
      </w:r>
      <w:r>
        <w:rPr/>
        <w:t>de </w:t>
      </w:r>
      <w:r>
        <w:rPr>
          <w:spacing w:val="-3"/>
        </w:rPr>
        <w:t>despido </w:t>
      </w:r>
      <w:r>
        <w:rPr/>
        <w:t>de los </w:t>
      </w:r>
      <w:r>
        <w:rPr>
          <w:spacing w:val="-3"/>
        </w:rPr>
        <w:t>trabajadores, pero, paradójicamente, impuso diversas trabas </w:t>
      </w:r>
      <w:r>
        <w:rPr/>
        <w:t>y </w:t>
      </w:r>
      <w:r>
        <w:rPr>
          <w:spacing w:val="-3"/>
        </w:rPr>
        <w:t>restricciones </w:t>
      </w:r>
      <w:r>
        <w:rPr/>
        <w:t>a la </w:t>
      </w:r>
      <w:r>
        <w:rPr>
          <w:spacing w:val="-3"/>
        </w:rPr>
        <w:t>libre movilidad </w:t>
      </w:r>
      <w:r>
        <w:rPr/>
        <w:t>de la </w:t>
      </w:r>
      <w:r>
        <w:rPr>
          <w:spacing w:val="-3"/>
        </w:rPr>
        <w:t>fuerza </w:t>
      </w:r>
      <w:r>
        <w:rPr/>
        <w:t>de </w:t>
      </w:r>
      <w:r>
        <w:rPr>
          <w:spacing w:val="-3"/>
        </w:rPr>
        <w:t>trabajo entre regiones </w:t>
      </w:r>
      <w:r>
        <w:rPr/>
        <w:t>y </w:t>
      </w:r>
      <w:r>
        <w:rPr>
          <w:spacing w:val="-3"/>
        </w:rPr>
        <w:t>países. Estos </w:t>
      </w:r>
      <w:r>
        <w:rPr/>
        <w:t>obstáculos suelen ir desde las</w:t>
      </w:r>
      <w:r>
        <w:rPr>
          <w:spacing w:val="-35"/>
        </w:rPr>
        <w:t> </w:t>
      </w:r>
      <w:r>
        <w:rPr/>
        <w:t>disposiciones legales restrictivas hasta la promoción de los sentimientos de racismo    y xenofobia por parte de la población de los países receptores, general- mente aduciendo amenazas de ser desplazados de los espacios laborales y afectar sus condiciones de vida (Castillo y Martínez,</w:t>
      </w:r>
      <w:r>
        <w:rPr>
          <w:spacing w:val="-12"/>
        </w:rPr>
        <w:t> </w:t>
      </w:r>
      <w:r>
        <w:rPr/>
        <w:t>2010).</w:t>
      </w:r>
    </w:p>
    <w:p>
      <w:pPr>
        <w:pStyle w:val="BodyText"/>
        <w:spacing w:line="249" w:lineRule="auto" w:before="1"/>
        <w:ind w:left="113" w:right="108" w:firstLine="283"/>
        <w:jc w:val="both"/>
      </w:pPr>
      <w:r>
        <w:rPr/>
        <w:t>El </w:t>
      </w:r>
      <w:r>
        <w:rPr>
          <w:spacing w:val="-3"/>
        </w:rPr>
        <w:t>neoliberalismo </w:t>
      </w:r>
      <w:r>
        <w:rPr/>
        <w:t>es el </w:t>
      </w:r>
      <w:r>
        <w:rPr>
          <w:spacing w:val="-3"/>
        </w:rPr>
        <w:t>resultado </w:t>
      </w:r>
      <w:r>
        <w:rPr/>
        <w:t>de la </w:t>
      </w:r>
      <w:r>
        <w:rPr>
          <w:spacing w:val="-3"/>
        </w:rPr>
        <w:t>crisis </w:t>
      </w:r>
      <w:r>
        <w:rPr/>
        <w:t>de </w:t>
      </w:r>
      <w:r>
        <w:rPr>
          <w:spacing w:val="-3"/>
        </w:rPr>
        <w:t>acumulación experi- mentada </w:t>
      </w:r>
      <w:r>
        <w:rPr/>
        <w:t>por los </w:t>
      </w:r>
      <w:r>
        <w:rPr>
          <w:spacing w:val="-3"/>
        </w:rPr>
        <w:t>países capitalistas avanzados </w:t>
      </w:r>
      <w:r>
        <w:rPr/>
        <w:t>a </w:t>
      </w:r>
      <w:r>
        <w:rPr>
          <w:spacing w:val="-3"/>
        </w:rPr>
        <w:t>mediados </w:t>
      </w:r>
      <w:r>
        <w:rPr/>
        <w:t>de la </w:t>
      </w:r>
      <w:r>
        <w:rPr>
          <w:spacing w:val="-3"/>
        </w:rPr>
        <w:t>década de 1970,</w:t>
      </w:r>
      <w:r>
        <w:rPr>
          <w:spacing w:val="-11"/>
        </w:rPr>
        <w:t> </w:t>
      </w:r>
      <w:r>
        <w:rPr/>
        <w:t>así</w:t>
      </w:r>
      <w:r>
        <w:rPr>
          <w:spacing w:val="-11"/>
        </w:rPr>
        <w:t> </w:t>
      </w:r>
      <w:r>
        <w:rPr>
          <w:spacing w:val="-3"/>
        </w:rPr>
        <w:t>como</w:t>
      </w:r>
      <w:r>
        <w:rPr>
          <w:spacing w:val="-11"/>
        </w:rPr>
        <w:t> </w:t>
      </w:r>
      <w:r>
        <w:rPr/>
        <w:t>de</w:t>
      </w:r>
      <w:r>
        <w:rPr>
          <w:spacing w:val="-11"/>
        </w:rPr>
        <w:t> </w:t>
      </w:r>
      <w:r>
        <w:rPr/>
        <w:t>la</w:t>
      </w:r>
      <w:r>
        <w:rPr>
          <w:spacing w:val="-11"/>
        </w:rPr>
        <w:t> </w:t>
      </w:r>
      <w:r>
        <w:rPr>
          <w:spacing w:val="-3"/>
        </w:rPr>
        <w:t>adopción</w:t>
      </w:r>
      <w:r>
        <w:rPr>
          <w:spacing w:val="-11"/>
        </w:rPr>
        <w:t> </w:t>
      </w:r>
      <w:r>
        <w:rPr/>
        <w:t>de</w:t>
      </w:r>
      <w:r>
        <w:rPr>
          <w:spacing w:val="-11"/>
        </w:rPr>
        <w:t> </w:t>
      </w:r>
      <w:r>
        <w:rPr>
          <w:spacing w:val="-3"/>
        </w:rPr>
        <w:t>estrategias</w:t>
      </w:r>
      <w:r>
        <w:rPr>
          <w:spacing w:val="-11"/>
        </w:rPr>
        <w:t> </w:t>
      </w:r>
      <w:r>
        <w:rPr>
          <w:spacing w:val="-3"/>
        </w:rPr>
        <w:t>globales</w:t>
      </w:r>
      <w:r>
        <w:rPr>
          <w:spacing w:val="-11"/>
        </w:rPr>
        <w:t> </w:t>
      </w:r>
      <w:r>
        <w:rPr/>
        <w:t>de</w:t>
      </w:r>
      <w:r>
        <w:rPr>
          <w:spacing w:val="-11"/>
        </w:rPr>
        <w:t> </w:t>
      </w:r>
      <w:r>
        <w:rPr>
          <w:spacing w:val="-3"/>
        </w:rPr>
        <w:t>competencia</w:t>
      </w:r>
      <w:r>
        <w:rPr>
          <w:spacing w:val="-11"/>
        </w:rPr>
        <w:t> </w:t>
      </w:r>
      <w:r>
        <w:rPr/>
        <w:t>y</w:t>
      </w:r>
      <w:r>
        <w:rPr>
          <w:spacing w:val="-11"/>
        </w:rPr>
        <w:t> </w:t>
      </w:r>
      <w:r>
        <w:rPr>
          <w:spacing w:val="-3"/>
        </w:rPr>
        <w:t>so- breexplotación </w:t>
      </w:r>
      <w:r>
        <w:rPr/>
        <w:t>del </w:t>
      </w:r>
      <w:r>
        <w:rPr>
          <w:spacing w:val="-3"/>
        </w:rPr>
        <w:t>trabajo, orientadas </w:t>
      </w:r>
      <w:r>
        <w:rPr/>
        <w:t>a la </w:t>
      </w:r>
      <w:r>
        <w:rPr>
          <w:spacing w:val="-3"/>
        </w:rPr>
        <w:t>recuperación </w:t>
      </w:r>
      <w:r>
        <w:rPr/>
        <w:t>de la </w:t>
      </w:r>
      <w:r>
        <w:rPr>
          <w:spacing w:val="-3"/>
        </w:rPr>
        <w:t>tasa </w:t>
      </w:r>
      <w:r>
        <w:rPr/>
        <w:t>de</w:t>
      </w:r>
      <w:r>
        <w:rPr>
          <w:spacing w:val="-32"/>
        </w:rPr>
        <w:t> </w:t>
      </w:r>
      <w:r>
        <w:rPr>
          <w:spacing w:val="-3"/>
        </w:rPr>
        <w:t>bene-</w:t>
      </w:r>
    </w:p>
    <w:p>
      <w:pPr>
        <w:spacing w:after="0" w:line="249" w:lineRule="auto"/>
        <w:jc w:val="both"/>
        <w:sectPr>
          <w:footerReference w:type="default" r:id="rId42"/>
          <w:pgSz w:w="7770" w:h="11740"/>
          <w:pgMar w:footer="559" w:header="0" w:top="840" w:bottom="740" w:left="1020" w:right="740"/>
          <w:pgNumType w:start="59"/>
        </w:sectPr>
      </w:pPr>
    </w:p>
    <w:p>
      <w:pPr>
        <w:pStyle w:val="BodyText"/>
        <w:spacing w:line="249" w:lineRule="auto" w:before="60"/>
        <w:ind w:left="110" w:right="110"/>
        <w:jc w:val="both"/>
      </w:pPr>
      <w:r>
        <w:rPr>
          <w:spacing w:val="-3"/>
        </w:rPr>
        <w:t>ficios capitalistas marcadamente decrecientes (Castillo, 2010). </w:t>
      </w:r>
      <w:r>
        <w:rPr/>
        <w:t>En </w:t>
      </w:r>
      <w:r>
        <w:rPr>
          <w:spacing w:val="-3"/>
        </w:rPr>
        <w:t>cuanto </w:t>
      </w:r>
      <w:r>
        <w:rPr/>
        <w:t>a la migración y a la dinámica de acumulación capitalista, el neoliberalis- mo opera en una doble lógica: por un lado, sobreexplotando el trabajo, con</w:t>
      </w:r>
      <w:r>
        <w:rPr>
          <w:spacing w:val="-4"/>
        </w:rPr>
        <w:t> </w:t>
      </w:r>
      <w:r>
        <w:rPr/>
        <w:t>el</w:t>
      </w:r>
      <w:r>
        <w:rPr>
          <w:spacing w:val="-4"/>
        </w:rPr>
        <w:t> </w:t>
      </w:r>
      <w:r>
        <w:rPr/>
        <w:t>consecuente</w:t>
      </w:r>
      <w:r>
        <w:rPr>
          <w:spacing w:val="-5"/>
        </w:rPr>
        <w:t> </w:t>
      </w:r>
      <w:r>
        <w:rPr/>
        <w:t>efecto</w:t>
      </w:r>
      <w:r>
        <w:rPr>
          <w:spacing w:val="-5"/>
        </w:rPr>
        <w:t> </w:t>
      </w:r>
      <w:r>
        <w:rPr/>
        <w:t>sobre</w:t>
      </w:r>
      <w:r>
        <w:rPr>
          <w:spacing w:val="-4"/>
        </w:rPr>
        <w:t> </w:t>
      </w:r>
      <w:r>
        <w:rPr/>
        <w:t>el</w:t>
      </w:r>
      <w:r>
        <w:rPr>
          <w:spacing w:val="-4"/>
        </w:rPr>
        <w:t> </w:t>
      </w:r>
      <w:r>
        <w:rPr/>
        <w:t>deterioro</w:t>
      </w:r>
      <w:r>
        <w:rPr>
          <w:spacing w:val="-4"/>
        </w:rPr>
        <w:t> </w:t>
      </w:r>
      <w:r>
        <w:rPr/>
        <w:t>del</w:t>
      </w:r>
      <w:r>
        <w:rPr>
          <w:spacing w:val="-4"/>
        </w:rPr>
        <w:t> </w:t>
      </w:r>
      <w:r>
        <w:rPr/>
        <w:t>empleo</w:t>
      </w:r>
      <w:r>
        <w:rPr>
          <w:spacing w:val="-5"/>
        </w:rPr>
        <w:t> </w:t>
      </w:r>
      <w:r>
        <w:rPr/>
        <w:t>de</w:t>
      </w:r>
      <w:r>
        <w:rPr>
          <w:spacing w:val="-4"/>
        </w:rPr>
        <w:t> </w:t>
      </w:r>
      <w:r>
        <w:rPr/>
        <w:t>los</w:t>
      </w:r>
      <w:r>
        <w:rPr>
          <w:spacing w:val="-4"/>
        </w:rPr>
        <w:t> </w:t>
      </w:r>
      <w:r>
        <w:rPr/>
        <w:t>trabajado- res más vulnerables y menos calificados en los países de destino </w:t>
      </w:r>
      <w:r>
        <w:rPr>
          <w:spacing w:val="-7"/>
        </w:rPr>
        <w:t>y, </w:t>
      </w:r>
      <w:r>
        <w:rPr/>
        <w:t>por el otro, deslocalizando o trasladando parte de los procesos productivos a las</w:t>
      </w:r>
      <w:r>
        <w:rPr>
          <w:spacing w:val="-7"/>
        </w:rPr>
        <w:t> </w:t>
      </w:r>
      <w:r>
        <w:rPr/>
        <w:t>regiones</w:t>
      </w:r>
      <w:r>
        <w:rPr>
          <w:spacing w:val="-7"/>
        </w:rPr>
        <w:t> </w:t>
      </w:r>
      <w:r>
        <w:rPr/>
        <w:t>y</w:t>
      </w:r>
      <w:r>
        <w:rPr>
          <w:spacing w:val="-7"/>
        </w:rPr>
        <w:t> </w:t>
      </w:r>
      <w:r>
        <w:rPr/>
        <w:t>países</w:t>
      </w:r>
      <w:r>
        <w:rPr>
          <w:spacing w:val="-7"/>
        </w:rPr>
        <w:t> </w:t>
      </w:r>
      <w:r>
        <w:rPr/>
        <w:t>periféricos</w:t>
      </w:r>
      <w:r>
        <w:rPr>
          <w:spacing w:val="-7"/>
        </w:rPr>
        <w:t> </w:t>
      </w:r>
      <w:r>
        <w:rPr/>
        <w:t>con</w:t>
      </w:r>
      <w:r>
        <w:rPr>
          <w:spacing w:val="-7"/>
        </w:rPr>
        <w:t> </w:t>
      </w:r>
      <w:r>
        <w:rPr/>
        <w:t>supuestas</w:t>
      </w:r>
      <w:r>
        <w:rPr>
          <w:spacing w:val="-6"/>
        </w:rPr>
        <w:t> </w:t>
      </w:r>
      <w:r>
        <w:rPr/>
        <w:t>ventajas</w:t>
      </w:r>
      <w:r>
        <w:rPr>
          <w:spacing w:val="-7"/>
        </w:rPr>
        <w:t> </w:t>
      </w:r>
      <w:r>
        <w:rPr/>
        <w:t>comparativas.</w:t>
      </w:r>
      <w:r>
        <w:rPr>
          <w:spacing w:val="-7"/>
        </w:rPr>
        <w:t> </w:t>
      </w:r>
      <w:r>
        <w:rPr/>
        <w:t>La deslocalización</w:t>
      </w:r>
      <w:r>
        <w:rPr>
          <w:spacing w:val="-11"/>
        </w:rPr>
        <w:t> </w:t>
      </w:r>
      <w:r>
        <w:rPr/>
        <w:t>del</w:t>
      </w:r>
      <w:r>
        <w:rPr>
          <w:spacing w:val="-11"/>
        </w:rPr>
        <w:t> </w:t>
      </w:r>
      <w:r>
        <w:rPr/>
        <w:t>trabajo</w:t>
      </w:r>
      <w:r>
        <w:rPr>
          <w:spacing w:val="-11"/>
        </w:rPr>
        <w:t> </w:t>
      </w:r>
      <w:r>
        <w:rPr/>
        <w:t>aparece</w:t>
      </w:r>
      <w:r>
        <w:rPr>
          <w:spacing w:val="-11"/>
        </w:rPr>
        <w:t> </w:t>
      </w:r>
      <w:r>
        <w:rPr/>
        <w:t>como</w:t>
      </w:r>
      <w:r>
        <w:rPr>
          <w:spacing w:val="-11"/>
        </w:rPr>
        <w:t> </w:t>
      </w:r>
      <w:r>
        <w:rPr/>
        <w:t>una</w:t>
      </w:r>
      <w:r>
        <w:rPr>
          <w:spacing w:val="-11"/>
        </w:rPr>
        <w:t> </w:t>
      </w:r>
      <w:r>
        <w:rPr/>
        <w:t>estrategia</w:t>
      </w:r>
      <w:r>
        <w:rPr>
          <w:spacing w:val="-11"/>
        </w:rPr>
        <w:t> </w:t>
      </w:r>
      <w:r>
        <w:rPr/>
        <w:t>o</w:t>
      </w:r>
      <w:r>
        <w:rPr>
          <w:spacing w:val="-11"/>
        </w:rPr>
        <w:t> </w:t>
      </w:r>
      <w:r>
        <w:rPr/>
        <w:t>factor</w:t>
      </w:r>
      <w:r>
        <w:rPr>
          <w:spacing w:val="-11"/>
        </w:rPr>
        <w:t> </w:t>
      </w:r>
      <w:r>
        <w:rPr/>
        <w:t>de</w:t>
      </w:r>
      <w:r>
        <w:rPr>
          <w:spacing w:val="-11"/>
        </w:rPr>
        <w:t> </w:t>
      </w:r>
      <w:r>
        <w:rPr/>
        <w:t>“ajus- te”</w:t>
      </w:r>
      <w:r>
        <w:rPr>
          <w:spacing w:val="-9"/>
        </w:rPr>
        <w:t> </w:t>
      </w:r>
      <w:r>
        <w:rPr/>
        <w:t>dirigido</w:t>
      </w:r>
      <w:r>
        <w:rPr>
          <w:spacing w:val="-9"/>
        </w:rPr>
        <w:t> </w:t>
      </w:r>
      <w:r>
        <w:rPr/>
        <w:t>al</w:t>
      </w:r>
      <w:r>
        <w:rPr>
          <w:spacing w:val="-9"/>
        </w:rPr>
        <w:t> </w:t>
      </w:r>
      <w:r>
        <w:rPr/>
        <w:t>aprovechamiento</w:t>
      </w:r>
      <w:r>
        <w:rPr>
          <w:spacing w:val="-10"/>
        </w:rPr>
        <w:t> </w:t>
      </w:r>
      <w:r>
        <w:rPr/>
        <w:t>de</w:t>
      </w:r>
      <w:r>
        <w:rPr>
          <w:spacing w:val="-9"/>
        </w:rPr>
        <w:t> </w:t>
      </w:r>
      <w:r>
        <w:rPr/>
        <w:t>recursos,</w:t>
      </w:r>
      <w:r>
        <w:rPr>
          <w:spacing w:val="-9"/>
        </w:rPr>
        <w:t> </w:t>
      </w:r>
      <w:r>
        <w:rPr/>
        <w:t>así</w:t>
      </w:r>
      <w:r>
        <w:rPr>
          <w:spacing w:val="-9"/>
        </w:rPr>
        <w:t> </w:t>
      </w:r>
      <w:r>
        <w:rPr/>
        <w:t>como</w:t>
      </w:r>
      <w:r>
        <w:rPr>
          <w:spacing w:val="-9"/>
        </w:rPr>
        <w:t> </w:t>
      </w:r>
      <w:r>
        <w:rPr/>
        <w:t>de</w:t>
      </w:r>
      <w:r>
        <w:rPr>
          <w:spacing w:val="-9"/>
        </w:rPr>
        <w:t> </w:t>
      </w:r>
      <w:r>
        <w:rPr/>
        <w:t>materias</w:t>
      </w:r>
      <w:r>
        <w:rPr>
          <w:spacing w:val="-10"/>
        </w:rPr>
        <w:t> </w:t>
      </w:r>
      <w:r>
        <w:rPr/>
        <w:t>primas y mano de obra de bajo costo, garantizando con ello la maximización de las ganancias</w:t>
      </w:r>
      <w:r>
        <w:rPr>
          <w:spacing w:val="-1"/>
        </w:rPr>
        <w:t> </w:t>
      </w:r>
      <w:r>
        <w:rPr/>
        <w:t>capitalistas.</w:t>
      </w:r>
    </w:p>
    <w:p>
      <w:pPr>
        <w:pStyle w:val="BodyText"/>
        <w:spacing w:line="249" w:lineRule="auto" w:before="1"/>
        <w:ind w:left="110" w:right="110" w:firstLine="283"/>
        <w:jc w:val="both"/>
      </w:pPr>
      <w:r>
        <w:rPr/>
        <w:t>En América Latina, en particular en los países del Cono </w:t>
      </w:r>
      <w:r>
        <w:rPr>
          <w:spacing w:val="-3"/>
        </w:rPr>
        <w:t>Sur, </w:t>
      </w:r>
      <w:r>
        <w:rPr/>
        <w:t>con</w:t>
      </w:r>
      <w:r>
        <w:rPr>
          <w:spacing w:val="-23"/>
        </w:rPr>
        <w:t> </w:t>
      </w:r>
      <w:r>
        <w:rPr/>
        <w:t>una intensa y creciente dinámica de intercambio poblacional transfronteriza, la aplicación del modelo económico neoliberal a partir de comienzos de la década de 1980 aceleró la movilidad y libre entrada de capitales de los países centrales a la región, pero al no generar condiciones de opor- tunidades de empleo y bienestar de la población, alentó los</w:t>
      </w:r>
      <w:r>
        <w:rPr>
          <w:spacing w:val="-30"/>
        </w:rPr>
        <w:t> </w:t>
      </w:r>
      <w:r>
        <w:rPr/>
        <w:t>movimientos migratorios extrarregionales. </w:t>
      </w:r>
      <w:r>
        <w:rPr>
          <w:color w:val="231F20"/>
        </w:rPr>
        <w:t>América Latina presenta la tasa de</w:t>
      </w:r>
      <w:r>
        <w:rPr>
          <w:color w:val="231F20"/>
          <w:spacing w:val="-21"/>
        </w:rPr>
        <w:t> </w:t>
      </w:r>
      <w:r>
        <w:rPr>
          <w:color w:val="231F20"/>
        </w:rPr>
        <w:t>emigra- ción</w:t>
      </w:r>
      <w:r>
        <w:rPr>
          <w:color w:val="231F20"/>
          <w:spacing w:val="-6"/>
        </w:rPr>
        <w:t> </w:t>
      </w:r>
      <w:r>
        <w:rPr>
          <w:color w:val="231F20"/>
        </w:rPr>
        <w:t>más</w:t>
      </w:r>
      <w:r>
        <w:rPr>
          <w:color w:val="231F20"/>
          <w:spacing w:val="-6"/>
        </w:rPr>
        <w:t> </w:t>
      </w:r>
      <w:r>
        <w:rPr>
          <w:color w:val="231F20"/>
        </w:rPr>
        <w:t>alta</w:t>
      </w:r>
      <w:r>
        <w:rPr>
          <w:color w:val="231F20"/>
          <w:spacing w:val="-6"/>
        </w:rPr>
        <w:t> </w:t>
      </w:r>
      <w:r>
        <w:rPr>
          <w:color w:val="231F20"/>
        </w:rPr>
        <w:t>del</w:t>
      </w:r>
      <w:r>
        <w:rPr>
          <w:color w:val="231F20"/>
          <w:spacing w:val="-6"/>
        </w:rPr>
        <w:t> </w:t>
      </w:r>
      <w:r>
        <w:rPr>
          <w:color w:val="231F20"/>
        </w:rPr>
        <w:t>mundo.</w:t>
      </w:r>
      <w:r>
        <w:rPr>
          <w:color w:val="231F20"/>
          <w:spacing w:val="-6"/>
        </w:rPr>
        <w:t> </w:t>
      </w:r>
      <w:r>
        <w:rPr/>
        <w:t>La</w:t>
      </w:r>
      <w:r>
        <w:rPr>
          <w:spacing w:val="-6"/>
        </w:rPr>
        <w:t> </w:t>
      </w:r>
      <w:r>
        <w:rPr/>
        <w:t>migración</w:t>
      </w:r>
      <w:r>
        <w:rPr>
          <w:spacing w:val="-6"/>
        </w:rPr>
        <w:t> </w:t>
      </w:r>
      <w:r>
        <w:rPr/>
        <w:t>intrarregional</w:t>
      </w:r>
      <w:r>
        <w:rPr>
          <w:spacing w:val="-7"/>
        </w:rPr>
        <w:t> </w:t>
      </w:r>
      <w:r>
        <w:rPr/>
        <w:t>perdió</w:t>
      </w:r>
      <w:r>
        <w:rPr>
          <w:spacing w:val="-6"/>
        </w:rPr>
        <w:t> </w:t>
      </w:r>
      <w:r>
        <w:rPr/>
        <w:t>importancia relativa ante la emergente e intensa migración fuera de la región, sobre todo</w:t>
      </w:r>
      <w:r>
        <w:rPr>
          <w:spacing w:val="-6"/>
        </w:rPr>
        <w:t> </w:t>
      </w:r>
      <w:r>
        <w:rPr/>
        <w:t>hacia</w:t>
      </w:r>
      <w:r>
        <w:rPr>
          <w:spacing w:val="-6"/>
        </w:rPr>
        <w:t> </w:t>
      </w:r>
      <w:r>
        <w:rPr/>
        <w:t>Estados</w:t>
      </w:r>
      <w:r>
        <w:rPr>
          <w:spacing w:val="-6"/>
        </w:rPr>
        <w:t> </w:t>
      </w:r>
      <w:r>
        <w:rPr/>
        <w:t>Unidos,</w:t>
      </w:r>
      <w:r>
        <w:rPr>
          <w:spacing w:val="-5"/>
        </w:rPr>
        <w:t> </w:t>
      </w:r>
      <w:r>
        <w:rPr/>
        <w:t>Canadá,</w:t>
      </w:r>
      <w:r>
        <w:rPr>
          <w:spacing w:val="-17"/>
        </w:rPr>
        <w:t> </w:t>
      </w:r>
      <w:r>
        <w:rPr/>
        <w:t>Australia,</w:t>
      </w:r>
      <w:r>
        <w:rPr>
          <w:spacing w:val="-5"/>
        </w:rPr>
        <w:t> </w:t>
      </w:r>
      <w:r>
        <w:rPr/>
        <w:t>Japón</w:t>
      </w:r>
      <w:r>
        <w:rPr>
          <w:spacing w:val="-5"/>
        </w:rPr>
        <w:t> </w:t>
      </w:r>
      <w:r>
        <w:rPr/>
        <w:t>y</w:t>
      </w:r>
      <w:r>
        <w:rPr>
          <w:spacing w:val="-6"/>
        </w:rPr>
        <w:t> </w:t>
      </w:r>
      <w:r>
        <w:rPr/>
        <w:t>algunos</w:t>
      </w:r>
      <w:r>
        <w:rPr>
          <w:spacing w:val="-6"/>
        </w:rPr>
        <w:t> </w:t>
      </w:r>
      <w:r>
        <w:rPr/>
        <w:t>países</w:t>
      </w:r>
      <w:r>
        <w:rPr>
          <w:spacing w:val="-6"/>
        </w:rPr>
        <w:t> </w:t>
      </w:r>
      <w:r>
        <w:rPr/>
        <w:t>de la Unión Europea, como España, Italia y Reino</w:t>
      </w:r>
      <w:r>
        <w:rPr>
          <w:spacing w:val="-13"/>
        </w:rPr>
        <w:t> </w:t>
      </w:r>
      <w:r>
        <w:rPr/>
        <w:t>Unido.</w:t>
      </w:r>
    </w:p>
    <w:p>
      <w:pPr>
        <w:pStyle w:val="BodyText"/>
        <w:spacing w:line="249" w:lineRule="auto" w:before="1"/>
        <w:ind w:left="110" w:right="111" w:firstLine="283"/>
        <w:jc w:val="both"/>
      </w:pPr>
      <w:r>
        <w:rPr/>
        <w:t>Estados Unidos se convirtió, desde inicios de la década de 1980, en el receptor de una parte importante de la migración mundial, y en el</w:t>
      </w:r>
      <w:r>
        <w:rPr>
          <w:spacing w:val="-33"/>
        </w:rPr>
        <w:t> </w:t>
      </w:r>
      <w:r>
        <w:rPr/>
        <w:t>des- tino privilegiado de gran parte de la emigración regional. La </w:t>
      </w:r>
      <w:r>
        <w:rPr>
          <w:spacing w:val="-3"/>
        </w:rPr>
        <w:t>población hispana</w:t>
      </w:r>
      <w:r>
        <w:rPr>
          <w:spacing w:val="-8"/>
        </w:rPr>
        <w:t> </w:t>
      </w:r>
      <w:r>
        <w:rPr/>
        <w:t>en</w:t>
      </w:r>
      <w:r>
        <w:rPr>
          <w:spacing w:val="-8"/>
        </w:rPr>
        <w:t> </w:t>
      </w:r>
      <w:r>
        <w:rPr>
          <w:spacing w:val="-3"/>
        </w:rPr>
        <w:t>Estados</w:t>
      </w:r>
      <w:r>
        <w:rPr>
          <w:spacing w:val="-8"/>
        </w:rPr>
        <w:t> </w:t>
      </w:r>
      <w:r>
        <w:rPr>
          <w:spacing w:val="-3"/>
        </w:rPr>
        <w:t>Unidos</w:t>
      </w:r>
      <w:r>
        <w:rPr>
          <w:spacing w:val="-7"/>
        </w:rPr>
        <w:t> </w:t>
      </w:r>
      <w:r>
        <w:rPr>
          <w:spacing w:val="-3"/>
        </w:rPr>
        <w:t>alcanzó,</w:t>
      </w:r>
      <w:r>
        <w:rPr>
          <w:spacing w:val="-8"/>
        </w:rPr>
        <w:t> </w:t>
      </w:r>
      <w:r>
        <w:rPr/>
        <w:t>en</w:t>
      </w:r>
      <w:r>
        <w:rPr>
          <w:spacing w:val="-8"/>
        </w:rPr>
        <w:t> </w:t>
      </w:r>
      <w:r>
        <w:rPr>
          <w:spacing w:val="-3"/>
        </w:rPr>
        <w:t>2000,</w:t>
      </w:r>
      <w:r>
        <w:rPr>
          <w:spacing w:val="-8"/>
        </w:rPr>
        <w:t> </w:t>
      </w:r>
      <w:r>
        <w:rPr>
          <w:spacing w:val="-3"/>
        </w:rPr>
        <w:t>35.2</w:t>
      </w:r>
      <w:r>
        <w:rPr>
          <w:spacing w:val="-8"/>
        </w:rPr>
        <w:t> </w:t>
      </w:r>
      <w:r>
        <w:rPr>
          <w:spacing w:val="-3"/>
        </w:rPr>
        <w:t>millones,</w:t>
      </w:r>
      <w:r>
        <w:rPr>
          <w:spacing w:val="-8"/>
        </w:rPr>
        <w:t> </w:t>
      </w:r>
      <w:r>
        <w:rPr/>
        <w:t>lo</w:t>
      </w:r>
      <w:r>
        <w:rPr>
          <w:spacing w:val="-8"/>
        </w:rPr>
        <w:t> </w:t>
      </w:r>
      <w:r>
        <w:rPr/>
        <w:t>que</w:t>
      </w:r>
      <w:r>
        <w:rPr>
          <w:spacing w:val="-8"/>
        </w:rPr>
        <w:t> </w:t>
      </w:r>
      <w:r>
        <w:rPr>
          <w:spacing w:val="-3"/>
        </w:rPr>
        <w:t>equiva- </w:t>
      </w:r>
      <w:r>
        <w:rPr/>
        <w:t>lía a </w:t>
      </w:r>
      <w:r>
        <w:rPr>
          <w:spacing w:val="-3"/>
        </w:rPr>
        <w:t>12.5 </w:t>
      </w:r>
      <w:r>
        <w:rPr/>
        <w:t>por </w:t>
      </w:r>
      <w:r>
        <w:rPr>
          <w:spacing w:val="-3"/>
        </w:rPr>
        <w:t>ciento </w:t>
      </w:r>
      <w:r>
        <w:rPr/>
        <w:t>del </w:t>
      </w:r>
      <w:r>
        <w:rPr>
          <w:spacing w:val="-3"/>
        </w:rPr>
        <w:t>total </w:t>
      </w:r>
      <w:r>
        <w:rPr/>
        <w:t>de la </w:t>
      </w:r>
      <w:r>
        <w:rPr>
          <w:spacing w:val="-3"/>
        </w:rPr>
        <w:t>población </w:t>
      </w:r>
      <w:r>
        <w:rPr/>
        <w:t>de </w:t>
      </w:r>
      <w:r>
        <w:rPr>
          <w:spacing w:val="-3"/>
        </w:rPr>
        <w:t>dicho país. </w:t>
      </w:r>
      <w:r>
        <w:rPr/>
        <w:t>La </w:t>
      </w:r>
      <w:r>
        <w:rPr>
          <w:spacing w:val="-3"/>
        </w:rPr>
        <w:t>población latina</w:t>
      </w:r>
      <w:r>
        <w:rPr>
          <w:spacing w:val="-8"/>
        </w:rPr>
        <w:t> </w:t>
      </w:r>
      <w:r>
        <w:rPr/>
        <w:t>o</w:t>
      </w:r>
      <w:r>
        <w:rPr>
          <w:spacing w:val="-8"/>
        </w:rPr>
        <w:t> </w:t>
      </w:r>
      <w:r>
        <w:rPr>
          <w:spacing w:val="-3"/>
        </w:rPr>
        <w:t>hispana</w:t>
      </w:r>
      <w:r>
        <w:rPr>
          <w:spacing w:val="-8"/>
        </w:rPr>
        <w:t> </w:t>
      </w:r>
      <w:r>
        <w:rPr/>
        <w:t>es</w:t>
      </w:r>
      <w:r>
        <w:rPr>
          <w:spacing w:val="-8"/>
        </w:rPr>
        <w:t> </w:t>
      </w:r>
      <w:r>
        <w:rPr/>
        <w:t>el</w:t>
      </w:r>
      <w:r>
        <w:rPr>
          <w:spacing w:val="-8"/>
        </w:rPr>
        <w:t> </w:t>
      </w:r>
      <w:r>
        <w:rPr>
          <w:spacing w:val="-3"/>
        </w:rPr>
        <w:t>grupo</w:t>
      </w:r>
      <w:r>
        <w:rPr>
          <w:spacing w:val="-8"/>
        </w:rPr>
        <w:t> </w:t>
      </w:r>
      <w:r>
        <w:rPr>
          <w:spacing w:val="-3"/>
        </w:rPr>
        <w:t>étnico</w:t>
      </w:r>
      <w:r>
        <w:rPr>
          <w:spacing w:val="-8"/>
        </w:rPr>
        <w:t> </w:t>
      </w:r>
      <w:r>
        <w:rPr/>
        <w:t>que</w:t>
      </w:r>
      <w:r>
        <w:rPr>
          <w:spacing w:val="-8"/>
        </w:rPr>
        <w:t> </w:t>
      </w:r>
      <w:r>
        <w:rPr>
          <w:spacing w:val="-3"/>
        </w:rPr>
        <w:t>crece</w:t>
      </w:r>
      <w:r>
        <w:rPr>
          <w:spacing w:val="-8"/>
        </w:rPr>
        <w:t> </w:t>
      </w:r>
      <w:r>
        <w:rPr/>
        <w:t>con</w:t>
      </w:r>
      <w:r>
        <w:rPr>
          <w:spacing w:val="-8"/>
        </w:rPr>
        <w:t> </w:t>
      </w:r>
      <w:r>
        <w:rPr>
          <w:spacing w:val="-3"/>
        </w:rPr>
        <w:t>mayor</w:t>
      </w:r>
      <w:r>
        <w:rPr>
          <w:spacing w:val="-8"/>
        </w:rPr>
        <w:t> </w:t>
      </w:r>
      <w:r>
        <w:rPr>
          <w:spacing w:val="-3"/>
        </w:rPr>
        <w:t>rapidez,</w:t>
      </w:r>
      <w:r>
        <w:rPr>
          <w:spacing w:val="-8"/>
        </w:rPr>
        <w:t> </w:t>
      </w:r>
      <w:r>
        <w:rPr>
          <w:spacing w:val="-3"/>
        </w:rPr>
        <w:t>representa </w:t>
      </w:r>
      <w:r>
        <w:rPr/>
        <w:t>la </w:t>
      </w:r>
      <w:r>
        <w:rPr>
          <w:spacing w:val="-3"/>
        </w:rPr>
        <w:t>minoría </w:t>
      </w:r>
      <w:r>
        <w:rPr/>
        <w:t>más </w:t>
      </w:r>
      <w:r>
        <w:rPr>
          <w:spacing w:val="-3"/>
        </w:rPr>
        <w:t>grande </w:t>
      </w:r>
      <w:r>
        <w:rPr/>
        <w:t>del </w:t>
      </w:r>
      <w:r>
        <w:rPr>
          <w:spacing w:val="-3"/>
        </w:rPr>
        <w:t>país. </w:t>
      </w:r>
      <w:r>
        <w:rPr/>
        <w:t>En </w:t>
      </w:r>
      <w:r>
        <w:rPr>
          <w:spacing w:val="-3"/>
        </w:rPr>
        <w:t>2050, </w:t>
      </w:r>
      <w:r>
        <w:rPr/>
        <w:t>la </w:t>
      </w:r>
      <w:r>
        <w:rPr>
          <w:spacing w:val="-3"/>
        </w:rPr>
        <w:t>cuarta parte </w:t>
      </w:r>
      <w:r>
        <w:rPr/>
        <w:t>de la </w:t>
      </w:r>
      <w:r>
        <w:rPr>
          <w:spacing w:val="-3"/>
        </w:rPr>
        <w:t>población </w:t>
      </w:r>
      <w:r>
        <w:rPr/>
        <w:t>de </w:t>
      </w:r>
      <w:r>
        <w:rPr>
          <w:spacing w:val="-3"/>
        </w:rPr>
        <w:t>Estados Unidos será latina. </w:t>
      </w:r>
      <w:r>
        <w:rPr/>
        <w:t>Los </w:t>
      </w:r>
      <w:r>
        <w:rPr>
          <w:spacing w:val="-3"/>
        </w:rPr>
        <w:t>mexicanos representan </w:t>
      </w:r>
      <w:r>
        <w:rPr/>
        <w:t>más de 60 </w:t>
      </w:r>
      <w:r>
        <w:rPr>
          <w:spacing w:val="-3"/>
        </w:rPr>
        <w:t>por ciento</w:t>
      </w:r>
      <w:r>
        <w:rPr>
          <w:spacing w:val="-7"/>
        </w:rPr>
        <w:t> </w:t>
      </w:r>
      <w:r>
        <w:rPr/>
        <w:t>de</w:t>
      </w:r>
      <w:r>
        <w:rPr>
          <w:spacing w:val="-7"/>
        </w:rPr>
        <w:t> </w:t>
      </w:r>
      <w:r>
        <w:rPr>
          <w:spacing w:val="-3"/>
        </w:rPr>
        <w:t>dicha</w:t>
      </w:r>
      <w:r>
        <w:rPr>
          <w:spacing w:val="-7"/>
        </w:rPr>
        <w:t> </w:t>
      </w:r>
      <w:r>
        <w:rPr>
          <w:spacing w:val="-3"/>
        </w:rPr>
        <w:t>población;</w:t>
      </w:r>
      <w:r>
        <w:rPr>
          <w:spacing w:val="-7"/>
        </w:rPr>
        <w:t> </w:t>
      </w:r>
      <w:r>
        <w:rPr/>
        <w:t>son</w:t>
      </w:r>
      <w:r>
        <w:rPr>
          <w:spacing w:val="-7"/>
        </w:rPr>
        <w:t> </w:t>
      </w:r>
      <w:r>
        <w:rPr/>
        <w:t>la</w:t>
      </w:r>
      <w:r>
        <w:rPr>
          <w:spacing w:val="-7"/>
        </w:rPr>
        <w:t> </w:t>
      </w:r>
      <w:r>
        <w:rPr>
          <w:spacing w:val="-3"/>
        </w:rPr>
        <w:t>mayor</w:t>
      </w:r>
      <w:r>
        <w:rPr>
          <w:spacing w:val="-7"/>
        </w:rPr>
        <w:t> </w:t>
      </w:r>
      <w:r>
        <w:rPr>
          <w:spacing w:val="-3"/>
        </w:rPr>
        <w:t>minoría</w:t>
      </w:r>
      <w:r>
        <w:rPr>
          <w:spacing w:val="-7"/>
        </w:rPr>
        <w:t> </w:t>
      </w:r>
      <w:r>
        <w:rPr>
          <w:spacing w:val="-3"/>
        </w:rPr>
        <w:t>seguida</w:t>
      </w:r>
      <w:r>
        <w:rPr>
          <w:spacing w:val="-6"/>
        </w:rPr>
        <w:t> </w:t>
      </w:r>
      <w:r>
        <w:rPr/>
        <w:t>de</w:t>
      </w:r>
      <w:r>
        <w:rPr>
          <w:spacing w:val="-7"/>
        </w:rPr>
        <w:t> </w:t>
      </w:r>
      <w:r>
        <w:rPr/>
        <w:t>la</w:t>
      </w:r>
      <w:r>
        <w:rPr>
          <w:spacing w:val="-7"/>
        </w:rPr>
        <w:t> </w:t>
      </w:r>
      <w:r>
        <w:rPr>
          <w:spacing w:val="-3"/>
        </w:rPr>
        <w:t>categoría</w:t>
      </w:r>
      <w:r>
        <w:rPr>
          <w:spacing w:val="-7"/>
        </w:rPr>
        <w:t> </w:t>
      </w:r>
      <w:r>
        <w:rPr>
          <w:spacing w:val="-3"/>
        </w:rPr>
        <w:t>de “otros hispanos”, después </w:t>
      </w:r>
      <w:r>
        <w:rPr/>
        <w:t>de la de </w:t>
      </w:r>
      <w:r>
        <w:rPr>
          <w:spacing w:val="-3"/>
        </w:rPr>
        <w:t>puertorriqueños, </w:t>
      </w:r>
      <w:r>
        <w:rPr/>
        <w:t>y muy </w:t>
      </w:r>
      <w:r>
        <w:rPr>
          <w:spacing w:val="-3"/>
        </w:rPr>
        <w:t>distantes </w:t>
      </w:r>
      <w:r>
        <w:rPr/>
        <w:t>de </w:t>
      </w:r>
      <w:r>
        <w:rPr>
          <w:spacing w:val="-3"/>
        </w:rPr>
        <w:t>los demás grupos latinos. </w:t>
      </w:r>
      <w:r>
        <w:rPr/>
        <w:t>En </w:t>
      </w:r>
      <w:r>
        <w:rPr>
          <w:spacing w:val="-3"/>
        </w:rPr>
        <w:t>gran parte, </w:t>
      </w:r>
      <w:r>
        <w:rPr/>
        <w:t>el </w:t>
      </w:r>
      <w:r>
        <w:rPr>
          <w:spacing w:val="-3"/>
        </w:rPr>
        <w:t>crecimiento inusitado </w:t>
      </w:r>
      <w:r>
        <w:rPr/>
        <w:t>de la </w:t>
      </w:r>
      <w:r>
        <w:rPr>
          <w:spacing w:val="-3"/>
        </w:rPr>
        <w:t>pobla- ción</w:t>
      </w:r>
      <w:r>
        <w:rPr>
          <w:spacing w:val="-13"/>
        </w:rPr>
        <w:t> </w:t>
      </w:r>
      <w:r>
        <w:rPr>
          <w:spacing w:val="-3"/>
        </w:rPr>
        <w:t>hispana,</w:t>
      </w:r>
      <w:r>
        <w:rPr>
          <w:spacing w:val="-12"/>
        </w:rPr>
        <w:t> </w:t>
      </w:r>
      <w:r>
        <w:rPr/>
        <w:t>y</w:t>
      </w:r>
      <w:r>
        <w:rPr>
          <w:spacing w:val="-12"/>
        </w:rPr>
        <w:t> </w:t>
      </w:r>
      <w:r>
        <w:rPr>
          <w:spacing w:val="-3"/>
        </w:rPr>
        <w:t>especialmente</w:t>
      </w:r>
      <w:r>
        <w:rPr>
          <w:spacing w:val="-13"/>
        </w:rPr>
        <w:t> </w:t>
      </w:r>
      <w:r>
        <w:rPr/>
        <w:t>de</w:t>
      </w:r>
      <w:r>
        <w:rPr>
          <w:spacing w:val="-12"/>
        </w:rPr>
        <w:t> </w:t>
      </w:r>
      <w:r>
        <w:rPr/>
        <w:t>la</w:t>
      </w:r>
      <w:r>
        <w:rPr>
          <w:spacing w:val="-13"/>
        </w:rPr>
        <w:t> </w:t>
      </w:r>
      <w:r>
        <w:rPr>
          <w:spacing w:val="-3"/>
        </w:rPr>
        <w:t>mexicana,</w:t>
      </w:r>
      <w:r>
        <w:rPr>
          <w:spacing w:val="-13"/>
        </w:rPr>
        <w:t> </w:t>
      </w:r>
      <w:r>
        <w:rPr>
          <w:spacing w:val="-3"/>
        </w:rPr>
        <w:t>responde</w:t>
      </w:r>
      <w:r>
        <w:rPr>
          <w:spacing w:val="-13"/>
        </w:rPr>
        <w:t> </w:t>
      </w:r>
      <w:r>
        <w:rPr/>
        <w:t>al</w:t>
      </w:r>
      <w:r>
        <w:rPr>
          <w:spacing w:val="-12"/>
        </w:rPr>
        <w:t> </w:t>
      </w:r>
      <w:r>
        <w:rPr>
          <w:spacing w:val="-3"/>
        </w:rPr>
        <w:t>impacto</w:t>
      </w:r>
      <w:r>
        <w:rPr>
          <w:spacing w:val="-13"/>
        </w:rPr>
        <w:t> </w:t>
      </w:r>
      <w:r>
        <w:rPr>
          <w:spacing w:val="-3"/>
        </w:rPr>
        <w:t>reciente </w:t>
      </w:r>
      <w:r>
        <w:rPr/>
        <w:t>de la </w:t>
      </w:r>
      <w:r>
        <w:rPr>
          <w:spacing w:val="-3"/>
        </w:rPr>
        <w:t>migración hacia Estados Unidos, </w:t>
      </w:r>
      <w:r>
        <w:rPr/>
        <w:t>muy </w:t>
      </w:r>
      <w:r>
        <w:rPr>
          <w:spacing w:val="-3"/>
        </w:rPr>
        <w:t>acentuada </w:t>
      </w:r>
      <w:r>
        <w:rPr/>
        <w:t>en las </w:t>
      </w:r>
      <w:r>
        <w:rPr>
          <w:spacing w:val="-3"/>
        </w:rPr>
        <w:t>décadas de 1990 </w:t>
      </w:r>
      <w:r>
        <w:rPr/>
        <w:t>y</w:t>
      </w:r>
      <w:r>
        <w:rPr>
          <w:spacing w:val="-4"/>
        </w:rPr>
        <w:t> </w:t>
      </w:r>
      <w:r>
        <w:rPr>
          <w:spacing w:val="-3"/>
        </w:rPr>
        <w:t>2000.</w:t>
      </w:r>
    </w:p>
    <w:p>
      <w:pPr>
        <w:pStyle w:val="BodyText"/>
        <w:spacing w:line="249" w:lineRule="auto" w:before="1"/>
        <w:ind w:left="110" w:right="111" w:firstLine="283"/>
        <w:jc w:val="both"/>
      </w:pPr>
      <w:r>
        <w:rPr/>
        <w:t>No</w:t>
      </w:r>
      <w:r>
        <w:rPr>
          <w:spacing w:val="-7"/>
        </w:rPr>
        <w:t> </w:t>
      </w:r>
      <w:r>
        <w:rPr/>
        <w:t>obstante</w:t>
      </w:r>
      <w:r>
        <w:rPr>
          <w:spacing w:val="-7"/>
        </w:rPr>
        <w:t> </w:t>
      </w:r>
      <w:r>
        <w:rPr/>
        <w:t>lo</w:t>
      </w:r>
      <w:r>
        <w:rPr>
          <w:spacing w:val="-7"/>
        </w:rPr>
        <w:t> </w:t>
      </w:r>
      <w:r>
        <w:rPr/>
        <w:t>anterior,</w:t>
      </w:r>
      <w:r>
        <w:rPr>
          <w:spacing w:val="-7"/>
        </w:rPr>
        <w:t> </w:t>
      </w:r>
      <w:r>
        <w:rPr/>
        <w:t>en</w:t>
      </w:r>
      <w:r>
        <w:rPr>
          <w:spacing w:val="-7"/>
        </w:rPr>
        <w:t> </w:t>
      </w:r>
      <w:r>
        <w:rPr/>
        <w:t>las</w:t>
      </w:r>
      <w:r>
        <w:rPr>
          <w:spacing w:val="-7"/>
        </w:rPr>
        <w:t> </w:t>
      </w:r>
      <w:r>
        <w:rPr/>
        <w:t>circunstancias</w:t>
      </w:r>
      <w:r>
        <w:rPr>
          <w:spacing w:val="-7"/>
        </w:rPr>
        <w:t> </w:t>
      </w:r>
      <w:r>
        <w:rPr/>
        <w:t>actuales</w:t>
      </w:r>
      <w:r>
        <w:rPr>
          <w:spacing w:val="-7"/>
        </w:rPr>
        <w:t> </w:t>
      </w:r>
      <w:r>
        <w:rPr/>
        <w:t>y</w:t>
      </w:r>
      <w:r>
        <w:rPr>
          <w:spacing w:val="-7"/>
        </w:rPr>
        <w:t> </w:t>
      </w:r>
      <w:r>
        <w:rPr/>
        <w:t>dadas</w:t>
      </w:r>
      <w:r>
        <w:rPr>
          <w:spacing w:val="-7"/>
        </w:rPr>
        <w:t> </w:t>
      </w:r>
      <w:r>
        <w:rPr/>
        <w:t>las</w:t>
      </w:r>
      <w:r>
        <w:rPr>
          <w:spacing w:val="-7"/>
        </w:rPr>
        <w:t> </w:t>
      </w:r>
      <w:r>
        <w:rPr/>
        <w:t>ten- dencias previsibles en el mediano y largo plazo, la migración</w:t>
      </w:r>
      <w:r>
        <w:rPr>
          <w:spacing w:val="-18"/>
        </w:rPr>
        <w:t> </w:t>
      </w:r>
      <w:r>
        <w:rPr/>
        <w:t>latinoame- ricana hacia Estados Unidos podría enfrentar escollos insalvables con consecuencias</w:t>
      </w:r>
      <w:r>
        <w:rPr>
          <w:spacing w:val="-9"/>
        </w:rPr>
        <w:t> </w:t>
      </w:r>
      <w:r>
        <w:rPr/>
        <w:t>mayores</w:t>
      </w:r>
      <w:r>
        <w:rPr>
          <w:spacing w:val="-9"/>
        </w:rPr>
        <w:t> </w:t>
      </w:r>
      <w:r>
        <w:rPr/>
        <w:t>para</w:t>
      </w:r>
      <w:r>
        <w:rPr>
          <w:spacing w:val="-9"/>
        </w:rPr>
        <w:t> </w:t>
      </w:r>
      <w:r>
        <w:rPr/>
        <w:t>los</w:t>
      </w:r>
      <w:r>
        <w:rPr>
          <w:spacing w:val="-9"/>
        </w:rPr>
        <w:t> </w:t>
      </w:r>
      <w:r>
        <w:rPr/>
        <w:t>trabajadores</w:t>
      </w:r>
      <w:r>
        <w:rPr>
          <w:spacing w:val="-9"/>
        </w:rPr>
        <w:t> </w:t>
      </w:r>
      <w:r>
        <w:rPr/>
        <w:t>menos</w:t>
      </w:r>
      <w:r>
        <w:rPr>
          <w:spacing w:val="-9"/>
        </w:rPr>
        <w:t> </w:t>
      </w:r>
      <w:r>
        <w:rPr/>
        <w:t>calificados,</w:t>
      </w:r>
      <w:r>
        <w:rPr>
          <w:spacing w:val="-9"/>
        </w:rPr>
        <w:t> </w:t>
      </w:r>
      <w:r>
        <w:rPr/>
        <w:t>determi-</w:t>
      </w:r>
    </w:p>
    <w:p>
      <w:pPr>
        <w:spacing w:after="0" w:line="249" w:lineRule="auto"/>
        <w:jc w:val="both"/>
        <w:sectPr>
          <w:pgSz w:w="7770" w:h="11740"/>
          <w:pgMar w:header="0" w:footer="559" w:top="840" w:bottom="740" w:left="740" w:right="1020"/>
        </w:sectPr>
      </w:pPr>
    </w:p>
    <w:p>
      <w:pPr>
        <w:pStyle w:val="BodyText"/>
        <w:spacing w:line="249" w:lineRule="auto" w:before="60"/>
        <w:ind w:left="113" w:right="107"/>
        <w:jc w:val="both"/>
      </w:pPr>
      <w:r>
        <w:rPr/>
        <w:t>nada por la tendencia creciente de los sectores empresariales capitalistas a deslocalizar parte de los procesos productivos a regiones con fuerza</w:t>
      </w:r>
      <w:r>
        <w:rPr>
          <w:spacing w:val="-22"/>
        </w:rPr>
        <w:t> </w:t>
      </w:r>
      <w:r>
        <w:rPr/>
        <w:t>de trabajo</w:t>
      </w:r>
      <w:r>
        <w:rPr>
          <w:spacing w:val="-10"/>
        </w:rPr>
        <w:t> </w:t>
      </w:r>
      <w:r>
        <w:rPr/>
        <w:t>más</w:t>
      </w:r>
      <w:r>
        <w:rPr>
          <w:spacing w:val="-10"/>
        </w:rPr>
        <w:t> </w:t>
      </w:r>
      <w:r>
        <w:rPr/>
        <w:t>barata,</w:t>
      </w:r>
      <w:r>
        <w:rPr>
          <w:spacing w:val="-10"/>
        </w:rPr>
        <w:t> </w:t>
      </w:r>
      <w:r>
        <w:rPr/>
        <w:t>con</w:t>
      </w:r>
      <w:r>
        <w:rPr>
          <w:spacing w:val="-10"/>
        </w:rPr>
        <w:t> </w:t>
      </w:r>
      <w:r>
        <w:rPr/>
        <w:t>presencia</w:t>
      </w:r>
      <w:r>
        <w:rPr>
          <w:spacing w:val="-10"/>
        </w:rPr>
        <w:t> </w:t>
      </w:r>
      <w:r>
        <w:rPr/>
        <w:t>cada</w:t>
      </w:r>
      <w:r>
        <w:rPr>
          <w:spacing w:val="-10"/>
        </w:rPr>
        <w:t> </w:t>
      </w:r>
      <w:r>
        <w:rPr/>
        <w:t>vez</w:t>
      </w:r>
      <w:r>
        <w:rPr>
          <w:spacing w:val="-10"/>
        </w:rPr>
        <w:t> </w:t>
      </w:r>
      <w:r>
        <w:rPr/>
        <w:t>más</w:t>
      </w:r>
      <w:r>
        <w:rPr>
          <w:spacing w:val="-10"/>
        </w:rPr>
        <w:t> </w:t>
      </w:r>
      <w:r>
        <w:rPr/>
        <w:t>notoria</w:t>
      </w:r>
      <w:r>
        <w:rPr>
          <w:spacing w:val="-10"/>
        </w:rPr>
        <w:t> </w:t>
      </w:r>
      <w:r>
        <w:rPr/>
        <w:t>en</w:t>
      </w:r>
      <w:r>
        <w:rPr>
          <w:spacing w:val="-10"/>
        </w:rPr>
        <w:t> </w:t>
      </w:r>
      <w:r>
        <w:rPr/>
        <w:t>diversos</w:t>
      </w:r>
      <w:r>
        <w:rPr>
          <w:spacing w:val="-10"/>
        </w:rPr>
        <w:t> </w:t>
      </w:r>
      <w:r>
        <w:rPr/>
        <w:t>países de la región (Castillo y Sotelo, 2013), con legislaciones laborables más flexibles, con abundante materia prima y bajos costos de los insumos y recursos energéticos para la producción. Coincidiendo con Di Filippo (2000: 2.1.2), cabría suponer que el incremento de esta última deberá necesariamente “reducir las oportunidades económicas de los migrantes del sur en los lugares de destino del norte </w:t>
      </w:r>
      <w:r>
        <w:rPr>
          <w:spacing w:val="-7"/>
        </w:rPr>
        <w:t>y, </w:t>
      </w:r>
      <w:r>
        <w:rPr/>
        <w:t>por esa vía, debilitar los flujos</w:t>
      </w:r>
      <w:r>
        <w:rPr>
          <w:spacing w:val="-15"/>
        </w:rPr>
        <w:t> </w:t>
      </w:r>
      <w:r>
        <w:rPr/>
        <w:t>sur-norte”.</w:t>
      </w:r>
    </w:p>
    <w:p>
      <w:pPr>
        <w:pStyle w:val="Heading4"/>
      </w:pPr>
      <w:r>
        <w:rPr>
          <w:w w:val="75"/>
        </w:rPr>
        <w:t>La sobreexplotación del trabajo y la crisis de Estados Unidos</w:t>
      </w:r>
    </w:p>
    <w:p>
      <w:pPr>
        <w:pStyle w:val="BodyText"/>
        <w:spacing w:line="249" w:lineRule="auto" w:before="171"/>
        <w:ind w:left="113" w:right="107"/>
        <w:jc w:val="both"/>
      </w:pPr>
      <w:r>
        <w:rPr/>
        <w:t>Estados Unidos enfrentó, entre 2008 y 2009, la mayor crisis después de la Gran Depresión de 1929 y comienzos de la década de 1930. En el cuarto trimestre de 2008 el PIB, según datos oficiales, creció a -2.8 por ciento; en el segundo cuatrimestre de 2009 experimentó la mayor deba- cle, al caer a -4.1 por ciento; en el cuarto trimestre de 2010 mostró sig- nos de recuperación al crecer a 2.8, pero volvió a descender en el tercer trimestre de 2011 a 1.5; creció nuevamente a 3.3 en el primer trimestre de 2012, pero volvió a descender a 2.6 por ciento en 2013. La tendencia errática del crecimiento económico no permite considerarla como mues- tra de recuperación plena y sostenida del PIB y menos de una recupe- ración vigorosa de la dinámica económica. La tendencia de largo plazo es decreciente, con acortamiento e intensificación de los ciclos. Incluso hay</w:t>
      </w:r>
      <w:r>
        <w:rPr>
          <w:spacing w:val="-4"/>
        </w:rPr>
        <w:t> </w:t>
      </w:r>
      <w:r>
        <w:rPr/>
        <w:t>quienes</w:t>
      </w:r>
      <w:r>
        <w:rPr>
          <w:spacing w:val="-4"/>
        </w:rPr>
        <w:t> </w:t>
      </w:r>
      <w:r>
        <w:rPr/>
        <w:t>aducen</w:t>
      </w:r>
      <w:r>
        <w:rPr>
          <w:spacing w:val="-4"/>
        </w:rPr>
        <w:t> </w:t>
      </w:r>
      <w:r>
        <w:rPr/>
        <w:t>que</w:t>
      </w:r>
      <w:r>
        <w:rPr>
          <w:spacing w:val="-4"/>
        </w:rPr>
        <w:t> </w:t>
      </w:r>
      <w:r>
        <w:rPr/>
        <w:t>el</w:t>
      </w:r>
      <w:r>
        <w:rPr>
          <w:spacing w:val="-4"/>
        </w:rPr>
        <w:t> </w:t>
      </w:r>
      <w:r>
        <w:rPr/>
        <w:t>supuesto</w:t>
      </w:r>
      <w:r>
        <w:rPr>
          <w:spacing w:val="-4"/>
        </w:rPr>
        <w:t> </w:t>
      </w:r>
      <w:r>
        <w:rPr/>
        <w:t>crecimiento</w:t>
      </w:r>
      <w:r>
        <w:rPr>
          <w:spacing w:val="-5"/>
        </w:rPr>
        <w:t> </w:t>
      </w:r>
      <w:r>
        <w:rPr/>
        <w:t>de</w:t>
      </w:r>
      <w:r>
        <w:rPr>
          <w:spacing w:val="-4"/>
        </w:rPr>
        <w:t> </w:t>
      </w:r>
      <w:r>
        <w:rPr/>
        <w:t>la</w:t>
      </w:r>
      <w:r>
        <w:rPr>
          <w:spacing w:val="-4"/>
        </w:rPr>
        <w:t> </w:t>
      </w:r>
      <w:r>
        <w:rPr/>
        <w:t>economía</w:t>
      </w:r>
      <w:r>
        <w:rPr>
          <w:spacing w:val="-5"/>
        </w:rPr>
        <w:t> </w:t>
      </w:r>
      <w:r>
        <w:rPr/>
        <w:t>mundial y de Estados Unidos está sobreestimado al no considerar la inflación. Datos de John Williams (www.shadowstats.com) sugieren que el “PIB real</w:t>
      </w:r>
      <w:r>
        <w:rPr>
          <w:spacing w:val="-9"/>
        </w:rPr>
        <w:t> </w:t>
      </w:r>
      <w:r>
        <w:rPr/>
        <w:t>de</w:t>
      </w:r>
      <w:r>
        <w:rPr>
          <w:spacing w:val="-9"/>
        </w:rPr>
        <w:t> </w:t>
      </w:r>
      <w:r>
        <w:rPr/>
        <w:t>EE.UU.</w:t>
      </w:r>
      <w:r>
        <w:rPr>
          <w:spacing w:val="-9"/>
        </w:rPr>
        <w:t> </w:t>
      </w:r>
      <w:r>
        <w:rPr/>
        <w:t>ha</w:t>
      </w:r>
      <w:r>
        <w:rPr>
          <w:spacing w:val="-9"/>
        </w:rPr>
        <w:t> </w:t>
      </w:r>
      <w:r>
        <w:rPr/>
        <w:t>sido</w:t>
      </w:r>
      <w:r>
        <w:rPr>
          <w:spacing w:val="-8"/>
        </w:rPr>
        <w:t> </w:t>
      </w:r>
      <w:r>
        <w:rPr/>
        <w:t>continuamente</w:t>
      </w:r>
      <w:r>
        <w:rPr>
          <w:spacing w:val="-9"/>
        </w:rPr>
        <w:t> </w:t>
      </w:r>
      <w:r>
        <w:rPr/>
        <w:t>negativo</w:t>
      </w:r>
      <w:r>
        <w:rPr>
          <w:spacing w:val="-9"/>
        </w:rPr>
        <w:t> </w:t>
      </w:r>
      <w:r>
        <w:rPr/>
        <w:t>desde</w:t>
      </w:r>
      <w:r>
        <w:rPr>
          <w:spacing w:val="-9"/>
        </w:rPr>
        <w:t> </w:t>
      </w:r>
      <w:r>
        <w:rPr/>
        <w:t>2005”</w:t>
      </w:r>
      <w:r>
        <w:rPr>
          <w:spacing w:val="-9"/>
        </w:rPr>
        <w:t> </w:t>
      </w:r>
      <w:r>
        <w:rPr>
          <w:spacing w:val="-7"/>
        </w:rPr>
        <w:t>(RT.</w:t>
      </w:r>
      <w:r>
        <w:rPr>
          <w:spacing w:val="-9"/>
        </w:rPr>
        <w:t> </w:t>
      </w:r>
      <w:r>
        <w:rPr/>
        <w:t>2012a) (Gráfica</w:t>
      </w:r>
      <w:r>
        <w:rPr>
          <w:spacing w:val="-11"/>
        </w:rPr>
        <w:t> </w:t>
      </w:r>
      <w:r>
        <w:rPr/>
        <w:t>1).</w:t>
      </w:r>
    </w:p>
    <w:p>
      <w:pPr>
        <w:pStyle w:val="BodyText"/>
        <w:spacing w:line="249" w:lineRule="auto" w:before="1"/>
        <w:ind w:left="113" w:right="107" w:firstLine="283"/>
        <w:jc w:val="both"/>
      </w:pPr>
      <w:r>
        <w:rPr>
          <w:color w:val="231F20"/>
        </w:rPr>
        <w:t>¿Cuál</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carácter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de</w:t>
      </w:r>
      <w:r>
        <w:rPr>
          <w:color w:val="231F20"/>
          <w:spacing w:val="-9"/>
        </w:rPr>
        <w:t> </w:t>
      </w:r>
      <w:r>
        <w:rPr>
          <w:color w:val="231F20"/>
        </w:rPr>
        <w:t>Estados</w:t>
      </w:r>
      <w:r>
        <w:rPr>
          <w:color w:val="231F20"/>
          <w:spacing w:val="-9"/>
        </w:rPr>
        <w:t> </w:t>
      </w:r>
      <w:r>
        <w:rPr>
          <w:color w:val="231F20"/>
        </w:rPr>
        <w:t>Unidos</w:t>
      </w:r>
      <w:r>
        <w:rPr>
          <w:color w:val="231F20"/>
          <w:spacing w:val="-8"/>
        </w:rPr>
        <w:t> </w:t>
      </w:r>
      <w:r>
        <w:rPr>
          <w:color w:val="231F20"/>
        </w:rPr>
        <w:t>dio</w:t>
      </w:r>
      <w:r>
        <w:rPr>
          <w:color w:val="231F20"/>
          <w:spacing w:val="-9"/>
        </w:rPr>
        <w:t> </w:t>
      </w:r>
      <w:r>
        <w:rPr>
          <w:color w:val="231F20"/>
        </w:rPr>
        <w:t>lugar a un amplio debate sobre su naturaleza, alcances y consecuencias inter- nas</w:t>
      </w:r>
      <w:r>
        <w:rPr>
          <w:color w:val="231F20"/>
          <w:spacing w:val="-9"/>
        </w:rPr>
        <w:t> </w:t>
      </w:r>
      <w:r>
        <w:rPr>
          <w:color w:val="231F20"/>
        </w:rPr>
        <w:t>y</w:t>
      </w:r>
      <w:r>
        <w:rPr>
          <w:color w:val="231F20"/>
          <w:spacing w:val="-9"/>
        </w:rPr>
        <w:t> </w:t>
      </w:r>
      <w:r>
        <w:rPr>
          <w:color w:val="231F20"/>
        </w:rPr>
        <w:t>mundiales.</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puede,</w:t>
      </w:r>
      <w:r>
        <w:rPr>
          <w:color w:val="231F20"/>
          <w:spacing w:val="-9"/>
        </w:rPr>
        <w:t> </w:t>
      </w:r>
      <w:r>
        <w:rPr>
          <w:color w:val="231F20"/>
        </w:rPr>
        <w:t>en</w:t>
      </w:r>
      <w:r>
        <w:rPr>
          <w:color w:val="231F20"/>
          <w:spacing w:val="-9"/>
        </w:rPr>
        <w:t> </w:t>
      </w:r>
      <w:r>
        <w:rPr>
          <w:color w:val="231F20"/>
        </w:rPr>
        <w:t>efecto,</w:t>
      </w:r>
      <w:r>
        <w:rPr>
          <w:color w:val="231F20"/>
          <w:spacing w:val="-9"/>
        </w:rPr>
        <w:t> </w:t>
      </w:r>
      <w:r>
        <w:rPr>
          <w:color w:val="231F20"/>
        </w:rPr>
        <w:t>interpretarse</w:t>
      </w:r>
      <w:r>
        <w:rPr>
          <w:color w:val="231F20"/>
          <w:spacing w:val="-10"/>
        </w:rPr>
        <w:t> </w:t>
      </w:r>
      <w:r>
        <w:rPr>
          <w:color w:val="231F20"/>
        </w:rPr>
        <w:t>de</w:t>
      </w:r>
      <w:r>
        <w:rPr>
          <w:color w:val="231F20"/>
          <w:spacing w:val="-9"/>
        </w:rPr>
        <w:t> </w:t>
      </w:r>
      <w:r>
        <w:rPr>
          <w:color w:val="231F20"/>
        </w:rPr>
        <w:t>diversos</w:t>
      </w:r>
      <w:r>
        <w:rPr>
          <w:color w:val="231F20"/>
          <w:spacing w:val="-9"/>
        </w:rPr>
        <w:t> </w:t>
      </w:r>
      <w:r>
        <w:rPr>
          <w:color w:val="231F20"/>
        </w:rPr>
        <w:t>sen- tidos: como una crisis global o de acumulación, como crisis del modelo neoliberal</w:t>
      </w:r>
      <w:r>
        <w:rPr>
          <w:color w:val="231F20"/>
          <w:spacing w:val="-4"/>
        </w:rPr>
        <w:t> </w:t>
      </w:r>
      <w:r>
        <w:rPr>
          <w:color w:val="231F20"/>
        </w:rPr>
        <w:t>o</w:t>
      </w:r>
      <w:r>
        <w:rPr>
          <w:color w:val="231F20"/>
          <w:spacing w:val="-4"/>
        </w:rPr>
        <w:t> </w:t>
      </w:r>
      <w:r>
        <w:rPr>
          <w:color w:val="231F20"/>
        </w:rPr>
        <w:t>como</w:t>
      </w:r>
      <w:r>
        <w:rPr>
          <w:color w:val="231F20"/>
          <w:spacing w:val="-4"/>
        </w:rPr>
        <w:t> </w:t>
      </w:r>
      <w:r>
        <w:rPr>
          <w:color w:val="231F20"/>
        </w:rPr>
        <w:t>una</w:t>
      </w:r>
      <w:r>
        <w:rPr>
          <w:color w:val="231F20"/>
          <w:spacing w:val="-4"/>
        </w:rPr>
        <w:t> </w:t>
      </w:r>
      <w:r>
        <w:rPr>
          <w:color w:val="231F20"/>
        </w:rPr>
        <w:t>crisis</w:t>
      </w:r>
      <w:r>
        <w:rPr>
          <w:color w:val="231F20"/>
          <w:spacing w:val="-4"/>
        </w:rPr>
        <w:t> </w:t>
      </w:r>
      <w:r>
        <w:rPr>
          <w:i/>
          <w:color w:val="231F20"/>
        </w:rPr>
        <w:t>en</w:t>
      </w:r>
      <w:r>
        <w:rPr>
          <w:i/>
          <w:color w:val="231F20"/>
          <w:spacing w:val="-4"/>
        </w:rPr>
        <w:t> </w:t>
      </w:r>
      <w:r>
        <w:rPr>
          <w:color w:val="231F20"/>
        </w:rPr>
        <w:t>el</w:t>
      </w:r>
      <w:r>
        <w:rPr>
          <w:color w:val="231F20"/>
          <w:spacing w:val="-4"/>
        </w:rPr>
        <w:t> </w:t>
      </w:r>
      <w:r>
        <w:rPr>
          <w:color w:val="231F20"/>
        </w:rPr>
        <w:t>modelo,</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altera</w:t>
      </w:r>
      <w:r>
        <w:rPr>
          <w:color w:val="231F20"/>
          <w:spacing w:val="-4"/>
        </w:rPr>
        <w:t> </w:t>
      </w:r>
      <w:r>
        <w:rPr>
          <w:color w:val="231F20"/>
        </w:rPr>
        <w:t>sustancialmente los fines y objetivos estratégicos de éste en cuanto a la recuperación al- canzada</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tendencia</w:t>
      </w:r>
      <w:r>
        <w:rPr>
          <w:color w:val="231F20"/>
          <w:spacing w:val="-11"/>
        </w:rPr>
        <w:t> </w:t>
      </w:r>
      <w:r>
        <w:rPr>
          <w:color w:val="231F20"/>
        </w:rPr>
        <w:t>decreciente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ganancia</w:t>
      </w:r>
      <w:r>
        <w:rPr>
          <w:color w:val="231F20"/>
          <w:spacing w:val="-10"/>
        </w:rPr>
        <w:t> </w:t>
      </w:r>
      <w:r>
        <w:rPr>
          <w:color w:val="231F20"/>
        </w:rPr>
        <w:t>capitalista</w:t>
      </w:r>
      <w:r>
        <w:rPr>
          <w:color w:val="231F20"/>
          <w:spacing w:val="-11"/>
        </w:rPr>
        <w:t> </w:t>
      </w:r>
      <w:r>
        <w:rPr>
          <w:color w:val="231F20"/>
        </w:rPr>
        <w:t>y</w:t>
      </w:r>
      <w:r>
        <w:rPr>
          <w:color w:val="231F20"/>
          <w:spacing w:val="-10"/>
        </w:rPr>
        <w:t> </w:t>
      </w:r>
      <w:r>
        <w:rPr>
          <w:color w:val="231F20"/>
        </w:rPr>
        <w:t>el</w:t>
      </w:r>
      <w:r>
        <w:rPr>
          <w:color w:val="231F20"/>
          <w:spacing w:val="-10"/>
        </w:rPr>
        <w:t> </w:t>
      </w:r>
      <w:r>
        <w:rPr>
          <w:color w:val="231F20"/>
        </w:rPr>
        <w:t>cambio en la correlación de fuerza de clase que lo hizo posible (Castillo, 2012). Kliman</w:t>
      </w:r>
      <w:r>
        <w:rPr>
          <w:color w:val="231F20"/>
          <w:spacing w:val="-8"/>
        </w:rPr>
        <w:t> </w:t>
      </w:r>
      <w:r>
        <w:rPr>
          <w:color w:val="231F20"/>
        </w:rPr>
        <w:t>(2013),</w:t>
      </w:r>
      <w:r>
        <w:rPr>
          <w:color w:val="231F20"/>
          <w:spacing w:val="-8"/>
        </w:rPr>
        <w:t> </w:t>
      </w:r>
      <w:r>
        <w:rPr>
          <w:color w:val="231F20"/>
        </w:rPr>
        <w:t>entre</w:t>
      </w:r>
      <w:r>
        <w:rPr>
          <w:color w:val="231F20"/>
          <w:spacing w:val="-8"/>
        </w:rPr>
        <w:t> </w:t>
      </w:r>
      <w:r>
        <w:rPr>
          <w:color w:val="231F20"/>
        </w:rPr>
        <w:t>otros</w:t>
      </w:r>
      <w:r>
        <w:rPr>
          <w:color w:val="231F20"/>
          <w:spacing w:val="-8"/>
        </w:rPr>
        <w:t> </w:t>
      </w:r>
      <w:r>
        <w:rPr>
          <w:color w:val="231F20"/>
        </w:rPr>
        <w:t>autores,</w:t>
      </w:r>
      <w:r>
        <w:rPr>
          <w:color w:val="231F20"/>
          <w:spacing w:val="-9"/>
        </w:rPr>
        <w:t> </w:t>
      </w:r>
      <w:r>
        <w:rPr>
          <w:color w:val="231F20"/>
        </w:rPr>
        <w:t>atribuye</w:t>
      </w:r>
      <w:r>
        <w:rPr>
          <w:color w:val="231F20"/>
          <w:spacing w:val="-9"/>
        </w:rPr>
        <w:t> </w:t>
      </w:r>
      <w:r>
        <w:rPr>
          <w:color w:val="231F20"/>
        </w:rPr>
        <w:t>a</w:t>
      </w:r>
      <w:r>
        <w:rPr>
          <w:color w:val="231F20"/>
          <w:spacing w:val="-8"/>
        </w:rPr>
        <w:t> </w:t>
      </w:r>
      <w:r>
        <w:rPr>
          <w:color w:val="231F20"/>
        </w:rPr>
        <w:t>la</w:t>
      </w:r>
      <w:r>
        <w:rPr>
          <w:color w:val="231F20"/>
          <w:spacing w:val="-8"/>
        </w:rPr>
        <w:t> </w:t>
      </w:r>
      <w:r>
        <w:rPr>
          <w:color w:val="231F20"/>
        </w:rPr>
        <w:t>crisis</w:t>
      </w:r>
      <w:r>
        <w:rPr>
          <w:color w:val="231F20"/>
          <w:spacing w:val="-9"/>
        </w:rPr>
        <w:t> </w:t>
      </w:r>
      <w:r>
        <w:rPr>
          <w:color w:val="231F20"/>
        </w:rPr>
        <w:t>“la</w:t>
      </w:r>
      <w:r>
        <w:rPr>
          <w:color w:val="231F20"/>
          <w:spacing w:val="-8"/>
        </w:rPr>
        <w:t> </w:t>
      </w:r>
      <w:r>
        <w:rPr>
          <w:color w:val="231F20"/>
        </w:rPr>
        <w:t>caída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tasa de ganancia y el fracaso de la producción capitalista”, la cual según él “cayó y nunca llegó a recuperarse de forma</w:t>
      </w:r>
      <w:r>
        <w:rPr>
          <w:color w:val="231F20"/>
          <w:spacing w:val="-13"/>
        </w:rPr>
        <w:t> </w:t>
      </w:r>
      <w:r>
        <w:rPr>
          <w:color w:val="231F20"/>
        </w:rPr>
        <w:t>sostenida”.</w:t>
      </w:r>
    </w:p>
    <w:p>
      <w:pPr>
        <w:spacing w:after="0" w:line="249" w:lineRule="auto"/>
        <w:jc w:val="both"/>
        <w:sectPr>
          <w:footerReference w:type="default" r:id="rId43"/>
          <w:pgSz w:w="7770" w:h="11740"/>
          <w:pgMar w:footer="559" w:header="0" w:top="840" w:bottom="740" w:left="1020" w:right="740"/>
        </w:sectPr>
      </w:pPr>
    </w:p>
    <w:p>
      <w:pPr>
        <w:pStyle w:val="BodyText"/>
      </w:pPr>
      <w:r>
        <w:rPr/>
        <w:pict>
          <v:shape style="position:absolute;margin-left:26.963537pt;margin-top:178.527603pt;width:12pt;height:12pt;mso-position-horizontal-relative:page;mso-position-vertical-relative:page;z-index:1504" type="#_x0000_t202" filled="false" stroked="false">
            <v:textbox inset="0,0,0,0" style="layout-flow:vertical">
              <w:txbxContent>
                <w:p>
                  <w:pPr>
                    <w:pStyle w:val="BodyText"/>
                    <w:spacing w:line="224" w:lineRule="exact"/>
                    <w:ind w:left="20" w:right="-100"/>
                  </w:pPr>
                  <w:r>
                    <w:rPr>
                      <w:color w:val="231F20"/>
                    </w:rPr>
                    <w:t>62</w:t>
                  </w:r>
                </w:p>
              </w:txbxContent>
            </v:textbox>
            <w10:wrap type="none"/>
          </v:shape>
        </w:pict>
      </w:r>
    </w:p>
    <w:p>
      <w:pPr>
        <w:pStyle w:val="BodyText"/>
      </w:pPr>
    </w:p>
    <w:p>
      <w:pPr>
        <w:pStyle w:val="BodyText"/>
        <w:spacing w:before="5"/>
        <w:rPr>
          <w:sz w:val="19"/>
        </w:rPr>
      </w:pPr>
    </w:p>
    <w:p>
      <w:pPr>
        <w:spacing w:before="1"/>
        <w:ind w:left="114" w:right="0" w:firstLine="0"/>
        <w:jc w:val="left"/>
        <w:rPr>
          <w:sz w:val="17"/>
        </w:rPr>
      </w:pPr>
      <w:r>
        <w:rPr/>
        <w:pict>
          <v:group style="position:absolute;margin-left:79.687294pt;margin-top:10.036060pt;width:433.25pt;height:277.850pt;mso-position-horizontal-relative:page;mso-position-vertical-relative:paragraph;z-index:-336424" coordorigin="1594,201" coordsize="8665,5557">
            <v:shape style="position:absolute;left:0;top:7077;width:7464;height:5175" coordorigin="0,7077" coordsize="7464,5175" path="m2446,4952l9910,4952m2446,4028l9910,4028m2446,2172l9910,2172m2446,1248l9910,1248m2446,319l9910,319e" filled="false" stroked="true" strokeweight=".234074pt" strokecolor="#000000">
              <v:path arrowok="t"/>
            </v:shape>
            <v:rect style="position:absolute;left:2445;top:319;width:7465;height:4634" filled="false" stroked="true" strokeweight=".22834pt" strokecolor="#808080"/>
            <v:line style="position:absolute" from="2445,4954" to="2445,319" stroked="true" strokeweight=".247pt" strokecolor="#000000"/>
            <v:shape style="position:absolute;left:0;top:7077;width:62;height:5175" coordorigin="0,7077" coordsize="62,5175" path="m2383,4952l2445,4952m2383,4028l2445,4028m2383,3100l2445,3100m2383,2172l2445,2172m2383,1248l2445,1248m2383,319l2445,319e" filled="false" stroked="true" strokeweight=".234074pt" strokecolor="#000000">
              <v:path arrowok="t"/>
            </v:shape>
            <v:line style="position:absolute" from="2445,3100" to="9910,3100" stroked="true" strokeweight=".221149pt" strokecolor="#000000"/>
            <v:shape style="position:absolute;left:0;top:7019;width:7349;height:58" coordorigin="0,7019" coordsize="7349,58" path="m2446,3100l2446,3151m3012,3100l3012,3151m3574,3100l3574,3151m4140,3100l4140,3151m4707,3100l4707,3151m5273,3100l5273,3151m5839,3100l5839,3151m6406,3100l6406,3151m6967,3100l6967,3151m7534,3100l7534,3151m8100,3100l8100,3151m8667,3100l8667,3151m9233,3100l9233,3151m9795,3100l9795,3151e" filled="false" stroked="true" strokeweight=".234074pt" strokecolor="#000000">
              <v:path arrowok="t"/>
            </v:shape>
            <v:shape style="position:absolute;left:0;top:5978;width:903;height:3274" coordorigin="0,5978" coordsize="903,3274" path="m2460,2563l2489,2249m2489,2249l2518,2116m2518,2116l2542,2395m2542,2395l2571,2932m2571,2932l2599,3285m2599,3285l2628,3194m2628,3194l2657,3379m2657,3379l2686,2395m2686,2395l2715,1746m2715,1746l2743,1192m2743,1192l2772,616m2772,616l2796,1136m2796,1136l2825,1394m2825,1394l2854,1746m2854,1746l2883,2081m2883,2081l2911,2137m2911,2137l2940,2434m2940,2434l2969,2692m2969,2692l2998,2098m2998,2098l3027,1952m3027,1952l3051,1841m3051,1841l3079,2098m3079,2098l3108,3005m3108,3005l3137,3435m3137,3435l3166,3547m3166,3547l3195,3250m3195,3250l3223,2601m3223,2601l3252,1952m3252,1952l3281,1656m3281,1656l3305,1617m3305,1617l3334,1875m3334,1875l3363,2507e" filled="false" stroked="true" strokeweight=".94767pt" strokecolor="#000000">
              <v:path arrowok="t"/>
            </v:shape>
            <v:shape style="position:absolute;left:3353;top:2497;width:193;height:428" type="#_x0000_t75" stroked="false">
              <v:imagedata r:id="rId45" o:title=""/>
            </v:shape>
            <v:shape style="position:absolute;left:1075;top:5877;width:2093;height:2525" coordorigin="1075,5877" coordsize="2093,2525" path="m3535,2524l3559,3027m3559,3027l3588,3637m3588,3637l3617,3469m3617,3469l3646,3229m3646,3229l3675,2601m3675,2601l3703,1729m3703,1729l3732,1376m3732,1376l3761,1875m3761,1875l3790,2249m3790,2249l3819,2193m3819,2193l3843,2709m3843,2709l3871,2636m3871,2636l3900,2932m3900,2932l3929,3229m3929,3229l3958,2803m3958,2803l3987,2545m3987,2545l4015,1914m4015,1914l4044,1690m4044,1690l4073,1858m4073,1858l4097,1987m4097,1987l4126,2305m4126,2305l4155,2434m4155,2434l4183,2395m4183,2395l4212,2210m4212,2210l4241,2137m4241,2137l4270,1931m4270,1931l4299,1952m4299,1952l4327,2081m4327,2081l4351,2137m4351,2137l4380,2081m4380,2081l4409,2043m4409,2043l4438,1914m4438,1914l4467,1523m4467,1523l4495,1523m4495,1523l4524,1712m4524,1712l4553,1970m4553,1970l4582,2266m4582,2266l4606,2563m4606,2563l4635,2618m4635,2618l4663,2580m4663,2580l4692,2601m4692,2601l4721,2395m4721,2395l4750,2081m4750,2081l4779,2116m4779,2116l4807,2172m4807,2172l4836,2266m4836,2266l4860,2524m4860,2524l4889,2545m4889,2545l4918,2709m4918,2709l4947,3044m4947,3044l4975,3061m4975,3061l5004,3005m5004,3005l5033,3139m5033,3139l5062,2601m5062,2601l5091,2524m5091,2524l5115,2545m5115,2545l5143,2283m5143,2283l5172,2451m5172,2451l5201,2116m5201,2116l5230,2098m5230,2098l5259,1841m5259,1841l5287,1690m5287,1690l5316,1931m5316,1931l5345,2210m5345,2210l5374,2356m5374,2356l5398,2971m5398,2971l5427,3139m5427,3139l5455,3212m5455,3212l5484,3452m5484,3452l5513,3525m5513,3525l5542,3435m5542,3435l5571,2954m5571,2954l5599,2618m5599,2618l5628,1952e" filled="false" stroked="true" strokeweight=".94767pt" strokecolor="#000000">
              <v:path arrowok="t"/>
            </v:shape>
            <v:shape style="position:absolute;left:5619;top:1848;width:355;height:669" type="#_x0000_t75" stroked="false">
              <v:imagedata r:id="rId46" o:title=""/>
            </v:shape>
            <v:shape style="position:absolute;left:3504;top:5628;width:3480;height:2630" coordorigin="3504,5628" coordsize="3480,2630" path="m5964,1896l5993,2601m5993,2601l6022,2657m6022,2657l6051,2859m6051,2859l6079,2842m6079,2842l6108,3250m6108,3250l6137,3396m6137,3396l6161,3100m6161,3100l6190,2786m6190,2786l6219,2524m6219,2524l6247,2283m6247,2283l6276,2859m6276,2859l6305,3547m6305,3547l6334,3323m6334,3323l6363,3581m6363,3581l6391,3358m6391,3358l6415,2803m6415,2803l6444,2468m6444,2468l6473,2025m6473,2025l6502,1656m6502,1656l6531,1505m6531,1505l6559,1617m6559,1617l6588,1802m6588,1802l6617,2060m6617,2060l6646,2249m6646,2249l6675,2412m6675,2412l6699,2305m6699,2305l6727,2305m6727,2305l6756,2322m6756,2322l6785,2412m6785,2412l6814,2507m6814,2507l6843,2563m6843,2563l6871,2601m6871,2601l6900,2468m6900,2468l6929,2490m6929,2490l6953,2266m6953,2266l6982,2305m6982,2305l7011,2266m7011,2266l7039,2322m7039,2322l7068,2395m7068,2395l7097,2305m7097,2305l7126,2395m7126,2395l7155,2378m7155,2378l7183,2580m7183,2580l7207,2563m7207,2563l7236,2636m7236,2636l7265,2786m7265,2786l7294,2971m7294,2971l7323,3267m7323,3267l7351,3194m7351,3194l7380,3117m7380,3117l7409,2876m7409,2876l7438,2563m7438,2563l7462,2507m7462,2507l7491,2412m7491,2412l7519,2305m7519,2305l7548,2490m7548,2490l7577,2580m7577,2580l7606,2674m7606,2674l7635,2618m7635,2618l7663,2468m7663,2468l7692,2322m7692,2322l7716,2305m7716,2305l7745,2339m7745,2339l7774,2451m7774,2451l7803,2657m7803,2657l7831,2601m7831,2601l7860,2674m7860,2674l7889,2618m7889,2618l7918,2356m7918,2356l7947,2339m7947,2339l7971,2266m7971,2266l7999,2249m7999,2249l8028,2305m8028,2305l8057,2227m8057,2227l8086,2283m8086,2283l8115,2249m8115,2249l8143,2339m8143,2339l8172,2339m8172,2339l8201,2172m8201,2172l8230,2193m8230,2193l8254,2210m8254,2210l8283,2210m8283,2210l8311,2193m8311,2193l8340,2322m8340,2322l8369,2116m8369,2116l8398,2339m8398,2339l8427,2563m8427,2563l8455,2674m8455,2674l8484,2932m8484,2932l8508,3005m8508,3005l8537,3061m8537,3061l8566,2842m8566,2842l8595,2842m8595,2842l8623,2692m8623,2692l8652,2730m8652,2730l8681,2803m8681,2803l8710,2730m8710,2730l8739,2507m8739,2507l8763,2305m8763,2305l8791,2283m8791,2283l8820,2305m8820,2305l8849,2468m8849,2468l8878,2524m8878,2524l8907,2434m8907,2434l8935,2468m8935,2468l8964,2490m8964,2490l8993,2545m8993,2545l9017,2507m9017,2507l9046,2563m9046,2563l9075,2692m9075,2692l9103,2657m9103,2657l9132,2859m9132,2859l9161,2786m9161,2786l9190,2674m9190,2674l9219,2747m9219,2747l9247,2898m9247,2898l9271,2932m9271,2932l9300,3156m9300,3156l9329,3620m9329,3620l9358,3749m9358,3749l9387,3860m9387,3860l9415,3710m9415,3710l9444,3139e" filled="false" stroked="true" strokeweight=".94767pt" strokecolor="#000000">
              <v:path arrowok="t"/>
            </v:shape>
            <v:shape style="position:absolute;left:9434;top:2480;width:471;height:669" type="#_x0000_t75" stroked="false">
              <v:imagedata r:id="rId47" o:title=""/>
            </v:shape>
            <v:shape style="position:absolute;left:0;top:5939;width:903;height:3312" coordorigin="0,5939" coordsize="903,3312" path="m2460,2563l2489,2210m2489,2210l2518,2081m2518,2081l2542,2322m2542,2322l2571,2898m2571,2898l2599,3285m2599,3285l2628,3194m2628,3194l2657,3414m2657,3414l2686,2378m2686,2378l2715,1746m2715,1746l2743,1192m2743,1192l2772,616m2772,616l2796,1192m2796,1192l2825,1450m2825,1450l2854,1819m2854,1819l2883,2137m2883,2137l2911,2172m2911,2172l2940,2490m2940,2490l2969,2747m2969,2747l2998,2154m2998,2154l3027,1987m3027,1987l3051,1858m3051,1858l3079,2098m3079,2098l3108,3027m3108,3027l3137,3452m3137,3452l3166,3581m3166,3581l3195,3267m3195,3267l3223,2601m3223,2601l3252,1952m3252,1952l3281,1656m3281,1656l3305,1600m3305,1600l3334,1896m3334,1896l3363,2524e" filled="false" stroked="true" strokeweight=".94767pt" strokecolor="#000000">
              <v:path arrowok="t"/>
              <v:stroke dashstyle="dash"/>
            </v:shape>
            <v:shape style="position:absolute;left:3353;top:2514;width:193;height:467" type="#_x0000_t75" stroked="false">
              <v:imagedata r:id="rId48" o:title=""/>
            </v:shape>
            <v:shape style="position:absolute;left:1075;top:5834;width:480;height:2612" coordorigin="1075,5834" coordsize="480,2612" path="m3535,2545l3559,3044m3559,3044l3588,3676m3588,3676l3617,3508m3617,3508l3646,3267m3646,3267l3675,2657m3675,2657l3703,1746m3703,1746l3732,1338m3732,1338l3761,1819m3761,1819l3790,2193m3790,2193l3819,2137m3819,2137l3843,2730m3843,2730l3871,2692m3871,2692l3900,2988m3900,2988l3929,3285m3929,3285l3958,2859m3958,2859l3987,2580m3987,2580l4015,1931e" filled="false" stroked="true" strokeweight=".94767pt" strokecolor="#000000">
              <v:path arrowok="t"/>
              <v:stroke dashstyle="dash"/>
            </v:shape>
            <v:shape style="position:absolute;left:4005;top:1702;width:442;height:742" type="#_x0000_t75" stroked="false">
              <v:imagedata r:id="rId49" o:title=""/>
            </v:shape>
            <v:shape style="position:absolute;left:1978;top:6002;width:1191;height:2237" coordorigin="1978,6002" coordsize="1191,2237" path="m4438,1952l4467,1523m4467,1523l4495,1523m4495,1523l4524,1729m4524,1729l4553,1987m4553,1987l4582,2305m4582,2305l4606,2601m4606,2601l4635,2657m4635,2657l4663,2636m4663,2636l4692,2636m4692,2636l4721,2412m4721,2412l4750,2098m4750,2098l4779,2116m4779,2116l4807,2193m4807,2193l4836,2283m4836,2283l4860,2545m4860,2545l4889,2563m4889,2563l4918,2730m4918,2730l4947,3044m4947,3044l4975,3061m4975,3061l5004,3027m5004,3027l5033,3139m5033,3139l5062,2580m5062,2580l5091,2507m5091,2507l5115,2524m5115,2524l5143,2266m5143,2266l5172,2451m5172,2451l5201,2116m5201,2116l5230,2081m5230,2081l5259,1819m5259,1819l5287,1673m5287,1673l5316,1914m5316,1914l5345,2193m5345,2193l5374,2322m5374,2322l5398,2971m5398,2971l5427,3139m5427,3139l5455,3212m5455,3212l5484,3452m5484,3452l5513,3525m5513,3525l5542,3435m5542,3435l5571,2954m5571,2954l5599,2636m5599,2636l5628,1970e" filled="false" stroked="true" strokeweight=".94767pt" strokecolor="#000000">
              <v:path arrowok="t"/>
              <v:stroke dashstyle="dash"/>
            </v:shape>
            <v:shape style="position:absolute;left:5619;top:1848;width:354;height:669" type="#_x0000_t75" stroked="false">
              <v:imagedata r:id="rId50" o:title=""/>
            </v:shape>
            <v:shape style="position:absolute;left:3504;top:5258;width:3509;height:2732" coordorigin="3504,5258" coordsize="3509,2732" path="m5964,1875l5993,2618m5993,2618l6022,2674m6022,2674l6051,2859m6051,2859l6079,2842m6079,2842l6108,3229m6108,3229l6137,3396m6137,3396l6161,3117m6161,3117l6190,2786m6190,2786l6219,2563m6219,2563l6247,2283m6247,2283l6276,2876m6276,2876l6305,3564m6305,3564l6334,3525m6334,3525l6363,3452m6363,3452l6391,3340m6391,3340l6415,3005m6415,3005l6444,2618m6444,2618l6473,2227m6473,2227l6502,1875m6502,1875l6531,1746m6531,1746l6559,1802m6559,1802l6588,1987m6588,1987l6617,2210m6617,2210l6646,2412m6646,2412l6675,2507m6675,2507l6699,2524m6699,2524l6727,2507m6727,2507l6756,2563m6756,2563l6785,2657m6785,2657l6814,2730m6814,2730l6843,2898m6843,2898l6871,2971m6871,2971l6900,3027m6900,3027l6929,2898m6929,2898l6953,2730m6953,2730l6982,2563m6982,2563l7011,2490m7011,2490l7039,2524m7039,2524l7068,2580m7068,2580l7097,2657m7097,2657l7126,2709m7126,2709l7155,2803m7155,2803l7183,2876m7183,2876l7207,2988m7207,2988l7236,3083m7236,3083l7265,3229m7265,3229l7294,3452m7294,3452l7323,3581m7323,3581l7351,3637m7351,3637l7380,3508m7380,3508l7409,3285m7409,3285l7438,3100m7438,3100l7462,2932m7462,2932l7491,2842m7491,2842l7519,2842m7519,2842l7548,2876m7548,2876l7577,3005m7577,3005l7606,3044m7606,3044l7635,3044m7635,3044l7663,2971m7663,2971l7692,2898m7692,2898l7716,2859m7716,2859l7745,2915m7745,2915l7774,3044m7774,3044l7803,3156m7803,3156l7831,3229m7831,3229l7860,3229m7860,3229l7889,3156m7889,3156l7918,3044m7918,3044l7947,2915m7947,2915l7971,2898m7971,2898l7999,2876m7999,2876l8028,2876m8028,2876l8057,2876m8057,2876l8086,2876m8086,2876l8115,2954m8115,2954l8143,3005m8143,3005l8172,3005m8172,3005l8201,2988m8201,2988l8230,2932m8230,2932l8254,2954m8254,2954l8283,2915m8283,2915l8311,2932m8311,2932l8340,2915m8340,2915l8369,2988m8369,2988l8398,3100m8398,3100l8427,3302m8427,3302l8455,3491m8455,3491l8484,3598m8484,3598l8508,3710m8508,3710l8537,3676m8537,3676l8566,3620m8566,3620l8595,3491m8595,3491l8623,3435m8623,3435l8652,3414m8652,3414l8681,3452m8681,3452l8710,3396m8710,3396l8739,3267m8739,3267l8763,3117m8763,3117l8791,3005m8791,3005l8820,3027m8820,3027l8849,3100m8849,3100l8878,3194m8878,3194l8907,3212m8907,3212l8935,3212m8935,3212l8964,3212m8964,3212l8993,3156m8993,3156l9017,3194m9017,3194l9046,3285m9046,3285l9075,3379m9075,3379l9103,3379m9103,3379l9132,3508m9132,3508l9161,3525m9161,3525l9190,3547m9190,3547l9219,3525m9219,3525l9247,3598m9247,3598l9271,3637m9271,3637l9300,3710m9300,3710l9329,3861m9329,3861l9358,4045m9358,4045l9387,4191m9387,4191l9415,4157m9415,4157l9444,3951m9444,3951l9473,3379e" filled="false" stroked="true" strokeweight=".94767pt" strokecolor="#000000">
              <v:path arrowok="t"/>
              <v:stroke dashstyle="dash"/>
            </v:shape>
            <v:shape style="position:absolute;left:9463;top:3331;width:442;height:316" type="#_x0000_t75" stroked="false">
              <v:imagedata r:id="rId51" o:title=""/>
            </v:shape>
            <v:shape style="position:absolute;left:1596;top:203;width:8660;height:5552" type="#_x0000_t202" filled="false" stroked="true" strokeweight=".229909pt" strokecolor="#000000">
              <v:textbox inset="0,0,0,0">
                <w:txbxContent>
                  <w:p>
                    <w:pPr>
                      <w:spacing w:before="17"/>
                      <w:ind w:left="325" w:right="7825" w:firstLine="0"/>
                      <w:jc w:val="center"/>
                      <w:rPr>
                        <w:sz w:val="18"/>
                      </w:rPr>
                    </w:pPr>
                    <w:r>
                      <w:rPr>
                        <w:w w:val="110"/>
                        <w:sz w:val="18"/>
                      </w:rPr>
                      <w:t>15</w:t>
                    </w:r>
                  </w:p>
                  <w:p>
                    <w:pPr>
                      <w:spacing w:line="240" w:lineRule="auto" w:before="0"/>
                      <w:rPr>
                        <w:sz w:val="18"/>
                      </w:rPr>
                    </w:pPr>
                  </w:p>
                  <w:p>
                    <w:pPr>
                      <w:spacing w:line="240" w:lineRule="auto" w:before="0"/>
                      <w:rPr>
                        <w:sz w:val="18"/>
                      </w:rPr>
                    </w:pPr>
                  </w:p>
                  <w:p>
                    <w:pPr>
                      <w:spacing w:line="240" w:lineRule="auto" w:before="6"/>
                      <w:rPr>
                        <w:sz w:val="26"/>
                      </w:rPr>
                    </w:pPr>
                  </w:p>
                  <w:p>
                    <w:pPr>
                      <w:spacing w:before="1"/>
                      <w:ind w:left="325" w:right="7825" w:firstLine="0"/>
                      <w:jc w:val="center"/>
                      <w:rPr>
                        <w:sz w:val="18"/>
                      </w:rPr>
                    </w:pPr>
                    <w:r>
                      <w:rPr>
                        <w:w w:val="110"/>
                        <w:sz w:val="18"/>
                      </w:rPr>
                      <w:t>10</w:t>
                    </w:r>
                  </w:p>
                  <w:p>
                    <w:pPr>
                      <w:spacing w:line="240" w:lineRule="auto" w:before="0"/>
                      <w:rPr>
                        <w:sz w:val="18"/>
                      </w:rPr>
                    </w:pPr>
                  </w:p>
                  <w:p>
                    <w:pPr>
                      <w:spacing w:line="240" w:lineRule="auto" w:before="0"/>
                      <w:rPr>
                        <w:sz w:val="18"/>
                      </w:rPr>
                    </w:pPr>
                  </w:p>
                  <w:p>
                    <w:pPr>
                      <w:spacing w:line="240" w:lineRule="auto" w:before="6"/>
                      <w:rPr>
                        <w:sz w:val="26"/>
                      </w:rPr>
                    </w:pPr>
                  </w:p>
                  <w:p>
                    <w:pPr>
                      <w:spacing w:before="1"/>
                      <w:ind w:left="0" w:right="7400" w:firstLine="0"/>
                      <w:jc w:val="center"/>
                      <w:rPr>
                        <w:sz w:val="18"/>
                      </w:rPr>
                    </w:pPr>
                    <w:r>
                      <w:rPr>
                        <w:w w:val="111"/>
                        <w:sz w:val="18"/>
                      </w:rPr>
                      <w:t>5</w:t>
                    </w:r>
                  </w:p>
                  <w:p>
                    <w:pPr>
                      <w:spacing w:line="240" w:lineRule="auto" w:before="0"/>
                      <w:rPr>
                        <w:sz w:val="18"/>
                      </w:rPr>
                    </w:pPr>
                  </w:p>
                  <w:p>
                    <w:pPr>
                      <w:spacing w:line="240" w:lineRule="auto" w:before="0"/>
                      <w:rPr>
                        <w:sz w:val="18"/>
                      </w:rPr>
                    </w:pPr>
                  </w:p>
                  <w:p>
                    <w:pPr>
                      <w:spacing w:line="240" w:lineRule="auto" w:before="6"/>
                      <w:rPr>
                        <w:sz w:val="26"/>
                      </w:rPr>
                    </w:pPr>
                  </w:p>
                  <w:p>
                    <w:pPr>
                      <w:spacing w:before="1"/>
                      <w:ind w:left="0" w:right="7400" w:firstLine="0"/>
                      <w:jc w:val="center"/>
                      <w:rPr>
                        <w:sz w:val="18"/>
                      </w:rPr>
                    </w:pPr>
                    <w:r>
                      <w:rPr>
                        <w:w w:val="111"/>
                        <w:sz w:val="18"/>
                      </w:rPr>
                      <w:t>0</w:t>
                    </w:r>
                  </w:p>
                  <w:p>
                    <w:pPr>
                      <w:spacing w:before="7"/>
                      <w:ind w:left="660" w:right="0" w:firstLine="0"/>
                      <w:jc w:val="left"/>
                      <w:rPr>
                        <w:sz w:val="18"/>
                      </w:rPr>
                    </w:pPr>
                    <w:r>
                      <w:rPr>
                        <w:w w:val="110"/>
                        <w:sz w:val="18"/>
                      </w:rPr>
                      <w:t>1948   1953   1958   1963   1968   1973   1978   1983   1988   1993   1998   2003   2008        2013</w:t>
                    </w:r>
                  </w:p>
                  <w:p>
                    <w:pPr>
                      <w:spacing w:line="240" w:lineRule="auto" w:before="0"/>
                      <w:rPr>
                        <w:sz w:val="18"/>
                      </w:rPr>
                    </w:pPr>
                  </w:p>
                  <w:p>
                    <w:pPr>
                      <w:spacing w:line="240" w:lineRule="auto" w:before="0"/>
                      <w:rPr>
                        <w:sz w:val="26"/>
                      </w:rPr>
                    </w:pPr>
                  </w:p>
                  <w:p>
                    <w:pPr>
                      <w:spacing w:before="0"/>
                      <w:ind w:left="325" w:right="7792" w:firstLine="0"/>
                      <w:jc w:val="center"/>
                      <w:rPr>
                        <w:sz w:val="18"/>
                      </w:rPr>
                    </w:pPr>
                    <w:r>
                      <w:rPr>
                        <w:w w:val="110"/>
                        <w:sz w:val="18"/>
                      </w:rPr>
                      <w:t>-5</w:t>
                    </w:r>
                  </w:p>
                  <w:p>
                    <w:pPr>
                      <w:spacing w:line="240" w:lineRule="auto" w:before="0"/>
                      <w:rPr>
                        <w:sz w:val="18"/>
                      </w:rPr>
                    </w:pPr>
                  </w:p>
                  <w:p>
                    <w:pPr>
                      <w:spacing w:line="240" w:lineRule="auto" w:before="0"/>
                      <w:rPr>
                        <w:sz w:val="18"/>
                      </w:rPr>
                    </w:pPr>
                  </w:p>
                  <w:p>
                    <w:pPr>
                      <w:spacing w:line="240" w:lineRule="auto" w:before="6"/>
                      <w:rPr>
                        <w:sz w:val="26"/>
                      </w:rPr>
                    </w:pPr>
                  </w:p>
                  <w:p>
                    <w:pPr>
                      <w:spacing w:before="1"/>
                      <w:ind w:left="325" w:right="7892" w:firstLine="0"/>
                      <w:jc w:val="center"/>
                      <w:rPr>
                        <w:sz w:val="18"/>
                      </w:rPr>
                    </w:pPr>
                    <w:r>
                      <w:rPr>
                        <w:w w:val="110"/>
                        <w:sz w:val="18"/>
                      </w:rPr>
                      <w:t>-10</w:t>
                    </w:r>
                  </w:p>
                  <w:p>
                    <w:pPr>
                      <w:spacing w:before="34"/>
                      <w:ind w:left="845" w:right="0" w:firstLine="0"/>
                      <w:jc w:val="center"/>
                      <w:rPr>
                        <w:sz w:val="18"/>
                      </w:rPr>
                    </w:pPr>
                    <w:r>
                      <w:rPr>
                        <w:w w:val="110"/>
                        <w:sz w:val="18"/>
                      </w:rPr>
                      <w:t>Años</w:t>
                    </w:r>
                  </w:p>
                  <w:p>
                    <w:pPr>
                      <w:tabs>
                        <w:tab w:pos="1626" w:val="left" w:leader="none"/>
                        <w:tab w:pos="2183" w:val="left" w:leader="none"/>
                      </w:tabs>
                      <w:spacing w:before="142"/>
                      <w:ind w:left="325" w:right="0" w:firstLine="0"/>
                      <w:jc w:val="center"/>
                      <w:rPr>
                        <w:sz w:val="18"/>
                      </w:rPr>
                    </w:pPr>
                    <w:r>
                      <w:rPr>
                        <w:w w:val="110"/>
                        <w:sz w:val="18"/>
                      </w:rPr>
                      <w:t>PIB Oficial</w:t>
                      <w:tab/>
                      <w:tab/>
                      <w:t>PIB</w:t>
                    </w:r>
                    <w:r>
                      <w:rPr>
                        <w:spacing w:val="-12"/>
                        <w:w w:val="110"/>
                        <w:sz w:val="18"/>
                      </w:rPr>
                      <w:t> </w:t>
                    </w:r>
                    <w:r>
                      <w:rPr>
                        <w:w w:val="110"/>
                        <w:sz w:val="18"/>
                      </w:rPr>
                      <w:t>Alternativo</w:t>
                    </w:r>
                  </w:p>
                </w:txbxContent>
              </v:textbox>
              <w10:wrap type="none"/>
            </v:shape>
            <w10:wrap type="none"/>
          </v:group>
        </w:pict>
      </w:r>
      <w:r>
        <w:rPr/>
        <w:pict>
          <v:shape style="position:absolute;margin-left:89.779198pt;margin-top:142.583298pt;width:11pt;height:7.75pt;mso-position-horizontal-relative:page;mso-position-vertical-relative:paragraph;z-index:1528" type="#_x0000_t202" filled="false" stroked="false">
            <v:textbox inset="0,0,0,0" style="layout-flow:vertical;mso-layout-flow-alt:bottom-to-top">
              <w:txbxContent>
                <w:p>
                  <w:pPr>
                    <w:spacing w:line="208" w:lineRule="exact" w:before="0"/>
                    <w:ind w:left="20" w:right="0" w:firstLine="0"/>
                    <w:jc w:val="left"/>
                    <w:rPr>
                      <w:rFonts w:ascii="Calibri"/>
                      <w:sz w:val="18"/>
                    </w:rPr>
                  </w:pPr>
                  <w:r>
                    <w:rPr>
                      <w:rFonts w:ascii="Calibri"/>
                      <w:w w:val="89"/>
                      <w:sz w:val="18"/>
                    </w:rPr>
                    <w:t>%</w:t>
                  </w:r>
                </w:p>
              </w:txbxContent>
            </v:textbox>
            <w10:wrap type="none"/>
          </v:shape>
        </w:pict>
      </w:r>
      <w:r>
        <w:rPr>
          <w:w w:val="115"/>
          <w:sz w:val="17"/>
        </w:rPr>
        <w:t>Gráfica 1. Estados Unidos. Evolución del PIB,  1948-2013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r>
        <w:rPr/>
        <w:pict>
          <v:line style="position:absolute;mso-position-horizontal-relative:page;mso-position-vertical-relative:paragraph;z-index:1408;mso-wrap-distance-left:0;mso-wrap-distance-right:0" from="198.633804pt,13.993491pt" to="223.833804pt,13.993491pt" stroked="true" strokeweight=".89534pt" strokecolor="#000000">
            <w10:wrap type="topAndBottom"/>
          </v:line>
        </w:pict>
      </w:r>
      <w:r>
        <w:rPr/>
        <w:pict>
          <v:line style="position:absolute;mso-position-horizontal-relative:page;mso-position-vertical-relative:paragraph;z-index:1432;mso-wrap-distance-left:0;mso-wrap-distance-right:0" from="291.541107pt,13.993491pt" to="316.741107pt,13.993491pt" stroked="true" strokeweight=".89534pt" strokecolor="#000000">
            <v:stroke dashstyle="dash"/>
            <w10:wrap type="topAndBottom"/>
          </v:line>
        </w:pict>
      </w:r>
    </w:p>
    <w:p>
      <w:pPr>
        <w:pStyle w:val="BodyText"/>
        <w:spacing w:before="11"/>
        <w:rPr>
          <w:sz w:val="18"/>
        </w:rPr>
      </w:pPr>
    </w:p>
    <w:p>
      <w:pPr>
        <w:spacing w:before="0"/>
        <w:ind w:left="114" w:right="0" w:firstLine="0"/>
        <w:jc w:val="left"/>
        <w:rPr>
          <w:sz w:val="14"/>
        </w:rPr>
      </w:pPr>
      <w:r>
        <w:rPr>
          <w:w w:val="115"/>
          <w:sz w:val="14"/>
        </w:rPr>
        <w:t>Fuente: Departamento de Comercio de Estados Unidos, 2013 y John Williams (www.shadowstats.com).</w:t>
      </w:r>
    </w:p>
    <w:p>
      <w:pPr>
        <w:spacing w:after="0"/>
        <w:jc w:val="left"/>
        <w:rPr>
          <w:sz w:val="14"/>
        </w:rPr>
        <w:sectPr>
          <w:footerReference w:type="default" r:id="rId44"/>
          <w:pgSz w:w="11740" w:h="7770" w:orient="landscape"/>
          <w:pgMar w:footer="0" w:header="0" w:top="0" w:bottom="280" w:left="1480" w:right="1360"/>
        </w:sectPr>
      </w:pPr>
    </w:p>
    <w:p>
      <w:pPr>
        <w:pStyle w:val="BodyText"/>
        <w:spacing w:line="249" w:lineRule="auto" w:before="60"/>
        <w:ind w:left="113" w:right="108" w:firstLine="283"/>
        <w:jc w:val="both"/>
      </w:pPr>
      <w:r>
        <w:rPr>
          <w:color w:val="231F20"/>
        </w:rPr>
        <w:t>No </w:t>
      </w:r>
      <w:r>
        <w:rPr>
          <w:color w:val="231F20"/>
          <w:spacing w:val="-3"/>
        </w:rPr>
        <w:t>obstante, </w:t>
      </w:r>
      <w:r>
        <w:rPr>
          <w:color w:val="231F20"/>
        </w:rPr>
        <w:t>el neoliberalismo fue,  y  sigue  siendo,  una  estrate- gia favorable a la lógica de capitalización basada en la flexibilización    y sobreexplotación del trabajo, impuesta por las clases capitalistas en circunstancias de debilitamiento y consecuente derrota de la clase tra- bajadora.</w:t>
      </w:r>
    </w:p>
    <w:p>
      <w:pPr>
        <w:pStyle w:val="BodyText"/>
        <w:spacing w:line="249" w:lineRule="auto" w:before="1"/>
        <w:ind w:left="113" w:right="107" w:firstLine="283"/>
        <w:jc w:val="both"/>
      </w:pPr>
      <w:r>
        <w:rPr>
          <w:color w:val="231F20"/>
        </w:rPr>
        <w:t>La afirmación, que deriva de una lectura “mecánica” de los plantea- mientos de Marx en los </w:t>
      </w:r>
      <w:r>
        <w:rPr>
          <w:i/>
          <w:color w:val="231F20"/>
        </w:rPr>
        <w:t>Grundrisse</w:t>
      </w:r>
      <w:r>
        <w:rPr>
          <w:color w:val="231F20"/>
        </w:rPr>
        <w:t>, y su tesis respecto de la existencia de una falla inexorable e incorregible del capitalismo, asume que cuanto más se desarrolla la acumulación, resulta más dificultoso para los capi- talistas obtener y mantener las tasas de ganancia deseadas. No obstante, dicha afirmación si bien podría responder al proceso global y de largo plazo de desarrollo capitalista, no tiene un correlato empírico en el con- texto</w:t>
      </w:r>
      <w:r>
        <w:rPr>
          <w:color w:val="231F20"/>
          <w:spacing w:val="-6"/>
        </w:rPr>
        <w:t> </w:t>
      </w:r>
      <w:r>
        <w:rPr>
          <w:color w:val="231F20"/>
        </w:rPr>
        <w:t>de</w:t>
      </w:r>
      <w:r>
        <w:rPr>
          <w:color w:val="231F20"/>
          <w:spacing w:val="-6"/>
        </w:rPr>
        <w:t> </w:t>
      </w:r>
      <w:r>
        <w:rPr>
          <w:color w:val="231F20"/>
        </w:rPr>
        <w:t>Estados</w:t>
      </w:r>
      <w:r>
        <w:rPr>
          <w:color w:val="231F20"/>
          <w:spacing w:val="-6"/>
        </w:rPr>
        <w:t> </w:t>
      </w:r>
      <w:r>
        <w:rPr>
          <w:color w:val="231F20"/>
        </w:rPr>
        <w:t>Unidos</w:t>
      </w:r>
      <w:r>
        <w:rPr>
          <w:color w:val="231F20"/>
          <w:spacing w:val="-5"/>
        </w:rPr>
        <w:t> </w:t>
      </w:r>
      <w:r>
        <w:rPr>
          <w:color w:val="231F20"/>
        </w:rPr>
        <w:t>en</w:t>
      </w:r>
      <w:r>
        <w:rPr>
          <w:color w:val="231F20"/>
          <w:spacing w:val="-6"/>
        </w:rPr>
        <w:t> </w:t>
      </w:r>
      <w:r>
        <w:rPr>
          <w:color w:val="231F20"/>
        </w:rPr>
        <w:t>la</w:t>
      </w:r>
      <w:r>
        <w:rPr>
          <w:color w:val="231F20"/>
          <w:spacing w:val="-6"/>
        </w:rPr>
        <w:t> </w:t>
      </w:r>
      <w:r>
        <w:rPr>
          <w:color w:val="231F20"/>
        </w:rPr>
        <w:t>fase</w:t>
      </w:r>
      <w:r>
        <w:rPr>
          <w:color w:val="231F20"/>
          <w:spacing w:val="-6"/>
        </w:rPr>
        <w:t> </w:t>
      </w:r>
      <w:r>
        <w:rPr>
          <w:color w:val="231F20"/>
        </w:rPr>
        <w:t>adopción</w:t>
      </w:r>
      <w:r>
        <w:rPr>
          <w:color w:val="231F20"/>
          <w:spacing w:val="-6"/>
        </w:rPr>
        <w:t> </w:t>
      </w:r>
      <w:r>
        <w:rPr>
          <w:color w:val="231F20"/>
        </w:rPr>
        <w:t>del</w:t>
      </w:r>
      <w:r>
        <w:rPr>
          <w:color w:val="231F20"/>
          <w:spacing w:val="-6"/>
        </w:rPr>
        <w:t> </w:t>
      </w:r>
      <w:r>
        <w:rPr>
          <w:color w:val="231F20"/>
        </w:rPr>
        <w:t>modelo</w:t>
      </w:r>
      <w:r>
        <w:rPr>
          <w:color w:val="231F20"/>
          <w:spacing w:val="-6"/>
        </w:rPr>
        <w:t> </w:t>
      </w:r>
      <w:r>
        <w:rPr>
          <w:color w:val="231F20"/>
        </w:rPr>
        <w:t>neoliberal</w:t>
      </w:r>
      <w:r>
        <w:rPr>
          <w:color w:val="231F20"/>
          <w:spacing w:val="-6"/>
        </w:rPr>
        <w:t> </w:t>
      </w:r>
      <w:r>
        <w:rPr>
          <w:color w:val="231F20"/>
        </w:rPr>
        <w:t>de</w:t>
      </w:r>
      <w:r>
        <w:rPr>
          <w:color w:val="231F20"/>
          <w:spacing w:val="-6"/>
        </w:rPr>
        <w:t> </w:t>
      </w:r>
      <w:r>
        <w:rPr>
          <w:color w:val="231F20"/>
        </w:rPr>
        <w:t>las más de tres últimas</w:t>
      </w:r>
      <w:r>
        <w:rPr>
          <w:color w:val="231F20"/>
          <w:spacing w:val="-2"/>
        </w:rPr>
        <w:t> </w:t>
      </w:r>
      <w:r>
        <w:rPr>
          <w:color w:val="231F20"/>
        </w:rPr>
        <w:t>décadas.</w:t>
      </w:r>
    </w:p>
    <w:p>
      <w:pPr>
        <w:pStyle w:val="BodyText"/>
        <w:spacing w:line="249" w:lineRule="auto" w:before="1"/>
        <w:ind w:left="113" w:right="107" w:firstLine="324"/>
        <w:jc w:val="both"/>
      </w:pPr>
      <w:r>
        <w:rPr>
          <w:color w:val="231F20"/>
        </w:rPr>
        <w:t>Concomitante</w:t>
      </w:r>
      <w:r>
        <w:rPr>
          <w:color w:val="231F20"/>
          <w:spacing w:val="-10"/>
        </w:rPr>
        <w:t> </w:t>
      </w:r>
      <w:r>
        <w:rPr>
          <w:color w:val="231F20"/>
        </w:rPr>
        <w:t>con</w:t>
      </w:r>
      <w:r>
        <w:rPr>
          <w:color w:val="231F20"/>
          <w:spacing w:val="-10"/>
        </w:rPr>
        <w:t> </w:t>
      </w:r>
      <w:r>
        <w:rPr>
          <w:color w:val="231F20"/>
        </w:rPr>
        <w:t>ello,</w:t>
      </w:r>
      <w:r>
        <w:rPr>
          <w:color w:val="231F20"/>
          <w:spacing w:val="-10"/>
        </w:rPr>
        <w:t> </w:t>
      </w:r>
      <w:r>
        <w:rPr>
          <w:color w:val="231F20"/>
        </w:rPr>
        <w:t>lo</w:t>
      </w:r>
      <w:r>
        <w:rPr>
          <w:color w:val="231F20"/>
          <w:spacing w:val="-10"/>
        </w:rPr>
        <w:t> </w:t>
      </w:r>
      <w:r>
        <w:rPr>
          <w:color w:val="231F20"/>
        </w:rPr>
        <w:t>cierto,</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algún</w:t>
      </w:r>
      <w:r>
        <w:rPr>
          <w:color w:val="231F20"/>
          <w:spacing w:val="-10"/>
        </w:rPr>
        <w:t> </w:t>
      </w:r>
      <w:r>
        <w:rPr>
          <w:color w:val="231F20"/>
        </w:rPr>
        <w:t>modo</w:t>
      </w:r>
      <w:r>
        <w:rPr>
          <w:color w:val="231F20"/>
          <w:spacing w:val="-10"/>
        </w:rPr>
        <w:t> </w:t>
      </w:r>
      <w:r>
        <w:rPr>
          <w:color w:val="231F20"/>
        </w:rPr>
        <w:t>paradójico,</w:t>
      </w:r>
      <w:r>
        <w:rPr>
          <w:color w:val="231F20"/>
          <w:spacing w:val="-10"/>
        </w:rPr>
        <w:t> </w:t>
      </w:r>
      <w:r>
        <w:rPr>
          <w:color w:val="231F20"/>
        </w:rPr>
        <w:t>es</w:t>
      </w:r>
      <w:r>
        <w:rPr>
          <w:color w:val="231F20"/>
          <w:spacing w:val="-10"/>
        </w:rPr>
        <w:t> </w:t>
      </w:r>
      <w:r>
        <w:rPr>
          <w:color w:val="231F20"/>
        </w:rPr>
        <w:t>que, primero, como sostiene Caputo (2012), el capitalismo no entró en crisis porque</w:t>
      </w:r>
      <w:r>
        <w:rPr>
          <w:color w:val="231F20"/>
          <w:spacing w:val="-7"/>
        </w:rPr>
        <w:t> </w:t>
      </w:r>
      <w:r>
        <w:rPr>
          <w:color w:val="231F20"/>
        </w:rPr>
        <w:t>produjera</w:t>
      </w:r>
      <w:r>
        <w:rPr>
          <w:color w:val="231F20"/>
          <w:spacing w:val="-7"/>
        </w:rPr>
        <w:t> </w:t>
      </w:r>
      <w:r>
        <w:rPr>
          <w:color w:val="231F20"/>
        </w:rPr>
        <w:t>poco,</w:t>
      </w:r>
      <w:r>
        <w:rPr>
          <w:color w:val="231F20"/>
          <w:spacing w:val="-7"/>
        </w:rPr>
        <w:t> </w:t>
      </w:r>
      <w:r>
        <w:rPr>
          <w:color w:val="231F20"/>
        </w:rPr>
        <w:t>sino</w:t>
      </w:r>
      <w:r>
        <w:rPr>
          <w:color w:val="231F20"/>
          <w:spacing w:val="-6"/>
        </w:rPr>
        <w:t> </w:t>
      </w:r>
      <w:r>
        <w:rPr>
          <w:color w:val="231F20"/>
        </w:rPr>
        <w:t>al</w:t>
      </w:r>
      <w:r>
        <w:rPr>
          <w:color w:val="231F20"/>
          <w:spacing w:val="-7"/>
        </w:rPr>
        <w:t> </w:t>
      </w:r>
      <w:r>
        <w:rPr>
          <w:color w:val="231F20"/>
        </w:rPr>
        <w:t>contrario,</w:t>
      </w:r>
      <w:r>
        <w:rPr>
          <w:color w:val="231F20"/>
          <w:spacing w:val="-7"/>
        </w:rPr>
        <w:t> </w:t>
      </w:r>
      <w:r>
        <w:rPr>
          <w:color w:val="231F20"/>
        </w:rPr>
        <w:t>“porque</w:t>
      </w:r>
      <w:r>
        <w:rPr>
          <w:color w:val="231F20"/>
          <w:spacing w:val="-7"/>
        </w:rPr>
        <w:t> </w:t>
      </w:r>
      <w:r>
        <w:rPr>
          <w:color w:val="231F20"/>
        </w:rPr>
        <w:t>produce</w:t>
      </w:r>
      <w:r>
        <w:rPr>
          <w:color w:val="231F20"/>
          <w:spacing w:val="-7"/>
        </w:rPr>
        <w:t> </w:t>
      </w:r>
      <w:r>
        <w:rPr>
          <w:color w:val="231F20"/>
        </w:rPr>
        <w:t>demasiado”</w:t>
      </w:r>
      <w:r>
        <w:rPr>
          <w:color w:val="231F20"/>
          <w:spacing w:val="-7"/>
        </w:rPr>
        <w:t> y, </w:t>
      </w:r>
      <w:r>
        <w:rPr>
          <w:color w:val="231F20"/>
        </w:rPr>
        <w:t>segundo,</w:t>
      </w:r>
      <w:r>
        <w:rPr>
          <w:color w:val="231F20"/>
          <w:spacing w:val="-10"/>
        </w:rPr>
        <w:t> </w:t>
      </w:r>
      <w:r>
        <w:rPr>
          <w:color w:val="231F20"/>
        </w:rPr>
        <w:t>las</w:t>
      </w:r>
      <w:r>
        <w:rPr>
          <w:color w:val="231F20"/>
          <w:spacing w:val="-10"/>
        </w:rPr>
        <w:t> </w:t>
      </w:r>
      <w:r>
        <w:rPr>
          <w:color w:val="231F20"/>
        </w:rPr>
        <w:t>evidencias</w:t>
      </w:r>
      <w:r>
        <w:rPr>
          <w:color w:val="231F20"/>
          <w:spacing w:val="-11"/>
        </w:rPr>
        <w:t> </w:t>
      </w:r>
      <w:r>
        <w:rPr>
          <w:color w:val="231F20"/>
        </w:rPr>
        <w:t>empíricas</w:t>
      </w:r>
      <w:r>
        <w:rPr>
          <w:color w:val="231F20"/>
          <w:spacing w:val="-11"/>
        </w:rPr>
        <w:t> </w:t>
      </w:r>
      <w:r>
        <w:rPr>
          <w:color w:val="231F20"/>
        </w:rPr>
        <w:t>no</w:t>
      </w:r>
      <w:r>
        <w:rPr>
          <w:color w:val="231F20"/>
          <w:spacing w:val="-10"/>
        </w:rPr>
        <w:t> </w:t>
      </w:r>
      <w:r>
        <w:rPr>
          <w:color w:val="231F20"/>
        </w:rPr>
        <w:t>aportan</w:t>
      </w:r>
      <w:r>
        <w:rPr>
          <w:color w:val="231F20"/>
          <w:spacing w:val="-11"/>
        </w:rPr>
        <w:t> </w:t>
      </w:r>
      <w:r>
        <w:rPr>
          <w:color w:val="231F20"/>
        </w:rPr>
        <w:t>sustento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supuesta</w:t>
      </w:r>
      <w:r>
        <w:rPr>
          <w:color w:val="231F20"/>
          <w:spacing w:val="-10"/>
        </w:rPr>
        <w:t> </w:t>
      </w:r>
      <w:r>
        <w:rPr>
          <w:color w:val="231F20"/>
        </w:rPr>
        <w:t>caída de</w:t>
      </w:r>
      <w:r>
        <w:rPr>
          <w:color w:val="231F20"/>
          <w:spacing w:val="-5"/>
        </w:rPr>
        <w:t> </w:t>
      </w:r>
      <w:r>
        <w:rPr>
          <w:color w:val="231F20"/>
        </w:rPr>
        <w:t>la</w:t>
      </w:r>
      <w:r>
        <w:rPr>
          <w:color w:val="231F20"/>
          <w:spacing w:val="-5"/>
        </w:rPr>
        <w:t> </w:t>
      </w:r>
      <w:r>
        <w:rPr>
          <w:color w:val="231F20"/>
        </w:rPr>
        <w:t>tasa</w:t>
      </w:r>
      <w:r>
        <w:rPr>
          <w:color w:val="231F20"/>
          <w:spacing w:val="-5"/>
        </w:rPr>
        <w:t> </w:t>
      </w:r>
      <w:r>
        <w:rPr>
          <w:color w:val="231F20"/>
        </w:rPr>
        <w:t>de</w:t>
      </w:r>
      <w:r>
        <w:rPr>
          <w:color w:val="231F20"/>
          <w:spacing w:val="-5"/>
        </w:rPr>
        <w:t> </w:t>
      </w:r>
      <w:r>
        <w:rPr>
          <w:color w:val="231F20"/>
        </w:rPr>
        <w:t>ganancia</w:t>
      </w:r>
      <w:r>
        <w:rPr>
          <w:color w:val="231F20"/>
          <w:spacing w:val="-5"/>
        </w:rPr>
        <w:t> </w:t>
      </w:r>
      <w:r>
        <w:rPr>
          <w:color w:val="231F20"/>
        </w:rPr>
        <w:t>capitalista,</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contrario</w:t>
      </w:r>
      <w:r>
        <w:rPr>
          <w:color w:val="231F20"/>
          <w:spacing w:val="-5"/>
        </w:rPr>
        <w:t> </w:t>
      </w:r>
      <w:r>
        <w:rPr>
          <w:color w:val="231F20"/>
        </w:rPr>
        <w:t>ésta</w:t>
      </w:r>
      <w:r>
        <w:rPr>
          <w:color w:val="231F20"/>
          <w:spacing w:val="-5"/>
        </w:rPr>
        <w:t> </w:t>
      </w:r>
      <w:r>
        <w:rPr>
          <w:color w:val="231F20"/>
        </w:rPr>
        <w:t>creció</w:t>
      </w:r>
      <w:r>
        <w:rPr>
          <w:color w:val="231F20"/>
          <w:spacing w:val="-5"/>
        </w:rPr>
        <w:t> </w:t>
      </w:r>
      <w:r>
        <w:rPr>
          <w:color w:val="231F20"/>
        </w:rPr>
        <w:t>aun</w:t>
      </w:r>
      <w:r>
        <w:rPr>
          <w:color w:val="231F20"/>
          <w:spacing w:val="-5"/>
        </w:rPr>
        <w:t> </w:t>
      </w:r>
      <w:r>
        <w:rPr>
          <w:color w:val="231F20"/>
        </w:rPr>
        <w:t>durante y a pesar de la crisis.</w:t>
      </w:r>
    </w:p>
    <w:p>
      <w:pPr>
        <w:pStyle w:val="BodyText"/>
        <w:spacing w:line="249" w:lineRule="auto" w:before="1"/>
        <w:ind w:left="113" w:right="108" w:firstLine="283"/>
        <w:jc w:val="both"/>
      </w:pPr>
      <w:r>
        <w:rPr>
          <w:color w:val="231F20"/>
        </w:rPr>
        <w:t>La</w:t>
      </w:r>
      <w:r>
        <w:rPr>
          <w:color w:val="231F20"/>
          <w:spacing w:val="-11"/>
        </w:rPr>
        <w:t> </w:t>
      </w:r>
      <w:r>
        <w:rPr>
          <w:color w:val="231F20"/>
        </w:rPr>
        <w:t>tasa</w:t>
      </w:r>
      <w:r>
        <w:rPr>
          <w:color w:val="231F20"/>
          <w:spacing w:val="-11"/>
        </w:rPr>
        <w:t> </w:t>
      </w:r>
      <w:r>
        <w:rPr>
          <w:color w:val="231F20"/>
        </w:rPr>
        <w:t>de</w:t>
      </w:r>
      <w:r>
        <w:rPr>
          <w:color w:val="231F20"/>
          <w:spacing w:val="-11"/>
        </w:rPr>
        <w:t> </w:t>
      </w:r>
      <w:r>
        <w:rPr>
          <w:color w:val="231F20"/>
        </w:rPr>
        <w:t>beneficio,</w:t>
      </w:r>
      <w:r>
        <w:rPr>
          <w:color w:val="231F20"/>
          <w:spacing w:val="-11"/>
        </w:rPr>
        <w:t> </w:t>
      </w:r>
      <w:r>
        <w:rPr>
          <w:color w:val="231F20"/>
        </w:rPr>
        <w:t>que</w:t>
      </w:r>
      <w:r>
        <w:rPr>
          <w:color w:val="231F20"/>
          <w:spacing w:val="-11"/>
        </w:rPr>
        <w:t> </w:t>
      </w:r>
      <w:r>
        <w:rPr>
          <w:color w:val="231F20"/>
        </w:rPr>
        <w:t>había</w:t>
      </w:r>
      <w:r>
        <w:rPr>
          <w:color w:val="231F20"/>
          <w:spacing w:val="-11"/>
        </w:rPr>
        <w:t> </w:t>
      </w:r>
      <w:r>
        <w:rPr>
          <w:color w:val="231F20"/>
        </w:rPr>
        <w:t>venido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baja</w:t>
      </w:r>
      <w:r>
        <w:rPr>
          <w:color w:val="231F20"/>
          <w:spacing w:val="-11"/>
        </w:rPr>
        <w:t> </w:t>
      </w:r>
      <w:r>
        <w:rPr>
          <w:color w:val="231F20"/>
        </w:rPr>
        <w:t>durante</w:t>
      </w:r>
      <w:r>
        <w:rPr>
          <w:color w:val="231F20"/>
          <w:spacing w:val="-11"/>
        </w:rPr>
        <w:t> </w:t>
      </w:r>
      <w:r>
        <w:rPr>
          <w:color w:val="231F20"/>
        </w:rPr>
        <w:t>las</w:t>
      </w:r>
      <w:r>
        <w:rPr>
          <w:color w:val="231F20"/>
          <w:spacing w:val="-11"/>
        </w:rPr>
        <w:t> </w:t>
      </w:r>
      <w:r>
        <w:rPr>
          <w:color w:val="231F20"/>
        </w:rPr>
        <w:t>décadas</w:t>
      </w:r>
      <w:r>
        <w:rPr>
          <w:color w:val="231F20"/>
          <w:spacing w:val="-11"/>
        </w:rPr>
        <w:t> </w:t>
      </w:r>
      <w:r>
        <w:rPr>
          <w:color w:val="231F20"/>
        </w:rPr>
        <w:t>de 1960</w:t>
      </w:r>
      <w:r>
        <w:rPr>
          <w:color w:val="231F20"/>
          <w:spacing w:val="-8"/>
        </w:rPr>
        <w:t> </w:t>
      </w:r>
      <w:r>
        <w:rPr>
          <w:color w:val="231F20"/>
        </w:rPr>
        <w:t>y</w:t>
      </w:r>
      <w:r>
        <w:rPr>
          <w:color w:val="231F20"/>
          <w:spacing w:val="-8"/>
        </w:rPr>
        <w:t> </w:t>
      </w:r>
      <w:r>
        <w:rPr>
          <w:color w:val="231F20"/>
        </w:rPr>
        <w:t>1970,</w:t>
      </w:r>
      <w:r>
        <w:rPr>
          <w:color w:val="231F20"/>
          <w:spacing w:val="-8"/>
        </w:rPr>
        <w:t> </w:t>
      </w:r>
      <w:r>
        <w:rPr>
          <w:color w:val="231F20"/>
        </w:rPr>
        <w:t>fue</w:t>
      </w:r>
      <w:r>
        <w:rPr>
          <w:color w:val="231F20"/>
          <w:spacing w:val="-8"/>
        </w:rPr>
        <w:t> </w:t>
      </w:r>
      <w:r>
        <w:rPr>
          <w:color w:val="231F20"/>
        </w:rPr>
        <w:t>revertida</w:t>
      </w:r>
      <w:r>
        <w:rPr>
          <w:color w:val="231F20"/>
          <w:spacing w:val="-8"/>
        </w:rPr>
        <w:t> </w:t>
      </w:r>
      <w:r>
        <w:rPr>
          <w:color w:val="231F20"/>
        </w:rPr>
        <w:t>a</w:t>
      </w:r>
      <w:r>
        <w:rPr>
          <w:color w:val="231F20"/>
          <w:spacing w:val="-8"/>
        </w:rPr>
        <w:t> </w:t>
      </w:r>
      <w:r>
        <w:rPr>
          <w:color w:val="231F20"/>
        </w:rPr>
        <w:t>comienzos</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década</w:t>
      </w:r>
      <w:r>
        <w:rPr>
          <w:color w:val="231F20"/>
          <w:spacing w:val="-8"/>
        </w:rPr>
        <w:t> </w:t>
      </w:r>
      <w:r>
        <w:rPr>
          <w:color w:val="231F20"/>
        </w:rPr>
        <w:t>de</w:t>
      </w:r>
      <w:r>
        <w:rPr>
          <w:color w:val="231F20"/>
          <w:spacing w:val="-8"/>
        </w:rPr>
        <w:t> </w:t>
      </w:r>
      <w:r>
        <w:rPr>
          <w:color w:val="231F20"/>
        </w:rPr>
        <w:t>1980.</w:t>
      </w:r>
      <w:r>
        <w:rPr>
          <w:color w:val="231F20"/>
          <w:spacing w:val="-8"/>
        </w:rPr>
        <w:t> </w:t>
      </w:r>
      <w:r>
        <w:rPr>
          <w:color w:val="231F20"/>
        </w:rPr>
        <w:t>En</w:t>
      </w:r>
      <w:r>
        <w:rPr>
          <w:color w:val="231F20"/>
          <w:spacing w:val="-8"/>
        </w:rPr>
        <w:t> </w:t>
      </w:r>
      <w:r>
        <w:rPr>
          <w:color w:val="231F20"/>
        </w:rPr>
        <w:t>Estados Unidos pueden observarse dos tendencias opuestas, claramente marca- das</w:t>
      </w:r>
      <w:r>
        <w:rPr>
          <w:color w:val="231F20"/>
          <w:spacing w:val="-9"/>
        </w:rPr>
        <w:t> </w:t>
      </w:r>
      <w:r>
        <w:rPr>
          <w:color w:val="231F20"/>
        </w:rPr>
        <w:t>por</w:t>
      </w:r>
      <w:r>
        <w:rPr>
          <w:color w:val="231F20"/>
          <w:spacing w:val="-9"/>
        </w:rPr>
        <w:t> </w:t>
      </w:r>
      <w:r>
        <w:rPr>
          <w:color w:val="231F20"/>
        </w:rPr>
        <w:t>las</w:t>
      </w:r>
      <w:r>
        <w:rPr>
          <w:color w:val="231F20"/>
          <w:spacing w:val="-9"/>
        </w:rPr>
        <w:t> </w:t>
      </w:r>
      <w:r>
        <w:rPr>
          <w:color w:val="231F20"/>
        </w:rPr>
        <w:t>contradicciones</w:t>
      </w:r>
      <w:r>
        <w:rPr>
          <w:color w:val="231F20"/>
          <w:spacing w:val="-10"/>
        </w:rPr>
        <w:t> </w:t>
      </w:r>
      <w:r>
        <w:rPr>
          <w:color w:val="231F20"/>
        </w:rPr>
        <w:t>del</w:t>
      </w:r>
      <w:r>
        <w:rPr>
          <w:color w:val="231F20"/>
          <w:spacing w:val="-9"/>
        </w:rPr>
        <w:t> </w:t>
      </w:r>
      <w:r>
        <w:rPr>
          <w:color w:val="231F20"/>
        </w:rPr>
        <w:t>modelo</w:t>
      </w:r>
      <w:r>
        <w:rPr>
          <w:color w:val="231F20"/>
          <w:spacing w:val="-10"/>
        </w:rPr>
        <w:t> </w:t>
      </w:r>
      <w:r>
        <w:rPr>
          <w:color w:val="231F20"/>
        </w:rPr>
        <w:t>neoliberal</w:t>
      </w:r>
      <w:r>
        <w:rPr>
          <w:color w:val="231F20"/>
          <w:spacing w:val="-9"/>
        </w:rPr>
        <w:t> </w:t>
      </w:r>
      <w:r>
        <w:rPr>
          <w:color w:val="231F20"/>
        </w:rPr>
        <w:t>imperante:</w:t>
      </w:r>
      <w:r>
        <w:rPr>
          <w:color w:val="231F20"/>
          <w:spacing w:val="-10"/>
        </w:rPr>
        <w:t> </w:t>
      </w:r>
      <w:r>
        <w:rPr>
          <w:color w:val="231F20"/>
        </w:rPr>
        <w:t>por</w:t>
      </w:r>
      <w:r>
        <w:rPr>
          <w:color w:val="231F20"/>
          <w:spacing w:val="-9"/>
        </w:rPr>
        <w:t> </w:t>
      </w:r>
      <w:r>
        <w:rPr>
          <w:color w:val="231F20"/>
        </w:rPr>
        <w:t>un</w:t>
      </w:r>
      <w:r>
        <w:rPr>
          <w:color w:val="231F20"/>
          <w:spacing w:val="-9"/>
        </w:rPr>
        <w:t> </w:t>
      </w:r>
      <w:r>
        <w:rPr>
          <w:color w:val="231F20"/>
        </w:rPr>
        <w:t>lado, el restablecimiento de la tasa de beneficio </w:t>
      </w:r>
      <w:r>
        <w:rPr>
          <w:color w:val="231F20"/>
          <w:spacing w:val="-7"/>
        </w:rPr>
        <w:t>y, </w:t>
      </w:r>
      <w:r>
        <w:rPr>
          <w:color w:val="231F20"/>
        </w:rPr>
        <w:t>por el otro, la reducción de la parte del PIB destinada a salarios (Castillo, 2012). La característica principal del capitalismo contemporáneo, aunque lo implica, no reside en la oposición entre un capital financiero y un capital productivo, sino en las concepciones y mecanismos que sustentan la flexibilización, la configuración de la nueva división internacional del trabajo y procesos conducentes a la desvalorización de éste y maximización de la ganancia capitalista.</w:t>
      </w:r>
    </w:p>
    <w:p>
      <w:pPr>
        <w:pStyle w:val="BodyText"/>
        <w:spacing w:line="249" w:lineRule="auto" w:before="1"/>
        <w:ind w:left="113" w:right="108" w:firstLine="283"/>
        <w:jc w:val="both"/>
      </w:pPr>
      <w:r>
        <w:rPr>
          <w:color w:val="231F20"/>
        </w:rPr>
        <w:t>La tesis de la crisis y agotamiento del neoliberalismo no parece sos- tenible ni económica ni políticamente, en este último sentido, si consi- deráramos un posible cambio en la correlación de fuerzas y el reposi- cionamiento de la clase trabajadora, derrotada con la instauración del neoliberalismo. Siguiendo a Harvey (2013), si entendemos al neolibera- lismo</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“proyecto</w:t>
      </w:r>
      <w:r>
        <w:rPr>
          <w:color w:val="231F20"/>
          <w:spacing w:val="-7"/>
        </w:rPr>
        <w:t> </w:t>
      </w:r>
      <w:r>
        <w:rPr>
          <w:color w:val="231F20"/>
        </w:rPr>
        <w:t>de</w:t>
      </w:r>
      <w:r>
        <w:rPr>
          <w:color w:val="231F20"/>
          <w:spacing w:val="-7"/>
        </w:rPr>
        <w:t> </w:t>
      </w:r>
      <w:r>
        <w:rPr>
          <w:color w:val="231F20"/>
        </w:rPr>
        <w:t>clase”,</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crisis</w:t>
      </w:r>
      <w:r>
        <w:rPr>
          <w:color w:val="231F20"/>
          <w:spacing w:val="-7"/>
        </w:rPr>
        <w:t> </w:t>
      </w:r>
      <w:r>
        <w:rPr>
          <w:color w:val="231F20"/>
        </w:rPr>
        <w:t>actual</w:t>
      </w:r>
      <w:r>
        <w:rPr>
          <w:color w:val="231F20"/>
          <w:spacing w:val="-7"/>
        </w:rPr>
        <w:t> </w:t>
      </w:r>
      <w:r>
        <w:rPr>
          <w:color w:val="231F20"/>
        </w:rPr>
        <w:t>como</w:t>
      </w:r>
      <w:r>
        <w:rPr>
          <w:color w:val="231F20"/>
          <w:spacing w:val="-7"/>
        </w:rPr>
        <w:t> </w:t>
      </w:r>
      <w:r>
        <w:rPr>
          <w:color w:val="231F20"/>
        </w:rPr>
        <w:t>crisis</w:t>
      </w:r>
      <w:r>
        <w:rPr>
          <w:color w:val="231F20"/>
          <w:spacing w:val="-7"/>
        </w:rPr>
        <w:t> </w:t>
      </w:r>
      <w:r>
        <w:rPr>
          <w:color w:val="231F20"/>
        </w:rPr>
        <w:t>del</w:t>
      </w:r>
      <w:r>
        <w:rPr>
          <w:color w:val="231F20"/>
          <w:spacing w:val="-7"/>
        </w:rPr>
        <w:t> </w:t>
      </w:r>
      <w:r>
        <w:rPr>
          <w:color w:val="231F20"/>
        </w:rPr>
        <w:t>neo- liberalismo, la tesis tendría que ser plantada en dichos términos. Harvey afirma</w:t>
      </w:r>
      <w:r>
        <w:rPr>
          <w:color w:val="231F20"/>
          <w:spacing w:val="-7"/>
        </w:rPr>
        <w:t> </w:t>
      </w:r>
      <w:r>
        <w:rPr>
          <w:color w:val="231F20"/>
        </w:rPr>
        <w:t>la</w:t>
      </w:r>
      <w:r>
        <w:rPr>
          <w:color w:val="231F20"/>
          <w:spacing w:val="-7"/>
        </w:rPr>
        <w:t> </w:t>
      </w:r>
      <w:r>
        <w:rPr>
          <w:color w:val="231F20"/>
        </w:rPr>
        <w:t>centralidad</w:t>
      </w:r>
      <w:r>
        <w:rPr>
          <w:color w:val="231F20"/>
          <w:spacing w:val="-7"/>
        </w:rPr>
        <w:t> </w:t>
      </w:r>
      <w:r>
        <w:rPr>
          <w:color w:val="231F20"/>
        </w:rPr>
        <w:t>del</w:t>
      </w:r>
      <w:r>
        <w:rPr>
          <w:color w:val="231F20"/>
          <w:spacing w:val="-7"/>
        </w:rPr>
        <w:t> </w:t>
      </w:r>
      <w:r>
        <w:rPr>
          <w:color w:val="231F20"/>
        </w:rPr>
        <w:t>trabajo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caracterización</w:t>
      </w:r>
      <w:r>
        <w:rPr>
          <w:color w:val="231F20"/>
          <w:spacing w:val="-7"/>
        </w:rPr>
        <w:t> </w:t>
      </w:r>
      <w:r>
        <w:rPr>
          <w:color w:val="231F20"/>
        </w:rPr>
        <w:t>del</w:t>
      </w:r>
      <w:r>
        <w:rPr>
          <w:color w:val="231F20"/>
          <w:spacing w:val="-7"/>
        </w:rPr>
        <w:t> </w:t>
      </w:r>
      <w:r>
        <w:rPr>
          <w:color w:val="231F20"/>
        </w:rPr>
        <w:t>neoliberalismo,</w:t>
      </w:r>
    </w:p>
    <w:p>
      <w:pPr>
        <w:spacing w:after="0" w:line="249" w:lineRule="auto"/>
        <w:jc w:val="both"/>
        <w:sectPr>
          <w:footerReference w:type="default" r:id="rId52"/>
          <w:pgSz w:w="7770" w:h="11740"/>
          <w:pgMar w:footer="559" w:header="0" w:top="840" w:bottom="740" w:left="1020" w:right="740"/>
          <w:pgNumType w:start="63"/>
        </w:sectPr>
      </w:pPr>
    </w:p>
    <w:p>
      <w:pPr>
        <w:pStyle w:val="BodyText"/>
        <w:spacing w:line="249" w:lineRule="auto" w:before="60"/>
        <w:ind w:left="105" w:right="111"/>
        <w:jc w:val="right"/>
      </w:pPr>
      <w:r>
        <w:rPr>
          <w:color w:val="231F20"/>
        </w:rPr>
        <w:t>dado por el paso de modelo fordista de la sociedad salarial y el trabajo regulado al régimen de la acumulación flexible, que en esencia no tiene</w:t>
      </w:r>
      <w:r>
        <w:rPr>
          <w:color w:val="231F20"/>
          <w:w w:val="100"/>
        </w:rPr>
        <w:t> </w:t>
      </w:r>
      <w:r>
        <w:rPr>
          <w:color w:val="231F20"/>
        </w:rPr>
        <w:t>como fin último la revitalización del capitalismo en su conjunto, sino que está orientado a favorecer un sector particular de la clase capitalista. El neoliberalismo no sólo introdujo cambios importantes en los ámbi-</w:t>
      </w:r>
    </w:p>
    <w:p>
      <w:pPr>
        <w:pStyle w:val="BodyText"/>
        <w:spacing w:line="249" w:lineRule="auto" w:before="1"/>
        <w:ind w:left="110" w:right="111"/>
        <w:jc w:val="both"/>
      </w:pPr>
      <w:r>
        <w:rPr>
          <w:color w:val="231F20"/>
        </w:rPr>
        <w:t>tos de la producción y de las relaciones laborales, también transformó la estructura de clases: por un lado, las burguesías nacionales</w:t>
      </w:r>
      <w:r>
        <w:rPr>
          <w:color w:val="231F20"/>
          <w:spacing w:val="-22"/>
        </w:rPr>
        <w:t> </w:t>
      </w:r>
      <w:r>
        <w:rPr>
          <w:color w:val="231F20"/>
        </w:rPr>
        <w:t>(industriales) fueron desplazadas por las burguesías exportadoras y financieras</w:t>
      </w:r>
      <w:r>
        <w:rPr>
          <w:color w:val="231F20"/>
          <w:spacing w:val="-21"/>
        </w:rPr>
        <w:t> </w:t>
      </w:r>
      <w:r>
        <w:rPr>
          <w:color w:val="231F20"/>
        </w:rPr>
        <w:t>ligadas al</w:t>
      </w:r>
      <w:r>
        <w:rPr>
          <w:color w:val="231F20"/>
          <w:spacing w:val="-10"/>
        </w:rPr>
        <w:t> </w:t>
      </w:r>
      <w:r>
        <w:rPr>
          <w:color w:val="231F20"/>
        </w:rPr>
        <w:t>capital</w:t>
      </w:r>
      <w:r>
        <w:rPr>
          <w:color w:val="231F20"/>
          <w:spacing w:val="-10"/>
        </w:rPr>
        <w:t> </w:t>
      </w:r>
      <w:r>
        <w:rPr>
          <w:color w:val="231F20"/>
        </w:rPr>
        <w:t>trasnacional</w:t>
      </w:r>
      <w:r>
        <w:rPr>
          <w:color w:val="231F20"/>
          <w:spacing w:val="-10"/>
        </w:rPr>
        <w:t> </w:t>
      </w:r>
      <w:r>
        <w:rPr>
          <w:color w:val="231F20"/>
          <w:spacing w:val="-7"/>
        </w:rPr>
        <w:t>y,</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otro,</w:t>
      </w:r>
      <w:r>
        <w:rPr>
          <w:color w:val="231F20"/>
          <w:spacing w:val="-10"/>
        </w:rPr>
        <w:t> </w:t>
      </w:r>
      <w:r>
        <w:rPr>
          <w:color w:val="231F20"/>
        </w:rPr>
        <w:t>la</w:t>
      </w:r>
      <w:r>
        <w:rPr>
          <w:color w:val="231F20"/>
          <w:spacing w:val="-10"/>
        </w:rPr>
        <w:t> </w:t>
      </w:r>
      <w:r>
        <w:rPr>
          <w:color w:val="231F20"/>
        </w:rPr>
        <w:t>clase</w:t>
      </w:r>
      <w:r>
        <w:rPr>
          <w:color w:val="231F20"/>
          <w:spacing w:val="-10"/>
        </w:rPr>
        <w:t> </w:t>
      </w:r>
      <w:r>
        <w:rPr>
          <w:color w:val="231F20"/>
        </w:rPr>
        <w:t>trabajadora,</w:t>
      </w:r>
      <w:r>
        <w:rPr>
          <w:color w:val="231F20"/>
          <w:spacing w:val="-10"/>
        </w:rPr>
        <w:t> </w:t>
      </w:r>
      <w:r>
        <w:rPr>
          <w:color w:val="231F20"/>
        </w:rPr>
        <w:t>representada</w:t>
      </w:r>
      <w:r>
        <w:rPr>
          <w:color w:val="231F20"/>
          <w:spacing w:val="-10"/>
        </w:rPr>
        <w:t> </w:t>
      </w:r>
      <w:r>
        <w:rPr>
          <w:color w:val="231F20"/>
        </w:rPr>
        <w:t>por el obrero industrial, fue desarticulada de la fábrica y de sus organizacio- nes legítimas al ser relegada al desempleo y subempleo, y a actividades de</w:t>
      </w:r>
      <w:r>
        <w:rPr>
          <w:color w:val="231F20"/>
          <w:spacing w:val="-12"/>
        </w:rPr>
        <w:t> </w:t>
      </w:r>
      <w:r>
        <w:rPr>
          <w:color w:val="231F20"/>
        </w:rPr>
        <w:t>servicios,</w:t>
      </w:r>
      <w:r>
        <w:rPr>
          <w:color w:val="231F20"/>
          <w:spacing w:val="-12"/>
        </w:rPr>
        <w:t> </w:t>
      </w:r>
      <w:r>
        <w:rPr>
          <w:color w:val="231F20"/>
        </w:rPr>
        <w:t>generalmente</w:t>
      </w:r>
      <w:r>
        <w:rPr>
          <w:color w:val="231F20"/>
          <w:spacing w:val="-12"/>
        </w:rPr>
        <w:t> </w:t>
      </w:r>
      <w:r>
        <w:rPr>
          <w:color w:val="231F20"/>
        </w:rPr>
        <w:t>inestables,</w:t>
      </w:r>
      <w:r>
        <w:rPr>
          <w:color w:val="231F20"/>
          <w:spacing w:val="-12"/>
        </w:rPr>
        <w:t> </w:t>
      </w:r>
      <w:r>
        <w:rPr>
          <w:color w:val="231F20"/>
        </w:rPr>
        <w:t>informales</w:t>
      </w:r>
      <w:r>
        <w:rPr>
          <w:color w:val="231F20"/>
          <w:spacing w:val="-13"/>
        </w:rPr>
        <w:t> </w:t>
      </w:r>
      <w:r>
        <w:rPr>
          <w:color w:val="231F20"/>
        </w:rPr>
        <w:t>y</w:t>
      </w:r>
      <w:r>
        <w:rPr>
          <w:color w:val="231F20"/>
          <w:spacing w:val="-12"/>
        </w:rPr>
        <w:t> </w:t>
      </w:r>
      <w:r>
        <w:rPr>
          <w:color w:val="231F20"/>
        </w:rPr>
        <w:t>precarias.</w:t>
      </w:r>
      <w:r>
        <w:rPr>
          <w:color w:val="231F20"/>
          <w:spacing w:val="-12"/>
        </w:rPr>
        <w:t> </w:t>
      </w:r>
      <w:r>
        <w:rPr>
          <w:color w:val="231F20"/>
        </w:rPr>
        <w:t>De</w:t>
      </w:r>
      <w:r>
        <w:rPr>
          <w:color w:val="231F20"/>
          <w:spacing w:val="-12"/>
        </w:rPr>
        <w:t> </w:t>
      </w:r>
      <w:r>
        <w:rPr>
          <w:color w:val="231F20"/>
        </w:rPr>
        <w:t>allí</w:t>
      </w:r>
      <w:r>
        <w:rPr>
          <w:color w:val="231F20"/>
          <w:spacing w:val="-12"/>
        </w:rPr>
        <w:t> </w:t>
      </w:r>
      <w:r>
        <w:rPr>
          <w:color w:val="231F20"/>
        </w:rPr>
        <w:t>que, congruente</w:t>
      </w:r>
      <w:r>
        <w:rPr>
          <w:color w:val="231F20"/>
          <w:spacing w:val="-10"/>
        </w:rPr>
        <w:t> </w:t>
      </w:r>
      <w:r>
        <w:rPr>
          <w:color w:val="231F20"/>
        </w:rPr>
        <w:t>con</w:t>
      </w:r>
      <w:r>
        <w:rPr>
          <w:color w:val="231F20"/>
          <w:spacing w:val="-9"/>
        </w:rPr>
        <w:t> </w:t>
      </w:r>
      <w:r>
        <w:rPr>
          <w:color w:val="231F20"/>
        </w:rPr>
        <w:t>este</w:t>
      </w:r>
      <w:r>
        <w:rPr>
          <w:color w:val="231F20"/>
          <w:spacing w:val="-9"/>
        </w:rPr>
        <w:t> </w:t>
      </w:r>
      <w:r>
        <w:rPr>
          <w:color w:val="231F20"/>
        </w:rPr>
        <w:t>planteamiento,</w:t>
      </w:r>
      <w:r>
        <w:rPr>
          <w:color w:val="231F20"/>
          <w:spacing w:val="-9"/>
        </w:rPr>
        <w:t> </w:t>
      </w:r>
      <w:r>
        <w:rPr>
          <w:color w:val="231F20"/>
        </w:rPr>
        <w:t>el</w:t>
      </w:r>
      <w:r>
        <w:rPr>
          <w:color w:val="231F20"/>
          <w:spacing w:val="-9"/>
        </w:rPr>
        <w:t> </w:t>
      </w:r>
      <w:r>
        <w:rPr>
          <w:color w:val="231F20"/>
        </w:rPr>
        <w:t>propio</w:t>
      </w:r>
      <w:r>
        <w:rPr>
          <w:color w:val="231F20"/>
          <w:spacing w:val="-9"/>
        </w:rPr>
        <w:t> </w:t>
      </w:r>
      <w:r>
        <w:rPr>
          <w:color w:val="231F20"/>
        </w:rPr>
        <w:t>Harvey</w:t>
      </w:r>
      <w:r>
        <w:rPr>
          <w:color w:val="231F20"/>
          <w:spacing w:val="-9"/>
        </w:rPr>
        <w:t> </w:t>
      </w:r>
      <w:r>
        <w:rPr>
          <w:color w:val="231F20"/>
        </w:rPr>
        <w:t>(2013)</w:t>
      </w:r>
      <w:r>
        <w:rPr>
          <w:color w:val="231F20"/>
          <w:spacing w:val="-9"/>
        </w:rPr>
        <w:t> </w:t>
      </w:r>
      <w:r>
        <w:rPr>
          <w:color w:val="231F20"/>
        </w:rPr>
        <w:t>sostiene</w:t>
      </w:r>
      <w:r>
        <w:rPr>
          <w:color w:val="231F20"/>
          <w:spacing w:val="-9"/>
        </w:rPr>
        <w:t> </w:t>
      </w:r>
      <w:r>
        <w:rPr>
          <w:color w:val="231F20"/>
        </w:rPr>
        <w:t>que el neoliberalismo lejos de resultar un fracaso “ha sido todo un éxito”, por lo que concluye “que 2008 no marcó el final de todo esto, una cri- sis de proyecto de clase, sino un paso más” en la misma dirección de intensificación de la explotación y concentración de riqueza y poder. El neoliberalismo</w:t>
      </w:r>
      <w:r>
        <w:rPr>
          <w:color w:val="231F20"/>
          <w:spacing w:val="-8"/>
        </w:rPr>
        <w:t> </w:t>
      </w:r>
      <w:r>
        <w:rPr>
          <w:color w:val="231F20"/>
        </w:rPr>
        <w:t>ha</w:t>
      </w:r>
      <w:r>
        <w:rPr>
          <w:color w:val="231F20"/>
          <w:spacing w:val="-8"/>
        </w:rPr>
        <w:t> </w:t>
      </w:r>
      <w:r>
        <w:rPr>
          <w:color w:val="231F20"/>
        </w:rPr>
        <w:t>fracasado</w:t>
      </w:r>
      <w:r>
        <w:rPr>
          <w:color w:val="231F20"/>
          <w:spacing w:val="-9"/>
        </w:rPr>
        <w:t> </w:t>
      </w:r>
      <w:r>
        <w:rPr>
          <w:color w:val="231F20"/>
        </w:rPr>
        <w:t>como</w:t>
      </w:r>
      <w:r>
        <w:rPr>
          <w:color w:val="231F20"/>
          <w:spacing w:val="-9"/>
        </w:rPr>
        <w:t> </w:t>
      </w:r>
      <w:r>
        <w:rPr>
          <w:color w:val="231F20"/>
        </w:rPr>
        <w:t>proyecto</w:t>
      </w:r>
      <w:r>
        <w:rPr>
          <w:color w:val="231F20"/>
          <w:spacing w:val="-9"/>
        </w:rPr>
        <w:t> </w:t>
      </w:r>
      <w:r>
        <w:rPr>
          <w:color w:val="231F20"/>
        </w:rPr>
        <w:t>vinculado</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burguesías nacionales,</w:t>
      </w:r>
      <w:r>
        <w:rPr>
          <w:color w:val="231F20"/>
          <w:spacing w:val="-7"/>
        </w:rPr>
        <w:t> </w:t>
      </w:r>
      <w:r>
        <w:rPr>
          <w:color w:val="231F20"/>
        </w:rPr>
        <w:t>industriales,</w:t>
      </w:r>
      <w:r>
        <w:rPr>
          <w:color w:val="231F20"/>
          <w:spacing w:val="-7"/>
        </w:rPr>
        <w:t> </w:t>
      </w:r>
      <w:r>
        <w:rPr>
          <w:color w:val="231F20"/>
        </w:rPr>
        <w:t>en</w:t>
      </w:r>
      <w:r>
        <w:rPr>
          <w:color w:val="231F20"/>
          <w:spacing w:val="-7"/>
        </w:rPr>
        <w:t> </w:t>
      </w:r>
      <w:r>
        <w:rPr>
          <w:color w:val="231F20"/>
        </w:rPr>
        <w:t>el</w:t>
      </w:r>
      <w:r>
        <w:rPr>
          <w:color w:val="231F20"/>
          <w:spacing w:val="-6"/>
        </w:rPr>
        <w:t> </w:t>
      </w:r>
      <w:r>
        <w:rPr>
          <w:color w:val="231F20"/>
        </w:rPr>
        <w:t>sentido</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éstas</w:t>
      </w:r>
      <w:r>
        <w:rPr>
          <w:color w:val="231F20"/>
          <w:spacing w:val="-7"/>
        </w:rPr>
        <w:t> </w:t>
      </w:r>
      <w:r>
        <w:rPr>
          <w:color w:val="231F20"/>
        </w:rPr>
        <w:t>han</w:t>
      </w:r>
      <w:r>
        <w:rPr>
          <w:color w:val="231F20"/>
          <w:spacing w:val="-6"/>
        </w:rPr>
        <w:t> </w:t>
      </w:r>
      <w:r>
        <w:rPr>
          <w:color w:val="231F20"/>
        </w:rPr>
        <w:t>aminorado</w:t>
      </w:r>
      <w:r>
        <w:rPr>
          <w:color w:val="231F20"/>
          <w:spacing w:val="-7"/>
        </w:rPr>
        <w:t> </w:t>
      </w:r>
      <w:r>
        <w:rPr>
          <w:color w:val="231F20"/>
        </w:rPr>
        <w:t>su</w:t>
      </w:r>
      <w:r>
        <w:rPr>
          <w:color w:val="231F20"/>
          <w:spacing w:val="-6"/>
        </w:rPr>
        <w:t> </w:t>
      </w:r>
      <w:r>
        <w:rPr>
          <w:color w:val="231F20"/>
        </w:rPr>
        <w:t>pre- sencia (poder, influencia y liderazgo como sector generador de empleo) en</w:t>
      </w:r>
      <w:r>
        <w:rPr>
          <w:color w:val="231F20"/>
          <w:spacing w:val="-5"/>
        </w:rPr>
        <w:t> </w:t>
      </w:r>
      <w:r>
        <w:rPr>
          <w:color w:val="231F20"/>
        </w:rPr>
        <w:t>los</w:t>
      </w:r>
      <w:r>
        <w:rPr>
          <w:color w:val="231F20"/>
          <w:spacing w:val="-5"/>
        </w:rPr>
        <w:t> </w:t>
      </w:r>
      <w:r>
        <w:rPr>
          <w:color w:val="231F20"/>
        </w:rPr>
        <w:t>mercados</w:t>
      </w:r>
      <w:r>
        <w:rPr>
          <w:color w:val="231F20"/>
          <w:spacing w:val="-5"/>
        </w:rPr>
        <w:t> </w:t>
      </w:r>
      <w:r>
        <w:rPr>
          <w:color w:val="231F20"/>
        </w:rPr>
        <w:t>nacionales</w:t>
      </w:r>
      <w:r>
        <w:rPr>
          <w:color w:val="231F20"/>
          <w:spacing w:val="-5"/>
        </w:rPr>
        <w:t> </w:t>
      </w:r>
      <w:r>
        <w:rPr>
          <w:color w:val="231F20"/>
        </w:rPr>
        <w:t>e</w:t>
      </w:r>
      <w:r>
        <w:rPr>
          <w:color w:val="231F20"/>
          <w:spacing w:val="-5"/>
        </w:rPr>
        <w:t> </w:t>
      </w:r>
      <w:r>
        <w:rPr>
          <w:color w:val="231F20"/>
        </w:rPr>
        <w:t>internacionales,</w:t>
      </w:r>
      <w:r>
        <w:rPr>
          <w:color w:val="231F20"/>
          <w:spacing w:val="-6"/>
        </w:rPr>
        <w:t> </w:t>
      </w:r>
      <w:r>
        <w:rPr>
          <w:color w:val="231F20"/>
        </w:rPr>
        <w:t>pero</w:t>
      </w:r>
      <w:r>
        <w:rPr>
          <w:color w:val="231F20"/>
          <w:spacing w:val="-5"/>
        </w:rPr>
        <w:t> </w:t>
      </w:r>
      <w:r>
        <w:rPr>
          <w:color w:val="231F20"/>
        </w:rPr>
        <w:t>no</w:t>
      </w:r>
      <w:r>
        <w:rPr>
          <w:color w:val="231F20"/>
          <w:spacing w:val="-5"/>
        </w:rPr>
        <w:t> </w:t>
      </w:r>
      <w:r>
        <w:rPr>
          <w:color w:val="231F20"/>
        </w:rPr>
        <w:t>en</w:t>
      </w:r>
      <w:r>
        <w:rPr>
          <w:color w:val="231F20"/>
          <w:spacing w:val="-5"/>
        </w:rPr>
        <w:t> </w:t>
      </w:r>
      <w:r>
        <w:rPr>
          <w:color w:val="231F20"/>
        </w:rPr>
        <w:t>relación</w:t>
      </w:r>
      <w:r>
        <w:rPr>
          <w:color w:val="231F20"/>
          <w:spacing w:val="-5"/>
        </w:rPr>
        <w:t> </w:t>
      </w:r>
      <w:r>
        <w:rPr>
          <w:color w:val="231F20"/>
        </w:rPr>
        <w:t>con</w:t>
      </w:r>
      <w:r>
        <w:rPr>
          <w:color w:val="231F20"/>
          <w:spacing w:val="-5"/>
        </w:rPr>
        <w:t> </w:t>
      </w:r>
      <w:r>
        <w:rPr>
          <w:color w:val="231F20"/>
        </w:rPr>
        <w:t>las burguesías financieras y sus proyectos de</w:t>
      </w:r>
      <w:r>
        <w:rPr>
          <w:color w:val="231F20"/>
          <w:spacing w:val="-15"/>
        </w:rPr>
        <w:t> </w:t>
      </w:r>
      <w:r>
        <w:rPr>
          <w:color w:val="231F20"/>
        </w:rPr>
        <w:t>clase.</w:t>
      </w:r>
    </w:p>
    <w:p>
      <w:pPr>
        <w:pStyle w:val="BodyText"/>
        <w:spacing w:line="249" w:lineRule="auto" w:before="1"/>
        <w:ind w:left="110" w:right="111" w:firstLine="283"/>
        <w:jc w:val="both"/>
      </w:pPr>
      <w:r>
        <w:rPr>
          <w:color w:val="231F20"/>
        </w:rPr>
        <w:t>En términos de la correlación de las fuerzas políticas, dicha contra- dicción</w:t>
      </w:r>
      <w:r>
        <w:rPr>
          <w:color w:val="231F20"/>
          <w:spacing w:val="-8"/>
        </w:rPr>
        <w:t> </w:t>
      </w:r>
      <w:r>
        <w:rPr>
          <w:color w:val="231F20"/>
        </w:rPr>
        <w:t>no</w:t>
      </w:r>
      <w:r>
        <w:rPr>
          <w:color w:val="231F20"/>
          <w:spacing w:val="-8"/>
        </w:rPr>
        <w:t> </w:t>
      </w:r>
      <w:r>
        <w:rPr>
          <w:color w:val="231F20"/>
        </w:rPr>
        <w:t>ha</w:t>
      </w:r>
      <w:r>
        <w:rPr>
          <w:color w:val="231F20"/>
          <w:spacing w:val="-8"/>
        </w:rPr>
        <w:t> </w:t>
      </w:r>
      <w:r>
        <w:rPr>
          <w:color w:val="231F20"/>
        </w:rPr>
        <w:t>desaparecido,</w:t>
      </w:r>
      <w:r>
        <w:rPr>
          <w:color w:val="231F20"/>
          <w:spacing w:val="-8"/>
        </w:rPr>
        <w:t> </w:t>
      </w:r>
      <w:r>
        <w:rPr>
          <w:color w:val="231F20"/>
        </w:rPr>
        <w:t>pero</w:t>
      </w:r>
      <w:r>
        <w:rPr>
          <w:color w:val="231F20"/>
          <w:spacing w:val="-8"/>
        </w:rPr>
        <w:t> </w:t>
      </w:r>
      <w:r>
        <w:rPr>
          <w:color w:val="231F20"/>
        </w:rPr>
        <w:t>tampoco</w:t>
      </w:r>
      <w:r>
        <w:rPr>
          <w:color w:val="231F20"/>
          <w:spacing w:val="-9"/>
        </w:rPr>
        <w:t> </w:t>
      </w:r>
      <w:r>
        <w:rPr>
          <w:color w:val="231F20"/>
        </w:rPr>
        <w:t>se</w:t>
      </w:r>
      <w:r>
        <w:rPr>
          <w:color w:val="231F20"/>
          <w:spacing w:val="-8"/>
        </w:rPr>
        <w:t> </w:t>
      </w:r>
      <w:r>
        <w:rPr>
          <w:color w:val="231F20"/>
        </w:rPr>
        <w:t>ha</w:t>
      </w:r>
      <w:r>
        <w:rPr>
          <w:color w:val="231F20"/>
          <w:spacing w:val="-8"/>
        </w:rPr>
        <w:t> </w:t>
      </w:r>
      <w:r>
        <w:rPr>
          <w:color w:val="231F20"/>
        </w:rPr>
        <w:t>revertido,</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“extin- guirá” a consecuencia de la crisis y sus efectos económicos; por el con- trario, tendría que ser superado en la lógica de las fuerzas sociales, que actualmente</w:t>
      </w:r>
      <w:r>
        <w:rPr>
          <w:color w:val="231F20"/>
          <w:spacing w:val="-10"/>
        </w:rPr>
        <w:t> </w:t>
      </w:r>
      <w:r>
        <w:rPr>
          <w:color w:val="231F20"/>
        </w:rPr>
        <w:t>resultan</w:t>
      </w:r>
      <w:r>
        <w:rPr>
          <w:color w:val="231F20"/>
          <w:spacing w:val="-10"/>
        </w:rPr>
        <w:t> </w:t>
      </w:r>
      <w:r>
        <w:rPr>
          <w:color w:val="231F20"/>
        </w:rPr>
        <w:t>debilitadas.</w:t>
      </w:r>
      <w:r>
        <w:rPr>
          <w:color w:val="231F20"/>
          <w:spacing w:val="-10"/>
        </w:rPr>
        <w:t> </w:t>
      </w:r>
      <w:r>
        <w:rPr>
          <w:color w:val="231F20"/>
        </w:rPr>
        <w:t>No</w:t>
      </w:r>
      <w:r>
        <w:rPr>
          <w:color w:val="231F20"/>
          <w:spacing w:val="-10"/>
        </w:rPr>
        <w:t> </w:t>
      </w:r>
      <w:r>
        <w:rPr>
          <w:color w:val="231F20"/>
        </w:rPr>
        <w:t>existe</w:t>
      </w:r>
      <w:r>
        <w:rPr>
          <w:color w:val="231F20"/>
          <w:spacing w:val="-10"/>
        </w:rPr>
        <w:t> </w:t>
      </w:r>
      <w:r>
        <w:rPr>
          <w:color w:val="231F20"/>
        </w:rPr>
        <w:t>tal</w:t>
      </w:r>
      <w:r>
        <w:rPr>
          <w:color w:val="231F20"/>
          <w:spacing w:val="-10"/>
        </w:rPr>
        <w:t> </w:t>
      </w:r>
      <w:r>
        <w:rPr>
          <w:color w:val="231F20"/>
        </w:rPr>
        <w:t>crisis</w:t>
      </w:r>
      <w:r>
        <w:rPr>
          <w:color w:val="231F20"/>
          <w:spacing w:val="-10"/>
        </w:rPr>
        <w:t> </w:t>
      </w:r>
      <w:r>
        <w:rPr>
          <w:color w:val="231F20"/>
        </w:rPr>
        <w:t>final</w:t>
      </w:r>
      <w:r>
        <w:rPr>
          <w:color w:val="231F20"/>
          <w:spacing w:val="-10"/>
        </w:rPr>
        <w:t> </w:t>
      </w:r>
      <w:r>
        <w:rPr>
          <w:color w:val="231F20"/>
        </w:rPr>
        <w:t>(Castillo,</w:t>
      </w:r>
      <w:r>
        <w:rPr>
          <w:color w:val="231F20"/>
          <w:spacing w:val="-10"/>
        </w:rPr>
        <w:t> </w:t>
      </w:r>
      <w:r>
        <w:rPr>
          <w:color w:val="231F20"/>
        </w:rPr>
        <w:t>2012; Caputo,</w:t>
      </w:r>
      <w:r>
        <w:rPr>
          <w:color w:val="231F20"/>
          <w:spacing w:val="-5"/>
        </w:rPr>
        <w:t> </w:t>
      </w:r>
      <w:r>
        <w:rPr>
          <w:color w:val="231F20"/>
        </w:rPr>
        <w:t>2012).</w:t>
      </w:r>
      <w:r>
        <w:rPr>
          <w:color w:val="231F20"/>
          <w:spacing w:val="-5"/>
        </w:rPr>
        <w:t> </w:t>
      </w:r>
      <w:r>
        <w:rPr>
          <w:color w:val="231F20"/>
        </w:rPr>
        <w:t>El</w:t>
      </w:r>
      <w:r>
        <w:rPr>
          <w:color w:val="231F20"/>
          <w:spacing w:val="-5"/>
        </w:rPr>
        <w:t> </w:t>
      </w:r>
      <w:r>
        <w:rPr>
          <w:color w:val="231F20"/>
        </w:rPr>
        <w:t>neoliberalismo</w:t>
      </w:r>
      <w:r>
        <w:rPr>
          <w:color w:val="231F20"/>
          <w:spacing w:val="-5"/>
        </w:rPr>
        <w:t> </w:t>
      </w:r>
      <w:r>
        <w:rPr>
          <w:color w:val="231F20"/>
        </w:rPr>
        <w:t>no</w:t>
      </w:r>
      <w:r>
        <w:rPr>
          <w:color w:val="231F20"/>
          <w:spacing w:val="-5"/>
        </w:rPr>
        <w:t> </w:t>
      </w:r>
      <w:r>
        <w:rPr>
          <w:color w:val="231F20"/>
        </w:rPr>
        <w:t>ha</w:t>
      </w:r>
      <w:r>
        <w:rPr>
          <w:color w:val="231F20"/>
          <w:spacing w:val="-5"/>
        </w:rPr>
        <w:t> </w:t>
      </w:r>
      <w:r>
        <w:rPr>
          <w:color w:val="231F20"/>
        </w:rPr>
        <w:t>perdido</w:t>
      </w:r>
      <w:r>
        <w:rPr>
          <w:color w:val="231F20"/>
          <w:spacing w:val="-5"/>
        </w:rPr>
        <w:t> </w:t>
      </w:r>
      <w:r>
        <w:rPr>
          <w:color w:val="231F20"/>
        </w:rPr>
        <w:t>capacidad</w:t>
      </w:r>
      <w:r>
        <w:rPr>
          <w:color w:val="231F20"/>
          <w:spacing w:val="-6"/>
        </w:rPr>
        <w:t> </w:t>
      </w:r>
      <w:r>
        <w:rPr>
          <w:color w:val="231F20"/>
        </w:rPr>
        <w:t>de</w:t>
      </w:r>
      <w:r>
        <w:rPr>
          <w:color w:val="231F20"/>
          <w:spacing w:val="-5"/>
        </w:rPr>
        <w:t> </w:t>
      </w:r>
      <w:r>
        <w:rPr>
          <w:color w:val="231F20"/>
        </w:rPr>
        <w:t>generación de nuevas estrategias orientadas a la maximización de la acumulación   y los beneficios capitalistas. La crisis es la crisis de la sobreexplotación global del trabajo y de las emergentes tensiones sociales derivadas de ello. Incluso, pareciera que, en todo caso, estamos ante un momento (o proceso) expansivo del</w:t>
      </w:r>
      <w:r>
        <w:rPr>
          <w:color w:val="231F20"/>
          <w:spacing w:val="-1"/>
        </w:rPr>
        <w:t> </w:t>
      </w:r>
      <w:r>
        <w:rPr>
          <w:color w:val="231F20"/>
        </w:rPr>
        <w:t>capitalismo.</w:t>
      </w:r>
    </w:p>
    <w:p>
      <w:pPr>
        <w:pStyle w:val="Heading4"/>
        <w:ind w:left="110"/>
      </w:pPr>
      <w:r>
        <w:rPr>
          <w:w w:val="75"/>
        </w:rPr>
        <w:t>La desindustrialización y el incremento del trabajo deslocalizado</w:t>
      </w:r>
    </w:p>
    <w:p>
      <w:pPr>
        <w:pStyle w:val="BodyText"/>
        <w:spacing w:line="249" w:lineRule="auto" w:before="171"/>
        <w:ind w:left="110" w:right="111"/>
        <w:jc w:val="both"/>
      </w:pPr>
      <w:r>
        <w:rPr>
          <w:color w:val="231F20"/>
        </w:rPr>
        <w:t>En Estados Unidos podríamos reconocer la existencia de una nueva es- tructura sectorial de la producción y el empleo, dado por el desplaza- miento de la hegemonía de la producción de bienes hacia la generación de servicios, con todas las implicaciones sociolaborales que conlleva en lo que refiere a la organización de la producción, a la calidad de las</w:t>
      </w:r>
      <w:r>
        <w:rPr>
          <w:color w:val="231F20"/>
          <w:spacing w:val="-16"/>
        </w:rPr>
        <w:t> </w:t>
      </w:r>
      <w:r>
        <w:rPr>
          <w:color w:val="231F20"/>
        </w:rPr>
        <w:t>ocu-</w:t>
      </w:r>
    </w:p>
    <w:p>
      <w:pPr>
        <w:spacing w:after="0" w:line="249" w:lineRule="auto"/>
        <w:jc w:val="both"/>
        <w:sectPr>
          <w:pgSz w:w="7770" w:h="11740"/>
          <w:pgMar w:header="0" w:footer="559" w:top="840" w:bottom="740" w:left="740" w:right="1020"/>
        </w:sectPr>
      </w:pPr>
    </w:p>
    <w:p>
      <w:pPr>
        <w:pStyle w:val="BodyText"/>
        <w:spacing w:line="249" w:lineRule="auto" w:before="60"/>
        <w:ind w:left="113" w:right="109"/>
        <w:jc w:val="both"/>
      </w:pPr>
      <w:r>
        <w:rPr>
          <w:color w:val="231F20"/>
        </w:rPr>
        <w:t>paciones y sus efectos sobre las condiciones de vida de los trabajadores, así como a la existencia y debilitamiento de las organizaciones políticas obreras responsables de la defensa de las conquistas y los derechos la- borales.</w:t>
      </w:r>
    </w:p>
    <w:p>
      <w:pPr>
        <w:pStyle w:val="BodyText"/>
        <w:spacing w:line="249" w:lineRule="auto" w:before="1"/>
        <w:ind w:left="113" w:right="107" w:firstLine="283"/>
        <w:jc w:val="both"/>
      </w:pPr>
      <w:r>
        <w:rPr>
          <w:color w:val="231F20"/>
        </w:rPr>
        <w:t>La producción de bienes está siendo desplazada por la producción</w:t>
      </w:r>
      <w:r>
        <w:rPr>
          <w:color w:val="231F20"/>
          <w:spacing w:val="-33"/>
        </w:rPr>
        <w:t> </w:t>
      </w:r>
      <w:r>
        <w:rPr>
          <w:color w:val="231F20"/>
        </w:rPr>
        <w:t>de servicios. La desindustrialización está inherentemente ligada a las nue- vas</w:t>
      </w:r>
      <w:r>
        <w:rPr>
          <w:color w:val="231F20"/>
          <w:spacing w:val="-5"/>
        </w:rPr>
        <w:t> </w:t>
      </w:r>
      <w:r>
        <w:rPr>
          <w:color w:val="231F20"/>
        </w:rPr>
        <w:t>estrategias</w:t>
      </w:r>
      <w:r>
        <w:rPr>
          <w:color w:val="231F20"/>
          <w:spacing w:val="-5"/>
        </w:rPr>
        <w:t> </w:t>
      </w:r>
      <w:r>
        <w:rPr>
          <w:color w:val="231F20"/>
        </w:rPr>
        <w:t>de</w:t>
      </w:r>
      <w:r>
        <w:rPr>
          <w:color w:val="231F20"/>
          <w:spacing w:val="-5"/>
        </w:rPr>
        <w:t> </w:t>
      </w:r>
      <w:r>
        <w:rPr>
          <w:color w:val="231F20"/>
        </w:rPr>
        <w:t>acumulación</w:t>
      </w:r>
      <w:r>
        <w:rPr>
          <w:color w:val="231F20"/>
          <w:spacing w:val="-5"/>
        </w:rPr>
        <w:t> </w:t>
      </w:r>
      <w:r>
        <w:rPr>
          <w:color w:val="231F20"/>
        </w:rPr>
        <w:t>seguidas</w:t>
      </w:r>
      <w:r>
        <w:rPr>
          <w:color w:val="231F20"/>
          <w:spacing w:val="-4"/>
        </w:rPr>
        <w:t> </w:t>
      </w:r>
      <w:r>
        <w:rPr>
          <w:color w:val="231F20"/>
        </w:rPr>
        <w:t>por</w:t>
      </w:r>
      <w:r>
        <w:rPr>
          <w:color w:val="231F20"/>
          <w:spacing w:val="-5"/>
        </w:rPr>
        <w:t> </w:t>
      </w:r>
      <w:r>
        <w:rPr>
          <w:color w:val="231F20"/>
        </w:rPr>
        <w:t>las</w:t>
      </w:r>
      <w:r>
        <w:rPr>
          <w:color w:val="231F20"/>
          <w:spacing w:val="-5"/>
        </w:rPr>
        <w:t> </w:t>
      </w:r>
      <w:r>
        <w:rPr>
          <w:color w:val="231F20"/>
        </w:rPr>
        <w:t>economías</w:t>
      </w:r>
      <w:r>
        <w:rPr>
          <w:color w:val="231F20"/>
          <w:spacing w:val="-5"/>
        </w:rPr>
        <w:t> </w:t>
      </w:r>
      <w:r>
        <w:rPr>
          <w:color w:val="231F20"/>
        </w:rPr>
        <w:t>desarrolladas o no, que adoptaron al neoliberalismo como política económica, y a la hegemonía de clase de la burguesía financiera sobre la burguesía indus- trial, en cuanto a proyecto de clase. La estructura sectorial del mercado de trabajo ha experimentado, por lo menos, dos cambios sustanciales: por</w:t>
      </w:r>
      <w:r>
        <w:rPr>
          <w:color w:val="231F20"/>
          <w:spacing w:val="-10"/>
        </w:rPr>
        <w:t> </w:t>
      </w:r>
      <w:r>
        <w:rPr>
          <w:color w:val="231F20"/>
        </w:rPr>
        <w:t>un</w:t>
      </w:r>
      <w:r>
        <w:rPr>
          <w:color w:val="231F20"/>
          <w:spacing w:val="-10"/>
        </w:rPr>
        <w:t> </w:t>
      </w:r>
      <w:r>
        <w:rPr>
          <w:color w:val="231F20"/>
        </w:rPr>
        <w:t>lado,</w:t>
      </w:r>
      <w:r>
        <w:rPr>
          <w:color w:val="231F20"/>
          <w:spacing w:val="-10"/>
        </w:rPr>
        <w:t> </w:t>
      </w:r>
      <w:r>
        <w:rPr>
          <w:color w:val="231F20"/>
        </w:rPr>
        <w:t>la</w:t>
      </w:r>
      <w:r>
        <w:rPr>
          <w:color w:val="231F20"/>
          <w:spacing w:val="-10"/>
        </w:rPr>
        <w:t> </w:t>
      </w:r>
      <w:r>
        <w:rPr>
          <w:color w:val="231F20"/>
        </w:rPr>
        <w:t>pérdida</w:t>
      </w:r>
      <w:r>
        <w:rPr>
          <w:color w:val="231F20"/>
          <w:spacing w:val="-10"/>
        </w:rPr>
        <w:t> </w:t>
      </w:r>
      <w:r>
        <w:rPr>
          <w:color w:val="231F20"/>
        </w:rPr>
        <w:t>de</w:t>
      </w:r>
      <w:r>
        <w:rPr>
          <w:color w:val="231F20"/>
          <w:spacing w:val="-10"/>
        </w:rPr>
        <w:t> </w:t>
      </w:r>
      <w:r>
        <w:rPr>
          <w:color w:val="231F20"/>
        </w:rPr>
        <w:t>participación</w:t>
      </w:r>
      <w:r>
        <w:rPr>
          <w:color w:val="231F20"/>
          <w:spacing w:val="-10"/>
        </w:rPr>
        <w:t> </w:t>
      </w:r>
      <w:r>
        <w:rPr>
          <w:color w:val="231F20"/>
        </w:rPr>
        <w:t>del</w:t>
      </w:r>
      <w:r>
        <w:rPr>
          <w:color w:val="231F20"/>
          <w:spacing w:val="-10"/>
        </w:rPr>
        <w:t> </w:t>
      </w:r>
      <w:r>
        <w:rPr>
          <w:color w:val="231F20"/>
        </w:rPr>
        <w:t>empleo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sector</w:t>
      </w:r>
      <w:r>
        <w:rPr>
          <w:color w:val="231F20"/>
          <w:spacing w:val="-10"/>
        </w:rPr>
        <w:t> </w:t>
      </w:r>
      <w:r>
        <w:rPr>
          <w:color w:val="231F20"/>
        </w:rPr>
        <w:t>industrial, generalmente más estable, mejor remunerado y protegido por la seguri- dad</w:t>
      </w:r>
      <w:r>
        <w:rPr>
          <w:color w:val="231F20"/>
          <w:spacing w:val="-8"/>
        </w:rPr>
        <w:t> </w:t>
      </w:r>
      <w:r>
        <w:rPr>
          <w:color w:val="231F20"/>
        </w:rPr>
        <w:t>social;</w:t>
      </w:r>
      <w:r>
        <w:rPr>
          <w:color w:val="231F20"/>
          <w:spacing w:val="-7"/>
        </w:rPr>
        <w:t> </w:t>
      </w:r>
      <w:r>
        <w:rPr>
          <w:color w:val="231F20"/>
        </w:rPr>
        <w:t>por</w:t>
      </w:r>
      <w:r>
        <w:rPr>
          <w:color w:val="231F20"/>
          <w:spacing w:val="-8"/>
        </w:rPr>
        <w:t> </w:t>
      </w:r>
      <w:r>
        <w:rPr>
          <w:color w:val="231F20"/>
        </w:rPr>
        <w:t>el</w:t>
      </w:r>
      <w:r>
        <w:rPr>
          <w:color w:val="231F20"/>
          <w:spacing w:val="-8"/>
        </w:rPr>
        <w:t> </w:t>
      </w:r>
      <w:r>
        <w:rPr>
          <w:color w:val="231F20"/>
        </w:rPr>
        <w:t>otro,</w:t>
      </w:r>
      <w:r>
        <w:rPr>
          <w:color w:val="231F20"/>
          <w:spacing w:val="-8"/>
        </w:rPr>
        <w:t> </w:t>
      </w:r>
      <w:r>
        <w:rPr>
          <w:color w:val="231F20"/>
        </w:rPr>
        <w:t>ligado</w:t>
      </w:r>
      <w:r>
        <w:rPr>
          <w:color w:val="231F20"/>
          <w:spacing w:val="-8"/>
        </w:rPr>
        <w:t> </w:t>
      </w:r>
      <w:r>
        <w:rPr>
          <w:color w:val="231F20"/>
        </w:rPr>
        <w:t>al</w:t>
      </w:r>
      <w:r>
        <w:rPr>
          <w:color w:val="231F20"/>
          <w:spacing w:val="-8"/>
        </w:rPr>
        <w:t> </w:t>
      </w:r>
      <w:r>
        <w:rPr>
          <w:color w:val="231F20"/>
        </w:rPr>
        <w:t>anterior,</w:t>
      </w:r>
      <w:r>
        <w:rPr>
          <w:color w:val="231F20"/>
          <w:spacing w:val="-8"/>
        </w:rPr>
        <w:t> </w:t>
      </w:r>
      <w:r>
        <w:rPr>
          <w:color w:val="231F20"/>
        </w:rPr>
        <w:t>la</w:t>
      </w:r>
      <w:r>
        <w:rPr>
          <w:color w:val="231F20"/>
          <w:spacing w:val="-8"/>
        </w:rPr>
        <w:t> </w:t>
      </w:r>
      <w:r>
        <w:rPr>
          <w:color w:val="231F20"/>
        </w:rPr>
        <w:t>ampliación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actividades terciarias, con el consecuente deterioro de la calidad de las ocupaciones (Castillo, 2012). Desde hace ya varias décadas, no es el sector manufac- turero productor de bienes el principal proveedor de oportunidades de empleo, sino las actividades de servicio personales y</w:t>
      </w:r>
      <w:r>
        <w:rPr>
          <w:color w:val="231F20"/>
          <w:spacing w:val="-13"/>
        </w:rPr>
        <w:t> </w:t>
      </w:r>
      <w:r>
        <w:rPr>
          <w:color w:val="231F20"/>
        </w:rPr>
        <w:t>profesionales.</w:t>
      </w:r>
    </w:p>
    <w:p>
      <w:pPr>
        <w:pStyle w:val="BodyText"/>
        <w:spacing w:line="249" w:lineRule="auto" w:before="1"/>
        <w:ind w:left="113" w:right="108" w:firstLine="283"/>
        <w:jc w:val="both"/>
      </w:pPr>
      <w:r>
        <w:rPr/>
        <w:t>La Gráfica 2 muestra la dinámica creciente del empleo en dicho sec- tor entre finales de las décadas de 1950 y 1970, y la caída a partir de en- tonces, claramente acentuada al finalizar la década de 1990 y comenzar la de 2000, cuando experimentó un dramático declive, al descender    de</w:t>
      </w:r>
    </w:p>
    <w:p>
      <w:pPr>
        <w:pStyle w:val="BodyText"/>
        <w:spacing w:line="249" w:lineRule="auto" w:before="1"/>
        <w:ind w:left="113" w:right="107"/>
        <w:jc w:val="both"/>
        <w:rPr>
          <w:sz w:val="11"/>
        </w:rPr>
      </w:pPr>
      <w:r>
        <w:rPr/>
        <w:t>17.6 millones de trabajadores en 1998 a 13.4 millones en 2008, a 11.7 millones en 2010 y mostrar una leve recuperación, con 12.1 millones de ocupados. El sector de actividad económica más golpeado por la crisis de 2008 fue la industria manufacturera, así como la construcción y otro sector empresarial proveedora de servicios a la industria (Alarcón </w:t>
      </w:r>
      <w:r>
        <w:rPr>
          <w:i/>
        </w:rPr>
        <w:t>et al</w:t>
      </w:r>
      <w:r>
        <w:rPr/>
        <w:t>., 2009), con las mayores pérdidas de empleo, y sus consecuentes efectos directos</w:t>
      </w:r>
      <w:r>
        <w:rPr>
          <w:spacing w:val="-11"/>
        </w:rPr>
        <w:t> </w:t>
      </w:r>
      <w:r>
        <w:rPr/>
        <w:t>sobre</w:t>
      </w:r>
      <w:r>
        <w:rPr>
          <w:spacing w:val="-11"/>
        </w:rPr>
        <w:t> </w:t>
      </w:r>
      <w:r>
        <w:rPr/>
        <w:t>los</w:t>
      </w:r>
      <w:r>
        <w:rPr>
          <w:spacing w:val="-11"/>
        </w:rPr>
        <w:t> </w:t>
      </w:r>
      <w:r>
        <w:rPr/>
        <w:t>ingresos</w:t>
      </w:r>
      <w:r>
        <w:rPr>
          <w:spacing w:val="-12"/>
        </w:rPr>
        <w:t> </w:t>
      </w:r>
      <w:r>
        <w:rPr/>
        <w:t>de</w:t>
      </w:r>
      <w:r>
        <w:rPr>
          <w:spacing w:val="-11"/>
        </w:rPr>
        <w:t> </w:t>
      </w:r>
      <w:r>
        <w:rPr/>
        <w:t>los</w:t>
      </w:r>
      <w:r>
        <w:rPr>
          <w:spacing w:val="-11"/>
        </w:rPr>
        <w:t> </w:t>
      </w:r>
      <w:r>
        <w:rPr/>
        <w:t>trabajadores,</w:t>
      </w:r>
      <w:r>
        <w:rPr>
          <w:spacing w:val="-12"/>
        </w:rPr>
        <w:t> </w:t>
      </w:r>
      <w:r>
        <w:rPr/>
        <w:t>particularmente</w:t>
      </w:r>
      <w:r>
        <w:rPr>
          <w:spacing w:val="-11"/>
        </w:rPr>
        <w:t> </w:t>
      </w:r>
      <w:r>
        <w:rPr/>
        <w:t>inmigran- tes latinos </w:t>
      </w:r>
      <w:r>
        <w:rPr>
          <w:spacing w:val="-7"/>
        </w:rPr>
        <w:t>y, </w:t>
      </w:r>
      <w:r>
        <w:rPr/>
        <w:t>entre ellos,</w:t>
      </w:r>
      <w:r>
        <w:rPr>
          <w:spacing w:val="5"/>
        </w:rPr>
        <w:t> </w:t>
      </w:r>
      <w:r>
        <w:rPr/>
        <w:t>mexicanos.</w:t>
      </w:r>
      <w:r>
        <w:rPr>
          <w:position w:val="7"/>
          <w:sz w:val="11"/>
        </w:rPr>
        <w:t>1</w:t>
      </w:r>
    </w:p>
    <w:p>
      <w:pPr>
        <w:pStyle w:val="BodyText"/>
        <w:spacing w:line="249" w:lineRule="auto" w:before="1"/>
        <w:ind w:left="113" w:right="108" w:firstLine="283"/>
        <w:jc w:val="both"/>
      </w:pPr>
      <w:r>
        <w:rPr/>
        <w:t>El cambio en la composición sectorial, dado por el desplazamien-   to hacia actividades de servicio a expensas del achicamiento del sector manufacturero, como también en la agricultura y de la administración pública,</w:t>
      </w:r>
      <w:r>
        <w:rPr>
          <w:spacing w:val="-7"/>
        </w:rPr>
        <w:t> </w:t>
      </w:r>
      <w:r>
        <w:rPr/>
        <w:t>ha</w:t>
      </w:r>
      <w:r>
        <w:rPr>
          <w:spacing w:val="-7"/>
        </w:rPr>
        <w:t> </w:t>
      </w:r>
      <w:r>
        <w:rPr/>
        <w:t>determinado</w:t>
      </w:r>
      <w:r>
        <w:rPr>
          <w:spacing w:val="-7"/>
        </w:rPr>
        <w:t> </w:t>
      </w:r>
      <w:r>
        <w:rPr/>
        <w:t>el</w:t>
      </w:r>
      <w:r>
        <w:rPr>
          <w:spacing w:val="-7"/>
        </w:rPr>
        <w:t> </w:t>
      </w:r>
      <w:r>
        <w:rPr/>
        <w:t>incremento</w:t>
      </w:r>
      <w:r>
        <w:rPr>
          <w:spacing w:val="-7"/>
        </w:rPr>
        <w:t> </w:t>
      </w:r>
      <w:r>
        <w:rPr/>
        <w:t>de</w:t>
      </w:r>
      <w:r>
        <w:rPr>
          <w:spacing w:val="-7"/>
        </w:rPr>
        <w:t> </w:t>
      </w:r>
      <w:r>
        <w:rPr/>
        <w:t>ocupaciones</w:t>
      </w:r>
      <w:r>
        <w:rPr>
          <w:spacing w:val="-7"/>
        </w:rPr>
        <w:t> </w:t>
      </w:r>
      <w:r>
        <w:rPr/>
        <w:t>con</w:t>
      </w:r>
      <w:r>
        <w:rPr>
          <w:spacing w:val="-7"/>
        </w:rPr>
        <w:t> </w:t>
      </w:r>
      <w:r>
        <w:rPr/>
        <w:t>relativamente bajas remuneraciones </w:t>
      </w:r>
      <w:r>
        <w:rPr>
          <w:spacing w:val="-7"/>
        </w:rPr>
        <w:t>y, </w:t>
      </w:r>
      <w:r>
        <w:rPr/>
        <w:t>con ello, el aumento de la desigualdad salarial entre y al interior de ellos (Carty,</w:t>
      </w:r>
      <w:r>
        <w:rPr>
          <w:spacing w:val="-17"/>
        </w:rPr>
        <w:t> </w:t>
      </w:r>
      <w:r>
        <w:rPr/>
        <w:t>1999).</w:t>
      </w:r>
    </w:p>
    <w:p>
      <w:pPr>
        <w:pStyle w:val="BodyText"/>
      </w:pPr>
    </w:p>
    <w:p>
      <w:pPr>
        <w:pStyle w:val="BodyText"/>
        <w:spacing w:before="10"/>
        <w:rPr>
          <w:sz w:val="17"/>
        </w:rPr>
      </w:pPr>
    </w:p>
    <w:p>
      <w:pPr>
        <w:spacing w:before="1"/>
        <w:ind w:left="113" w:right="107" w:firstLine="0"/>
        <w:jc w:val="both"/>
        <w:rPr>
          <w:sz w:val="14"/>
        </w:rPr>
      </w:pPr>
      <w:r>
        <w:rPr>
          <w:color w:val="231F20"/>
          <w:position w:val="5"/>
          <w:sz w:val="8"/>
        </w:rPr>
        <w:t>1 </w:t>
      </w:r>
      <w:r>
        <w:rPr>
          <w:color w:val="231F20"/>
          <w:sz w:val="14"/>
        </w:rPr>
        <w:t>En orden de importancia, los sectores de la actividad económica con mayor presencia de inmigrantes mexicanos</w:t>
      </w:r>
      <w:r>
        <w:rPr>
          <w:color w:val="231F20"/>
          <w:spacing w:val="-8"/>
          <w:sz w:val="14"/>
        </w:rPr>
        <w:t> </w:t>
      </w:r>
      <w:r>
        <w:rPr>
          <w:color w:val="231F20"/>
          <w:sz w:val="14"/>
        </w:rPr>
        <w:t>son</w:t>
      </w:r>
      <w:r>
        <w:rPr>
          <w:color w:val="231F20"/>
          <w:spacing w:val="-7"/>
          <w:sz w:val="14"/>
        </w:rPr>
        <w:t> </w:t>
      </w:r>
      <w:r>
        <w:rPr>
          <w:color w:val="231F20"/>
          <w:sz w:val="14"/>
        </w:rPr>
        <w:t>los</w:t>
      </w:r>
      <w:r>
        <w:rPr>
          <w:color w:val="231F20"/>
          <w:spacing w:val="-8"/>
          <w:sz w:val="14"/>
        </w:rPr>
        <w:t> </w:t>
      </w:r>
      <w:r>
        <w:rPr>
          <w:color w:val="231F20"/>
          <w:sz w:val="14"/>
        </w:rPr>
        <w:t>servicios</w:t>
      </w:r>
      <w:r>
        <w:rPr>
          <w:color w:val="231F20"/>
          <w:spacing w:val="-7"/>
          <w:sz w:val="14"/>
        </w:rPr>
        <w:t> </w:t>
      </w:r>
      <w:r>
        <w:rPr>
          <w:color w:val="231F20"/>
          <w:sz w:val="14"/>
        </w:rPr>
        <w:t>personales,</w:t>
      </w:r>
      <w:r>
        <w:rPr>
          <w:color w:val="231F20"/>
          <w:spacing w:val="-7"/>
          <w:sz w:val="14"/>
        </w:rPr>
        <w:t> </w:t>
      </w:r>
      <w:r>
        <w:rPr>
          <w:color w:val="231F20"/>
          <w:sz w:val="14"/>
        </w:rPr>
        <w:t>la</w:t>
      </w:r>
      <w:r>
        <w:rPr>
          <w:color w:val="231F20"/>
          <w:spacing w:val="-8"/>
          <w:sz w:val="14"/>
        </w:rPr>
        <w:t> </w:t>
      </w:r>
      <w:r>
        <w:rPr>
          <w:color w:val="231F20"/>
          <w:sz w:val="14"/>
        </w:rPr>
        <w:t>construcción,</w:t>
      </w:r>
      <w:r>
        <w:rPr>
          <w:color w:val="231F20"/>
          <w:spacing w:val="-8"/>
          <w:sz w:val="14"/>
        </w:rPr>
        <w:t> </w:t>
      </w:r>
      <w:r>
        <w:rPr>
          <w:color w:val="231F20"/>
          <w:sz w:val="14"/>
        </w:rPr>
        <w:t>la</w:t>
      </w:r>
      <w:r>
        <w:rPr>
          <w:color w:val="231F20"/>
          <w:spacing w:val="-8"/>
          <w:sz w:val="14"/>
        </w:rPr>
        <w:t> </w:t>
      </w:r>
      <w:r>
        <w:rPr>
          <w:color w:val="231F20"/>
          <w:sz w:val="14"/>
        </w:rPr>
        <w:t>manufactura</w:t>
      </w:r>
      <w:r>
        <w:rPr>
          <w:color w:val="231F20"/>
          <w:spacing w:val="-8"/>
          <w:sz w:val="14"/>
        </w:rPr>
        <w:t> </w:t>
      </w:r>
      <w:r>
        <w:rPr>
          <w:color w:val="231F20"/>
          <w:sz w:val="14"/>
        </w:rPr>
        <w:t>y</w:t>
      </w:r>
      <w:r>
        <w:rPr>
          <w:color w:val="231F20"/>
          <w:spacing w:val="-8"/>
          <w:sz w:val="14"/>
        </w:rPr>
        <w:t> </w:t>
      </w:r>
      <w:r>
        <w:rPr>
          <w:color w:val="231F20"/>
          <w:sz w:val="14"/>
        </w:rPr>
        <w:t>el</w:t>
      </w:r>
      <w:r>
        <w:rPr>
          <w:color w:val="231F20"/>
          <w:spacing w:val="-7"/>
          <w:sz w:val="14"/>
        </w:rPr>
        <w:t> </w:t>
      </w:r>
      <w:r>
        <w:rPr>
          <w:color w:val="231F20"/>
          <w:sz w:val="14"/>
        </w:rPr>
        <w:t>comercio,</w:t>
      </w:r>
      <w:r>
        <w:rPr>
          <w:color w:val="231F20"/>
          <w:spacing w:val="-8"/>
          <w:sz w:val="14"/>
        </w:rPr>
        <w:t> </w:t>
      </w:r>
      <w:r>
        <w:rPr>
          <w:color w:val="231F20"/>
          <w:sz w:val="14"/>
        </w:rPr>
        <w:t>y</w:t>
      </w:r>
      <w:r>
        <w:rPr>
          <w:color w:val="231F20"/>
          <w:spacing w:val="-8"/>
          <w:sz w:val="14"/>
        </w:rPr>
        <w:t> </w:t>
      </w:r>
      <w:r>
        <w:rPr>
          <w:color w:val="231F20"/>
          <w:sz w:val="14"/>
        </w:rPr>
        <w:t>las</w:t>
      </w:r>
      <w:r>
        <w:rPr>
          <w:color w:val="231F20"/>
          <w:spacing w:val="-8"/>
          <w:sz w:val="14"/>
        </w:rPr>
        <w:t> </w:t>
      </w:r>
      <w:r>
        <w:rPr>
          <w:color w:val="231F20"/>
          <w:sz w:val="14"/>
        </w:rPr>
        <w:t>ocupaciones en</w:t>
      </w:r>
      <w:r>
        <w:rPr>
          <w:color w:val="231F20"/>
          <w:spacing w:val="-5"/>
          <w:sz w:val="14"/>
        </w:rPr>
        <w:t> </w:t>
      </w:r>
      <w:r>
        <w:rPr>
          <w:color w:val="231F20"/>
          <w:sz w:val="14"/>
        </w:rPr>
        <w:t>las</w:t>
      </w:r>
      <w:r>
        <w:rPr>
          <w:color w:val="231F20"/>
          <w:spacing w:val="-5"/>
          <w:sz w:val="14"/>
        </w:rPr>
        <w:t> </w:t>
      </w:r>
      <w:r>
        <w:rPr>
          <w:color w:val="231F20"/>
          <w:sz w:val="14"/>
        </w:rPr>
        <w:t>que</w:t>
      </w:r>
      <w:r>
        <w:rPr>
          <w:color w:val="231F20"/>
          <w:spacing w:val="-5"/>
          <w:sz w:val="14"/>
        </w:rPr>
        <w:t> </w:t>
      </w:r>
      <w:r>
        <w:rPr>
          <w:color w:val="231F20"/>
          <w:sz w:val="14"/>
        </w:rPr>
        <w:t>predomina</w:t>
      </w:r>
      <w:r>
        <w:rPr>
          <w:color w:val="231F20"/>
          <w:spacing w:val="-5"/>
          <w:sz w:val="14"/>
        </w:rPr>
        <w:t> </w:t>
      </w:r>
      <w:r>
        <w:rPr>
          <w:color w:val="231F20"/>
          <w:sz w:val="14"/>
        </w:rPr>
        <w:t>su</w:t>
      </w:r>
      <w:r>
        <w:rPr>
          <w:color w:val="231F20"/>
          <w:spacing w:val="-5"/>
          <w:sz w:val="14"/>
        </w:rPr>
        <w:t> </w:t>
      </w:r>
      <w:r>
        <w:rPr>
          <w:color w:val="231F20"/>
          <w:sz w:val="14"/>
        </w:rPr>
        <w:t>presencia</w:t>
      </w:r>
      <w:r>
        <w:rPr>
          <w:color w:val="231F20"/>
          <w:spacing w:val="-5"/>
          <w:sz w:val="14"/>
        </w:rPr>
        <w:t> </w:t>
      </w:r>
      <w:r>
        <w:rPr>
          <w:color w:val="231F20"/>
          <w:sz w:val="14"/>
        </w:rPr>
        <w:t>son:</w:t>
      </w:r>
      <w:r>
        <w:rPr>
          <w:color w:val="231F20"/>
          <w:spacing w:val="-5"/>
          <w:sz w:val="14"/>
        </w:rPr>
        <w:t> </w:t>
      </w:r>
      <w:r>
        <w:rPr>
          <w:color w:val="231F20"/>
          <w:sz w:val="14"/>
        </w:rPr>
        <w:t>trabajadores</w:t>
      </w:r>
      <w:r>
        <w:rPr>
          <w:color w:val="231F20"/>
          <w:spacing w:val="-5"/>
          <w:sz w:val="14"/>
        </w:rPr>
        <w:t> </w:t>
      </w:r>
      <w:r>
        <w:rPr>
          <w:color w:val="231F20"/>
          <w:sz w:val="14"/>
        </w:rPr>
        <w:t>de</w:t>
      </w:r>
      <w:r>
        <w:rPr>
          <w:color w:val="231F20"/>
          <w:spacing w:val="-5"/>
          <w:sz w:val="14"/>
        </w:rPr>
        <w:t> </w:t>
      </w:r>
      <w:r>
        <w:rPr>
          <w:color w:val="231F20"/>
          <w:sz w:val="14"/>
        </w:rPr>
        <w:t>la</w:t>
      </w:r>
      <w:r>
        <w:rPr>
          <w:color w:val="231F20"/>
          <w:spacing w:val="-5"/>
          <w:sz w:val="14"/>
        </w:rPr>
        <w:t> </w:t>
      </w:r>
      <w:r>
        <w:rPr>
          <w:color w:val="231F20"/>
          <w:sz w:val="14"/>
        </w:rPr>
        <w:t>construcción,</w:t>
      </w:r>
      <w:r>
        <w:rPr>
          <w:color w:val="231F20"/>
          <w:spacing w:val="-6"/>
          <w:sz w:val="14"/>
        </w:rPr>
        <w:t> </w:t>
      </w:r>
      <w:r>
        <w:rPr>
          <w:color w:val="231F20"/>
          <w:sz w:val="14"/>
        </w:rPr>
        <w:t>obreros</w:t>
      </w:r>
      <w:r>
        <w:rPr>
          <w:color w:val="231F20"/>
          <w:spacing w:val="-5"/>
          <w:sz w:val="14"/>
        </w:rPr>
        <w:t> </w:t>
      </w:r>
      <w:r>
        <w:rPr>
          <w:color w:val="231F20"/>
          <w:sz w:val="14"/>
        </w:rPr>
        <w:t>de</w:t>
      </w:r>
      <w:r>
        <w:rPr>
          <w:color w:val="231F20"/>
          <w:spacing w:val="-5"/>
          <w:sz w:val="14"/>
        </w:rPr>
        <w:t> </w:t>
      </w:r>
      <w:r>
        <w:rPr>
          <w:color w:val="231F20"/>
          <w:sz w:val="14"/>
        </w:rPr>
        <w:t>la</w:t>
      </w:r>
      <w:r>
        <w:rPr>
          <w:color w:val="231F20"/>
          <w:spacing w:val="-5"/>
          <w:sz w:val="14"/>
        </w:rPr>
        <w:t> </w:t>
      </w:r>
      <w:r>
        <w:rPr>
          <w:color w:val="231F20"/>
          <w:sz w:val="14"/>
        </w:rPr>
        <w:t>manufactura,</w:t>
      </w:r>
      <w:r>
        <w:rPr>
          <w:color w:val="231F20"/>
          <w:spacing w:val="-5"/>
          <w:sz w:val="14"/>
        </w:rPr>
        <w:t> </w:t>
      </w:r>
      <w:r>
        <w:rPr>
          <w:color w:val="231F20"/>
          <w:sz w:val="14"/>
        </w:rPr>
        <w:t>entre otros (Alarcón </w:t>
      </w:r>
      <w:r>
        <w:rPr>
          <w:i/>
          <w:color w:val="231F20"/>
          <w:sz w:val="14"/>
        </w:rPr>
        <w:t>et al</w:t>
      </w:r>
      <w:r>
        <w:rPr>
          <w:color w:val="231F20"/>
          <w:sz w:val="14"/>
        </w:rPr>
        <w:t>.,</w:t>
      </w:r>
      <w:r>
        <w:rPr>
          <w:color w:val="231F20"/>
          <w:spacing w:val="-1"/>
          <w:sz w:val="14"/>
        </w:rPr>
        <w:t> </w:t>
      </w:r>
      <w:r>
        <w:rPr>
          <w:color w:val="231F20"/>
          <w:sz w:val="14"/>
        </w:rPr>
        <w:t>2009).</w:t>
      </w:r>
    </w:p>
    <w:p>
      <w:pPr>
        <w:spacing w:after="0"/>
        <w:jc w:val="both"/>
        <w:rPr>
          <w:sz w:val="14"/>
        </w:rPr>
        <w:sectPr>
          <w:footerReference w:type="default" r:id="rId53"/>
          <w:pgSz w:w="7770" w:h="11740"/>
          <w:pgMar w:footer="559" w:header="0" w:top="840" w:bottom="740" w:left="1020" w:right="740"/>
        </w:sectPr>
      </w:pPr>
    </w:p>
    <w:p>
      <w:pPr>
        <w:pStyle w:val="BodyText"/>
      </w:pPr>
      <w:r>
        <w:rPr/>
        <w:pict>
          <v:shape style="position:absolute;margin-left:26.963537pt;margin-top:178.527603pt;width:12pt;height:12pt;mso-position-horizontal-relative:page;mso-position-vertical-relative:page;z-index:1912" type="#_x0000_t202" filled="false" stroked="false">
            <v:textbox inset="0,0,0,0" style="layout-flow:vertical">
              <w:txbxContent>
                <w:p>
                  <w:pPr>
                    <w:pStyle w:val="BodyText"/>
                    <w:spacing w:line="224" w:lineRule="exact"/>
                    <w:ind w:left="20" w:right="-100"/>
                  </w:pPr>
                  <w:r>
                    <w:rPr>
                      <w:color w:val="231F20"/>
                    </w:rPr>
                    <w:t>66</w:t>
                  </w:r>
                </w:p>
              </w:txbxContent>
            </v:textbox>
            <w10:wrap type="none"/>
          </v:shape>
        </w:pict>
      </w:r>
    </w:p>
    <w:p>
      <w:pPr>
        <w:pStyle w:val="BodyText"/>
      </w:pPr>
    </w:p>
    <w:p>
      <w:pPr>
        <w:pStyle w:val="BodyText"/>
      </w:pPr>
    </w:p>
    <w:p>
      <w:pPr>
        <w:pStyle w:val="BodyText"/>
        <w:spacing w:before="7"/>
      </w:pPr>
    </w:p>
    <w:p>
      <w:pPr>
        <w:spacing w:before="0"/>
        <w:ind w:left="119" w:right="724" w:firstLine="0"/>
        <w:jc w:val="left"/>
        <w:rPr>
          <w:sz w:val="19"/>
        </w:rPr>
      </w:pPr>
      <w:r>
        <w:rPr/>
        <w:pict>
          <v:group style="position:absolute;margin-left:77.917503pt;margin-top:11.173336pt;width:442.15pt;height:240.8pt;mso-position-horizontal-relative:page;mso-position-vertical-relative:paragraph;z-index:1888" coordorigin="1558,223" coordsize="8843,4816">
            <v:rect style="position:absolute;left:2895;top:799;width:6410;height:3303" filled="false" stroked="true" strokeweight=".247pt" strokecolor="#808080"/>
            <v:line style="position:absolute" from="9304,4102" to="9304,799" stroked="true" strokeweight=".247pt" strokecolor="#000000"/>
            <v:shape style="position:absolute;left:-3302;top:6714;width:3303;height:118" coordorigin="-3302,6714" coordsize="3303,118" path="m9246,4100l9363,4100m9246,3442l9363,3442m9246,2780l9363,2780m9246,2122l9363,2122m9246,1460l9363,1460m9246,797l9363,797e" filled="false" stroked="true" strokeweight=".247pt" strokecolor="#000000">
              <v:path arrowok="t"/>
            </v:shape>
            <v:line style="position:absolute" from="2895,4102" to="2895,799" stroked="true" strokeweight=".247pt" strokecolor="#000000"/>
            <v:shape style="position:absolute;left:-3302;top:6712;width:3303;height:120" coordorigin="-3302,6712" coordsize="3303,120" path="m2833,4100l2953,4100m2833,3442l2953,3442m2833,2780l2953,2780m2833,2122l2953,2122m2833,1460l2953,1460m2833,797l2953,797e" filled="false" stroked="true" strokeweight=".247pt" strokecolor="#000000">
              <v:path arrowok="t"/>
            </v:shape>
            <v:line style="position:absolute" from="2895,4102" to="9304,4102" stroked="true" strokeweight=".247pt" strokecolor="#000000"/>
            <v:shape style="position:absolute;left:0;top:540;width:120;height:6293" coordorigin="0,540" coordsize="120,6293" path="m2895,4042l2895,4161m3596,4042l3596,4161m4292,4042l4292,4161m4993,4042l4993,4161m5694,4042l5694,4161m6390,4042l6390,4161m7090,4042l7090,4161m7791,4042l7791,4161m8487,4042l8487,4161m9188,4042l9188,4161e" filled="false" stroked="true" strokeweight=".247pt" strokecolor="#000000">
              <v:path arrowok="t"/>
            </v:shape>
            <v:shape style="position:absolute;left:-1354;top:539;width:2607;height:6293" coordorigin="-1354,539" coordsize="2607,6293" path="m2953,2343l3068,2304m3068,2304l3188,2448m3188,2448l3303,2285m3303,2285l3418,2242m3418,2242l3534,2156m3534,2156l3654,1916m3654,1916l3769,1565m3769,1565l3884,1493m3884,1493l3999,1392m3999,1392l4119,1272m4119,1272l4234,1512m4234,1512l4350,1733m4350,1733l4470,1570m4470,1570l4585,1268m4585,1268l4700,1292m4700,1292l4815,1820m4815,1820l4935,1613m4935,1613l5050,1402m5050,1402l5166,1152m5166,1152l5286,989m5286,989l5401,1220m5401,1220l5516,1248m5516,1248l5631,1671m5631,1671l5751,1772m5751,1772l5866,1484m5866,1484l5982,1522m5982,1522l6102,1608m6102,1608l6217,1589m6217,1589l6332,1493m6332,1493l6447,1464m6447,1464l6567,1560m6567,1560l6682,1767m6682,1767l6798,1858m6798,1858l6913,1863m6913,1863l7033,1781m7033,1781l7148,1709m7148,1709l7263,1714m7263,1714l7383,1652m7383,1652l7498,1604m7498,1604l7614,1685m7614,1685l7729,1704m7729,1704l7849,1973m7849,1973l7964,2367m7964,2367l8079,2612m8079,2612l8199,2679m8199,2679l8314,2708m8314,2708l8430,2732m8430,2732l8545,2823m8545,2823l8665,2976m8665,2976l8780,3490m8780,3490l8895,3596m8895,3596l9010,3533m9010,3533l9130,3466m9130,3466l9246,3442e" filled="false" stroked="true" strokeweight="1pt" strokecolor="#000000">
              <v:path arrowok="t"/>
            </v:shape>
            <v:shape style="position:absolute;left:-2231;top:539;width:2231;height:6293" coordorigin="-2231,539" coordsize="2231,6293" path="m2953,3249l3068,3130m3068,3130l3188,3140m3188,3140l3303,3144m3303,3144l3418,3130m3418,3130l3534,3082m3534,3082l3654,3101m3654,3101l3769,3111m3769,3111l3884,3101m3884,3101l3999,3087m3999,3087l4119,3072m4119,3072l4234,2991m4234,2991l4350,3015m4350,3015l4470,2981m4470,2981l4585,2727m4585,2727l4700,2434m4700,2434l4815,2472m4815,2472l4935,2501m4935,2501l5050,2544m5050,2544l5166,2468m5166,2468l5286,2228m5286,2228l5401,2026m5401,2026l5516,2060m5516,2060l5631,2204m5631,2204l5751,2381m5751,2381l5866,2367m5866,2367l5982,2520m5982,2520l6102,2544m6102,2544l6217,2448m6217,2448l6332,2228m6332,2228l6447,2112m6447,2112l6567,2055m6567,2055l6682,2060m6682,2060l6798,2117m6798,2117l6913,2156m6913,2156l7033,2055m7033,2055l7148,1853m7148,1853l7263,1829m7263,1829l7383,1733m7383,1733l7498,1848m7498,1848l7614,1858m7614,1858l7729,1728m7729,1728l7849,2002m7849,2002l7964,2117m7964,2117l8079,2098m8079,2098l8199,1906m8199,1906l8314,1724m8314,1724l8430,1479m8430,1479l8545,1205m8545,1205l8665,1076m8665,1076l8780,1263m8780,1263l8895,1263m8895,1263l9010,1018m9010,1018l9130,1047m9130,1047l9246,1076e" filled="false" stroked="true" strokeweight="1pt" strokecolor="#000000">
              <v:path arrowok="t"/>
              <v:stroke dashstyle="dash"/>
            </v:shape>
            <v:rect style="position:absolute;left:2452;top:4720;width:6295;height:287" filled="false" stroked="true" strokeweight=".247pt" strokecolor="#000000"/>
            <v:line style="position:absolute" from="2846,4864" to="3350,4864" stroked="true" strokeweight="1pt" strokecolor="#000000"/>
            <v:line style="position:absolute" from="5767,4864" to="6271,4864" stroked="true" strokeweight="1pt" strokecolor="#000000">
              <v:stroke dashstyle="dash"/>
            </v:line>
            <v:rect style="position:absolute;left:1561;top:226;width:8838;height:4811" filled="false" stroked="true" strokeweight=".247pt" strokecolor="#000000"/>
            <v:shape style="position:absolute;left:2452;top:4720;width:6295;height:302" type="#_x0000_t202" filled="false" stroked="false">
              <v:textbox inset="0,0,0,0">
                <w:txbxContent>
                  <w:p>
                    <w:pPr>
                      <w:tabs>
                        <w:tab w:pos="3315" w:val="left" w:leader="none"/>
                        <w:tab w:pos="3872" w:val="left" w:leader="none"/>
                      </w:tabs>
                      <w:spacing w:before="46"/>
                      <w:ind w:left="951" w:right="0" w:firstLine="0"/>
                      <w:jc w:val="left"/>
                      <w:rPr>
                        <w:sz w:val="20"/>
                      </w:rPr>
                    </w:pPr>
                    <w:r>
                      <w:rPr>
                        <w:sz w:val="20"/>
                      </w:rPr>
                      <w:t>Sector</w:t>
                    </w:r>
                    <w:r>
                      <w:rPr>
                        <w:spacing w:val="-2"/>
                        <w:sz w:val="20"/>
                      </w:rPr>
                      <w:t> </w:t>
                    </w:r>
                    <w:r>
                      <w:rPr>
                        <w:sz w:val="20"/>
                      </w:rPr>
                      <w:t>manufacturero</w:t>
                    </w:r>
                    <w:r>
                      <w:rPr>
                        <w:spacing w:val="-3"/>
                        <w:sz w:val="20"/>
                      </w:rPr>
                      <w:t> </w:t>
                    </w:r>
                    <w:r>
                      <w:rPr>
                        <w:sz w:val="20"/>
                      </w:rPr>
                      <w:t>(I)</w:t>
                      <w:tab/>
                      <w:tab/>
                      <w:t>Capitalización externa</w:t>
                    </w:r>
                    <w:r>
                      <w:rPr>
                        <w:spacing w:val="-1"/>
                        <w:sz w:val="20"/>
                      </w:rPr>
                      <w:t> </w:t>
                    </w:r>
                    <w:r>
                      <w:rPr>
                        <w:sz w:val="20"/>
                      </w:rPr>
                      <w:t>(D)</w:t>
                    </w:r>
                  </w:p>
                </w:txbxContent>
              </v:textbox>
              <w10:wrap type="none"/>
            </v:shape>
            <v:shape style="position:absolute;left:2374;top:718;width:350;height:200" type="#_x0000_t202" filled="false" stroked="false">
              <v:textbox inset="0,0,0,0">
                <w:txbxContent>
                  <w:p>
                    <w:pPr>
                      <w:spacing w:line="200" w:lineRule="exact" w:before="0"/>
                      <w:ind w:left="0" w:right="-20" w:firstLine="0"/>
                      <w:jc w:val="left"/>
                      <w:rPr>
                        <w:sz w:val="20"/>
                      </w:rPr>
                    </w:pPr>
                    <w:r>
                      <w:rPr>
                        <w:sz w:val="20"/>
                      </w:rPr>
                      <w:t>20.0</w:t>
                    </w:r>
                  </w:p>
                </w:txbxContent>
              </v:textbox>
              <w10:wrap type="none"/>
            </v:shape>
            <v:shape style="position:absolute;left:9474;top:718;width:350;height:200" type="#_x0000_t202" filled="false" stroked="false">
              <v:textbox inset="0,0,0,0">
                <w:txbxContent>
                  <w:p>
                    <w:pPr>
                      <w:spacing w:line="200" w:lineRule="exact" w:before="0"/>
                      <w:ind w:left="0" w:right="-20" w:firstLine="0"/>
                      <w:jc w:val="left"/>
                      <w:rPr>
                        <w:sz w:val="20"/>
                      </w:rPr>
                    </w:pPr>
                    <w:r>
                      <w:rPr>
                        <w:sz w:val="20"/>
                      </w:rPr>
                      <w:t>20.0</w:t>
                    </w:r>
                  </w:p>
                </w:txbxContent>
              </v:textbox>
              <w10:wrap type="none"/>
            </v:shape>
            <v:shape style="position:absolute;left:2374;top:1378;width:350;height:200" type="#_x0000_t202" filled="false" stroked="false">
              <v:textbox inset="0,0,0,0">
                <w:txbxContent>
                  <w:p>
                    <w:pPr>
                      <w:spacing w:line="200" w:lineRule="exact" w:before="0"/>
                      <w:ind w:left="0" w:right="-20" w:firstLine="0"/>
                      <w:jc w:val="left"/>
                      <w:rPr>
                        <w:sz w:val="20"/>
                      </w:rPr>
                    </w:pPr>
                    <w:r>
                      <w:rPr>
                        <w:sz w:val="20"/>
                      </w:rPr>
                      <w:t>18.0</w:t>
                    </w:r>
                  </w:p>
                </w:txbxContent>
              </v:textbox>
              <w10:wrap type="none"/>
            </v:shape>
            <v:shape style="position:absolute;left:9474;top:1379;width:350;height:200" type="#_x0000_t202" filled="false" stroked="false">
              <v:textbox inset="0,0,0,0">
                <w:txbxContent>
                  <w:p>
                    <w:pPr>
                      <w:spacing w:line="200" w:lineRule="exact" w:before="0"/>
                      <w:ind w:left="0" w:right="-20" w:firstLine="0"/>
                      <w:jc w:val="left"/>
                      <w:rPr>
                        <w:sz w:val="20"/>
                      </w:rPr>
                    </w:pPr>
                    <w:r>
                      <w:rPr>
                        <w:sz w:val="20"/>
                      </w:rPr>
                      <w:t>16.0</w:t>
                    </w:r>
                  </w:p>
                </w:txbxContent>
              </v:textbox>
              <w10:wrap type="none"/>
            </v:shape>
            <v:shape style="position:absolute;left:2374;top:2039;width:350;height:200" type="#_x0000_t202" filled="false" stroked="false">
              <v:textbox inset="0,0,0,0">
                <w:txbxContent>
                  <w:p>
                    <w:pPr>
                      <w:spacing w:line="200" w:lineRule="exact" w:before="0"/>
                      <w:ind w:left="0" w:right="-20" w:firstLine="0"/>
                      <w:jc w:val="left"/>
                      <w:rPr>
                        <w:sz w:val="20"/>
                      </w:rPr>
                    </w:pPr>
                    <w:r>
                      <w:rPr>
                        <w:sz w:val="20"/>
                      </w:rPr>
                      <w:t>16.0</w:t>
                    </w:r>
                  </w:p>
                </w:txbxContent>
              </v:textbox>
              <w10:wrap type="none"/>
            </v:shape>
            <v:shape style="position:absolute;left:9474;top:2039;width:350;height:200" type="#_x0000_t202" filled="false" stroked="false">
              <v:textbox inset="0,0,0,0">
                <w:txbxContent>
                  <w:p>
                    <w:pPr>
                      <w:spacing w:line="200" w:lineRule="exact" w:before="0"/>
                      <w:ind w:left="0" w:right="-20" w:firstLine="0"/>
                      <w:jc w:val="left"/>
                      <w:rPr>
                        <w:sz w:val="20"/>
                      </w:rPr>
                    </w:pPr>
                    <w:r>
                      <w:rPr>
                        <w:sz w:val="20"/>
                      </w:rPr>
                      <w:t>12.0</w:t>
                    </w:r>
                  </w:p>
                </w:txbxContent>
              </v:textbox>
              <w10:wrap type="none"/>
            </v:shape>
            <v:shape style="position:absolute;left:2374;top:2700;width:350;height:200" type="#_x0000_t202" filled="false" stroked="false">
              <v:textbox inset="0,0,0,0">
                <w:txbxContent>
                  <w:p>
                    <w:pPr>
                      <w:spacing w:line="200" w:lineRule="exact" w:before="0"/>
                      <w:ind w:left="0" w:right="-20" w:firstLine="0"/>
                      <w:jc w:val="left"/>
                      <w:rPr>
                        <w:sz w:val="20"/>
                      </w:rPr>
                    </w:pPr>
                    <w:r>
                      <w:rPr>
                        <w:sz w:val="20"/>
                      </w:rPr>
                      <w:t>14.0</w:t>
                    </w:r>
                  </w:p>
                </w:txbxContent>
              </v:textbox>
              <w10:wrap type="none"/>
            </v:shape>
            <v:shape style="position:absolute;left:9474;top:2700;width:250;height:200" type="#_x0000_t202" filled="false" stroked="false">
              <v:textbox inset="0,0,0,0">
                <w:txbxContent>
                  <w:p>
                    <w:pPr>
                      <w:spacing w:line="200" w:lineRule="exact" w:before="0"/>
                      <w:ind w:left="0" w:right="-20" w:firstLine="0"/>
                      <w:jc w:val="left"/>
                      <w:rPr>
                        <w:sz w:val="20"/>
                      </w:rPr>
                    </w:pPr>
                    <w:r>
                      <w:rPr>
                        <w:sz w:val="20"/>
                      </w:rPr>
                      <w:t>8.0</w:t>
                    </w:r>
                  </w:p>
                </w:txbxContent>
              </v:textbox>
              <w10:wrap type="none"/>
            </v:shape>
            <v:shape style="position:absolute;left:2374;top:3360;width:350;height:200" type="#_x0000_t202" filled="false" stroked="false">
              <v:textbox inset="0,0,0,0">
                <w:txbxContent>
                  <w:p>
                    <w:pPr>
                      <w:spacing w:line="200" w:lineRule="exact" w:before="0"/>
                      <w:ind w:left="0" w:right="-20" w:firstLine="0"/>
                      <w:jc w:val="left"/>
                      <w:rPr>
                        <w:sz w:val="20"/>
                      </w:rPr>
                    </w:pPr>
                    <w:r>
                      <w:rPr>
                        <w:sz w:val="20"/>
                      </w:rPr>
                      <w:t>12.0</w:t>
                    </w:r>
                  </w:p>
                </w:txbxContent>
              </v:textbox>
              <w10:wrap type="none"/>
            </v:shape>
            <v:shape style="position:absolute;left:9474;top:3360;width:250;height:200" type="#_x0000_t202" filled="false" stroked="false">
              <v:textbox inset="0,0,0,0">
                <w:txbxContent>
                  <w:p>
                    <w:pPr>
                      <w:spacing w:line="200" w:lineRule="exact" w:before="0"/>
                      <w:ind w:left="0" w:right="-20" w:firstLine="0"/>
                      <w:jc w:val="left"/>
                      <w:rPr>
                        <w:sz w:val="20"/>
                      </w:rPr>
                    </w:pPr>
                    <w:r>
                      <w:rPr>
                        <w:sz w:val="20"/>
                      </w:rPr>
                      <w:t>4.0</w:t>
                    </w:r>
                  </w:p>
                </w:txbxContent>
              </v:textbox>
              <w10:wrap type="none"/>
            </v:shape>
            <v:shape style="position:absolute;left:2374;top:4021;width:350;height:200" type="#_x0000_t202" filled="false" stroked="false">
              <v:textbox inset="0,0,0,0">
                <w:txbxContent>
                  <w:p>
                    <w:pPr>
                      <w:spacing w:line="200" w:lineRule="exact" w:before="0"/>
                      <w:ind w:left="0" w:right="-20" w:firstLine="0"/>
                      <w:jc w:val="left"/>
                      <w:rPr>
                        <w:sz w:val="20"/>
                      </w:rPr>
                    </w:pPr>
                    <w:r>
                      <w:rPr>
                        <w:sz w:val="20"/>
                      </w:rPr>
                      <w:t>10.0</w:t>
                    </w:r>
                  </w:p>
                </w:txbxContent>
              </v:textbox>
              <w10:wrap type="none"/>
            </v:shape>
            <v:shape style="position:absolute;left:9474;top:4021;width:250;height:200" type="#_x0000_t202" filled="false" stroked="false">
              <v:textbox inset="0,0,0,0">
                <w:txbxContent>
                  <w:p>
                    <w:pPr>
                      <w:spacing w:line="200" w:lineRule="exact" w:before="0"/>
                      <w:ind w:left="0" w:right="-20" w:firstLine="0"/>
                      <w:jc w:val="left"/>
                      <w:rPr>
                        <w:sz w:val="20"/>
                      </w:rPr>
                    </w:pPr>
                    <w:r>
                      <w:rPr>
                        <w:sz w:val="20"/>
                      </w:rPr>
                      <w:t>0.0</w:t>
                    </w:r>
                  </w:p>
                </w:txbxContent>
              </v:textbox>
              <w10:wrap type="none"/>
            </v:shape>
            <v:shape style="position:absolute;left:2753;top:4259;width:6696;height:393" type="#_x0000_t202" filled="false" stroked="false">
              <v:textbox inset="0,0,0,0">
                <w:txbxContent>
                  <w:p>
                    <w:pPr>
                      <w:tabs>
                        <w:tab w:pos="699" w:val="left" w:leader="none"/>
                        <w:tab w:pos="1398" w:val="left" w:leader="none"/>
                        <w:tab w:pos="2097" w:val="left" w:leader="none"/>
                        <w:tab w:pos="2796" w:val="left" w:leader="none"/>
                        <w:tab w:pos="3495" w:val="left" w:leader="none"/>
                        <w:tab w:pos="4195" w:val="left" w:leader="none"/>
                        <w:tab w:pos="4897" w:val="left" w:leader="none"/>
                        <w:tab w:pos="5596" w:val="left" w:leader="none"/>
                        <w:tab w:pos="6295" w:val="left" w:leader="none"/>
                      </w:tabs>
                      <w:spacing w:line="185" w:lineRule="exact" w:before="0"/>
                      <w:ind w:left="0" w:right="0" w:firstLine="0"/>
                      <w:jc w:val="center"/>
                      <w:rPr>
                        <w:sz w:val="20"/>
                      </w:rPr>
                    </w:pPr>
                    <w:r>
                      <w:rPr>
                        <w:sz w:val="20"/>
                      </w:rPr>
                      <w:t>1959</w:t>
                      <w:tab/>
                      <w:t>1965</w:t>
                      <w:tab/>
                      <w:t>1971</w:t>
                      <w:tab/>
                      <w:t>1977</w:t>
                      <w:tab/>
                      <w:t>1983</w:t>
                      <w:tab/>
                      <w:t>1989</w:t>
                      <w:tab/>
                      <w:t>1995</w:t>
                      <w:tab/>
                      <w:t>2001</w:t>
                      <w:tab/>
                      <w:t>2007</w:t>
                      <w:tab/>
                      <w:t>2013</w:t>
                    </w:r>
                  </w:p>
                  <w:p>
                    <w:pPr>
                      <w:spacing w:line="207" w:lineRule="exact" w:before="0"/>
                      <w:ind w:left="45" w:right="0" w:firstLine="0"/>
                      <w:jc w:val="center"/>
                      <w:rPr>
                        <w:sz w:val="20"/>
                      </w:rPr>
                    </w:pPr>
                    <w:r>
                      <w:rPr>
                        <w:sz w:val="20"/>
                      </w:rPr>
                      <w:t>Años</w:t>
                    </w:r>
                  </w:p>
                </w:txbxContent>
              </v:textbox>
              <w10:wrap type="none"/>
            </v:shape>
            <w10:wrap type="none"/>
          </v:group>
        </w:pict>
      </w:r>
      <w:r>
        <w:rPr/>
        <w:pict>
          <v:shape style="position:absolute;margin-left:87.32766pt;margin-top:84.154175pt;width:24pt;height:107.6pt;mso-position-horizontal-relative:page;mso-position-vertical-relative:paragraph;z-index:1936" type="#_x0000_t202" filled="false" stroked="false">
            <v:textbox inset="0,0,0,0" style="layout-flow:vertical;mso-layout-flow-alt:bottom-to-top">
              <w:txbxContent>
                <w:p>
                  <w:pPr>
                    <w:pStyle w:val="BodyText"/>
                    <w:spacing w:line="249" w:lineRule="auto"/>
                    <w:ind w:left="20" w:right="-706" w:firstLine="191"/>
                  </w:pPr>
                  <w:r>
                    <w:rPr>
                      <w:spacing w:val="-1"/>
                    </w:rPr>
                    <w:t>Secto</w:t>
                  </w:r>
                  <w:r>
                    <w:rPr/>
                    <w:t>r manufacturero (Millones de trabajadores)</w:t>
                  </w:r>
                </w:p>
              </w:txbxContent>
            </v:textbox>
            <w10:wrap type="none"/>
          </v:shape>
        </w:pict>
      </w:r>
      <w:r>
        <w:rPr/>
        <w:pict>
          <v:shape style="position:absolute;margin-left:490.357666pt;margin-top:87.445076pt;width:24pt;height:91.75pt;mso-position-horizontal-relative:page;mso-position-vertical-relative:paragraph;z-index:1960" type="#_x0000_t202" filled="false" stroked="false">
            <v:textbox inset="0,0,0,0" style="layout-flow:vertical;mso-layout-flow-alt:bottom-to-top">
              <w:txbxContent>
                <w:p>
                  <w:pPr>
                    <w:pStyle w:val="BodyText"/>
                    <w:spacing w:line="249" w:lineRule="auto"/>
                    <w:ind w:left="400" w:right="-1076" w:hanging="381"/>
                  </w:pPr>
                  <w:r>
                    <w:rPr/>
                    <w:t>Capitalización externa (% del </w:t>
                  </w:r>
                  <w:r>
                    <w:rPr>
                      <w:spacing w:val="-1"/>
                    </w:rPr>
                    <w:t>PGB)</w:t>
                  </w:r>
                </w:p>
              </w:txbxContent>
            </v:textbox>
            <w10:wrap type="none"/>
          </v:shape>
        </w:pict>
      </w:r>
      <w:r>
        <w:rPr>
          <w:w w:val="105"/>
          <w:sz w:val="19"/>
        </w:rPr>
        <w:t>Gráfica 2. Estados Unidos. Trabajadores del sector manufacturero y capitalización externa, 1959-2013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1"/>
        </w:rPr>
      </w:pPr>
    </w:p>
    <w:p>
      <w:pPr>
        <w:spacing w:line="240" w:lineRule="auto" w:before="0"/>
        <w:ind w:left="119" w:right="724" w:firstLine="0"/>
        <w:jc w:val="left"/>
        <w:rPr>
          <w:sz w:val="16"/>
        </w:rPr>
      </w:pPr>
      <w:r>
        <w:rPr>
          <w:sz w:val="16"/>
        </w:rPr>
        <w:t>Fuente: elaboración propia con base en Bureau of Labor Statistics, United States Department of Labor, 2014, </w:t>
      </w:r>
      <w:hyperlink r:id="rId55">
        <w:r>
          <w:rPr>
            <w:sz w:val="16"/>
          </w:rPr>
          <w:t>http://data.bls.gov/pdq/SurveyOutputServlet</w:t>
        </w:r>
      </w:hyperlink>
      <w:r>
        <w:rPr>
          <w:sz w:val="16"/>
        </w:rPr>
        <w:t> (October 5) y U.S. Department of Commerce, Bureau of Economic Analysis, 2014, </w:t>
      </w:r>
      <w:hyperlink r:id="rId56">
        <w:r>
          <w:rPr>
            <w:sz w:val="16"/>
          </w:rPr>
          <w:t>http://www.bea.gov/iTable/index_nipa.cfm</w:t>
        </w:r>
      </w:hyperlink>
      <w:r>
        <w:rPr>
          <w:sz w:val="16"/>
        </w:rPr>
        <w:t> (October 9).</w:t>
      </w:r>
    </w:p>
    <w:p>
      <w:pPr>
        <w:spacing w:after="0" w:line="240" w:lineRule="auto"/>
        <w:jc w:val="left"/>
        <w:rPr>
          <w:sz w:val="16"/>
        </w:rPr>
        <w:sectPr>
          <w:footerReference w:type="default" r:id="rId54"/>
          <w:pgSz w:w="11740" w:h="7770" w:orient="landscape"/>
          <w:pgMar w:footer="0" w:header="0" w:top="0" w:bottom="280" w:left="1440" w:right="1220"/>
        </w:sectPr>
      </w:pPr>
    </w:p>
    <w:p>
      <w:pPr>
        <w:pStyle w:val="BodyText"/>
        <w:spacing w:line="249" w:lineRule="auto" w:before="60"/>
        <w:ind w:left="113" w:right="107" w:firstLine="283"/>
        <w:jc w:val="both"/>
      </w:pPr>
      <w:r>
        <w:rPr/>
        <w:t>La caída del empleo en el sector manufacturero en Estados Unidos coincidió con el incremento de la externalización nacional e internacio- nal de las actividades productivas; aunque no sería del todo válido</w:t>
      </w:r>
      <w:r>
        <w:rPr>
          <w:spacing w:val="-25"/>
        </w:rPr>
        <w:t> </w:t>
      </w:r>
      <w:r>
        <w:rPr/>
        <w:t>supo- ner la existencia de un desplazamiento directo y masivo de trabajadores de la industria a actividades deslocalizadas (Castillo, 2012, y Castillo y Sotelo,</w:t>
      </w:r>
      <w:r>
        <w:rPr>
          <w:spacing w:val="-6"/>
        </w:rPr>
        <w:t> </w:t>
      </w:r>
      <w:r>
        <w:rPr/>
        <w:t>2013).</w:t>
      </w:r>
    </w:p>
    <w:p>
      <w:pPr>
        <w:pStyle w:val="BodyText"/>
        <w:spacing w:line="249" w:lineRule="auto" w:before="1"/>
        <w:ind w:left="113" w:right="106" w:firstLine="283"/>
        <w:jc w:val="both"/>
      </w:pPr>
      <w:r>
        <w:rPr/>
        <w:t>La </w:t>
      </w:r>
      <w:r>
        <w:rPr>
          <w:spacing w:val="-3"/>
        </w:rPr>
        <w:t>nueva economía, además </w:t>
      </w:r>
      <w:r>
        <w:rPr/>
        <w:t>de </w:t>
      </w:r>
      <w:r>
        <w:rPr>
          <w:spacing w:val="-3"/>
        </w:rPr>
        <w:t>dinamizar </w:t>
      </w:r>
      <w:r>
        <w:rPr/>
        <w:t>la </w:t>
      </w:r>
      <w:r>
        <w:rPr>
          <w:spacing w:val="-3"/>
        </w:rPr>
        <w:t>inversión externa directa tradicional </w:t>
      </w:r>
      <w:r>
        <w:rPr/>
        <w:t>y </w:t>
      </w:r>
      <w:r>
        <w:rPr>
          <w:spacing w:val="-3"/>
        </w:rPr>
        <w:t>promover </w:t>
      </w:r>
      <w:r>
        <w:rPr/>
        <w:t>las </w:t>
      </w:r>
      <w:r>
        <w:rPr>
          <w:i/>
          <w:spacing w:val="-3"/>
        </w:rPr>
        <w:t>nuevas formas </w:t>
      </w:r>
      <w:r>
        <w:rPr>
          <w:i/>
        </w:rPr>
        <w:t>de </w:t>
      </w:r>
      <w:r>
        <w:rPr>
          <w:i/>
          <w:spacing w:val="-3"/>
        </w:rPr>
        <w:t>inversión </w:t>
      </w:r>
      <w:r>
        <w:rPr/>
        <w:t>en los </w:t>
      </w:r>
      <w:r>
        <w:rPr>
          <w:spacing w:val="-3"/>
        </w:rPr>
        <w:t>países en desarrollo</w:t>
      </w:r>
      <w:r>
        <w:rPr>
          <w:spacing w:val="-9"/>
        </w:rPr>
        <w:t> </w:t>
      </w:r>
      <w:r>
        <w:rPr/>
        <w:t>y</w:t>
      </w:r>
      <w:r>
        <w:rPr>
          <w:spacing w:val="-9"/>
        </w:rPr>
        <w:t> </w:t>
      </w:r>
      <w:r>
        <w:rPr/>
        <w:t>no</w:t>
      </w:r>
      <w:r>
        <w:rPr>
          <w:spacing w:val="-9"/>
        </w:rPr>
        <w:t> </w:t>
      </w:r>
      <w:r>
        <w:rPr>
          <w:spacing w:val="-3"/>
        </w:rPr>
        <w:t>desarrollados,</w:t>
      </w:r>
      <w:r>
        <w:rPr>
          <w:spacing w:val="-9"/>
        </w:rPr>
        <w:t> </w:t>
      </w:r>
      <w:r>
        <w:rPr>
          <w:spacing w:val="-3"/>
        </w:rPr>
        <w:t>fomentó</w:t>
      </w:r>
      <w:r>
        <w:rPr>
          <w:spacing w:val="-9"/>
        </w:rPr>
        <w:t> </w:t>
      </w:r>
      <w:r>
        <w:rPr/>
        <w:t>la</w:t>
      </w:r>
      <w:r>
        <w:rPr>
          <w:spacing w:val="-9"/>
        </w:rPr>
        <w:t> </w:t>
      </w:r>
      <w:r>
        <w:rPr>
          <w:spacing w:val="-3"/>
        </w:rPr>
        <w:t>precarización</w:t>
      </w:r>
      <w:r>
        <w:rPr>
          <w:spacing w:val="-8"/>
        </w:rPr>
        <w:t> </w:t>
      </w:r>
      <w:r>
        <w:rPr/>
        <w:t>del</w:t>
      </w:r>
      <w:r>
        <w:rPr>
          <w:spacing w:val="-9"/>
        </w:rPr>
        <w:t> </w:t>
      </w:r>
      <w:r>
        <w:rPr>
          <w:spacing w:val="-3"/>
        </w:rPr>
        <w:t>trabajo.</w:t>
      </w:r>
      <w:r>
        <w:rPr>
          <w:spacing w:val="-9"/>
        </w:rPr>
        <w:t> </w:t>
      </w:r>
      <w:r>
        <w:rPr/>
        <w:t>Las</w:t>
      </w:r>
      <w:r>
        <w:rPr>
          <w:spacing w:val="-9"/>
        </w:rPr>
        <w:t> </w:t>
      </w:r>
      <w:r>
        <w:rPr/>
        <w:t>ac- </w:t>
      </w:r>
      <w:r>
        <w:rPr>
          <w:spacing w:val="-3"/>
        </w:rPr>
        <w:t>tuales</w:t>
      </w:r>
      <w:r>
        <w:rPr>
          <w:spacing w:val="-15"/>
        </w:rPr>
        <w:t> </w:t>
      </w:r>
      <w:r>
        <w:rPr>
          <w:spacing w:val="-3"/>
        </w:rPr>
        <w:t>formas</w:t>
      </w:r>
      <w:r>
        <w:rPr>
          <w:spacing w:val="-15"/>
        </w:rPr>
        <w:t> </w:t>
      </w:r>
      <w:r>
        <w:rPr/>
        <w:t>de</w:t>
      </w:r>
      <w:r>
        <w:rPr>
          <w:spacing w:val="-15"/>
        </w:rPr>
        <w:t> </w:t>
      </w:r>
      <w:r>
        <w:rPr>
          <w:spacing w:val="-3"/>
        </w:rPr>
        <w:t>inversión,</w:t>
      </w:r>
      <w:r>
        <w:rPr>
          <w:spacing w:val="-15"/>
        </w:rPr>
        <w:t> </w:t>
      </w:r>
      <w:r>
        <w:rPr/>
        <w:t>y</w:t>
      </w:r>
      <w:r>
        <w:rPr>
          <w:spacing w:val="-15"/>
        </w:rPr>
        <w:t> </w:t>
      </w:r>
      <w:r>
        <w:rPr/>
        <w:t>con</w:t>
      </w:r>
      <w:r>
        <w:rPr>
          <w:spacing w:val="-15"/>
        </w:rPr>
        <w:t> </w:t>
      </w:r>
      <w:r>
        <w:rPr>
          <w:spacing w:val="-3"/>
        </w:rPr>
        <w:t>ella</w:t>
      </w:r>
      <w:r>
        <w:rPr>
          <w:spacing w:val="-15"/>
        </w:rPr>
        <w:t> </w:t>
      </w:r>
      <w:r>
        <w:rPr/>
        <w:t>la</w:t>
      </w:r>
      <w:r>
        <w:rPr>
          <w:spacing w:val="-15"/>
        </w:rPr>
        <w:t> </w:t>
      </w:r>
      <w:r>
        <w:rPr>
          <w:spacing w:val="-3"/>
        </w:rPr>
        <w:t>reubicación</w:t>
      </w:r>
      <w:r>
        <w:rPr>
          <w:spacing w:val="-14"/>
        </w:rPr>
        <w:t> </w:t>
      </w:r>
      <w:r>
        <w:rPr>
          <w:spacing w:val="-3"/>
        </w:rPr>
        <w:t>industrial,</w:t>
      </w:r>
      <w:r>
        <w:rPr>
          <w:spacing w:val="-15"/>
        </w:rPr>
        <w:t> </w:t>
      </w:r>
      <w:r>
        <w:rPr/>
        <w:t>son</w:t>
      </w:r>
      <w:r>
        <w:rPr>
          <w:spacing w:val="-15"/>
        </w:rPr>
        <w:t> </w:t>
      </w:r>
      <w:r>
        <w:rPr>
          <w:spacing w:val="-3"/>
        </w:rPr>
        <w:t>aspectos centrales </w:t>
      </w:r>
      <w:r>
        <w:rPr/>
        <w:t>del </w:t>
      </w:r>
      <w:r>
        <w:rPr>
          <w:spacing w:val="-3"/>
        </w:rPr>
        <w:t>proceso </w:t>
      </w:r>
      <w:r>
        <w:rPr/>
        <w:t>de </w:t>
      </w:r>
      <w:r>
        <w:rPr>
          <w:spacing w:val="-3"/>
        </w:rPr>
        <w:t>reestructuración capitalista emergente: resultado </w:t>
      </w:r>
      <w:r>
        <w:rPr/>
        <w:t>y </w:t>
      </w:r>
      <w:r>
        <w:rPr>
          <w:spacing w:val="-3"/>
        </w:rPr>
        <w:t>condiciones intrínsecas </w:t>
      </w:r>
      <w:r>
        <w:rPr/>
        <w:t>de la </w:t>
      </w:r>
      <w:r>
        <w:rPr>
          <w:spacing w:val="-3"/>
        </w:rPr>
        <w:t>intensificación </w:t>
      </w:r>
      <w:r>
        <w:rPr/>
        <w:t>de la </w:t>
      </w:r>
      <w:r>
        <w:rPr>
          <w:spacing w:val="-3"/>
        </w:rPr>
        <w:t>competencia económica internacional, que, como señala Oman (1988: 24), tienen como “principal estímulo [...] </w:t>
      </w:r>
      <w:r>
        <w:rPr/>
        <w:t>la </w:t>
      </w:r>
      <w:r>
        <w:rPr>
          <w:spacing w:val="-3"/>
        </w:rPr>
        <w:t>reducción </w:t>
      </w:r>
      <w:r>
        <w:rPr/>
        <w:t>del </w:t>
      </w:r>
      <w:r>
        <w:rPr>
          <w:spacing w:val="-3"/>
        </w:rPr>
        <w:t>costo </w:t>
      </w:r>
      <w:r>
        <w:rPr/>
        <w:t>de la </w:t>
      </w:r>
      <w:r>
        <w:rPr>
          <w:spacing w:val="-3"/>
        </w:rPr>
        <w:t>mano </w:t>
      </w:r>
      <w:r>
        <w:rPr/>
        <w:t>de </w:t>
      </w:r>
      <w:r>
        <w:rPr>
          <w:spacing w:val="-3"/>
        </w:rPr>
        <w:t>obra </w:t>
      </w:r>
      <w:r>
        <w:rPr/>
        <w:t>en un </w:t>
      </w:r>
      <w:r>
        <w:rPr>
          <w:spacing w:val="-3"/>
        </w:rPr>
        <w:t>contexto de lento crecimiento </w:t>
      </w:r>
      <w:r>
        <w:rPr/>
        <w:t>de la </w:t>
      </w:r>
      <w:r>
        <w:rPr>
          <w:spacing w:val="-3"/>
        </w:rPr>
        <w:t>demanda </w:t>
      </w:r>
      <w:r>
        <w:rPr/>
        <w:t>e </w:t>
      </w:r>
      <w:r>
        <w:rPr>
          <w:spacing w:val="-3"/>
        </w:rPr>
        <w:t>intensa competencia </w:t>
      </w:r>
      <w:r>
        <w:rPr/>
        <w:t>de los </w:t>
      </w:r>
      <w:r>
        <w:rPr>
          <w:spacing w:val="-3"/>
        </w:rPr>
        <w:t>precios...” </w:t>
      </w:r>
      <w:r>
        <w:rPr/>
        <w:t>La “terciarización” es cada vez más utilizada por las grandes empresas estadunidenses, las cuales concentran sus funciones no transferibles, pero delegan a otras empresas especializadas parte de las demás activi- dades. La práctica no es nueva, pero se incrementó significativamente a partir de los procesos de privatización de los servicios públicos y las po- sibilidades de operación a largas distancias que ofrecen las</w:t>
      </w:r>
      <w:r>
        <w:rPr>
          <w:spacing w:val="-33"/>
        </w:rPr>
        <w:t> </w:t>
      </w:r>
      <w:r>
        <w:rPr/>
        <w:t>innovaciones tecnológicas. La </w:t>
      </w:r>
      <w:r>
        <w:rPr>
          <w:spacing w:val="-3"/>
        </w:rPr>
        <w:t>capitalización </w:t>
      </w:r>
      <w:r>
        <w:rPr/>
        <w:t>o </w:t>
      </w:r>
      <w:r>
        <w:rPr>
          <w:spacing w:val="-3"/>
        </w:rPr>
        <w:t>ganancia </w:t>
      </w:r>
      <w:r>
        <w:rPr/>
        <w:t>en el </w:t>
      </w:r>
      <w:r>
        <w:rPr>
          <w:spacing w:val="-3"/>
        </w:rPr>
        <w:t>exterior </w:t>
      </w:r>
      <w:r>
        <w:rPr/>
        <w:t>se </w:t>
      </w:r>
      <w:r>
        <w:rPr>
          <w:spacing w:val="-3"/>
        </w:rPr>
        <w:t>acentuó desde mediados </w:t>
      </w:r>
      <w:r>
        <w:rPr/>
        <w:t>de la </w:t>
      </w:r>
      <w:r>
        <w:rPr>
          <w:spacing w:val="-3"/>
        </w:rPr>
        <w:t>década </w:t>
      </w:r>
      <w:r>
        <w:rPr/>
        <w:t>de</w:t>
      </w:r>
      <w:r>
        <w:rPr>
          <w:spacing w:val="-23"/>
        </w:rPr>
        <w:t> </w:t>
      </w:r>
      <w:r>
        <w:rPr>
          <w:spacing w:val="-3"/>
        </w:rPr>
        <w:t>1970.</w:t>
      </w:r>
    </w:p>
    <w:p>
      <w:pPr>
        <w:pStyle w:val="BodyText"/>
        <w:spacing w:line="249" w:lineRule="auto" w:before="1"/>
        <w:ind w:left="113" w:right="108" w:firstLine="283"/>
        <w:jc w:val="both"/>
      </w:pPr>
      <w:r>
        <w:rPr/>
        <w:t>La </w:t>
      </w:r>
      <w:r>
        <w:rPr>
          <w:spacing w:val="-3"/>
        </w:rPr>
        <w:t>capacidad </w:t>
      </w:r>
      <w:r>
        <w:rPr/>
        <w:t>de </w:t>
      </w:r>
      <w:r>
        <w:rPr>
          <w:spacing w:val="-3"/>
        </w:rPr>
        <w:t>control </w:t>
      </w:r>
      <w:r>
        <w:rPr/>
        <w:t>de </w:t>
      </w:r>
      <w:r>
        <w:rPr>
          <w:spacing w:val="-3"/>
        </w:rPr>
        <w:t>operaciones productivas </w:t>
      </w:r>
      <w:r>
        <w:rPr/>
        <w:t>a </w:t>
      </w:r>
      <w:r>
        <w:rPr>
          <w:spacing w:val="-3"/>
        </w:rPr>
        <w:t>largas distan- cias, </w:t>
      </w:r>
      <w:r>
        <w:rPr/>
        <w:t>no </w:t>
      </w:r>
      <w:r>
        <w:rPr>
          <w:spacing w:val="-3"/>
        </w:rPr>
        <w:t>sólo </w:t>
      </w:r>
      <w:r>
        <w:rPr/>
        <w:t>ha </w:t>
      </w:r>
      <w:r>
        <w:rPr>
          <w:spacing w:val="-3"/>
        </w:rPr>
        <w:t>fomentado </w:t>
      </w:r>
      <w:r>
        <w:rPr/>
        <w:t>la </w:t>
      </w:r>
      <w:r>
        <w:rPr>
          <w:spacing w:val="-3"/>
        </w:rPr>
        <w:t>inversión extrajera directa, sino que, coin- cidentemente, </w:t>
      </w:r>
      <w:r>
        <w:rPr/>
        <w:t>ha </w:t>
      </w:r>
      <w:r>
        <w:rPr>
          <w:spacing w:val="-3"/>
        </w:rPr>
        <w:t>promovido “nuevas formas </w:t>
      </w:r>
      <w:r>
        <w:rPr/>
        <w:t>de </w:t>
      </w:r>
      <w:r>
        <w:rPr>
          <w:spacing w:val="-3"/>
        </w:rPr>
        <w:t>inversión” </w:t>
      </w:r>
      <w:r>
        <w:rPr/>
        <w:t>en los </w:t>
      </w:r>
      <w:r>
        <w:rPr>
          <w:spacing w:val="-3"/>
        </w:rPr>
        <w:t>países menos desarrollados. </w:t>
      </w:r>
      <w:r>
        <w:rPr/>
        <w:t>El </w:t>
      </w:r>
      <w:r>
        <w:rPr>
          <w:spacing w:val="-3"/>
        </w:rPr>
        <w:t>nuevo orden industrial internacional surge como </w:t>
      </w:r>
      <w:r>
        <w:rPr/>
        <w:t>una </w:t>
      </w:r>
      <w:r>
        <w:rPr>
          <w:spacing w:val="-3"/>
        </w:rPr>
        <w:t>estrategia </w:t>
      </w:r>
      <w:r>
        <w:rPr/>
        <w:t>de </w:t>
      </w:r>
      <w:r>
        <w:rPr>
          <w:spacing w:val="-3"/>
        </w:rPr>
        <w:t>producción integrada </w:t>
      </w:r>
      <w:r>
        <w:rPr/>
        <w:t>que ha ido </w:t>
      </w:r>
      <w:r>
        <w:rPr>
          <w:spacing w:val="-3"/>
        </w:rPr>
        <w:t>transfiriendo segmentos importantes </w:t>
      </w:r>
      <w:r>
        <w:rPr/>
        <w:t>de la </w:t>
      </w:r>
      <w:r>
        <w:rPr>
          <w:spacing w:val="-3"/>
        </w:rPr>
        <w:t>actividad manufacturera </w:t>
      </w:r>
      <w:r>
        <w:rPr/>
        <w:t>a los </w:t>
      </w:r>
      <w:r>
        <w:rPr>
          <w:spacing w:val="-3"/>
        </w:rPr>
        <w:t>países </w:t>
      </w:r>
      <w:r>
        <w:rPr/>
        <w:t>en </w:t>
      </w:r>
      <w:r>
        <w:rPr>
          <w:spacing w:val="-3"/>
        </w:rPr>
        <w:t>desarrollo con potenciales</w:t>
      </w:r>
      <w:r>
        <w:rPr>
          <w:spacing w:val="-13"/>
        </w:rPr>
        <w:t> </w:t>
      </w:r>
      <w:r>
        <w:rPr>
          <w:spacing w:val="-3"/>
        </w:rPr>
        <w:t>ventajas</w:t>
      </w:r>
      <w:r>
        <w:rPr>
          <w:spacing w:val="-13"/>
        </w:rPr>
        <w:t> </w:t>
      </w:r>
      <w:r>
        <w:rPr>
          <w:spacing w:val="-3"/>
        </w:rPr>
        <w:t>competitivas</w:t>
      </w:r>
      <w:r>
        <w:rPr>
          <w:spacing w:val="-14"/>
        </w:rPr>
        <w:t> </w:t>
      </w:r>
      <w:r>
        <w:rPr/>
        <w:t>en</w:t>
      </w:r>
      <w:r>
        <w:rPr>
          <w:spacing w:val="-13"/>
        </w:rPr>
        <w:t> </w:t>
      </w:r>
      <w:r>
        <w:rPr>
          <w:spacing w:val="-3"/>
        </w:rPr>
        <w:t>términos</w:t>
      </w:r>
      <w:r>
        <w:rPr>
          <w:spacing w:val="-14"/>
        </w:rPr>
        <w:t> </w:t>
      </w:r>
      <w:r>
        <w:rPr/>
        <w:t>de</w:t>
      </w:r>
      <w:r>
        <w:rPr>
          <w:spacing w:val="-13"/>
        </w:rPr>
        <w:t> </w:t>
      </w:r>
      <w:r>
        <w:rPr/>
        <w:t>los</w:t>
      </w:r>
      <w:r>
        <w:rPr>
          <w:spacing w:val="-13"/>
        </w:rPr>
        <w:t> </w:t>
      </w:r>
      <w:r>
        <w:rPr>
          <w:spacing w:val="-3"/>
        </w:rPr>
        <w:t>costos</w:t>
      </w:r>
      <w:r>
        <w:rPr>
          <w:spacing w:val="-14"/>
        </w:rPr>
        <w:t> </w:t>
      </w:r>
      <w:r>
        <w:rPr/>
        <w:t>de</w:t>
      </w:r>
      <w:r>
        <w:rPr>
          <w:spacing w:val="-13"/>
        </w:rPr>
        <w:t> </w:t>
      </w:r>
      <w:r>
        <w:rPr>
          <w:spacing w:val="-3"/>
        </w:rPr>
        <w:t>operaciones, disposición</w:t>
      </w:r>
      <w:r>
        <w:rPr>
          <w:spacing w:val="-12"/>
        </w:rPr>
        <w:t> </w:t>
      </w:r>
      <w:r>
        <w:rPr/>
        <w:t>de</w:t>
      </w:r>
      <w:r>
        <w:rPr>
          <w:spacing w:val="-12"/>
        </w:rPr>
        <w:t> </w:t>
      </w:r>
      <w:r>
        <w:rPr>
          <w:spacing w:val="-3"/>
        </w:rPr>
        <w:t>recursos</w:t>
      </w:r>
      <w:r>
        <w:rPr>
          <w:spacing w:val="-12"/>
        </w:rPr>
        <w:t> </w:t>
      </w:r>
      <w:r>
        <w:rPr/>
        <w:t>y</w:t>
      </w:r>
      <w:r>
        <w:rPr>
          <w:spacing w:val="-12"/>
        </w:rPr>
        <w:t> </w:t>
      </w:r>
      <w:r>
        <w:rPr>
          <w:spacing w:val="-3"/>
        </w:rPr>
        <w:t>existencia</w:t>
      </w:r>
      <w:r>
        <w:rPr>
          <w:spacing w:val="-12"/>
        </w:rPr>
        <w:t> </w:t>
      </w:r>
      <w:r>
        <w:rPr/>
        <w:t>de</w:t>
      </w:r>
      <w:r>
        <w:rPr>
          <w:spacing w:val="-12"/>
        </w:rPr>
        <w:t> </w:t>
      </w:r>
      <w:r>
        <w:rPr>
          <w:spacing w:val="-3"/>
        </w:rPr>
        <w:t>mercados.</w:t>
      </w:r>
      <w:r>
        <w:rPr>
          <w:spacing w:val="-12"/>
        </w:rPr>
        <w:t> </w:t>
      </w:r>
      <w:r>
        <w:rPr/>
        <w:t>La</w:t>
      </w:r>
      <w:r>
        <w:rPr>
          <w:spacing w:val="-12"/>
        </w:rPr>
        <w:t> </w:t>
      </w:r>
      <w:r>
        <w:rPr>
          <w:spacing w:val="-3"/>
        </w:rPr>
        <w:t>reubicación</w:t>
      </w:r>
      <w:r>
        <w:rPr>
          <w:spacing w:val="-12"/>
        </w:rPr>
        <w:t> </w:t>
      </w:r>
      <w:r>
        <w:rPr>
          <w:spacing w:val="-3"/>
        </w:rPr>
        <w:t>industrial </w:t>
      </w:r>
      <w:r>
        <w:rPr/>
        <w:t>es</w:t>
      </w:r>
      <w:r>
        <w:rPr>
          <w:spacing w:val="-8"/>
        </w:rPr>
        <w:t> </w:t>
      </w:r>
      <w:r>
        <w:rPr>
          <w:spacing w:val="-3"/>
        </w:rPr>
        <w:t>parte</w:t>
      </w:r>
      <w:r>
        <w:rPr>
          <w:spacing w:val="-8"/>
        </w:rPr>
        <w:t> </w:t>
      </w:r>
      <w:r>
        <w:rPr/>
        <w:t>de</w:t>
      </w:r>
      <w:r>
        <w:rPr>
          <w:spacing w:val="-8"/>
        </w:rPr>
        <w:t> </w:t>
      </w:r>
      <w:r>
        <w:rPr/>
        <w:t>la</w:t>
      </w:r>
      <w:r>
        <w:rPr>
          <w:spacing w:val="-8"/>
        </w:rPr>
        <w:t> </w:t>
      </w:r>
      <w:r>
        <w:rPr>
          <w:spacing w:val="-3"/>
        </w:rPr>
        <w:t>doble</w:t>
      </w:r>
      <w:r>
        <w:rPr>
          <w:spacing w:val="-8"/>
        </w:rPr>
        <w:t> </w:t>
      </w:r>
      <w:r>
        <w:rPr>
          <w:spacing w:val="-3"/>
        </w:rPr>
        <w:t>dinámica</w:t>
      </w:r>
      <w:r>
        <w:rPr>
          <w:spacing w:val="-7"/>
        </w:rPr>
        <w:t> </w:t>
      </w:r>
      <w:r>
        <w:rPr/>
        <w:t>que</w:t>
      </w:r>
      <w:r>
        <w:rPr>
          <w:spacing w:val="-8"/>
        </w:rPr>
        <w:t> </w:t>
      </w:r>
      <w:r>
        <w:rPr>
          <w:spacing w:val="-3"/>
        </w:rPr>
        <w:t>asocia</w:t>
      </w:r>
      <w:r>
        <w:rPr>
          <w:spacing w:val="-8"/>
        </w:rPr>
        <w:t> </w:t>
      </w:r>
      <w:r>
        <w:rPr/>
        <w:t>la</w:t>
      </w:r>
      <w:r>
        <w:rPr>
          <w:spacing w:val="-8"/>
        </w:rPr>
        <w:t> </w:t>
      </w:r>
      <w:r>
        <w:rPr>
          <w:spacing w:val="-3"/>
        </w:rPr>
        <w:t>inversión</w:t>
      </w:r>
      <w:r>
        <w:rPr>
          <w:spacing w:val="-8"/>
        </w:rPr>
        <w:t> </w:t>
      </w:r>
      <w:r>
        <w:rPr>
          <w:spacing w:val="-3"/>
        </w:rPr>
        <w:t>extranjera</w:t>
      </w:r>
      <w:r>
        <w:rPr>
          <w:spacing w:val="-8"/>
        </w:rPr>
        <w:t> </w:t>
      </w:r>
      <w:r>
        <w:rPr/>
        <w:t>con</w:t>
      </w:r>
      <w:r>
        <w:rPr>
          <w:spacing w:val="-8"/>
        </w:rPr>
        <w:t> </w:t>
      </w:r>
      <w:r>
        <w:rPr/>
        <w:t>las</w:t>
      </w:r>
      <w:r>
        <w:rPr>
          <w:spacing w:val="-8"/>
        </w:rPr>
        <w:t> </w:t>
      </w:r>
      <w:r>
        <w:rPr>
          <w:spacing w:val="-3"/>
        </w:rPr>
        <w:t>po- sibilidades </w:t>
      </w:r>
      <w:r>
        <w:rPr/>
        <w:t>de </w:t>
      </w:r>
      <w:r>
        <w:rPr>
          <w:spacing w:val="-3"/>
        </w:rPr>
        <w:t>mayor explotación </w:t>
      </w:r>
      <w:r>
        <w:rPr/>
        <w:t>de la </w:t>
      </w:r>
      <w:r>
        <w:rPr>
          <w:spacing w:val="-3"/>
        </w:rPr>
        <w:t>producción </w:t>
      </w:r>
      <w:r>
        <w:rPr/>
        <w:t>y el</w:t>
      </w:r>
      <w:r>
        <w:rPr>
          <w:spacing w:val="-34"/>
        </w:rPr>
        <w:t> </w:t>
      </w:r>
      <w:r>
        <w:rPr>
          <w:spacing w:val="-3"/>
        </w:rPr>
        <w:t>trabajo asalariado.</w:t>
      </w:r>
    </w:p>
    <w:p>
      <w:pPr>
        <w:pStyle w:val="BodyText"/>
        <w:spacing w:line="249" w:lineRule="auto" w:before="1"/>
        <w:ind w:left="113" w:right="107" w:firstLine="283"/>
        <w:jc w:val="both"/>
      </w:pPr>
      <w:r>
        <w:rPr/>
        <w:t>La deslocalización de los puestos de trabajo opera como un fac-    tor de ajuste sobre el empleo y los salarios. De la misma manera que    el modelo  neoliberal  representa  una  estrategia  del  capital  orienta-  da a la  recuperación  y  maximización  de  las  ganancias  menguadas, la  estrategia  deslocalizadora,  adoptada  por  dicho  modelo,  impac-   ta directa e indirectamente sobre el empleo y los salarios, abaratan-     do</w:t>
      </w:r>
      <w:r>
        <w:rPr>
          <w:spacing w:val="20"/>
        </w:rPr>
        <w:t> </w:t>
      </w:r>
      <w:r>
        <w:rPr/>
        <w:t>la</w:t>
      </w:r>
      <w:r>
        <w:rPr>
          <w:spacing w:val="20"/>
        </w:rPr>
        <w:t> </w:t>
      </w:r>
      <w:r>
        <w:rPr/>
        <w:t>fuerza</w:t>
      </w:r>
      <w:r>
        <w:rPr>
          <w:spacing w:val="20"/>
        </w:rPr>
        <w:t> </w:t>
      </w:r>
      <w:r>
        <w:rPr/>
        <w:t>de</w:t>
      </w:r>
      <w:r>
        <w:rPr>
          <w:spacing w:val="20"/>
        </w:rPr>
        <w:t> </w:t>
      </w:r>
      <w:r>
        <w:rPr/>
        <w:t>trabajo</w:t>
      </w:r>
      <w:r>
        <w:rPr>
          <w:spacing w:val="19"/>
        </w:rPr>
        <w:t> </w:t>
      </w:r>
      <w:r>
        <w:rPr/>
        <w:t>tanto</w:t>
      </w:r>
      <w:r>
        <w:rPr>
          <w:spacing w:val="19"/>
        </w:rPr>
        <w:t> </w:t>
      </w:r>
      <w:r>
        <w:rPr/>
        <w:t>en</w:t>
      </w:r>
      <w:r>
        <w:rPr>
          <w:spacing w:val="20"/>
        </w:rPr>
        <w:t> </w:t>
      </w:r>
      <w:r>
        <w:rPr/>
        <w:t>las</w:t>
      </w:r>
      <w:r>
        <w:rPr>
          <w:spacing w:val="20"/>
        </w:rPr>
        <w:t> </w:t>
      </w:r>
      <w:r>
        <w:rPr/>
        <w:t>zonas,</w:t>
      </w:r>
      <w:r>
        <w:rPr>
          <w:spacing w:val="19"/>
        </w:rPr>
        <w:t> </w:t>
      </w:r>
      <w:r>
        <w:rPr/>
        <w:t>regiones</w:t>
      </w:r>
      <w:r>
        <w:rPr>
          <w:spacing w:val="20"/>
        </w:rPr>
        <w:t> </w:t>
      </w:r>
      <w:r>
        <w:rPr/>
        <w:t>o</w:t>
      </w:r>
      <w:r>
        <w:rPr>
          <w:spacing w:val="20"/>
        </w:rPr>
        <w:t> </w:t>
      </w:r>
      <w:r>
        <w:rPr/>
        <w:t>países</w:t>
      </w:r>
      <w:r>
        <w:rPr>
          <w:spacing w:val="20"/>
        </w:rPr>
        <w:t> </w:t>
      </w:r>
      <w:r>
        <w:rPr/>
        <w:t>de</w:t>
      </w:r>
      <w:r>
        <w:rPr>
          <w:spacing w:val="20"/>
        </w:rPr>
        <w:t> </w:t>
      </w:r>
      <w:r>
        <w:rPr/>
        <w:t>origen</w:t>
      </w:r>
    </w:p>
    <w:p>
      <w:pPr>
        <w:spacing w:after="0" w:line="249" w:lineRule="auto"/>
        <w:jc w:val="both"/>
        <w:sectPr>
          <w:footerReference w:type="default" r:id="rId57"/>
          <w:pgSz w:w="7770" w:h="11740"/>
          <w:pgMar w:footer="559" w:header="0" w:top="840" w:bottom="740" w:left="1020" w:right="740"/>
          <w:pgNumType w:start="67"/>
        </w:sectPr>
      </w:pPr>
    </w:p>
    <w:p>
      <w:pPr>
        <w:pStyle w:val="BodyText"/>
        <w:spacing w:line="249" w:lineRule="auto" w:before="60"/>
        <w:ind w:left="110" w:right="111"/>
        <w:jc w:val="both"/>
      </w:pPr>
      <w:r>
        <w:rPr/>
        <w:t>—destruyendo empleo, generando nuevas condiciones de competencia  y precarizando los puestos existentes— como en los de destino, dada la debilidad organizativa de los trabajadores y la laxitud institucional que facilita la desregulación y sobreexplotación del trabajo. La deslocaliza- ción del puesto de trabajo de los países desarrollados a las periferias im- pacta doblemente sobre la fuerza de trabajo en su condición de nativa y potencialmente migrante, y sobre la población inmigrante en los países desarrollados, toda vez que modifica el entorno de competencia laboral y los</w:t>
      </w:r>
      <w:r>
        <w:rPr>
          <w:spacing w:val="-1"/>
        </w:rPr>
        <w:t> </w:t>
      </w:r>
      <w:r>
        <w:rPr/>
        <w:t>ingresos.</w:t>
      </w:r>
    </w:p>
    <w:p>
      <w:pPr>
        <w:pStyle w:val="BodyText"/>
        <w:spacing w:line="249" w:lineRule="auto" w:before="1"/>
        <w:ind w:left="110" w:right="110" w:firstLine="283"/>
        <w:jc w:val="both"/>
      </w:pPr>
      <w:r>
        <w:rPr/>
        <w:t>La deslocalización destruye empleos particularmente de la indus- tria manufacturera, que no necesariamente se compensan en el país de destino o lo hacen en condiciones deficitarias de precariedad, con bajos ingresos y ocupaciones inestables. Los efectos sobre el desempleo de- rivado de la deslocalización de la producción podrían considerarse aún limitados en términos de la magnitud de desocupación vinculada direc- tamente al traslado de las empresas a otros países con mano de obra</w:t>
      </w:r>
      <w:r>
        <w:rPr>
          <w:spacing w:val="-16"/>
        </w:rPr>
        <w:t> </w:t>
      </w:r>
      <w:r>
        <w:rPr/>
        <w:t>más barata.</w:t>
      </w:r>
      <w:r>
        <w:rPr>
          <w:spacing w:val="-6"/>
        </w:rPr>
        <w:t> </w:t>
      </w:r>
      <w:r>
        <w:rPr/>
        <w:t>No</w:t>
      </w:r>
      <w:r>
        <w:rPr>
          <w:spacing w:val="-6"/>
        </w:rPr>
        <w:t> </w:t>
      </w:r>
      <w:r>
        <w:rPr/>
        <w:t>obstante,</w:t>
      </w:r>
      <w:r>
        <w:rPr>
          <w:spacing w:val="-6"/>
        </w:rPr>
        <w:t> </w:t>
      </w:r>
      <w:r>
        <w:rPr/>
        <w:t>la</w:t>
      </w:r>
      <w:r>
        <w:rPr>
          <w:spacing w:val="-6"/>
        </w:rPr>
        <w:t> </w:t>
      </w:r>
      <w:r>
        <w:rPr/>
        <w:t>permanente</w:t>
      </w:r>
      <w:r>
        <w:rPr>
          <w:spacing w:val="-6"/>
        </w:rPr>
        <w:t> </w:t>
      </w:r>
      <w:r>
        <w:rPr/>
        <w:t>amenaza</w:t>
      </w:r>
      <w:r>
        <w:rPr>
          <w:spacing w:val="-7"/>
        </w:rPr>
        <w:t> </w:t>
      </w:r>
      <w:r>
        <w:rPr/>
        <w:t>hacia</w:t>
      </w:r>
      <w:r>
        <w:rPr>
          <w:spacing w:val="-6"/>
        </w:rPr>
        <w:t> </w:t>
      </w:r>
      <w:r>
        <w:rPr/>
        <w:t>los</w:t>
      </w:r>
      <w:r>
        <w:rPr>
          <w:spacing w:val="-6"/>
        </w:rPr>
        <w:t> </w:t>
      </w:r>
      <w:r>
        <w:rPr/>
        <w:t>trabajadores</w:t>
      </w:r>
      <w:r>
        <w:rPr>
          <w:spacing w:val="-6"/>
        </w:rPr>
        <w:t> </w:t>
      </w:r>
      <w:r>
        <w:rPr/>
        <w:t>de</w:t>
      </w:r>
      <w:r>
        <w:rPr>
          <w:spacing w:val="-6"/>
        </w:rPr>
        <w:t> </w:t>
      </w:r>
      <w:r>
        <w:rPr/>
        <w:t>ser desplazados, los coloca en circunstancias de vulnerabilidad y desventaja frente a los procesos de flexibilización creciente y las posibilidades de hacer efectivas sus demandas salariales. En este sentido, el </w:t>
      </w:r>
      <w:r>
        <w:rPr>
          <w:i/>
        </w:rPr>
        <w:t>outsorcing </w:t>
      </w:r>
      <w:r>
        <w:rPr/>
        <w:t>convirtió a India y China en el destinatario privilegiado de gran parte   de la producción deslocalizada de Estados Unidos en los años recientes, mientras que </w:t>
      </w:r>
      <w:r>
        <w:rPr>
          <w:spacing w:val="-3"/>
        </w:rPr>
        <w:t>América Latina, </w:t>
      </w:r>
      <w:r>
        <w:rPr/>
        <w:t>en </w:t>
      </w:r>
      <w:r>
        <w:rPr>
          <w:spacing w:val="-3"/>
        </w:rPr>
        <w:t>particular Argentina, México, Brasil </w:t>
      </w:r>
      <w:r>
        <w:rPr/>
        <w:t>y </w:t>
      </w:r>
      <w:r>
        <w:rPr>
          <w:spacing w:val="-3"/>
        </w:rPr>
        <w:t>otros</w:t>
      </w:r>
      <w:r>
        <w:rPr>
          <w:spacing w:val="-10"/>
        </w:rPr>
        <w:t> </w:t>
      </w:r>
      <w:r>
        <w:rPr>
          <w:spacing w:val="-3"/>
        </w:rPr>
        <w:t>países,</w:t>
      </w:r>
      <w:r>
        <w:rPr>
          <w:spacing w:val="-10"/>
        </w:rPr>
        <w:t> </w:t>
      </w:r>
      <w:r>
        <w:rPr/>
        <w:t>se</w:t>
      </w:r>
      <w:r>
        <w:rPr>
          <w:spacing w:val="-10"/>
        </w:rPr>
        <w:t> </w:t>
      </w:r>
      <w:r>
        <w:rPr/>
        <w:t>han</w:t>
      </w:r>
      <w:r>
        <w:rPr>
          <w:spacing w:val="-10"/>
        </w:rPr>
        <w:t> </w:t>
      </w:r>
      <w:r>
        <w:rPr>
          <w:spacing w:val="-3"/>
        </w:rPr>
        <w:t>convertido</w:t>
      </w:r>
      <w:r>
        <w:rPr>
          <w:spacing w:val="-10"/>
        </w:rPr>
        <w:t> </w:t>
      </w:r>
      <w:r>
        <w:rPr/>
        <w:t>en</w:t>
      </w:r>
      <w:r>
        <w:rPr>
          <w:spacing w:val="-10"/>
        </w:rPr>
        <w:t> </w:t>
      </w:r>
      <w:r>
        <w:rPr>
          <w:spacing w:val="-3"/>
        </w:rPr>
        <w:t>destinos</w:t>
      </w:r>
      <w:r>
        <w:rPr>
          <w:spacing w:val="-10"/>
        </w:rPr>
        <w:t> </w:t>
      </w:r>
      <w:r>
        <w:rPr>
          <w:spacing w:val="-3"/>
        </w:rPr>
        <w:t>recientes</w:t>
      </w:r>
      <w:r>
        <w:rPr>
          <w:spacing w:val="-9"/>
        </w:rPr>
        <w:t> </w:t>
      </w:r>
      <w:r>
        <w:rPr/>
        <w:t>de</w:t>
      </w:r>
      <w:r>
        <w:rPr>
          <w:spacing w:val="-10"/>
        </w:rPr>
        <w:t> </w:t>
      </w:r>
      <w:r>
        <w:rPr>
          <w:spacing w:val="-3"/>
        </w:rPr>
        <w:t>dicha</w:t>
      </w:r>
      <w:r>
        <w:rPr>
          <w:spacing w:val="-10"/>
        </w:rPr>
        <w:t> </w:t>
      </w:r>
      <w:r>
        <w:rPr>
          <w:spacing w:val="-3"/>
        </w:rPr>
        <w:t>modalidad</w:t>
      </w:r>
      <w:r>
        <w:rPr>
          <w:spacing w:val="-10"/>
        </w:rPr>
        <w:t> </w:t>
      </w:r>
      <w:r>
        <w:rPr>
          <w:spacing w:val="-3"/>
        </w:rPr>
        <w:t>de empleo (Castillo </w:t>
      </w:r>
      <w:r>
        <w:rPr/>
        <w:t>y </w:t>
      </w:r>
      <w:r>
        <w:rPr>
          <w:spacing w:val="-3"/>
        </w:rPr>
        <w:t>Sotelo,</w:t>
      </w:r>
      <w:r>
        <w:rPr>
          <w:spacing w:val="-5"/>
        </w:rPr>
        <w:t> </w:t>
      </w:r>
      <w:r>
        <w:rPr>
          <w:spacing w:val="-3"/>
        </w:rPr>
        <w:t>2013).</w:t>
      </w:r>
    </w:p>
    <w:p>
      <w:pPr>
        <w:pStyle w:val="BodyText"/>
        <w:spacing w:line="249" w:lineRule="auto" w:before="1"/>
        <w:ind w:left="110" w:right="111" w:firstLine="283"/>
        <w:jc w:val="both"/>
      </w:pPr>
      <w:r>
        <w:rPr>
          <w:color w:val="231F20"/>
        </w:rPr>
        <w:t>La </w:t>
      </w:r>
      <w:r>
        <w:rPr>
          <w:color w:val="231F20"/>
          <w:spacing w:val="-3"/>
        </w:rPr>
        <w:t>capitalización externa </w:t>
      </w:r>
      <w:r>
        <w:rPr>
          <w:color w:val="231F20"/>
        </w:rPr>
        <w:t>es un </w:t>
      </w:r>
      <w:r>
        <w:rPr>
          <w:color w:val="231F20"/>
          <w:spacing w:val="-3"/>
        </w:rPr>
        <w:t>recurso estratégico inherente </w:t>
      </w:r>
      <w:r>
        <w:rPr>
          <w:color w:val="231F20"/>
        </w:rPr>
        <w:t>a la </w:t>
      </w:r>
      <w:r>
        <w:rPr>
          <w:color w:val="231F20"/>
          <w:spacing w:val="-3"/>
        </w:rPr>
        <w:t>lógi- </w:t>
      </w:r>
      <w:r>
        <w:rPr>
          <w:color w:val="231F20"/>
        </w:rPr>
        <w:t>ca </w:t>
      </w:r>
      <w:r>
        <w:rPr>
          <w:color w:val="231F20"/>
          <w:spacing w:val="-3"/>
        </w:rPr>
        <w:t>expansiva </w:t>
      </w:r>
      <w:r>
        <w:rPr>
          <w:color w:val="231F20"/>
        </w:rPr>
        <w:t>del </w:t>
      </w:r>
      <w:r>
        <w:rPr>
          <w:color w:val="231F20"/>
          <w:spacing w:val="-3"/>
        </w:rPr>
        <w:t>capitalismo global </w:t>
      </w:r>
      <w:r>
        <w:rPr>
          <w:color w:val="231F20"/>
        </w:rPr>
        <w:t>que </w:t>
      </w:r>
      <w:r>
        <w:rPr>
          <w:color w:val="231F20"/>
          <w:spacing w:val="-3"/>
        </w:rPr>
        <w:t>promueve </w:t>
      </w:r>
      <w:r>
        <w:rPr>
          <w:color w:val="231F20"/>
        </w:rPr>
        <w:t>la </w:t>
      </w:r>
      <w:r>
        <w:rPr>
          <w:color w:val="231F20"/>
          <w:spacing w:val="-3"/>
        </w:rPr>
        <w:t>deslocalización pro- ductiva </w:t>
      </w:r>
      <w:r>
        <w:rPr>
          <w:color w:val="231F20"/>
        </w:rPr>
        <w:t>y la </w:t>
      </w:r>
      <w:r>
        <w:rPr>
          <w:color w:val="231F20"/>
          <w:spacing w:val="-3"/>
        </w:rPr>
        <w:t>desindustrialización </w:t>
      </w:r>
      <w:r>
        <w:rPr>
          <w:color w:val="231F20"/>
        </w:rPr>
        <w:t>de la </w:t>
      </w:r>
      <w:r>
        <w:rPr>
          <w:color w:val="231F20"/>
          <w:spacing w:val="-3"/>
        </w:rPr>
        <w:t>producción </w:t>
      </w:r>
      <w:r>
        <w:rPr>
          <w:color w:val="231F20"/>
        </w:rPr>
        <w:t>y el </w:t>
      </w:r>
      <w:r>
        <w:rPr>
          <w:color w:val="231F20"/>
          <w:spacing w:val="-3"/>
        </w:rPr>
        <w:t>trabajo, siguiendo lógicas opuestas. </w:t>
      </w:r>
      <w:r>
        <w:rPr>
          <w:color w:val="231F20"/>
        </w:rPr>
        <w:t>La </w:t>
      </w:r>
      <w:r>
        <w:rPr>
          <w:color w:val="231F20"/>
          <w:spacing w:val="-3"/>
        </w:rPr>
        <w:t>Gráfica </w:t>
      </w:r>
      <w:r>
        <w:rPr>
          <w:color w:val="231F20"/>
        </w:rPr>
        <w:t>2 es </w:t>
      </w:r>
      <w:r>
        <w:rPr>
          <w:color w:val="231F20"/>
          <w:spacing w:val="-3"/>
        </w:rPr>
        <w:t>ilustrativa </w:t>
      </w:r>
      <w:r>
        <w:rPr>
          <w:color w:val="231F20"/>
        </w:rPr>
        <w:t>en ese </w:t>
      </w:r>
      <w:r>
        <w:rPr>
          <w:color w:val="231F20"/>
          <w:spacing w:val="-3"/>
        </w:rPr>
        <w:t>sentido, </w:t>
      </w:r>
      <w:r>
        <w:rPr>
          <w:color w:val="231F20"/>
        </w:rPr>
        <w:t>al </w:t>
      </w:r>
      <w:r>
        <w:rPr>
          <w:color w:val="231F20"/>
          <w:spacing w:val="-3"/>
        </w:rPr>
        <w:t>destacar las tendencias opuestas </w:t>
      </w:r>
      <w:r>
        <w:rPr>
          <w:color w:val="231F20"/>
        </w:rPr>
        <w:t>de </w:t>
      </w:r>
      <w:r>
        <w:rPr>
          <w:color w:val="231F20"/>
          <w:spacing w:val="-3"/>
        </w:rPr>
        <w:t>dichas factores, </w:t>
      </w:r>
      <w:r>
        <w:rPr>
          <w:color w:val="231F20"/>
        </w:rPr>
        <w:t>y la </w:t>
      </w:r>
      <w:r>
        <w:rPr>
          <w:color w:val="231F20"/>
          <w:spacing w:val="-3"/>
        </w:rPr>
        <w:t>ampliación </w:t>
      </w:r>
      <w:r>
        <w:rPr>
          <w:color w:val="231F20"/>
        </w:rPr>
        <w:t>de la </w:t>
      </w:r>
      <w:r>
        <w:rPr>
          <w:color w:val="231F20"/>
          <w:spacing w:val="-3"/>
        </w:rPr>
        <w:t>brecha </w:t>
      </w:r>
      <w:r>
        <w:rPr>
          <w:color w:val="231F20"/>
        </w:rPr>
        <w:t>en </w:t>
      </w:r>
      <w:r>
        <w:rPr>
          <w:color w:val="231F20"/>
          <w:spacing w:val="-3"/>
        </w:rPr>
        <w:t>el periodo </w:t>
      </w:r>
      <w:r>
        <w:rPr>
          <w:color w:val="231F20"/>
        </w:rPr>
        <w:t>de </w:t>
      </w:r>
      <w:r>
        <w:rPr>
          <w:color w:val="231F20"/>
          <w:spacing w:val="-3"/>
        </w:rPr>
        <w:t>crisis. </w:t>
      </w:r>
      <w:r>
        <w:rPr>
          <w:color w:val="231F20"/>
        </w:rPr>
        <w:t>En </w:t>
      </w:r>
      <w:r>
        <w:rPr>
          <w:color w:val="231F20"/>
          <w:spacing w:val="-3"/>
        </w:rPr>
        <w:t>relación </w:t>
      </w:r>
      <w:r>
        <w:rPr>
          <w:color w:val="231F20"/>
        </w:rPr>
        <w:t>con el </w:t>
      </w:r>
      <w:r>
        <w:rPr>
          <w:color w:val="231F20"/>
          <w:spacing w:val="-3"/>
        </w:rPr>
        <w:t>PIB global </w:t>
      </w:r>
      <w:r>
        <w:rPr>
          <w:color w:val="231F20"/>
        </w:rPr>
        <w:t>del </w:t>
      </w:r>
      <w:r>
        <w:rPr>
          <w:color w:val="231F20"/>
          <w:spacing w:val="-3"/>
        </w:rPr>
        <w:t>país, </w:t>
      </w:r>
      <w:r>
        <w:rPr>
          <w:color w:val="231F20"/>
        </w:rPr>
        <w:t>la </w:t>
      </w:r>
      <w:r>
        <w:rPr>
          <w:color w:val="231F20"/>
          <w:spacing w:val="-3"/>
        </w:rPr>
        <w:t>capitalización foránea</w:t>
      </w:r>
      <w:r>
        <w:rPr>
          <w:color w:val="231F20"/>
          <w:spacing w:val="-8"/>
        </w:rPr>
        <w:t> </w:t>
      </w:r>
      <w:r>
        <w:rPr>
          <w:color w:val="231F20"/>
        </w:rPr>
        <w:t>o</w:t>
      </w:r>
      <w:r>
        <w:rPr>
          <w:color w:val="231F20"/>
          <w:spacing w:val="-8"/>
        </w:rPr>
        <w:t> </w:t>
      </w:r>
      <w:r>
        <w:rPr>
          <w:color w:val="231F20"/>
          <w:spacing w:val="-3"/>
        </w:rPr>
        <w:t>externa</w:t>
      </w:r>
      <w:r>
        <w:rPr>
          <w:color w:val="231F20"/>
          <w:spacing w:val="-9"/>
        </w:rPr>
        <w:t> </w:t>
      </w:r>
      <w:r>
        <w:rPr>
          <w:color w:val="231F20"/>
          <w:spacing w:val="-3"/>
        </w:rPr>
        <w:t>pasó</w:t>
      </w:r>
      <w:r>
        <w:rPr>
          <w:color w:val="231F20"/>
          <w:spacing w:val="-8"/>
        </w:rPr>
        <w:t> </w:t>
      </w:r>
      <w:r>
        <w:rPr>
          <w:color w:val="231F20"/>
        </w:rPr>
        <w:t>de</w:t>
      </w:r>
      <w:r>
        <w:rPr>
          <w:color w:val="231F20"/>
          <w:spacing w:val="-8"/>
        </w:rPr>
        <w:t> </w:t>
      </w:r>
      <w:r>
        <w:rPr>
          <w:color w:val="231F20"/>
        </w:rPr>
        <w:t>8.6</w:t>
      </w:r>
      <w:r>
        <w:rPr>
          <w:color w:val="231F20"/>
          <w:spacing w:val="-8"/>
        </w:rPr>
        <w:t> </w:t>
      </w:r>
      <w:r>
        <w:rPr>
          <w:color w:val="231F20"/>
        </w:rPr>
        <w:t>por</w:t>
      </w:r>
      <w:r>
        <w:rPr>
          <w:color w:val="231F20"/>
          <w:spacing w:val="-8"/>
        </w:rPr>
        <w:t> </w:t>
      </w:r>
      <w:r>
        <w:rPr>
          <w:color w:val="231F20"/>
          <w:spacing w:val="-3"/>
        </w:rPr>
        <w:t>ciento</w:t>
      </w:r>
      <w:r>
        <w:rPr>
          <w:color w:val="231F20"/>
          <w:spacing w:val="-9"/>
        </w:rPr>
        <w:t> </w:t>
      </w:r>
      <w:r>
        <w:rPr>
          <w:color w:val="231F20"/>
        </w:rPr>
        <w:t>en</w:t>
      </w:r>
      <w:r>
        <w:rPr>
          <w:color w:val="231F20"/>
          <w:spacing w:val="-9"/>
        </w:rPr>
        <w:t> </w:t>
      </w:r>
      <w:r>
        <w:rPr>
          <w:color w:val="231F20"/>
          <w:spacing w:val="-3"/>
        </w:rPr>
        <w:t>1973</w:t>
      </w:r>
      <w:r>
        <w:rPr>
          <w:color w:val="231F20"/>
          <w:spacing w:val="-8"/>
        </w:rPr>
        <w:t> </w:t>
      </w:r>
      <w:r>
        <w:rPr>
          <w:color w:val="231F20"/>
        </w:rPr>
        <w:t>a</w:t>
      </w:r>
      <w:r>
        <w:rPr>
          <w:color w:val="231F20"/>
          <w:spacing w:val="-8"/>
        </w:rPr>
        <w:t> </w:t>
      </w:r>
      <w:r>
        <w:rPr>
          <w:color w:val="231F20"/>
          <w:spacing w:val="-3"/>
        </w:rPr>
        <w:t>18.3</w:t>
      </w:r>
      <w:r>
        <w:rPr>
          <w:color w:val="231F20"/>
          <w:spacing w:val="-8"/>
        </w:rPr>
        <w:t> </w:t>
      </w:r>
      <w:r>
        <w:rPr>
          <w:color w:val="231F20"/>
        </w:rPr>
        <w:t>por</w:t>
      </w:r>
      <w:r>
        <w:rPr>
          <w:color w:val="231F20"/>
          <w:spacing w:val="-8"/>
        </w:rPr>
        <w:t> </w:t>
      </w:r>
      <w:r>
        <w:rPr>
          <w:color w:val="231F20"/>
          <w:spacing w:val="-3"/>
        </w:rPr>
        <w:t>ciento</w:t>
      </w:r>
      <w:r>
        <w:rPr>
          <w:color w:val="231F20"/>
          <w:spacing w:val="-9"/>
        </w:rPr>
        <w:t> </w:t>
      </w:r>
      <w:r>
        <w:rPr>
          <w:color w:val="231F20"/>
        </w:rPr>
        <w:t>en</w:t>
      </w:r>
      <w:r>
        <w:rPr>
          <w:color w:val="231F20"/>
          <w:spacing w:val="-9"/>
        </w:rPr>
        <w:t> </w:t>
      </w:r>
      <w:r>
        <w:rPr>
          <w:color w:val="231F20"/>
          <w:spacing w:val="-3"/>
        </w:rPr>
        <w:t>2008, </w:t>
      </w:r>
      <w:r>
        <w:rPr>
          <w:color w:val="231F20"/>
        </w:rPr>
        <w:t>con </w:t>
      </w:r>
      <w:r>
        <w:rPr>
          <w:color w:val="231F20"/>
          <w:spacing w:val="-3"/>
        </w:rPr>
        <w:t>ligera caída </w:t>
      </w:r>
      <w:r>
        <w:rPr>
          <w:color w:val="231F20"/>
        </w:rPr>
        <w:t>y </w:t>
      </w:r>
      <w:r>
        <w:rPr>
          <w:color w:val="231F20"/>
          <w:spacing w:val="-3"/>
        </w:rPr>
        <w:t>repunte </w:t>
      </w:r>
      <w:r>
        <w:rPr>
          <w:color w:val="231F20"/>
        </w:rPr>
        <w:t>en </w:t>
      </w:r>
      <w:r>
        <w:rPr>
          <w:color w:val="231F20"/>
          <w:spacing w:val="-3"/>
        </w:rPr>
        <w:t>2009 </w:t>
      </w:r>
      <w:r>
        <w:rPr>
          <w:color w:val="231F20"/>
        </w:rPr>
        <w:t>y </w:t>
      </w:r>
      <w:r>
        <w:rPr>
          <w:color w:val="231F20"/>
          <w:spacing w:val="-3"/>
        </w:rPr>
        <w:t>2010 </w:t>
      </w:r>
      <w:r>
        <w:rPr>
          <w:color w:val="231F20"/>
        </w:rPr>
        <w:t>de </w:t>
      </w:r>
      <w:r>
        <w:rPr>
          <w:color w:val="231F20"/>
          <w:spacing w:val="-3"/>
        </w:rPr>
        <w:t>17.2 </w:t>
      </w:r>
      <w:r>
        <w:rPr>
          <w:color w:val="231F20"/>
        </w:rPr>
        <w:t>por </w:t>
      </w:r>
      <w:r>
        <w:rPr>
          <w:color w:val="231F20"/>
          <w:spacing w:val="-3"/>
        </w:rPr>
        <w:t>ciento, quizá como efecto </w:t>
      </w:r>
      <w:r>
        <w:rPr>
          <w:color w:val="231F20"/>
        </w:rPr>
        <w:t>de la </w:t>
      </w:r>
      <w:r>
        <w:rPr>
          <w:color w:val="231F20"/>
          <w:spacing w:val="-3"/>
        </w:rPr>
        <w:t>crisis económica, pero </w:t>
      </w:r>
      <w:r>
        <w:rPr>
          <w:color w:val="231F20"/>
        </w:rPr>
        <w:t>con un </w:t>
      </w:r>
      <w:r>
        <w:rPr>
          <w:color w:val="231F20"/>
          <w:spacing w:val="-3"/>
        </w:rPr>
        <w:t>crecimiento </w:t>
      </w:r>
      <w:r>
        <w:rPr>
          <w:color w:val="231F20"/>
          <w:spacing w:val="-4"/>
        </w:rPr>
        <w:t>sostenido superior  </w:t>
      </w:r>
      <w:r>
        <w:rPr>
          <w:color w:val="231F20"/>
        </w:rPr>
        <w:t>a 18 por </w:t>
      </w:r>
      <w:r>
        <w:rPr>
          <w:color w:val="231F20"/>
          <w:spacing w:val="-3"/>
        </w:rPr>
        <w:t>ciento entre </w:t>
      </w:r>
      <w:r>
        <w:rPr>
          <w:color w:val="231F20"/>
          <w:spacing w:val="-5"/>
        </w:rPr>
        <w:t>2011 </w:t>
      </w:r>
      <w:r>
        <w:rPr>
          <w:color w:val="231F20"/>
        </w:rPr>
        <w:t>y </w:t>
      </w:r>
      <w:r>
        <w:rPr>
          <w:color w:val="231F20"/>
          <w:spacing w:val="-3"/>
        </w:rPr>
        <w:t>2013. </w:t>
      </w:r>
      <w:r>
        <w:rPr>
          <w:color w:val="231F20"/>
        </w:rPr>
        <w:t>En el </w:t>
      </w:r>
      <w:r>
        <w:rPr>
          <w:color w:val="231F20"/>
          <w:spacing w:val="-3"/>
        </w:rPr>
        <w:t>entorno </w:t>
      </w:r>
      <w:r>
        <w:rPr>
          <w:color w:val="231F20"/>
        </w:rPr>
        <w:t>de </w:t>
      </w:r>
      <w:r>
        <w:rPr>
          <w:color w:val="231F20"/>
          <w:spacing w:val="-3"/>
        </w:rPr>
        <w:t>crisis, </w:t>
      </w:r>
      <w:r>
        <w:rPr>
          <w:color w:val="231F20"/>
        </w:rPr>
        <w:t>en el que no </w:t>
      </w:r>
      <w:r>
        <w:rPr>
          <w:color w:val="231F20"/>
          <w:spacing w:val="-3"/>
        </w:rPr>
        <w:t>es posible garantizar </w:t>
      </w:r>
      <w:r>
        <w:rPr>
          <w:color w:val="231F20"/>
        </w:rPr>
        <w:t>la </w:t>
      </w:r>
      <w:r>
        <w:rPr>
          <w:color w:val="231F20"/>
          <w:spacing w:val="-3"/>
        </w:rPr>
        <w:t>explotación </w:t>
      </w:r>
      <w:r>
        <w:rPr>
          <w:color w:val="231F20"/>
        </w:rPr>
        <w:t>del </w:t>
      </w:r>
      <w:r>
        <w:rPr>
          <w:color w:val="231F20"/>
          <w:spacing w:val="-3"/>
        </w:rPr>
        <w:t>trabajo, mediante </w:t>
      </w:r>
      <w:r>
        <w:rPr>
          <w:color w:val="231F20"/>
        </w:rPr>
        <w:t>los </w:t>
      </w:r>
      <w:r>
        <w:rPr>
          <w:color w:val="231F20"/>
          <w:spacing w:val="-3"/>
        </w:rPr>
        <w:t>mecanismos de reproducción internos, </w:t>
      </w:r>
      <w:r>
        <w:rPr>
          <w:color w:val="231F20"/>
        </w:rPr>
        <w:t>la </w:t>
      </w:r>
      <w:r>
        <w:rPr>
          <w:color w:val="231F20"/>
          <w:spacing w:val="-3"/>
        </w:rPr>
        <w:t>tendencia </w:t>
      </w:r>
      <w:r>
        <w:rPr>
          <w:color w:val="231F20"/>
        </w:rPr>
        <w:t>es de </w:t>
      </w:r>
      <w:r>
        <w:rPr>
          <w:color w:val="231F20"/>
          <w:spacing w:val="-3"/>
        </w:rPr>
        <w:t>ampliación </w:t>
      </w:r>
      <w:r>
        <w:rPr>
          <w:color w:val="231F20"/>
        </w:rPr>
        <w:t>de la </w:t>
      </w:r>
      <w:r>
        <w:rPr>
          <w:color w:val="231F20"/>
          <w:spacing w:val="-3"/>
        </w:rPr>
        <w:t>capitalización externa,</w:t>
      </w:r>
      <w:r>
        <w:rPr>
          <w:color w:val="231F20"/>
          <w:spacing w:val="-7"/>
        </w:rPr>
        <w:t> </w:t>
      </w:r>
      <w:r>
        <w:rPr>
          <w:color w:val="231F20"/>
        </w:rPr>
        <w:t>lo</w:t>
      </w:r>
      <w:r>
        <w:rPr>
          <w:color w:val="231F20"/>
          <w:spacing w:val="-6"/>
        </w:rPr>
        <w:t> </w:t>
      </w:r>
      <w:r>
        <w:rPr>
          <w:color w:val="231F20"/>
        </w:rPr>
        <w:t>que</w:t>
      </w:r>
      <w:r>
        <w:rPr>
          <w:color w:val="231F20"/>
          <w:spacing w:val="-6"/>
        </w:rPr>
        <w:t> </w:t>
      </w:r>
      <w:r>
        <w:rPr>
          <w:color w:val="231F20"/>
        </w:rPr>
        <w:t>da</w:t>
      </w:r>
      <w:r>
        <w:rPr>
          <w:color w:val="231F20"/>
          <w:spacing w:val="-6"/>
        </w:rPr>
        <w:t> </w:t>
      </w:r>
      <w:r>
        <w:rPr>
          <w:color w:val="231F20"/>
          <w:spacing w:val="-3"/>
        </w:rPr>
        <w:t>cuenta</w:t>
      </w:r>
      <w:r>
        <w:rPr>
          <w:color w:val="231F20"/>
          <w:spacing w:val="-6"/>
        </w:rPr>
        <w:t> </w:t>
      </w:r>
      <w:r>
        <w:rPr>
          <w:color w:val="231F20"/>
        </w:rPr>
        <w:t>del</w:t>
      </w:r>
      <w:r>
        <w:rPr>
          <w:color w:val="231F20"/>
          <w:spacing w:val="-6"/>
        </w:rPr>
        <w:t> </w:t>
      </w:r>
      <w:r>
        <w:rPr>
          <w:color w:val="231F20"/>
          <w:spacing w:val="-3"/>
        </w:rPr>
        <w:t>carácter</w:t>
      </w:r>
      <w:r>
        <w:rPr>
          <w:color w:val="231F20"/>
          <w:spacing w:val="-7"/>
        </w:rPr>
        <w:t> </w:t>
      </w:r>
      <w:r>
        <w:rPr>
          <w:color w:val="231F20"/>
          <w:spacing w:val="-3"/>
        </w:rPr>
        <w:t>expansivo</w:t>
      </w:r>
      <w:r>
        <w:rPr>
          <w:color w:val="231F20"/>
          <w:spacing w:val="-7"/>
        </w:rPr>
        <w:t> </w:t>
      </w:r>
      <w:r>
        <w:rPr>
          <w:color w:val="231F20"/>
        </w:rPr>
        <w:t>del</w:t>
      </w:r>
      <w:r>
        <w:rPr>
          <w:color w:val="231F20"/>
          <w:spacing w:val="-6"/>
        </w:rPr>
        <w:t> </w:t>
      </w:r>
      <w:r>
        <w:rPr>
          <w:color w:val="231F20"/>
          <w:spacing w:val="-3"/>
        </w:rPr>
        <w:t>capital</w:t>
      </w:r>
      <w:r>
        <w:rPr>
          <w:color w:val="231F20"/>
          <w:spacing w:val="-6"/>
        </w:rPr>
        <w:t> </w:t>
      </w:r>
      <w:r>
        <w:rPr>
          <w:color w:val="231F20"/>
        </w:rPr>
        <w:t>aún</w:t>
      </w:r>
      <w:r>
        <w:rPr>
          <w:color w:val="231F20"/>
          <w:spacing w:val="-6"/>
        </w:rPr>
        <w:t> </w:t>
      </w:r>
      <w:r>
        <w:rPr>
          <w:color w:val="231F20"/>
        </w:rPr>
        <w:t>en</w:t>
      </w:r>
      <w:r>
        <w:rPr>
          <w:color w:val="231F20"/>
          <w:spacing w:val="-6"/>
        </w:rPr>
        <w:t> </w:t>
      </w:r>
      <w:r>
        <w:rPr>
          <w:color w:val="231F20"/>
          <w:spacing w:val="-3"/>
        </w:rPr>
        <w:t>circuns- tancias </w:t>
      </w:r>
      <w:r>
        <w:rPr>
          <w:color w:val="231F20"/>
        </w:rPr>
        <w:t>de</w:t>
      </w:r>
      <w:r>
        <w:rPr>
          <w:color w:val="231F20"/>
          <w:spacing w:val="-10"/>
        </w:rPr>
        <w:t> </w:t>
      </w:r>
      <w:r>
        <w:rPr>
          <w:color w:val="231F20"/>
          <w:spacing w:val="-3"/>
        </w:rPr>
        <w:t>crisis.</w:t>
      </w:r>
    </w:p>
    <w:p>
      <w:pPr>
        <w:pStyle w:val="BodyText"/>
        <w:spacing w:before="1"/>
        <w:ind w:left="393"/>
      </w:pPr>
      <w:r>
        <w:rPr/>
        <w:t>La reubicación o deslocalización productiva es parte del nuevo  pro-</w:t>
      </w:r>
    </w:p>
    <w:p>
      <w:pPr>
        <w:spacing w:after="0"/>
        <w:sectPr>
          <w:pgSz w:w="7770" w:h="11740"/>
          <w:pgMar w:header="0" w:footer="559" w:top="840" w:bottom="740" w:left="740" w:right="1020"/>
        </w:sectPr>
      </w:pPr>
    </w:p>
    <w:p>
      <w:pPr>
        <w:pStyle w:val="BodyText"/>
        <w:spacing w:line="249" w:lineRule="auto" w:before="60"/>
        <w:ind w:left="113" w:right="107"/>
        <w:jc w:val="both"/>
      </w:pPr>
      <w:r>
        <w:rPr/>
        <w:t>ceso</w:t>
      </w:r>
      <w:r>
        <w:rPr>
          <w:spacing w:val="-9"/>
        </w:rPr>
        <w:t> </w:t>
      </w:r>
      <w:r>
        <w:rPr/>
        <w:t>de</w:t>
      </w:r>
      <w:r>
        <w:rPr>
          <w:spacing w:val="-9"/>
        </w:rPr>
        <w:t> </w:t>
      </w:r>
      <w:r>
        <w:rPr/>
        <w:t>reestructuración</w:t>
      </w:r>
      <w:r>
        <w:rPr>
          <w:spacing w:val="-9"/>
        </w:rPr>
        <w:t> </w:t>
      </w:r>
      <w:r>
        <w:rPr/>
        <w:t>global</w:t>
      </w:r>
      <w:r>
        <w:rPr>
          <w:spacing w:val="-9"/>
        </w:rPr>
        <w:t> </w:t>
      </w:r>
      <w:r>
        <w:rPr/>
        <w:t>de</w:t>
      </w:r>
      <w:r>
        <w:rPr>
          <w:spacing w:val="-9"/>
        </w:rPr>
        <w:t> </w:t>
      </w:r>
      <w:r>
        <w:rPr/>
        <w:t>la</w:t>
      </w:r>
      <w:r>
        <w:rPr>
          <w:spacing w:val="-9"/>
        </w:rPr>
        <w:t> </w:t>
      </w:r>
      <w:r>
        <w:rPr/>
        <w:t>producción</w:t>
      </w:r>
      <w:r>
        <w:rPr>
          <w:spacing w:val="-9"/>
        </w:rPr>
        <w:t> </w:t>
      </w:r>
      <w:r>
        <w:rPr/>
        <w:t>y</w:t>
      </w:r>
      <w:r>
        <w:rPr>
          <w:spacing w:val="-9"/>
        </w:rPr>
        <w:t> </w:t>
      </w:r>
      <w:r>
        <w:rPr/>
        <w:t>el</w:t>
      </w:r>
      <w:r>
        <w:rPr>
          <w:spacing w:val="-9"/>
        </w:rPr>
        <w:t> </w:t>
      </w:r>
      <w:r>
        <w:rPr/>
        <w:t>trabajo,</w:t>
      </w:r>
      <w:r>
        <w:rPr>
          <w:spacing w:val="-9"/>
        </w:rPr>
        <w:t> </w:t>
      </w:r>
      <w:r>
        <w:rPr/>
        <w:t>que</w:t>
      </w:r>
      <w:r>
        <w:rPr>
          <w:spacing w:val="-9"/>
        </w:rPr>
        <w:t> </w:t>
      </w:r>
      <w:r>
        <w:rPr/>
        <w:t>sigue</w:t>
      </w:r>
      <w:r>
        <w:rPr>
          <w:spacing w:val="-9"/>
        </w:rPr>
        <w:t> </w:t>
      </w:r>
      <w:r>
        <w:rPr/>
        <w:t>la misma lógica pero en sentido opuesto a la migración internacional, con la que, siguiendo a Beck (2000: 39), “no migran las personas, sino los puestos de trabajo”. La </w:t>
      </w:r>
      <w:r>
        <w:rPr>
          <w:spacing w:val="-3"/>
        </w:rPr>
        <w:t>estrategia tiene mayores adeptos </w:t>
      </w:r>
      <w:r>
        <w:rPr/>
        <w:t>en el </w:t>
      </w:r>
      <w:r>
        <w:rPr>
          <w:spacing w:val="-3"/>
        </w:rPr>
        <w:t>imaginario social</w:t>
      </w:r>
      <w:r>
        <w:rPr>
          <w:spacing w:val="-9"/>
        </w:rPr>
        <w:t> </w:t>
      </w:r>
      <w:r>
        <w:rPr/>
        <w:t>de</w:t>
      </w:r>
      <w:r>
        <w:rPr>
          <w:spacing w:val="-9"/>
        </w:rPr>
        <w:t> </w:t>
      </w:r>
      <w:r>
        <w:rPr/>
        <w:t>los</w:t>
      </w:r>
      <w:r>
        <w:rPr>
          <w:spacing w:val="-10"/>
        </w:rPr>
        <w:t> </w:t>
      </w:r>
      <w:r>
        <w:rPr>
          <w:spacing w:val="-3"/>
        </w:rPr>
        <w:t>estadounidenses,</w:t>
      </w:r>
      <w:r>
        <w:rPr>
          <w:spacing w:val="-10"/>
        </w:rPr>
        <w:t> </w:t>
      </w:r>
      <w:r>
        <w:rPr/>
        <w:t>a</w:t>
      </w:r>
      <w:r>
        <w:rPr>
          <w:spacing w:val="-9"/>
        </w:rPr>
        <w:t> </w:t>
      </w:r>
      <w:r>
        <w:rPr>
          <w:spacing w:val="-3"/>
        </w:rPr>
        <w:t>partir</w:t>
      </w:r>
      <w:r>
        <w:rPr>
          <w:spacing w:val="-9"/>
        </w:rPr>
        <w:t> </w:t>
      </w:r>
      <w:r>
        <w:rPr/>
        <w:t>de</w:t>
      </w:r>
      <w:r>
        <w:rPr>
          <w:spacing w:val="-9"/>
        </w:rPr>
        <w:t> </w:t>
      </w:r>
      <w:r>
        <w:rPr/>
        <w:t>la</w:t>
      </w:r>
      <w:r>
        <w:rPr>
          <w:spacing w:val="-9"/>
        </w:rPr>
        <w:t> </w:t>
      </w:r>
      <w:r>
        <w:rPr>
          <w:spacing w:val="-3"/>
        </w:rPr>
        <w:t>promesa</w:t>
      </w:r>
      <w:r>
        <w:rPr>
          <w:spacing w:val="-9"/>
        </w:rPr>
        <w:t> </w:t>
      </w:r>
      <w:r>
        <w:rPr/>
        <w:t>de</w:t>
      </w:r>
      <w:r>
        <w:rPr>
          <w:spacing w:val="-9"/>
        </w:rPr>
        <w:t> </w:t>
      </w:r>
      <w:r>
        <w:rPr>
          <w:spacing w:val="-3"/>
        </w:rPr>
        <w:t>limitar</w:t>
      </w:r>
      <w:r>
        <w:rPr>
          <w:spacing w:val="-10"/>
        </w:rPr>
        <w:t> </w:t>
      </w:r>
      <w:r>
        <w:rPr/>
        <w:t>las</w:t>
      </w:r>
      <w:r>
        <w:rPr>
          <w:spacing w:val="-10"/>
        </w:rPr>
        <w:t> </w:t>
      </w:r>
      <w:r>
        <w:rPr>
          <w:spacing w:val="-3"/>
        </w:rPr>
        <w:t>inmigra- ciones laborales </w:t>
      </w:r>
      <w:r>
        <w:rPr/>
        <w:t>y </w:t>
      </w:r>
      <w:r>
        <w:rPr>
          <w:spacing w:val="-3"/>
        </w:rPr>
        <w:t>fomentar (con </w:t>
      </w:r>
      <w:r>
        <w:rPr/>
        <w:t>la </w:t>
      </w:r>
      <w:r>
        <w:rPr>
          <w:spacing w:val="-3"/>
        </w:rPr>
        <w:t>capitalización externa) mejores condi- ciones salariales para </w:t>
      </w:r>
      <w:r>
        <w:rPr/>
        <w:t>los </w:t>
      </w:r>
      <w:r>
        <w:rPr>
          <w:spacing w:val="-3"/>
        </w:rPr>
        <w:t>trabajadores nativos. </w:t>
      </w:r>
      <w:r>
        <w:rPr/>
        <w:t>El </w:t>
      </w:r>
      <w:r>
        <w:rPr>
          <w:spacing w:val="-3"/>
        </w:rPr>
        <w:t>supuesto </w:t>
      </w:r>
      <w:r>
        <w:rPr/>
        <w:t>es </w:t>
      </w:r>
      <w:r>
        <w:rPr>
          <w:spacing w:val="-3"/>
        </w:rPr>
        <w:t>que, dada la condición </w:t>
      </w:r>
      <w:r>
        <w:rPr/>
        <w:t>de </w:t>
      </w:r>
      <w:r>
        <w:rPr>
          <w:spacing w:val="-3"/>
        </w:rPr>
        <w:t>país imperialista, </w:t>
      </w:r>
      <w:r>
        <w:rPr/>
        <w:t>es </w:t>
      </w:r>
      <w:r>
        <w:rPr>
          <w:spacing w:val="-3"/>
        </w:rPr>
        <w:t>posible mantener ciertas concesiones </w:t>
      </w:r>
      <w:r>
        <w:rPr/>
        <w:t>a </w:t>
      </w:r>
      <w:r>
        <w:rPr>
          <w:spacing w:val="-3"/>
        </w:rPr>
        <w:t>expensas </w:t>
      </w:r>
      <w:r>
        <w:rPr/>
        <w:t>del </w:t>
      </w:r>
      <w:r>
        <w:rPr>
          <w:spacing w:val="-3"/>
        </w:rPr>
        <w:t>trabajo fuera </w:t>
      </w:r>
      <w:r>
        <w:rPr/>
        <w:t>de las </w:t>
      </w:r>
      <w:r>
        <w:rPr>
          <w:spacing w:val="-3"/>
        </w:rPr>
        <w:t>fronteras. </w:t>
      </w:r>
      <w:r>
        <w:rPr/>
        <w:t>La </w:t>
      </w:r>
      <w:r>
        <w:rPr>
          <w:spacing w:val="-3"/>
        </w:rPr>
        <w:t>deslocalización tiene </w:t>
      </w:r>
      <w:r>
        <w:rPr/>
        <w:t>así </w:t>
      </w:r>
      <w:r>
        <w:rPr>
          <w:spacing w:val="-3"/>
        </w:rPr>
        <w:t>un sentido </w:t>
      </w:r>
      <w:r>
        <w:rPr/>
        <w:t>y </w:t>
      </w:r>
      <w:r>
        <w:rPr>
          <w:spacing w:val="-3"/>
        </w:rPr>
        <w:t>alcance político: relegar tensiones internas </w:t>
      </w:r>
      <w:r>
        <w:rPr/>
        <w:t>a las</w:t>
      </w:r>
      <w:r>
        <w:rPr>
          <w:spacing w:val="-17"/>
        </w:rPr>
        <w:t> </w:t>
      </w:r>
      <w:r>
        <w:rPr>
          <w:spacing w:val="-3"/>
        </w:rPr>
        <w:t>periferias.</w:t>
      </w:r>
    </w:p>
    <w:p>
      <w:pPr>
        <w:pStyle w:val="BodyText"/>
        <w:spacing w:line="249" w:lineRule="auto" w:before="1"/>
        <w:ind w:left="113" w:right="107" w:firstLine="283"/>
        <w:jc w:val="both"/>
      </w:pPr>
      <w:r>
        <w:rPr/>
        <w:t>Las repercusiones de la relocalización productiva sobre la dinámica del</w:t>
      </w:r>
      <w:r>
        <w:rPr>
          <w:spacing w:val="-4"/>
        </w:rPr>
        <w:t> </w:t>
      </w:r>
      <w:r>
        <w:rPr/>
        <w:t>empleo</w:t>
      </w:r>
      <w:r>
        <w:rPr>
          <w:spacing w:val="-4"/>
        </w:rPr>
        <w:t> </w:t>
      </w:r>
      <w:r>
        <w:rPr/>
        <w:t>en</w:t>
      </w:r>
      <w:r>
        <w:rPr>
          <w:spacing w:val="-4"/>
        </w:rPr>
        <w:t> </w:t>
      </w:r>
      <w:r>
        <w:rPr/>
        <w:t>los</w:t>
      </w:r>
      <w:r>
        <w:rPr>
          <w:spacing w:val="-4"/>
        </w:rPr>
        <w:t> </w:t>
      </w:r>
      <w:r>
        <w:rPr/>
        <w:t>países</w:t>
      </w:r>
      <w:r>
        <w:rPr>
          <w:spacing w:val="-4"/>
        </w:rPr>
        <w:t> </w:t>
      </w:r>
      <w:r>
        <w:rPr/>
        <w:t>en</w:t>
      </w:r>
      <w:r>
        <w:rPr>
          <w:spacing w:val="-4"/>
        </w:rPr>
        <w:t> </w:t>
      </w:r>
      <w:r>
        <w:rPr/>
        <w:t>desarrollo</w:t>
      </w:r>
      <w:r>
        <w:rPr>
          <w:spacing w:val="-4"/>
        </w:rPr>
        <w:t> </w:t>
      </w:r>
      <w:r>
        <w:rPr/>
        <w:t>siguen</w:t>
      </w:r>
      <w:r>
        <w:rPr>
          <w:spacing w:val="-4"/>
        </w:rPr>
        <w:t> </w:t>
      </w:r>
      <w:r>
        <w:rPr/>
        <w:t>siendo</w:t>
      </w:r>
      <w:r>
        <w:rPr>
          <w:spacing w:val="-4"/>
        </w:rPr>
        <w:t> </w:t>
      </w:r>
      <w:r>
        <w:rPr/>
        <w:t>inciertas,</w:t>
      </w:r>
      <w:r>
        <w:rPr>
          <w:spacing w:val="-5"/>
        </w:rPr>
        <w:t> </w:t>
      </w:r>
      <w:r>
        <w:rPr/>
        <w:t>pero</w:t>
      </w:r>
      <w:r>
        <w:rPr>
          <w:spacing w:val="-4"/>
        </w:rPr>
        <w:t> </w:t>
      </w:r>
      <w:r>
        <w:rPr/>
        <w:t>cual- quiera</w:t>
      </w:r>
      <w:r>
        <w:rPr>
          <w:spacing w:val="-4"/>
        </w:rPr>
        <w:t> </w:t>
      </w:r>
      <w:r>
        <w:rPr/>
        <w:t>que</w:t>
      </w:r>
      <w:r>
        <w:rPr>
          <w:spacing w:val="-4"/>
        </w:rPr>
        <w:t> </w:t>
      </w:r>
      <w:r>
        <w:rPr/>
        <w:t>ellas</w:t>
      </w:r>
      <w:r>
        <w:rPr>
          <w:spacing w:val="-4"/>
        </w:rPr>
        <w:t> </w:t>
      </w:r>
      <w:r>
        <w:rPr/>
        <w:t>fueran,</w:t>
      </w:r>
      <w:r>
        <w:rPr>
          <w:spacing w:val="-4"/>
        </w:rPr>
        <w:t> </w:t>
      </w:r>
      <w:r>
        <w:rPr/>
        <w:t>existen</w:t>
      </w:r>
      <w:r>
        <w:rPr>
          <w:spacing w:val="-5"/>
        </w:rPr>
        <w:t> </w:t>
      </w:r>
      <w:r>
        <w:rPr/>
        <w:t>elementos</w:t>
      </w:r>
      <w:r>
        <w:rPr>
          <w:spacing w:val="-5"/>
        </w:rPr>
        <w:t> </w:t>
      </w:r>
      <w:r>
        <w:rPr/>
        <w:t>para</w:t>
      </w:r>
      <w:r>
        <w:rPr>
          <w:spacing w:val="-4"/>
        </w:rPr>
        <w:t> </w:t>
      </w:r>
      <w:r>
        <w:rPr/>
        <w:t>pensar</w:t>
      </w:r>
      <w:r>
        <w:rPr>
          <w:spacing w:val="-4"/>
        </w:rPr>
        <w:t> </w:t>
      </w:r>
      <w:r>
        <w:rPr/>
        <w:t>que</w:t>
      </w:r>
      <w:r>
        <w:rPr>
          <w:spacing w:val="-4"/>
        </w:rPr>
        <w:t> </w:t>
      </w:r>
      <w:r>
        <w:rPr/>
        <w:t>podrían</w:t>
      </w:r>
      <w:r>
        <w:rPr>
          <w:spacing w:val="-4"/>
        </w:rPr>
        <w:t> </w:t>
      </w:r>
      <w:r>
        <w:rPr/>
        <w:t>refor- zar</w:t>
      </w:r>
      <w:r>
        <w:rPr>
          <w:spacing w:val="-5"/>
        </w:rPr>
        <w:t> </w:t>
      </w:r>
      <w:r>
        <w:rPr/>
        <w:t>los</w:t>
      </w:r>
      <w:r>
        <w:rPr>
          <w:spacing w:val="-5"/>
        </w:rPr>
        <w:t> </w:t>
      </w:r>
      <w:r>
        <w:rPr/>
        <w:t>procesos</w:t>
      </w:r>
      <w:r>
        <w:rPr>
          <w:spacing w:val="-5"/>
        </w:rPr>
        <w:t> </w:t>
      </w:r>
      <w:r>
        <w:rPr/>
        <w:t>de</w:t>
      </w:r>
      <w:r>
        <w:rPr>
          <w:spacing w:val="-5"/>
        </w:rPr>
        <w:t> </w:t>
      </w:r>
      <w:r>
        <w:rPr/>
        <w:t>integración</w:t>
      </w:r>
      <w:r>
        <w:rPr>
          <w:spacing w:val="-5"/>
        </w:rPr>
        <w:t> </w:t>
      </w:r>
      <w:r>
        <w:rPr/>
        <w:t>subregional</w:t>
      </w:r>
      <w:r>
        <w:rPr>
          <w:spacing w:val="-4"/>
        </w:rPr>
        <w:t> </w:t>
      </w:r>
      <w:r>
        <w:rPr/>
        <w:t>y</w:t>
      </w:r>
      <w:r>
        <w:rPr>
          <w:spacing w:val="-5"/>
        </w:rPr>
        <w:t> </w:t>
      </w:r>
      <w:r>
        <w:rPr/>
        <w:t>tener</w:t>
      </w:r>
      <w:r>
        <w:rPr>
          <w:spacing w:val="-5"/>
        </w:rPr>
        <w:t> </w:t>
      </w:r>
      <w:r>
        <w:rPr/>
        <w:t>efectos</w:t>
      </w:r>
      <w:r>
        <w:rPr>
          <w:spacing w:val="-5"/>
        </w:rPr>
        <w:t> </w:t>
      </w:r>
      <w:r>
        <w:rPr/>
        <w:t>relativamente favorables</w:t>
      </w:r>
      <w:r>
        <w:rPr>
          <w:spacing w:val="-4"/>
        </w:rPr>
        <w:t> </w:t>
      </w:r>
      <w:r>
        <w:rPr/>
        <w:t>cuando</w:t>
      </w:r>
      <w:r>
        <w:rPr>
          <w:spacing w:val="-4"/>
        </w:rPr>
        <w:t> </w:t>
      </w:r>
      <w:r>
        <w:rPr/>
        <w:t>las</w:t>
      </w:r>
      <w:r>
        <w:rPr>
          <w:spacing w:val="-4"/>
        </w:rPr>
        <w:t> </w:t>
      </w:r>
      <w:r>
        <w:rPr/>
        <w:t>diferencias</w:t>
      </w:r>
      <w:r>
        <w:rPr>
          <w:spacing w:val="-4"/>
        </w:rPr>
        <w:t> </w:t>
      </w:r>
      <w:r>
        <w:rPr/>
        <w:t>salariales</w:t>
      </w:r>
      <w:r>
        <w:rPr>
          <w:spacing w:val="-4"/>
        </w:rPr>
        <w:t> </w:t>
      </w:r>
      <w:r>
        <w:rPr/>
        <w:t>no</w:t>
      </w:r>
      <w:r>
        <w:rPr>
          <w:spacing w:val="-4"/>
        </w:rPr>
        <w:t> </w:t>
      </w:r>
      <w:r>
        <w:rPr/>
        <w:t>se</w:t>
      </w:r>
      <w:r>
        <w:rPr>
          <w:spacing w:val="-4"/>
        </w:rPr>
        <w:t> </w:t>
      </w:r>
      <w:r>
        <w:rPr/>
        <w:t>amplíen</w:t>
      </w:r>
      <w:r>
        <w:rPr>
          <w:spacing w:val="-4"/>
        </w:rPr>
        <w:t> </w:t>
      </w:r>
      <w:r>
        <w:rPr/>
        <w:t>y</w:t>
      </w:r>
      <w:r>
        <w:rPr>
          <w:spacing w:val="-4"/>
        </w:rPr>
        <w:t> </w:t>
      </w:r>
      <w:r>
        <w:rPr/>
        <w:t>los</w:t>
      </w:r>
      <w:r>
        <w:rPr>
          <w:spacing w:val="-4"/>
        </w:rPr>
        <w:t> </w:t>
      </w:r>
      <w:r>
        <w:rPr/>
        <w:t>acuerdos entre países avancen teniendo como fundamento el compromiso de una integración efectiva (Cepal, 2002:</w:t>
      </w:r>
      <w:r>
        <w:rPr>
          <w:spacing w:val="-2"/>
        </w:rPr>
        <w:t> </w:t>
      </w:r>
      <w:r>
        <w:rPr/>
        <w:t>250).</w:t>
      </w:r>
    </w:p>
    <w:p>
      <w:pPr>
        <w:pStyle w:val="Heading4"/>
        <w:spacing w:line="240" w:lineRule="exact" w:before="166"/>
        <w:ind w:right="752"/>
        <w:jc w:val="left"/>
      </w:pPr>
      <w:r>
        <w:rPr>
          <w:w w:val="75"/>
        </w:rPr>
        <w:t>El nuevo mercado de trabajo estadounidense. Impactos del cambio estructural y la crisis sobre los inmigrantes latinos</w:t>
      </w:r>
    </w:p>
    <w:p>
      <w:pPr>
        <w:pStyle w:val="BodyText"/>
        <w:spacing w:line="249" w:lineRule="auto" w:before="175"/>
        <w:ind w:left="113" w:right="107"/>
        <w:jc w:val="both"/>
      </w:pPr>
      <w:r>
        <w:rPr>
          <w:color w:val="231F20"/>
        </w:rPr>
        <w:t>Aunque en las últimas décadas también se ha incrementado la inmigra- ción</w:t>
      </w:r>
      <w:r>
        <w:rPr>
          <w:color w:val="231F20"/>
          <w:spacing w:val="-3"/>
        </w:rPr>
        <w:t> </w:t>
      </w:r>
      <w:r>
        <w:rPr>
          <w:color w:val="231F20"/>
        </w:rPr>
        <w:t>en</w:t>
      </w:r>
      <w:r>
        <w:rPr>
          <w:color w:val="231F20"/>
          <w:spacing w:val="-3"/>
        </w:rPr>
        <w:t> </w:t>
      </w:r>
      <w:r>
        <w:rPr>
          <w:color w:val="231F20"/>
        </w:rPr>
        <w:t>Estados</w:t>
      </w:r>
      <w:r>
        <w:rPr>
          <w:color w:val="231F20"/>
          <w:spacing w:val="-4"/>
        </w:rPr>
        <w:t> </w:t>
      </w:r>
      <w:r>
        <w:rPr>
          <w:color w:val="231F20"/>
        </w:rPr>
        <w:t>Unidos</w:t>
      </w:r>
      <w:r>
        <w:rPr>
          <w:color w:val="231F20"/>
          <w:spacing w:val="-3"/>
        </w:rPr>
        <w:t> </w:t>
      </w:r>
      <w:r>
        <w:rPr>
          <w:color w:val="231F20"/>
        </w:rPr>
        <w:t>de</w:t>
      </w:r>
      <w:r>
        <w:rPr>
          <w:color w:val="231F20"/>
          <w:spacing w:val="-3"/>
        </w:rPr>
        <w:t> </w:t>
      </w:r>
      <w:r>
        <w:rPr>
          <w:color w:val="231F20"/>
        </w:rPr>
        <w:t>otras</w:t>
      </w:r>
      <w:r>
        <w:rPr>
          <w:color w:val="231F20"/>
          <w:spacing w:val="-3"/>
        </w:rPr>
        <w:t> </w:t>
      </w:r>
      <w:r>
        <w:rPr>
          <w:color w:val="231F20"/>
        </w:rPr>
        <w:t>regiones</w:t>
      </w:r>
      <w:r>
        <w:rPr>
          <w:color w:val="231F20"/>
          <w:spacing w:val="-3"/>
        </w:rPr>
        <w:t> </w:t>
      </w:r>
      <w:r>
        <w:rPr>
          <w:color w:val="231F20"/>
        </w:rPr>
        <w:t>de</w:t>
      </w:r>
      <w:r>
        <w:rPr>
          <w:color w:val="231F20"/>
          <w:spacing w:val="-3"/>
        </w:rPr>
        <w:t> </w:t>
      </w:r>
      <w:r>
        <w:rPr>
          <w:color w:val="231F20"/>
        </w:rPr>
        <w:t>Europa</w:t>
      </w:r>
      <w:r>
        <w:rPr>
          <w:color w:val="231F20"/>
          <w:spacing w:val="-4"/>
        </w:rPr>
        <w:t> </w:t>
      </w:r>
      <w:r>
        <w:rPr>
          <w:color w:val="231F20"/>
        </w:rPr>
        <w:t>y</w:t>
      </w:r>
      <w:r>
        <w:rPr>
          <w:color w:val="231F20"/>
          <w:spacing w:val="-3"/>
        </w:rPr>
        <w:t> </w:t>
      </w:r>
      <w:r>
        <w:rPr>
          <w:color w:val="231F20"/>
        </w:rPr>
        <w:t>África,</w:t>
      </w:r>
      <w:r>
        <w:rPr>
          <w:color w:val="231F20"/>
          <w:spacing w:val="-3"/>
        </w:rPr>
        <w:t> </w:t>
      </w:r>
      <w:r>
        <w:rPr>
          <w:color w:val="231F20"/>
        </w:rPr>
        <w:t>el</w:t>
      </w:r>
      <w:r>
        <w:rPr>
          <w:color w:val="231F20"/>
          <w:spacing w:val="-3"/>
        </w:rPr>
        <w:t> </w:t>
      </w:r>
      <w:r>
        <w:rPr>
          <w:color w:val="231F20"/>
        </w:rPr>
        <w:t>impacto de la de origen latino ha sido apreciablemente mayor. En 2000 más de 55 por ciento del total de inmigrantes en dicho país, procedían de Amé- rica Latina </w:t>
      </w:r>
      <w:r>
        <w:rPr>
          <w:color w:val="231F20"/>
          <w:spacing w:val="-7"/>
        </w:rPr>
        <w:t>y, </w:t>
      </w:r>
      <w:r>
        <w:rPr>
          <w:color w:val="231F20"/>
        </w:rPr>
        <w:t>de ellos, alrededor de la mitad eran originarios de México. La migración legal e indocumentada ha dependido de los movimientos cíclicos de la economía de ambos países. </w:t>
      </w:r>
      <w:r>
        <w:rPr/>
        <w:t>Los inmigrantes conforman grupos poblacionales de diversos orígenes o nacionalidades y en cuanto a características sociodemográficas, socioeconómicas y socioculturales. Los inmigrantes latinos, según datos de la oficina del Censo de Estados Unidos, representan más de 50 por ciento de la población inmigrante en el país, y es el segmento de la población que más</w:t>
      </w:r>
      <w:r>
        <w:rPr>
          <w:spacing w:val="-9"/>
        </w:rPr>
        <w:t> </w:t>
      </w:r>
      <w:r>
        <w:rPr/>
        <w:t>crece.</w:t>
      </w:r>
    </w:p>
    <w:p>
      <w:pPr>
        <w:pStyle w:val="BodyText"/>
        <w:spacing w:line="249" w:lineRule="auto" w:before="1"/>
        <w:ind w:left="113" w:right="107" w:firstLine="283"/>
        <w:jc w:val="both"/>
      </w:pPr>
      <w:r>
        <w:rPr>
          <w:color w:val="231F20"/>
        </w:rPr>
        <w:t>Según el Migration Policy Institute, la fuerza de trabajo inmigrante en Estados Unidos representaba alrededor de 16 por ciento del total de la fuerza laboral, la cual creció de 31.1 millones a 38 millones, un incre- mento</w:t>
      </w:r>
      <w:r>
        <w:rPr>
          <w:color w:val="231F20"/>
          <w:spacing w:val="-8"/>
        </w:rPr>
        <w:t> </w:t>
      </w:r>
      <w:r>
        <w:rPr>
          <w:color w:val="231F20"/>
        </w:rPr>
        <w:t>de</w:t>
      </w:r>
      <w:r>
        <w:rPr>
          <w:color w:val="231F20"/>
          <w:spacing w:val="-8"/>
        </w:rPr>
        <w:t> </w:t>
      </w:r>
      <w:r>
        <w:rPr>
          <w:color w:val="231F20"/>
        </w:rPr>
        <w:t>22</w:t>
      </w:r>
      <w:r>
        <w:rPr>
          <w:color w:val="231F20"/>
          <w:spacing w:val="-7"/>
        </w:rPr>
        <w:t> </w:t>
      </w:r>
      <w:r>
        <w:rPr>
          <w:color w:val="231F20"/>
        </w:rPr>
        <w:t>por</w:t>
      </w:r>
      <w:r>
        <w:rPr>
          <w:color w:val="231F20"/>
          <w:spacing w:val="-7"/>
        </w:rPr>
        <w:t> </w:t>
      </w:r>
      <w:r>
        <w:rPr>
          <w:color w:val="231F20"/>
        </w:rPr>
        <w:t>ciento</w:t>
      </w:r>
      <w:r>
        <w:rPr>
          <w:color w:val="231F20"/>
          <w:spacing w:val="-8"/>
        </w:rPr>
        <w:t> </w:t>
      </w:r>
      <w:r>
        <w:rPr>
          <w:color w:val="231F20"/>
        </w:rPr>
        <w:t>entre</w:t>
      </w:r>
      <w:r>
        <w:rPr>
          <w:color w:val="231F20"/>
          <w:spacing w:val="-8"/>
        </w:rPr>
        <w:t> </w:t>
      </w:r>
      <w:r>
        <w:rPr>
          <w:color w:val="231F20"/>
        </w:rPr>
        <w:t>2000</w:t>
      </w:r>
      <w:r>
        <w:rPr>
          <w:color w:val="231F20"/>
          <w:spacing w:val="-7"/>
        </w:rPr>
        <w:t> </w:t>
      </w:r>
      <w:r>
        <w:rPr>
          <w:color w:val="231F20"/>
        </w:rPr>
        <w:t>y</w:t>
      </w:r>
      <w:r>
        <w:rPr>
          <w:color w:val="231F20"/>
          <w:spacing w:val="-7"/>
        </w:rPr>
        <w:t> </w:t>
      </w:r>
      <w:r>
        <w:rPr>
          <w:color w:val="231F20"/>
        </w:rPr>
        <w:t>2008;</w:t>
      </w:r>
      <w:r>
        <w:rPr>
          <w:color w:val="231F20"/>
          <w:spacing w:val="-8"/>
        </w:rPr>
        <w:t> </w:t>
      </w:r>
      <w:r>
        <w:rPr>
          <w:color w:val="231F20"/>
        </w:rPr>
        <w:t>de</w:t>
      </w:r>
      <w:r>
        <w:rPr>
          <w:color w:val="231F20"/>
          <w:spacing w:val="-8"/>
        </w:rPr>
        <w:t> </w:t>
      </w:r>
      <w:r>
        <w:rPr>
          <w:color w:val="231F20"/>
        </w:rPr>
        <w:t>ella,</w:t>
      </w:r>
      <w:r>
        <w:rPr>
          <w:color w:val="231F20"/>
          <w:spacing w:val="-8"/>
        </w:rPr>
        <w:t> </w:t>
      </w:r>
      <w:r>
        <w:rPr>
          <w:color w:val="231F20"/>
        </w:rPr>
        <w:t>53</w:t>
      </w:r>
      <w:r>
        <w:rPr>
          <w:color w:val="231F20"/>
          <w:spacing w:val="-7"/>
        </w:rPr>
        <w:t> </w:t>
      </w:r>
      <w:r>
        <w:rPr>
          <w:color w:val="231F20"/>
        </w:rPr>
        <w:t>por</w:t>
      </w:r>
      <w:r>
        <w:rPr>
          <w:color w:val="231F20"/>
          <w:spacing w:val="-7"/>
        </w:rPr>
        <w:t> </w:t>
      </w:r>
      <w:r>
        <w:rPr>
          <w:color w:val="231F20"/>
        </w:rPr>
        <w:t>ciento</w:t>
      </w:r>
      <w:r>
        <w:rPr>
          <w:color w:val="231F20"/>
          <w:spacing w:val="-8"/>
        </w:rPr>
        <w:t> </w:t>
      </w:r>
      <w:r>
        <w:rPr>
          <w:color w:val="231F20"/>
        </w:rPr>
        <w:t>provenía de</w:t>
      </w:r>
      <w:r>
        <w:rPr>
          <w:color w:val="231F20"/>
          <w:spacing w:val="-18"/>
        </w:rPr>
        <w:t> </w:t>
      </w:r>
      <w:r>
        <w:rPr>
          <w:color w:val="231F20"/>
        </w:rPr>
        <w:t>América</w:t>
      </w:r>
      <w:r>
        <w:rPr>
          <w:color w:val="231F20"/>
          <w:spacing w:val="-7"/>
        </w:rPr>
        <w:t> </w:t>
      </w:r>
      <w:r>
        <w:rPr>
          <w:color w:val="231F20"/>
        </w:rPr>
        <w:t>Latina,</w:t>
      </w:r>
      <w:r>
        <w:rPr>
          <w:color w:val="231F20"/>
          <w:spacing w:val="-8"/>
        </w:rPr>
        <w:t> </w:t>
      </w:r>
      <w:r>
        <w:rPr>
          <w:color w:val="231F20"/>
        </w:rPr>
        <w:t>30.1</w:t>
      </w:r>
      <w:r>
        <w:rPr>
          <w:color w:val="231F20"/>
          <w:spacing w:val="-7"/>
        </w:rPr>
        <w:t> </w:t>
      </w:r>
      <w:r>
        <w:rPr>
          <w:color w:val="231F20"/>
        </w:rPr>
        <w:t>por</w:t>
      </w:r>
      <w:r>
        <w:rPr>
          <w:color w:val="231F20"/>
          <w:spacing w:val="-7"/>
        </w:rPr>
        <w:t> </w:t>
      </w:r>
      <w:r>
        <w:rPr>
          <w:color w:val="231F20"/>
        </w:rPr>
        <w:t>ciento</w:t>
      </w:r>
      <w:r>
        <w:rPr>
          <w:color w:val="231F20"/>
          <w:spacing w:val="-8"/>
        </w:rPr>
        <w:t> </w:t>
      </w:r>
      <w:r>
        <w:rPr>
          <w:color w:val="231F20"/>
        </w:rPr>
        <w:t>de</w:t>
      </w:r>
      <w:r>
        <w:rPr>
          <w:color w:val="231F20"/>
          <w:spacing w:val="-7"/>
        </w:rPr>
        <w:t> </w:t>
      </w:r>
      <w:r>
        <w:rPr>
          <w:color w:val="231F20"/>
        </w:rPr>
        <w:t>origen</w:t>
      </w:r>
      <w:r>
        <w:rPr>
          <w:color w:val="231F20"/>
          <w:spacing w:val="-7"/>
        </w:rPr>
        <w:t> </w:t>
      </w:r>
      <w:r>
        <w:rPr>
          <w:color w:val="231F20"/>
        </w:rPr>
        <w:t>mexicano</w:t>
      </w:r>
      <w:r>
        <w:rPr>
          <w:color w:val="231F20"/>
          <w:spacing w:val="-8"/>
        </w:rPr>
        <w:t> </w:t>
      </w:r>
      <w:r>
        <w:rPr>
          <w:color w:val="231F20"/>
        </w:rPr>
        <w:t>(Notimex,</w:t>
      </w:r>
      <w:r>
        <w:rPr>
          <w:color w:val="231F20"/>
          <w:spacing w:val="-7"/>
        </w:rPr>
        <w:t> </w:t>
      </w:r>
      <w:r>
        <w:rPr>
          <w:color w:val="231F20"/>
        </w:rPr>
        <w:t>2010). Los migrantes indocumentados representan alrededor de 5 por ciento de la fuerza de trabajo de Estados Unidos </w:t>
      </w:r>
      <w:r>
        <w:rPr>
          <w:color w:val="231F20"/>
          <w:spacing w:val="-7"/>
        </w:rPr>
        <w:t>y, </w:t>
      </w:r>
      <w:r>
        <w:rPr>
          <w:color w:val="231F20"/>
        </w:rPr>
        <w:t>aproximadamente, una cuarta parte</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trabajadores</w:t>
      </w:r>
      <w:r>
        <w:rPr>
          <w:color w:val="231F20"/>
          <w:spacing w:val="19"/>
        </w:rPr>
        <w:t> </w:t>
      </w:r>
      <w:r>
        <w:rPr>
          <w:color w:val="231F20"/>
        </w:rPr>
        <w:t>ocupados</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actividades</w:t>
      </w:r>
      <w:r>
        <w:rPr>
          <w:color w:val="231F20"/>
          <w:spacing w:val="19"/>
        </w:rPr>
        <w:t> </w:t>
      </w:r>
      <w:r>
        <w:rPr>
          <w:color w:val="231F20"/>
        </w:rPr>
        <w:t>agrícolas.</w:t>
      </w:r>
      <w:r>
        <w:rPr>
          <w:color w:val="231F20"/>
          <w:spacing w:val="20"/>
        </w:rPr>
        <w:t> </w:t>
      </w:r>
      <w:r>
        <w:rPr/>
        <w:t>La</w:t>
      </w:r>
      <w:r>
        <w:rPr>
          <w:spacing w:val="20"/>
        </w:rPr>
        <w:t> </w:t>
      </w:r>
      <w:r>
        <w:rPr/>
        <w:t>in-</w:t>
      </w:r>
    </w:p>
    <w:p>
      <w:pPr>
        <w:spacing w:after="0" w:line="249" w:lineRule="auto"/>
        <w:jc w:val="both"/>
        <w:sectPr>
          <w:footerReference w:type="default" r:id="rId58"/>
          <w:pgSz w:w="7770" w:h="11740"/>
          <w:pgMar w:footer="559" w:header="0" w:top="840" w:bottom="740" w:left="1020" w:right="740"/>
          <w:pgNumType w:start="69"/>
        </w:sectPr>
      </w:pPr>
    </w:p>
    <w:p>
      <w:pPr>
        <w:pStyle w:val="BodyText"/>
        <w:spacing w:line="249" w:lineRule="auto" w:before="60"/>
        <w:ind w:left="110" w:right="112"/>
        <w:jc w:val="both"/>
      </w:pPr>
      <w:r>
        <w:rPr/>
        <w:t>serción de los migrantes latinos en el mercado laboral estadounidense  es muy heterogénea, en cuanto a las regiones y países de origen —la gran mayoría representada por mexicanos— y las características socio- demográficas, particularmente de educación formal y capital humano de los migrantes. </w:t>
      </w:r>
      <w:r>
        <w:rPr>
          <w:color w:val="231F20"/>
        </w:rPr>
        <w:t>La migración de latinos hacia Estados Unidos no se ha detenido, pero la afluencia se ha reducido apreciablemente a partir de la crisis</w:t>
      </w:r>
      <w:r>
        <w:rPr>
          <w:color w:val="231F20"/>
          <w:spacing w:val="-9"/>
        </w:rPr>
        <w:t> </w:t>
      </w:r>
      <w:r>
        <w:rPr>
          <w:color w:val="231F20"/>
        </w:rPr>
        <w:t>de</w:t>
      </w:r>
      <w:r>
        <w:rPr>
          <w:color w:val="231F20"/>
          <w:spacing w:val="-9"/>
        </w:rPr>
        <w:t> </w:t>
      </w:r>
      <w:r>
        <w:rPr>
          <w:color w:val="231F20"/>
        </w:rPr>
        <w:t>2008.</w:t>
      </w:r>
      <w:r>
        <w:rPr>
          <w:color w:val="231F20"/>
          <w:spacing w:val="-9"/>
        </w:rPr>
        <w:t> </w:t>
      </w:r>
      <w:r>
        <w:rPr>
          <w:color w:val="231F20"/>
        </w:rPr>
        <w:t>En</w:t>
      </w:r>
      <w:r>
        <w:rPr>
          <w:color w:val="231F20"/>
          <w:spacing w:val="-9"/>
        </w:rPr>
        <w:t> </w:t>
      </w:r>
      <w:r>
        <w:rPr>
          <w:color w:val="231F20"/>
        </w:rPr>
        <w:t>particular,</w:t>
      </w:r>
      <w:r>
        <w:rPr>
          <w:color w:val="231F20"/>
          <w:spacing w:val="-9"/>
        </w:rPr>
        <w:t> </w:t>
      </w:r>
      <w:r>
        <w:rPr>
          <w:color w:val="231F20"/>
        </w:rPr>
        <w:t>la</w:t>
      </w:r>
      <w:r>
        <w:rPr>
          <w:color w:val="231F20"/>
          <w:spacing w:val="-9"/>
        </w:rPr>
        <w:t> </w:t>
      </w:r>
      <w:r>
        <w:rPr>
          <w:color w:val="231F20"/>
        </w:rPr>
        <w:t>migración</w:t>
      </w:r>
      <w:r>
        <w:rPr>
          <w:color w:val="231F20"/>
          <w:spacing w:val="-9"/>
        </w:rPr>
        <w:t> </w:t>
      </w:r>
      <w:r>
        <w:rPr>
          <w:color w:val="231F20"/>
        </w:rPr>
        <w:t>de</w:t>
      </w:r>
      <w:r>
        <w:rPr>
          <w:color w:val="231F20"/>
          <w:spacing w:val="-9"/>
        </w:rPr>
        <w:t> </w:t>
      </w:r>
      <w:r>
        <w:rPr>
          <w:color w:val="231F20"/>
        </w:rPr>
        <w:t>trabajadores</w:t>
      </w:r>
      <w:r>
        <w:rPr>
          <w:color w:val="231F20"/>
          <w:spacing w:val="-10"/>
        </w:rPr>
        <w:t> </w:t>
      </w:r>
      <w:r>
        <w:rPr>
          <w:color w:val="231F20"/>
        </w:rPr>
        <w:t>mexicanos</w:t>
      </w:r>
      <w:r>
        <w:rPr>
          <w:color w:val="231F20"/>
          <w:spacing w:val="-9"/>
        </w:rPr>
        <w:t> </w:t>
      </w:r>
      <w:r>
        <w:rPr>
          <w:color w:val="231F20"/>
        </w:rPr>
        <w:t>que se estimaba en 2005, en alrededor de 600 mil personas, se calcula que ha reducido a “por lo menos 300 mil personas [que] siguen cruzando la frontera norte del país cada año” (José Luis Ávila, secretario general del Consejo Nacional de Población, citado por González,</w:t>
      </w:r>
      <w:r>
        <w:rPr>
          <w:color w:val="231F20"/>
          <w:spacing w:val="-25"/>
        </w:rPr>
        <w:t> </w:t>
      </w:r>
      <w:r>
        <w:rPr>
          <w:color w:val="231F20"/>
        </w:rPr>
        <w:t>2012).</w:t>
      </w:r>
    </w:p>
    <w:p>
      <w:pPr>
        <w:pStyle w:val="BodyText"/>
        <w:spacing w:line="249" w:lineRule="auto" w:before="1"/>
        <w:ind w:left="110" w:right="111" w:firstLine="283"/>
        <w:jc w:val="both"/>
      </w:pPr>
      <w:r>
        <w:rPr/>
        <w:t>La</w:t>
      </w:r>
      <w:r>
        <w:rPr>
          <w:spacing w:val="-10"/>
        </w:rPr>
        <w:t> </w:t>
      </w:r>
      <w:r>
        <w:rPr/>
        <w:t>inmigración</w:t>
      </w:r>
      <w:r>
        <w:rPr>
          <w:spacing w:val="-10"/>
        </w:rPr>
        <w:t> </w:t>
      </w:r>
      <w:r>
        <w:rPr/>
        <w:t>latina</w:t>
      </w:r>
      <w:r>
        <w:rPr>
          <w:spacing w:val="-10"/>
        </w:rPr>
        <w:t> </w:t>
      </w:r>
      <w:r>
        <w:rPr/>
        <w:t>no</w:t>
      </w:r>
      <w:r>
        <w:rPr>
          <w:spacing w:val="-10"/>
        </w:rPr>
        <w:t> </w:t>
      </w:r>
      <w:r>
        <w:rPr/>
        <w:t>sólo</w:t>
      </w:r>
      <w:r>
        <w:rPr>
          <w:spacing w:val="-10"/>
        </w:rPr>
        <w:t> </w:t>
      </w:r>
      <w:r>
        <w:rPr/>
        <w:t>tiene</w:t>
      </w:r>
      <w:r>
        <w:rPr>
          <w:spacing w:val="-10"/>
        </w:rPr>
        <w:t> </w:t>
      </w:r>
      <w:r>
        <w:rPr/>
        <w:t>un</w:t>
      </w:r>
      <w:r>
        <w:rPr>
          <w:spacing w:val="-10"/>
        </w:rPr>
        <w:t> </w:t>
      </w:r>
      <w:r>
        <w:rPr/>
        <w:t>efecto</w:t>
      </w:r>
      <w:r>
        <w:rPr>
          <w:spacing w:val="-10"/>
        </w:rPr>
        <w:t> </w:t>
      </w:r>
      <w:r>
        <w:rPr/>
        <w:t>demográfico</w:t>
      </w:r>
      <w:r>
        <w:rPr>
          <w:spacing w:val="-10"/>
        </w:rPr>
        <w:t> </w:t>
      </w:r>
      <w:r>
        <w:rPr/>
        <w:t>y</w:t>
      </w:r>
      <w:r>
        <w:rPr>
          <w:spacing w:val="-10"/>
        </w:rPr>
        <w:t> </w:t>
      </w:r>
      <w:r>
        <w:rPr/>
        <w:t>económi- co, sino también político, sobre el mercado laboral y las organizaciones de la clase trabajadora. En particular, la migración ilegal representa un gran desafío social y político. La persecución de trabajadores inmigran- tes genera formas de excepción que son aprovechadas directamente por las</w:t>
      </w:r>
      <w:r>
        <w:rPr>
          <w:spacing w:val="-6"/>
        </w:rPr>
        <w:t> </w:t>
      </w:r>
      <w:r>
        <w:rPr/>
        <w:t>clases</w:t>
      </w:r>
      <w:r>
        <w:rPr>
          <w:spacing w:val="-6"/>
        </w:rPr>
        <w:t> </w:t>
      </w:r>
      <w:r>
        <w:rPr/>
        <w:t>capitalistas</w:t>
      </w:r>
      <w:r>
        <w:rPr>
          <w:spacing w:val="-6"/>
        </w:rPr>
        <w:t> </w:t>
      </w:r>
      <w:r>
        <w:rPr/>
        <w:t>para</w:t>
      </w:r>
      <w:r>
        <w:rPr>
          <w:spacing w:val="-6"/>
        </w:rPr>
        <w:t> </w:t>
      </w:r>
      <w:r>
        <w:rPr/>
        <w:t>imponer</w:t>
      </w:r>
      <w:r>
        <w:rPr>
          <w:spacing w:val="-6"/>
        </w:rPr>
        <w:t> </w:t>
      </w:r>
      <w:r>
        <w:rPr/>
        <w:t>condiciones</w:t>
      </w:r>
      <w:r>
        <w:rPr>
          <w:spacing w:val="-7"/>
        </w:rPr>
        <w:t> </w:t>
      </w:r>
      <w:r>
        <w:rPr/>
        <w:t>de</w:t>
      </w:r>
      <w:r>
        <w:rPr>
          <w:spacing w:val="-6"/>
        </w:rPr>
        <w:t> </w:t>
      </w:r>
      <w:r>
        <w:rPr/>
        <w:t>contratación</w:t>
      </w:r>
      <w:r>
        <w:rPr>
          <w:spacing w:val="-7"/>
        </w:rPr>
        <w:t> </w:t>
      </w:r>
      <w:r>
        <w:rPr/>
        <w:t>desfavo- rables, con salarios bajos y con muy limitadas posibilidades de sindica- lización, además de utilizar hábilmente los prejuicios raciales, étnicos, nacionales y lingüísticos para fomentar divisiones entre los obreros y contrarrestar el crecimiento y la consolidación de las organizaciones de los trabajadores.</w:t>
      </w:r>
      <w:r>
        <w:rPr>
          <w:position w:val="7"/>
          <w:sz w:val="11"/>
        </w:rPr>
        <w:t>2 </w:t>
      </w:r>
      <w:r>
        <w:rPr/>
        <w:t>Los obreros, en dichas circunstancias, terminan enfa- tizando sus pertenencias identitarias, como italianos, mexicanos, domi- nicanos, etc., más que como asalariados. No obstante, y contrario a los supuestos y argumentos esgrimidos por diversos sectores de la sociedad estadounidense, la oferta laboral para los inmigrantes no entra en com- petencia</w:t>
      </w:r>
      <w:r>
        <w:rPr>
          <w:spacing w:val="-5"/>
        </w:rPr>
        <w:t> </w:t>
      </w:r>
      <w:r>
        <w:rPr/>
        <w:t>directa</w:t>
      </w:r>
      <w:r>
        <w:rPr>
          <w:spacing w:val="-5"/>
        </w:rPr>
        <w:t> </w:t>
      </w:r>
      <w:r>
        <w:rPr/>
        <w:t>en</w:t>
      </w:r>
      <w:r>
        <w:rPr>
          <w:spacing w:val="-5"/>
        </w:rPr>
        <w:t> </w:t>
      </w:r>
      <w:r>
        <w:rPr/>
        <w:t>los</w:t>
      </w:r>
      <w:r>
        <w:rPr>
          <w:spacing w:val="-5"/>
        </w:rPr>
        <w:t> </w:t>
      </w:r>
      <w:r>
        <w:rPr/>
        <w:t>espacios</w:t>
      </w:r>
      <w:r>
        <w:rPr>
          <w:spacing w:val="-5"/>
        </w:rPr>
        <w:t> </w:t>
      </w:r>
      <w:r>
        <w:rPr/>
        <w:t>que</w:t>
      </w:r>
      <w:r>
        <w:rPr>
          <w:spacing w:val="-5"/>
        </w:rPr>
        <w:t> </w:t>
      </w:r>
      <w:r>
        <w:rPr/>
        <w:t>ocupan</w:t>
      </w:r>
      <w:r>
        <w:rPr>
          <w:spacing w:val="-5"/>
        </w:rPr>
        <w:t> </w:t>
      </w:r>
      <w:r>
        <w:rPr/>
        <w:t>los</w:t>
      </w:r>
      <w:r>
        <w:rPr>
          <w:spacing w:val="-5"/>
        </w:rPr>
        <w:t> </w:t>
      </w:r>
      <w:r>
        <w:rPr/>
        <w:t>trabajadores</w:t>
      </w:r>
      <w:r>
        <w:rPr>
          <w:spacing w:val="-5"/>
        </w:rPr>
        <w:t> </w:t>
      </w:r>
      <w:r>
        <w:rPr/>
        <w:t>nativos.</w:t>
      </w:r>
      <w:r>
        <w:rPr>
          <w:spacing w:val="-5"/>
        </w:rPr>
        <w:t> </w:t>
      </w:r>
      <w:r>
        <w:rPr/>
        <w:t>Los inmigrantes generalmente se ubican en los extremos inferior y superior del mercado de trabajo, dependiendo del grado de calificación o capital humano.</w:t>
      </w:r>
    </w:p>
    <w:p>
      <w:pPr>
        <w:pStyle w:val="BodyText"/>
        <w:spacing w:line="249" w:lineRule="auto" w:before="1"/>
        <w:ind w:left="110" w:right="110" w:firstLine="283"/>
        <w:jc w:val="both"/>
      </w:pPr>
      <w:r>
        <w:rPr/>
        <w:t>En Estados Unidos, la inmigración latina ha favorecido los procesos de flexibilización y la consecuente precarización de trabajo, fomentada por el modelo laboral, dada sus exigencias de competitividad</w:t>
      </w:r>
      <w:r>
        <w:rPr>
          <w:spacing w:val="-24"/>
        </w:rPr>
        <w:t> </w:t>
      </w:r>
      <w:r>
        <w:rPr/>
        <w:t>económica basadas</w:t>
      </w:r>
      <w:r>
        <w:rPr>
          <w:spacing w:val="-11"/>
        </w:rPr>
        <w:t> </w:t>
      </w:r>
      <w:r>
        <w:rPr/>
        <w:t>en</w:t>
      </w:r>
      <w:r>
        <w:rPr>
          <w:spacing w:val="-11"/>
        </w:rPr>
        <w:t> </w:t>
      </w:r>
      <w:r>
        <w:rPr/>
        <w:t>el</w:t>
      </w:r>
      <w:r>
        <w:rPr>
          <w:spacing w:val="-11"/>
        </w:rPr>
        <w:t> </w:t>
      </w:r>
      <w:r>
        <w:rPr/>
        <w:t>abaratamiento</w:t>
      </w:r>
      <w:r>
        <w:rPr>
          <w:spacing w:val="-12"/>
        </w:rPr>
        <w:t> </w:t>
      </w:r>
      <w:r>
        <w:rPr/>
        <w:t>y</w:t>
      </w:r>
      <w:r>
        <w:rPr>
          <w:spacing w:val="-11"/>
        </w:rPr>
        <w:t> </w:t>
      </w:r>
      <w:r>
        <w:rPr/>
        <w:t>la</w:t>
      </w:r>
      <w:r>
        <w:rPr>
          <w:spacing w:val="-11"/>
        </w:rPr>
        <w:t> </w:t>
      </w:r>
      <w:r>
        <w:rPr/>
        <w:t>sobreexplotación</w:t>
      </w:r>
      <w:r>
        <w:rPr>
          <w:spacing w:val="-10"/>
        </w:rPr>
        <w:t> </w:t>
      </w:r>
      <w:r>
        <w:rPr/>
        <w:t>de</w:t>
      </w:r>
      <w:r>
        <w:rPr>
          <w:spacing w:val="-11"/>
        </w:rPr>
        <w:t> </w:t>
      </w:r>
      <w:r>
        <w:rPr/>
        <w:t>la</w:t>
      </w:r>
      <w:r>
        <w:rPr>
          <w:spacing w:val="-11"/>
        </w:rPr>
        <w:t> </w:t>
      </w:r>
      <w:r>
        <w:rPr/>
        <w:t>fuerza</w:t>
      </w:r>
      <w:r>
        <w:rPr>
          <w:spacing w:val="-11"/>
        </w:rPr>
        <w:t> </w:t>
      </w:r>
      <w:r>
        <w:rPr/>
        <w:t>de</w:t>
      </w:r>
      <w:r>
        <w:rPr>
          <w:spacing w:val="-11"/>
        </w:rPr>
        <w:t> </w:t>
      </w:r>
      <w:r>
        <w:rPr/>
        <w:t>trabajo, incluso (o aún más notoria) en circunstancias de crisis.</w:t>
      </w:r>
      <w:r>
        <w:rPr>
          <w:position w:val="7"/>
          <w:sz w:val="11"/>
        </w:rPr>
        <w:t>3 </w:t>
      </w:r>
      <w:r>
        <w:rPr/>
        <w:t>El desempleo</w:t>
      </w:r>
      <w:r>
        <w:rPr>
          <w:spacing w:val="-10"/>
        </w:rPr>
        <w:t> </w:t>
      </w:r>
      <w:r>
        <w:rPr/>
        <w:t>no</w:t>
      </w:r>
    </w:p>
    <w:p>
      <w:pPr>
        <w:pStyle w:val="BodyText"/>
        <w:rPr>
          <w:sz w:val="17"/>
        </w:rPr>
      </w:pPr>
    </w:p>
    <w:p>
      <w:pPr>
        <w:spacing w:before="1"/>
        <w:ind w:left="110" w:right="111" w:firstLine="0"/>
        <w:jc w:val="both"/>
        <w:rPr>
          <w:sz w:val="14"/>
        </w:rPr>
      </w:pPr>
      <w:r>
        <w:rPr>
          <w:color w:val="231F20"/>
          <w:position w:val="5"/>
          <w:sz w:val="8"/>
        </w:rPr>
        <w:t>2 </w:t>
      </w:r>
      <w:r>
        <w:rPr>
          <w:color w:val="231F20"/>
          <w:sz w:val="14"/>
        </w:rPr>
        <w:t>En Estados Unidos, entre 2000 y 2013, se ha acentuado la xenofobia organizada contra los migrantes latinos, particularmente mexicanos y centroamericanos. De acuerdo con un estudio de Southern Pov- erty Law Center (SPLC), en 13 años el número de “grupos de odio” activo creci</w:t>
      </w:r>
      <w:r>
        <w:rPr>
          <w:b/>
          <w:color w:val="231F20"/>
          <w:sz w:val="14"/>
        </w:rPr>
        <w:t>ó </w:t>
      </w:r>
      <w:r>
        <w:rPr>
          <w:color w:val="231F20"/>
          <w:sz w:val="14"/>
        </w:rPr>
        <w:t>en 56 por ciento, alcanzando 940 organizaciones antiinmigrantes y antilatinos, la mitad de ellos ubicados en los estados del sur, en 14 de los 50 estados y, tan sólo en los colindantes con México (California, Arizona, Nuevo México y Texas) existen 160 agrupaciones (Truax, 2014).</w:t>
      </w:r>
    </w:p>
    <w:p>
      <w:pPr>
        <w:spacing w:line="160" w:lineRule="exact" w:before="0"/>
        <w:ind w:left="110" w:right="0" w:firstLine="0"/>
        <w:jc w:val="both"/>
        <w:rPr>
          <w:sz w:val="14"/>
        </w:rPr>
      </w:pPr>
      <w:r>
        <w:rPr>
          <w:color w:val="231F20"/>
          <w:position w:val="5"/>
          <w:sz w:val="8"/>
        </w:rPr>
        <w:t>3  </w:t>
      </w:r>
      <w:r>
        <w:rPr>
          <w:color w:val="231F20"/>
          <w:sz w:val="14"/>
        </w:rPr>
        <w:t>No sólo el trabajo de los migrantes es altamente redituable a los sectores empresariales, también</w:t>
      </w:r>
    </w:p>
    <w:p>
      <w:pPr>
        <w:spacing w:after="0" w:line="160" w:lineRule="exact"/>
        <w:jc w:val="both"/>
        <w:rPr>
          <w:sz w:val="14"/>
        </w:rPr>
        <w:sectPr>
          <w:pgSz w:w="7770" w:h="11740"/>
          <w:pgMar w:header="0" w:footer="559" w:top="840" w:bottom="740" w:left="740" w:right="1020"/>
        </w:sectPr>
      </w:pPr>
    </w:p>
    <w:p>
      <w:pPr>
        <w:pStyle w:val="BodyText"/>
        <w:spacing w:line="249" w:lineRule="auto" w:before="60"/>
        <w:ind w:left="113" w:right="107"/>
        <w:jc w:val="both"/>
      </w:pPr>
      <w:r>
        <w:rPr/>
        <w:t>afecta por igual a los distintos grupos sociales. Los trabajadores inmi- grantes latinos enfrentan los mayores obstáculos en lo que corresponde a oportunidades económicas, sociales y laborales. La tendencia del des- empleo entre los trabajadores inmigrantes latinos, aunque ligeramente más acentuada, tuvo un comportamiento muy similar a los del resto de los trabajadores con anterioridad a la crisis, pero entre ellos fue sensi- blemente mayor el impacto de la crisis económica, lo que evidencia la vulnerabilidad de dichos trabajadores. La crisis no afectó a todos por igual, Los inmigrantes fueron los más perjudicados. El desempleo entre los</w:t>
      </w:r>
      <w:r>
        <w:rPr>
          <w:spacing w:val="-8"/>
        </w:rPr>
        <w:t> </w:t>
      </w:r>
      <w:r>
        <w:rPr/>
        <w:t>inmigrantes</w:t>
      </w:r>
      <w:r>
        <w:rPr>
          <w:spacing w:val="-8"/>
        </w:rPr>
        <w:t> </w:t>
      </w:r>
      <w:r>
        <w:rPr/>
        <w:t>latinos</w:t>
      </w:r>
      <w:r>
        <w:rPr>
          <w:spacing w:val="-8"/>
        </w:rPr>
        <w:t> </w:t>
      </w:r>
      <w:r>
        <w:rPr/>
        <w:t>superó</w:t>
      </w:r>
      <w:r>
        <w:rPr>
          <w:spacing w:val="-7"/>
        </w:rPr>
        <w:t> </w:t>
      </w:r>
      <w:r>
        <w:rPr/>
        <w:t>al</w:t>
      </w:r>
      <w:r>
        <w:rPr>
          <w:spacing w:val="-8"/>
        </w:rPr>
        <w:t> </w:t>
      </w:r>
      <w:r>
        <w:rPr/>
        <w:t>de</w:t>
      </w:r>
      <w:r>
        <w:rPr>
          <w:spacing w:val="-7"/>
        </w:rPr>
        <w:t> </w:t>
      </w:r>
      <w:r>
        <w:rPr/>
        <w:t>los</w:t>
      </w:r>
      <w:r>
        <w:rPr>
          <w:spacing w:val="-8"/>
        </w:rPr>
        <w:t> </w:t>
      </w:r>
      <w:r>
        <w:rPr/>
        <w:t>hispanos</w:t>
      </w:r>
      <w:r>
        <w:rPr>
          <w:spacing w:val="-7"/>
        </w:rPr>
        <w:t> </w:t>
      </w:r>
      <w:r>
        <w:rPr/>
        <w:t>nacidos</w:t>
      </w:r>
      <w:r>
        <w:rPr>
          <w:spacing w:val="-8"/>
        </w:rPr>
        <w:t> </w:t>
      </w:r>
      <w:r>
        <w:rPr/>
        <w:t>en</w:t>
      </w:r>
      <w:r>
        <w:rPr>
          <w:spacing w:val="-8"/>
        </w:rPr>
        <w:t> </w:t>
      </w:r>
      <w:r>
        <w:rPr/>
        <w:t>Estados</w:t>
      </w:r>
      <w:r>
        <w:rPr>
          <w:spacing w:val="-8"/>
        </w:rPr>
        <w:t> </w:t>
      </w:r>
      <w:r>
        <w:rPr/>
        <w:t>Uni- dos, y fue mucho mayor que el del resto de los nativos estadounidenses. Mientras la tasa de desempleo entre los nativos asalariados privados era de 5.4 por ciento en 1995, entre los inmigrantes latinos fue de 9.5 por ciento, en 2000, 2005, 2009 y 2013, entre los nativos fue de 4.2, 5.4,</w:t>
      </w:r>
      <w:r>
        <w:rPr>
          <w:spacing w:val="-4"/>
        </w:rPr>
        <w:t> </w:t>
      </w:r>
      <w:r>
        <w:rPr/>
        <w:t>8.6</w:t>
      </w:r>
    </w:p>
    <w:p>
      <w:pPr>
        <w:pStyle w:val="BodyText"/>
        <w:spacing w:line="249" w:lineRule="auto" w:before="1"/>
        <w:ind w:left="41" w:right="108"/>
        <w:jc w:val="right"/>
      </w:pPr>
      <w:r>
        <w:rPr/>
        <w:t>y 7.4 por ciento, entre los nativos latinos fue de 5.7, 6.0, 12.1 y 8.2 por ciento, respectivamente (cálculos nuestros con base en CPS, 1995-2013).</w:t>
      </w:r>
    </w:p>
    <w:p>
      <w:pPr>
        <w:pStyle w:val="BodyText"/>
        <w:spacing w:line="249" w:lineRule="auto" w:before="1"/>
        <w:ind w:left="113" w:right="107" w:firstLine="283"/>
        <w:jc w:val="both"/>
      </w:pPr>
      <w:r>
        <w:rPr/>
        <w:t>El desempleo, la informalidad y la precariedad laboral afectaron</w:t>
      </w:r>
      <w:r>
        <w:rPr>
          <w:spacing w:val="-15"/>
        </w:rPr>
        <w:t> </w:t>
      </w:r>
      <w:r>
        <w:rPr/>
        <w:t>más a los inmigrantes latinos que al conjunto de la fuerza de trabajo. El mer- cado</w:t>
      </w:r>
      <w:r>
        <w:rPr>
          <w:spacing w:val="-8"/>
        </w:rPr>
        <w:t> </w:t>
      </w:r>
      <w:r>
        <w:rPr/>
        <w:t>de</w:t>
      </w:r>
      <w:r>
        <w:rPr>
          <w:spacing w:val="-8"/>
        </w:rPr>
        <w:t> </w:t>
      </w:r>
      <w:r>
        <w:rPr/>
        <w:t>trabajo</w:t>
      </w:r>
      <w:r>
        <w:rPr>
          <w:spacing w:val="-8"/>
        </w:rPr>
        <w:t> </w:t>
      </w:r>
      <w:r>
        <w:rPr/>
        <w:t>en</w:t>
      </w:r>
      <w:r>
        <w:rPr>
          <w:spacing w:val="-8"/>
        </w:rPr>
        <w:t> </w:t>
      </w:r>
      <w:r>
        <w:rPr/>
        <w:t>los</w:t>
      </w:r>
      <w:r>
        <w:rPr>
          <w:spacing w:val="-8"/>
        </w:rPr>
        <w:t> </w:t>
      </w:r>
      <w:r>
        <w:rPr/>
        <w:t>que</w:t>
      </w:r>
      <w:r>
        <w:rPr>
          <w:spacing w:val="-8"/>
        </w:rPr>
        <w:t> </w:t>
      </w:r>
      <w:r>
        <w:rPr/>
        <w:t>ellos</w:t>
      </w:r>
      <w:r>
        <w:rPr>
          <w:spacing w:val="-8"/>
        </w:rPr>
        <w:t> </w:t>
      </w:r>
      <w:r>
        <w:rPr/>
        <w:t>participan,</w:t>
      </w:r>
      <w:r>
        <w:rPr>
          <w:spacing w:val="-8"/>
        </w:rPr>
        <w:t> </w:t>
      </w:r>
      <w:r>
        <w:rPr/>
        <w:t>resulta</w:t>
      </w:r>
      <w:r>
        <w:rPr>
          <w:spacing w:val="-8"/>
        </w:rPr>
        <w:t> </w:t>
      </w:r>
      <w:r>
        <w:rPr/>
        <w:t>además</w:t>
      </w:r>
      <w:r>
        <w:rPr>
          <w:spacing w:val="-8"/>
        </w:rPr>
        <w:t> </w:t>
      </w:r>
      <w:r>
        <w:rPr/>
        <w:t>altamente</w:t>
      </w:r>
      <w:r>
        <w:rPr>
          <w:spacing w:val="-8"/>
        </w:rPr>
        <w:t> </w:t>
      </w:r>
      <w:r>
        <w:rPr/>
        <w:t>seg- mentado, en relación con las características de la oferta de trabajadores y</w:t>
      </w:r>
      <w:r>
        <w:rPr>
          <w:spacing w:val="20"/>
        </w:rPr>
        <w:t> </w:t>
      </w:r>
      <w:r>
        <w:rPr/>
        <w:t>a</w:t>
      </w:r>
      <w:r>
        <w:rPr>
          <w:spacing w:val="20"/>
        </w:rPr>
        <w:t> </w:t>
      </w:r>
      <w:r>
        <w:rPr/>
        <w:t>la</w:t>
      </w:r>
      <w:r>
        <w:rPr>
          <w:spacing w:val="20"/>
        </w:rPr>
        <w:t> </w:t>
      </w:r>
      <w:r>
        <w:rPr/>
        <w:t>demanda</w:t>
      </w:r>
      <w:r>
        <w:rPr>
          <w:spacing w:val="20"/>
        </w:rPr>
        <w:t> </w:t>
      </w:r>
      <w:r>
        <w:rPr/>
        <w:t>de</w:t>
      </w:r>
      <w:r>
        <w:rPr>
          <w:spacing w:val="20"/>
        </w:rPr>
        <w:t> </w:t>
      </w:r>
      <w:r>
        <w:rPr/>
        <w:t>los</w:t>
      </w:r>
      <w:r>
        <w:rPr>
          <w:spacing w:val="19"/>
        </w:rPr>
        <w:t> </w:t>
      </w:r>
      <w:r>
        <w:rPr/>
        <w:t>puestos.</w:t>
      </w:r>
      <w:r>
        <w:rPr>
          <w:spacing w:val="20"/>
        </w:rPr>
        <w:t> </w:t>
      </w:r>
      <w:r>
        <w:rPr/>
        <w:t>En</w:t>
      </w:r>
      <w:r>
        <w:rPr>
          <w:spacing w:val="19"/>
        </w:rPr>
        <w:t> </w:t>
      </w:r>
      <w:r>
        <w:rPr/>
        <w:t>particular,</w:t>
      </w:r>
      <w:r>
        <w:rPr>
          <w:spacing w:val="20"/>
        </w:rPr>
        <w:t> </w:t>
      </w:r>
      <w:r>
        <w:rPr/>
        <w:t>las</w:t>
      </w:r>
      <w:r>
        <w:rPr>
          <w:spacing w:val="19"/>
        </w:rPr>
        <w:t> </w:t>
      </w:r>
      <w:r>
        <w:rPr/>
        <w:t>actividades</w:t>
      </w:r>
      <w:r>
        <w:rPr>
          <w:spacing w:val="19"/>
        </w:rPr>
        <w:t> </w:t>
      </w:r>
      <w:r>
        <w:rPr/>
        <w:t>agrícolas</w:t>
      </w:r>
    </w:p>
    <w:p>
      <w:pPr>
        <w:pStyle w:val="BodyText"/>
        <w:spacing w:line="249" w:lineRule="auto" w:before="1"/>
        <w:ind w:left="113" w:right="107"/>
        <w:jc w:val="both"/>
      </w:pPr>
      <w:r>
        <w:rPr/>
        <w:t>—quizá por razones asociadas con la tradición migratoria de braseros</w:t>
      </w:r>
      <w:r>
        <w:rPr>
          <w:spacing w:val="-20"/>
        </w:rPr>
        <w:t> </w:t>
      </w:r>
      <w:r>
        <w:rPr/>
        <w:t>en las primeras décadas del siglo pasado y por los bajos requerimientos de capital humano en dichos sectores de actividades— tienen mayor pre- sencia los trabajadores mexicanos, aunque también lo hacen de manera importante</w:t>
      </w:r>
      <w:r>
        <w:rPr>
          <w:spacing w:val="-9"/>
        </w:rPr>
        <w:t> </w:t>
      </w:r>
      <w:r>
        <w:rPr/>
        <w:t>en</w:t>
      </w:r>
      <w:r>
        <w:rPr>
          <w:spacing w:val="-9"/>
        </w:rPr>
        <w:t> </w:t>
      </w:r>
      <w:r>
        <w:rPr/>
        <w:t>la</w:t>
      </w:r>
      <w:r>
        <w:rPr>
          <w:spacing w:val="-8"/>
        </w:rPr>
        <w:t> </w:t>
      </w:r>
      <w:r>
        <w:rPr/>
        <w:t>industria,</w:t>
      </w:r>
      <w:r>
        <w:rPr>
          <w:spacing w:val="-9"/>
        </w:rPr>
        <w:t> </w:t>
      </w:r>
      <w:r>
        <w:rPr/>
        <w:t>el</w:t>
      </w:r>
      <w:r>
        <w:rPr>
          <w:spacing w:val="-9"/>
        </w:rPr>
        <w:t> </w:t>
      </w:r>
      <w:r>
        <w:rPr/>
        <w:t>comercio</w:t>
      </w:r>
      <w:r>
        <w:rPr>
          <w:spacing w:val="-9"/>
        </w:rPr>
        <w:t> </w:t>
      </w:r>
      <w:r>
        <w:rPr/>
        <w:t>y</w:t>
      </w:r>
      <w:r>
        <w:rPr>
          <w:spacing w:val="-8"/>
        </w:rPr>
        <w:t> </w:t>
      </w:r>
      <w:r>
        <w:rPr/>
        <w:t>la</w:t>
      </w:r>
      <w:r>
        <w:rPr>
          <w:spacing w:val="-9"/>
        </w:rPr>
        <w:t> </w:t>
      </w:r>
      <w:r>
        <w:rPr/>
        <w:t>construcción.</w:t>
      </w:r>
      <w:r>
        <w:rPr>
          <w:spacing w:val="-9"/>
        </w:rPr>
        <w:t> </w:t>
      </w:r>
      <w:r>
        <w:rPr/>
        <w:t>Los</w:t>
      </w:r>
      <w:r>
        <w:rPr>
          <w:spacing w:val="-9"/>
        </w:rPr>
        <w:t> </w:t>
      </w:r>
      <w:r>
        <w:rPr/>
        <w:t>centroame- ricanos, de manera similar, se ocupan principalmente en determinadas ramas</w:t>
      </w:r>
      <w:r>
        <w:rPr>
          <w:spacing w:val="-5"/>
        </w:rPr>
        <w:t> </w:t>
      </w:r>
      <w:r>
        <w:rPr/>
        <w:t>de</w:t>
      </w:r>
      <w:r>
        <w:rPr>
          <w:spacing w:val="-5"/>
        </w:rPr>
        <w:t> </w:t>
      </w:r>
      <w:r>
        <w:rPr/>
        <w:t>la</w:t>
      </w:r>
      <w:r>
        <w:rPr>
          <w:spacing w:val="-5"/>
        </w:rPr>
        <w:t> </w:t>
      </w:r>
      <w:r>
        <w:rPr/>
        <w:t>industria,</w:t>
      </w:r>
      <w:r>
        <w:rPr>
          <w:spacing w:val="-5"/>
        </w:rPr>
        <w:t> </w:t>
      </w:r>
      <w:r>
        <w:rPr/>
        <w:t>en</w:t>
      </w:r>
      <w:r>
        <w:rPr>
          <w:spacing w:val="-5"/>
        </w:rPr>
        <w:t> </w:t>
      </w:r>
      <w:r>
        <w:rPr/>
        <w:t>el</w:t>
      </w:r>
      <w:r>
        <w:rPr>
          <w:spacing w:val="-5"/>
        </w:rPr>
        <w:t> </w:t>
      </w:r>
      <w:r>
        <w:rPr/>
        <w:t>comercio</w:t>
      </w:r>
      <w:r>
        <w:rPr>
          <w:spacing w:val="-5"/>
        </w:rPr>
        <w:t> </w:t>
      </w:r>
      <w:r>
        <w:rPr/>
        <w:t>y</w:t>
      </w:r>
      <w:r>
        <w:rPr>
          <w:spacing w:val="-5"/>
        </w:rPr>
        <w:t> </w:t>
      </w:r>
      <w:r>
        <w:rPr/>
        <w:t>los</w:t>
      </w:r>
      <w:r>
        <w:rPr>
          <w:spacing w:val="-5"/>
        </w:rPr>
        <w:t> </w:t>
      </w:r>
      <w:r>
        <w:rPr/>
        <w:t>servicios</w:t>
      </w:r>
      <w:r>
        <w:rPr>
          <w:spacing w:val="-4"/>
        </w:rPr>
        <w:t> </w:t>
      </w:r>
      <w:r>
        <w:rPr/>
        <w:t>personales.</w:t>
      </w:r>
      <w:r>
        <w:rPr>
          <w:spacing w:val="-5"/>
        </w:rPr>
        <w:t> </w:t>
      </w:r>
      <w:r>
        <w:rPr/>
        <w:t>Los</w:t>
      </w:r>
      <w:r>
        <w:rPr>
          <w:spacing w:val="-5"/>
        </w:rPr>
        <w:t> </w:t>
      </w:r>
      <w:r>
        <w:rPr/>
        <w:t>sud- americanos,</w:t>
      </w:r>
      <w:r>
        <w:rPr>
          <w:spacing w:val="-10"/>
        </w:rPr>
        <w:t> </w:t>
      </w:r>
      <w:r>
        <w:rPr/>
        <w:t>muy</w:t>
      </w:r>
      <w:r>
        <w:rPr>
          <w:spacing w:val="-10"/>
        </w:rPr>
        <w:t> </w:t>
      </w:r>
      <w:r>
        <w:rPr/>
        <w:t>similar</w:t>
      </w:r>
      <w:r>
        <w:rPr>
          <w:spacing w:val="-9"/>
        </w:rPr>
        <w:t> </w:t>
      </w:r>
      <w:r>
        <w:rPr/>
        <w:t>a</w:t>
      </w:r>
      <w:r>
        <w:rPr>
          <w:spacing w:val="-9"/>
        </w:rPr>
        <w:t> </w:t>
      </w:r>
      <w:r>
        <w:rPr/>
        <w:t>los</w:t>
      </w:r>
      <w:r>
        <w:rPr>
          <w:spacing w:val="-10"/>
        </w:rPr>
        <w:t> </w:t>
      </w:r>
      <w:r>
        <w:rPr/>
        <w:t>caribeños,</w:t>
      </w:r>
      <w:r>
        <w:rPr>
          <w:spacing w:val="-10"/>
        </w:rPr>
        <w:t> </w:t>
      </w:r>
      <w:r>
        <w:rPr/>
        <w:t>resultan</w:t>
      </w:r>
      <w:r>
        <w:rPr>
          <w:spacing w:val="-9"/>
        </w:rPr>
        <w:t> </w:t>
      </w:r>
      <w:r>
        <w:rPr/>
        <w:t>en</w:t>
      </w:r>
      <w:r>
        <w:rPr>
          <w:spacing w:val="-10"/>
        </w:rPr>
        <w:t> </w:t>
      </w:r>
      <w:r>
        <w:rPr/>
        <w:t>gran</w:t>
      </w:r>
      <w:r>
        <w:rPr>
          <w:spacing w:val="-9"/>
        </w:rPr>
        <w:t> </w:t>
      </w:r>
      <w:r>
        <w:rPr/>
        <w:t>medida</w:t>
      </w:r>
      <w:r>
        <w:rPr>
          <w:spacing w:val="-10"/>
        </w:rPr>
        <w:t> </w:t>
      </w:r>
      <w:r>
        <w:rPr/>
        <w:t>más</w:t>
      </w:r>
      <w:r>
        <w:rPr>
          <w:spacing w:val="-10"/>
        </w:rPr>
        <w:t> </w:t>
      </w:r>
      <w:r>
        <w:rPr/>
        <w:t>fa- vorecidos, insertos mayoritariamente en la industria, con una importante presencia en sectores de servicios profesionales (Cepal, 2002:</w:t>
      </w:r>
      <w:r>
        <w:rPr>
          <w:spacing w:val="-16"/>
        </w:rPr>
        <w:t> </w:t>
      </w:r>
      <w:r>
        <w:rPr/>
        <w:t>253).</w:t>
      </w:r>
    </w:p>
    <w:p>
      <w:pPr>
        <w:pStyle w:val="BodyText"/>
        <w:spacing w:line="249" w:lineRule="auto" w:before="1"/>
        <w:ind w:left="113" w:right="107" w:firstLine="283"/>
        <w:jc w:val="both"/>
      </w:pPr>
      <w:r>
        <w:rPr/>
        <w:t>El</w:t>
      </w:r>
      <w:r>
        <w:rPr>
          <w:spacing w:val="-6"/>
        </w:rPr>
        <w:t> </w:t>
      </w:r>
      <w:r>
        <w:rPr/>
        <w:t>sector</w:t>
      </w:r>
      <w:r>
        <w:rPr>
          <w:spacing w:val="-5"/>
        </w:rPr>
        <w:t> </w:t>
      </w:r>
      <w:r>
        <w:rPr/>
        <w:t>manufacturero,</w:t>
      </w:r>
      <w:r>
        <w:rPr>
          <w:spacing w:val="-6"/>
        </w:rPr>
        <w:t> </w:t>
      </w:r>
      <w:r>
        <w:rPr/>
        <w:t>caracterizado</w:t>
      </w:r>
      <w:r>
        <w:rPr>
          <w:spacing w:val="-6"/>
        </w:rPr>
        <w:t> </w:t>
      </w:r>
      <w:r>
        <w:rPr/>
        <w:t>históricamente</w:t>
      </w:r>
      <w:r>
        <w:rPr>
          <w:spacing w:val="-6"/>
        </w:rPr>
        <w:t> </w:t>
      </w:r>
      <w:r>
        <w:rPr/>
        <w:t>como</w:t>
      </w:r>
      <w:r>
        <w:rPr>
          <w:spacing w:val="-6"/>
        </w:rPr>
        <w:t> </w:t>
      </w:r>
      <w:r>
        <w:rPr/>
        <w:t>un</w:t>
      </w:r>
      <w:r>
        <w:rPr>
          <w:spacing w:val="-6"/>
        </w:rPr>
        <w:t> </w:t>
      </w:r>
      <w:r>
        <w:rPr/>
        <w:t>espa- cio cautivo con la mayor concentración de los trabajadores inmigrantes latinos, empezó a perder importancia desde mediados de la década de 1990. Los cambios en la composición sectorial del mercado de trabajo resultaron mucho más desfavorables para los inmigrantes. La crisis eco- nómica tuvo un mayor impacto sobre los sectores con mayor  </w:t>
      </w:r>
      <w:r>
        <w:rPr>
          <w:spacing w:val="1"/>
        </w:rPr>
        <w:t> </w:t>
      </w:r>
      <w:r>
        <w:rPr/>
        <w:t>presencia</w:t>
      </w:r>
    </w:p>
    <w:p>
      <w:pPr>
        <w:pStyle w:val="BodyText"/>
        <w:spacing w:before="3"/>
        <w:rPr>
          <w:sz w:val="10"/>
        </w:rPr>
      </w:pPr>
      <w:r>
        <w:rPr/>
        <w:pict>
          <v:line style="position:absolute;mso-position-horizontal-relative:page;mso-position-vertical-relative:paragraph;z-index:1984;mso-wrap-distance-left:0;mso-wrap-distance-right:0" from="56.692902pt,8.350046pt" to="344.692902pt,8.350046pt" stroked="true" strokeweight="1pt" strokecolor="#231f20">
            <w10:wrap type="topAndBottom"/>
          </v:line>
        </w:pict>
      </w:r>
    </w:p>
    <w:p>
      <w:pPr>
        <w:spacing w:line="151" w:lineRule="exact" w:before="0"/>
        <w:ind w:left="113" w:right="0" w:firstLine="0"/>
        <w:jc w:val="both"/>
        <w:rPr>
          <w:sz w:val="14"/>
        </w:rPr>
      </w:pPr>
      <w:r>
        <w:rPr>
          <w:color w:val="231F20"/>
          <w:sz w:val="14"/>
        </w:rPr>
        <w:t>paradójicamente, el encarcelamiento de indocumentados es negocio en Estados Unidos, que ha crecido</w:t>
      </w:r>
    </w:p>
    <w:p>
      <w:pPr>
        <w:spacing w:before="0"/>
        <w:ind w:left="113" w:right="108" w:firstLine="0"/>
        <w:jc w:val="both"/>
        <w:rPr>
          <w:sz w:val="14"/>
        </w:rPr>
      </w:pPr>
      <w:r>
        <w:rPr>
          <w:color w:val="231F20"/>
          <w:sz w:val="14"/>
        </w:rPr>
        <w:t>significativamente.</w:t>
      </w:r>
      <w:r>
        <w:rPr>
          <w:color w:val="231F20"/>
          <w:spacing w:val="-5"/>
          <w:sz w:val="14"/>
        </w:rPr>
        <w:t> </w:t>
      </w:r>
      <w:r>
        <w:rPr>
          <w:color w:val="231F20"/>
          <w:sz w:val="14"/>
        </w:rPr>
        <w:t>Se</w:t>
      </w:r>
      <w:r>
        <w:rPr>
          <w:color w:val="231F20"/>
          <w:spacing w:val="-5"/>
          <w:sz w:val="14"/>
        </w:rPr>
        <w:t> </w:t>
      </w:r>
      <w:r>
        <w:rPr>
          <w:color w:val="231F20"/>
          <w:sz w:val="14"/>
        </w:rPr>
        <w:t>estima</w:t>
      </w:r>
      <w:r>
        <w:rPr>
          <w:color w:val="231F20"/>
          <w:spacing w:val="-5"/>
          <w:sz w:val="14"/>
        </w:rPr>
        <w:t> </w:t>
      </w:r>
      <w:r>
        <w:rPr>
          <w:color w:val="231F20"/>
          <w:sz w:val="14"/>
        </w:rPr>
        <w:t>que</w:t>
      </w:r>
      <w:r>
        <w:rPr>
          <w:color w:val="231F20"/>
          <w:spacing w:val="-5"/>
          <w:sz w:val="14"/>
        </w:rPr>
        <w:t> </w:t>
      </w:r>
      <w:r>
        <w:rPr>
          <w:color w:val="231F20"/>
          <w:sz w:val="14"/>
        </w:rPr>
        <w:t>en</w:t>
      </w:r>
      <w:r>
        <w:rPr>
          <w:color w:val="231F20"/>
          <w:spacing w:val="-5"/>
          <w:sz w:val="14"/>
        </w:rPr>
        <w:t> </w:t>
      </w:r>
      <w:r>
        <w:rPr>
          <w:color w:val="231F20"/>
          <w:sz w:val="14"/>
        </w:rPr>
        <w:t>diez</w:t>
      </w:r>
      <w:r>
        <w:rPr>
          <w:color w:val="231F20"/>
          <w:spacing w:val="-5"/>
          <w:sz w:val="14"/>
        </w:rPr>
        <w:t> </w:t>
      </w:r>
      <w:r>
        <w:rPr>
          <w:color w:val="231F20"/>
          <w:sz w:val="14"/>
        </w:rPr>
        <w:t>años</w:t>
      </w:r>
      <w:r>
        <w:rPr>
          <w:color w:val="231F20"/>
          <w:spacing w:val="-5"/>
          <w:sz w:val="14"/>
        </w:rPr>
        <w:t> </w:t>
      </w:r>
      <w:r>
        <w:rPr>
          <w:color w:val="231F20"/>
          <w:sz w:val="14"/>
        </w:rPr>
        <w:t>el</w:t>
      </w:r>
      <w:r>
        <w:rPr>
          <w:color w:val="231F20"/>
          <w:spacing w:val="-5"/>
          <w:sz w:val="14"/>
        </w:rPr>
        <w:t> </w:t>
      </w:r>
      <w:r>
        <w:rPr>
          <w:color w:val="231F20"/>
          <w:sz w:val="14"/>
        </w:rPr>
        <w:t>número</w:t>
      </w:r>
      <w:r>
        <w:rPr>
          <w:color w:val="231F20"/>
          <w:spacing w:val="-5"/>
          <w:sz w:val="14"/>
        </w:rPr>
        <w:t> </w:t>
      </w:r>
      <w:r>
        <w:rPr>
          <w:color w:val="231F20"/>
          <w:sz w:val="14"/>
        </w:rPr>
        <w:t>de</w:t>
      </w:r>
      <w:r>
        <w:rPr>
          <w:color w:val="231F20"/>
          <w:spacing w:val="-5"/>
          <w:sz w:val="14"/>
        </w:rPr>
        <w:t> </w:t>
      </w:r>
      <w:r>
        <w:rPr>
          <w:color w:val="231F20"/>
          <w:sz w:val="14"/>
        </w:rPr>
        <w:t>indocumentados</w:t>
      </w:r>
      <w:r>
        <w:rPr>
          <w:color w:val="231F20"/>
          <w:spacing w:val="-5"/>
          <w:sz w:val="14"/>
        </w:rPr>
        <w:t> </w:t>
      </w:r>
      <w:r>
        <w:rPr>
          <w:color w:val="231F20"/>
          <w:sz w:val="14"/>
        </w:rPr>
        <w:t>en</w:t>
      </w:r>
      <w:r>
        <w:rPr>
          <w:color w:val="231F20"/>
          <w:spacing w:val="-5"/>
          <w:sz w:val="14"/>
        </w:rPr>
        <w:t> </w:t>
      </w:r>
      <w:r>
        <w:rPr>
          <w:color w:val="231F20"/>
          <w:sz w:val="14"/>
        </w:rPr>
        <w:t>prisiones</w:t>
      </w:r>
      <w:r>
        <w:rPr>
          <w:color w:val="231F20"/>
          <w:spacing w:val="-5"/>
          <w:sz w:val="14"/>
        </w:rPr>
        <w:t> </w:t>
      </w:r>
      <w:r>
        <w:rPr>
          <w:color w:val="231F20"/>
          <w:sz w:val="14"/>
        </w:rPr>
        <w:t>privadas</w:t>
      </w:r>
      <w:r>
        <w:rPr>
          <w:color w:val="231F20"/>
          <w:spacing w:val="-5"/>
          <w:sz w:val="14"/>
        </w:rPr>
        <w:t> </w:t>
      </w:r>
      <w:r>
        <w:rPr>
          <w:color w:val="231F20"/>
          <w:sz w:val="14"/>
        </w:rPr>
        <w:t>pasó de 3.300 hasta más de 23.000, con lo que las empresas privadas de reclusión aumentaron su ingreso de 760 millones de dólares a 5.100 millones </w:t>
      </w:r>
      <w:r>
        <w:rPr>
          <w:color w:val="231F20"/>
          <w:spacing w:val="-5"/>
          <w:sz w:val="14"/>
        </w:rPr>
        <w:t>(RT,</w:t>
      </w:r>
      <w:r>
        <w:rPr>
          <w:color w:val="231F20"/>
          <w:spacing w:val="-2"/>
          <w:sz w:val="14"/>
        </w:rPr>
        <w:t> </w:t>
      </w:r>
      <w:r>
        <w:rPr>
          <w:color w:val="231F20"/>
          <w:sz w:val="14"/>
        </w:rPr>
        <w:t>2012b).</w:t>
      </w:r>
    </w:p>
    <w:p>
      <w:pPr>
        <w:spacing w:after="0"/>
        <w:jc w:val="both"/>
        <w:rPr>
          <w:sz w:val="14"/>
        </w:rPr>
        <w:sectPr>
          <w:footerReference w:type="default" r:id="rId59"/>
          <w:pgSz w:w="7770" w:h="11740"/>
          <w:pgMar w:footer="559" w:header="0" w:top="840" w:bottom="740" w:left="1020" w:right="740"/>
          <w:pgNumType w:start="71"/>
        </w:sectPr>
      </w:pPr>
    </w:p>
    <w:p>
      <w:pPr>
        <w:pStyle w:val="BodyText"/>
        <w:spacing w:line="249" w:lineRule="auto" w:before="60"/>
        <w:ind w:left="110" w:right="111"/>
        <w:jc w:val="both"/>
      </w:pPr>
      <w:r>
        <w:rPr/>
        <w:t>de</w:t>
      </w:r>
      <w:r>
        <w:rPr>
          <w:spacing w:val="-5"/>
        </w:rPr>
        <w:t> </w:t>
      </w:r>
      <w:r>
        <w:rPr/>
        <w:t>trabajadores</w:t>
      </w:r>
      <w:r>
        <w:rPr>
          <w:spacing w:val="-6"/>
        </w:rPr>
        <w:t> </w:t>
      </w:r>
      <w:r>
        <w:rPr/>
        <w:t>inmigrantes</w:t>
      </w:r>
      <w:r>
        <w:rPr>
          <w:spacing w:val="-6"/>
        </w:rPr>
        <w:t> </w:t>
      </w:r>
      <w:r>
        <w:rPr>
          <w:spacing w:val="-7"/>
        </w:rPr>
        <w:t>y,</w:t>
      </w:r>
      <w:r>
        <w:rPr>
          <w:spacing w:val="-5"/>
        </w:rPr>
        <w:t> </w:t>
      </w:r>
      <w:r>
        <w:rPr/>
        <w:t>particularmente,</w:t>
      </w:r>
      <w:r>
        <w:rPr>
          <w:spacing w:val="-5"/>
        </w:rPr>
        <w:t> </w:t>
      </w:r>
      <w:r>
        <w:rPr/>
        <w:t>para</w:t>
      </w:r>
      <w:r>
        <w:rPr>
          <w:spacing w:val="-5"/>
        </w:rPr>
        <w:t> </w:t>
      </w:r>
      <w:r>
        <w:rPr/>
        <w:t>los</w:t>
      </w:r>
      <w:r>
        <w:rPr>
          <w:spacing w:val="-6"/>
        </w:rPr>
        <w:t> </w:t>
      </w:r>
      <w:r>
        <w:rPr/>
        <w:t>latinos.</w:t>
      </w:r>
      <w:r>
        <w:rPr>
          <w:spacing w:val="-6"/>
        </w:rPr>
        <w:t> </w:t>
      </w:r>
      <w:r>
        <w:rPr/>
        <w:t>El</w:t>
      </w:r>
      <w:r>
        <w:rPr>
          <w:spacing w:val="-5"/>
        </w:rPr>
        <w:t> </w:t>
      </w:r>
      <w:r>
        <w:rPr/>
        <w:t>sector manufacturero asalariado privado, sector de ocupación tradicionalmente cautivo de los inmigrantes, sobre todo de latinos, perdió importancia en la generación de empleos, mientras que el sector servicios se ha incre- mentado notablemente, concentrando gran parte de la fuerza de trabajo ocupada asalariada</w:t>
      </w:r>
      <w:r>
        <w:rPr>
          <w:spacing w:val="-1"/>
        </w:rPr>
        <w:t> </w:t>
      </w:r>
      <w:r>
        <w:rPr/>
        <w:t>privada.</w:t>
      </w:r>
    </w:p>
    <w:p>
      <w:pPr>
        <w:pStyle w:val="BodyText"/>
        <w:spacing w:line="249" w:lineRule="auto" w:before="1"/>
        <w:ind w:left="110" w:right="110" w:firstLine="283"/>
        <w:jc w:val="both"/>
      </w:pPr>
      <w:r>
        <w:rPr/>
        <w:t>No todos los sectores o ramas de actividad económicas fueron igual- mente</w:t>
      </w:r>
      <w:r>
        <w:rPr>
          <w:spacing w:val="-7"/>
        </w:rPr>
        <w:t> </w:t>
      </w:r>
      <w:r>
        <w:rPr/>
        <w:t>afectados,</w:t>
      </w:r>
      <w:r>
        <w:rPr>
          <w:spacing w:val="-7"/>
        </w:rPr>
        <w:t> </w:t>
      </w:r>
      <w:r>
        <w:rPr/>
        <w:t>ni</w:t>
      </w:r>
      <w:r>
        <w:rPr>
          <w:spacing w:val="-6"/>
        </w:rPr>
        <w:t> </w:t>
      </w:r>
      <w:r>
        <w:rPr/>
        <w:t>ha</w:t>
      </w:r>
      <w:r>
        <w:rPr>
          <w:spacing w:val="-6"/>
        </w:rPr>
        <w:t> </w:t>
      </w:r>
      <w:r>
        <w:rPr/>
        <w:t>sido</w:t>
      </w:r>
      <w:r>
        <w:rPr>
          <w:spacing w:val="-6"/>
        </w:rPr>
        <w:t> </w:t>
      </w:r>
      <w:r>
        <w:rPr/>
        <w:t>igualmente</w:t>
      </w:r>
      <w:r>
        <w:rPr>
          <w:spacing w:val="-7"/>
        </w:rPr>
        <w:t> </w:t>
      </w:r>
      <w:r>
        <w:rPr/>
        <w:t>rápida</w:t>
      </w:r>
      <w:r>
        <w:rPr>
          <w:spacing w:val="-6"/>
        </w:rPr>
        <w:t> </w:t>
      </w:r>
      <w:r>
        <w:rPr/>
        <w:t>la</w:t>
      </w:r>
      <w:r>
        <w:rPr>
          <w:spacing w:val="-6"/>
        </w:rPr>
        <w:t> </w:t>
      </w:r>
      <w:r>
        <w:rPr/>
        <w:t>recuperación,</w:t>
      </w:r>
      <w:r>
        <w:rPr>
          <w:spacing w:val="-6"/>
        </w:rPr>
        <w:t> </w:t>
      </w:r>
      <w:r>
        <w:rPr/>
        <w:t>cuando</w:t>
      </w:r>
      <w:r>
        <w:rPr>
          <w:spacing w:val="-7"/>
        </w:rPr>
        <w:t> </w:t>
      </w:r>
      <w:r>
        <w:rPr/>
        <w:t>se ha dado. Como puede observarse en la Gráfica 3, mientras que el sector de la construcción, importante en el reclutamiento de trabajadores inmi- grantes latinos, pasó de concentrar 8.6 por ciento de dichos</w:t>
      </w:r>
      <w:r>
        <w:rPr>
          <w:spacing w:val="-30"/>
        </w:rPr>
        <w:t> </w:t>
      </w:r>
      <w:r>
        <w:rPr/>
        <w:t>trabajadores, a</w:t>
      </w:r>
      <w:r>
        <w:rPr>
          <w:spacing w:val="-3"/>
        </w:rPr>
        <w:t> </w:t>
      </w:r>
      <w:r>
        <w:rPr/>
        <w:t>6.8</w:t>
      </w:r>
      <w:r>
        <w:rPr>
          <w:spacing w:val="-3"/>
        </w:rPr>
        <w:t> </w:t>
      </w:r>
      <w:r>
        <w:rPr/>
        <w:t>por</w:t>
      </w:r>
      <w:r>
        <w:rPr>
          <w:spacing w:val="-3"/>
        </w:rPr>
        <w:t> </w:t>
      </w:r>
      <w:r>
        <w:rPr/>
        <w:t>ciento</w:t>
      </w:r>
      <w:r>
        <w:rPr>
          <w:spacing w:val="-4"/>
        </w:rPr>
        <w:t> </w:t>
      </w:r>
      <w:r>
        <w:rPr/>
        <w:t>en</w:t>
      </w:r>
      <w:r>
        <w:rPr>
          <w:spacing w:val="-4"/>
        </w:rPr>
        <w:t> </w:t>
      </w:r>
      <w:r>
        <w:rPr/>
        <w:t>2007</w:t>
      </w:r>
      <w:r>
        <w:rPr>
          <w:spacing w:val="-3"/>
        </w:rPr>
        <w:t> </w:t>
      </w:r>
      <w:r>
        <w:rPr/>
        <w:t>y</w:t>
      </w:r>
      <w:r>
        <w:rPr>
          <w:spacing w:val="-3"/>
        </w:rPr>
        <w:t> </w:t>
      </w:r>
      <w:r>
        <w:rPr/>
        <w:t>a</w:t>
      </w:r>
      <w:r>
        <w:rPr>
          <w:spacing w:val="-3"/>
        </w:rPr>
        <w:t> </w:t>
      </w:r>
      <w:r>
        <w:rPr/>
        <w:t>8.0</w:t>
      </w:r>
      <w:r>
        <w:rPr>
          <w:spacing w:val="-3"/>
        </w:rPr>
        <w:t> </w:t>
      </w:r>
      <w:r>
        <w:rPr/>
        <w:t>por</w:t>
      </w:r>
      <w:r>
        <w:rPr>
          <w:spacing w:val="-3"/>
        </w:rPr>
        <w:t> </w:t>
      </w:r>
      <w:r>
        <w:rPr/>
        <w:t>ciento</w:t>
      </w:r>
      <w:r>
        <w:rPr>
          <w:spacing w:val="-4"/>
        </w:rPr>
        <w:t> </w:t>
      </w:r>
      <w:r>
        <w:rPr/>
        <w:t>en</w:t>
      </w:r>
      <w:r>
        <w:rPr>
          <w:spacing w:val="-4"/>
        </w:rPr>
        <w:t> </w:t>
      </w:r>
      <w:r>
        <w:rPr/>
        <w:t>2013,</w:t>
      </w:r>
      <w:r>
        <w:rPr>
          <w:spacing w:val="-3"/>
        </w:rPr>
        <w:t> </w:t>
      </w:r>
      <w:r>
        <w:rPr/>
        <w:t>e</w:t>
      </w:r>
      <w:r>
        <w:rPr>
          <w:spacing w:val="-3"/>
        </w:rPr>
        <w:t> </w:t>
      </w:r>
      <w:r>
        <w:rPr/>
        <w:t>igualmente</w:t>
      </w:r>
      <w:r>
        <w:rPr>
          <w:spacing w:val="-4"/>
        </w:rPr>
        <w:t> </w:t>
      </w:r>
      <w:r>
        <w:rPr/>
        <w:t>la</w:t>
      </w:r>
      <w:r>
        <w:rPr>
          <w:spacing w:val="-3"/>
        </w:rPr>
        <w:t> </w:t>
      </w:r>
      <w:r>
        <w:rPr/>
        <w:t>agri- cultura</w:t>
      </w:r>
      <w:r>
        <w:rPr>
          <w:spacing w:val="-10"/>
        </w:rPr>
        <w:t> </w:t>
      </w:r>
      <w:r>
        <w:rPr/>
        <w:t>representó</w:t>
      </w:r>
      <w:r>
        <w:rPr>
          <w:spacing w:val="-10"/>
        </w:rPr>
        <w:t> </w:t>
      </w:r>
      <w:r>
        <w:rPr/>
        <w:t>8.6</w:t>
      </w:r>
      <w:r>
        <w:rPr>
          <w:spacing w:val="-10"/>
        </w:rPr>
        <w:t> </w:t>
      </w:r>
      <w:r>
        <w:rPr/>
        <w:t>por</w:t>
      </w:r>
      <w:r>
        <w:rPr>
          <w:spacing w:val="-10"/>
        </w:rPr>
        <w:t> </w:t>
      </w:r>
      <w:r>
        <w:rPr/>
        <w:t>ciento</w:t>
      </w:r>
      <w:r>
        <w:rPr>
          <w:spacing w:val="-10"/>
        </w:rPr>
        <w:t> </w:t>
      </w:r>
      <w:r>
        <w:rPr/>
        <w:t>en</w:t>
      </w:r>
      <w:r>
        <w:rPr>
          <w:spacing w:val="-10"/>
        </w:rPr>
        <w:t> </w:t>
      </w:r>
      <w:r>
        <w:rPr/>
        <w:t>2000,</w:t>
      </w:r>
      <w:r>
        <w:rPr>
          <w:spacing w:val="-10"/>
        </w:rPr>
        <w:t> </w:t>
      </w:r>
      <w:r>
        <w:rPr/>
        <w:t>y</w:t>
      </w:r>
      <w:r>
        <w:rPr>
          <w:spacing w:val="-10"/>
        </w:rPr>
        <w:t> </w:t>
      </w:r>
      <w:r>
        <w:rPr/>
        <w:t>6.8</w:t>
      </w:r>
      <w:r>
        <w:rPr>
          <w:spacing w:val="-10"/>
        </w:rPr>
        <w:t> </w:t>
      </w:r>
      <w:r>
        <w:rPr/>
        <w:t>y</w:t>
      </w:r>
      <w:r>
        <w:rPr>
          <w:spacing w:val="-10"/>
        </w:rPr>
        <w:t> </w:t>
      </w:r>
      <w:r>
        <w:rPr/>
        <w:t>ocho</w:t>
      </w:r>
      <w:r>
        <w:rPr>
          <w:spacing w:val="-10"/>
        </w:rPr>
        <w:t> </w:t>
      </w:r>
      <w:r>
        <w:rPr/>
        <w:t>por</w:t>
      </w:r>
      <w:r>
        <w:rPr>
          <w:spacing w:val="-10"/>
        </w:rPr>
        <w:t> </w:t>
      </w:r>
      <w:r>
        <w:rPr/>
        <w:t>ciento</w:t>
      </w:r>
      <w:r>
        <w:rPr>
          <w:spacing w:val="-10"/>
        </w:rPr>
        <w:t> </w:t>
      </w:r>
      <w:r>
        <w:rPr/>
        <w:t>en</w:t>
      </w:r>
      <w:r>
        <w:rPr>
          <w:spacing w:val="-10"/>
        </w:rPr>
        <w:t> </w:t>
      </w:r>
      <w:r>
        <w:rPr/>
        <w:t>2007 y 2013, respectivamente; los sectores aparentemente menos afectados fueron el comercio al mayoreo y menudeo, que prácticamente no expe- rimentó cambio alguno, al concentrar 21.9 por ciento de los</w:t>
      </w:r>
      <w:r>
        <w:rPr>
          <w:spacing w:val="-22"/>
        </w:rPr>
        <w:t> </w:t>
      </w:r>
      <w:r>
        <w:rPr/>
        <w:t>trabajadores en 1995 y 21.4 y 22.4 por ciento en 2008 y 2013, respectivamente, y el sector</w:t>
      </w:r>
      <w:r>
        <w:rPr>
          <w:spacing w:val="-9"/>
        </w:rPr>
        <w:t> </w:t>
      </w:r>
      <w:r>
        <w:rPr/>
        <w:t>de</w:t>
      </w:r>
      <w:r>
        <w:rPr>
          <w:spacing w:val="-9"/>
        </w:rPr>
        <w:t> </w:t>
      </w:r>
      <w:r>
        <w:rPr/>
        <w:t>servicios</w:t>
      </w:r>
      <w:r>
        <w:rPr>
          <w:spacing w:val="-9"/>
        </w:rPr>
        <w:t> </w:t>
      </w:r>
      <w:r>
        <w:rPr/>
        <w:t>profesionales,</w:t>
      </w:r>
      <w:r>
        <w:rPr>
          <w:spacing w:val="-9"/>
        </w:rPr>
        <w:t> </w:t>
      </w:r>
      <w:r>
        <w:rPr/>
        <w:t>quizá</w:t>
      </w:r>
      <w:r>
        <w:rPr>
          <w:spacing w:val="-9"/>
        </w:rPr>
        <w:t> </w:t>
      </w:r>
      <w:r>
        <w:rPr/>
        <w:t>el</w:t>
      </w:r>
      <w:r>
        <w:rPr>
          <w:spacing w:val="-9"/>
        </w:rPr>
        <w:t> </w:t>
      </w:r>
      <w:r>
        <w:rPr/>
        <w:t>más</w:t>
      </w:r>
      <w:r>
        <w:rPr>
          <w:spacing w:val="-9"/>
        </w:rPr>
        <w:t> </w:t>
      </w:r>
      <w:r>
        <w:rPr/>
        <w:t>estable,</w:t>
      </w:r>
      <w:r>
        <w:rPr>
          <w:spacing w:val="-9"/>
        </w:rPr>
        <w:t> </w:t>
      </w:r>
      <w:r>
        <w:rPr/>
        <w:t>que</w:t>
      </w:r>
      <w:r>
        <w:rPr>
          <w:spacing w:val="-9"/>
        </w:rPr>
        <w:t> </w:t>
      </w:r>
      <w:r>
        <w:rPr/>
        <w:t>incluso</w:t>
      </w:r>
      <w:r>
        <w:rPr>
          <w:spacing w:val="-9"/>
        </w:rPr>
        <w:t> </w:t>
      </w:r>
      <w:r>
        <w:rPr/>
        <w:t>creció en el periodo de crisis, al pasar de 10.3 en 1995, a 12.8 en 2007 y 14.9 por</w:t>
      </w:r>
      <w:r>
        <w:rPr>
          <w:spacing w:val="-10"/>
        </w:rPr>
        <w:t> </w:t>
      </w:r>
      <w:r>
        <w:rPr/>
        <w:t>ciento</w:t>
      </w:r>
      <w:r>
        <w:rPr>
          <w:spacing w:val="-10"/>
        </w:rPr>
        <w:t> </w:t>
      </w:r>
      <w:r>
        <w:rPr/>
        <w:t>en</w:t>
      </w:r>
      <w:r>
        <w:rPr>
          <w:spacing w:val="-10"/>
        </w:rPr>
        <w:t> </w:t>
      </w:r>
      <w:r>
        <w:rPr/>
        <w:t>2013.</w:t>
      </w:r>
      <w:r>
        <w:rPr>
          <w:spacing w:val="-10"/>
        </w:rPr>
        <w:t> </w:t>
      </w:r>
      <w:r>
        <w:rPr/>
        <w:t>La</w:t>
      </w:r>
      <w:r>
        <w:rPr>
          <w:spacing w:val="-10"/>
        </w:rPr>
        <w:t> </w:t>
      </w:r>
      <w:r>
        <w:rPr/>
        <w:t>caída</w:t>
      </w:r>
      <w:r>
        <w:rPr>
          <w:spacing w:val="-10"/>
        </w:rPr>
        <w:t> </w:t>
      </w:r>
      <w:r>
        <w:rPr/>
        <w:t>más</w:t>
      </w:r>
      <w:r>
        <w:rPr>
          <w:spacing w:val="-10"/>
        </w:rPr>
        <w:t> </w:t>
      </w:r>
      <w:r>
        <w:rPr/>
        <w:t>estrepitosa</w:t>
      </w:r>
      <w:r>
        <w:rPr>
          <w:spacing w:val="-10"/>
        </w:rPr>
        <w:t> </w:t>
      </w:r>
      <w:r>
        <w:rPr/>
        <w:t>la</w:t>
      </w:r>
      <w:r>
        <w:rPr>
          <w:spacing w:val="-10"/>
        </w:rPr>
        <w:t> </w:t>
      </w:r>
      <w:r>
        <w:rPr/>
        <w:t>experimentó</w:t>
      </w:r>
      <w:r>
        <w:rPr>
          <w:spacing w:val="-10"/>
        </w:rPr>
        <w:t> </w:t>
      </w:r>
      <w:r>
        <w:rPr/>
        <w:t>el</w:t>
      </w:r>
      <w:r>
        <w:rPr>
          <w:spacing w:val="-10"/>
        </w:rPr>
        <w:t> </w:t>
      </w:r>
      <w:r>
        <w:rPr/>
        <w:t>sector</w:t>
      </w:r>
      <w:r>
        <w:rPr>
          <w:spacing w:val="-9"/>
        </w:rPr>
        <w:t> </w:t>
      </w:r>
      <w:r>
        <w:rPr/>
        <w:t>ma- nufacturero, tradicionalmente “cautivo” de los trabajadores inmigrantes latinos al caer entre 1995, 2009 y 2014, de 23.3 a 14.6 a 12.7 por ciento respectivamente.</w:t>
      </w:r>
    </w:p>
    <w:p>
      <w:pPr>
        <w:pStyle w:val="BodyText"/>
        <w:spacing w:line="249" w:lineRule="auto" w:before="1"/>
        <w:ind w:left="110" w:right="111" w:firstLine="283"/>
        <w:jc w:val="both"/>
      </w:pPr>
      <w:r>
        <w:rPr/>
        <w:t>El mercado laboral estadounidense es altamente segmentado. En él, como</w:t>
      </w:r>
      <w:r>
        <w:rPr>
          <w:spacing w:val="-8"/>
        </w:rPr>
        <w:t> </w:t>
      </w:r>
      <w:r>
        <w:rPr/>
        <w:t>en</w:t>
      </w:r>
      <w:r>
        <w:rPr>
          <w:spacing w:val="-8"/>
        </w:rPr>
        <w:t> </w:t>
      </w:r>
      <w:r>
        <w:rPr/>
        <w:t>todo</w:t>
      </w:r>
      <w:r>
        <w:rPr>
          <w:spacing w:val="-8"/>
        </w:rPr>
        <w:t> </w:t>
      </w:r>
      <w:r>
        <w:rPr/>
        <w:t>mercado,</w:t>
      </w:r>
      <w:r>
        <w:rPr>
          <w:spacing w:val="-8"/>
        </w:rPr>
        <w:t> </w:t>
      </w:r>
      <w:r>
        <w:rPr/>
        <w:t>no</w:t>
      </w:r>
      <w:r>
        <w:rPr>
          <w:spacing w:val="-8"/>
        </w:rPr>
        <w:t> </w:t>
      </w:r>
      <w:r>
        <w:rPr/>
        <w:t>sólo</w:t>
      </w:r>
      <w:r>
        <w:rPr>
          <w:spacing w:val="-8"/>
        </w:rPr>
        <w:t> </w:t>
      </w:r>
      <w:r>
        <w:rPr/>
        <w:t>persisten</w:t>
      </w:r>
      <w:r>
        <w:rPr>
          <w:spacing w:val="-8"/>
        </w:rPr>
        <w:t> </w:t>
      </w:r>
      <w:r>
        <w:rPr/>
        <w:t>los</w:t>
      </w:r>
      <w:r>
        <w:rPr>
          <w:spacing w:val="-8"/>
        </w:rPr>
        <w:t> </w:t>
      </w:r>
      <w:r>
        <w:rPr/>
        <w:t>factores</w:t>
      </w:r>
      <w:r>
        <w:rPr>
          <w:spacing w:val="-8"/>
        </w:rPr>
        <w:t> </w:t>
      </w:r>
      <w:r>
        <w:rPr/>
        <w:t>asociados</w:t>
      </w:r>
      <w:r>
        <w:rPr>
          <w:spacing w:val="-8"/>
        </w:rPr>
        <w:t> </w:t>
      </w:r>
      <w:r>
        <w:rPr/>
        <w:t>a</w:t>
      </w:r>
      <w:r>
        <w:rPr>
          <w:spacing w:val="-8"/>
        </w:rPr>
        <w:t> </w:t>
      </w:r>
      <w:r>
        <w:rPr/>
        <w:t>la</w:t>
      </w:r>
      <w:r>
        <w:rPr>
          <w:spacing w:val="-8"/>
        </w:rPr>
        <w:t> </w:t>
      </w:r>
      <w:r>
        <w:rPr/>
        <w:t>com- petencia laboral, sino también los de índole discriminatoria. Ser latino implica una desventaja para asegurar un empleo de calidad. En la po- blación nativa existe una ambivalencia de criterio y expectativas sobre la importancia de los trabajadores inmigrantes vinculados a actividades económicas de nulo o escaso interés para los nativos, pero también per- siste la idea de que una masiva incorporación de inmigrantes al</w:t>
      </w:r>
      <w:r>
        <w:rPr>
          <w:spacing w:val="-19"/>
        </w:rPr>
        <w:t> </w:t>
      </w:r>
      <w:r>
        <w:rPr/>
        <w:t>mercado laboral</w:t>
      </w:r>
      <w:r>
        <w:rPr>
          <w:spacing w:val="-10"/>
        </w:rPr>
        <w:t> </w:t>
      </w:r>
      <w:r>
        <w:rPr/>
        <w:t>limita</w:t>
      </w:r>
      <w:r>
        <w:rPr>
          <w:spacing w:val="-10"/>
        </w:rPr>
        <w:t> </w:t>
      </w:r>
      <w:r>
        <w:rPr/>
        <w:t>el</w:t>
      </w:r>
      <w:r>
        <w:rPr>
          <w:spacing w:val="-9"/>
        </w:rPr>
        <w:t> </w:t>
      </w:r>
      <w:r>
        <w:rPr/>
        <w:t>mercado</w:t>
      </w:r>
      <w:r>
        <w:rPr>
          <w:spacing w:val="-10"/>
        </w:rPr>
        <w:t> </w:t>
      </w:r>
      <w:r>
        <w:rPr/>
        <w:t>para</w:t>
      </w:r>
      <w:r>
        <w:rPr>
          <w:spacing w:val="-9"/>
        </w:rPr>
        <w:t> </w:t>
      </w:r>
      <w:r>
        <w:rPr/>
        <w:t>los</w:t>
      </w:r>
      <w:r>
        <w:rPr>
          <w:spacing w:val="-10"/>
        </w:rPr>
        <w:t> </w:t>
      </w:r>
      <w:r>
        <w:rPr/>
        <w:t>nativos,</w:t>
      </w:r>
      <w:r>
        <w:rPr>
          <w:spacing w:val="-9"/>
        </w:rPr>
        <w:t> </w:t>
      </w:r>
      <w:r>
        <w:rPr/>
        <w:t>ya</w:t>
      </w:r>
      <w:r>
        <w:rPr>
          <w:spacing w:val="-9"/>
        </w:rPr>
        <w:t> </w:t>
      </w:r>
      <w:r>
        <w:rPr/>
        <w:t>que</w:t>
      </w:r>
      <w:r>
        <w:rPr>
          <w:spacing w:val="-9"/>
        </w:rPr>
        <w:t> </w:t>
      </w:r>
      <w:r>
        <w:rPr/>
        <w:t>al</w:t>
      </w:r>
      <w:r>
        <w:rPr>
          <w:spacing w:val="-9"/>
        </w:rPr>
        <w:t> </w:t>
      </w:r>
      <w:r>
        <w:rPr/>
        <w:t>operar</w:t>
      </w:r>
      <w:r>
        <w:rPr>
          <w:spacing w:val="-9"/>
        </w:rPr>
        <w:t> </w:t>
      </w:r>
      <w:r>
        <w:rPr/>
        <w:t>como</w:t>
      </w:r>
      <w:r>
        <w:rPr>
          <w:spacing w:val="-10"/>
        </w:rPr>
        <w:t> </w:t>
      </w:r>
      <w:r>
        <w:rPr/>
        <w:t>una</w:t>
      </w:r>
      <w:r>
        <w:rPr>
          <w:spacing w:val="-9"/>
        </w:rPr>
        <w:t> </w:t>
      </w:r>
      <w:r>
        <w:rPr/>
        <w:t>“re- serva infinita” de fuerza de trabajo de bajo costo, actúa como depresora de los salarios para el conjunto del mercado, con efectos desfavorables para los trabajadores</w:t>
      </w:r>
      <w:r>
        <w:rPr>
          <w:spacing w:val="-2"/>
        </w:rPr>
        <w:t> </w:t>
      </w:r>
      <w:r>
        <w:rPr/>
        <w:t>nativos.</w:t>
      </w:r>
    </w:p>
    <w:p>
      <w:pPr>
        <w:pStyle w:val="BodyText"/>
        <w:spacing w:line="249" w:lineRule="auto" w:before="1"/>
        <w:ind w:left="110" w:right="111" w:firstLine="283"/>
        <w:jc w:val="both"/>
      </w:pPr>
      <w:r>
        <w:rPr/>
        <w:t>En Estados Unidos el incremento del trabajo informal es notable. El cual, en gran parte, es trabajo precario: realizado en condiciones inferio- res y desfavorables a las normales, desprovisto de prestaciones</w:t>
      </w:r>
      <w:r>
        <w:rPr>
          <w:spacing w:val="-20"/>
        </w:rPr>
        <w:t> </w:t>
      </w:r>
      <w:r>
        <w:rPr/>
        <w:t>laborales y seguridad social, y con bajos</w:t>
      </w:r>
      <w:r>
        <w:rPr>
          <w:spacing w:val="-15"/>
        </w:rPr>
        <w:t> </w:t>
      </w:r>
      <w:r>
        <w:rPr/>
        <w:t>ingresos.</w:t>
      </w:r>
    </w:p>
    <w:p>
      <w:pPr>
        <w:spacing w:after="0" w:line="249" w:lineRule="auto"/>
        <w:jc w:val="both"/>
        <w:sectPr>
          <w:pgSz w:w="7770" w:h="11740"/>
          <w:pgMar w:header="0" w:footer="559" w:top="840" w:bottom="740" w:left="740" w:right="1020"/>
        </w:sectPr>
      </w:pPr>
    </w:p>
    <w:p>
      <w:pPr>
        <w:pStyle w:val="BodyText"/>
      </w:pPr>
      <w:r>
        <w:rPr/>
        <w:pict>
          <v:shape style="position:absolute;margin-left:26.963537pt;margin-top:193.173203pt;width:12pt;height:10.7pt;mso-position-horizontal-relative:page;mso-position-vertical-relative:page;z-index:2200" type="#_x0000_t202" filled="false" stroked="false">
            <v:textbox inset="0,0,0,0" style="layout-flow:vertical">
              <w:txbxContent>
                <w:p>
                  <w:pPr>
                    <w:pStyle w:val="BodyText"/>
                    <w:spacing w:line="224" w:lineRule="exact"/>
                    <w:ind w:left="20" w:right="-100"/>
                  </w:pPr>
                  <w:r>
                    <w:rPr>
                      <w:color w:val="231F20"/>
                      <w:spacing w:val="-13"/>
                    </w:rPr>
                    <w:t>73</w:t>
                  </w:r>
                </w:p>
              </w:txbxContent>
            </v:textbox>
            <w10:wrap type="none"/>
          </v:shape>
        </w:pict>
      </w:r>
    </w:p>
    <w:p>
      <w:pPr>
        <w:pStyle w:val="BodyText"/>
      </w:pPr>
    </w:p>
    <w:p>
      <w:pPr>
        <w:pStyle w:val="BodyText"/>
      </w:pPr>
    </w:p>
    <w:p>
      <w:pPr>
        <w:pStyle w:val="BodyText"/>
      </w:pPr>
    </w:p>
    <w:p>
      <w:pPr>
        <w:pStyle w:val="BodyText"/>
        <w:spacing w:before="1"/>
        <w:rPr>
          <w:sz w:val="16"/>
        </w:rPr>
      </w:pPr>
    </w:p>
    <w:p>
      <w:pPr>
        <w:spacing w:before="81" w:after="5"/>
        <w:ind w:left="102" w:right="0" w:firstLine="0"/>
        <w:jc w:val="left"/>
        <w:rPr>
          <w:sz w:val="19"/>
        </w:rPr>
      </w:pPr>
      <w:r>
        <w:rPr/>
        <w:pict>
          <v:group style="position:absolute;margin-left:127.8769pt;margin-top:21.444731pt;width:366.9pt;height:165.9pt;mso-position-horizontal-relative:page;mso-position-vertical-relative:paragraph;z-index:-335896" coordorigin="2558,429" coordsize="7338,3318">
            <v:rect style="position:absolute;left:2619;top:431;width:7273;height:3255" filled="false" stroked="true" strokeweight=".249pt" strokecolor="#808080"/>
            <v:line style="position:absolute" from="2619,3687" to="2619,431" stroked="true" strokeweight=".249pt" strokecolor="#000000"/>
            <v:shape style="position:absolute;left:-3254;top:6597;width:3255;height:58" coordorigin="-3254,6597" coordsize="3255,58" path="m2560,3686l2618,3686m2560,3144l2618,3144m2560,2601l2618,2601m2560,2059l2618,2059m2560,1517l2618,1517m2560,974l2618,974m2560,432l2618,432e" filled="false" stroked="true" strokeweight=".249pt" strokecolor="#000000">
              <v:path arrowok="t"/>
            </v:shape>
            <v:line style="position:absolute" from="2619,3687" to="9893,3687" stroked="true" strokeweight=".249pt" strokecolor="#000000"/>
            <v:shape style="position:absolute;left:0;top:-238;width:58;height:6893" coordorigin="0,-238" coordsize="58,6893" path="m2618,3686l2618,3744m3770,3686l3770,3744m4917,3686l4917,3744m6064,3686l6064,3744m7211,3686l7211,3744m8363,3686l8363,3744m9510,3686l9510,3744e" filled="false" stroked="true" strokeweight=".249pt" strokecolor="#000000">
              <v:path arrowok="t"/>
            </v:shape>
            <v:shape style="position:absolute;left:-10;top:-237;width:226;height:6892" coordorigin="-10,-237" coordsize="226,6892" path="m2810,2765l3194,2784m3194,2784l3578,2808m3578,2808l3962,2918m3962,2918l4341,2841m4341,2841l4725,2755m4725,2755l5109,2885m5109,2885l5493,2981m5493,2981l5872,2971m5872,2971l6256,2875m6256,2875l6640,2875m6640,2875l7024,2904m7024,2904l7403,2947m7403,2947l7787,2827m7787,2827l8171,2928m8171,2928l8555,2827m8555,2827l8934,2827m8934,2827l9318,2817m9318,2817l9701,2817e" filled="false" stroked="true" strokeweight=".249pt" strokecolor="#000000">
              <v:path arrowok="t"/>
            </v:shape>
            <v:shape style="position:absolute;left:4310;top:2812;width:62;height:58" type="#_x0000_t75" stroked="false">
              <v:imagedata r:id="rId61" o:title=""/>
            </v:shape>
            <v:shape style="position:absolute;left:4694;top:2726;width:62;height:58" type="#_x0000_t75" stroked="false">
              <v:imagedata r:id="rId61" o:title=""/>
            </v:shape>
            <v:shape style="position:absolute;left:5462;top:2951;width:62;height:58" type="#_x0000_t75" stroked="false">
              <v:imagedata r:id="rId61" o:title=""/>
            </v:shape>
            <v:shape style="position:absolute;left:5841;top:2942;width:62;height:58" type="#_x0000_t75" stroked="false">
              <v:imagedata r:id="rId61" o:title=""/>
            </v:shape>
            <v:shape style="position:absolute;left:6609;top:2846;width:62;height:58" type="#_x0000_t75" stroked="false">
              <v:imagedata r:id="rId61" o:title=""/>
            </v:shape>
            <v:shape style="position:absolute;left:6993;top:2874;width:62;height:58" type="#_x0000_t75" stroked="false">
              <v:imagedata r:id="rId61" o:title=""/>
            </v:shape>
            <v:shape style="position:absolute;left:7373;top:2918;width:62;height:58" type="#_x0000_t75" stroked="false">
              <v:imagedata r:id="rId61" o:title=""/>
            </v:shape>
            <v:shape style="position:absolute;left:7757;top:2798;width:62;height:58" type="#_x0000_t75" stroked="false">
              <v:imagedata r:id="rId61" o:title=""/>
            </v:shape>
            <v:shape style="position:absolute;left:8525;top:2798;width:62;height:58" type="#_x0000_t75" stroked="false">
              <v:imagedata r:id="rId61" o:title=""/>
            </v:shape>
            <v:shape style="position:absolute;left:8904;top:2798;width:62;height:58" type="#_x0000_t75" stroked="false">
              <v:imagedata r:id="rId61" o:title=""/>
            </v:shape>
            <v:shape style="position:absolute;left:9288;top:2788;width:62;height:58" type="#_x0000_t75" stroked="false">
              <v:imagedata r:id="rId61" o:title=""/>
            </v:shape>
            <v:shape style="position:absolute;left:9672;top:2788;width:62;height:58" type="#_x0000_t75" stroked="false">
              <v:imagedata r:id="rId61" o:title=""/>
            </v:shape>
            <v:shape style="position:absolute;left:-1186;top:-237;width:1228;height:6508" coordorigin="-1186,-237" coordsize="1228,6508" path="m3194,2712l3578,2753m3578,2753l3962,2712m3962,2712l4341,2491m4341,2491l4725,2342m4725,2342l5109,2265m5109,2265l5493,2232m5493,2232l5872,2155m5872,2155l6256,1939m6256,1939l6640,1800m6640,1800l7024,1603m7024,1603l7403,1526m7403,1526l7787,1670m7787,1670l8171,1939m8171,1939l8555,2035m8555,2035l8934,2035m8934,2035l9318,2112m9318,2112l9701,2069e" filled="false" stroked="true" strokeweight=".249pt" strokecolor="#000000">
              <v:path arrowok="t"/>
              <v:stroke dashstyle="dash"/>
            </v:shape>
            <v:shape style="position:absolute;left:3547;top:2740;width:62;height:96" type="#_x0000_t75" stroked="false">
              <v:imagedata r:id="rId62" o:title=""/>
            </v:shape>
            <v:shape style="position:absolute;left:3950;top:2697;width:43;height:29" type="#_x0000_t75" stroked="false">
              <v:imagedata r:id="rId63" o:title=""/>
            </v:shape>
            <v:shape style="position:absolute;left:4713;top:2327;width:43;height:29" type="#_x0000_t75" stroked="false">
              <v:imagedata r:id="rId63" o:title=""/>
            </v:shape>
            <v:shape style="position:absolute;left:5097;top:2250;width:43;height:29" type="#_x0000_t75" stroked="false">
              <v:imagedata r:id="rId63" o:title=""/>
            </v:shape>
            <v:shape style="position:absolute;left:5481;top:2217;width:43;height:29" type="#_x0000_t75" stroked="false">
              <v:imagedata r:id="rId63" o:title=""/>
            </v:shape>
            <v:shape style="position:absolute;left:5861;top:2140;width:43;height:29" type="#_x0000_t75" stroked="false">
              <v:imagedata r:id="rId63" o:title=""/>
            </v:shape>
            <v:shape style="position:absolute;left:6245;top:1924;width:43;height:29" type="#_x0000_t75" stroked="false">
              <v:imagedata r:id="rId63" o:title=""/>
            </v:shape>
            <v:shape style="position:absolute;left:6629;top:1785;width:43;height:29" type="#_x0000_t75" stroked="false">
              <v:imagedata r:id="rId63" o:title=""/>
            </v:shape>
            <v:shape style="position:absolute;left:7013;top:1588;width:43;height:29" type="#_x0000_t75" stroked="false">
              <v:imagedata r:id="rId63" o:title=""/>
            </v:shape>
            <v:shape style="position:absolute;left:7392;top:1511;width:43;height:29" type="#_x0000_t75" stroked="false">
              <v:imagedata r:id="rId63" o:title=""/>
            </v:shape>
            <v:shape style="position:absolute;left:7776;top:1655;width:43;height:29" type="#_x0000_t75" stroked="false">
              <v:imagedata r:id="rId63" o:title=""/>
            </v:shape>
            <v:shape style="position:absolute;left:8160;top:1924;width:43;height:29" type="#_x0000_t75" stroked="false">
              <v:imagedata r:id="rId63" o:title=""/>
            </v:shape>
            <v:shape style="position:absolute;left:9691;top:2054;width:43;height:29" type="#_x0000_t75" stroked="false">
              <v:imagedata r:id="rId63" o:title=""/>
            </v:shape>
            <v:shape style="position:absolute;left:-72;top:-237;width:1224;height:6892" coordorigin="-72,-237" coordsize="1224,6892" path="m2810,1157l3194,1147m3194,1147l3578,1085m3578,1085l3962,1243m3962,1243l4341,1473m4341,1473l4725,1473m4725,1473l5109,1536m5109,1536l5493,1723m5493,1723l5872,1766m5872,1766l6256,1877m6256,1877l6640,1963m6640,1963l7024,1982m7024,1982l7403,2093m7403,2093l7787,2126m7787,2126l8171,2102m8171,2102l8555,2198m8555,2198l8934,2169m8934,2169l9318,2179m9318,2179l9701,2309e" filled="false" stroked="true" strokeweight="1.991pt" strokecolor="#000000">
              <v:path arrowok="t"/>
            </v:shape>
            <v:shape style="position:absolute;left:2779;top:1142;width:62;height:29" type="#_x0000_t75" stroked="false">
              <v:imagedata r:id="rId64" o:title=""/>
            </v:shape>
            <v:shape style="position:absolute;left:3163;top:1132;width:62;height:29" type="#_x0000_t75" stroked="false">
              <v:imagedata r:id="rId64" o:title=""/>
            </v:shape>
            <v:shape style="position:absolute;left:3547;top:1070;width:62;height:29" type="#_x0000_t75" stroked="false">
              <v:imagedata r:id="rId64" o:title=""/>
            </v:shape>
            <v:shape style="position:absolute;left:3931;top:1228;width:62;height:29" type="#_x0000_t75" stroked="false">
              <v:imagedata r:id="rId64" o:title=""/>
            </v:shape>
            <v:shape style="position:absolute;left:4310;top:1458;width:62;height:29" type="#_x0000_t75" stroked="false">
              <v:imagedata r:id="rId64" o:title=""/>
            </v:shape>
            <v:shape style="position:absolute;left:4694;top:1458;width:62;height:29" type="#_x0000_t75" stroked="false">
              <v:imagedata r:id="rId64" o:title=""/>
            </v:shape>
            <v:shape style="position:absolute;left:5078;top:1521;width:62;height:29" type="#_x0000_t75" stroked="false">
              <v:imagedata r:id="rId64" o:title=""/>
            </v:shape>
            <v:shape style="position:absolute;left:5462;top:1708;width:62;height:29" type="#_x0000_t75" stroked="false">
              <v:imagedata r:id="rId64" o:title=""/>
            </v:shape>
            <v:shape style="position:absolute;left:5841;top:1751;width:62;height:29" type="#_x0000_t75" stroked="false">
              <v:imagedata r:id="rId64" o:title=""/>
            </v:shape>
            <v:shape style="position:absolute;left:6225;top:1862;width:62;height:29" type="#_x0000_t75" stroked="false">
              <v:imagedata r:id="rId64" o:title=""/>
            </v:shape>
            <v:shape style="position:absolute;left:6609;top:1948;width:62;height:29" type="#_x0000_t75" stroked="false">
              <v:imagedata r:id="rId64" o:title=""/>
            </v:shape>
            <v:shape style="position:absolute;left:6993;top:1967;width:62;height:29" type="#_x0000_t75" stroked="false">
              <v:imagedata r:id="rId64" o:title=""/>
            </v:shape>
            <v:shape style="position:absolute;left:7373;top:2078;width:62;height:29" type="#_x0000_t75" stroked="false">
              <v:imagedata r:id="rId64" o:title=""/>
            </v:shape>
            <v:shape style="position:absolute;left:7757;top:2111;width:62;height:29" type="#_x0000_t75" stroked="false">
              <v:imagedata r:id="rId64" o:title=""/>
            </v:shape>
            <v:shape style="position:absolute;left:8141;top:2087;width:62;height:29" type="#_x0000_t75" stroked="false">
              <v:imagedata r:id="rId64" o:title=""/>
            </v:shape>
            <v:shape style="position:absolute;left:9288;top:2097;width:62;height:96" type="#_x0000_t75" stroked="false">
              <v:imagedata r:id="rId65" o:title=""/>
            </v:shape>
            <v:shape style="position:absolute;left:9672;top:2294;width:62;height:29" type="#_x0000_t75" stroked="false">
              <v:imagedata r:id="rId64" o:title=""/>
            </v:shape>
            <v:shape style="position:absolute;left:-206;top:-237;width:303;height:6892" coordorigin="-206,-237" coordsize="303,6892" path="m2810,1310l3194,1406m3194,1406l3578,1344m3578,1344l3962,1128m3962,1128l4341,1104m4341,1104l4725,1214m4725,1214l5109,1224m5109,1224l5493,1113m5493,1113l5872,1171m5872,1171l6256,1200m6256,1200l6640,1181m6640,1181l7024,1190m7024,1190l7403,1310m7403,1310l7787,1363m7787,1363l8171,1171m8171,1171l8555,1181m8555,1181l8934,1233m8934,1233l9318,1267m9318,1267l9701,1257e" filled="false" stroked="true" strokeweight=".249pt" strokecolor="#000000">
              <v:path arrowok="t"/>
              <v:stroke dashstyle="dash"/>
            </v:shape>
            <v:shape style="position:absolute;left:2798;top:1295;width:43;height:29" type="#_x0000_t75" stroked="false">
              <v:imagedata r:id="rId63" o:title=""/>
            </v:shape>
            <v:shape style="position:absolute;left:3182;top:1391;width:43;height:29" type="#_x0000_t75" stroked="false">
              <v:imagedata r:id="rId63" o:title=""/>
            </v:shape>
            <v:shape style="position:absolute;left:3566;top:1329;width:43;height:29" type="#_x0000_t75" stroked="false">
              <v:imagedata r:id="rId63" o:title=""/>
            </v:shape>
            <v:shape style="position:absolute;left:3950;top:1113;width:43;height:29" type="#_x0000_t75" stroked="false">
              <v:imagedata r:id="rId63" o:title=""/>
            </v:shape>
            <v:shape style="position:absolute;left:4329;top:1089;width:43;height:29" type="#_x0000_t75" stroked="false">
              <v:imagedata r:id="rId63" o:title=""/>
            </v:shape>
            <v:shape style="position:absolute;left:4713;top:1199;width:43;height:29" type="#_x0000_t75" stroked="false">
              <v:imagedata r:id="rId63" o:title=""/>
            </v:shape>
            <v:shape style="position:absolute;left:5097;top:1209;width:43;height:29" type="#_x0000_t75" stroked="false">
              <v:imagedata r:id="rId63" o:title=""/>
            </v:shape>
            <v:shape style="position:absolute;left:5481;top:1098;width:43;height:29" type="#_x0000_t75" stroked="false">
              <v:imagedata r:id="rId63" o:title=""/>
            </v:shape>
            <v:shape style="position:absolute;left:5861;top:1156;width:43;height:29" type="#_x0000_t75" stroked="false">
              <v:imagedata r:id="rId63" o:title=""/>
            </v:shape>
            <v:shape style="position:absolute;left:6245;top:1185;width:43;height:29" type="#_x0000_t75" stroked="false">
              <v:imagedata r:id="rId63" o:title=""/>
            </v:shape>
            <v:shape style="position:absolute;left:6629;top:1166;width:43;height:29" type="#_x0000_t75" stroked="false">
              <v:imagedata r:id="rId63" o:title=""/>
            </v:shape>
            <v:shape style="position:absolute;left:7013;top:1175;width:43;height:29" type="#_x0000_t75" stroked="false">
              <v:imagedata r:id="rId63" o:title=""/>
            </v:shape>
            <v:shape style="position:absolute;left:7392;top:1295;width:43;height:29" type="#_x0000_t75" stroked="false">
              <v:imagedata r:id="rId63" o:title=""/>
            </v:shape>
            <v:shape style="position:absolute;left:7776;top:1348;width:43;height:29" type="#_x0000_t75" stroked="false">
              <v:imagedata r:id="rId63" o:title=""/>
            </v:shape>
            <v:shape style="position:absolute;left:8160;top:1156;width:43;height:29" type="#_x0000_t75" stroked="false">
              <v:imagedata r:id="rId63" o:title=""/>
            </v:shape>
            <v:shape style="position:absolute;left:8544;top:1166;width:43;height:29" type="#_x0000_t75" stroked="false">
              <v:imagedata r:id="rId63" o:title=""/>
            </v:shape>
            <v:shape style="position:absolute;left:8923;top:1218;width:43;height:29" type="#_x0000_t75" stroked="false">
              <v:imagedata r:id="rId63" o:title=""/>
            </v:shape>
            <v:shape style="position:absolute;left:9307;top:1252;width:43;height:29" type="#_x0000_t75" stroked="false">
              <v:imagedata r:id="rId63" o:title=""/>
            </v:shape>
            <v:shape style="position:absolute;left:9691;top:1242;width:43;height:29" type="#_x0000_t75" stroked="false">
              <v:imagedata r:id="rId63" o:title=""/>
            </v:shape>
            <v:shape style="position:absolute;left:-250;top:-237;width:322;height:6892" coordorigin="-250,-237" coordsize="322,6892" path="m2810,2875l3194,2875m3194,2875l3578,2817m3578,2817l3962,2817m3962,2817l4341,2861m4341,2861l4725,2755m4725,2755l5109,2755m5109,2755l5493,2712m5493,2712l5872,2827m5872,2827l6256,2774m6256,2774l6640,2827m6640,2827l7024,2947m7024,2947l7403,2885m7403,2885l7787,2861m7787,2861l8171,2808m8171,2808l8555,2731m8555,2731l8934,2697m8934,2697l9318,2688m9318,2688l9701,2625e" filled="false" stroked="true" strokeweight=".249pt" strokecolor="#000000">
              <v:path arrowok="t"/>
            </v:shape>
            <v:shape style="position:absolute;left:3163;top:2697;width:62;height:206" type="#_x0000_t75" stroked="false">
              <v:imagedata r:id="rId66" o:title=""/>
            </v:shape>
            <v:shape style="position:absolute;left:3931;top:2788;width:62;height:158" type="#_x0000_t75" stroked="false">
              <v:imagedata r:id="rId67" o:title=""/>
            </v:shape>
            <v:shape style="position:absolute;left:4315;top:2831;width:53;height:58" type="#_x0000_t75" stroked="false">
              <v:imagedata r:id="rId68" o:title=""/>
            </v:shape>
            <v:shape style="position:absolute;left:4699;top:2726;width:53;height:58" type="#_x0000_t75" stroked="false">
              <v:imagedata r:id="rId68" o:title=""/>
            </v:shape>
            <v:shape style="position:absolute;left:5083;top:2726;width:53;height:58" type="#_x0000_t75" stroked="false">
              <v:imagedata r:id="rId68" o:title=""/>
            </v:shape>
            <v:shape style="position:absolute;left:5467;top:2682;width:53;height:58" type="#_x0000_t75" stroked="false">
              <v:imagedata r:id="rId68" o:title=""/>
            </v:shape>
            <v:shape style="position:absolute;left:5846;top:2798;width:53;height:58" type="#_x0000_t75" stroked="false">
              <v:imagedata r:id="rId68" o:title=""/>
            </v:shape>
            <v:shape style="position:absolute;left:6225;top:2745;width:62;height:158" type="#_x0000_t75" stroked="false">
              <v:imagedata r:id="rId67" o:title=""/>
            </v:shape>
            <v:shape style="position:absolute;left:6614;top:2798;width:53;height:58" type="#_x0000_t75" stroked="false">
              <v:imagedata r:id="rId68" o:title=""/>
            </v:shape>
            <v:shape style="position:absolute;left:7761;top:2831;width:53;height:58" type="#_x0000_t75" stroked="false">
              <v:imagedata r:id="rId68" o:title=""/>
            </v:shape>
            <v:shape style="position:absolute;left:8145;top:2778;width:53;height:58" type="#_x0000_t75" stroked="false">
              <v:imagedata r:id="rId68" o:title=""/>
            </v:shape>
            <v:shape style="position:absolute;left:8529;top:2702;width:53;height:58" type="#_x0000_t75" stroked="false">
              <v:imagedata r:id="rId68" o:title=""/>
            </v:shape>
            <v:shape style="position:absolute;left:8909;top:2668;width:53;height:58" type="#_x0000_t75" stroked="false">
              <v:imagedata r:id="rId68" o:title=""/>
            </v:shape>
            <v:shape style="position:absolute;left:9293;top:2658;width:53;height:58" type="#_x0000_t75" stroked="false">
              <v:imagedata r:id="rId68" o:title=""/>
            </v:shape>
            <v:shape style="position:absolute;left:9677;top:2596;width:53;height:58" type="#_x0000_t75" stroked="false">
              <v:imagedata r:id="rId68" o:title=""/>
            </v:shape>
            <v:shape style="position:absolute;left:0;top:-237;width:413;height:6892" coordorigin="0,-237" coordsize="413,6892" path="m2810,2654l3194,2678m3194,2678l3578,2774m3578,2774l3962,2697m3962,2697l4341,2721m4341,2721l4725,2765m4725,2765l5109,2784m5109,2784l5493,2841m5493,2841l5872,2827m5872,2827l6256,2894m6256,2894l6640,2981m6640,2981l7024,3033m7024,3033l7403,2990m7403,2990l7787,2990m7787,2990l8171,2971m8171,2971l8555,2971m8555,2971l8934,3024m8934,3024l9318,2971m9318,2971l9701,3067e" filled="false" stroked="true" strokeweight=".249pt" strokecolor="#000000">
              <v:path arrowok="t"/>
            </v:shape>
            <v:shape style="position:absolute;left:3163;top:2649;width:62;height:58" type="#_x0000_t75" stroked="false">
              <v:imagedata r:id="rId69" o:title=""/>
            </v:shape>
            <v:shape style="position:absolute;left:3547;top:2745;width:62;height:101" type="#_x0000_t75" stroked="false">
              <v:imagedata r:id="rId70" o:title=""/>
            </v:shape>
            <v:shape style="position:absolute;left:3931;top:2668;width:62;height:58" type="#_x0000_t75" stroked="false">
              <v:imagedata r:id="rId69" o:title=""/>
            </v:shape>
            <v:shape style="position:absolute;left:4310;top:2692;width:62;height:58" type="#_x0000_t75" stroked="false">
              <v:imagedata r:id="rId69" o:title=""/>
            </v:shape>
            <v:shape style="position:absolute;left:5078;top:2754;width:62;height:158" type="#_x0000_t75" stroked="false">
              <v:imagedata r:id="rId71" o:title=""/>
            </v:shape>
            <v:shape style="position:absolute;left:5462;top:2812;width:62;height:58" type="#_x0000_t75" stroked="false">
              <v:imagedata r:id="rId69" o:title=""/>
            </v:shape>
            <v:shape style="position:absolute;left:5841;top:2798;width:62;height:58" type="#_x0000_t75" stroked="false">
              <v:imagedata r:id="rId69" o:title=""/>
            </v:shape>
            <v:shape style="position:absolute;left:6225;top:2865;width:62;height:58" type="#_x0000_t75" stroked="false">
              <v:imagedata r:id="rId69" o:title=""/>
            </v:shape>
            <v:shape style="position:absolute;left:6609;top:2951;width:62;height:58" type="#_x0000_t75" stroked="false">
              <v:imagedata r:id="rId69" o:title=""/>
            </v:shape>
            <v:shape style="position:absolute;left:6993;top:2918;width:62;height:144" type="#_x0000_t75" stroked="false">
              <v:imagedata r:id="rId72" o:title=""/>
            </v:shape>
            <v:shape style="position:absolute;left:7373;top:2855;width:62;height:163" type="#_x0000_t75" stroked="false">
              <v:imagedata r:id="rId73" o:title=""/>
            </v:shape>
            <v:shape style="position:absolute;left:7757;top:2961;width:62;height:58" type="#_x0000_t75" stroked="false">
              <v:imagedata r:id="rId69" o:title=""/>
            </v:shape>
            <v:shape style="position:absolute;left:8141;top:2898;width:62;height:101" type="#_x0000_t75" stroked="false">
              <v:imagedata r:id="rId74" o:title=""/>
            </v:shape>
            <v:shape style="position:absolute;left:8525;top:2942;width:62;height:58" type="#_x0000_t75" stroked="false">
              <v:imagedata r:id="rId69" o:title=""/>
            </v:shape>
            <v:shape style="position:absolute;left:8904;top:2994;width:62;height:58" type="#_x0000_t75" stroked="false">
              <v:imagedata r:id="rId69" o:title=""/>
            </v:shape>
            <v:shape style="position:absolute;left:9288;top:2942;width:62;height:58" type="#_x0000_t75" stroked="false">
              <v:imagedata r:id="rId69" o:title=""/>
            </v:shape>
            <v:shape style="position:absolute;left:9672;top:3038;width:62;height:58" type="#_x0000_t75" stroked="false">
              <v:imagedata r:id="rId69" o:title=""/>
            </v:shape>
            <v:shape style="position:absolute;left:-499;top:-237;width:598;height:6892" coordorigin="-499,-237" coordsize="598,6892" path="m2810,2568l3194,2491m3194,2491l3578,2515m3578,2515l3962,2558m3962,2558l4341,2515m4341,2515l4725,2667m4725,2667l5109,2558m5109,2558l5493,2515m5493,2515l5872,2318m5872,2318l6256,2395m6256,2395l6640,2395m6640,2395l7024,2352m7024,2352l7403,2299m7403,2299l7787,2232m7787,2232l8171,2136m8171,2136l8555,2112m8555,2112l8934,2093m8934,2093l9318,2102m9318,2102l9701,2069e" filled="false" stroked="true" strokeweight=".249pt" strokecolor="#000000">
              <v:path arrowok="t"/>
              <v:stroke dashstyle="dash"/>
            </v:shape>
            <v:shape style="position:absolute;left:2779;top:2543;width:62;height:360" type="#_x0000_t75" stroked="false">
              <v:imagedata r:id="rId75" o:title=""/>
            </v:shape>
            <v:shape style="position:absolute;left:3173;top:2466;width:43;height:48" type="#_x0000_t75" stroked="false">
              <v:imagedata r:id="rId76" o:title=""/>
            </v:shape>
            <v:shape style="position:absolute;left:3557;top:2490;width:43;height:48" type="#_x0000_t75" stroked="false">
              <v:imagedata r:id="rId76" o:title=""/>
            </v:shape>
            <v:shape style="position:absolute;left:3941;top:2534;width:43;height:48" type="#_x0000_t75" stroked="false">
              <v:imagedata r:id="rId76" o:title=""/>
            </v:shape>
            <v:shape style="position:absolute;left:4320;top:2476;width:53;height:62" type="#_x0000_t75" stroked="false">
              <v:imagedata r:id="rId77" o:title=""/>
            </v:shape>
            <v:shape style="position:absolute;left:4694;top:2644;width:62;height:149" type="#_x0000_t75" stroked="false">
              <v:imagedata r:id="rId78" o:title=""/>
            </v:shape>
            <v:shape style="position:absolute;left:5088;top:2534;width:43;height:48" type="#_x0000_t75" stroked="false">
              <v:imagedata r:id="rId76" o:title=""/>
            </v:shape>
            <v:shape style="position:absolute;left:5472;top:2490;width:43;height:48" type="#_x0000_t75" stroked="false">
              <v:imagedata r:id="rId76" o:title=""/>
            </v:shape>
            <v:shape style="position:absolute;left:5851;top:2294;width:43;height:48" type="#_x0000_t75" stroked="false">
              <v:imagedata r:id="rId76" o:title=""/>
            </v:shape>
            <v:shape style="position:absolute;left:6235;top:2370;width:43;height:48" type="#_x0000_t75" stroked="false">
              <v:imagedata r:id="rId76" o:title=""/>
            </v:shape>
            <v:shape style="position:absolute;left:6619;top:2370;width:43;height:48" type="#_x0000_t75" stroked="false">
              <v:imagedata r:id="rId76" o:title=""/>
            </v:shape>
            <v:shape style="position:absolute;left:7003;top:2327;width:43;height:48" type="#_x0000_t75" stroked="false">
              <v:imagedata r:id="rId76" o:title=""/>
            </v:shape>
            <v:shape style="position:absolute;left:7382;top:2274;width:43;height:48" type="#_x0000_t75" stroked="false">
              <v:imagedata r:id="rId76" o:title=""/>
            </v:shape>
            <v:shape style="position:absolute;left:7766;top:2207;width:43;height:48" type="#_x0000_t75" stroked="false">
              <v:imagedata r:id="rId76" o:title=""/>
            </v:shape>
            <v:shape style="position:absolute;left:8150;top:2111;width:43;height:48" type="#_x0000_t75" stroked="false">
              <v:imagedata r:id="rId76" o:title=""/>
            </v:shape>
            <v:shape style="position:absolute;left:8525;top:2020;width:62;height:192" type="#_x0000_t75" stroked="false">
              <v:imagedata r:id="rId79" o:title=""/>
            </v:shape>
            <v:shape style="position:absolute;left:8904;top:2020;width:62;height:163" type="#_x0000_t75" stroked="false">
              <v:imagedata r:id="rId80" o:title=""/>
            </v:shape>
            <v:shape style="position:absolute;left:9297;top:2078;width:43;height:48" type="#_x0000_t75" stroked="false">
              <v:imagedata r:id="rId76" o:title=""/>
            </v:shape>
            <v:shape style="position:absolute;left:9681;top:2044;width:43;height:48" type="#_x0000_t75" stroked="false">
              <v:imagedata r:id="rId76" o:title=""/>
            </v:shape>
            <w10:wrap type="none"/>
          </v:group>
        </w:pict>
      </w:r>
      <w:r>
        <w:rPr/>
        <w:pict>
          <v:shape style="position:absolute;margin-left:88.210564pt;margin-top:138.937653pt;width:12pt;height:10.35pt;mso-position-horizontal-relative:page;mso-position-vertical-relative:paragraph;z-index:-335680" type="#_x0000_t202" filled="false" stroked="false">
            <v:textbox inset="0,0,0,0" style="layout-flow:vertical;mso-layout-flow-alt:bottom-to-top">
              <w:txbxContent>
                <w:p>
                  <w:pPr>
                    <w:pStyle w:val="BodyText"/>
                    <w:spacing w:line="224" w:lineRule="exact"/>
                    <w:ind w:left="20"/>
                  </w:pPr>
                  <w:r>
                    <w:rPr/>
                    <w:t>%</w:t>
                  </w:r>
                </w:p>
              </w:txbxContent>
            </v:textbox>
            <w10:wrap type="none"/>
          </v:shape>
        </w:pict>
      </w:r>
      <w:r>
        <w:rPr>
          <w:w w:val="105"/>
          <w:sz w:val="19"/>
        </w:rPr>
        <w:t>Gráfica 3. Estados Unidos. Inserción económica según rama de actividad de trabajadores latinos, 1995-2013</w:t>
      </w:r>
    </w:p>
    <w:tbl>
      <w:tblPr>
        <w:tblW w:w="0" w:type="auto"/>
        <w:jc w:val="left"/>
        <w:tblInd w:w="10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060"/>
        <w:gridCol w:w="587"/>
        <w:gridCol w:w="1263"/>
        <w:gridCol w:w="1150"/>
        <w:gridCol w:w="816"/>
        <w:gridCol w:w="1480"/>
        <w:gridCol w:w="1148"/>
        <w:gridCol w:w="555"/>
        <w:gridCol w:w="580"/>
      </w:tblGrid>
      <w:tr>
        <w:trPr>
          <w:trHeight w:val="414" w:hRule="exact"/>
        </w:trPr>
        <w:tc>
          <w:tcPr>
            <w:tcW w:w="1647" w:type="dxa"/>
            <w:gridSpan w:val="2"/>
            <w:tcBorders>
              <w:bottom w:val="nil"/>
              <w:right w:val="nil"/>
            </w:tcBorders>
          </w:tcPr>
          <w:p>
            <w:pPr>
              <w:pStyle w:val="TableParagraph"/>
              <w:spacing w:before="14"/>
              <w:ind w:left="472"/>
              <w:jc w:val="left"/>
              <w:rPr>
                <w:sz w:val="20"/>
              </w:rPr>
            </w:pPr>
            <w:r>
              <w:rPr>
                <w:sz w:val="20"/>
              </w:rPr>
              <w:t>30.0</w:t>
            </w:r>
          </w:p>
        </w:tc>
        <w:tc>
          <w:tcPr>
            <w:tcW w:w="3229" w:type="dxa"/>
            <w:gridSpan w:val="3"/>
            <w:tcBorders>
              <w:left w:val="nil"/>
              <w:bottom w:val="nil"/>
              <w:right w:val="nil"/>
            </w:tcBorders>
          </w:tcPr>
          <w:p>
            <w:pPr/>
          </w:p>
        </w:tc>
        <w:tc>
          <w:tcPr>
            <w:tcW w:w="3763" w:type="dxa"/>
            <w:gridSpan w:val="4"/>
            <w:tcBorders>
              <w:left w:val="nil"/>
              <w:bottom w:val="nil"/>
            </w:tcBorders>
          </w:tcPr>
          <w:p>
            <w:pPr/>
          </w:p>
        </w:tc>
      </w:tr>
      <w:tr>
        <w:trPr>
          <w:trHeight w:val="543" w:hRule="exact"/>
        </w:trPr>
        <w:tc>
          <w:tcPr>
            <w:tcW w:w="1647" w:type="dxa"/>
            <w:gridSpan w:val="2"/>
            <w:tcBorders>
              <w:top w:val="nil"/>
              <w:bottom w:val="nil"/>
              <w:right w:val="nil"/>
            </w:tcBorders>
          </w:tcPr>
          <w:p>
            <w:pPr>
              <w:pStyle w:val="TableParagraph"/>
              <w:spacing w:before="145"/>
              <w:ind w:left="472"/>
              <w:jc w:val="left"/>
              <w:rPr>
                <w:sz w:val="20"/>
              </w:rPr>
            </w:pPr>
            <w:r>
              <w:rPr>
                <w:sz w:val="20"/>
              </w:rPr>
              <w:t>25.0</w:t>
            </w:r>
          </w:p>
        </w:tc>
        <w:tc>
          <w:tcPr>
            <w:tcW w:w="3229" w:type="dxa"/>
            <w:gridSpan w:val="3"/>
            <w:tcBorders>
              <w:top w:val="nil"/>
              <w:left w:val="nil"/>
              <w:bottom w:val="nil"/>
              <w:right w:val="nil"/>
            </w:tcBorders>
          </w:tcPr>
          <w:p>
            <w:pPr/>
          </w:p>
        </w:tc>
        <w:tc>
          <w:tcPr>
            <w:tcW w:w="3763" w:type="dxa"/>
            <w:gridSpan w:val="4"/>
            <w:tcBorders>
              <w:top w:val="nil"/>
              <w:left w:val="nil"/>
              <w:bottom w:val="nil"/>
            </w:tcBorders>
          </w:tcPr>
          <w:p>
            <w:pPr/>
          </w:p>
        </w:tc>
      </w:tr>
      <w:tr>
        <w:trPr>
          <w:trHeight w:val="543" w:hRule="exact"/>
        </w:trPr>
        <w:tc>
          <w:tcPr>
            <w:tcW w:w="1647" w:type="dxa"/>
            <w:gridSpan w:val="2"/>
            <w:tcBorders>
              <w:top w:val="nil"/>
              <w:bottom w:val="nil"/>
              <w:right w:val="nil"/>
            </w:tcBorders>
          </w:tcPr>
          <w:p>
            <w:pPr>
              <w:pStyle w:val="TableParagraph"/>
              <w:spacing w:before="145"/>
              <w:ind w:left="472"/>
              <w:jc w:val="left"/>
              <w:rPr>
                <w:sz w:val="20"/>
              </w:rPr>
            </w:pPr>
            <w:r>
              <w:rPr>
                <w:sz w:val="20"/>
              </w:rPr>
              <w:t>20.0</w:t>
            </w:r>
          </w:p>
        </w:tc>
        <w:tc>
          <w:tcPr>
            <w:tcW w:w="3229" w:type="dxa"/>
            <w:gridSpan w:val="3"/>
            <w:tcBorders>
              <w:top w:val="nil"/>
              <w:left w:val="nil"/>
              <w:bottom w:val="nil"/>
              <w:right w:val="nil"/>
            </w:tcBorders>
          </w:tcPr>
          <w:p>
            <w:pPr/>
          </w:p>
        </w:tc>
        <w:tc>
          <w:tcPr>
            <w:tcW w:w="3763" w:type="dxa"/>
            <w:gridSpan w:val="4"/>
            <w:tcBorders>
              <w:top w:val="nil"/>
              <w:left w:val="nil"/>
              <w:bottom w:val="nil"/>
            </w:tcBorders>
          </w:tcPr>
          <w:p>
            <w:pPr/>
          </w:p>
        </w:tc>
      </w:tr>
      <w:tr>
        <w:trPr>
          <w:trHeight w:val="543" w:hRule="exact"/>
        </w:trPr>
        <w:tc>
          <w:tcPr>
            <w:tcW w:w="1647" w:type="dxa"/>
            <w:gridSpan w:val="2"/>
            <w:tcBorders>
              <w:top w:val="nil"/>
              <w:bottom w:val="nil"/>
              <w:right w:val="nil"/>
            </w:tcBorders>
          </w:tcPr>
          <w:p>
            <w:pPr>
              <w:pStyle w:val="TableParagraph"/>
              <w:spacing w:before="145"/>
              <w:ind w:left="472"/>
              <w:jc w:val="left"/>
              <w:rPr>
                <w:sz w:val="20"/>
              </w:rPr>
            </w:pPr>
            <w:r>
              <w:rPr>
                <w:sz w:val="20"/>
              </w:rPr>
              <w:t>15.0</w:t>
            </w:r>
          </w:p>
        </w:tc>
        <w:tc>
          <w:tcPr>
            <w:tcW w:w="3229" w:type="dxa"/>
            <w:gridSpan w:val="3"/>
            <w:tcBorders>
              <w:top w:val="nil"/>
              <w:left w:val="nil"/>
              <w:bottom w:val="nil"/>
              <w:right w:val="nil"/>
            </w:tcBorders>
          </w:tcPr>
          <w:p>
            <w:pPr/>
          </w:p>
        </w:tc>
        <w:tc>
          <w:tcPr>
            <w:tcW w:w="3763" w:type="dxa"/>
            <w:gridSpan w:val="4"/>
            <w:tcBorders>
              <w:top w:val="nil"/>
              <w:left w:val="nil"/>
              <w:bottom w:val="nil"/>
            </w:tcBorders>
          </w:tcPr>
          <w:p>
            <w:pPr/>
          </w:p>
        </w:tc>
      </w:tr>
      <w:tr>
        <w:trPr>
          <w:trHeight w:val="543" w:hRule="exact"/>
        </w:trPr>
        <w:tc>
          <w:tcPr>
            <w:tcW w:w="1647" w:type="dxa"/>
            <w:gridSpan w:val="2"/>
            <w:tcBorders>
              <w:top w:val="nil"/>
              <w:bottom w:val="nil"/>
              <w:right w:val="nil"/>
            </w:tcBorders>
          </w:tcPr>
          <w:p>
            <w:pPr>
              <w:pStyle w:val="TableParagraph"/>
              <w:tabs>
                <w:tab w:pos="1183" w:val="left" w:leader="none"/>
                <w:tab w:pos="1567" w:val="left" w:leader="none"/>
              </w:tabs>
              <w:spacing w:before="145"/>
              <w:ind w:left="472"/>
              <w:jc w:val="left"/>
              <w:rPr>
                <w:sz w:val="20"/>
              </w:rPr>
            </w:pPr>
            <w:r>
              <w:rPr>
                <w:sz w:val="20"/>
              </w:rPr>
              <w:t>10.0</w:t>
              <w:tab/>
            </w:r>
            <w:r>
              <w:rPr>
                <w:sz w:val="20"/>
                <w:u w:val="dotted"/>
              </w:rPr>
              <w:t> </w:t>
              <w:tab/>
            </w:r>
          </w:p>
        </w:tc>
        <w:tc>
          <w:tcPr>
            <w:tcW w:w="3229" w:type="dxa"/>
            <w:gridSpan w:val="3"/>
            <w:tcBorders>
              <w:top w:val="nil"/>
              <w:left w:val="nil"/>
              <w:bottom w:val="nil"/>
              <w:right w:val="nil"/>
            </w:tcBorders>
          </w:tcPr>
          <w:p>
            <w:pPr/>
          </w:p>
        </w:tc>
        <w:tc>
          <w:tcPr>
            <w:tcW w:w="3763" w:type="dxa"/>
            <w:gridSpan w:val="4"/>
            <w:tcBorders>
              <w:top w:val="nil"/>
              <w:left w:val="nil"/>
              <w:bottom w:val="nil"/>
            </w:tcBorders>
          </w:tcPr>
          <w:p>
            <w:pPr/>
          </w:p>
        </w:tc>
      </w:tr>
      <w:tr>
        <w:trPr>
          <w:trHeight w:val="543" w:hRule="exact"/>
        </w:trPr>
        <w:tc>
          <w:tcPr>
            <w:tcW w:w="1647" w:type="dxa"/>
            <w:gridSpan w:val="2"/>
            <w:tcBorders>
              <w:top w:val="nil"/>
              <w:bottom w:val="nil"/>
              <w:right w:val="nil"/>
            </w:tcBorders>
          </w:tcPr>
          <w:p>
            <w:pPr>
              <w:pStyle w:val="TableParagraph"/>
              <w:spacing w:before="145"/>
              <w:ind w:left="553" w:right="800"/>
              <w:jc w:val="center"/>
              <w:rPr>
                <w:sz w:val="20"/>
              </w:rPr>
            </w:pPr>
            <w:r>
              <w:rPr>
                <w:sz w:val="20"/>
              </w:rPr>
              <w:t>5.0</w:t>
            </w:r>
          </w:p>
        </w:tc>
        <w:tc>
          <w:tcPr>
            <w:tcW w:w="3229" w:type="dxa"/>
            <w:gridSpan w:val="3"/>
            <w:tcBorders>
              <w:top w:val="nil"/>
              <w:left w:val="nil"/>
              <w:bottom w:val="nil"/>
              <w:right w:val="nil"/>
            </w:tcBorders>
          </w:tcPr>
          <w:p>
            <w:pPr/>
          </w:p>
        </w:tc>
        <w:tc>
          <w:tcPr>
            <w:tcW w:w="3763" w:type="dxa"/>
            <w:gridSpan w:val="4"/>
            <w:tcBorders>
              <w:top w:val="nil"/>
              <w:left w:val="nil"/>
              <w:bottom w:val="nil"/>
            </w:tcBorders>
          </w:tcPr>
          <w:p>
            <w:pPr/>
          </w:p>
        </w:tc>
      </w:tr>
      <w:tr>
        <w:trPr>
          <w:trHeight w:val="390" w:hRule="exact"/>
        </w:trPr>
        <w:tc>
          <w:tcPr>
            <w:tcW w:w="1647" w:type="dxa"/>
            <w:gridSpan w:val="2"/>
            <w:tcBorders>
              <w:top w:val="nil"/>
              <w:bottom w:val="nil"/>
              <w:right w:val="nil"/>
            </w:tcBorders>
          </w:tcPr>
          <w:p>
            <w:pPr>
              <w:pStyle w:val="TableParagraph"/>
              <w:spacing w:before="145"/>
              <w:ind w:left="553" w:right="800"/>
              <w:jc w:val="center"/>
              <w:rPr>
                <w:sz w:val="20"/>
              </w:rPr>
            </w:pPr>
            <w:r>
              <w:rPr>
                <w:sz w:val="20"/>
              </w:rPr>
              <w:t>0.0</w:t>
            </w:r>
          </w:p>
        </w:tc>
        <w:tc>
          <w:tcPr>
            <w:tcW w:w="3229" w:type="dxa"/>
            <w:gridSpan w:val="3"/>
            <w:tcBorders>
              <w:top w:val="nil"/>
              <w:left w:val="nil"/>
              <w:bottom w:val="nil"/>
              <w:right w:val="nil"/>
            </w:tcBorders>
          </w:tcPr>
          <w:p>
            <w:pPr/>
          </w:p>
        </w:tc>
        <w:tc>
          <w:tcPr>
            <w:tcW w:w="3763" w:type="dxa"/>
            <w:gridSpan w:val="4"/>
            <w:tcBorders>
              <w:top w:val="nil"/>
              <w:left w:val="nil"/>
              <w:bottom w:val="nil"/>
            </w:tcBorders>
          </w:tcPr>
          <w:p>
            <w:pPr/>
          </w:p>
        </w:tc>
      </w:tr>
      <w:tr>
        <w:trPr>
          <w:trHeight w:val="257" w:hRule="exact"/>
        </w:trPr>
        <w:tc>
          <w:tcPr>
            <w:tcW w:w="1647" w:type="dxa"/>
            <w:gridSpan w:val="2"/>
            <w:tcBorders>
              <w:top w:val="nil"/>
              <w:bottom w:val="nil"/>
              <w:right w:val="nil"/>
            </w:tcBorders>
          </w:tcPr>
          <w:p>
            <w:pPr>
              <w:pStyle w:val="TableParagraph"/>
              <w:spacing w:line="223" w:lineRule="exact"/>
              <w:ind w:left="984"/>
              <w:jc w:val="left"/>
              <w:rPr>
                <w:sz w:val="20"/>
              </w:rPr>
            </w:pPr>
            <w:r>
              <w:rPr>
                <w:sz w:val="20"/>
              </w:rPr>
              <w:t>1995</w:t>
            </w:r>
          </w:p>
        </w:tc>
        <w:tc>
          <w:tcPr>
            <w:tcW w:w="1263" w:type="dxa"/>
            <w:tcBorders>
              <w:top w:val="nil"/>
              <w:left w:val="nil"/>
              <w:bottom w:val="nil"/>
              <w:right w:val="nil"/>
            </w:tcBorders>
          </w:tcPr>
          <w:p>
            <w:pPr>
              <w:pStyle w:val="TableParagraph"/>
              <w:spacing w:line="223" w:lineRule="exact"/>
              <w:ind w:left="487"/>
              <w:jc w:val="left"/>
              <w:rPr>
                <w:sz w:val="20"/>
              </w:rPr>
            </w:pPr>
            <w:r>
              <w:rPr>
                <w:sz w:val="20"/>
              </w:rPr>
              <w:t>1998</w:t>
            </w:r>
          </w:p>
        </w:tc>
        <w:tc>
          <w:tcPr>
            <w:tcW w:w="1150" w:type="dxa"/>
            <w:tcBorders>
              <w:top w:val="nil"/>
              <w:left w:val="nil"/>
              <w:bottom w:val="nil"/>
              <w:right w:val="nil"/>
            </w:tcBorders>
          </w:tcPr>
          <w:p>
            <w:pPr>
              <w:pStyle w:val="TableParagraph"/>
              <w:spacing w:line="223" w:lineRule="exact"/>
              <w:ind w:left="375"/>
              <w:jc w:val="left"/>
              <w:rPr>
                <w:sz w:val="20"/>
              </w:rPr>
            </w:pPr>
            <w:r>
              <w:rPr>
                <w:sz w:val="20"/>
              </w:rPr>
              <w:t>2001</w:t>
            </w:r>
          </w:p>
        </w:tc>
        <w:tc>
          <w:tcPr>
            <w:tcW w:w="816" w:type="dxa"/>
            <w:tcBorders>
              <w:top w:val="nil"/>
              <w:left w:val="nil"/>
              <w:bottom w:val="nil"/>
              <w:right w:val="nil"/>
            </w:tcBorders>
          </w:tcPr>
          <w:p>
            <w:pPr>
              <w:pStyle w:val="TableParagraph"/>
              <w:spacing w:line="223" w:lineRule="exact"/>
              <w:ind w:left="374"/>
              <w:jc w:val="left"/>
              <w:rPr>
                <w:sz w:val="20"/>
              </w:rPr>
            </w:pPr>
            <w:r>
              <w:rPr>
                <w:sz w:val="20"/>
              </w:rPr>
              <w:t>2004</w:t>
            </w:r>
          </w:p>
        </w:tc>
        <w:tc>
          <w:tcPr>
            <w:tcW w:w="1480" w:type="dxa"/>
            <w:tcBorders>
              <w:top w:val="nil"/>
              <w:left w:val="nil"/>
              <w:bottom w:val="nil"/>
              <w:right w:val="nil"/>
            </w:tcBorders>
          </w:tcPr>
          <w:p>
            <w:pPr>
              <w:pStyle w:val="TableParagraph"/>
              <w:spacing w:line="223" w:lineRule="exact"/>
              <w:ind w:left="706"/>
              <w:jc w:val="left"/>
              <w:rPr>
                <w:sz w:val="20"/>
              </w:rPr>
            </w:pPr>
            <w:r>
              <w:rPr>
                <w:sz w:val="20"/>
              </w:rPr>
              <w:t>2007</w:t>
            </w:r>
          </w:p>
        </w:tc>
        <w:tc>
          <w:tcPr>
            <w:tcW w:w="1148" w:type="dxa"/>
            <w:tcBorders>
              <w:top w:val="nil"/>
              <w:left w:val="nil"/>
              <w:bottom w:val="nil"/>
              <w:right w:val="nil"/>
            </w:tcBorders>
          </w:tcPr>
          <w:p>
            <w:pPr>
              <w:pStyle w:val="TableParagraph"/>
              <w:spacing w:line="223" w:lineRule="exact"/>
              <w:ind w:left="374"/>
              <w:jc w:val="left"/>
              <w:rPr>
                <w:sz w:val="20"/>
              </w:rPr>
            </w:pPr>
            <w:r>
              <w:rPr>
                <w:sz w:val="20"/>
              </w:rPr>
              <w:t>2010</w:t>
            </w:r>
          </w:p>
        </w:tc>
        <w:tc>
          <w:tcPr>
            <w:tcW w:w="1135" w:type="dxa"/>
            <w:gridSpan w:val="2"/>
            <w:tcBorders>
              <w:top w:val="nil"/>
              <w:left w:val="nil"/>
              <w:bottom w:val="nil"/>
            </w:tcBorders>
          </w:tcPr>
          <w:p>
            <w:pPr>
              <w:pStyle w:val="TableParagraph"/>
              <w:spacing w:line="223" w:lineRule="exact"/>
              <w:ind w:left="374"/>
              <w:jc w:val="left"/>
              <w:rPr>
                <w:sz w:val="20"/>
              </w:rPr>
            </w:pPr>
            <w:r>
              <w:rPr>
                <w:sz w:val="20"/>
              </w:rPr>
              <w:t>2013</w:t>
            </w:r>
          </w:p>
        </w:tc>
      </w:tr>
      <w:tr>
        <w:trPr>
          <w:trHeight w:val="293" w:hRule="exact"/>
        </w:trPr>
        <w:tc>
          <w:tcPr>
            <w:tcW w:w="1647" w:type="dxa"/>
            <w:gridSpan w:val="2"/>
            <w:tcBorders>
              <w:top w:val="nil"/>
              <w:bottom w:val="nil"/>
              <w:right w:val="nil"/>
            </w:tcBorders>
          </w:tcPr>
          <w:p>
            <w:pPr/>
          </w:p>
        </w:tc>
        <w:tc>
          <w:tcPr>
            <w:tcW w:w="3229" w:type="dxa"/>
            <w:gridSpan w:val="3"/>
            <w:tcBorders>
              <w:top w:val="nil"/>
              <w:left w:val="nil"/>
              <w:right w:val="nil"/>
            </w:tcBorders>
          </w:tcPr>
          <w:p>
            <w:pPr/>
          </w:p>
        </w:tc>
        <w:tc>
          <w:tcPr>
            <w:tcW w:w="3763" w:type="dxa"/>
            <w:gridSpan w:val="4"/>
            <w:tcBorders>
              <w:top w:val="nil"/>
              <w:left w:val="nil"/>
              <w:bottom w:val="nil"/>
            </w:tcBorders>
          </w:tcPr>
          <w:p>
            <w:pPr>
              <w:pStyle w:val="TableParagraph"/>
              <w:spacing w:before="11"/>
              <w:ind w:left="42"/>
              <w:jc w:val="left"/>
              <w:rPr>
                <w:sz w:val="20"/>
              </w:rPr>
            </w:pPr>
            <w:r>
              <w:rPr>
                <w:sz w:val="20"/>
              </w:rPr>
              <w:t>Años</w:t>
            </w:r>
          </w:p>
        </w:tc>
      </w:tr>
      <w:tr>
        <w:trPr>
          <w:trHeight w:val="924" w:hRule="exact"/>
        </w:trPr>
        <w:tc>
          <w:tcPr>
            <w:tcW w:w="1060" w:type="dxa"/>
            <w:tcBorders>
              <w:top w:val="nil"/>
            </w:tcBorders>
          </w:tcPr>
          <w:p>
            <w:pPr/>
          </w:p>
        </w:tc>
        <w:tc>
          <w:tcPr>
            <w:tcW w:w="587" w:type="dxa"/>
            <w:tcBorders>
              <w:right w:val="nil"/>
            </w:tcBorders>
          </w:tcPr>
          <w:p>
            <w:pPr/>
          </w:p>
        </w:tc>
        <w:tc>
          <w:tcPr>
            <w:tcW w:w="3229" w:type="dxa"/>
            <w:gridSpan w:val="3"/>
            <w:tcBorders>
              <w:left w:val="nil"/>
              <w:right w:val="nil"/>
            </w:tcBorders>
          </w:tcPr>
          <w:p>
            <w:pPr>
              <w:pStyle w:val="TableParagraph"/>
              <w:spacing w:before="15"/>
              <w:ind w:left="77" w:right="533"/>
              <w:jc w:val="left"/>
              <w:rPr>
                <w:sz w:val="20"/>
              </w:rPr>
            </w:pPr>
            <w:r>
              <w:rPr>
                <w:sz w:val="20"/>
              </w:rPr>
              <w:t>Agricultura, selvicultura y pesca Manufactura</w:t>
            </w:r>
          </w:p>
          <w:p>
            <w:pPr>
              <w:pStyle w:val="TableParagraph"/>
              <w:spacing w:before="1"/>
              <w:ind w:left="77" w:right="313" w:firstLine="20"/>
              <w:jc w:val="left"/>
              <w:rPr>
                <w:sz w:val="20"/>
              </w:rPr>
            </w:pPr>
            <w:r>
              <w:rPr>
                <w:sz w:val="20"/>
              </w:rPr>
              <w:t>Negocios y servicios de reparación Servicios profesionales varios</w:t>
            </w:r>
          </w:p>
        </w:tc>
        <w:tc>
          <w:tcPr>
            <w:tcW w:w="3183" w:type="dxa"/>
            <w:gridSpan w:val="3"/>
            <w:tcBorders>
              <w:left w:val="nil"/>
            </w:tcBorders>
          </w:tcPr>
          <w:p>
            <w:pPr>
              <w:pStyle w:val="TableParagraph"/>
              <w:spacing w:before="15"/>
              <w:ind w:left="348" w:right="146"/>
              <w:jc w:val="left"/>
              <w:rPr>
                <w:sz w:val="20"/>
              </w:rPr>
            </w:pPr>
            <w:r>
              <w:rPr>
                <w:sz w:val="20"/>
              </w:rPr>
              <w:t>Construcción</w:t>
            </w:r>
          </w:p>
          <w:p>
            <w:pPr>
              <w:pStyle w:val="TableParagraph"/>
              <w:spacing w:before="1"/>
              <w:ind w:left="348" w:right="146"/>
              <w:jc w:val="left"/>
              <w:rPr>
                <w:sz w:val="20"/>
              </w:rPr>
            </w:pPr>
            <w:r>
              <w:rPr>
                <w:sz w:val="20"/>
              </w:rPr>
              <w:t>Comercio al mayoreo y menudeo Servicios personales</w:t>
            </w:r>
          </w:p>
        </w:tc>
        <w:tc>
          <w:tcPr>
            <w:tcW w:w="580" w:type="dxa"/>
            <w:tcBorders>
              <w:top w:val="nil"/>
            </w:tcBorders>
          </w:tcPr>
          <w:p>
            <w:pPr/>
          </w:p>
        </w:tc>
      </w:tr>
    </w:tbl>
    <w:p>
      <w:pPr>
        <w:spacing w:before="45"/>
        <w:ind w:left="102" w:right="0" w:firstLine="0"/>
        <w:jc w:val="left"/>
        <w:rPr>
          <w:sz w:val="16"/>
        </w:rPr>
      </w:pPr>
      <w:r>
        <w:rPr/>
        <w:pict>
          <v:group style="position:absolute;margin-left:139.476898pt;margin-top:-41.987148pt;width:25.45pt;height:2.85pt;mso-position-horizontal-relative:page;mso-position-vertical-relative:paragraph;z-index:-335872" coordorigin="2790,-840" coordsize="509,57">
            <v:line style="position:absolute" from="2792,-811" to="3296,-811" stroked="true" strokeweight=".249pt" strokecolor="#000000"/>
            <v:shape style="position:absolute;left:3026;top:-832;width:39;height:42" coordorigin="3026,-832" coordsize="39,42" path="m3064,-813l3045,-832,3026,-813,3045,-791,3064,-813xe" filled="true" fillcolor="#000000" stroked="false">
              <v:path arrowok="t"/>
              <v:fill type="solid"/>
            </v:shape>
            <v:shape style="position:absolute;left:3026;top:-832;width:39;height:42" coordorigin="3026,-832" coordsize="39,42" path="m3045,-832l3064,-813,3045,-791,3026,-813,3045,-832xe" filled="false" stroked="true" strokeweight=".75pt" strokecolor="#000000">
              <v:path arrowok="t"/>
            </v:shape>
            <w10:wrap type="none"/>
          </v:group>
        </w:pict>
      </w:r>
      <w:r>
        <w:rPr/>
        <w:pict>
          <v:group style="position:absolute;margin-left:314.476898pt;margin-top:-41.03215pt;width:25.45pt;height:1pt;mso-position-horizontal-relative:page;mso-position-vertical-relative:paragraph;z-index:-335848" coordorigin="6290,-821" coordsize="509,20">
            <v:line style="position:absolute" from="6292,-811" to="6796,-811" stroked="true" strokeweight=".249pt" strokecolor="#000000">
              <v:stroke dashstyle="dash"/>
            </v:line>
            <v:line style="position:absolute" from="6544,-811" to="6563,-811" stroked="true" strokeweight=".24pt" strokecolor="#000000"/>
            <v:line style="position:absolute" from="6537,-811" to="6571,-811" stroked="true" strokeweight=".99pt" strokecolor="#000000"/>
            <w10:wrap type="none"/>
          </v:group>
        </w:pict>
      </w:r>
      <w:r>
        <w:rPr/>
        <w:pict>
          <v:group style="position:absolute;margin-left:138.601898pt;margin-top:-30.001848pt;width:27.2pt;height:2pt;mso-position-horizontal-relative:page;mso-position-vertical-relative:paragraph;z-index:-335824" coordorigin="2772,-600" coordsize="544,40">
            <v:line style="position:absolute" from="2792,-580" to="3296,-580" stroked="true" strokeweight="1.991pt" strokecolor="#000000"/>
            <v:line style="position:absolute" from="3026,-580" to="3064,-580" stroked="true" strokeweight=".24pt" strokecolor="#000000"/>
            <v:line style="position:absolute" from="3018,-580" to="3072,-580" stroked="true" strokeweight=".99pt" strokecolor="#000000"/>
            <w10:wrap type="none"/>
          </v:group>
        </w:pict>
      </w:r>
      <w:r>
        <w:rPr/>
        <w:pict>
          <v:group style="position:absolute;margin-left:314.476898pt;margin-top:-29.512148pt;width:25.45pt;height:1pt;mso-position-horizontal-relative:page;mso-position-vertical-relative:paragraph;z-index:-335800" coordorigin="6290,-590" coordsize="509,20">
            <v:line style="position:absolute" from="6292,-580" to="6796,-580" stroked="true" strokeweight=".249pt" strokecolor="#000000">
              <v:stroke dashstyle="dash"/>
            </v:line>
            <v:line style="position:absolute" from="6544,-580" to="6563,-580" stroked="true" strokeweight=".24pt" strokecolor="#000000"/>
            <v:line style="position:absolute" from="6537,-580" to="6571,-580" stroked="true" strokeweight=".99pt" strokecolor="#000000"/>
            <w10:wrap type="none"/>
          </v:group>
        </w:pict>
      </w:r>
      <w:r>
        <w:rPr/>
        <w:pict>
          <v:group style="position:absolute;margin-left:139.476898pt;margin-top:-18.947048pt;width:25.45pt;height:2.9pt;mso-position-horizontal-relative:page;mso-position-vertical-relative:paragraph;z-index:-335776" coordorigin="2790,-379" coordsize="509,58">
            <v:line style="position:absolute" from="2792,-349" to="3296,-349" stroked="true" strokeweight=".249pt" strokecolor="#000000"/>
            <v:shape style="position:absolute;left:-42;top:1354;width:43;height:39" coordorigin="-42,1354" coordsize="43,39" path="m3064,-329l3026,-371m3045,-371l3045,-329m3026,-329l3064,-371e" filled="false" stroked="true" strokeweight=".75pt" strokecolor="#000000">
              <v:path arrowok="t"/>
            </v:shape>
            <w10:wrap type="none"/>
          </v:group>
        </w:pict>
      </w:r>
      <w:r>
        <w:rPr/>
        <w:pict>
          <v:group style="position:absolute;margin-left:314.476898pt;margin-top:-18.947149pt;width:25.45pt;height:2.9pt;mso-position-horizontal-relative:page;mso-position-vertical-relative:paragraph;z-index:-335752" coordorigin="6290,-379" coordsize="509,58">
            <v:line style="position:absolute" from="6292,-349" to="6796,-349" stroked="true" strokeweight=".249pt" strokecolor="#000000"/>
            <v:line style="position:absolute" from="6525,-350" to="6563,-350" stroked="true" strokeweight="2.114pt" strokecolor="#000000"/>
            <v:rect style="position:absolute;left:6525;top:-371;width:38;height:42" filled="false" stroked="true" strokeweight=".75pt" strokecolor="#000000"/>
            <w10:wrap type="none"/>
          </v:group>
        </w:pict>
      </w:r>
      <w:r>
        <w:rPr/>
        <w:pict>
          <v:group style="position:absolute;margin-left:139.476898pt;margin-top:-7.187048pt;width:25.45pt;height:2.65pt;mso-position-horizontal-relative:page;mso-position-vertical-relative:paragraph;z-index:-335728" coordorigin="2790,-144" coordsize="509,53">
            <v:line style="position:absolute" from="2792,-118" to="3296,-118" stroked="true" strokeweight=".249pt" strokecolor="#000000">
              <v:stroke dashstyle="dash"/>
            </v:line>
            <v:shape style="position:absolute;left:0;top:1335;width:38;height:39" coordorigin="0,1335" coordsize="38,39" path="m3045,-136l3045,-98m3026,-117l3064,-117e" filled="false" stroked="true" strokeweight=".75pt" strokecolor="#000000">
              <v:path arrowok="t"/>
            </v:shape>
            <w10:wrap type="none"/>
          </v:group>
        </w:pict>
      </w:r>
      <w:r>
        <w:rPr>
          <w:sz w:val="16"/>
        </w:rPr>
        <w:t>Fuente: elaboración propia con base en datos de Current Population Survey (CPS), IPUMS, 1995-2013.</w:t>
      </w:r>
    </w:p>
    <w:p>
      <w:pPr>
        <w:spacing w:after="0"/>
        <w:jc w:val="left"/>
        <w:rPr>
          <w:sz w:val="16"/>
        </w:rPr>
        <w:sectPr>
          <w:footerReference w:type="default" r:id="rId60"/>
          <w:pgSz w:w="11740" w:h="7770" w:orient="landscape"/>
          <w:pgMar w:footer="0" w:header="0" w:top="0" w:bottom="280" w:left="1520" w:right="1340"/>
        </w:sectPr>
      </w:pPr>
    </w:p>
    <w:p>
      <w:pPr>
        <w:pStyle w:val="BodyText"/>
        <w:spacing w:line="249" w:lineRule="auto" w:before="60"/>
        <w:ind w:left="110" w:right="111" w:firstLine="283"/>
        <w:jc w:val="both"/>
      </w:pPr>
      <w:r>
        <w:rPr/>
        <w:t>La informalización del trabajo es un hecho en Estados Unidos, aun- que en cierto modo, la precarización se da más a partir de la flexibili- zación del trabajo asalariado privado. El trabajo independiente tiene un peso relativamente bajo en la estructura del mercado laboral. No</w:t>
      </w:r>
      <w:r>
        <w:rPr>
          <w:spacing w:val="-17"/>
        </w:rPr>
        <w:t> </w:t>
      </w:r>
      <w:r>
        <w:rPr/>
        <w:t>obstan- te, la informalidad afecta tanto a nativos como a inmigrantes, pero par- ticularmente se conforma por migrantes indocumentados. La expansión del trabajo informal está vinculada con el incremento de la migración ilegal</w:t>
      </w:r>
      <w:r>
        <w:rPr>
          <w:spacing w:val="-4"/>
        </w:rPr>
        <w:t> </w:t>
      </w:r>
      <w:r>
        <w:rPr/>
        <w:t>de</w:t>
      </w:r>
      <w:r>
        <w:rPr>
          <w:spacing w:val="-4"/>
        </w:rPr>
        <w:t> </w:t>
      </w:r>
      <w:r>
        <w:rPr/>
        <w:t>trabajadores</w:t>
      </w:r>
      <w:r>
        <w:rPr>
          <w:spacing w:val="-4"/>
        </w:rPr>
        <w:t> </w:t>
      </w:r>
      <w:r>
        <w:rPr/>
        <w:t>latinos</w:t>
      </w:r>
      <w:r>
        <w:rPr>
          <w:spacing w:val="-4"/>
        </w:rPr>
        <w:t> </w:t>
      </w:r>
      <w:r>
        <w:rPr/>
        <w:t>desplazados</w:t>
      </w:r>
      <w:r>
        <w:rPr>
          <w:spacing w:val="-4"/>
        </w:rPr>
        <w:t> </w:t>
      </w:r>
      <w:r>
        <w:rPr/>
        <w:t>del</w:t>
      </w:r>
      <w:r>
        <w:rPr>
          <w:spacing w:val="-4"/>
        </w:rPr>
        <w:t> </w:t>
      </w:r>
      <w:r>
        <w:rPr/>
        <w:t>mercado</w:t>
      </w:r>
      <w:r>
        <w:rPr>
          <w:spacing w:val="-4"/>
        </w:rPr>
        <w:t> </w:t>
      </w:r>
      <w:r>
        <w:rPr/>
        <w:t>laboral</w:t>
      </w:r>
      <w:r>
        <w:rPr>
          <w:spacing w:val="-4"/>
        </w:rPr>
        <w:t> </w:t>
      </w:r>
      <w:r>
        <w:rPr/>
        <w:t>de</w:t>
      </w:r>
      <w:r>
        <w:rPr>
          <w:spacing w:val="-15"/>
        </w:rPr>
        <w:t> </w:t>
      </w:r>
      <w:r>
        <w:rPr/>
        <w:t>Améri- ca</w:t>
      </w:r>
      <w:r>
        <w:rPr>
          <w:spacing w:val="-9"/>
        </w:rPr>
        <w:t> </w:t>
      </w:r>
      <w:r>
        <w:rPr/>
        <w:t>Latina,</w:t>
      </w:r>
      <w:r>
        <w:rPr>
          <w:spacing w:val="-9"/>
        </w:rPr>
        <w:t> </w:t>
      </w:r>
      <w:r>
        <w:rPr/>
        <w:t>especialmente</w:t>
      </w:r>
      <w:r>
        <w:rPr>
          <w:spacing w:val="-14"/>
        </w:rPr>
        <w:t> </w:t>
      </w:r>
      <w:r>
        <w:rPr/>
        <w:t>de</w:t>
      </w:r>
      <w:r>
        <w:rPr>
          <w:spacing w:val="-13"/>
        </w:rPr>
        <w:t> </w:t>
      </w:r>
      <w:r>
        <w:rPr>
          <w:spacing w:val="-3"/>
        </w:rPr>
        <w:t>México</w:t>
      </w:r>
      <w:r>
        <w:rPr>
          <w:spacing w:val="-13"/>
        </w:rPr>
        <w:t> </w:t>
      </w:r>
      <w:r>
        <w:rPr/>
        <w:t>y</w:t>
      </w:r>
      <w:r>
        <w:rPr>
          <w:spacing w:val="-13"/>
        </w:rPr>
        <w:t> </w:t>
      </w:r>
      <w:r>
        <w:rPr/>
        <w:t>Centroamérica.</w:t>
      </w:r>
    </w:p>
    <w:p>
      <w:pPr>
        <w:pStyle w:val="BodyText"/>
        <w:spacing w:line="249" w:lineRule="auto" w:before="1"/>
        <w:ind w:left="110" w:right="110" w:firstLine="283"/>
        <w:jc w:val="both"/>
      </w:pPr>
      <w:r>
        <w:rPr/>
        <w:t>Los latinos, por razones diversas, incluso de carácter discriminato- rio, no suelen ser asimilados e integrados al mercado laboral como otros grupos inmigrantes. En particular, enfrentan una fuerte discriminación por su origen en el mercado laboral, que no sólo incide en la modalidad de los puestos a los que acceden, en cuanto a su calidad, tipo de contra- taciones y estabilidad en el empleo, sino particularmente en los niveles diferenciales de ingresos.</w:t>
      </w:r>
    </w:p>
    <w:p>
      <w:pPr>
        <w:pStyle w:val="BodyText"/>
        <w:spacing w:line="249" w:lineRule="auto" w:before="1"/>
        <w:ind w:left="110" w:right="111" w:firstLine="283"/>
        <w:jc w:val="both"/>
        <w:rPr>
          <w:sz w:val="11"/>
        </w:rPr>
      </w:pPr>
      <w:r>
        <w:rPr/>
        <w:t>La</w:t>
      </w:r>
      <w:r>
        <w:rPr>
          <w:spacing w:val="-6"/>
        </w:rPr>
        <w:t> </w:t>
      </w:r>
      <w:r>
        <w:rPr/>
        <w:t>crisis</w:t>
      </w:r>
      <w:r>
        <w:rPr>
          <w:spacing w:val="-6"/>
        </w:rPr>
        <w:t> </w:t>
      </w:r>
      <w:r>
        <w:rPr/>
        <w:t>acentuó</w:t>
      </w:r>
      <w:r>
        <w:rPr>
          <w:spacing w:val="-6"/>
        </w:rPr>
        <w:t> </w:t>
      </w:r>
      <w:r>
        <w:rPr/>
        <w:t>y</w:t>
      </w:r>
      <w:r>
        <w:rPr>
          <w:spacing w:val="-6"/>
        </w:rPr>
        <w:t> </w:t>
      </w:r>
      <w:r>
        <w:rPr/>
        <w:t>puso</w:t>
      </w:r>
      <w:r>
        <w:rPr>
          <w:spacing w:val="-6"/>
        </w:rPr>
        <w:t> </w:t>
      </w:r>
      <w:r>
        <w:rPr/>
        <w:t>en</w:t>
      </w:r>
      <w:r>
        <w:rPr>
          <w:spacing w:val="-6"/>
        </w:rPr>
        <w:t> </w:t>
      </w:r>
      <w:r>
        <w:rPr/>
        <w:t>mayor</w:t>
      </w:r>
      <w:r>
        <w:rPr>
          <w:spacing w:val="-6"/>
        </w:rPr>
        <w:t> </w:t>
      </w:r>
      <w:r>
        <w:rPr/>
        <w:t>evidencia</w:t>
      </w:r>
      <w:r>
        <w:rPr>
          <w:spacing w:val="-6"/>
        </w:rPr>
        <w:t> </w:t>
      </w:r>
      <w:r>
        <w:rPr/>
        <w:t>dicha</w:t>
      </w:r>
      <w:r>
        <w:rPr>
          <w:spacing w:val="-6"/>
        </w:rPr>
        <w:t> </w:t>
      </w:r>
      <w:r>
        <w:rPr/>
        <w:t>situación</w:t>
      </w:r>
      <w:r>
        <w:rPr>
          <w:spacing w:val="-5"/>
        </w:rPr>
        <w:t> </w:t>
      </w:r>
      <w:r>
        <w:rPr/>
        <w:t>desfavo- rable</w:t>
      </w:r>
      <w:r>
        <w:rPr>
          <w:spacing w:val="-7"/>
        </w:rPr>
        <w:t> </w:t>
      </w:r>
      <w:r>
        <w:rPr/>
        <w:t>para</w:t>
      </w:r>
      <w:r>
        <w:rPr>
          <w:spacing w:val="-7"/>
        </w:rPr>
        <w:t> </w:t>
      </w:r>
      <w:r>
        <w:rPr/>
        <w:t>los</w:t>
      </w:r>
      <w:r>
        <w:rPr>
          <w:spacing w:val="-7"/>
        </w:rPr>
        <w:t> </w:t>
      </w:r>
      <w:r>
        <w:rPr/>
        <w:t>inmigrantes,</w:t>
      </w:r>
      <w:r>
        <w:rPr>
          <w:spacing w:val="-8"/>
        </w:rPr>
        <w:t> </w:t>
      </w:r>
      <w:r>
        <w:rPr/>
        <w:t>dada</w:t>
      </w:r>
      <w:r>
        <w:rPr>
          <w:spacing w:val="-7"/>
        </w:rPr>
        <w:t> </w:t>
      </w:r>
      <w:r>
        <w:rPr/>
        <w:t>la</w:t>
      </w:r>
      <w:r>
        <w:rPr>
          <w:spacing w:val="-7"/>
        </w:rPr>
        <w:t> </w:t>
      </w:r>
      <w:r>
        <w:rPr/>
        <w:t>vulnerabilidad</w:t>
      </w:r>
      <w:r>
        <w:rPr>
          <w:spacing w:val="-7"/>
        </w:rPr>
        <w:t> </w:t>
      </w:r>
      <w:r>
        <w:rPr/>
        <w:t>y</w:t>
      </w:r>
      <w:r>
        <w:rPr>
          <w:spacing w:val="-7"/>
        </w:rPr>
        <w:t> </w:t>
      </w:r>
      <w:r>
        <w:rPr/>
        <w:t>el</w:t>
      </w:r>
      <w:r>
        <w:rPr>
          <w:spacing w:val="-7"/>
        </w:rPr>
        <w:t> </w:t>
      </w:r>
      <w:r>
        <w:rPr/>
        <w:t>entorno</w:t>
      </w:r>
      <w:r>
        <w:rPr>
          <w:spacing w:val="-7"/>
        </w:rPr>
        <w:t> </w:t>
      </w:r>
      <w:r>
        <w:rPr/>
        <w:t>de</w:t>
      </w:r>
      <w:r>
        <w:rPr>
          <w:spacing w:val="-7"/>
        </w:rPr>
        <w:t> </w:t>
      </w:r>
      <w:r>
        <w:rPr/>
        <w:t>compe- tencia</w:t>
      </w:r>
      <w:r>
        <w:rPr>
          <w:spacing w:val="-6"/>
        </w:rPr>
        <w:t> </w:t>
      </w:r>
      <w:r>
        <w:rPr/>
        <w:t>en</w:t>
      </w:r>
      <w:r>
        <w:rPr>
          <w:spacing w:val="-6"/>
        </w:rPr>
        <w:t> </w:t>
      </w:r>
      <w:r>
        <w:rPr/>
        <w:t>el</w:t>
      </w:r>
      <w:r>
        <w:rPr>
          <w:spacing w:val="-6"/>
        </w:rPr>
        <w:t> </w:t>
      </w:r>
      <w:r>
        <w:rPr/>
        <w:t>mercado</w:t>
      </w:r>
      <w:r>
        <w:rPr>
          <w:spacing w:val="-6"/>
        </w:rPr>
        <w:t> </w:t>
      </w:r>
      <w:r>
        <w:rPr/>
        <w:t>de</w:t>
      </w:r>
      <w:r>
        <w:rPr>
          <w:spacing w:val="-6"/>
        </w:rPr>
        <w:t> </w:t>
      </w:r>
      <w:r>
        <w:rPr/>
        <w:t>trabajo.</w:t>
      </w:r>
      <w:r>
        <w:rPr>
          <w:spacing w:val="-6"/>
        </w:rPr>
        <w:t> </w:t>
      </w:r>
      <w:r>
        <w:rPr/>
        <w:t>Coincidentemente</w:t>
      </w:r>
      <w:r>
        <w:rPr>
          <w:spacing w:val="-6"/>
        </w:rPr>
        <w:t> </w:t>
      </w:r>
      <w:r>
        <w:rPr/>
        <w:t>con</w:t>
      </w:r>
      <w:r>
        <w:rPr>
          <w:spacing w:val="-6"/>
        </w:rPr>
        <w:t> </w:t>
      </w:r>
      <w:r>
        <w:rPr/>
        <w:t>el</w:t>
      </w:r>
      <w:r>
        <w:rPr>
          <w:spacing w:val="-6"/>
        </w:rPr>
        <w:t> </w:t>
      </w:r>
      <w:r>
        <w:rPr/>
        <w:t>incremento</w:t>
      </w:r>
      <w:r>
        <w:rPr>
          <w:spacing w:val="-6"/>
        </w:rPr>
        <w:t> </w:t>
      </w:r>
      <w:r>
        <w:rPr/>
        <w:t>del empleo</w:t>
      </w:r>
      <w:r>
        <w:rPr>
          <w:spacing w:val="-7"/>
        </w:rPr>
        <w:t> </w:t>
      </w:r>
      <w:r>
        <w:rPr/>
        <w:t>de</w:t>
      </w:r>
      <w:r>
        <w:rPr>
          <w:spacing w:val="-7"/>
        </w:rPr>
        <w:t> </w:t>
      </w:r>
      <w:r>
        <w:rPr/>
        <w:t>mala</w:t>
      </w:r>
      <w:r>
        <w:rPr>
          <w:spacing w:val="-7"/>
        </w:rPr>
        <w:t> </w:t>
      </w:r>
      <w:r>
        <w:rPr/>
        <w:t>calidad</w:t>
      </w:r>
      <w:r>
        <w:rPr>
          <w:spacing w:val="-7"/>
        </w:rPr>
        <w:t> </w:t>
      </w:r>
      <w:r>
        <w:rPr/>
        <w:t>y</w:t>
      </w:r>
      <w:r>
        <w:rPr>
          <w:spacing w:val="-7"/>
        </w:rPr>
        <w:t> </w:t>
      </w:r>
      <w:r>
        <w:rPr/>
        <w:t>bajos</w:t>
      </w:r>
      <w:r>
        <w:rPr>
          <w:spacing w:val="-7"/>
        </w:rPr>
        <w:t> </w:t>
      </w:r>
      <w:r>
        <w:rPr/>
        <w:t>ingresos,</w:t>
      </w:r>
      <w:r>
        <w:rPr>
          <w:spacing w:val="-7"/>
        </w:rPr>
        <w:t> </w:t>
      </w:r>
      <w:r>
        <w:rPr/>
        <w:t>existe</w:t>
      </w:r>
      <w:r>
        <w:rPr>
          <w:spacing w:val="-7"/>
        </w:rPr>
        <w:t> </w:t>
      </w:r>
      <w:r>
        <w:rPr/>
        <w:t>un</w:t>
      </w:r>
      <w:r>
        <w:rPr>
          <w:spacing w:val="-7"/>
        </w:rPr>
        <w:t> </w:t>
      </w:r>
      <w:r>
        <w:rPr/>
        <w:t>sector</w:t>
      </w:r>
      <w:r>
        <w:rPr>
          <w:spacing w:val="-6"/>
        </w:rPr>
        <w:t> </w:t>
      </w:r>
      <w:r>
        <w:rPr/>
        <w:t>de</w:t>
      </w:r>
      <w:r>
        <w:rPr>
          <w:spacing w:val="-7"/>
        </w:rPr>
        <w:t> </w:t>
      </w:r>
      <w:r>
        <w:rPr/>
        <w:t>trabajadores de</w:t>
      </w:r>
      <w:r>
        <w:rPr>
          <w:spacing w:val="-12"/>
        </w:rPr>
        <w:t> </w:t>
      </w:r>
      <w:r>
        <w:rPr/>
        <w:t>“cuello</w:t>
      </w:r>
      <w:r>
        <w:rPr>
          <w:spacing w:val="-12"/>
        </w:rPr>
        <w:t> </w:t>
      </w:r>
      <w:r>
        <w:rPr/>
        <w:t>blanco”,</w:t>
      </w:r>
      <w:r>
        <w:rPr>
          <w:spacing w:val="-12"/>
        </w:rPr>
        <w:t> </w:t>
      </w:r>
      <w:r>
        <w:rPr/>
        <w:t>altamente</w:t>
      </w:r>
      <w:r>
        <w:rPr>
          <w:spacing w:val="-12"/>
        </w:rPr>
        <w:t> </w:t>
      </w:r>
      <w:r>
        <w:rPr/>
        <w:t>calificado,</w:t>
      </w:r>
      <w:r>
        <w:rPr>
          <w:spacing w:val="-12"/>
        </w:rPr>
        <w:t> </w:t>
      </w:r>
      <w:r>
        <w:rPr/>
        <w:t>conformado</w:t>
      </w:r>
      <w:r>
        <w:rPr>
          <w:spacing w:val="-12"/>
        </w:rPr>
        <w:t> </w:t>
      </w:r>
      <w:r>
        <w:rPr/>
        <w:t>por</w:t>
      </w:r>
      <w:r>
        <w:rPr>
          <w:spacing w:val="-12"/>
        </w:rPr>
        <w:t> </w:t>
      </w:r>
      <w:r>
        <w:rPr/>
        <w:t>burócratas,</w:t>
      </w:r>
      <w:r>
        <w:rPr>
          <w:spacing w:val="-12"/>
        </w:rPr>
        <w:t> </w:t>
      </w:r>
      <w:r>
        <w:rPr/>
        <w:t>eje- cutivos y gerentes de empresas, con altas</w:t>
      </w:r>
      <w:r>
        <w:rPr>
          <w:spacing w:val="-2"/>
        </w:rPr>
        <w:t> </w:t>
      </w:r>
      <w:r>
        <w:rPr/>
        <w:t>remuneraciones.</w:t>
      </w:r>
      <w:r>
        <w:rPr>
          <w:position w:val="7"/>
          <w:sz w:val="11"/>
        </w:rPr>
        <w:t>4</w:t>
      </w:r>
    </w:p>
    <w:p>
      <w:pPr>
        <w:pStyle w:val="BodyText"/>
        <w:spacing w:line="249" w:lineRule="auto" w:before="1"/>
        <w:ind w:left="110" w:right="111" w:firstLine="283"/>
        <w:jc w:val="both"/>
      </w:pPr>
      <w:r>
        <w:rPr/>
        <w:t>El deterioro de los ingresos ha sido notable a partir de la adopción del modelo económico neoliberal. Con posterioridad a la Segunda Gue- rra Mundial, durante la fase de predominio del Estado de bienestar, por lo menos hasta finales de la década de 1970, “los ingresos de todas las categorías</w:t>
      </w:r>
      <w:r>
        <w:rPr>
          <w:spacing w:val="-5"/>
        </w:rPr>
        <w:t> </w:t>
      </w:r>
      <w:r>
        <w:rPr/>
        <w:t>de</w:t>
      </w:r>
      <w:r>
        <w:rPr>
          <w:spacing w:val="-5"/>
        </w:rPr>
        <w:t> </w:t>
      </w:r>
      <w:r>
        <w:rPr/>
        <w:t>la</w:t>
      </w:r>
      <w:r>
        <w:rPr>
          <w:spacing w:val="-5"/>
        </w:rPr>
        <w:t> </w:t>
      </w:r>
      <w:r>
        <w:rPr/>
        <w:t>población</w:t>
      </w:r>
      <w:r>
        <w:rPr>
          <w:spacing w:val="-5"/>
        </w:rPr>
        <w:t> </w:t>
      </w:r>
      <w:r>
        <w:rPr/>
        <w:t>crecieron</w:t>
      </w:r>
      <w:r>
        <w:rPr>
          <w:spacing w:val="-5"/>
        </w:rPr>
        <w:t> </w:t>
      </w:r>
      <w:r>
        <w:rPr/>
        <w:t>de</w:t>
      </w:r>
      <w:r>
        <w:rPr>
          <w:spacing w:val="-5"/>
        </w:rPr>
        <w:t> </w:t>
      </w:r>
      <w:r>
        <w:rPr/>
        <w:t>manera</w:t>
      </w:r>
      <w:r>
        <w:rPr>
          <w:spacing w:val="-5"/>
        </w:rPr>
        <w:t> </w:t>
      </w:r>
      <w:r>
        <w:rPr/>
        <w:t>uniforme”,</w:t>
      </w:r>
      <w:r>
        <w:rPr>
          <w:spacing w:val="-5"/>
        </w:rPr>
        <w:t> </w:t>
      </w:r>
      <w:r>
        <w:rPr/>
        <w:t>por</w:t>
      </w:r>
      <w:r>
        <w:rPr>
          <w:spacing w:val="-5"/>
        </w:rPr>
        <w:t> </w:t>
      </w:r>
      <w:r>
        <w:rPr/>
        <w:t>lo</w:t>
      </w:r>
      <w:r>
        <w:rPr>
          <w:spacing w:val="-5"/>
        </w:rPr>
        <w:t> </w:t>
      </w:r>
      <w:r>
        <w:rPr/>
        <w:t>que</w:t>
      </w:r>
      <w:r>
        <w:rPr>
          <w:spacing w:val="-5"/>
        </w:rPr>
        <w:t> </w:t>
      </w:r>
      <w:r>
        <w:rPr/>
        <w:t>los niveles de desigualdad social alcanzados colocan al país en un entorno similar al de la Gran Depresión (</w:t>
      </w:r>
      <w:r>
        <w:rPr>
          <w:i/>
        </w:rPr>
        <w:t>LibreRed</w:t>
      </w:r>
      <w:r>
        <w:rPr/>
        <w:t>). Los salarios reales no sólo se</w:t>
      </w:r>
      <w:r>
        <w:rPr>
          <w:spacing w:val="-5"/>
        </w:rPr>
        <w:t> </w:t>
      </w:r>
      <w:r>
        <w:rPr/>
        <w:t>han</w:t>
      </w:r>
      <w:r>
        <w:rPr>
          <w:spacing w:val="-5"/>
        </w:rPr>
        <w:t> </w:t>
      </w:r>
      <w:r>
        <w:rPr/>
        <w:t>estancado,</w:t>
      </w:r>
      <w:r>
        <w:rPr>
          <w:spacing w:val="-5"/>
        </w:rPr>
        <w:t> </w:t>
      </w:r>
      <w:r>
        <w:rPr/>
        <w:t>sino</w:t>
      </w:r>
      <w:r>
        <w:rPr>
          <w:spacing w:val="-5"/>
        </w:rPr>
        <w:t> </w:t>
      </w:r>
      <w:r>
        <w:rPr/>
        <w:t>que</w:t>
      </w:r>
      <w:r>
        <w:rPr>
          <w:spacing w:val="-5"/>
        </w:rPr>
        <w:t> </w:t>
      </w:r>
      <w:r>
        <w:rPr/>
        <w:t>se</w:t>
      </w:r>
      <w:r>
        <w:rPr>
          <w:spacing w:val="-5"/>
        </w:rPr>
        <w:t> </w:t>
      </w:r>
      <w:r>
        <w:rPr/>
        <w:t>han</w:t>
      </w:r>
      <w:r>
        <w:rPr>
          <w:spacing w:val="-5"/>
        </w:rPr>
        <w:t> </w:t>
      </w:r>
      <w:r>
        <w:rPr/>
        <w:t>reducido.</w:t>
      </w:r>
      <w:r>
        <w:rPr>
          <w:spacing w:val="-5"/>
        </w:rPr>
        <w:t> </w:t>
      </w:r>
      <w:r>
        <w:rPr/>
        <w:t>El</w:t>
      </w:r>
      <w:r>
        <w:rPr>
          <w:spacing w:val="-5"/>
        </w:rPr>
        <w:t> </w:t>
      </w:r>
      <w:r>
        <w:rPr/>
        <w:t>deterioro</w:t>
      </w:r>
      <w:r>
        <w:rPr>
          <w:spacing w:val="-5"/>
        </w:rPr>
        <w:t> </w:t>
      </w:r>
      <w:r>
        <w:rPr/>
        <w:t>de</w:t>
      </w:r>
      <w:r>
        <w:rPr>
          <w:spacing w:val="-5"/>
        </w:rPr>
        <w:t> </w:t>
      </w:r>
      <w:r>
        <w:rPr/>
        <w:t>la</w:t>
      </w:r>
      <w:r>
        <w:rPr>
          <w:spacing w:val="-5"/>
        </w:rPr>
        <w:t> </w:t>
      </w:r>
      <w:r>
        <w:rPr/>
        <w:t>calidad</w:t>
      </w:r>
      <w:r>
        <w:rPr>
          <w:spacing w:val="-5"/>
        </w:rPr>
        <w:t> </w:t>
      </w:r>
      <w:r>
        <w:rPr/>
        <w:t>del empleo se ha incrementado </w:t>
      </w:r>
      <w:r>
        <w:rPr>
          <w:spacing w:val="-7"/>
        </w:rPr>
        <w:t>y, </w:t>
      </w:r>
      <w:r>
        <w:rPr/>
        <w:t>en particular, se ha ampliado la desigual- dad salarial (Castillo, 2007). </w:t>
      </w:r>
      <w:r>
        <w:rPr>
          <w:color w:val="231F20"/>
        </w:rPr>
        <w:t>En términos de los ingresos percibidos los inmigrantes mexicanos son los m</w:t>
      </w:r>
      <w:r>
        <w:rPr>
          <w:b/>
          <w:color w:val="231F20"/>
        </w:rPr>
        <w:t>á</w:t>
      </w:r>
      <w:r>
        <w:rPr>
          <w:color w:val="231F20"/>
        </w:rPr>
        <w:t>s desfavorecido, incluso con ingresos promedio inferiores a los de los centroamericanos, asiáticos y africanos. Según un estudio de </w:t>
      </w:r>
      <w:r>
        <w:rPr>
          <w:color w:val="231F20"/>
          <w:spacing w:val="-7"/>
        </w:rPr>
        <w:t>BBVA </w:t>
      </w:r>
      <w:r>
        <w:rPr>
          <w:color w:val="231F20"/>
        </w:rPr>
        <w:t>Bancomer, citado por </w:t>
      </w:r>
      <w:r>
        <w:rPr>
          <w:i/>
          <w:color w:val="231F20"/>
        </w:rPr>
        <w:t>La Jornada </w:t>
      </w:r>
      <w:r>
        <w:rPr>
          <w:color w:val="231F20"/>
        </w:rPr>
        <w:t>(2012): “</w:t>
      </w:r>
      <w:r>
        <w:rPr/>
        <w:t>Los migrantes mexicanos tienen el salario más bajo de entre todas las comunidades de trabajadores de origen extranjero en Estados Unidos, situación que está relacionada con su bajo nivel de escolaridad respecto </w:t>
      </w:r>
      <w:r>
        <w:rPr>
          <w:color w:val="231F20"/>
        </w:rPr>
        <w:t>de otras</w:t>
      </w:r>
      <w:r>
        <w:rPr>
          <w:color w:val="231F20"/>
          <w:spacing w:val="-1"/>
        </w:rPr>
        <w:t> </w:t>
      </w:r>
      <w:r>
        <w:rPr>
          <w:color w:val="231F20"/>
        </w:rPr>
        <w:t>nacionalidades”</w:t>
      </w:r>
      <w:r>
        <w:rPr/>
        <w:t>.</w:t>
      </w:r>
    </w:p>
    <w:p>
      <w:pPr>
        <w:spacing w:before="95"/>
        <w:ind w:left="110" w:right="112" w:firstLine="0"/>
        <w:jc w:val="both"/>
        <w:rPr>
          <w:sz w:val="14"/>
        </w:rPr>
      </w:pPr>
      <w:r>
        <w:rPr>
          <w:color w:val="231F20"/>
          <w:position w:val="5"/>
          <w:sz w:val="8"/>
        </w:rPr>
        <w:t>4</w:t>
      </w:r>
      <w:r>
        <w:rPr>
          <w:color w:val="231F20"/>
          <w:spacing w:val="12"/>
          <w:position w:val="5"/>
          <w:sz w:val="8"/>
        </w:rPr>
        <w:t> </w:t>
      </w:r>
      <w:r>
        <w:rPr>
          <w:sz w:val="14"/>
        </w:rPr>
        <w:t>La</w:t>
      </w:r>
      <w:r>
        <w:rPr>
          <w:spacing w:val="-3"/>
          <w:sz w:val="14"/>
        </w:rPr>
        <w:t> </w:t>
      </w:r>
      <w:r>
        <w:rPr>
          <w:sz w:val="14"/>
        </w:rPr>
        <w:t>situación</w:t>
      </w:r>
      <w:r>
        <w:rPr>
          <w:spacing w:val="-2"/>
          <w:sz w:val="14"/>
        </w:rPr>
        <w:t> </w:t>
      </w:r>
      <w:r>
        <w:rPr>
          <w:sz w:val="14"/>
        </w:rPr>
        <w:t>es</w:t>
      </w:r>
      <w:r>
        <w:rPr>
          <w:spacing w:val="-3"/>
          <w:sz w:val="14"/>
        </w:rPr>
        <w:t> </w:t>
      </w:r>
      <w:r>
        <w:rPr>
          <w:sz w:val="14"/>
        </w:rPr>
        <w:t>tal</w:t>
      </w:r>
      <w:r>
        <w:rPr>
          <w:spacing w:val="-3"/>
          <w:sz w:val="14"/>
        </w:rPr>
        <w:t> </w:t>
      </w:r>
      <w:r>
        <w:rPr>
          <w:sz w:val="14"/>
        </w:rPr>
        <w:t>que</w:t>
      </w:r>
      <w:r>
        <w:rPr>
          <w:spacing w:val="-3"/>
          <w:sz w:val="14"/>
        </w:rPr>
        <w:t> </w:t>
      </w:r>
      <w:r>
        <w:rPr>
          <w:sz w:val="14"/>
        </w:rPr>
        <w:t>ha</w:t>
      </w:r>
      <w:r>
        <w:rPr>
          <w:spacing w:val="-3"/>
          <w:sz w:val="14"/>
        </w:rPr>
        <w:t> </w:t>
      </w:r>
      <w:r>
        <w:rPr>
          <w:sz w:val="14"/>
        </w:rPr>
        <w:t>desplazado</w:t>
      </w:r>
      <w:r>
        <w:rPr>
          <w:spacing w:val="-3"/>
          <w:sz w:val="14"/>
        </w:rPr>
        <w:t> </w:t>
      </w:r>
      <w:r>
        <w:rPr>
          <w:sz w:val="14"/>
        </w:rPr>
        <w:t>del</w:t>
      </w:r>
      <w:r>
        <w:rPr>
          <w:spacing w:val="-3"/>
          <w:sz w:val="14"/>
        </w:rPr>
        <w:t> </w:t>
      </w:r>
      <w:r>
        <w:rPr>
          <w:sz w:val="14"/>
        </w:rPr>
        <w:t>debate</w:t>
      </w:r>
      <w:r>
        <w:rPr>
          <w:spacing w:val="-3"/>
          <w:sz w:val="14"/>
        </w:rPr>
        <w:t> </w:t>
      </w:r>
      <w:r>
        <w:rPr>
          <w:sz w:val="14"/>
        </w:rPr>
        <w:t>académico</w:t>
      </w:r>
      <w:r>
        <w:rPr>
          <w:spacing w:val="-3"/>
          <w:sz w:val="14"/>
        </w:rPr>
        <w:t> </w:t>
      </w:r>
      <w:r>
        <w:rPr>
          <w:sz w:val="14"/>
        </w:rPr>
        <w:t>y</w:t>
      </w:r>
      <w:r>
        <w:rPr>
          <w:spacing w:val="-3"/>
          <w:sz w:val="14"/>
        </w:rPr>
        <w:t> </w:t>
      </w:r>
      <w:r>
        <w:rPr>
          <w:sz w:val="14"/>
        </w:rPr>
        <w:t>de</w:t>
      </w:r>
      <w:r>
        <w:rPr>
          <w:spacing w:val="-3"/>
          <w:sz w:val="14"/>
        </w:rPr>
        <w:t> </w:t>
      </w:r>
      <w:r>
        <w:rPr>
          <w:sz w:val="14"/>
        </w:rPr>
        <w:t>las</w:t>
      </w:r>
      <w:r>
        <w:rPr>
          <w:spacing w:val="-3"/>
          <w:sz w:val="14"/>
        </w:rPr>
        <w:t> </w:t>
      </w:r>
      <w:r>
        <w:rPr>
          <w:sz w:val="14"/>
        </w:rPr>
        <w:t>instancias</w:t>
      </w:r>
      <w:r>
        <w:rPr>
          <w:spacing w:val="-3"/>
          <w:sz w:val="14"/>
        </w:rPr>
        <w:t> </w:t>
      </w:r>
      <w:r>
        <w:rPr>
          <w:sz w:val="14"/>
        </w:rPr>
        <w:t>gestoras</w:t>
      </w:r>
      <w:r>
        <w:rPr>
          <w:spacing w:val="-3"/>
          <w:sz w:val="14"/>
        </w:rPr>
        <w:t> </w:t>
      </w:r>
      <w:r>
        <w:rPr>
          <w:sz w:val="14"/>
        </w:rPr>
        <w:t>de</w:t>
      </w:r>
      <w:r>
        <w:rPr>
          <w:spacing w:val="-3"/>
          <w:sz w:val="14"/>
        </w:rPr>
        <w:t> </w:t>
      </w:r>
      <w:r>
        <w:rPr>
          <w:sz w:val="14"/>
        </w:rPr>
        <w:t>las</w:t>
      </w:r>
      <w:r>
        <w:rPr>
          <w:spacing w:val="-3"/>
          <w:sz w:val="14"/>
        </w:rPr>
        <w:t> </w:t>
      </w:r>
      <w:r>
        <w:rPr>
          <w:sz w:val="14"/>
        </w:rPr>
        <w:t>políticas sociales.</w:t>
      </w:r>
      <w:r>
        <w:rPr>
          <w:spacing w:val="-3"/>
          <w:sz w:val="14"/>
        </w:rPr>
        <w:t> </w:t>
      </w:r>
      <w:r>
        <w:rPr>
          <w:sz w:val="14"/>
        </w:rPr>
        <w:t>Según</w:t>
      </w:r>
      <w:r>
        <w:rPr>
          <w:spacing w:val="-4"/>
          <w:sz w:val="14"/>
        </w:rPr>
        <w:t> </w:t>
      </w:r>
      <w:r>
        <w:rPr>
          <w:sz w:val="14"/>
        </w:rPr>
        <w:t>Carty,</w:t>
      </w:r>
      <w:r>
        <w:rPr>
          <w:spacing w:val="-4"/>
          <w:sz w:val="14"/>
        </w:rPr>
        <w:t> </w:t>
      </w:r>
      <w:r>
        <w:rPr>
          <w:sz w:val="14"/>
        </w:rPr>
        <w:t>(1999:</w:t>
      </w:r>
      <w:r>
        <w:rPr>
          <w:spacing w:val="-4"/>
          <w:sz w:val="14"/>
        </w:rPr>
        <w:t> </w:t>
      </w:r>
      <w:r>
        <w:rPr>
          <w:sz w:val="14"/>
        </w:rPr>
        <w:t>108)</w:t>
      </w:r>
      <w:r>
        <w:rPr>
          <w:spacing w:val="-4"/>
          <w:sz w:val="14"/>
        </w:rPr>
        <w:t> </w:t>
      </w:r>
      <w:r>
        <w:rPr>
          <w:sz w:val="14"/>
        </w:rPr>
        <w:t>“el</w:t>
      </w:r>
      <w:r>
        <w:rPr>
          <w:spacing w:val="-4"/>
          <w:sz w:val="14"/>
        </w:rPr>
        <w:t> </w:t>
      </w:r>
      <w:r>
        <w:rPr>
          <w:sz w:val="14"/>
        </w:rPr>
        <w:t>análisis</w:t>
      </w:r>
      <w:r>
        <w:rPr>
          <w:spacing w:val="-4"/>
          <w:sz w:val="14"/>
        </w:rPr>
        <w:t> </w:t>
      </w:r>
      <w:r>
        <w:rPr>
          <w:sz w:val="14"/>
        </w:rPr>
        <w:t>de</w:t>
      </w:r>
      <w:r>
        <w:rPr>
          <w:spacing w:val="-4"/>
          <w:sz w:val="14"/>
        </w:rPr>
        <w:t> </w:t>
      </w:r>
      <w:r>
        <w:rPr>
          <w:sz w:val="14"/>
        </w:rPr>
        <w:t>los</w:t>
      </w:r>
      <w:r>
        <w:rPr>
          <w:spacing w:val="-4"/>
          <w:sz w:val="14"/>
        </w:rPr>
        <w:t> </w:t>
      </w:r>
      <w:r>
        <w:rPr>
          <w:sz w:val="14"/>
        </w:rPr>
        <w:t>factores</w:t>
      </w:r>
      <w:r>
        <w:rPr>
          <w:spacing w:val="-4"/>
          <w:sz w:val="14"/>
        </w:rPr>
        <w:t> </w:t>
      </w:r>
      <w:r>
        <w:rPr>
          <w:sz w:val="14"/>
        </w:rPr>
        <w:t>que</w:t>
      </w:r>
      <w:r>
        <w:rPr>
          <w:spacing w:val="-4"/>
          <w:sz w:val="14"/>
        </w:rPr>
        <w:t> </w:t>
      </w:r>
      <w:r>
        <w:rPr>
          <w:sz w:val="14"/>
        </w:rPr>
        <w:t>determinan</w:t>
      </w:r>
      <w:r>
        <w:rPr>
          <w:spacing w:val="-4"/>
          <w:sz w:val="14"/>
        </w:rPr>
        <w:t> </w:t>
      </w:r>
      <w:r>
        <w:rPr>
          <w:sz w:val="14"/>
        </w:rPr>
        <w:t>la</w:t>
      </w:r>
      <w:r>
        <w:rPr>
          <w:spacing w:val="-4"/>
          <w:sz w:val="14"/>
        </w:rPr>
        <w:t> </w:t>
      </w:r>
      <w:r>
        <w:rPr>
          <w:sz w:val="14"/>
        </w:rPr>
        <w:t>proliferación</w:t>
      </w:r>
      <w:r>
        <w:rPr>
          <w:spacing w:val="-4"/>
          <w:sz w:val="14"/>
        </w:rPr>
        <w:t> </w:t>
      </w:r>
      <w:r>
        <w:rPr>
          <w:sz w:val="14"/>
        </w:rPr>
        <w:t>de</w:t>
      </w:r>
      <w:r>
        <w:rPr>
          <w:spacing w:val="-4"/>
          <w:sz w:val="14"/>
        </w:rPr>
        <w:t> </w:t>
      </w:r>
      <w:r>
        <w:rPr>
          <w:sz w:val="14"/>
        </w:rPr>
        <w:t>‘malos empleos’ se ha desplazado hacia la búsqueda de las causas de la creciente desigualdad de los</w:t>
      </w:r>
      <w:r>
        <w:rPr>
          <w:spacing w:val="-16"/>
          <w:sz w:val="14"/>
        </w:rPr>
        <w:t> </w:t>
      </w:r>
      <w:r>
        <w:rPr>
          <w:sz w:val="14"/>
        </w:rPr>
        <w:t>ingresos”.</w:t>
      </w:r>
    </w:p>
    <w:p>
      <w:pPr>
        <w:spacing w:after="0"/>
        <w:jc w:val="both"/>
        <w:rPr>
          <w:sz w:val="14"/>
        </w:rPr>
        <w:sectPr>
          <w:footerReference w:type="default" r:id="rId81"/>
          <w:pgSz w:w="7770" w:h="11740"/>
          <w:pgMar w:footer="559" w:header="0" w:top="840" w:bottom="740" w:left="740" w:right="1020"/>
          <w:pgNumType w:start="74"/>
        </w:sectPr>
      </w:pPr>
    </w:p>
    <w:p>
      <w:pPr>
        <w:pStyle w:val="BodyText"/>
        <w:spacing w:line="249" w:lineRule="auto" w:before="60"/>
        <w:ind w:left="113" w:right="107" w:firstLine="283"/>
        <w:jc w:val="both"/>
      </w:pPr>
      <w:r>
        <w:rPr/>
        <w:t>Los niveles de desigualdad y la brecha de ingresos ha sido creciente, aún</w:t>
      </w:r>
      <w:r>
        <w:rPr>
          <w:spacing w:val="-10"/>
        </w:rPr>
        <w:t> </w:t>
      </w:r>
      <w:r>
        <w:rPr/>
        <w:t>en</w:t>
      </w:r>
      <w:r>
        <w:rPr>
          <w:spacing w:val="-10"/>
        </w:rPr>
        <w:t> </w:t>
      </w:r>
      <w:r>
        <w:rPr/>
        <w:t>el</w:t>
      </w:r>
      <w:r>
        <w:rPr>
          <w:spacing w:val="-10"/>
        </w:rPr>
        <w:t> </w:t>
      </w:r>
      <w:r>
        <w:rPr/>
        <w:t>periodo</w:t>
      </w:r>
      <w:r>
        <w:rPr>
          <w:spacing w:val="-10"/>
        </w:rPr>
        <w:t> </w:t>
      </w:r>
      <w:r>
        <w:rPr/>
        <w:t>de</w:t>
      </w:r>
      <w:r>
        <w:rPr>
          <w:spacing w:val="-10"/>
        </w:rPr>
        <w:t> </w:t>
      </w:r>
      <w:r>
        <w:rPr/>
        <w:t>crisis,</w:t>
      </w:r>
      <w:r>
        <w:rPr>
          <w:spacing w:val="-10"/>
        </w:rPr>
        <w:t> </w:t>
      </w:r>
      <w:r>
        <w:rPr/>
        <w:t>llegando</w:t>
      </w:r>
      <w:r>
        <w:rPr>
          <w:spacing w:val="-10"/>
        </w:rPr>
        <w:t> </w:t>
      </w:r>
      <w:r>
        <w:rPr/>
        <w:t>incluso</w:t>
      </w:r>
      <w:r>
        <w:rPr>
          <w:spacing w:val="-10"/>
        </w:rPr>
        <w:t> </w:t>
      </w:r>
      <w:r>
        <w:rPr/>
        <w:t>a</w:t>
      </w:r>
      <w:r>
        <w:rPr>
          <w:spacing w:val="-10"/>
        </w:rPr>
        <w:t> </w:t>
      </w:r>
      <w:r>
        <w:rPr/>
        <w:t>plantearse</w:t>
      </w:r>
      <w:r>
        <w:rPr>
          <w:spacing w:val="-10"/>
        </w:rPr>
        <w:t> </w:t>
      </w:r>
      <w:r>
        <w:rPr/>
        <w:t>como</w:t>
      </w:r>
      <w:r>
        <w:rPr>
          <w:spacing w:val="-10"/>
        </w:rPr>
        <w:t> </w:t>
      </w:r>
      <w:r>
        <w:rPr/>
        <w:t>una</w:t>
      </w:r>
      <w:r>
        <w:rPr>
          <w:spacing w:val="-10"/>
        </w:rPr>
        <w:t> </w:t>
      </w:r>
      <w:r>
        <w:rPr/>
        <w:t>“ame- naza</w:t>
      </w:r>
      <w:r>
        <w:rPr>
          <w:spacing w:val="-8"/>
        </w:rPr>
        <w:t> </w:t>
      </w:r>
      <w:r>
        <w:rPr/>
        <w:t>a</w:t>
      </w:r>
      <w:r>
        <w:rPr>
          <w:spacing w:val="-8"/>
        </w:rPr>
        <w:t> </w:t>
      </w:r>
      <w:r>
        <w:rPr/>
        <w:t>la</w:t>
      </w:r>
      <w:r>
        <w:rPr>
          <w:spacing w:val="-8"/>
        </w:rPr>
        <w:t> </w:t>
      </w:r>
      <w:r>
        <w:rPr/>
        <w:t>economía”.</w:t>
      </w:r>
      <w:r>
        <w:rPr>
          <w:spacing w:val="-9"/>
        </w:rPr>
        <w:t> </w:t>
      </w:r>
      <w:r>
        <w:rPr/>
        <w:t>En</w:t>
      </w:r>
      <w:r>
        <w:rPr>
          <w:spacing w:val="-8"/>
        </w:rPr>
        <w:t> </w:t>
      </w:r>
      <w:r>
        <w:rPr/>
        <w:t>este</w:t>
      </w:r>
      <w:r>
        <w:rPr>
          <w:spacing w:val="-8"/>
        </w:rPr>
        <w:t> </w:t>
      </w:r>
      <w:r>
        <w:rPr/>
        <w:t>sentido,</w:t>
      </w:r>
      <w:r>
        <w:rPr>
          <w:spacing w:val="-8"/>
        </w:rPr>
        <w:t> </w:t>
      </w:r>
      <w:r>
        <w:rPr/>
        <w:t>en</w:t>
      </w:r>
      <w:r>
        <w:rPr>
          <w:spacing w:val="-8"/>
        </w:rPr>
        <w:t> </w:t>
      </w:r>
      <w:r>
        <w:rPr/>
        <w:t>el</w:t>
      </w:r>
      <w:r>
        <w:rPr>
          <w:spacing w:val="-8"/>
        </w:rPr>
        <w:t> </w:t>
      </w:r>
      <w:r>
        <w:rPr/>
        <w:t>mediano</w:t>
      </w:r>
      <w:r>
        <w:rPr>
          <w:spacing w:val="-9"/>
        </w:rPr>
        <w:t> </w:t>
      </w:r>
      <w:r>
        <w:rPr/>
        <w:t>y</w:t>
      </w:r>
      <w:r>
        <w:rPr>
          <w:spacing w:val="-8"/>
        </w:rPr>
        <w:t> </w:t>
      </w:r>
      <w:r>
        <w:rPr/>
        <w:t>largo</w:t>
      </w:r>
      <w:r>
        <w:rPr>
          <w:spacing w:val="-8"/>
        </w:rPr>
        <w:t> </w:t>
      </w:r>
      <w:r>
        <w:rPr/>
        <w:t>plazo,</w:t>
      </w:r>
      <w:r>
        <w:rPr>
          <w:spacing w:val="-8"/>
        </w:rPr>
        <w:t> </w:t>
      </w:r>
      <w:r>
        <w:rPr/>
        <w:t>por</w:t>
      </w:r>
      <w:r>
        <w:rPr>
          <w:spacing w:val="-8"/>
        </w:rPr>
        <w:t> </w:t>
      </w:r>
      <w:r>
        <w:rPr/>
        <w:t>las propias circunstancias económicas y sociales que se están gestando, es probable que las posibilidades reales en cuanto a seguridad en los ingre- sos y ascenso social de los migrantes empeoren aún</w:t>
      </w:r>
      <w:r>
        <w:rPr>
          <w:spacing w:val="-12"/>
        </w:rPr>
        <w:t> </w:t>
      </w:r>
      <w:r>
        <w:rPr/>
        <w:t>más.</w:t>
      </w:r>
    </w:p>
    <w:p>
      <w:pPr>
        <w:pStyle w:val="Heading4"/>
        <w:spacing w:line="240" w:lineRule="exact" w:before="166"/>
        <w:jc w:val="left"/>
      </w:pPr>
      <w:r>
        <w:rPr>
          <w:w w:val="75"/>
        </w:rPr>
        <w:t>El incremento de la inmigración interregional. Escenarios futuros y retos sobre la conformación de nuevos mercados laborales regionales</w:t>
      </w:r>
    </w:p>
    <w:p>
      <w:pPr>
        <w:pStyle w:val="BodyText"/>
        <w:spacing w:line="249" w:lineRule="auto" w:before="175"/>
        <w:ind w:left="113" w:right="108"/>
        <w:jc w:val="both"/>
      </w:pPr>
      <w:r>
        <w:rPr>
          <w:color w:val="231F20"/>
        </w:rPr>
        <w:t>La migración interregional no es un fenómeno nuevo en América Lati- na, tiene raíces históricas y estructurales lejanas derivadas de la</w:t>
      </w:r>
      <w:r>
        <w:rPr>
          <w:color w:val="231F20"/>
          <w:spacing w:val="-12"/>
        </w:rPr>
        <w:t> </w:t>
      </w:r>
      <w:r>
        <w:rPr>
          <w:color w:val="231F20"/>
        </w:rPr>
        <w:t>cercanía cultural, la heterogeneidad económica y social de los países y regiones, y la configuración progresiva de nuevos espacios económicos regiona- les, pero tuvo un crecimiento inusitado durante la década de 1970, en   el entorno del modelo económico de sustitución de importaciones y la dinámica de crecimiento impresa a algunos países. En las tres últimas décadas, el patrón migratorio de por lo menos los países del Cono </w:t>
      </w:r>
      <w:r>
        <w:rPr>
          <w:color w:val="231F20"/>
          <w:spacing w:val="-3"/>
        </w:rPr>
        <w:t>Sur, </w:t>
      </w:r>
      <w:r>
        <w:rPr>
          <w:color w:val="231F20"/>
        </w:rPr>
        <w:t>Argentina, Chile, Paraguay y </w:t>
      </w:r>
      <w:r>
        <w:rPr>
          <w:color w:val="231F20"/>
          <w:spacing w:val="-3"/>
        </w:rPr>
        <w:t>Uruguay, </w:t>
      </w:r>
      <w:r>
        <w:rPr>
          <w:color w:val="231F20"/>
        </w:rPr>
        <w:t>siguió dos tendencias</w:t>
      </w:r>
      <w:r>
        <w:rPr>
          <w:color w:val="231F20"/>
          <w:spacing w:val="-27"/>
        </w:rPr>
        <w:t> </w:t>
      </w:r>
      <w:r>
        <w:rPr>
          <w:color w:val="231F20"/>
        </w:rPr>
        <w:t>claramente marcadas: la migración interregional, dada por los intercambios migra- torios en dichos países, y la migración extrarregional, dirigida hacia las regiones y países con mayor desarrollado y estabilidad económica</w:t>
      </w:r>
      <w:r>
        <w:rPr>
          <w:color w:val="231F20"/>
          <w:spacing w:val="-26"/>
        </w:rPr>
        <w:t> </w:t>
      </w:r>
      <w:r>
        <w:rPr>
          <w:color w:val="231F20"/>
        </w:rPr>
        <w:t>(Mar- tínez y </w:t>
      </w:r>
      <w:r>
        <w:rPr>
          <w:color w:val="231F20"/>
          <w:spacing w:val="-6"/>
        </w:rPr>
        <w:t>Vono,</w:t>
      </w:r>
      <w:r>
        <w:rPr>
          <w:color w:val="231F20"/>
          <w:spacing w:val="-1"/>
        </w:rPr>
        <w:t> </w:t>
      </w:r>
      <w:r>
        <w:rPr>
          <w:color w:val="231F20"/>
        </w:rPr>
        <w:t>2005).</w:t>
      </w:r>
    </w:p>
    <w:p>
      <w:pPr>
        <w:pStyle w:val="BodyText"/>
        <w:spacing w:line="249" w:lineRule="auto" w:before="1"/>
        <w:ind w:left="113" w:right="107" w:firstLine="283"/>
        <w:jc w:val="both"/>
      </w:pPr>
      <w:r>
        <w:rPr>
          <w:color w:val="231F20"/>
        </w:rPr>
        <w:t>La proximidad geográfica y las afinidades culturales, así como la dinámica demográfica y los consecuentes cambios en la estructura de edad de la población, y particularmente, las desigualdades económicas vinculadas a la existencia de un mercado regional de trabajo creciente en las décadas de 1980 y 1990, fueron algunos de los factores de orden estructural que más contribuyeron al incremento de la migración entre dichos países. En la década de 1980, Brasil, Paraguay y Argentina expe- rimentaron la mayor capacidad de atracción de inmigrantes regionales; en la década de 1990, Chile fue el país con mayor dinámica de atracción de migraciones regionales (Texidó </w:t>
      </w:r>
      <w:r>
        <w:rPr>
          <w:i/>
          <w:color w:val="231F20"/>
        </w:rPr>
        <w:t>et al</w:t>
      </w:r>
      <w:r>
        <w:rPr>
          <w:color w:val="231F20"/>
        </w:rPr>
        <w:t>., 2003). No obstante, en cierto modo,</w:t>
      </w:r>
      <w:r>
        <w:rPr>
          <w:color w:val="231F20"/>
          <w:spacing w:val="-6"/>
        </w:rPr>
        <w:t> </w:t>
      </w:r>
      <w:r>
        <w:rPr>
          <w:color w:val="231F20"/>
        </w:rPr>
        <w:t>la</w:t>
      </w:r>
      <w:r>
        <w:rPr>
          <w:color w:val="231F20"/>
          <w:spacing w:val="-5"/>
        </w:rPr>
        <w:t> </w:t>
      </w:r>
      <w:r>
        <w:rPr>
          <w:color w:val="231F20"/>
        </w:rPr>
        <w:t>saturación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agotamiento</w:t>
      </w:r>
      <w:r>
        <w:rPr>
          <w:color w:val="231F20"/>
          <w:spacing w:val="-5"/>
        </w:rPr>
        <w:t> </w:t>
      </w:r>
      <w:r>
        <w:rPr>
          <w:color w:val="231F20"/>
        </w:rPr>
        <w:t>relativamente</w:t>
      </w:r>
      <w:r>
        <w:rPr>
          <w:color w:val="231F20"/>
          <w:spacing w:val="-5"/>
        </w:rPr>
        <w:t> </w:t>
      </w:r>
      <w:r>
        <w:rPr>
          <w:color w:val="231F20"/>
        </w:rPr>
        <w:t>rápido</w:t>
      </w:r>
      <w:r>
        <w:rPr>
          <w:color w:val="231F20"/>
          <w:spacing w:val="-5"/>
        </w:rPr>
        <w:t> </w:t>
      </w:r>
      <w:r>
        <w:rPr>
          <w:color w:val="231F20"/>
        </w:rPr>
        <w:t>de</w:t>
      </w:r>
      <w:r>
        <w:rPr>
          <w:color w:val="231F20"/>
          <w:spacing w:val="-5"/>
        </w:rPr>
        <w:t> </w:t>
      </w:r>
      <w:r>
        <w:rPr>
          <w:color w:val="231F20"/>
        </w:rPr>
        <w:t>dicho</w:t>
      </w:r>
      <w:r>
        <w:rPr>
          <w:color w:val="231F20"/>
          <w:spacing w:val="-5"/>
        </w:rPr>
        <w:t> </w:t>
      </w:r>
      <w:r>
        <w:rPr>
          <w:color w:val="231F20"/>
        </w:rPr>
        <w:t>mer- cado</w:t>
      </w:r>
      <w:r>
        <w:rPr>
          <w:color w:val="231F20"/>
          <w:spacing w:val="-5"/>
        </w:rPr>
        <w:t> </w:t>
      </w:r>
      <w:r>
        <w:rPr>
          <w:color w:val="231F20"/>
        </w:rPr>
        <w:t>regional</w:t>
      </w:r>
      <w:r>
        <w:rPr>
          <w:color w:val="231F20"/>
          <w:spacing w:val="-5"/>
        </w:rPr>
        <w:t> </w:t>
      </w:r>
      <w:r>
        <w:rPr>
          <w:color w:val="231F20"/>
        </w:rPr>
        <w:t>de</w:t>
      </w:r>
      <w:r>
        <w:rPr>
          <w:color w:val="231F20"/>
          <w:spacing w:val="-5"/>
        </w:rPr>
        <w:t> </w:t>
      </w:r>
      <w:r>
        <w:rPr>
          <w:color w:val="231F20"/>
        </w:rPr>
        <w:t>trabajo</w:t>
      </w:r>
      <w:r>
        <w:rPr>
          <w:color w:val="231F20"/>
          <w:spacing w:val="-6"/>
        </w:rPr>
        <w:t> </w:t>
      </w:r>
      <w:r>
        <w:rPr>
          <w:color w:val="231F20"/>
        </w:rPr>
        <w:t>fomentó</w:t>
      </w:r>
      <w:r>
        <w:rPr>
          <w:color w:val="231F20"/>
          <w:spacing w:val="-5"/>
        </w:rPr>
        <w:t> </w:t>
      </w:r>
      <w:r>
        <w:rPr>
          <w:color w:val="231F20"/>
        </w:rPr>
        <w:t>el</w:t>
      </w:r>
      <w:r>
        <w:rPr>
          <w:color w:val="231F20"/>
          <w:spacing w:val="-5"/>
        </w:rPr>
        <w:t> </w:t>
      </w:r>
      <w:r>
        <w:rPr>
          <w:color w:val="231F20"/>
        </w:rPr>
        <w:t>incremento</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migración</w:t>
      </w:r>
      <w:r>
        <w:rPr>
          <w:color w:val="231F20"/>
          <w:spacing w:val="-6"/>
        </w:rPr>
        <w:t> </w:t>
      </w:r>
      <w:r>
        <w:rPr>
          <w:color w:val="231F20"/>
        </w:rPr>
        <w:t>extrarre- gional. América Latina enfrentó dificultades estructurales de absorción del creciente contingente de población que pasó a integrar la fuerza de trabajo (Martínez y </w:t>
      </w:r>
      <w:r>
        <w:rPr>
          <w:color w:val="231F20"/>
          <w:spacing w:val="-6"/>
        </w:rPr>
        <w:t>Vono, </w:t>
      </w:r>
      <w:r>
        <w:rPr>
          <w:color w:val="231F20"/>
        </w:rPr>
        <w:t>2005). La región, que durante varios siglos se caracterizó por su rol de receptora de inmigrantes procedentes</w:t>
      </w:r>
      <w:r>
        <w:rPr>
          <w:color w:val="231F20"/>
          <w:spacing w:val="-14"/>
        </w:rPr>
        <w:t> </w:t>
      </w:r>
      <w:r>
        <w:rPr>
          <w:color w:val="231F20"/>
        </w:rPr>
        <w:t>principal- mente</w:t>
      </w:r>
      <w:r>
        <w:rPr>
          <w:color w:val="231F20"/>
          <w:spacing w:val="-3"/>
        </w:rPr>
        <w:t> </w:t>
      </w:r>
      <w:r>
        <w:rPr>
          <w:color w:val="231F20"/>
        </w:rPr>
        <w:t>de</w:t>
      </w:r>
      <w:r>
        <w:rPr>
          <w:color w:val="231F20"/>
          <w:spacing w:val="-3"/>
        </w:rPr>
        <w:t> </w:t>
      </w:r>
      <w:r>
        <w:rPr>
          <w:color w:val="231F20"/>
        </w:rPr>
        <w:t>Europa,</w:t>
      </w:r>
      <w:r>
        <w:rPr>
          <w:color w:val="231F20"/>
          <w:spacing w:val="-3"/>
        </w:rPr>
        <w:t> </w:t>
      </w:r>
      <w:r>
        <w:rPr>
          <w:color w:val="231F20"/>
        </w:rPr>
        <w:t>África</w:t>
      </w:r>
      <w:r>
        <w:rPr>
          <w:color w:val="231F20"/>
          <w:spacing w:val="-2"/>
        </w:rPr>
        <w:t> </w:t>
      </w:r>
      <w:r>
        <w:rPr>
          <w:color w:val="231F20"/>
        </w:rPr>
        <w:t>y</w:t>
      </w:r>
      <w:r>
        <w:rPr>
          <w:color w:val="231F20"/>
          <w:spacing w:val="-14"/>
        </w:rPr>
        <w:t> </w:t>
      </w:r>
      <w:r>
        <w:rPr>
          <w:color w:val="231F20"/>
        </w:rPr>
        <w:t>Asia,</w:t>
      </w:r>
      <w:r>
        <w:rPr>
          <w:color w:val="231F20"/>
          <w:spacing w:val="-2"/>
        </w:rPr>
        <w:t> </w:t>
      </w:r>
      <w:r>
        <w:rPr>
          <w:color w:val="231F20"/>
        </w:rPr>
        <w:t>se</w:t>
      </w:r>
      <w:r>
        <w:rPr>
          <w:color w:val="231F20"/>
          <w:spacing w:val="-2"/>
        </w:rPr>
        <w:t> </w:t>
      </w:r>
      <w:r>
        <w:rPr>
          <w:color w:val="231F20"/>
        </w:rPr>
        <w:t>convirtió</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región</w:t>
      </w:r>
      <w:r>
        <w:rPr>
          <w:color w:val="231F20"/>
          <w:spacing w:val="-3"/>
        </w:rPr>
        <w:t> </w:t>
      </w:r>
      <w:r>
        <w:rPr>
          <w:color w:val="231F20"/>
        </w:rPr>
        <w:t>con</w:t>
      </w:r>
      <w:r>
        <w:rPr>
          <w:color w:val="231F20"/>
          <w:spacing w:val="-3"/>
        </w:rPr>
        <w:t> </w:t>
      </w:r>
      <w:r>
        <w:rPr>
          <w:color w:val="231F20"/>
        </w:rPr>
        <w:t>la</w:t>
      </w:r>
      <w:r>
        <w:rPr>
          <w:color w:val="231F20"/>
          <w:spacing w:val="-3"/>
        </w:rPr>
        <w:t> </w:t>
      </w:r>
      <w:r>
        <w:rPr>
          <w:color w:val="231F20"/>
        </w:rPr>
        <w:t>más</w:t>
      </w:r>
      <w:r>
        <w:rPr>
          <w:color w:val="231F20"/>
          <w:spacing w:val="-3"/>
        </w:rPr>
        <w:t> </w:t>
      </w:r>
      <w:r>
        <w:rPr>
          <w:color w:val="231F20"/>
        </w:rPr>
        <w:t>alta tasa de emigración</w:t>
      </w:r>
      <w:r>
        <w:rPr>
          <w:color w:val="231F20"/>
          <w:spacing w:val="-2"/>
        </w:rPr>
        <w:t> </w:t>
      </w:r>
      <w:r>
        <w:rPr>
          <w:color w:val="231F20"/>
        </w:rPr>
        <w:t>mundial.</w:t>
      </w:r>
    </w:p>
    <w:p>
      <w:pPr>
        <w:spacing w:after="0" w:line="249" w:lineRule="auto"/>
        <w:jc w:val="both"/>
        <w:sectPr>
          <w:pgSz w:w="7770" w:h="11740"/>
          <w:pgMar w:header="0" w:footer="559" w:top="840" w:bottom="740" w:left="1020" w:right="740"/>
        </w:sectPr>
      </w:pPr>
    </w:p>
    <w:p>
      <w:pPr>
        <w:pStyle w:val="BodyText"/>
        <w:spacing w:line="249" w:lineRule="auto" w:before="60"/>
        <w:ind w:left="110" w:right="111" w:firstLine="283"/>
        <w:jc w:val="both"/>
      </w:pPr>
      <w:r>
        <w:rPr>
          <w:color w:val="231F20"/>
        </w:rPr>
        <w:t>El crecimiento más notorio de la migración interregional coincidió con</w:t>
      </w:r>
      <w:r>
        <w:rPr>
          <w:color w:val="231F20"/>
          <w:spacing w:val="-6"/>
        </w:rPr>
        <w:t> </w:t>
      </w:r>
      <w:r>
        <w:rPr>
          <w:color w:val="231F20"/>
        </w:rPr>
        <w:t>el</w:t>
      </w:r>
      <w:r>
        <w:rPr>
          <w:color w:val="231F20"/>
          <w:spacing w:val="-6"/>
        </w:rPr>
        <w:t> </w:t>
      </w:r>
      <w:r>
        <w:rPr>
          <w:color w:val="231F20"/>
        </w:rPr>
        <w:t>incremento</w:t>
      </w:r>
      <w:r>
        <w:rPr>
          <w:color w:val="231F20"/>
          <w:spacing w:val="-6"/>
        </w:rPr>
        <w:t> </w:t>
      </w:r>
      <w:r>
        <w:rPr>
          <w:color w:val="231F20"/>
        </w:rPr>
        <w:t>inusitado</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migración</w:t>
      </w:r>
      <w:r>
        <w:rPr>
          <w:color w:val="231F20"/>
          <w:spacing w:val="-7"/>
        </w:rPr>
        <w:t> </w:t>
      </w:r>
      <w:r>
        <w:rPr>
          <w:color w:val="231F20"/>
        </w:rPr>
        <w:t>extrarregional</w:t>
      </w:r>
      <w:r>
        <w:rPr>
          <w:color w:val="231F20"/>
          <w:spacing w:val="-7"/>
        </w:rPr>
        <w:t> </w:t>
      </w:r>
      <w:r>
        <w:rPr>
          <w:color w:val="231F20"/>
        </w:rPr>
        <w:t>hacia</w:t>
      </w:r>
      <w:r>
        <w:rPr>
          <w:color w:val="231F20"/>
          <w:spacing w:val="-6"/>
        </w:rPr>
        <w:t> </w:t>
      </w:r>
      <w:r>
        <w:rPr>
          <w:color w:val="231F20"/>
        </w:rPr>
        <w:t>Estados Unidos y Europa durante las décadas de 1980 y 1990. No obstante, la crisis económica actual parece haber impactado en las tendencias gene- rales de la migración internacional, a partir del entorno de</w:t>
      </w:r>
      <w:r>
        <w:rPr>
          <w:color w:val="231F20"/>
          <w:spacing w:val="-29"/>
        </w:rPr>
        <w:t> </w:t>
      </w:r>
      <w:r>
        <w:rPr>
          <w:color w:val="231F20"/>
        </w:rPr>
        <w:t>incertidumbre generado en los países de destino. De hecho, la crisis de Estados Unidos de 2008 redujo los flujos migratorios hacia dicho país, y por el contra- rio,</w:t>
      </w:r>
      <w:r>
        <w:rPr>
          <w:color w:val="231F20"/>
          <w:spacing w:val="-11"/>
        </w:rPr>
        <w:t> </w:t>
      </w:r>
      <w:r>
        <w:rPr>
          <w:color w:val="231F20"/>
        </w:rPr>
        <w:t>parece</w:t>
      </w:r>
      <w:r>
        <w:rPr>
          <w:color w:val="231F20"/>
          <w:spacing w:val="-11"/>
        </w:rPr>
        <w:t> </w:t>
      </w:r>
      <w:r>
        <w:rPr>
          <w:color w:val="231F20"/>
        </w:rPr>
        <w:t>promover</w:t>
      </w:r>
      <w:r>
        <w:rPr>
          <w:color w:val="231F20"/>
          <w:spacing w:val="-11"/>
        </w:rPr>
        <w:t> </w:t>
      </w:r>
      <w:r>
        <w:rPr>
          <w:color w:val="231F20"/>
        </w:rPr>
        <w:t>en</w:t>
      </w:r>
      <w:r>
        <w:rPr>
          <w:color w:val="231F20"/>
          <w:spacing w:val="-21"/>
        </w:rPr>
        <w:t> </w:t>
      </w:r>
      <w:r>
        <w:rPr>
          <w:color w:val="231F20"/>
        </w:rPr>
        <w:t>América</w:t>
      </w:r>
      <w:r>
        <w:rPr>
          <w:color w:val="231F20"/>
          <w:spacing w:val="-11"/>
        </w:rPr>
        <w:t> </w:t>
      </w:r>
      <w:r>
        <w:rPr>
          <w:color w:val="231F20"/>
        </w:rPr>
        <w:t>Latina</w:t>
      </w:r>
      <w:r>
        <w:rPr>
          <w:color w:val="231F20"/>
          <w:spacing w:val="-11"/>
        </w:rPr>
        <w:t> </w:t>
      </w:r>
      <w:r>
        <w:rPr>
          <w:color w:val="231F20"/>
        </w:rPr>
        <w:t>la</w:t>
      </w:r>
      <w:r>
        <w:rPr>
          <w:color w:val="231F20"/>
          <w:spacing w:val="-11"/>
        </w:rPr>
        <w:t> </w:t>
      </w:r>
      <w:r>
        <w:rPr>
          <w:color w:val="231F20"/>
        </w:rPr>
        <w:t>migración</w:t>
      </w:r>
      <w:r>
        <w:rPr>
          <w:color w:val="231F20"/>
          <w:spacing w:val="-11"/>
        </w:rPr>
        <w:t> </w:t>
      </w:r>
      <w:r>
        <w:rPr>
          <w:color w:val="231F20"/>
        </w:rPr>
        <w:t>interregional,</w:t>
      </w:r>
      <w:r>
        <w:rPr>
          <w:color w:val="231F20"/>
          <w:spacing w:val="-11"/>
        </w:rPr>
        <w:t> </w:t>
      </w:r>
      <w:r>
        <w:rPr>
          <w:color w:val="231F20"/>
        </w:rPr>
        <w:t>sobre todo entre algunos de los países de Suramérica no afectados apreciable- mente por la crisis: en Chile, Argentina y Brasil, y en la región andina: en Colombia, Perú y Bolivia y con mayor intensidad en Ecuador (Mejía Ochoa, 2013), también </w:t>
      </w:r>
      <w:r>
        <w:rPr>
          <w:color w:val="231F20"/>
          <w:spacing w:val="-3"/>
        </w:rPr>
        <w:t>Uruguay, </w:t>
      </w:r>
      <w:r>
        <w:rPr>
          <w:color w:val="231F20"/>
        </w:rPr>
        <w:t>y recientemente Panamá. Actualmente, Argentina, Brasil, Chile y Uruguay son los países con mayor dinámica inmigratoria de trabajadores, particularmente de Bolivia y</w:t>
      </w:r>
      <w:r>
        <w:rPr>
          <w:color w:val="231F20"/>
          <w:spacing w:val="-7"/>
        </w:rPr>
        <w:t> </w:t>
      </w:r>
      <w:r>
        <w:rPr>
          <w:color w:val="231F20"/>
        </w:rPr>
        <w:t>Perú.</w:t>
      </w:r>
    </w:p>
    <w:p>
      <w:pPr>
        <w:pStyle w:val="BodyText"/>
        <w:spacing w:line="249" w:lineRule="auto" w:before="1"/>
        <w:ind w:left="110" w:right="111" w:firstLine="283"/>
        <w:jc w:val="both"/>
      </w:pPr>
      <w:r>
        <w:rPr>
          <w:color w:val="231F20"/>
        </w:rPr>
        <w:t>La migración a gran escala, particularmente procedente de México, Centroamérica y el Caribe configura lo que algunos han denominado  “la nueva inmigración” en Estados Unidos (Suárez-Orozco, 2001). No obstante, como señalan Guadarrama y Ottero (2013), la migración ha- cia Estados Unidos y Canadá ha sido y sigue siendo significativamente la más importante en el continente, pero “algo está cambiando, se re- gistra un nuevo fenómeno: el de los flujos interregional”. La migración interregional ha recobrado auge en la región. Los países que ya venían experimentando</w:t>
      </w:r>
      <w:r>
        <w:rPr>
          <w:color w:val="231F20"/>
          <w:spacing w:val="-8"/>
        </w:rPr>
        <w:t> </w:t>
      </w:r>
      <w:r>
        <w:rPr>
          <w:color w:val="231F20"/>
        </w:rPr>
        <w:t>incrementos</w:t>
      </w:r>
      <w:r>
        <w:rPr>
          <w:color w:val="231F20"/>
          <w:spacing w:val="-8"/>
        </w:rPr>
        <w:t> </w:t>
      </w:r>
      <w:r>
        <w:rPr>
          <w:color w:val="231F20"/>
        </w:rPr>
        <w:t>notorios</w:t>
      </w:r>
      <w:r>
        <w:rPr>
          <w:color w:val="231F20"/>
          <w:spacing w:val="-7"/>
        </w:rPr>
        <w:t> </w:t>
      </w:r>
      <w:r>
        <w:rPr>
          <w:color w:val="231F20"/>
        </w:rPr>
        <w:t>como</w:t>
      </w:r>
      <w:r>
        <w:rPr>
          <w:color w:val="231F20"/>
          <w:spacing w:val="-7"/>
        </w:rPr>
        <w:t> </w:t>
      </w:r>
      <w:r>
        <w:rPr>
          <w:color w:val="231F20"/>
        </w:rPr>
        <w:t>mayores</w:t>
      </w:r>
      <w:r>
        <w:rPr>
          <w:color w:val="231F20"/>
          <w:spacing w:val="-7"/>
        </w:rPr>
        <w:t> </w:t>
      </w:r>
      <w:r>
        <w:rPr>
          <w:color w:val="231F20"/>
        </w:rPr>
        <w:t>receptores,</w:t>
      </w:r>
      <w:r>
        <w:rPr>
          <w:color w:val="231F20"/>
          <w:spacing w:val="-7"/>
        </w:rPr>
        <w:t> </w:t>
      </w:r>
      <w:r>
        <w:rPr>
          <w:color w:val="231F20"/>
        </w:rPr>
        <w:t>la</w:t>
      </w:r>
      <w:r>
        <w:rPr>
          <w:color w:val="231F20"/>
          <w:spacing w:val="-7"/>
        </w:rPr>
        <w:t> </w:t>
      </w:r>
      <w:r>
        <w:rPr>
          <w:color w:val="231F20"/>
        </w:rPr>
        <w:t>man- tienen</w:t>
      </w:r>
      <w:r>
        <w:rPr>
          <w:color w:val="231F20"/>
          <w:spacing w:val="-4"/>
        </w:rPr>
        <w:t> </w:t>
      </w:r>
      <w:r>
        <w:rPr>
          <w:color w:val="231F20"/>
        </w:rPr>
        <w:t>o</w:t>
      </w:r>
      <w:r>
        <w:rPr>
          <w:color w:val="231F20"/>
          <w:spacing w:val="-3"/>
        </w:rPr>
        <w:t> </w:t>
      </w:r>
      <w:r>
        <w:rPr>
          <w:color w:val="231F20"/>
        </w:rPr>
        <w:t>la</w:t>
      </w:r>
      <w:r>
        <w:rPr>
          <w:color w:val="231F20"/>
          <w:spacing w:val="-4"/>
        </w:rPr>
        <w:t> </w:t>
      </w:r>
      <w:r>
        <w:rPr>
          <w:color w:val="231F20"/>
        </w:rPr>
        <w:t>han</w:t>
      </w:r>
      <w:r>
        <w:rPr>
          <w:color w:val="231F20"/>
          <w:spacing w:val="-3"/>
        </w:rPr>
        <w:t> </w:t>
      </w:r>
      <w:r>
        <w:rPr>
          <w:color w:val="231F20"/>
        </w:rPr>
        <w:t>ampliado,</w:t>
      </w:r>
      <w:r>
        <w:rPr>
          <w:color w:val="231F20"/>
          <w:spacing w:val="-4"/>
        </w:rPr>
        <w:t> </w:t>
      </w:r>
      <w:r>
        <w:rPr>
          <w:color w:val="231F20"/>
        </w:rPr>
        <w:t>como</w:t>
      </w:r>
      <w:r>
        <w:rPr>
          <w:color w:val="231F20"/>
          <w:spacing w:val="-15"/>
        </w:rPr>
        <w:t> </w:t>
      </w:r>
      <w:r>
        <w:rPr>
          <w:color w:val="231F20"/>
        </w:rPr>
        <w:t>Argentina,</w:t>
      </w:r>
      <w:r>
        <w:rPr>
          <w:color w:val="231F20"/>
          <w:spacing w:val="-4"/>
        </w:rPr>
        <w:t> </w:t>
      </w:r>
      <w:r>
        <w:rPr>
          <w:color w:val="231F20"/>
        </w:rPr>
        <w:t>Costa</w:t>
      </w:r>
      <w:r>
        <w:rPr>
          <w:color w:val="231F20"/>
          <w:spacing w:val="-3"/>
        </w:rPr>
        <w:t> </w:t>
      </w:r>
      <w:r>
        <w:rPr>
          <w:color w:val="231F20"/>
        </w:rPr>
        <w:t>Rica,</w:t>
      </w:r>
      <w:r>
        <w:rPr>
          <w:color w:val="231F20"/>
          <w:spacing w:val="-7"/>
        </w:rPr>
        <w:t> </w:t>
      </w:r>
      <w:r>
        <w:rPr>
          <w:color w:val="231F20"/>
          <w:spacing w:val="-3"/>
        </w:rPr>
        <w:t>Venezuela, </w:t>
      </w:r>
      <w:r>
        <w:rPr>
          <w:color w:val="231F20"/>
        </w:rPr>
        <w:t>Brasil y</w:t>
      </w:r>
      <w:r>
        <w:rPr>
          <w:color w:val="231F20"/>
          <w:spacing w:val="-6"/>
        </w:rPr>
        <w:t> </w:t>
      </w:r>
      <w:r>
        <w:rPr>
          <w:color w:val="231F20"/>
        </w:rPr>
        <w:t>Uruguay</w:t>
      </w:r>
      <w:r>
        <w:rPr>
          <w:color w:val="231F20"/>
          <w:spacing w:val="-6"/>
        </w:rPr>
        <w:t> </w:t>
      </w:r>
      <w:r>
        <w:rPr>
          <w:color w:val="231F20"/>
        </w:rPr>
        <w:t>(Martínez</w:t>
      </w:r>
      <w:r>
        <w:rPr>
          <w:color w:val="231F20"/>
          <w:spacing w:val="-6"/>
        </w:rPr>
        <w:t> </w:t>
      </w:r>
      <w:r>
        <w:rPr>
          <w:color w:val="231F20"/>
        </w:rPr>
        <w:t>y</w:t>
      </w:r>
      <w:r>
        <w:rPr>
          <w:color w:val="231F20"/>
          <w:spacing w:val="-10"/>
        </w:rPr>
        <w:t> </w:t>
      </w:r>
      <w:r>
        <w:rPr>
          <w:color w:val="231F20"/>
          <w:spacing w:val="-6"/>
        </w:rPr>
        <w:t>Vono, </w:t>
      </w:r>
      <w:r>
        <w:rPr>
          <w:color w:val="231F20"/>
        </w:rPr>
        <w:t>2005</w:t>
      </w:r>
      <w:r>
        <w:rPr>
          <w:color w:val="231F20"/>
          <w:spacing w:val="-6"/>
        </w:rPr>
        <w:t> </w:t>
      </w:r>
      <w:r>
        <w:rPr>
          <w:color w:val="231F20"/>
        </w:rPr>
        <w:t>y</w:t>
      </w:r>
      <w:r>
        <w:rPr>
          <w:color w:val="231F20"/>
          <w:spacing w:val="-6"/>
        </w:rPr>
        <w:t> </w:t>
      </w:r>
      <w:r>
        <w:rPr>
          <w:color w:val="231F20"/>
        </w:rPr>
        <w:t>Guadarrama</w:t>
      </w:r>
      <w:r>
        <w:rPr>
          <w:color w:val="231F20"/>
          <w:spacing w:val="-6"/>
        </w:rPr>
        <w:t> </w:t>
      </w:r>
      <w:r>
        <w:rPr>
          <w:color w:val="231F20"/>
        </w:rPr>
        <w:t>y</w:t>
      </w:r>
      <w:r>
        <w:rPr>
          <w:color w:val="231F20"/>
          <w:spacing w:val="-6"/>
        </w:rPr>
        <w:t> </w:t>
      </w:r>
      <w:r>
        <w:rPr>
          <w:color w:val="231F20"/>
        </w:rPr>
        <w:t>Ottero,</w:t>
      </w:r>
      <w:r>
        <w:rPr>
          <w:color w:val="231F20"/>
          <w:spacing w:val="-6"/>
        </w:rPr>
        <w:t> </w:t>
      </w:r>
      <w:r>
        <w:rPr>
          <w:color w:val="231F20"/>
        </w:rPr>
        <w:t>2013).</w:t>
      </w:r>
      <w:r>
        <w:rPr>
          <w:color w:val="231F20"/>
          <w:spacing w:val="-6"/>
        </w:rPr>
        <w:t> </w:t>
      </w:r>
      <w:r>
        <w:rPr>
          <w:color w:val="231F20"/>
        </w:rPr>
        <w:t>Coin- cidentemente, la migración hacia América del Norte tiende a mostrar un comportamiento</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baja.</w:t>
      </w:r>
      <w:r>
        <w:rPr>
          <w:color w:val="231F20"/>
          <w:spacing w:val="-7"/>
        </w:rPr>
        <w:t> </w:t>
      </w:r>
      <w:r>
        <w:rPr>
          <w:color w:val="231F20"/>
        </w:rPr>
        <w:t>Según</w:t>
      </w:r>
      <w:r>
        <w:rPr>
          <w:color w:val="231F20"/>
          <w:spacing w:val="-7"/>
        </w:rPr>
        <w:t> </w:t>
      </w:r>
      <w:r>
        <w:rPr>
          <w:color w:val="231F20"/>
        </w:rPr>
        <w:t>datos</w:t>
      </w:r>
      <w:r>
        <w:rPr>
          <w:color w:val="231F20"/>
          <w:spacing w:val="-7"/>
        </w:rPr>
        <w:t> </w:t>
      </w:r>
      <w:r>
        <w:rPr>
          <w:color w:val="231F20"/>
        </w:rPr>
        <w:t>del</w:t>
      </w:r>
      <w:r>
        <w:rPr>
          <w:color w:val="231F20"/>
          <w:spacing w:val="-7"/>
        </w:rPr>
        <w:t> </w:t>
      </w:r>
      <w:r>
        <w:rPr>
          <w:color w:val="231F20"/>
        </w:rPr>
        <w:t>Instituto</w:t>
      </w:r>
      <w:r>
        <w:rPr>
          <w:color w:val="231F20"/>
          <w:spacing w:val="-7"/>
        </w:rPr>
        <w:t> </w:t>
      </w:r>
      <w:r>
        <w:rPr>
          <w:color w:val="231F20"/>
        </w:rPr>
        <w:t>Nacional</w:t>
      </w:r>
      <w:r>
        <w:rPr>
          <w:color w:val="231F20"/>
          <w:spacing w:val="-6"/>
        </w:rPr>
        <w:t> </w:t>
      </w:r>
      <w:r>
        <w:rPr>
          <w:color w:val="231F20"/>
        </w:rPr>
        <w:t>de</w:t>
      </w:r>
      <w:r>
        <w:rPr>
          <w:color w:val="231F20"/>
          <w:spacing w:val="-7"/>
        </w:rPr>
        <w:t> </w:t>
      </w:r>
      <w:r>
        <w:rPr>
          <w:color w:val="231F20"/>
        </w:rPr>
        <w:t>Geogra- fía y Estadística de México, en el entorno de la crisis económica, entre 2008 y 2011 hubo “una tendencia en declive de la emigración</w:t>
      </w:r>
      <w:r>
        <w:rPr>
          <w:color w:val="231F20"/>
          <w:spacing w:val="-32"/>
        </w:rPr>
        <w:t> </w:t>
      </w:r>
      <w:r>
        <w:rPr>
          <w:color w:val="231F20"/>
        </w:rPr>
        <w:t>mexicana, decreciendo de 144 a 39.4 por cada 10 mil residentes, el nivel histórico más bajo del indicador” (Guadarrama y Ottero,</w:t>
      </w:r>
      <w:r>
        <w:rPr>
          <w:color w:val="231F20"/>
          <w:spacing w:val="-8"/>
        </w:rPr>
        <w:t> </w:t>
      </w:r>
      <w:r>
        <w:rPr>
          <w:color w:val="231F20"/>
        </w:rPr>
        <w:t>2013).</w:t>
      </w:r>
    </w:p>
    <w:p>
      <w:pPr>
        <w:pStyle w:val="Heading4"/>
        <w:ind w:left="110"/>
      </w:pPr>
      <w:r>
        <w:rPr>
          <w:w w:val="75"/>
        </w:rPr>
        <w:t>Consideraciones finales</w:t>
      </w:r>
    </w:p>
    <w:p>
      <w:pPr>
        <w:pStyle w:val="BodyText"/>
        <w:spacing w:line="249" w:lineRule="auto" w:before="171"/>
        <w:ind w:left="110" w:right="111"/>
        <w:jc w:val="both"/>
      </w:pPr>
      <w:r>
        <w:rPr>
          <w:color w:val="231F20"/>
        </w:rPr>
        <w:t>Los resultados presentados aportan elementos para mantener y, en lo posible, validar la hipótesis de que los trabajadores inmigrantes latinos enfrentan condiciones estructurales y coyunturales cada vez más desfa- vorables en el mercado laboral estadounidense, lo que pone en entredi- cho la viabilidad futura de la migración laboral hacia dicho país, como opción certera y estratégica de consecución de empleo y lograr mejores condiciones de vida.</w:t>
      </w:r>
    </w:p>
    <w:p>
      <w:pPr>
        <w:spacing w:after="0" w:line="249" w:lineRule="auto"/>
        <w:jc w:val="both"/>
        <w:sectPr>
          <w:footerReference w:type="default" r:id="rId82"/>
          <w:pgSz w:w="7770" w:h="11740"/>
          <w:pgMar w:footer="559" w:header="0" w:top="840" w:bottom="740" w:left="740" w:right="1020"/>
          <w:pgNumType w:start="76"/>
        </w:sectPr>
      </w:pPr>
    </w:p>
    <w:p>
      <w:pPr>
        <w:pStyle w:val="BodyText"/>
        <w:spacing w:line="249" w:lineRule="auto" w:before="60"/>
        <w:ind w:left="113" w:right="107" w:firstLine="283"/>
        <w:jc w:val="both"/>
      </w:pPr>
      <w:r>
        <w:rPr>
          <w:color w:val="231F20"/>
        </w:rPr>
        <w:t>La composición sectorial de la economía estadounidense se viene transformando apreciablemente. El intenso proceso de desindustriali- zación y terciarización de la economía impacta a todos los sectores de trabajadores,</w:t>
      </w:r>
      <w:r>
        <w:rPr>
          <w:color w:val="231F20"/>
          <w:spacing w:val="-6"/>
        </w:rPr>
        <w:t> </w:t>
      </w:r>
      <w:r>
        <w:rPr>
          <w:color w:val="231F20"/>
        </w:rPr>
        <w:t>pero</w:t>
      </w:r>
      <w:r>
        <w:rPr>
          <w:color w:val="231F20"/>
          <w:spacing w:val="-5"/>
        </w:rPr>
        <w:t> </w:t>
      </w:r>
      <w:r>
        <w:rPr>
          <w:color w:val="231F20"/>
        </w:rPr>
        <w:t>más</w:t>
      </w:r>
      <w:r>
        <w:rPr>
          <w:color w:val="231F20"/>
          <w:spacing w:val="-6"/>
        </w:rPr>
        <w:t> </w:t>
      </w:r>
      <w:r>
        <w:rPr>
          <w:color w:val="231F20"/>
        </w:rPr>
        <w:t>a</w:t>
      </w:r>
      <w:r>
        <w:rPr>
          <w:color w:val="231F20"/>
          <w:spacing w:val="-5"/>
        </w:rPr>
        <w:t> </w:t>
      </w:r>
      <w:r>
        <w:rPr>
          <w:color w:val="231F20"/>
        </w:rPr>
        <w:t>los</w:t>
      </w:r>
      <w:r>
        <w:rPr>
          <w:color w:val="231F20"/>
          <w:spacing w:val="-6"/>
        </w:rPr>
        <w:t> </w:t>
      </w:r>
      <w:r>
        <w:rPr>
          <w:color w:val="231F20"/>
        </w:rPr>
        <w:t>inmigrantes</w:t>
      </w:r>
      <w:r>
        <w:rPr>
          <w:color w:val="231F20"/>
          <w:spacing w:val="-6"/>
        </w:rPr>
        <w:t> </w:t>
      </w:r>
      <w:r>
        <w:rPr>
          <w:color w:val="231F20"/>
        </w:rPr>
        <w:t>latinos.</w:t>
      </w:r>
      <w:r>
        <w:rPr>
          <w:color w:val="231F20"/>
          <w:spacing w:val="-6"/>
        </w:rPr>
        <w:t> </w:t>
      </w:r>
      <w:r>
        <w:rPr>
          <w:color w:val="231F20"/>
        </w:rPr>
        <w:t>La</w:t>
      </w:r>
      <w:r>
        <w:rPr>
          <w:color w:val="231F20"/>
          <w:spacing w:val="-5"/>
        </w:rPr>
        <w:t> </w:t>
      </w:r>
      <w:r>
        <w:rPr>
          <w:color w:val="231F20"/>
        </w:rPr>
        <w:t>desindustrialización, al desplazar a éstos del sector de ocupación tradicionalmente “cautivo” hacia otros sectores, tenderá a limitar los espacios de participación en el mercado laboral y colocar a los trabajadores en condiciones de mayor competitividad en otros subsectores. En el mismo sentido, en la medida que avance el proceso de deslocalización de las actividades productivas hacia países con ventajas comparativas para garantizar el incremento de las</w:t>
      </w:r>
      <w:r>
        <w:rPr>
          <w:color w:val="231F20"/>
          <w:spacing w:val="-5"/>
        </w:rPr>
        <w:t> </w:t>
      </w:r>
      <w:r>
        <w:rPr>
          <w:color w:val="231F20"/>
        </w:rPr>
        <w:t>ganancias</w:t>
      </w:r>
      <w:r>
        <w:rPr>
          <w:color w:val="231F20"/>
          <w:spacing w:val="-5"/>
        </w:rPr>
        <w:t> </w:t>
      </w:r>
      <w:r>
        <w:rPr>
          <w:color w:val="231F20"/>
        </w:rPr>
        <w:t>capitalistas,</w:t>
      </w:r>
      <w:r>
        <w:rPr>
          <w:color w:val="231F20"/>
          <w:spacing w:val="-6"/>
        </w:rPr>
        <w:t> </w:t>
      </w:r>
      <w:r>
        <w:rPr>
          <w:color w:val="231F20"/>
        </w:rPr>
        <w:t>“la</w:t>
      </w:r>
      <w:r>
        <w:rPr>
          <w:color w:val="231F20"/>
          <w:spacing w:val="-5"/>
        </w:rPr>
        <w:t> </w:t>
      </w:r>
      <w:r>
        <w:rPr>
          <w:color w:val="231F20"/>
        </w:rPr>
        <w:t>lógica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migración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puestos</w:t>
      </w:r>
      <w:r>
        <w:rPr>
          <w:color w:val="231F20"/>
          <w:spacing w:val="-5"/>
        </w:rPr>
        <w:t> </w:t>
      </w:r>
      <w:r>
        <w:rPr>
          <w:color w:val="231F20"/>
        </w:rPr>
        <w:t>susti- tuirá a la migración de las</w:t>
      </w:r>
      <w:r>
        <w:rPr>
          <w:color w:val="231F20"/>
          <w:spacing w:val="-3"/>
        </w:rPr>
        <w:t> </w:t>
      </w:r>
      <w:r>
        <w:rPr>
          <w:color w:val="231F20"/>
        </w:rPr>
        <w:t>personas”.</w:t>
      </w:r>
    </w:p>
    <w:p>
      <w:pPr>
        <w:pStyle w:val="BodyText"/>
        <w:spacing w:line="249" w:lineRule="auto" w:before="1"/>
        <w:ind w:left="113" w:right="107" w:firstLine="283"/>
        <w:jc w:val="both"/>
      </w:pPr>
      <w:r>
        <w:rPr>
          <w:color w:val="231F20"/>
        </w:rPr>
        <w:t>La crisis económica tuvo efectos diversos sobre la población nativa e inmigrante. La recesión tuvo y quizá mantiene un impacto importante en la desaceleración de los flujos migratorios y en la propia estructura de inserción de los inmigrantes al mercado laboral. Las tendencias en   el entorno de la crisis económica apuntan en dos sentidos: por un lado, la caracterizada por el incremento del desempleo, y por otro, en el caso de los ocupados, por la desregulación y precariedad laboral, siendo ma- yormente afectados los trabajadores inmigrantes latinos. En este marco, es posible vislumbrar un escenario social y laboral incierto para los mi- grantes, especialmente para los que cuentan con niveles bajos de capital humano y estudios</w:t>
      </w:r>
      <w:r>
        <w:rPr>
          <w:color w:val="231F20"/>
          <w:spacing w:val="-28"/>
        </w:rPr>
        <w:t> </w:t>
      </w:r>
      <w:r>
        <w:rPr>
          <w:color w:val="231F20"/>
        </w:rPr>
        <w:t>formales.</w:t>
      </w:r>
    </w:p>
    <w:p>
      <w:pPr>
        <w:pStyle w:val="BodyText"/>
        <w:spacing w:line="249" w:lineRule="auto" w:before="1"/>
        <w:ind w:left="113" w:right="107" w:firstLine="283"/>
        <w:jc w:val="both"/>
      </w:pPr>
      <w:r>
        <w:rPr>
          <w:color w:val="231F20"/>
        </w:rPr>
        <w:t>Cabría suponer que la migración extrarregional, particularmente ha- cia Estados Unidos, seguirá cobrando importancia en el corto y</w:t>
      </w:r>
      <w:r>
        <w:rPr>
          <w:color w:val="231F20"/>
          <w:spacing w:val="-28"/>
        </w:rPr>
        <w:t> </w:t>
      </w:r>
      <w:r>
        <w:rPr>
          <w:color w:val="231F20"/>
        </w:rPr>
        <w:t>mediano plazo,</w:t>
      </w:r>
      <w:r>
        <w:rPr>
          <w:color w:val="231F20"/>
          <w:spacing w:val="-5"/>
        </w:rPr>
        <w:t> </w:t>
      </w:r>
      <w:r>
        <w:rPr>
          <w:color w:val="231F20"/>
        </w:rPr>
        <w:t>pero</w:t>
      </w:r>
      <w:r>
        <w:rPr>
          <w:color w:val="231F20"/>
          <w:spacing w:val="-5"/>
        </w:rPr>
        <w:t> </w:t>
      </w:r>
      <w:r>
        <w:rPr>
          <w:color w:val="231F20"/>
        </w:rPr>
        <w:t>cada</w:t>
      </w:r>
      <w:r>
        <w:rPr>
          <w:color w:val="231F20"/>
          <w:spacing w:val="-5"/>
        </w:rPr>
        <w:t> </w:t>
      </w:r>
      <w:r>
        <w:rPr>
          <w:color w:val="231F20"/>
        </w:rPr>
        <w:t>vez</w:t>
      </w:r>
      <w:r>
        <w:rPr>
          <w:color w:val="231F20"/>
          <w:spacing w:val="-5"/>
        </w:rPr>
        <w:t> </w:t>
      </w:r>
      <w:r>
        <w:rPr>
          <w:color w:val="231F20"/>
        </w:rPr>
        <w:t>más</w:t>
      </w:r>
      <w:r>
        <w:rPr>
          <w:color w:val="231F20"/>
          <w:spacing w:val="-5"/>
        </w:rPr>
        <w:t> </w:t>
      </w:r>
      <w:r>
        <w:rPr>
          <w:color w:val="231F20"/>
        </w:rPr>
        <w:t>la</w:t>
      </w:r>
      <w:r>
        <w:rPr>
          <w:color w:val="231F20"/>
          <w:spacing w:val="-5"/>
        </w:rPr>
        <w:t> </w:t>
      </w:r>
      <w:r>
        <w:rPr>
          <w:color w:val="231F20"/>
        </w:rPr>
        <w:t>demanda</w:t>
      </w:r>
      <w:r>
        <w:rPr>
          <w:color w:val="231F20"/>
          <w:spacing w:val="-5"/>
        </w:rPr>
        <w:t> </w:t>
      </w:r>
      <w:r>
        <w:rPr>
          <w:color w:val="231F20"/>
        </w:rPr>
        <w:t>de</w:t>
      </w:r>
      <w:r>
        <w:rPr>
          <w:color w:val="231F20"/>
          <w:spacing w:val="-5"/>
        </w:rPr>
        <w:t> </w:t>
      </w:r>
      <w:r>
        <w:rPr>
          <w:color w:val="231F20"/>
        </w:rPr>
        <w:t>trabajadores</w:t>
      </w:r>
      <w:r>
        <w:rPr>
          <w:color w:val="231F20"/>
          <w:spacing w:val="-5"/>
        </w:rPr>
        <w:t> </w:t>
      </w:r>
      <w:r>
        <w:rPr>
          <w:color w:val="231F20"/>
        </w:rPr>
        <w:t>inmigrantes</w:t>
      </w:r>
      <w:r>
        <w:rPr>
          <w:color w:val="231F20"/>
          <w:spacing w:val="-5"/>
        </w:rPr>
        <w:t> </w:t>
      </w:r>
      <w:r>
        <w:rPr>
          <w:color w:val="231F20"/>
        </w:rPr>
        <w:t>latinos tenderá a dejar de ser ilimitada, dada la nueva división internacional del trabajo, los procesos de desindustrialización y deslocalización</w:t>
      </w:r>
      <w:r>
        <w:rPr>
          <w:color w:val="231F20"/>
          <w:spacing w:val="-29"/>
        </w:rPr>
        <w:t> </w:t>
      </w:r>
      <w:r>
        <w:rPr>
          <w:color w:val="231F20"/>
        </w:rPr>
        <w:t>crecientes de</w:t>
      </w:r>
      <w:r>
        <w:rPr>
          <w:color w:val="231F20"/>
          <w:spacing w:val="-11"/>
        </w:rPr>
        <w:t> </w:t>
      </w:r>
      <w:r>
        <w:rPr>
          <w:color w:val="231F20"/>
        </w:rPr>
        <w:t>la</w:t>
      </w:r>
      <w:r>
        <w:rPr>
          <w:color w:val="231F20"/>
          <w:spacing w:val="-11"/>
        </w:rPr>
        <w:t> </w:t>
      </w:r>
      <w:r>
        <w:rPr>
          <w:color w:val="231F20"/>
        </w:rPr>
        <w:t>producción,</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exigencias</w:t>
      </w:r>
      <w:r>
        <w:rPr>
          <w:color w:val="231F20"/>
          <w:spacing w:val="-11"/>
        </w:rPr>
        <w:t> </w:t>
      </w:r>
      <w:r>
        <w:rPr>
          <w:color w:val="231F20"/>
        </w:rPr>
        <w:t>de</w:t>
      </w:r>
      <w:r>
        <w:rPr>
          <w:color w:val="231F20"/>
          <w:spacing w:val="-11"/>
        </w:rPr>
        <w:t> </w:t>
      </w:r>
      <w:r>
        <w:rPr>
          <w:color w:val="231F20"/>
        </w:rPr>
        <w:t>maximización</w:t>
      </w:r>
      <w:r>
        <w:rPr>
          <w:color w:val="231F20"/>
          <w:spacing w:val="-12"/>
        </w:rPr>
        <w:t> </w:t>
      </w:r>
      <w:r>
        <w:rPr>
          <w:color w:val="231F20"/>
        </w:rPr>
        <w:t>de</w:t>
      </w:r>
      <w:r>
        <w:rPr>
          <w:color w:val="231F20"/>
          <w:spacing w:val="-11"/>
        </w:rPr>
        <w:t> </w:t>
      </w:r>
      <w:r>
        <w:rPr>
          <w:color w:val="231F20"/>
        </w:rPr>
        <w:t>acumulación</w:t>
      </w:r>
      <w:r>
        <w:rPr>
          <w:color w:val="231F20"/>
          <w:spacing w:val="-11"/>
        </w:rPr>
        <w:t> </w:t>
      </w:r>
      <w:r>
        <w:rPr>
          <w:color w:val="231F20"/>
        </w:rPr>
        <w:t>capi- talista, que cada vez más relegarán las operaciones intensivas en trabajo a las regiones y países con mayores ventajas competitivas y niveles sa- lariales más bajos (García Medina, 2009). En el futuro cercano es</w:t>
      </w:r>
      <w:r>
        <w:rPr>
          <w:color w:val="231F20"/>
          <w:spacing w:val="-21"/>
        </w:rPr>
        <w:t> </w:t>
      </w:r>
      <w:r>
        <w:rPr>
          <w:color w:val="231F20"/>
        </w:rPr>
        <w:t>presu- mible</w:t>
      </w:r>
      <w:r>
        <w:rPr>
          <w:color w:val="231F20"/>
          <w:spacing w:val="-9"/>
        </w:rPr>
        <w:t> </w:t>
      </w:r>
      <w:r>
        <w:rPr>
          <w:color w:val="231F20"/>
        </w:rPr>
        <w:t>que</w:t>
      </w:r>
      <w:r>
        <w:rPr>
          <w:color w:val="231F20"/>
          <w:spacing w:val="-8"/>
        </w:rPr>
        <w:t> </w:t>
      </w:r>
      <w:r>
        <w:rPr>
          <w:color w:val="231F20"/>
        </w:rPr>
        <w:t>la</w:t>
      </w:r>
      <w:r>
        <w:rPr>
          <w:color w:val="231F20"/>
          <w:spacing w:val="-9"/>
        </w:rPr>
        <w:t> </w:t>
      </w:r>
      <w:r>
        <w:rPr>
          <w:color w:val="231F20"/>
        </w:rPr>
        <w:t>demanda</w:t>
      </w:r>
      <w:r>
        <w:rPr>
          <w:color w:val="231F20"/>
          <w:spacing w:val="-9"/>
        </w:rPr>
        <w:t> </w:t>
      </w:r>
      <w:r>
        <w:rPr>
          <w:color w:val="231F20"/>
        </w:rPr>
        <w:t>de</w:t>
      </w:r>
      <w:r>
        <w:rPr>
          <w:color w:val="231F20"/>
          <w:spacing w:val="-8"/>
        </w:rPr>
        <w:t> </w:t>
      </w:r>
      <w:r>
        <w:rPr>
          <w:color w:val="231F20"/>
        </w:rPr>
        <w:t>trabajadores</w:t>
      </w:r>
      <w:r>
        <w:rPr>
          <w:color w:val="231F20"/>
          <w:spacing w:val="-8"/>
        </w:rPr>
        <w:t> </w:t>
      </w:r>
      <w:r>
        <w:rPr>
          <w:color w:val="231F20"/>
        </w:rPr>
        <w:t>migrantes</w:t>
      </w:r>
      <w:r>
        <w:rPr>
          <w:color w:val="231F20"/>
          <w:spacing w:val="-9"/>
        </w:rPr>
        <w:t> </w:t>
      </w:r>
      <w:r>
        <w:rPr>
          <w:color w:val="231F20"/>
        </w:rPr>
        <w:t>tienda</w:t>
      </w:r>
      <w:r>
        <w:rPr>
          <w:color w:val="231F20"/>
          <w:spacing w:val="-9"/>
        </w:rPr>
        <w:t> </w:t>
      </w:r>
      <w:r>
        <w:rPr>
          <w:color w:val="231F20"/>
        </w:rPr>
        <w:t>a</w:t>
      </w:r>
      <w:r>
        <w:rPr>
          <w:color w:val="231F20"/>
          <w:spacing w:val="-8"/>
        </w:rPr>
        <w:t> </w:t>
      </w:r>
      <w:r>
        <w:rPr>
          <w:color w:val="231F20"/>
        </w:rPr>
        <w:t>orientarse</w:t>
      </w:r>
      <w:r>
        <w:rPr>
          <w:color w:val="231F20"/>
          <w:spacing w:val="-8"/>
        </w:rPr>
        <w:t> </w:t>
      </w:r>
      <w:r>
        <w:rPr>
          <w:color w:val="231F20"/>
        </w:rPr>
        <w:t>hacia la “captura de cerebros” procedente de diversos países subdesarrollados y al reclutamiento selectivo de trabajadores dirigidos a ciertos sectores en los que la tasa de ganancia depende del trabajo intensivo y el recluta- miento de mano de obra con bajos</w:t>
      </w:r>
      <w:r>
        <w:rPr>
          <w:color w:val="231F20"/>
          <w:spacing w:val="-12"/>
        </w:rPr>
        <w:t> </w:t>
      </w:r>
      <w:r>
        <w:rPr>
          <w:color w:val="231F20"/>
        </w:rPr>
        <w:t>salarios.</w:t>
      </w:r>
    </w:p>
    <w:p>
      <w:pPr>
        <w:pStyle w:val="BodyText"/>
        <w:spacing w:line="249" w:lineRule="auto" w:before="1"/>
        <w:ind w:left="113" w:right="107" w:firstLine="283"/>
        <w:jc w:val="both"/>
      </w:pPr>
      <w:r>
        <w:rPr>
          <w:color w:val="231F20"/>
        </w:rPr>
        <w:t>En</w:t>
      </w:r>
      <w:r>
        <w:rPr>
          <w:color w:val="231F20"/>
          <w:spacing w:val="-14"/>
        </w:rPr>
        <w:t> </w:t>
      </w:r>
      <w:r>
        <w:rPr>
          <w:color w:val="231F20"/>
        </w:rPr>
        <w:t>contraparte,</w:t>
      </w:r>
      <w:r>
        <w:rPr>
          <w:color w:val="231F20"/>
          <w:spacing w:val="-14"/>
        </w:rPr>
        <w:t> </w:t>
      </w:r>
      <w:r>
        <w:rPr>
          <w:color w:val="231F20"/>
        </w:rPr>
        <w:t>el</w:t>
      </w:r>
      <w:r>
        <w:rPr>
          <w:color w:val="231F20"/>
          <w:spacing w:val="-14"/>
        </w:rPr>
        <w:t> </w:t>
      </w:r>
      <w:r>
        <w:rPr>
          <w:color w:val="231F20"/>
        </w:rPr>
        <w:t>crecimiento</w:t>
      </w:r>
      <w:r>
        <w:rPr>
          <w:color w:val="231F20"/>
          <w:spacing w:val="-14"/>
        </w:rPr>
        <w:t> </w:t>
      </w:r>
      <w:r>
        <w:rPr>
          <w:color w:val="231F20"/>
        </w:rPr>
        <w:t>notable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movilidad</w:t>
      </w:r>
      <w:r>
        <w:rPr>
          <w:color w:val="231F20"/>
          <w:spacing w:val="-14"/>
        </w:rPr>
        <w:t> </w:t>
      </w:r>
      <w:r>
        <w:rPr>
          <w:color w:val="231F20"/>
        </w:rPr>
        <w:t>laboral</w:t>
      </w:r>
      <w:r>
        <w:rPr>
          <w:color w:val="231F20"/>
          <w:spacing w:val="-14"/>
        </w:rPr>
        <w:t> </w:t>
      </w:r>
      <w:r>
        <w:rPr>
          <w:color w:val="231F20"/>
        </w:rPr>
        <w:t>interre- gional</w:t>
      </w:r>
      <w:r>
        <w:rPr>
          <w:color w:val="231F20"/>
          <w:spacing w:val="-15"/>
        </w:rPr>
        <w:t> </w:t>
      </w:r>
      <w:r>
        <w:rPr>
          <w:color w:val="231F20"/>
        </w:rPr>
        <w:t>plantea</w:t>
      </w:r>
      <w:r>
        <w:rPr>
          <w:color w:val="231F20"/>
          <w:spacing w:val="-15"/>
        </w:rPr>
        <w:t> </w:t>
      </w:r>
      <w:r>
        <w:rPr>
          <w:color w:val="231F20"/>
        </w:rPr>
        <w:t>nuevos</w:t>
      </w:r>
      <w:r>
        <w:rPr>
          <w:color w:val="231F20"/>
          <w:spacing w:val="-15"/>
        </w:rPr>
        <w:t> </w:t>
      </w:r>
      <w:r>
        <w:rPr>
          <w:color w:val="231F20"/>
        </w:rPr>
        <w:t>desafíos</w:t>
      </w:r>
      <w:r>
        <w:rPr>
          <w:color w:val="231F20"/>
          <w:spacing w:val="-15"/>
        </w:rPr>
        <w:t> </w:t>
      </w:r>
      <w:r>
        <w:rPr>
          <w:color w:val="231F20"/>
        </w:rPr>
        <w:t>y</w:t>
      </w:r>
      <w:r>
        <w:rPr>
          <w:color w:val="231F20"/>
          <w:spacing w:val="-15"/>
        </w:rPr>
        <w:t> </w:t>
      </w:r>
      <w:r>
        <w:rPr>
          <w:color w:val="231F20"/>
        </w:rPr>
        <w:t>retos</w:t>
      </w:r>
      <w:r>
        <w:rPr>
          <w:color w:val="231F20"/>
          <w:spacing w:val="-15"/>
        </w:rPr>
        <w:t> </w:t>
      </w:r>
      <w:r>
        <w:rPr>
          <w:color w:val="231F20"/>
        </w:rPr>
        <w:t>sobre</w:t>
      </w:r>
      <w:r>
        <w:rPr>
          <w:color w:val="231F20"/>
          <w:spacing w:val="-15"/>
        </w:rPr>
        <w:t> </w:t>
      </w:r>
      <w:r>
        <w:rPr>
          <w:color w:val="231F20"/>
        </w:rPr>
        <w:t>la</w:t>
      </w:r>
      <w:r>
        <w:rPr>
          <w:color w:val="231F20"/>
          <w:spacing w:val="-15"/>
        </w:rPr>
        <w:t> </w:t>
      </w:r>
      <w:r>
        <w:rPr>
          <w:color w:val="231F20"/>
        </w:rPr>
        <w:t>configuración</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nuevo y</w:t>
      </w:r>
      <w:r>
        <w:rPr>
          <w:color w:val="231F20"/>
          <w:spacing w:val="-6"/>
        </w:rPr>
        <w:t> </w:t>
      </w:r>
      <w:r>
        <w:rPr>
          <w:color w:val="231F20"/>
        </w:rPr>
        <w:t>gran</w:t>
      </w:r>
      <w:r>
        <w:rPr>
          <w:color w:val="231F20"/>
          <w:spacing w:val="-6"/>
        </w:rPr>
        <w:t> </w:t>
      </w:r>
      <w:r>
        <w:rPr>
          <w:color w:val="231F20"/>
        </w:rPr>
        <w:t>“mercado</w:t>
      </w:r>
      <w:r>
        <w:rPr>
          <w:color w:val="231F20"/>
          <w:spacing w:val="-6"/>
        </w:rPr>
        <w:t> </w:t>
      </w:r>
      <w:r>
        <w:rPr>
          <w:color w:val="231F20"/>
        </w:rPr>
        <w:t>laboral</w:t>
      </w:r>
      <w:r>
        <w:rPr>
          <w:color w:val="231F20"/>
          <w:spacing w:val="-6"/>
        </w:rPr>
        <w:t> </w:t>
      </w:r>
      <w:r>
        <w:rPr>
          <w:color w:val="231F20"/>
        </w:rPr>
        <w:t>interregional”.</w:t>
      </w:r>
      <w:r>
        <w:rPr>
          <w:color w:val="231F20"/>
          <w:spacing w:val="-7"/>
        </w:rPr>
        <w:t> </w:t>
      </w:r>
      <w:r>
        <w:rPr>
          <w:color w:val="231F20"/>
        </w:rPr>
        <w:t>La</w:t>
      </w:r>
      <w:r>
        <w:rPr>
          <w:color w:val="231F20"/>
          <w:spacing w:val="-6"/>
        </w:rPr>
        <w:t> </w:t>
      </w:r>
      <w:r>
        <w:rPr>
          <w:color w:val="231F20"/>
        </w:rPr>
        <w:t>dinámica</w:t>
      </w:r>
      <w:r>
        <w:rPr>
          <w:color w:val="231F20"/>
          <w:spacing w:val="-6"/>
        </w:rPr>
        <w:t> </w:t>
      </w:r>
      <w:r>
        <w:rPr>
          <w:color w:val="231F20"/>
        </w:rPr>
        <w:t>es</w:t>
      </w:r>
      <w:r>
        <w:rPr>
          <w:color w:val="231F20"/>
          <w:spacing w:val="-6"/>
        </w:rPr>
        <w:t> </w:t>
      </w:r>
      <w:r>
        <w:rPr>
          <w:color w:val="231F20"/>
        </w:rPr>
        <w:t>múltiple:</w:t>
      </w:r>
      <w:r>
        <w:rPr>
          <w:color w:val="231F20"/>
          <w:spacing w:val="-6"/>
        </w:rPr>
        <w:t> </w:t>
      </w:r>
      <w:r>
        <w:rPr>
          <w:color w:val="231F20"/>
        </w:rPr>
        <w:t>colom-</w:t>
      </w:r>
    </w:p>
    <w:p>
      <w:pPr>
        <w:spacing w:after="0" w:line="249" w:lineRule="auto"/>
        <w:jc w:val="both"/>
        <w:sectPr>
          <w:pgSz w:w="7770" w:h="11740"/>
          <w:pgMar w:header="0" w:footer="559" w:top="840" w:bottom="740" w:left="1020" w:right="740"/>
        </w:sectPr>
      </w:pPr>
    </w:p>
    <w:p>
      <w:pPr>
        <w:pStyle w:val="BodyText"/>
        <w:spacing w:line="249" w:lineRule="auto" w:before="62"/>
        <w:ind w:left="110" w:right="111"/>
        <w:jc w:val="both"/>
      </w:pPr>
      <w:r>
        <w:rPr>
          <w:color w:val="231F20"/>
        </w:rPr>
        <w:t>bianos</w:t>
      </w:r>
      <w:r>
        <w:rPr>
          <w:color w:val="231F20"/>
          <w:spacing w:val="-9"/>
        </w:rPr>
        <w:t> </w:t>
      </w:r>
      <w:r>
        <w:rPr>
          <w:color w:val="231F20"/>
        </w:rPr>
        <w:t>en</w:t>
      </w:r>
      <w:r>
        <w:rPr>
          <w:color w:val="231F20"/>
          <w:spacing w:val="-13"/>
        </w:rPr>
        <w:t> </w:t>
      </w:r>
      <w:r>
        <w:rPr>
          <w:color w:val="231F20"/>
          <w:spacing w:val="-4"/>
        </w:rPr>
        <w:t>Venezuela;</w:t>
      </w:r>
      <w:r>
        <w:rPr>
          <w:color w:val="231F20"/>
          <w:spacing w:val="-10"/>
        </w:rPr>
        <w:t> </w:t>
      </w:r>
      <w:r>
        <w:rPr>
          <w:color w:val="231F20"/>
        </w:rPr>
        <w:t>paraguayos,</w:t>
      </w:r>
      <w:r>
        <w:rPr>
          <w:color w:val="231F20"/>
          <w:spacing w:val="-9"/>
        </w:rPr>
        <w:t> </w:t>
      </w:r>
      <w:r>
        <w:rPr>
          <w:color w:val="231F20"/>
        </w:rPr>
        <w:t>bolivianos</w:t>
      </w:r>
      <w:r>
        <w:rPr>
          <w:color w:val="231F20"/>
          <w:spacing w:val="-9"/>
        </w:rPr>
        <w:t> </w:t>
      </w:r>
      <w:r>
        <w:rPr>
          <w:color w:val="231F20"/>
        </w:rPr>
        <w:t>y</w:t>
      </w:r>
      <w:r>
        <w:rPr>
          <w:color w:val="231F20"/>
          <w:spacing w:val="-9"/>
        </w:rPr>
        <w:t> </w:t>
      </w:r>
      <w:r>
        <w:rPr>
          <w:color w:val="231F20"/>
        </w:rPr>
        <w:t>chilenos</w:t>
      </w:r>
      <w:r>
        <w:rPr>
          <w:color w:val="231F20"/>
          <w:spacing w:val="-10"/>
        </w:rPr>
        <w:t> </w:t>
      </w:r>
      <w:r>
        <w:rPr>
          <w:color w:val="231F20"/>
        </w:rPr>
        <w:t>en</w:t>
      </w:r>
      <w:r>
        <w:rPr>
          <w:color w:val="231F20"/>
          <w:spacing w:val="-19"/>
        </w:rPr>
        <w:t> </w:t>
      </w:r>
      <w:r>
        <w:rPr>
          <w:color w:val="231F20"/>
        </w:rPr>
        <w:t>Argentina;</w:t>
      </w:r>
      <w:r>
        <w:rPr>
          <w:color w:val="231F20"/>
          <w:spacing w:val="-9"/>
        </w:rPr>
        <w:t> </w:t>
      </w:r>
      <w:r>
        <w:rPr>
          <w:color w:val="231F20"/>
        </w:rPr>
        <w:t>ni- caragüenses</w:t>
      </w:r>
      <w:r>
        <w:rPr>
          <w:color w:val="231F20"/>
          <w:spacing w:val="-9"/>
        </w:rPr>
        <w:t> </w:t>
      </w:r>
      <w:r>
        <w:rPr>
          <w:color w:val="231F20"/>
        </w:rPr>
        <w:t>en</w:t>
      </w:r>
      <w:r>
        <w:rPr>
          <w:color w:val="231F20"/>
          <w:spacing w:val="-9"/>
        </w:rPr>
        <w:t> </w:t>
      </w:r>
      <w:r>
        <w:rPr>
          <w:color w:val="231F20"/>
        </w:rPr>
        <w:t>Costa</w:t>
      </w:r>
      <w:r>
        <w:rPr>
          <w:color w:val="231F20"/>
          <w:spacing w:val="-9"/>
        </w:rPr>
        <w:t> </w:t>
      </w:r>
      <w:r>
        <w:rPr>
          <w:color w:val="231F20"/>
        </w:rPr>
        <w:t>Rica;</w:t>
      </w:r>
      <w:r>
        <w:rPr>
          <w:color w:val="231F20"/>
          <w:spacing w:val="-9"/>
        </w:rPr>
        <w:t> </w:t>
      </w:r>
      <w:r>
        <w:rPr>
          <w:color w:val="231F20"/>
        </w:rPr>
        <w:t>peruanos</w:t>
      </w:r>
      <w:r>
        <w:rPr>
          <w:color w:val="231F20"/>
          <w:spacing w:val="-9"/>
        </w:rPr>
        <w:t> </w:t>
      </w:r>
      <w:r>
        <w:rPr>
          <w:color w:val="231F20"/>
        </w:rPr>
        <w:t>en</w:t>
      </w:r>
      <w:r>
        <w:rPr>
          <w:color w:val="231F20"/>
          <w:spacing w:val="-9"/>
        </w:rPr>
        <w:t> </w:t>
      </w:r>
      <w:r>
        <w:rPr>
          <w:color w:val="231F20"/>
        </w:rPr>
        <w:t>Chile;</w:t>
      </w:r>
      <w:r>
        <w:rPr>
          <w:color w:val="231F20"/>
          <w:spacing w:val="-9"/>
        </w:rPr>
        <w:t> </w:t>
      </w:r>
      <w:r>
        <w:rPr>
          <w:color w:val="231F20"/>
        </w:rPr>
        <w:t>costarricenses,</w:t>
      </w:r>
      <w:r>
        <w:rPr>
          <w:color w:val="231F20"/>
          <w:spacing w:val="-9"/>
        </w:rPr>
        <w:t> </w:t>
      </w:r>
      <w:r>
        <w:rPr>
          <w:color w:val="231F20"/>
        </w:rPr>
        <w:t>colombia- nos, venezolanos, nicaragüenses y dominicanos en Panamá, entre otros intercambios. Los retos son múltiples y complejos, e implican nuevos principios y esquemas de cooperación multilaterales para la movilidad e intercambio de recursos humanos garantizando el respeto a los derechos humanos</w:t>
      </w:r>
      <w:r>
        <w:rPr>
          <w:color w:val="231F20"/>
          <w:spacing w:val="-8"/>
        </w:rPr>
        <w:t> </w:t>
      </w:r>
      <w:r>
        <w:rPr>
          <w:color w:val="231F20"/>
        </w:rPr>
        <w:t>y</w:t>
      </w:r>
      <w:r>
        <w:rPr>
          <w:color w:val="231F20"/>
          <w:spacing w:val="-8"/>
        </w:rPr>
        <w:t> </w:t>
      </w:r>
      <w:r>
        <w:rPr>
          <w:color w:val="231F20"/>
        </w:rPr>
        <w:t>laborales</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trabajadores</w:t>
      </w:r>
      <w:r>
        <w:rPr>
          <w:color w:val="231F20"/>
          <w:spacing w:val="-9"/>
        </w:rPr>
        <w:t> </w:t>
      </w:r>
      <w:r>
        <w:rPr>
          <w:color w:val="231F20"/>
        </w:rPr>
        <w:t>migrantes.</w:t>
      </w:r>
    </w:p>
    <w:p>
      <w:pPr>
        <w:pStyle w:val="BodyText"/>
        <w:spacing w:before="1"/>
        <w:rPr>
          <w:sz w:val="17"/>
        </w:rPr>
      </w:pPr>
    </w:p>
    <w:p>
      <w:pPr>
        <w:pStyle w:val="Heading4"/>
        <w:spacing w:before="0"/>
        <w:ind w:left="110"/>
      </w:pPr>
      <w:r>
        <w:rPr>
          <w:w w:val="85"/>
        </w:rPr>
        <w:t>Bibliografía</w:t>
      </w:r>
    </w:p>
    <w:p>
      <w:pPr>
        <w:pStyle w:val="BodyText"/>
        <w:spacing w:before="9"/>
        <w:rPr>
          <w:b/>
          <w:sz w:val="31"/>
        </w:rPr>
      </w:pPr>
    </w:p>
    <w:p>
      <w:pPr>
        <w:spacing w:line="254" w:lineRule="auto" w:before="0"/>
        <w:ind w:left="110" w:right="111" w:firstLine="0"/>
        <w:jc w:val="both"/>
        <w:rPr>
          <w:sz w:val="18"/>
        </w:rPr>
      </w:pPr>
      <w:r>
        <w:rPr>
          <w:sz w:val="18"/>
        </w:rPr>
        <w:t>Alarcón, Rafael, Rodolfo Cruz, Alejandro Díaz-Bautista, Gabriel González- König, Antonio Izquierdo, Guillermo Yrizar y René Zenteno (2009) “La crisis financiera</w:t>
      </w:r>
      <w:r>
        <w:rPr>
          <w:spacing w:val="-7"/>
          <w:sz w:val="18"/>
        </w:rPr>
        <w:t> </w:t>
      </w:r>
      <w:r>
        <w:rPr>
          <w:sz w:val="18"/>
        </w:rPr>
        <w:t>en</w:t>
      </w:r>
      <w:r>
        <w:rPr>
          <w:spacing w:val="-7"/>
          <w:sz w:val="18"/>
        </w:rPr>
        <w:t> </w:t>
      </w:r>
      <w:r>
        <w:rPr>
          <w:sz w:val="18"/>
        </w:rPr>
        <w:t>Estados</w:t>
      </w:r>
      <w:r>
        <w:rPr>
          <w:spacing w:val="-7"/>
          <w:sz w:val="18"/>
        </w:rPr>
        <w:t> </w:t>
      </w:r>
      <w:r>
        <w:rPr>
          <w:sz w:val="18"/>
        </w:rPr>
        <w:t>Unidos</w:t>
      </w:r>
      <w:r>
        <w:rPr>
          <w:spacing w:val="-7"/>
          <w:sz w:val="18"/>
        </w:rPr>
        <w:t> </w:t>
      </w:r>
      <w:r>
        <w:rPr>
          <w:sz w:val="18"/>
        </w:rPr>
        <w:t>y</w:t>
      </w:r>
      <w:r>
        <w:rPr>
          <w:spacing w:val="-7"/>
          <w:sz w:val="18"/>
        </w:rPr>
        <w:t> </w:t>
      </w:r>
      <w:r>
        <w:rPr>
          <w:sz w:val="18"/>
        </w:rPr>
        <w:t>su</w:t>
      </w:r>
      <w:r>
        <w:rPr>
          <w:spacing w:val="-7"/>
          <w:sz w:val="18"/>
        </w:rPr>
        <w:t> </w:t>
      </w:r>
      <w:r>
        <w:rPr>
          <w:sz w:val="18"/>
        </w:rPr>
        <w:t>impacto</w:t>
      </w:r>
      <w:r>
        <w:rPr>
          <w:spacing w:val="-7"/>
          <w:sz w:val="18"/>
        </w:rPr>
        <w:t> </w:t>
      </w:r>
      <w:r>
        <w:rPr>
          <w:sz w:val="18"/>
        </w:rPr>
        <w:t>en</w:t>
      </w:r>
      <w:r>
        <w:rPr>
          <w:spacing w:val="-7"/>
          <w:sz w:val="18"/>
        </w:rPr>
        <w:t> </w:t>
      </w:r>
      <w:r>
        <w:rPr>
          <w:sz w:val="18"/>
        </w:rPr>
        <w:t>la</w:t>
      </w:r>
      <w:r>
        <w:rPr>
          <w:spacing w:val="-7"/>
          <w:sz w:val="18"/>
        </w:rPr>
        <w:t> </w:t>
      </w:r>
      <w:r>
        <w:rPr>
          <w:sz w:val="18"/>
        </w:rPr>
        <w:t>migración</w:t>
      </w:r>
      <w:r>
        <w:rPr>
          <w:spacing w:val="-8"/>
          <w:sz w:val="18"/>
        </w:rPr>
        <w:t> </w:t>
      </w:r>
      <w:r>
        <w:rPr>
          <w:sz w:val="18"/>
        </w:rPr>
        <w:t>mexicana”,</w:t>
      </w:r>
      <w:r>
        <w:rPr>
          <w:spacing w:val="-8"/>
          <w:sz w:val="18"/>
        </w:rPr>
        <w:t> </w:t>
      </w:r>
      <w:r>
        <w:rPr>
          <w:sz w:val="18"/>
        </w:rPr>
        <w:t>en</w:t>
      </w:r>
      <w:r>
        <w:rPr>
          <w:spacing w:val="-7"/>
          <w:sz w:val="18"/>
        </w:rPr>
        <w:t> </w:t>
      </w:r>
      <w:r>
        <w:rPr>
          <w:i/>
          <w:sz w:val="18"/>
        </w:rPr>
        <w:t>Migra- </w:t>
      </w:r>
      <w:r>
        <w:rPr>
          <w:i/>
          <w:sz w:val="18"/>
        </w:rPr>
        <w:t>ciones Internacionales</w:t>
      </w:r>
      <w:r>
        <w:rPr>
          <w:sz w:val="18"/>
        </w:rPr>
        <w:t>, vol. 5, núm. 1, enero-junio, Tijuana, México: El</w:t>
      </w:r>
      <w:r>
        <w:rPr>
          <w:spacing w:val="-26"/>
          <w:sz w:val="18"/>
        </w:rPr>
        <w:t> </w:t>
      </w:r>
      <w:r>
        <w:rPr>
          <w:sz w:val="18"/>
        </w:rPr>
        <w:t>Colegio de la Frontera</w:t>
      </w:r>
      <w:r>
        <w:rPr>
          <w:spacing w:val="-13"/>
          <w:sz w:val="18"/>
        </w:rPr>
        <w:t> </w:t>
      </w:r>
      <w:r>
        <w:rPr>
          <w:sz w:val="18"/>
        </w:rPr>
        <w:t>Norte.</w:t>
      </w:r>
    </w:p>
    <w:p>
      <w:pPr>
        <w:spacing w:line="254" w:lineRule="auto" w:before="57"/>
        <w:ind w:left="110" w:right="111" w:firstLine="0"/>
        <w:jc w:val="both"/>
        <w:rPr>
          <w:sz w:val="18"/>
        </w:rPr>
      </w:pPr>
      <w:r>
        <w:rPr>
          <w:sz w:val="18"/>
        </w:rPr>
        <w:t>Baumann, Susana (2014) “Población latina de los Estados Unidos”, en </w:t>
      </w:r>
      <w:r>
        <w:rPr>
          <w:i/>
          <w:sz w:val="18"/>
        </w:rPr>
        <w:t>About. </w:t>
      </w:r>
      <w:r>
        <w:rPr>
          <w:i/>
          <w:sz w:val="18"/>
        </w:rPr>
        <w:t>com Hispanos</w:t>
      </w:r>
      <w:r>
        <w:rPr>
          <w:sz w:val="18"/>
        </w:rPr>
        <w:t>. Consultado marzo 2014 en </w:t>
      </w:r>
      <w:hyperlink r:id="rId84">
        <w:r>
          <w:rPr>
            <w:sz w:val="18"/>
          </w:rPr>
          <w:t>http://hispanos.about.com/od/</w:t>
        </w:r>
      </w:hyperlink>
      <w:r>
        <w:rPr>
          <w:sz w:val="18"/>
        </w:rPr>
        <w:t> Inmigracion/a/Poblaci-On-Latina-De-Los-Estados-Unidos.htm</w:t>
      </w:r>
    </w:p>
    <w:p>
      <w:pPr>
        <w:spacing w:line="254" w:lineRule="auto" w:before="57"/>
        <w:ind w:left="110" w:right="111" w:firstLine="0"/>
        <w:jc w:val="both"/>
        <w:rPr>
          <w:sz w:val="18"/>
        </w:rPr>
      </w:pPr>
      <w:r>
        <w:rPr>
          <w:sz w:val="18"/>
        </w:rPr>
        <w:t>Beck, Ulrich (2000) </w:t>
      </w:r>
      <w:r>
        <w:rPr>
          <w:i/>
          <w:sz w:val="18"/>
        </w:rPr>
        <w:t>Un nuevo mundo feliz. La precarización del trabajo en la </w:t>
      </w:r>
      <w:r>
        <w:rPr>
          <w:i/>
          <w:sz w:val="18"/>
        </w:rPr>
        <w:t>era de la globalización</w:t>
      </w:r>
      <w:r>
        <w:rPr>
          <w:sz w:val="18"/>
        </w:rPr>
        <w:t>, Buenos Aires: Paidós.</w:t>
      </w:r>
    </w:p>
    <w:p>
      <w:pPr>
        <w:spacing w:line="254" w:lineRule="auto" w:before="57"/>
        <w:ind w:left="110" w:right="111" w:firstLine="0"/>
        <w:jc w:val="both"/>
        <w:rPr>
          <w:sz w:val="18"/>
        </w:rPr>
      </w:pPr>
      <w:r>
        <w:rPr>
          <w:sz w:val="18"/>
        </w:rPr>
        <w:t>Brooks,</w:t>
      </w:r>
      <w:r>
        <w:rPr>
          <w:spacing w:val="-10"/>
          <w:sz w:val="18"/>
        </w:rPr>
        <w:t> </w:t>
      </w:r>
      <w:r>
        <w:rPr>
          <w:sz w:val="18"/>
        </w:rPr>
        <w:t>David</w:t>
      </w:r>
      <w:r>
        <w:rPr>
          <w:spacing w:val="-9"/>
          <w:sz w:val="18"/>
        </w:rPr>
        <w:t> </w:t>
      </w:r>
      <w:r>
        <w:rPr>
          <w:sz w:val="18"/>
        </w:rPr>
        <w:t>(2013)</w:t>
      </w:r>
      <w:r>
        <w:rPr>
          <w:spacing w:val="-10"/>
          <w:sz w:val="18"/>
        </w:rPr>
        <w:t> </w:t>
      </w:r>
      <w:r>
        <w:rPr>
          <w:sz w:val="18"/>
        </w:rPr>
        <w:t>“American</w:t>
      </w:r>
      <w:r>
        <w:rPr>
          <w:spacing w:val="-10"/>
          <w:sz w:val="18"/>
        </w:rPr>
        <w:t> </w:t>
      </w:r>
      <w:r>
        <w:rPr>
          <w:sz w:val="18"/>
        </w:rPr>
        <w:t>Curios”,</w:t>
      </w:r>
      <w:r>
        <w:rPr>
          <w:spacing w:val="-10"/>
          <w:sz w:val="18"/>
        </w:rPr>
        <w:t> </w:t>
      </w:r>
      <w:r>
        <w:rPr>
          <w:sz w:val="18"/>
        </w:rPr>
        <w:t>en</w:t>
      </w:r>
      <w:r>
        <w:rPr>
          <w:spacing w:val="-10"/>
          <w:sz w:val="18"/>
        </w:rPr>
        <w:t> </w:t>
      </w:r>
      <w:r>
        <w:rPr>
          <w:i/>
          <w:sz w:val="18"/>
        </w:rPr>
        <w:t>La</w:t>
      </w:r>
      <w:r>
        <w:rPr>
          <w:i/>
          <w:spacing w:val="-10"/>
          <w:sz w:val="18"/>
        </w:rPr>
        <w:t> </w:t>
      </w:r>
      <w:r>
        <w:rPr>
          <w:i/>
          <w:sz w:val="18"/>
        </w:rPr>
        <w:t>Jornada</w:t>
      </w:r>
      <w:r>
        <w:rPr>
          <w:sz w:val="18"/>
        </w:rPr>
        <w:t>,</w:t>
      </w:r>
      <w:r>
        <w:rPr>
          <w:spacing w:val="-10"/>
          <w:sz w:val="18"/>
        </w:rPr>
        <w:t> </w:t>
      </w:r>
      <w:r>
        <w:rPr>
          <w:sz w:val="18"/>
        </w:rPr>
        <w:t>28</w:t>
      </w:r>
      <w:r>
        <w:rPr>
          <w:spacing w:val="-10"/>
          <w:sz w:val="18"/>
        </w:rPr>
        <w:t> </w:t>
      </w:r>
      <w:r>
        <w:rPr>
          <w:sz w:val="18"/>
        </w:rPr>
        <w:t>de</w:t>
      </w:r>
      <w:r>
        <w:rPr>
          <w:spacing w:val="-10"/>
          <w:sz w:val="18"/>
        </w:rPr>
        <w:t> </w:t>
      </w:r>
      <w:r>
        <w:rPr>
          <w:sz w:val="18"/>
        </w:rPr>
        <w:t>enero.</w:t>
      </w:r>
      <w:r>
        <w:rPr>
          <w:spacing w:val="-10"/>
          <w:sz w:val="18"/>
        </w:rPr>
        <w:t> </w:t>
      </w:r>
      <w:r>
        <w:rPr>
          <w:sz w:val="18"/>
        </w:rPr>
        <w:t>Consulta- do marzo 2014 en</w:t>
      </w:r>
      <w:r>
        <w:rPr>
          <w:spacing w:val="-14"/>
          <w:sz w:val="18"/>
        </w:rPr>
        <w:t> </w:t>
      </w:r>
      <w:hyperlink r:id="rId85">
        <w:r>
          <w:rPr>
            <w:sz w:val="18"/>
          </w:rPr>
          <w:t>http://www.jornada.unam.mx/2013/01/28/opinion/025o1mun</w:t>
        </w:r>
      </w:hyperlink>
    </w:p>
    <w:p>
      <w:pPr>
        <w:spacing w:line="254" w:lineRule="auto" w:before="57"/>
        <w:ind w:left="110" w:right="111" w:firstLine="0"/>
        <w:jc w:val="both"/>
        <w:rPr>
          <w:sz w:val="18"/>
        </w:rPr>
      </w:pPr>
      <w:r>
        <w:rPr>
          <w:sz w:val="18"/>
        </w:rPr>
        <w:t>Brooks,</w:t>
      </w:r>
      <w:r>
        <w:rPr>
          <w:spacing w:val="-8"/>
          <w:sz w:val="18"/>
        </w:rPr>
        <w:t> </w:t>
      </w:r>
      <w:r>
        <w:rPr>
          <w:sz w:val="18"/>
        </w:rPr>
        <w:t>David</w:t>
      </w:r>
      <w:r>
        <w:rPr>
          <w:spacing w:val="-7"/>
          <w:sz w:val="18"/>
        </w:rPr>
        <w:t> </w:t>
      </w:r>
      <w:r>
        <w:rPr>
          <w:sz w:val="18"/>
        </w:rPr>
        <w:t>(2011)</w:t>
      </w:r>
      <w:r>
        <w:rPr>
          <w:spacing w:val="-8"/>
          <w:sz w:val="18"/>
        </w:rPr>
        <w:t> </w:t>
      </w:r>
      <w:r>
        <w:rPr>
          <w:sz w:val="18"/>
        </w:rPr>
        <w:t>“American</w:t>
      </w:r>
      <w:r>
        <w:rPr>
          <w:spacing w:val="-8"/>
          <w:sz w:val="18"/>
        </w:rPr>
        <w:t> </w:t>
      </w:r>
      <w:r>
        <w:rPr>
          <w:sz w:val="18"/>
        </w:rPr>
        <w:t>Curios”,</w:t>
      </w:r>
      <w:r>
        <w:rPr>
          <w:spacing w:val="-8"/>
          <w:sz w:val="18"/>
        </w:rPr>
        <w:t> </w:t>
      </w:r>
      <w:r>
        <w:rPr>
          <w:sz w:val="18"/>
        </w:rPr>
        <w:t>en</w:t>
      </w:r>
      <w:r>
        <w:rPr>
          <w:spacing w:val="-7"/>
          <w:sz w:val="18"/>
        </w:rPr>
        <w:t> </w:t>
      </w:r>
      <w:r>
        <w:rPr>
          <w:i/>
          <w:sz w:val="18"/>
        </w:rPr>
        <w:t>La</w:t>
      </w:r>
      <w:r>
        <w:rPr>
          <w:i/>
          <w:spacing w:val="-7"/>
          <w:sz w:val="18"/>
        </w:rPr>
        <w:t> </w:t>
      </w:r>
      <w:r>
        <w:rPr>
          <w:i/>
          <w:sz w:val="18"/>
        </w:rPr>
        <w:t>Jornada</w:t>
      </w:r>
      <w:r>
        <w:rPr>
          <w:sz w:val="18"/>
        </w:rPr>
        <w:t>,</w:t>
      </w:r>
      <w:r>
        <w:rPr>
          <w:spacing w:val="-8"/>
          <w:sz w:val="18"/>
        </w:rPr>
        <w:t> </w:t>
      </w:r>
      <w:r>
        <w:rPr>
          <w:sz w:val="18"/>
        </w:rPr>
        <w:t>13</w:t>
      </w:r>
      <w:r>
        <w:rPr>
          <w:spacing w:val="-8"/>
          <w:sz w:val="18"/>
        </w:rPr>
        <w:t> </w:t>
      </w:r>
      <w:r>
        <w:rPr>
          <w:sz w:val="18"/>
        </w:rPr>
        <w:t>de</w:t>
      </w:r>
      <w:r>
        <w:rPr>
          <w:spacing w:val="-7"/>
          <w:sz w:val="18"/>
        </w:rPr>
        <w:t> </w:t>
      </w:r>
      <w:r>
        <w:rPr>
          <w:sz w:val="18"/>
        </w:rPr>
        <w:t>junio.</w:t>
      </w:r>
      <w:r>
        <w:rPr>
          <w:spacing w:val="-8"/>
          <w:sz w:val="18"/>
        </w:rPr>
        <w:t> </w:t>
      </w:r>
      <w:r>
        <w:rPr>
          <w:sz w:val="18"/>
        </w:rPr>
        <w:t>Consulta- do octubre 2014 en</w:t>
      </w:r>
      <w:r>
        <w:rPr>
          <w:spacing w:val="-16"/>
          <w:sz w:val="18"/>
        </w:rPr>
        <w:t> </w:t>
      </w:r>
      <w:hyperlink r:id="rId86">
        <w:r>
          <w:rPr>
            <w:sz w:val="18"/>
          </w:rPr>
          <w:t>http://www.jornada.unam.mx/2011/06/13/mundo/029o1mun</w:t>
        </w:r>
      </w:hyperlink>
    </w:p>
    <w:p>
      <w:pPr>
        <w:spacing w:before="1"/>
        <w:ind w:left="110" w:right="0" w:firstLine="0"/>
        <w:jc w:val="both"/>
        <w:rPr>
          <w:sz w:val="18"/>
        </w:rPr>
      </w:pPr>
      <w:r>
        <w:rPr>
          <w:sz w:val="18"/>
        </w:rPr>
        <w:t>).</w:t>
      </w:r>
    </w:p>
    <w:p>
      <w:pPr>
        <w:spacing w:line="254" w:lineRule="auto" w:before="69"/>
        <w:ind w:left="110" w:right="111" w:firstLine="0"/>
        <w:jc w:val="both"/>
        <w:rPr>
          <w:sz w:val="18"/>
        </w:rPr>
      </w:pPr>
      <w:r>
        <w:rPr>
          <w:sz w:val="18"/>
        </w:rPr>
        <w:t>Canales, Alejandro (2012) “A la baja, migración a EUA por efectos de la crisis económica”, en </w:t>
      </w:r>
      <w:r>
        <w:rPr>
          <w:i/>
          <w:sz w:val="18"/>
        </w:rPr>
        <w:t>Red Universitaria</w:t>
      </w:r>
      <w:r>
        <w:rPr>
          <w:sz w:val="18"/>
        </w:rPr>
        <w:t>, Guadalajara: Universidad de Guadalajara.</w:t>
      </w:r>
    </w:p>
    <w:p>
      <w:pPr>
        <w:spacing w:line="254" w:lineRule="auto" w:before="57"/>
        <w:ind w:left="110" w:right="111" w:firstLine="0"/>
        <w:jc w:val="both"/>
        <w:rPr>
          <w:sz w:val="18"/>
        </w:rPr>
      </w:pPr>
      <w:r>
        <w:rPr>
          <w:sz w:val="18"/>
        </w:rPr>
        <w:t>Caputo Leiva, Orlando (2012) “Crítica a la interpretación financiera de la cri- sis”, en Dídimo Castillo Fernández y Marco A. Gandásegui, hijo (ed.), E</w:t>
      </w:r>
      <w:r>
        <w:rPr>
          <w:i/>
          <w:sz w:val="18"/>
        </w:rPr>
        <w:t>stados </w:t>
      </w:r>
      <w:r>
        <w:rPr>
          <w:i/>
          <w:sz w:val="18"/>
        </w:rPr>
        <w:t>Unidos: Más allá de la crisis</w:t>
      </w:r>
      <w:r>
        <w:rPr>
          <w:sz w:val="18"/>
        </w:rPr>
        <w:t>, Consejo Latinoamericano de Ciencias Sociales, México: Clacso-Siglo XXI Editores-Facultad de Ciencias Políticas y Sociales, Universidad Autónoma del Estado de México.</w:t>
      </w:r>
    </w:p>
    <w:p>
      <w:pPr>
        <w:spacing w:line="254" w:lineRule="auto" w:before="57"/>
        <w:ind w:left="110" w:right="111" w:firstLine="0"/>
        <w:jc w:val="both"/>
        <w:rPr>
          <w:sz w:val="18"/>
        </w:rPr>
      </w:pPr>
      <w:r>
        <w:rPr>
          <w:sz w:val="18"/>
        </w:rPr>
        <w:t>Carty, Liz (1999) “El debate sobre la calidad del empleo: El caso de los Estados Unidos de América, 1970-1990”, en Ricardo Infante (ed.), </w:t>
      </w:r>
      <w:r>
        <w:rPr>
          <w:i/>
          <w:sz w:val="18"/>
        </w:rPr>
        <w:t>La calidad del em- </w:t>
      </w:r>
      <w:r>
        <w:rPr>
          <w:i/>
          <w:sz w:val="18"/>
        </w:rPr>
        <w:t>pleo. La experiencia de los países latinoamericanos y de los Estados Unidos</w:t>
      </w:r>
      <w:r>
        <w:rPr>
          <w:sz w:val="18"/>
        </w:rPr>
        <w:t>, Lima: OIT.</w:t>
      </w:r>
    </w:p>
    <w:p>
      <w:pPr>
        <w:spacing w:line="254" w:lineRule="auto" w:before="57"/>
        <w:ind w:left="110" w:right="111" w:firstLine="0"/>
        <w:jc w:val="both"/>
        <w:rPr>
          <w:sz w:val="18"/>
        </w:rPr>
      </w:pPr>
      <w:r>
        <w:rPr>
          <w:sz w:val="18"/>
        </w:rPr>
        <w:t>Castillo Fernández, Dídimo, 2007, “Hegemony and the U.S. Labor Model”, en </w:t>
      </w:r>
      <w:r>
        <w:rPr>
          <w:i/>
          <w:sz w:val="18"/>
        </w:rPr>
        <w:t>Latin American Perspective</w:t>
      </w:r>
      <w:r>
        <w:rPr>
          <w:sz w:val="18"/>
        </w:rPr>
        <w:t>, Isseu 152, vol. 34, num. 1, CA, US: LAP Editorial, January.</w:t>
      </w:r>
    </w:p>
    <w:p>
      <w:pPr>
        <w:spacing w:after="0" w:line="254" w:lineRule="auto"/>
        <w:jc w:val="both"/>
        <w:rPr>
          <w:sz w:val="18"/>
        </w:rPr>
        <w:sectPr>
          <w:footerReference w:type="default" r:id="rId83"/>
          <w:pgSz w:w="7770" w:h="11740"/>
          <w:pgMar w:footer="559" w:header="0" w:top="820" w:bottom="740" w:left="740" w:right="1020"/>
          <w:pgNumType w:start="78"/>
        </w:sectPr>
      </w:pPr>
    </w:p>
    <w:p>
      <w:pPr>
        <w:spacing w:line="254" w:lineRule="auto" w:before="47"/>
        <w:ind w:left="113" w:right="108" w:firstLine="0"/>
        <w:jc w:val="both"/>
        <w:rPr>
          <w:sz w:val="18"/>
        </w:rPr>
      </w:pPr>
      <w:r>
        <w:rPr>
          <w:sz w:val="18"/>
        </w:rPr>
        <w:t>Castillo Fernández, Dídimo (2009) “América Latina: auge de la globalización y crisis del neoliberalismo”, en José Vicente Tavares dos Santos (org.), </w:t>
      </w:r>
      <w:r>
        <w:rPr>
          <w:i/>
          <w:sz w:val="18"/>
        </w:rPr>
        <w:t>Democra- </w:t>
      </w:r>
      <w:r>
        <w:rPr>
          <w:i/>
          <w:sz w:val="18"/>
        </w:rPr>
        <w:t>cia, violéncias e lutas sociales na América Latina</w:t>
      </w:r>
      <w:r>
        <w:rPr>
          <w:sz w:val="18"/>
        </w:rPr>
        <w:t>, Porto Alegre, Brasil: Univer- sidade Federal do Rio Grande do Sul, UFRGS Editora.</w:t>
      </w:r>
    </w:p>
    <w:p>
      <w:pPr>
        <w:spacing w:line="254" w:lineRule="auto" w:before="57"/>
        <w:ind w:left="113" w:right="108" w:firstLine="0"/>
        <w:jc w:val="both"/>
        <w:rPr>
          <w:sz w:val="18"/>
        </w:rPr>
      </w:pPr>
      <w:r>
        <w:rPr>
          <w:sz w:val="18"/>
        </w:rPr>
        <w:t>Castillo Fernández, Dídimo y Jorge Martínez Pizarro (2010ª) “Migraciones”, en Emir Sader </w:t>
      </w:r>
      <w:r>
        <w:rPr>
          <w:i/>
          <w:sz w:val="18"/>
        </w:rPr>
        <w:t>et al</w:t>
      </w:r>
      <w:r>
        <w:rPr>
          <w:sz w:val="18"/>
        </w:rPr>
        <w:t>. (coords.), </w:t>
      </w:r>
      <w:r>
        <w:rPr>
          <w:i/>
          <w:sz w:val="18"/>
        </w:rPr>
        <w:t>Latinoamericana</w:t>
      </w:r>
      <w:r>
        <w:rPr>
          <w:sz w:val="18"/>
        </w:rPr>
        <w:t>, Enciclopedia Contemporánea de América Latina y el Caribe, Tomo II, Buenos Aires: CLACSO-Boitempo Edito- rial-Editorial La Página.</w:t>
      </w:r>
    </w:p>
    <w:p>
      <w:pPr>
        <w:spacing w:line="254" w:lineRule="auto" w:before="57"/>
        <w:ind w:left="113" w:right="107" w:firstLine="0"/>
        <w:jc w:val="both"/>
        <w:rPr>
          <w:sz w:val="18"/>
        </w:rPr>
      </w:pPr>
      <w:r>
        <w:rPr>
          <w:sz w:val="18"/>
        </w:rPr>
        <w:t>Castillo Fernández, Dídimo (2010b) “Hegemonía y clase obrera de Estados Unidos”, en Marco A. Gandásegui, hijo y Dídimo Castillo Fernández, </w:t>
      </w:r>
      <w:r>
        <w:rPr>
          <w:i/>
          <w:sz w:val="18"/>
        </w:rPr>
        <w:t>Estados </w:t>
      </w:r>
      <w:r>
        <w:rPr>
          <w:i/>
          <w:sz w:val="18"/>
        </w:rPr>
        <w:t>Unidos: la crisis sistémica y las nuevas condiciones de legitimación</w:t>
      </w:r>
      <w:r>
        <w:rPr>
          <w:sz w:val="18"/>
        </w:rPr>
        <w:t>, México: Clacso-Siglo XXI Editores.</w:t>
      </w:r>
    </w:p>
    <w:p>
      <w:pPr>
        <w:spacing w:line="254" w:lineRule="auto" w:before="57"/>
        <w:ind w:left="113" w:right="108" w:firstLine="0"/>
        <w:jc w:val="both"/>
        <w:rPr>
          <w:sz w:val="18"/>
        </w:rPr>
      </w:pPr>
      <w:r>
        <w:rPr>
          <w:sz w:val="18"/>
        </w:rPr>
        <w:t>Castillo Fernández, Dídimo (2012) “Estados Unidos: crisis económica,</w:t>
      </w:r>
      <w:r>
        <w:rPr>
          <w:spacing w:val="-30"/>
          <w:sz w:val="18"/>
        </w:rPr>
        <w:t> </w:t>
      </w:r>
      <w:r>
        <w:rPr>
          <w:sz w:val="18"/>
        </w:rPr>
        <w:t>reestruc- turación productiva y nueva precariedad laboral”, en Dídimo Castillo Fernández y Marco A. Gandásegui, hijo (ed.), E</w:t>
      </w:r>
      <w:r>
        <w:rPr>
          <w:i/>
          <w:sz w:val="18"/>
        </w:rPr>
        <w:t>stados Unidos: Más allá de la crisis</w:t>
      </w:r>
      <w:r>
        <w:rPr>
          <w:sz w:val="18"/>
        </w:rPr>
        <w:t>, Con- sejo</w:t>
      </w:r>
      <w:r>
        <w:rPr>
          <w:spacing w:val="-7"/>
          <w:sz w:val="18"/>
        </w:rPr>
        <w:t> </w:t>
      </w:r>
      <w:r>
        <w:rPr>
          <w:sz w:val="18"/>
        </w:rPr>
        <w:t>Latinoamericano</w:t>
      </w:r>
      <w:r>
        <w:rPr>
          <w:spacing w:val="-7"/>
          <w:sz w:val="18"/>
        </w:rPr>
        <w:t> </w:t>
      </w:r>
      <w:r>
        <w:rPr>
          <w:sz w:val="18"/>
        </w:rPr>
        <w:t>de</w:t>
      </w:r>
      <w:r>
        <w:rPr>
          <w:spacing w:val="-7"/>
          <w:sz w:val="18"/>
        </w:rPr>
        <w:t> </w:t>
      </w:r>
      <w:r>
        <w:rPr>
          <w:sz w:val="18"/>
        </w:rPr>
        <w:t>Ciencias</w:t>
      </w:r>
      <w:r>
        <w:rPr>
          <w:spacing w:val="-7"/>
          <w:sz w:val="18"/>
        </w:rPr>
        <w:t> </w:t>
      </w:r>
      <w:r>
        <w:rPr>
          <w:sz w:val="18"/>
        </w:rPr>
        <w:t>Sociales,</w:t>
      </w:r>
      <w:r>
        <w:rPr>
          <w:spacing w:val="-7"/>
          <w:sz w:val="18"/>
        </w:rPr>
        <w:t> </w:t>
      </w:r>
      <w:r>
        <w:rPr>
          <w:sz w:val="18"/>
        </w:rPr>
        <w:t>México:</w:t>
      </w:r>
      <w:r>
        <w:rPr>
          <w:spacing w:val="-7"/>
          <w:sz w:val="18"/>
        </w:rPr>
        <w:t> </w:t>
      </w:r>
      <w:r>
        <w:rPr>
          <w:sz w:val="18"/>
        </w:rPr>
        <w:t>Clacso-Siglo</w:t>
      </w:r>
      <w:r>
        <w:rPr>
          <w:spacing w:val="-7"/>
          <w:sz w:val="18"/>
        </w:rPr>
        <w:t> </w:t>
      </w:r>
      <w:r>
        <w:rPr>
          <w:sz w:val="18"/>
        </w:rPr>
        <w:t>XXI</w:t>
      </w:r>
      <w:r>
        <w:rPr>
          <w:spacing w:val="-7"/>
          <w:sz w:val="18"/>
        </w:rPr>
        <w:t> </w:t>
      </w:r>
      <w:r>
        <w:rPr>
          <w:sz w:val="18"/>
        </w:rPr>
        <w:t>Editores- Facultad de Ciencias Políticas y Sociales, Universidad Autónoma del Estado de México.</w:t>
      </w:r>
    </w:p>
    <w:p>
      <w:pPr>
        <w:spacing w:line="254" w:lineRule="auto" w:before="57"/>
        <w:ind w:left="113" w:right="108" w:firstLine="0"/>
        <w:jc w:val="both"/>
        <w:rPr>
          <w:sz w:val="18"/>
        </w:rPr>
      </w:pPr>
      <w:r>
        <w:rPr>
          <w:sz w:val="18"/>
        </w:rPr>
        <w:t>Castillo Fernández, Dídimo y Adrián Sotelo Valencia (2013) “Latin America: Outsourcing and the New Labor Precariousness”, en </w:t>
      </w:r>
      <w:r>
        <w:rPr>
          <w:i/>
          <w:sz w:val="18"/>
        </w:rPr>
        <w:t>Latin American Perspecti- </w:t>
      </w:r>
      <w:r>
        <w:rPr>
          <w:i/>
          <w:sz w:val="18"/>
        </w:rPr>
        <w:t>ves</w:t>
      </w:r>
      <w:r>
        <w:rPr>
          <w:sz w:val="18"/>
        </w:rPr>
        <w:t>, Issue 192, vol. 40, number 5, CA, U.S.: LAP Editorial, September.</w:t>
      </w:r>
    </w:p>
    <w:p>
      <w:pPr>
        <w:spacing w:line="254" w:lineRule="auto" w:before="57"/>
        <w:ind w:left="113" w:right="108" w:firstLine="0"/>
        <w:jc w:val="both"/>
        <w:rPr>
          <w:sz w:val="18"/>
        </w:rPr>
      </w:pPr>
      <w:r>
        <w:rPr>
          <w:sz w:val="18"/>
        </w:rPr>
        <w:t>Cepal (2002) </w:t>
      </w:r>
      <w:r>
        <w:rPr>
          <w:i/>
          <w:sz w:val="18"/>
        </w:rPr>
        <w:t>Globalización y desarrollo</w:t>
      </w:r>
      <w:r>
        <w:rPr>
          <w:sz w:val="18"/>
        </w:rPr>
        <w:t>, Cepal, Vigésimo período de sesio- nes, Brasil, 6 al 10 de mayo. Consultado octubre 2014 en Cepal.org/pdfs/2002/ s2002024.pdf</w:t>
      </w:r>
    </w:p>
    <w:p>
      <w:pPr>
        <w:spacing w:line="254" w:lineRule="auto" w:before="57"/>
        <w:ind w:left="113" w:right="108" w:firstLine="0"/>
        <w:jc w:val="both"/>
        <w:rPr>
          <w:sz w:val="18"/>
        </w:rPr>
      </w:pPr>
      <w:r>
        <w:rPr>
          <w:sz w:val="18"/>
        </w:rPr>
        <w:t>Di Filippo, Armando (2000) “Globalización, integración regional y migracio- nes</w:t>
      </w:r>
      <w:r>
        <w:rPr>
          <w:i/>
          <w:sz w:val="18"/>
        </w:rPr>
        <w:t>”, </w:t>
      </w:r>
      <w:r>
        <w:rPr>
          <w:sz w:val="18"/>
        </w:rPr>
        <w:t>en </w:t>
      </w:r>
      <w:r>
        <w:rPr>
          <w:i/>
          <w:sz w:val="18"/>
        </w:rPr>
        <w:t>Seminar on International Migration in the Americas</w:t>
      </w:r>
      <w:r>
        <w:rPr>
          <w:sz w:val="18"/>
        </w:rPr>
        <w:t>, vol. 4, San José, Costa Rica.</w:t>
      </w:r>
    </w:p>
    <w:p>
      <w:pPr>
        <w:spacing w:line="254" w:lineRule="auto" w:before="57"/>
        <w:ind w:left="113" w:right="108" w:firstLine="0"/>
        <w:jc w:val="both"/>
        <w:rPr>
          <w:sz w:val="18"/>
        </w:rPr>
      </w:pPr>
      <w:r>
        <w:rPr>
          <w:sz w:val="18"/>
        </w:rPr>
        <w:t>García Medina, Amalia (2009) “Las migraciones internacionales en un mundo globalizado”, en </w:t>
      </w:r>
      <w:r>
        <w:rPr>
          <w:i/>
          <w:sz w:val="18"/>
        </w:rPr>
        <w:t>La Jornada</w:t>
      </w:r>
      <w:r>
        <w:rPr>
          <w:sz w:val="18"/>
        </w:rPr>
        <w:t>, 12 de enero, México: Consultado octubre 2014 en </w:t>
      </w:r>
      <w:hyperlink r:id="rId87">
        <w:r>
          <w:rPr>
            <w:sz w:val="18"/>
          </w:rPr>
          <w:t>http://migracion.jornada.com.mx/opinion/las-migraciones-internacionales-en-</w:t>
        </w:r>
      </w:hyperlink>
      <w:r>
        <w:rPr>
          <w:sz w:val="18"/>
        </w:rPr>
        <w:t> un-mundo-globalizado)</w:t>
      </w:r>
    </w:p>
    <w:p>
      <w:pPr>
        <w:spacing w:line="254" w:lineRule="auto" w:before="57"/>
        <w:ind w:left="113" w:right="108" w:firstLine="0"/>
        <w:jc w:val="both"/>
        <w:rPr>
          <w:sz w:val="18"/>
        </w:rPr>
      </w:pPr>
      <w:r>
        <w:rPr>
          <w:sz w:val="18"/>
        </w:rPr>
        <w:t>González Amador, Roberto, 2012, “En EU los migrantes mexicanos reciben los salarios</w:t>
      </w:r>
      <w:r>
        <w:rPr>
          <w:spacing w:val="-6"/>
          <w:sz w:val="18"/>
        </w:rPr>
        <w:t> </w:t>
      </w:r>
      <w:r>
        <w:rPr>
          <w:sz w:val="18"/>
        </w:rPr>
        <w:t>más</w:t>
      </w:r>
      <w:r>
        <w:rPr>
          <w:spacing w:val="-7"/>
          <w:sz w:val="18"/>
        </w:rPr>
        <w:t> </w:t>
      </w:r>
      <w:r>
        <w:rPr>
          <w:sz w:val="18"/>
        </w:rPr>
        <w:t>bajos”,</w:t>
      </w:r>
      <w:r>
        <w:rPr>
          <w:spacing w:val="-7"/>
          <w:sz w:val="18"/>
        </w:rPr>
        <w:t> </w:t>
      </w:r>
      <w:r>
        <w:rPr>
          <w:sz w:val="18"/>
        </w:rPr>
        <w:t>en</w:t>
      </w:r>
      <w:r>
        <w:rPr>
          <w:spacing w:val="-7"/>
          <w:sz w:val="18"/>
        </w:rPr>
        <w:t> </w:t>
      </w:r>
      <w:r>
        <w:rPr>
          <w:i/>
          <w:sz w:val="18"/>
        </w:rPr>
        <w:t>La</w:t>
      </w:r>
      <w:r>
        <w:rPr>
          <w:i/>
          <w:spacing w:val="-7"/>
          <w:sz w:val="18"/>
        </w:rPr>
        <w:t> </w:t>
      </w:r>
      <w:r>
        <w:rPr>
          <w:i/>
          <w:sz w:val="18"/>
        </w:rPr>
        <w:t>Jornada</w:t>
      </w:r>
      <w:r>
        <w:rPr>
          <w:sz w:val="18"/>
        </w:rPr>
        <w:t>,</w:t>
      </w:r>
      <w:r>
        <w:rPr>
          <w:spacing w:val="-7"/>
          <w:sz w:val="18"/>
        </w:rPr>
        <w:t> </w:t>
      </w:r>
      <w:r>
        <w:rPr>
          <w:sz w:val="18"/>
        </w:rPr>
        <w:t>6</w:t>
      </w:r>
      <w:r>
        <w:rPr>
          <w:spacing w:val="-7"/>
          <w:sz w:val="18"/>
        </w:rPr>
        <w:t> </w:t>
      </w:r>
      <w:r>
        <w:rPr>
          <w:sz w:val="18"/>
        </w:rPr>
        <w:t>de</w:t>
      </w:r>
      <w:r>
        <w:rPr>
          <w:spacing w:val="-7"/>
          <w:sz w:val="18"/>
        </w:rPr>
        <w:t> </w:t>
      </w:r>
      <w:r>
        <w:rPr>
          <w:sz w:val="18"/>
        </w:rPr>
        <w:t>diciembre,</w:t>
      </w:r>
      <w:r>
        <w:rPr>
          <w:spacing w:val="-7"/>
          <w:sz w:val="18"/>
        </w:rPr>
        <w:t> </w:t>
      </w:r>
      <w:r>
        <w:rPr>
          <w:sz w:val="18"/>
        </w:rPr>
        <w:t>México:</w:t>
      </w:r>
      <w:r>
        <w:rPr>
          <w:spacing w:val="-6"/>
          <w:sz w:val="18"/>
        </w:rPr>
        <w:t> </w:t>
      </w:r>
      <w:r>
        <w:rPr>
          <w:sz w:val="18"/>
        </w:rPr>
        <w:t>Consultado</w:t>
      </w:r>
      <w:r>
        <w:rPr>
          <w:spacing w:val="-7"/>
          <w:sz w:val="18"/>
        </w:rPr>
        <w:t> </w:t>
      </w:r>
      <w:r>
        <w:rPr>
          <w:sz w:val="18"/>
        </w:rPr>
        <w:t>octubre 2014 en </w:t>
      </w:r>
      <w:hyperlink r:id="rId88">
        <w:r>
          <w:rPr>
            <w:sz w:val="18"/>
            <w:u w:val="single" w:color="0562C1"/>
          </w:rPr>
          <w:t>http://www.jornada.unam.mx/2012/12/06/economia/026n1eco</w:t>
        </w:r>
        <w:r>
          <w:rPr>
            <w:spacing w:val="-14"/>
            <w:sz w:val="18"/>
            <w:u w:val="single" w:color="0562C1"/>
          </w:rPr>
          <w:t> </w:t>
        </w:r>
      </w:hyperlink>
      <w:r>
        <w:rPr>
          <w:sz w:val="18"/>
        </w:rPr>
        <w:t>).</w:t>
      </w:r>
    </w:p>
    <w:p>
      <w:pPr>
        <w:spacing w:line="254" w:lineRule="auto" w:before="57"/>
        <w:ind w:left="113" w:right="108" w:firstLine="0"/>
        <w:jc w:val="both"/>
        <w:rPr>
          <w:sz w:val="18"/>
        </w:rPr>
      </w:pPr>
      <w:r>
        <w:rPr>
          <w:sz w:val="18"/>
        </w:rPr>
        <w:t>Guadarrama, José y Silvia Otero (2013) “Movilidad interregional aumenta en Sudamérica”, en </w:t>
      </w:r>
      <w:r>
        <w:rPr>
          <w:i/>
          <w:sz w:val="18"/>
        </w:rPr>
        <w:t>El Universal</w:t>
      </w:r>
      <w:r>
        <w:rPr>
          <w:sz w:val="18"/>
        </w:rPr>
        <w:t>, 10 de marzo, México.</w:t>
      </w:r>
    </w:p>
    <w:p>
      <w:pPr>
        <w:spacing w:line="254" w:lineRule="auto" w:before="57"/>
        <w:ind w:left="113" w:right="108" w:firstLine="0"/>
        <w:jc w:val="both"/>
        <w:rPr>
          <w:sz w:val="18"/>
        </w:rPr>
      </w:pPr>
      <w:r>
        <w:rPr>
          <w:sz w:val="18"/>
        </w:rPr>
        <w:t>Harvey, David (2013) “El neoliberalismo como ‘proyecto de clase’”, en </w:t>
      </w:r>
      <w:r>
        <w:rPr>
          <w:i/>
          <w:sz w:val="18"/>
        </w:rPr>
        <w:t>Viento </w:t>
      </w:r>
      <w:r>
        <w:rPr>
          <w:i/>
          <w:sz w:val="18"/>
        </w:rPr>
        <w:t>Sur</w:t>
      </w:r>
      <w:r>
        <w:rPr>
          <w:sz w:val="18"/>
        </w:rPr>
        <w:t>, Entrevista con Elasa Boulet, 8 de abril. Consultado octubre 2014 en </w:t>
      </w:r>
      <w:r>
        <w:rPr>
          <w:sz w:val="18"/>
          <w:u w:val="single" w:color="0562C1"/>
        </w:rPr>
        <w:t>http:// </w:t>
      </w:r>
      <w:hyperlink r:id="rId89">
        <w:r>
          <w:rPr>
            <w:sz w:val="18"/>
            <w:u w:val="single" w:color="0562C1"/>
          </w:rPr>
          <w:t>www.vientosur.info/spip.php?article7843</w:t>
        </w:r>
        <w:r>
          <w:rPr>
            <w:sz w:val="18"/>
          </w:rPr>
          <w:t>.</w:t>
        </w:r>
      </w:hyperlink>
    </w:p>
    <w:p>
      <w:pPr>
        <w:spacing w:after="0" w:line="254" w:lineRule="auto"/>
        <w:jc w:val="both"/>
        <w:rPr>
          <w:sz w:val="18"/>
        </w:rPr>
        <w:sectPr>
          <w:pgSz w:w="7770" w:h="11740"/>
          <w:pgMar w:header="0" w:footer="559" w:top="840" w:bottom="740" w:left="1020" w:right="740"/>
        </w:sectPr>
      </w:pPr>
    </w:p>
    <w:p>
      <w:pPr>
        <w:spacing w:line="254" w:lineRule="auto" w:before="65"/>
        <w:ind w:left="110" w:right="111" w:firstLine="0"/>
        <w:jc w:val="both"/>
        <w:rPr>
          <w:sz w:val="18"/>
        </w:rPr>
      </w:pPr>
      <w:r>
        <w:rPr>
          <w:sz w:val="18"/>
        </w:rPr>
        <w:t>Kliman, Andrew (2013) “La caída de la tasa de ganancia y el fracaso de la pro- ducción capitalista”, en </w:t>
      </w:r>
      <w:r>
        <w:rPr>
          <w:i/>
          <w:sz w:val="18"/>
        </w:rPr>
        <w:t>La Haine</w:t>
      </w:r>
      <w:r>
        <w:rPr>
          <w:sz w:val="18"/>
        </w:rPr>
        <w:t>, Entrevista. 22 de abril. Consultado octubre 2014 en </w:t>
      </w:r>
      <w:hyperlink r:id="rId91">
        <w:r>
          <w:rPr>
            <w:sz w:val="18"/>
          </w:rPr>
          <w:t>http://www.lahaine.org/index.php?blog=3&amp;p=38530</w:t>
        </w:r>
      </w:hyperlink>
    </w:p>
    <w:p>
      <w:pPr>
        <w:spacing w:line="254" w:lineRule="auto" w:before="57"/>
        <w:ind w:left="110" w:right="111" w:firstLine="0"/>
        <w:jc w:val="both"/>
        <w:rPr>
          <w:sz w:val="18"/>
        </w:rPr>
      </w:pPr>
      <w:r>
        <w:rPr>
          <w:sz w:val="18"/>
        </w:rPr>
        <w:t>Librered</w:t>
      </w:r>
      <w:r>
        <w:rPr>
          <w:spacing w:val="-6"/>
          <w:sz w:val="18"/>
        </w:rPr>
        <w:t> </w:t>
      </w:r>
      <w:r>
        <w:rPr>
          <w:sz w:val="18"/>
        </w:rPr>
        <w:t>(2013)</w:t>
      </w:r>
      <w:r>
        <w:rPr>
          <w:spacing w:val="-6"/>
          <w:sz w:val="18"/>
        </w:rPr>
        <w:t> </w:t>
      </w:r>
      <w:r>
        <w:rPr>
          <w:i/>
          <w:sz w:val="18"/>
        </w:rPr>
        <w:t>La</w:t>
      </w:r>
      <w:r>
        <w:rPr>
          <w:i/>
          <w:spacing w:val="-6"/>
          <w:sz w:val="18"/>
        </w:rPr>
        <w:t> </w:t>
      </w:r>
      <w:r>
        <w:rPr>
          <w:i/>
          <w:sz w:val="18"/>
        </w:rPr>
        <w:t>desigualdad</w:t>
      </w:r>
      <w:r>
        <w:rPr>
          <w:i/>
          <w:spacing w:val="-6"/>
          <w:sz w:val="18"/>
        </w:rPr>
        <w:t> </w:t>
      </w:r>
      <w:r>
        <w:rPr>
          <w:i/>
          <w:sz w:val="18"/>
        </w:rPr>
        <w:t>social</w:t>
      </w:r>
      <w:r>
        <w:rPr>
          <w:i/>
          <w:spacing w:val="-6"/>
          <w:sz w:val="18"/>
        </w:rPr>
        <w:t> </w:t>
      </w:r>
      <w:r>
        <w:rPr>
          <w:i/>
          <w:sz w:val="18"/>
        </w:rPr>
        <w:t>coloca</w:t>
      </w:r>
      <w:r>
        <w:rPr>
          <w:i/>
          <w:spacing w:val="-6"/>
          <w:sz w:val="18"/>
        </w:rPr>
        <w:t> </w:t>
      </w:r>
      <w:r>
        <w:rPr>
          <w:i/>
          <w:sz w:val="18"/>
        </w:rPr>
        <w:t>a</w:t>
      </w:r>
      <w:r>
        <w:rPr>
          <w:i/>
          <w:spacing w:val="-6"/>
          <w:sz w:val="18"/>
        </w:rPr>
        <w:t> </w:t>
      </w:r>
      <w:r>
        <w:rPr>
          <w:i/>
          <w:sz w:val="18"/>
        </w:rPr>
        <w:t>Estados</w:t>
      </w:r>
      <w:r>
        <w:rPr>
          <w:i/>
          <w:spacing w:val="-6"/>
          <w:sz w:val="18"/>
        </w:rPr>
        <w:t> </w:t>
      </w:r>
      <w:r>
        <w:rPr>
          <w:i/>
          <w:sz w:val="18"/>
        </w:rPr>
        <w:t>Unidos</w:t>
      </w:r>
      <w:r>
        <w:rPr>
          <w:i/>
          <w:spacing w:val="-5"/>
          <w:sz w:val="18"/>
        </w:rPr>
        <w:t> </w:t>
      </w:r>
      <w:r>
        <w:rPr>
          <w:i/>
          <w:sz w:val="18"/>
        </w:rPr>
        <w:t>al</w:t>
      </w:r>
      <w:r>
        <w:rPr>
          <w:i/>
          <w:spacing w:val="-6"/>
          <w:sz w:val="18"/>
        </w:rPr>
        <w:t> </w:t>
      </w:r>
      <w:r>
        <w:rPr>
          <w:i/>
          <w:sz w:val="18"/>
        </w:rPr>
        <w:t>borde</w:t>
      </w:r>
      <w:r>
        <w:rPr>
          <w:i/>
          <w:spacing w:val="-6"/>
          <w:sz w:val="18"/>
        </w:rPr>
        <w:t> </w:t>
      </w:r>
      <w:r>
        <w:rPr>
          <w:i/>
          <w:sz w:val="18"/>
        </w:rPr>
        <w:t>de</w:t>
      </w:r>
      <w:r>
        <w:rPr>
          <w:i/>
          <w:spacing w:val="-6"/>
          <w:sz w:val="18"/>
        </w:rPr>
        <w:t> </w:t>
      </w:r>
      <w:r>
        <w:rPr>
          <w:i/>
          <w:sz w:val="18"/>
        </w:rPr>
        <w:t>otra </w:t>
      </w:r>
      <w:r>
        <w:rPr>
          <w:i/>
          <w:sz w:val="18"/>
        </w:rPr>
        <w:t>Gran Depresión</w:t>
      </w:r>
      <w:r>
        <w:rPr>
          <w:sz w:val="18"/>
        </w:rPr>
        <w:t>, 24 de junio. Consultado octubre 2014 en http://www.librered. net/?p=27642</w:t>
      </w:r>
    </w:p>
    <w:p>
      <w:pPr>
        <w:spacing w:line="254" w:lineRule="auto" w:before="57"/>
        <w:ind w:left="110" w:right="111" w:firstLine="0"/>
        <w:jc w:val="both"/>
        <w:rPr>
          <w:sz w:val="18"/>
        </w:rPr>
      </w:pPr>
      <w:r>
        <w:rPr>
          <w:sz w:val="18"/>
        </w:rPr>
        <w:t>Márquez Covarrubias, Humberto (2010) “La gran crisis del capitalismo neolibe- ral”, en </w:t>
      </w:r>
      <w:r>
        <w:rPr>
          <w:i/>
          <w:sz w:val="18"/>
        </w:rPr>
        <w:t>Andamios</w:t>
      </w:r>
      <w:r>
        <w:rPr>
          <w:sz w:val="18"/>
        </w:rPr>
        <w:t>, vol. 7, núm. 13, mayo-agosto, México.</w:t>
      </w:r>
    </w:p>
    <w:p>
      <w:pPr>
        <w:spacing w:line="254" w:lineRule="auto" w:before="57"/>
        <w:ind w:left="110" w:right="111" w:firstLine="0"/>
        <w:jc w:val="both"/>
        <w:rPr>
          <w:sz w:val="18"/>
        </w:rPr>
      </w:pPr>
      <w:r>
        <w:rPr>
          <w:sz w:val="18"/>
        </w:rPr>
        <w:t>Martínez, Jorge y Daniela Vono (2005) “Geografía migratoria intrarregional de América Latina y el Caribe al comienzo del siglo XXI”, en </w:t>
      </w:r>
      <w:r>
        <w:rPr>
          <w:i/>
          <w:sz w:val="18"/>
        </w:rPr>
        <w:t>Revista de Geogra- </w:t>
      </w:r>
      <w:r>
        <w:rPr>
          <w:i/>
          <w:sz w:val="18"/>
        </w:rPr>
        <w:t>fía Norte Grande</w:t>
      </w:r>
      <w:r>
        <w:rPr>
          <w:sz w:val="18"/>
        </w:rPr>
        <w:t>, núm. 34, Instituto de Geografía, Santiago de Chile: Pontificia Universidad Católica de Chile, diciembre.</w:t>
      </w:r>
    </w:p>
    <w:p>
      <w:pPr>
        <w:spacing w:line="254" w:lineRule="auto" w:before="57"/>
        <w:ind w:left="110" w:right="111" w:firstLine="0"/>
        <w:jc w:val="both"/>
        <w:rPr>
          <w:sz w:val="18"/>
        </w:rPr>
      </w:pPr>
      <w:r>
        <w:rPr>
          <w:sz w:val="18"/>
        </w:rPr>
        <w:t>Mejía</w:t>
      </w:r>
      <w:r>
        <w:rPr>
          <w:spacing w:val="-11"/>
          <w:sz w:val="18"/>
        </w:rPr>
        <w:t> </w:t>
      </w:r>
      <w:r>
        <w:rPr>
          <w:sz w:val="18"/>
        </w:rPr>
        <w:t>Ochoa,</w:t>
      </w:r>
      <w:r>
        <w:rPr>
          <w:spacing w:val="-14"/>
          <w:sz w:val="18"/>
        </w:rPr>
        <w:t> </w:t>
      </w:r>
      <w:r>
        <w:rPr>
          <w:sz w:val="18"/>
        </w:rPr>
        <w:t>William</w:t>
      </w:r>
      <w:r>
        <w:rPr>
          <w:spacing w:val="-11"/>
          <w:sz w:val="18"/>
        </w:rPr>
        <w:t> </w:t>
      </w:r>
      <w:r>
        <w:rPr>
          <w:sz w:val="18"/>
        </w:rPr>
        <w:t>(2013)</w:t>
      </w:r>
      <w:r>
        <w:rPr>
          <w:spacing w:val="-11"/>
          <w:sz w:val="18"/>
        </w:rPr>
        <w:t> </w:t>
      </w:r>
      <w:r>
        <w:rPr>
          <w:sz w:val="18"/>
        </w:rPr>
        <w:t>“Analista</w:t>
      </w:r>
      <w:r>
        <w:rPr>
          <w:spacing w:val="-11"/>
          <w:sz w:val="18"/>
        </w:rPr>
        <w:t> </w:t>
      </w:r>
      <w:r>
        <w:rPr>
          <w:sz w:val="18"/>
        </w:rPr>
        <w:t>destaca</w:t>
      </w:r>
      <w:r>
        <w:rPr>
          <w:spacing w:val="-11"/>
          <w:sz w:val="18"/>
        </w:rPr>
        <w:t> </w:t>
      </w:r>
      <w:r>
        <w:rPr>
          <w:sz w:val="18"/>
        </w:rPr>
        <w:t>el</w:t>
      </w:r>
      <w:r>
        <w:rPr>
          <w:spacing w:val="-11"/>
          <w:sz w:val="18"/>
        </w:rPr>
        <w:t> </w:t>
      </w:r>
      <w:r>
        <w:rPr>
          <w:sz w:val="18"/>
        </w:rPr>
        <w:t>fuerte</w:t>
      </w:r>
      <w:r>
        <w:rPr>
          <w:spacing w:val="-11"/>
          <w:sz w:val="18"/>
        </w:rPr>
        <w:t> </w:t>
      </w:r>
      <w:r>
        <w:rPr>
          <w:sz w:val="18"/>
        </w:rPr>
        <w:t>crecimiento</w:t>
      </w:r>
      <w:r>
        <w:rPr>
          <w:spacing w:val="-12"/>
          <w:sz w:val="18"/>
        </w:rPr>
        <w:t> </w:t>
      </w:r>
      <w:r>
        <w:rPr>
          <w:sz w:val="18"/>
        </w:rPr>
        <w:t>de</w:t>
      </w:r>
      <w:r>
        <w:rPr>
          <w:spacing w:val="-11"/>
          <w:sz w:val="18"/>
        </w:rPr>
        <w:t> </w:t>
      </w:r>
      <w:r>
        <w:rPr>
          <w:sz w:val="18"/>
        </w:rPr>
        <w:t>la</w:t>
      </w:r>
      <w:r>
        <w:rPr>
          <w:spacing w:val="-11"/>
          <w:sz w:val="18"/>
        </w:rPr>
        <w:t> </w:t>
      </w:r>
      <w:r>
        <w:rPr>
          <w:sz w:val="18"/>
        </w:rPr>
        <w:t>migra- ción interregional”, en </w:t>
      </w:r>
      <w:r>
        <w:rPr>
          <w:i/>
          <w:sz w:val="18"/>
        </w:rPr>
        <w:t>Télam</w:t>
      </w:r>
      <w:r>
        <w:rPr>
          <w:sz w:val="18"/>
        </w:rPr>
        <w:t>, 6 de julio. Consultado julio 2014 en </w:t>
      </w:r>
      <w:hyperlink r:id="rId92">
        <w:r>
          <w:rPr>
            <w:sz w:val="18"/>
          </w:rPr>
          <w:t>http://www.</w:t>
        </w:r>
      </w:hyperlink>
      <w:r>
        <w:rPr>
          <w:sz w:val="18"/>
        </w:rPr>
        <w:t> telam.com.ar/notas/201307/23912- analistan-destacan-</w:t>
      </w:r>
      <w:r>
        <w:rPr>
          <w:spacing w:val="-20"/>
          <w:sz w:val="18"/>
        </w:rPr>
        <w:t> </w:t>
      </w:r>
      <w:r>
        <w:rPr>
          <w:sz w:val="18"/>
        </w:rPr>
        <w:t>el-fuerte-crecimiento-de- la-migracion-interregional.html</w:t>
      </w:r>
    </w:p>
    <w:p>
      <w:pPr>
        <w:spacing w:line="254" w:lineRule="auto" w:before="57"/>
        <w:ind w:left="110" w:right="111" w:firstLine="0"/>
        <w:jc w:val="both"/>
        <w:rPr>
          <w:sz w:val="18"/>
        </w:rPr>
      </w:pPr>
      <w:r>
        <w:rPr>
          <w:sz w:val="18"/>
        </w:rPr>
        <w:t>Naciones</w:t>
      </w:r>
      <w:r>
        <w:rPr>
          <w:spacing w:val="-10"/>
          <w:sz w:val="18"/>
        </w:rPr>
        <w:t> </w:t>
      </w:r>
      <w:r>
        <w:rPr>
          <w:sz w:val="18"/>
        </w:rPr>
        <w:t>Unidas</w:t>
      </w:r>
      <w:r>
        <w:rPr>
          <w:spacing w:val="-10"/>
          <w:sz w:val="18"/>
        </w:rPr>
        <w:t> </w:t>
      </w:r>
      <w:r>
        <w:rPr>
          <w:sz w:val="18"/>
        </w:rPr>
        <w:t>(1999)</w:t>
      </w:r>
      <w:r>
        <w:rPr>
          <w:spacing w:val="-11"/>
          <w:sz w:val="18"/>
        </w:rPr>
        <w:t> </w:t>
      </w:r>
      <w:r>
        <w:rPr>
          <w:i/>
          <w:sz w:val="18"/>
        </w:rPr>
        <w:t>Migración</w:t>
      </w:r>
      <w:r>
        <w:rPr>
          <w:i/>
          <w:spacing w:val="-11"/>
          <w:sz w:val="18"/>
        </w:rPr>
        <w:t> </w:t>
      </w:r>
      <w:r>
        <w:rPr>
          <w:i/>
          <w:sz w:val="18"/>
        </w:rPr>
        <w:t>internacional</w:t>
      </w:r>
      <w:r>
        <w:rPr>
          <w:i/>
          <w:spacing w:val="-12"/>
          <w:sz w:val="18"/>
        </w:rPr>
        <w:t> </w:t>
      </w:r>
      <w:r>
        <w:rPr>
          <w:i/>
          <w:sz w:val="18"/>
        </w:rPr>
        <w:t>en</w:t>
      </w:r>
      <w:r>
        <w:rPr>
          <w:i/>
          <w:spacing w:val="-14"/>
          <w:sz w:val="18"/>
        </w:rPr>
        <w:t> </w:t>
      </w:r>
      <w:r>
        <w:rPr>
          <w:i/>
          <w:sz w:val="18"/>
        </w:rPr>
        <w:t>América</w:t>
      </w:r>
      <w:r>
        <w:rPr>
          <w:i/>
          <w:spacing w:val="-11"/>
          <w:sz w:val="18"/>
        </w:rPr>
        <w:t> </w:t>
      </w:r>
      <w:r>
        <w:rPr>
          <w:i/>
          <w:sz w:val="18"/>
        </w:rPr>
        <w:t>Latina</w:t>
      </w:r>
      <w:r>
        <w:rPr>
          <w:i/>
          <w:spacing w:val="-11"/>
          <w:sz w:val="18"/>
        </w:rPr>
        <w:t> </w:t>
      </w:r>
      <w:r>
        <w:rPr>
          <w:sz w:val="18"/>
        </w:rPr>
        <w:t>y</w:t>
      </w:r>
      <w:r>
        <w:rPr>
          <w:spacing w:val="-11"/>
          <w:sz w:val="18"/>
        </w:rPr>
        <w:t> </w:t>
      </w:r>
      <w:r>
        <w:rPr>
          <w:i/>
          <w:sz w:val="18"/>
        </w:rPr>
        <w:t>el</w:t>
      </w:r>
      <w:r>
        <w:rPr>
          <w:i/>
          <w:spacing w:val="-11"/>
          <w:sz w:val="18"/>
        </w:rPr>
        <w:t> </w:t>
      </w:r>
      <w:r>
        <w:rPr>
          <w:i/>
          <w:sz w:val="18"/>
        </w:rPr>
        <w:t>Caribe: </w:t>
      </w:r>
      <w:r>
        <w:rPr>
          <w:i/>
          <w:sz w:val="18"/>
        </w:rPr>
        <w:t>algunos antecedentes e</w:t>
      </w:r>
      <w:r>
        <w:rPr>
          <w:sz w:val="18"/>
        </w:rPr>
        <w:t>mpíricos, Santiago de Chile: Comisión Económica para América Latina, </w:t>
      </w:r>
      <w:r>
        <w:rPr>
          <w:spacing w:val="-4"/>
          <w:sz w:val="18"/>
        </w:rPr>
        <w:t>CEPAL, </w:t>
      </w:r>
      <w:r>
        <w:rPr>
          <w:sz w:val="18"/>
        </w:rPr>
        <w:t>Centro Latinoamericano y Caribeño de Demografía, 10 de abril.</w:t>
      </w:r>
    </w:p>
    <w:p>
      <w:pPr>
        <w:spacing w:line="254" w:lineRule="auto" w:before="57"/>
        <w:ind w:left="110" w:right="111" w:firstLine="0"/>
        <w:jc w:val="both"/>
        <w:rPr>
          <w:sz w:val="18"/>
        </w:rPr>
      </w:pPr>
      <w:r>
        <w:rPr>
          <w:sz w:val="18"/>
        </w:rPr>
        <w:t>Notimex (2010) “Casi el 16 por ciento de la fuerza laboral en Estados Uni-    dos, integrada por migrantes: estudio”, en </w:t>
      </w:r>
      <w:r>
        <w:rPr>
          <w:i/>
          <w:sz w:val="18"/>
        </w:rPr>
        <w:t>La Jornada</w:t>
      </w:r>
      <w:r>
        <w:rPr>
          <w:sz w:val="18"/>
        </w:rPr>
        <w:t>, 29 de agosto, México: Consultado septiembre 2014 en </w:t>
      </w:r>
      <w:hyperlink r:id="rId93">
        <w:r>
          <w:rPr>
            <w:sz w:val="18"/>
          </w:rPr>
          <w:t>http://www.jornada.unam.mx/2010/08/30/</w:t>
        </w:r>
      </w:hyperlink>
      <w:r>
        <w:rPr>
          <w:sz w:val="18"/>
        </w:rPr>
        <w:t> politica/016n1pol</w:t>
      </w:r>
    </w:p>
    <w:p>
      <w:pPr>
        <w:spacing w:line="254" w:lineRule="auto" w:before="57"/>
        <w:ind w:left="110" w:right="111" w:firstLine="0"/>
        <w:jc w:val="both"/>
        <w:rPr>
          <w:sz w:val="18"/>
        </w:rPr>
      </w:pPr>
      <w:r>
        <w:rPr>
          <w:sz w:val="18"/>
        </w:rPr>
        <w:t>Oman, Charles P. (1988) “Nuevas formas de inversión en los países en desarro- llo”, en </w:t>
      </w:r>
      <w:r>
        <w:rPr>
          <w:i/>
          <w:sz w:val="18"/>
        </w:rPr>
        <w:t>Economía de América Latina</w:t>
      </w:r>
      <w:r>
        <w:rPr>
          <w:sz w:val="18"/>
        </w:rPr>
        <w:t>, núm. 17, México: CIDE.</w:t>
      </w:r>
    </w:p>
    <w:p>
      <w:pPr>
        <w:spacing w:line="254" w:lineRule="auto" w:before="57"/>
        <w:ind w:left="110" w:right="110" w:firstLine="0"/>
        <w:jc w:val="both"/>
        <w:rPr>
          <w:sz w:val="18"/>
        </w:rPr>
      </w:pPr>
      <w:r>
        <w:rPr>
          <w:spacing w:val="-6"/>
          <w:sz w:val="18"/>
        </w:rPr>
        <w:t>RT </w:t>
      </w:r>
      <w:r>
        <w:rPr>
          <w:sz w:val="18"/>
        </w:rPr>
        <w:t>(2012a) “Estados Unidos vaticina la  disminución  de  la  pobreza  mun-  dial, pero la suya crece aceleradamente”, en </w:t>
      </w:r>
      <w:r>
        <w:rPr>
          <w:i/>
          <w:sz w:val="18"/>
        </w:rPr>
        <w:t>RT</w:t>
      </w:r>
      <w:r>
        <w:rPr>
          <w:sz w:val="18"/>
        </w:rPr>
        <w:t>, 30 de julio. Consultado abril 2013 en </w:t>
      </w:r>
      <w:hyperlink r:id="rId94">
        <w:r>
          <w:rPr>
            <w:sz w:val="18"/>
          </w:rPr>
          <w:t>http://actualidad.rt.com/economia/view/50293-EE.UU.-vaticina-</w:t>
        </w:r>
      </w:hyperlink>
      <w:r>
        <w:rPr>
          <w:sz w:val="18"/>
        </w:rPr>
        <w:t> disminuci%C3%B3n-de-pobreza-mundial,-pero-suya-crece-aceleradamente</w:t>
      </w:r>
    </w:p>
    <w:p>
      <w:pPr>
        <w:spacing w:line="254" w:lineRule="auto" w:before="57"/>
        <w:ind w:left="110" w:right="111" w:firstLine="0"/>
        <w:jc w:val="both"/>
        <w:rPr>
          <w:sz w:val="18"/>
        </w:rPr>
      </w:pPr>
      <w:r>
        <w:rPr>
          <w:sz w:val="18"/>
        </w:rPr>
        <w:t>RT (2012b) “Encarcelar a los inmigrantes, un negocio creciente en Estados Uni- dos”, en </w:t>
      </w:r>
      <w:r>
        <w:rPr>
          <w:i/>
          <w:sz w:val="18"/>
        </w:rPr>
        <w:t>RT</w:t>
      </w:r>
      <w:r>
        <w:rPr>
          <w:sz w:val="18"/>
        </w:rPr>
        <w:t>, agosto. Consultado octubre 2014 en </w:t>
      </w:r>
      <w:hyperlink r:id="rId95">
        <w:r>
          <w:rPr>
            <w:sz w:val="18"/>
          </w:rPr>
          <w:t>http://actualidad.rt.com/actua-</w:t>
        </w:r>
      </w:hyperlink>
      <w:r>
        <w:rPr>
          <w:sz w:val="18"/>
        </w:rPr>
        <w:t> lidad/view/50611-encarcelar-inmigrantes-negocio-creciente-eeuu-indocumenta- dos</w:t>
      </w:r>
    </w:p>
    <w:p>
      <w:pPr>
        <w:spacing w:line="254" w:lineRule="auto" w:before="57"/>
        <w:ind w:left="110" w:right="112" w:firstLine="0"/>
        <w:jc w:val="both"/>
        <w:rPr>
          <w:sz w:val="18"/>
        </w:rPr>
      </w:pPr>
      <w:r>
        <w:rPr>
          <w:sz w:val="18"/>
        </w:rPr>
        <w:t>Suárez-Orozco, Marcelo (2001) </w:t>
      </w:r>
      <w:r>
        <w:rPr>
          <w:i/>
          <w:sz w:val="18"/>
        </w:rPr>
        <w:t>Tema</w:t>
      </w:r>
      <w:r>
        <w:rPr>
          <w:sz w:val="18"/>
        </w:rPr>
        <w:t>, núm. 26, Fondo para el Desarrollo de la Cultura y la Educación, La Habana: Ministerio de Cultura, julio-septiembre.</w:t>
      </w:r>
    </w:p>
    <w:p>
      <w:pPr>
        <w:spacing w:line="254" w:lineRule="auto" w:before="57"/>
        <w:ind w:left="110" w:right="111" w:firstLine="0"/>
        <w:jc w:val="both"/>
        <w:rPr>
          <w:sz w:val="18"/>
        </w:rPr>
      </w:pPr>
      <w:r>
        <w:rPr>
          <w:sz w:val="18"/>
        </w:rPr>
        <w:t>Texidó, Ezequiel, Gladys Baer, Nora Pérez Vichich, Ana María Santestevan y Charles </w:t>
      </w:r>
      <w:r>
        <w:rPr>
          <w:spacing w:val="-10"/>
          <w:sz w:val="18"/>
        </w:rPr>
        <w:t>P. </w:t>
      </w:r>
      <w:r>
        <w:rPr>
          <w:sz w:val="18"/>
        </w:rPr>
        <w:t>Gomes (2003) </w:t>
      </w:r>
      <w:r>
        <w:rPr>
          <w:i/>
          <w:sz w:val="18"/>
        </w:rPr>
        <w:t>Migraciones laborales en Sudamérica</w:t>
      </w:r>
      <w:r>
        <w:rPr>
          <w:sz w:val="18"/>
        </w:rPr>
        <w:t>: el Mercosur ampliado, Estudios sobre Migraciones Internacionales, 63, Sector de la Protec- ción</w:t>
      </w:r>
      <w:r>
        <w:rPr>
          <w:spacing w:val="-6"/>
          <w:sz w:val="18"/>
        </w:rPr>
        <w:t> </w:t>
      </w:r>
      <w:r>
        <w:rPr>
          <w:sz w:val="18"/>
        </w:rPr>
        <w:t>Social,</w:t>
      </w:r>
      <w:r>
        <w:rPr>
          <w:spacing w:val="-6"/>
          <w:sz w:val="18"/>
        </w:rPr>
        <w:t> </w:t>
      </w:r>
      <w:r>
        <w:rPr>
          <w:sz w:val="18"/>
        </w:rPr>
        <w:t>Programa</w:t>
      </w:r>
      <w:r>
        <w:rPr>
          <w:spacing w:val="-6"/>
          <w:sz w:val="18"/>
        </w:rPr>
        <w:t> </w:t>
      </w:r>
      <w:r>
        <w:rPr>
          <w:sz w:val="18"/>
        </w:rPr>
        <w:t>de</w:t>
      </w:r>
      <w:r>
        <w:rPr>
          <w:spacing w:val="-6"/>
          <w:sz w:val="18"/>
        </w:rPr>
        <w:t> </w:t>
      </w:r>
      <w:r>
        <w:rPr>
          <w:sz w:val="18"/>
        </w:rPr>
        <w:t>Migraciones</w:t>
      </w:r>
      <w:r>
        <w:rPr>
          <w:spacing w:val="-6"/>
          <w:sz w:val="18"/>
        </w:rPr>
        <w:t> </w:t>
      </w:r>
      <w:r>
        <w:rPr>
          <w:sz w:val="18"/>
        </w:rPr>
        <w:t>Internacionales,</w:t>
      </w:r>
      <w:r>
        <w:rPr>
          <w:spacing w:val="-6"/>
          <w:sz w:val="18"/>
        </w:rPr>
        <w:t> </w:t>
      </w:r>
      <w:r>
        <w:rPr>
          <w:sz w:val="18"/>
        </w:rPr>
        <w:t>Ginebra:</w:t>
      </w:r>
      <w:r>
        <w:rPr>
          <w:spacing w:val="-6"/>
          <w:sz w:val="18"/>
        </w:rPr>
        <w:t> </w:t>
      </w:r>
      <w:r>
        <w:rPr>
          <w:sz w:val="18"/>
        </w:rPr>
        <w:t>Oficina</w:t>
      </w:r>
      <w:r>
        <w:rPr>
          <w:spacing w:val="-6"/>
          <w:sz w:val="18"/>
        </w:rPr>
        <w:t> </w:t>
      </w:r>
      <w:r>
        <w:rPr>
          <w:sz w:val="18"/>
        </w:rPr>
        <w:t>Interna- cional del Trabajo</w:t>
      </w:r>
      <w:r>
        <w:rPr>
          <w:spacing w:val="-12"/>
          <w:sz w:val="18"/>
        </w:rPr>
        <w:t> </w:t>
      </w:r>
      <w:r>
        <w:rPr>
          <w:sz w:val="18"/>
        </w:rPr>
        <w:t>(OIT).</w:t>
      </w:r>
    </w:p>
    <w:p>
      <w:pPr>
        <w:spacing w:after="0" w:line="254" w:lineRule="auto"/>
        <w:jc w:val="both"/>
        <w:rPr>
          <w:sz w:val="18"/>
        </w:rPr>
        <w:sectPr>
          <w:footerReference w:type="default" r:id="rId90"/>
          <w:pgSz w:w="7770" w:h="11740"/>
          <w:pgMar w:footer="559" w:header="0" w:top="840" w:bottom="740" w:left="740" w:right="1020"/>
          <w:pgNumType w:start="80"/>
        </w:sectPr>
      </w:pPr>
    </w:p>
    <w:p>
      <w:pPr>
        <w:spacing w:line="254" w:lineRule="auto" w:before="65"/>
        <w:ind w:left="113" w:right="108" w:firstLine="0"/>
        <w:jc w:val="both"/>
        <w:rPr>
          <w:sz w:val="18"/>
        </w:rPr>
      </w:pPr>
      <w:r>
        <w:rPr>
          <w:sz w:val="18"/>
        </w:rPr>
        <w:t>Truax, Eileen (2014) “Crecen grupos de odio en Estados Unidos”, en </w:t>
      </w:r>
      <w:r>
        <w:rPr>
          <w:i/>
          <w:sz w:val="18"/>
        </w:rPr>
        <w:t>El Univer- </w:t>
      </w:r>
      <w:r>
        <w:rPr>
          <w:i/>
          <w:sz w:val="18"/>
        </w:rPr>
        <w:t>sal</w:t>
      </w:r>
      <w:r>
        <w:rPr>
          <w:sz w:val="18"/>
        </w:rPr>
        <w:t>, año 97, núm. 35 342, 10 de agosto, México.</w:t>
      </w:r>
    </w:p>
    <w:p>
      <w:pPr>
        <w:spacing w:line="254" w:lineRule="auto" w:before="57"/>
        <w:ind w:left="113" w:right="108" w:firstLine="0"/>
        <w:jc w:val="both"/>
        <w:rPr>
          <w:sz w:val="18"/>
        </w:rPr>
      </w:pPr>
      <w:r>
        <w:rPr>
          <w:sz w:val="18"/>
        </w:rPr>
        <w:t>Ugarteche, Oscar y Noyola Rodríguez (2014) “Estados Unidos sin recuperación ni</w:t>
      </w:r>
      <w:r>
        <w:rPr>
          <w:spacing w:val="-7"/>
          <w:sz w:val="18"/>
        </w:rPr>
        <w:t> </w:t>
      </w:r>
      <w:r>
        <w:rPr>
          <w:sz w:val="18"/>
        </w:rPr>
        <w:t>inflación”,</w:t>
      </w:r>
      <w:r>
        <w:rPr>
          <w:spacing w:val="-7"/>
          <w:sz w:val="18"/>
        </w:rPr>
        <w:t> </w:t>
      </w:r>
      <w:r>
        <w:rPr>
          <w:sz w:val="18"/>
        </w:rPr>
        <w:t>en</w:t>
      </w:r>
      <w:r>
        <w:rPr>
          <w:spacing w:val="-7"/>
          <w:sz w:val="18"/>
        </w:rPr>
        <w:t> </w:t>
      </w:r>
      <w:r>
        <w:rPr>
          <w:i/>
          <w:sz w:val="18"/>
        </w:rPr>
        <w:t>Alai-AmLatina</w:t>
      </w:r>
      <w:r>
        <w:rPr>
          <w:sz w:val="18"/>
        </w:rPr>
        <w:t>,</w:t>
      </w:r>
      <w:r>
        <w:rPr>
          <w:spacing w:val="-7"/>
          <w:sz w:val="18"/>
        </w:rPr>
        <w:t> </w:t>
      </w:r>
      <w:r>
        <w:rPr>
          <w:sz w:val="18"/>
        </w:rPr>
        <w:t>31</w:t>
      </w:r>
      <w:r>
        <w:rPr>
          <w:spacing w:val="-7"/>
          <w:sz w:val="18"/>
        </w:rPr>
        <w:t> </w:t>
      </w:r>
      <w:r>
        <w:rPr>
          <w:sz w:val="18"/>
        </w:rPr>
        <w:t>de</w:t>
      </w:r>
      <w:r>
        <w:rPr>
          <w:spacing w:val="-7"/>
          <w:sz w:val="18"/>
        </w:rPr>
        <w:t> </w:t>
      </w:r>
      <w:r>
        <w:rPr>
          <w:sz w:val="18"/>
        </w:rPr>
        <w:t>marzo.</w:t>
      </w:r>
      <w:r>
        <w:rPr>
          <w:spacing w:val="-7"/>
          <w:sz w:val="18"/>
        </w:rPr>
        <w:t> </w:t>
      </w:r>
      <w:r>
        <w:rPr>
          <w:sz w:val="18"/>
        </w:rPr>
        <w:t>Consultado</w:t>
      </w:r>
      <w:r>
        <w:rPr>
          <w:spacing w:val="-7"/>
          <w:sz w:val="18"/>
        </w:rPr>
        <w:t> </w:t>
      </w:r>
      <w:r>
        <w:rPr>
          <w:sz w:val="18"/>
        </w:rPr>
        <w:t>octubre</w:t>
      </w:r>
      <w:r>
        <w:rPr>
          <w:spacing w:val="-7"/>
          <w:sz w:val="18"/>
        </w:rPr>
        <w:t> </w:t>
      </w:r>
      <w:r>
        <w:rPr>
          <w:sz w:val="18"/>
        </w:rPr>
        <w:t>2014</w:t>
      </w:r>
      <w:r>
        <w:rPr>
          <w:spacing w:val="-7"/>
          <w:sz w:val="18"/>
        </w:rPr>
        <w:t> </w:t>
      </w:r>
      <w:r>
        <w:rPr>
          <w:sz w:val="18"/>
        </w:rPr>
        <w:t>en</w:t>
      </w:r>
      <w:r>
        <w:rPr>
          <w:spacing w:val="-7"/>
          <w:sz w:val="18"/>
        </w:rPr>
        <w:t> </w:t>
      </w:r>
      <w:r>
        <w:rPr>
          <w:sz w:val="18"/>
        </w:rPr>
        <w:t>http:// alainet.org/active/72550</w:t>
      </w:r>
    </w:p>
    <w:p>
      <w:pPr>
        <w:spacing w:line="254" w:lineRule="auto" w:before="57"/>
        <w:ind w:left="113" w:right="108" w:firstLine="0"/>
        <w:jc w:val="both"/>
        <w:rPr>
          <w:sz w:val="18"/>
        </w:rPr>
      </w:pPr>
      <w:r>
        <w:rPr>
          <w:sz w:val="18"/>
        </w:rPr>
        <w:t>United (2012) </w:t>
      </w:r>
      <w:r>
        <w:rPr>
          <w:i/>
          <w:sz w:val="18"/>
        </w:rPr>
        <w:t>International Migration from a Regional and Interregional Pers- </w:t>
      </w:r>
      <w:r>
        <w:rPr>
          <w:i/>
          <w:sz w:val="18"/>
        </w:rPr>
        <w:t>pective</w:t>
      </w:r>
      <w:r>
        <w:rPr>
          <w:sz w:val="18"/>
        </w:rPr>
        <w:t>, Santiago de Chile: Celade.</w:t>
      </w:r>
    </w:p>
    <w:p>
      <w:pPr>
        <w:spacing w:after="0" w:line="254" w:lineRule="auto"/>
        <w:jc w:val="both"/>
        <w:rPr>
          <w:sz w:val="18"/>
        </w:rPr>
        <w:sectPr>
          <w:pgSz w:w="7770" w:h="11740"/>
          <w:pgMar w:header="0" w:footer="559" w:top="840" w:bottom="740" w:left="1020" w:right="740"/>
        </w:sectPr>
      </w:pPr>
    </w:p>
    <w:p>
      <w:pPr>
        <w:pStyle w:val="BodyText"/>
        <w:spacing w:before="4"/>
        <w:rPr>
          <w:sz w:val="17"/>
        </w:rPr>
      </w:pPr>
      <w:r>
        <w:rPr/>
        <w:pict>
          <v:shape style="position:absolute;margin-left:59.528pt;margin-top:540.425964pt;width:295.4pt;height:31.75pt;mso-position-horizontal-relative:page;mso-position-vertical-relative:page;z-index:-335656" type="#_x0000_t202" filled="false" stroked="false">
            <v:textbox inset="0,0,0,0">
              <w:txbxContent>
                <w:p>
                  <w:pPr>
                    <w:pStyle w:val="BodyText"/>
                    <w:spacing w:before="142"/>
                    <w:ind w:left="1626" w:right="2532"/>
                    <w:jc w:val="center"/>
                  </w:pPr>
                  <w:r>
                    <w:rPr>
                      <w:color w:val="231F20"/>
                    </w:rPr>
                    <w:t>82</w:t>
                  </w:r>
                </w:p>
              </w:txbxContent>
            </v:textbox>
            <w10:wrap type="none"/>
          </v:shape>
        </w:pict>
      </w:r>
    </w:p>
    <w:p>
      <w:pPr>
        <w:spacing w:after="0"/>
        <w:rPr>
          <w:sz w:val="17"/>
        </w:rPr>
        <w:sectPr>
          <w:footerReference w:type="default" r:id="rId96"/>
          <w:pgSz w:w="7770" w:h="11740"/>
          <w:pgMar w:footer="727" w:header="0" w:top="1080" w:bottom="920" w:left="1060" w:right="560"/>
        </w:sectPr>
      </w:pPr>
    </w:p>
    <w:p>
      <w:pPr>
        <w:spacing w:line="324" w:lineRule="auto" w:before="65"/>
        <w:ind w:left="133" w:right="251" w:firstLine="0"/>
        <w:jc w:val="left"/>
        <w:rPr>
          <w:sz w:val="18"/>
        </w:rPr>
      </w:pPr>
      <w:r>
        <w:rPr/>
        <w:pict>
          <v:shape style="position:absolute;margin-left:55.842999pt;margin-top:540.425964pt;width:295.4pt;height:31.75pt;mso-position-horizontal-relative:page;mso-position-vertical-relative:page;z-index:-335632" type="#_x0000_t202" filled="false" stroked="false">
            <v:textbox inset="0,0,0,0">
              <w:txbxContent>
                <w:p>
                  <w:pPr>
                    <w:pStyle w:val="BodyText"/>
                    <w:spacing w:before="8"/>
                    <w:rPr>
                      <w:sz w:val="19"/>
                    </w:rPr>
                  </w:pPr>
                </w:p>
                <w:p>
                  <w:pPr>
                    <w:pStyle w:val="BodyText"/>
                    <w:ind w:left="2360" w:right="2532"/>
                    <w:jc w:val="center"/>
                  </w:pPr>
                  <w:r>
                    <w:rPr>
                      <w:color w:val="231F20"/>
                    </w:rPr>
                    <w:t>83</w:t>
                  </w:r>
                </w:p>
              </w:txbxContent>
            </v:textbox>
            <w10:wrap type="none"/>
          </v:shape>
        </w:pict>
      </w:r>
      <w:r>
        <w:rPr>
          <w:color w:val="231F20"/>
          <w:sz w:val="18"/>
        </w:rPr>
        <w:t>REESTRUCTURACIÓN PRODUCTIVA, VULNERABILIDAD MIGRATORIA Y PRECARIEDAD DEL TRABAJO</w:t>
      </w:r>
    </w:p>
    <w:p>
      <w:pPr>
        <w:spacing w:after="0" w:line="324" w:lineRule="auto"/>
        <w:jc w:val="left"/>
        <w:rPr>
          <w:sz w:val="18"/>
        </w:rPr>
        <w:sectPr>
          <w:pgSz w:w="7770" w:h="11740"/>
          <w:pgMar w:header="0" w:footer="727" w:top="840" w:bottom="920" w:left="1000" w:right="640"/>
        </w:sectPr>
      </w:pPr>
    </w:p>
    <w:p>
      <w:pPr>
        <w:pStyle w:val="BodyText"/>
        <w:spacing w:before="4"/>
        <w:rPr>
          <w:sz w:val="17"/>
        </w:rPr>
      </w:pPr>
      <w:r>
        <w:rPr/>
        <w:pict>
          <v:shape style="position:absolute;margin-left:51.023998pt;margin-top:540.425964pt;width:295.4pt;height:31.75pt;mso-position-horizontal-relative:page;mso-position-vertical-relative:page;z-index:-335608" type="#_x0000_t202" filled="false" stroked="false">
            <v:textbox inset="0,0,0,0">
              <w:txbxContent>
                <w:p>
                  <w:pPr>
                    <w:pStyle w:val="BodyText"/>
                    <w:spacing w:before="142"/>
                    <w:ind w:left="1967" w:right="2532"/>
                    <w:jc w:val="center"/>
                  </w:pPr>
                  <w:r>
                    <w:rPr>
                      <w:color w:val="231F20"/>
                    </w:rPr>
                    <w:t>84</w:t>
                  </w:r>
                </w:p>
              </w:txbxContent>
            </v:textbox>
            <w10:wrap type="none"/>
          </v:shape>
        </w:pict>
      </w:r>
    </w:p>
    <w:p>
      <w:pPr>
        <w:spacing w:after="0"/>
        <w:rPr>
          <w:sz w:val="17"/>
        </w:rPr>
        <w:sectPr>
          <w:pgSz w:w="7770" w:h="11740"/>
          <w:pgMar w:header="0" w:footer="727" w:top="1080" w:bottom="920" w:left="920" w:right="720"/>
        </w:sectPr>
      </w:pPr>
    </w:p>
    <w:p>
      <w:pPr>
        <w:pStyle w:val="Heading1"/>
        <w:ind w:right="94" w:firstLine="551"/>
      </w:pPr>
      <w:r>
        <w:rPr>
          <w:color w:val="231F20"/>
          <w:w w:val="70"/>
        </w:rPr>
        <w:t>Condiciones laborales y comercio exterior en México</w:t>
      </w:r>
    </w:p>
    <w:p>
      <w:pPr>
        <w:pStyle w:val="BodyText"/>
        <w:rPr>
          <w:sz w:val="40"/>
        </w:rPr>
      </w:pPr>
    </w:p>
    <w:p>
      <w:pPr>
        <w:pStyle w:val="Heading3"/>
        <w:spacing w:before="350"/>
        <w:ind w:left="1932"/>
      </w:pPr>
      <w:r>
        <w:rPr>
          <w:color w:val="231F20"/>
        </w:rPr>
        <w:t>Ana Ruth Escoto* y Brígida García**</w:t>
      </w:r>
    </w:p>
    <w:p>
      <w:pPr>
        <w:pStyle w:val="BodyText"/>
      </w:pPr>
    </w:p>
    <w:p>
      <w:pPr>
        <w:pStyle w:val="BodyText"/>
      </w:pPr>
    </w:p>
    <w:p>
      <w:pPr>
        <w:pStyle w:val="BodyText"/>
      </w:pPr>
    </w:p>
    <w:p>
      <w:pPr>
        <w:pStyle w:val="BodyText"/>
        <w:spacing w:before="9"/>
        <w:rPr>
          <w:sz w:val="18"/>
        </w:rPr>
      </w:pPr>
    </w:p>
    <w:p>
      <w:pPr>
        <w:pStyle w:val="Heading4"/>
        <w:spacing w:before="0"/>
        <w:ind w:right="792"/>
        <w:jc w:val="left"/>
      </w:pPr>
      <w:r>
        <w:rPr>
          <w:w w:val="85"/>
        </w:rPr>
        <w:t>Introducción</w:t>
      </w:r>
    </w:p>
    <w:p>
      <w:pPr>
        <w:pStyle w:val="BodyText"/>
        <w:rPr>
          <w:b/>
        </w:rPr>
      </w:pPr>
    </w:p>
    <w:p>
      <w:pPr>
        <w:pStyle w:val="BodyText"/>
        <w:spacing w:before="7"/>
        <w:rPr>
          <w:b/>
          <w:sz w:val="24"/>
        </w:rPr>
      </w:pPr>
    </w:p>
    <w:p>
      <w:pPr>
        <w:pStyle w:val="BodyText"/>
        <w:spacing w:line="249" w:lineRule="auto" w:before="75"/>
        <w:ind w:left="113" w:right="107"/>
        <w:jc w:val="both"/>
      </w:pPr>
      <w:r>
        <w:rPr>
          <w:color w:val="231F20"/>
        </w:rPr>
        <w:t>A medida que se consolida el proceso de globalización en el siglo XXI, es cada vez más frecuente que la ampliación del   comercio exterior y  de los acuerdos comerciales se consideren como aspectos centrales para acelerar el crecimiento económico y generar los muy necesitados em- pleos de calidad. No obstante, el conocimiento existente sobre estas re- laciones es muy desigual. La asociación entre comercio exterior, mayor crecimiento, bienestar y empleo es común en el debate político, pero en la</w:t>
      </w:r>
      <w:r>
        <w:rPr>
          <w:color w:val="231F20"/>
          <w:spacing w:val="-5"/>
        </w:rPr>
        <w:t> </w:t>
      </w:r>
      <w:r>
        <w:rPr>
          <w:color w:val="231F20"/>
        </w:rPr>
        <w:t>bibliografía</w:t>
      </w:r>
      <w:r>
        <w:rPr>
          <w:color w:val="231F20"/>
          <w:spacing w:val="-5"/>
        </w:rPr>
        <w:t> </w:t>
      </w:r>
      <w:r>
        <w:rPr>
          <w:color w:val="231F20"/>
        </w:rPr>
        <w:t>especializada</w:t>
      </w:r>
      <w:r>
        <w:rPr>
          <w:color w:val="231F20"/>
          <w:spacing w:val="-6"/>
        </w:rPr>
        <w:t> </w:t>
      </w:r>
      <w:r>
        <w:rPr>
          <w:color w:val="231F20"/>
        </w:rPr>
        <w:t>se</w:t>
      </w:r>
      <w:r>
        <w:rPr>
          <w:color w:val="231F20"/>
          <w:spacing w:val="-5"/>
        </w:rPr>
        <w:t> </w:t>
      </w:r>
      <w:r>
        <w:rPr>
          <w:color w:val="231F20"/>
        </w:rPr>
        <w:t>ha</w:t>
      </w:r>
      <w:r>
        <w:rPr>
          <w:color w:val="231F20"/>
          <w:spacing w:val="-5"/>
        </w:rPr>
        <w:t> </w:t>
      </w:r>
      <w:r>
        <w:rPr>
          <w:color w:val="231F20"/>
        </w:rPr>
        <w:t>abordado</w:t>
      </w:r>
      <w:r>
        <w:rPr>
          <w:color w:val="231F20"/>
          <w:spacing w:val="-5"/>
        </w:rPr>
        <w:t> </w:t>
      </w:r>
      <w:r>
        <w:rPr>
          <w:color w:val="231F20"/>
        </w:rPr>
        <w:t>más</w:t>
      </w:r>
      <w:r>
        <w:rPr>
          <w:color w:val="231F20"/>
          <w:spacing w:val="-5"/>
        </w:rPr>
        <w:t> </w:t>
      </w:r>
      <w:r>
        <w:rPr>
          <w:color w:val="231F20"/>
        </w:rPr>
        <w:t>la</w:t>
      </w:r>
      <w:r>
        <w:rPr>
          <w:color w:val="231F20"/>
          <w:spacing w:val="-5"/>
        </w:rPr>
        <w:t> </w:t>
      </w:r>
      <w:r>
        <w:rPr>
          <w:color w:val="231F20"/>
        </w:rPr>
        <w:t>relación</w:t>
      </w:r>
      <w:r>
        <w:rPr>
          <w:color w:val="231F20"/>
          <w:spacing w:val="-5"/>
        </w:rPr>
        <w:t> </w:t>
      </w:r>
      <w:r>
        <w:rPr>
          <w:color w:val="231F20"/>
        </w:rPr>
        <w:t>entre</w:t>
      </w:r>
      <w:r>
        <w:rPr>
          <w:color w:val="231F20"/>
          <w:spacing w:val="-5"/>
        </w:rPr>
        <w:t> </w:t>
      </w:r>
      <w:r>
        <w:rPr>
          <w:color w:val="231F20"/>
        </w:rPr>
        <w:t>comer- cio y bienestar que sobre comercio y empleo. Este es uno de los puntos de partida de un estudio comprensivo reciente sobre comercio y empleo (Jansen </w:t>
      </w:r>
      <w:r>
        <w:rPr>
          <w:i/>
          <w:color w:val="231F20"/>
        </w:rPr>
        <w:t>et al</w:t>
      </w:r>
      <w:r>
        <w:rPr>
          <w:color w:val="231F20"/>
        </w:rPr>
        <w:t>., 2011), el cual ofrece una visión global sobre el estado del arte</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tema,</w:t>
      </w:r>
      <w:r>
        <w:rPr>
          <w:color w:val="231F20"/>
          <w:spacing w:val="-7"/>
        </w:rPr>
        <w:t> </w:t>
      </w:r>
      <w:r>
        <w:rPr>
          <w:color w:val="231F20"/>
        </w:rPr>
        <w:t>además</w:t>
      </w:r>
      <w:r>
        <w:rPr>
          <w:color w:val="231F20"/>
          <w:spacing w:val="-7"/>
        </w:rPr>
        <w:t> </w:t>
      </w:r>
      <w:r>
        <w:rPr>
          <w:color w:val="231F20"/>
        </w:rPr>
        <w:t>de</w:t>
      </w:r>
      <w:r>
        <w:rPr>
          <w:color w:val="231F20"/>
          <w:spacing w:val="-7"/>
        </w:rPr>
        <w:t> </w:t>
      </w:r>
      <w:r>
        <w:rPr>
          <w:color w:val="231F20"/>
        </w:rPr>
        <w:t>abordar</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de</w:t>
      </w:r>
      <w:r>
        <w:rPr>
          <w:color w:val="231F20"/>
          <w:spacing w:val="-7"/>
        </w:rPr>
        <w:t> </w:t>
      </w:r>
      <w:r>
        <w:rPr>
          <w:color w:val="231F20"/>
        </w:rPr>
        <w:t>políticas</w:t>
      </w:r>
      <w:r>
        <w:rPr>
          <w:color w:val="231F20"/>
          <w:spacing w:val="-7"/>
        </w:rPr>
        <w:t> </w:t>
      </w:r>
      <w:r>
        <w:rPr>
          <w:color w:val="231F20"/>
        </w:rPr>
        <w:t>coherentes en torno al</w:t>
      </w:r>
      <w:r>
        <w:rPr>
          <w:color w:val="231F20"/>
          <w:spacing w:val="-2"/>
        </w:rPr>
        <w:t> </w:t>
      </w:r>
      <w:r>
        <w:rPr>
          <w:color w:val="231F20"/>
        </w:rPr>
        <w:t>mismo.</w:t>
      </w:r>
    </w:p>
    <w:p>
      <w:pPr>
        <w:pStyle w:val="BodyText"/>
        <w:spacing w:line="249" w:lineRule="auto" w:before="1"/>
        <w:ind w:left="113" w:right="108" w:firstLine="283"/>
        <w:jc w:val="both"/>
      </w:pPr>
      <w:r>
        <w:rPr>
          <w:color w:val="231F20"/>
        </w:rPr>
        <w:t>La revisión de estudios que se lleva a cabo en Jansen </w:t>
      </w:r>
      <w:r>
        <w:rPr>
          <w:i/>
          <w:color w:val="231F20"/>
        </w:rPr>
        <w:t>et al</w:t>
      </w:r>
      <w:r>
        <w:rPr>
          <w:color w:val="231F20"/>
        </w:rPr>
        <w:t>. (2011), conduce a una visión poco satisfactoria y poco complaciente en torno a la</w:t>
      </w:r>
      <w:r>
        <w:rPr>
          <w:color w:val="231F20"/>
          <w:spacing w:val="-8"/>
        </w:rPr>
        <w:t> </w:t>
      </w:r>
      <w:r>
        <w:rPr>
          <w:color w:val="231F20"/>
        </w:rPr>
        <w:t>relación</w:t>
      </w:r>
      <w:r>
        <w:rPr>
          <w:color w:val="231F20"/>
          <w:spacing w:val="-8"/>
        </w:rPr>
        <w:t> </w:t>
      </w:r>
      <w:r>
        <w:rPr>
          <w:color w:val="231F20"/>
        </w:rPr>
        <w:t>entre</w:t>
      </w:r>
      <w:r>
        <w:rPr>
          <w:color w:val="231F20"/>
          <w:spacing w:val="-9"/>
        </w:rPr>
        <w:t> </w:t>
      </w:r>
      <w:r>
        <w:rPr>
          <w:color w:val="231F20"/>
        </w:rPr>
        <w:t>liberalización</w:t>
      </w:r>
      <w:r>
        <w:rPr>
          <w:color w:val="231F20"/>
          <w:spacing w:val="-9"/>
        </w:rPr>
        <w:t> </w:t>
      </w:r>
      <w:r>
        <w:rPr>
          <w:color w:val="231F20"/>
        </w:rPr>
        <w:t>comercial</w:t>
      </w:r>
      <w:r>
        <w:rPr>
          <w:color w:val="231F20"/>
          <w:spacing w:val="-9"/>
        </w:rPr>
        <w:t> </w:t>
      </w:r>
      <w:r>
        <w:rPr>
          <w:color w:val="231F20"/>
        </w:rPr>
        <w:t>y</w:t>
      </w:r>
      <w:r>
        <w:rPr>
          <w:color w:val="231F20"/>
          <w:spacing w:val="-8"/>
        </w:rPr>
        <w:t> </w:t>
      </w:r>
      <w:r>
        <w:rPr>
          <w:color w:val="231F20"/>
        </w:rPr>
        <w:t>empleo.</w:t>
      </w:r>
      <w:r>
        <w:rPr>
          <w:color w:val="231F20"/>
          <w:spacing w:val="-9"/>
        </w:rPr>
        <w:t> </w:t>
      </w:r>
      <w:r>
        <w:rPr>
          <w:color w:val="231F20"/>
        </w:rPr>
        <w:t>En</w:t>
      </w:r>
      <w:r>
        <w:rPr>
          <w:color w:val="231F20"/>
          <w:spacing w:val="-9"/>
        </w:rPr>
        <w:t> </w:t>
      </w:r>
      <w:r>
        <w:rPr>
          <w:color w:val="231F20"/>
        </w:rPr>
        <w:t>el</w:t>
      </w:r>
      <w:r>
        <w:rPr>
          <w:color w:val="231F20"/>
          <w:spacing w:val="-8"/>
        </w:rPr>
        <w:t> </w:t>
      </w:r>
      <w:r>
        <w:rPr>
          <w:color w:val="231F20"/>
        </w:rPr>
        <w:t>nivel</w:t>
      </w:r>
      <w:r>
        <w:rPr>
          <w:color w:val="231F20"/>
          <w:spacing w:val="-9"/>
        </w:rPr>
        <w:t> </w:t>
      </w:r>
      <w:r>
        <w:rPr>
          <w:color w:val="231F20"/>
        </w:rPr>
        <w:t>agregado, las investigaciones más recientes no encuentran asociación significativa entre apertura comercial y cambios en el salario real o en el empleo en el ámbito global. En el nivel de países específicos predominan los es- tudios que muestran evidencias de destrucción de empleos y de caídas en los salarios, tanto en países desarrollados como en desarrollo. Asi- mismo, existen investigaciones que fundamentan un deterioro del</w:t>
      </w:r>
      <w:r>
        <w:rPr>
          <w:color w:val="231F20"/>
          <w:spacing w:val="28"/>
        </w:rPr>
        <w:t> </w:t>
      </w:r>
      <w:r>
        <w:rPr>
          <w:color w:val="231F20"/>
        </w:rPr>
        <w:t>poder</w:t>
      </w:r>
    </w:p>
    <w:p>
      <w:pPr>
        <w:pStyle w:val="BodyText"/>
        <w:spacing w:before="9"/>
        <w:rPr>
          <w:sz w:val="10"/>
        </w:rPr>
      </w:pPr>
    </w:p>
    <w:p>
      <w:pPr>
        <w:spacing w:line="160" w:lineRule="exact" w:before="82"/>
        <w:ind w:left="113" w:right="792" w:firstLine="0"/>
        <w:jc w:val="left"/>
        <w:rPr>
          <w:sz w:val="14"/>
        </w:rPr>
      </w:pPr>
      <w:r>
        <w:rPr>
          <w:color w:val="231F20"/>
          <w:sz w:val="14"/>
        </w:rPr>
        <w:t>* Consultora independiente.</w:t>
      </w:r>
    </w:p>
    <w:p>
      <w:pPr>
        <w:spacing w:before="0"/>
        <w:ind w:left="113" w:right="0" w:firstLine="0"/>
        <w:jc w:val="left"/>
        <w:rPr>
          <w:sz w:val="14"/>
        </w:rPr>
      </w:pPr>
      <w:r>
        <w:rPr>
          <w:color w:val="231F20"/>
          <w:sz w:val="14"/>
        </w:rPr>
        <w:t>** Profesora-investigadora, Centro de Estudios Demográficos, Urbanos y Ambientales (CEDUA), El Colegio de México.</w:t>
      </w:r>
    </w:p>
    <w:p>
      <w:pPr>
        <w:spacing w:after="0"/>
        <w:jc w:val="left"/>
        <w:rPr>
          <w:sz w:val="14"/>
        </w:rPr>
        <w:sectPr>
          <w:footerReference w:type="default" r:id="rId97"/>
          <w:pgSz w:w="7770" w:h="11740"/>
          <w:pgMar w:footer="474" w:header="0" w:top="820" w:bottom="660" w:left="1020" w:right="740"/>
          <w:pgNumType w:start="85"/>
        </w:sectPr>
      </w:pPr>
    </w:p>
    <w:p>
      <w:pPr>
        <w:pStyle w:val="BodyText"/>
        <w:spacing w:line="249" w:lineRule="auto" w:before="60"/>
        <w:ind w:left="105" w:right="110"/>
        <w:jc w:val="right"/>
      </w:pPr>
      <w:r>
        <w:rPr>
          <w:color w:val="231F20"/>
        </w:rPr>
        <w:t>negociador de los sindicatos frente a los empleadores como</w:t>
      </w:r>
      <w:r>
        <w:rPr>
          <w:color w:val="231F20"/>
          <w:spacing w:val="10"/>
        </w:rPr>
        <w:t> </w:t>
      </w:r>
      <w:r>
        <w:rPr>
          <w:color w:val="231F20"/>
        </w:rPr>
        <w:t>producto</w:t>
      </w:r>
      <w:r>
        <w:rPr>
          <w:color w:val="231F20"/>
          <w:spacing w:val="1"/>
        </w:rPr>
        <w:t> </w:t>
      </w:r>
      <w:r>
        <w:rPr>
          <w:color w:val="231F20"/>
        </w:rPr>
        <w:t>de la liberalización comercial. No obstante lo anterior, los</w:t>
      </w:r>
      <w:r>
        <w:rPr>
          <w:color w:val="231F20"/>
          <w:spacing w:val="32"/>
        </w:rPr>
        <w:t> </w:t>
      </w:r>
      <w:r>
        <w:rPr>
          <w:color w:val="231F20"/>
        </w:rPr>
        <w:t>diversos</w:t>
      </w:r>
      <w:r>
        <w:rPr>
          <w:color w:val="231F20"/>
          <w:spacing w:val="4"/>
        </w:rPr>
        <w:t> </w:t>
      </w:r>
      <w:r>
        <w:rPr>
          <w:color w:val="231F20"/>
        </w:rPr>
        <w:t>autores son cuidadosos al indicar que los efectos de la apertura</w:t>
      </w:r>
      <w:r>
        <w:rPr>
          <w:color w:val="231F20"/>
          <w:spacing w:val="24"/>
        </w:rPr>
        <w:t> </w:t>
      </w:r>
      <w:r>
        <w:rPr>
          <w:color w:val="231F20"/>
        </w:rPr>
        <w:t>comercial</w:t>
      </w:r>
      <w:r>
        <w:rPr>
          <w:color w:val="231F20"/>
          <w:spacing w:val="11"/>
        </w:rPr>
        <w:t> </w:t>
      </w:r>
      <w:r>
        <w:rPr>
          <w:color w:val="231F20"/>
        </w:rPr>
        <w:t>pue- den variar mucho entre países con diferentes </w:t>
      </w:r>
      <w:r>
        <w:rPr>
          <w:color w:val="231F20"/>
          <w:spacing w:val="25"/>
        </w:rPr>
        <w:t> </w:t>
      </w:r>
      <w:r>
        <w:rPr>
          <w:color w:val="231F20"/>
        </w:rPr>
        <w:t>contextos</w:t>
      </w:r>
      <w:r>
        <w:rPr>
          <w:color w:val="231F20"/>
          <w:spacing w:val="16"/>
        </w:rPr>
        <w:t> </w:t>
      </w:r>
      <w:r>
        <w:rPr>
          <w:color w:val="231F20"/>
        </w:rPr>
        <w:t>institucionales, y alientan la realización de estudios particulares sobre</w:t>
      </w:r>
      <w:r>
        <w:rPr>
          <w:color w:val="231F20"/>
          <w:spacing w:val="-6"/>
        </w:rPr>
        <w:t> </w:t>
      </w:r>
      <w:r>
        <w:rPr>
          <w:color w:val="231F20"/>
        </w:rPr>
        <w:t>estos</w:t>
      </w:r>
      <w:r>
        <w:rPr>
          <w:color w:val="231F20"/>
          <w:spacing w:val="-2"/>
        </w:rPr>
        <w:t> </w:t>
      </w:r>
      <w:r>
        <w:rPr>
          <w:color w:val="231F20"/>
        </w:rPr>
        <w:t>fenómenos. </w:t>
      </w:r>
      <w:r>
        <w:rPr>
          <w:color w:val="272527"/>
        </w:rPr>
        <w:t>En</w:t>
      </w:r>
      <w:r>
        <w:rPr>
          <w:color w:val="272527"/>
          <w:spacing w:val="-5"/>
        </w:rPr>
        <w:t> </w:t>
      </w:r>
      <w:r>
        <w:rPr>
          <w:color w:val="272527"/>
        </w:rPr>
        <w:t>este</w:t>
      </w:r>
      <w:r>
        <w:rPr>
          <w:color w:val="272527"/>
          <w:spacing w:val="-5"/>
        </w:rPr>
        <w:t> </w:t>
      </w:r>
      <w:r>
        <w:rPr>
          <w:color w:val="272527"/>
        </w:rPr>
        <w:t>contexto</w:t>
      </w:r>
      <w:r>
        <w:rPr>
          <w:color w:val="272527"/>
          <w:spacing w:val="-5"/>
        </w:rPr>
        <w:t> </w:t>
      </w:r>
      <w:r>
        <w:rPr>
          <w:color w:val="272527"/>
        </w:rPr>
        <w:t>es</w:t>
      </w:r>
      <w:r>
        <w:rPr>
          <w:color w:val="272527"/>
          <w:spacing w:val="-5"/>
        </w:rPr>
        <w:t> </w:t>
      </w:r>
      <w:r>
        <w:rPr>
          <w:color w:val="272527"/>
        </w:rPr>
        <w:t>útil</w:t>
      </w:r>
      <w:r>
        <w:rPr>
          <w:color w:val="272527"/>
          <w:spacing w:val="-5"/>
        </w:rPr>
        <w:t> </w:t>
      </w:r>
      <w:r>
        <w:rPr>
          <w:color w:val="272527"/>
        </w:rPr>
        <w:t>recordar</w:t>
      </w:r>
      <w:r>
        <w:rPr>
          <w:color w:val="272527"/>
          <w:spacing w:val="-5"/>
        </w:rPr>
        <w:t> </w:t>
      </w:r>
      <w:r>
        <w:rPr>
          <w:color w:val="272527"/>
        </w:rPr>
        <w:t>que</w:t>
      </w:r>
      <w:r>
        <w:rPr>
          <w:color w:val="272527"/>
          <w:spacing w:val="-5"/>
        </w:rPr>
        <w:t> </w:t>
      </w:r>
      <w:r>
        <w:rPr>
          <w:color w:val="272527"/>
        </w:rPr>
        <w:t>la</w:t>
      </w:r>
      <w:r>
        <w:rPr>
          <w:color w:val="272527"/>
          <w:spacing w:val="-5"/>
        </w:rPr>
        <w:t> </w:t>
      </w:r>
      <w:r>
        <w:rPr>
          <w:color w:val="272527"/>
        </w:rPr>
        <w:t>relación</w:t>
      </w:r>
      <w:r>
        <w:rPr>
          <w:color w:val="272527"/>
          <w:spacing w:val="-5"/>
        </w:rPr>
        <w:t> </w:t>
      </w:r>
      <w:r>
        <w:rPr>
          <w:color w:val="272527"/>
        </w:rPr>
        <w:t>entre</w:t>
      </w:r>
      <w:r>
        <w:rPr>
          <w:color w:val="272527"/>
          <w:spacing w:val="-5"/>
        </w:rPr>
        <w:t> </w:t>
      </w:r>
      <w:r>
        <w:rPr>
          <w:color w:val="272527"/>
        </w:rPr>
        <w:t>comercio</w:t>
      </w:r>
      <w:r>
        <w:rPr>
          <w:color w:val="272527"/>
          <w:spacing w:val="-5"/>
        </w:rPr>
        <w:t> </w:t>
      </w:r>
      <w:r>
        <w:rPr>
          <w:color w:val="272527"/>
        </w:rPr>
        <w:t>y</w:t>
      </w:r>
      <w:r>
        <w:rPr>
          <w:color w:val="272527"/>
          <w:spacing w:val="-5"/>
        </w:rPr>
        <w:t> </w:t>
      </w:r>
      <w:r>
        <w:rPr>
          <w:color w:val="272527"/>
        </w:rPr>
        <w:t>em- pleo</w:t>
      </w:r>
      <w:r>
        <w:rPr>
          <w:color w:val="272527"/>
          <w:spacing w:val="-5"/>
        </w:rPr>
        <w:t> </w:t>
      </w:r>
      <w:r>
        <w:rPr>
          <w:color w:val="272527"/>
        </w:rPr>
        <w:t>puede</w:t>
      </w:r>
      <w:r>
        <w:rPr>
          <w:color w:val="272527"/>
          <w:spacing w:val="-5"/>
        </w:rPr>
        <w:t> </w:t>
      </w:r>
      <w:r>
        <w:rPr>
          <w:color w:val="272527"/>
        </w:rPr>
        <w:t>ser</w:t>
      </w:r>
      <w:r>
        <w:rPr>
          <w:color w:val="272527"/>
          <w:spacing w:val="-5"/>
        </w:rPr>
        <w:t> </w:t>
      </w:r>
      <w:r>
        <w:rPr>
          <w:color w:val="272527"/>
        </w:rPr>
        <w:t>establecida</w:t>
      </w:r>
      <w:r>
        <w:rPr>
          <w:color w:val="272527"/>
          <w:spacing w:val="-6"/>
        </w:rPr>
        <w:t> </w:t>
      </w:r>
      <w:r>
        <w:rPr>
          <w:color w:val="272527"/>
        </w:rPr>
        <w:t>desde</w:t>
      </w:r>
      <w:r>
        <w:rPr>
          <w:color w:val="272527"/>
          <w:spacing w:val="-5"/>
        </w:rPr>
        <w:t> </w:t>
      </w:r>
      <w:r>
        <w:rPr>
          <w:color w:val="272527"/>
        </w:rPr>
        <w:t>múltiples</w:t>
      </w:r>
      <w:r>
        <w:rPr>
          <w:color w:val="272527"/>
          <w:spacing w:val="-6"/>
        </w:rPr>
        <w:t> </w:t>
      </w:r>
      <w:r>
        <w:rPr>
          <w:color w:val="272527"/>
        </w:rPr>
        <w:t>facetas.</w:t>
      </w:r>
      <w:r>
        <w:rPr>
          <w:color w:val="272527"/>
          <w:spacing w:val="-5"/>
        </w:rPr>
        <w:t> </w:t>
      </w:r>
      <w:r>
        <w:rPr>
          <w:color w:val="272527"/>
        </w:rPr>
        <w:t>MacMillan</w:t>
      </w:r>
      <w:r>
        <w:rPr>
          <w:color w:val="272527"/>
          <w:spacing w:val="-5"/>
        </w:rPr>
        <w:t> </w:t>
      </w:r>
      <w:r>
        <w:rPr>
          <w:color w:val="272527"/>
        </w:rPr>
        <w:t>y</w:t>
      </w:r>
      <w:r>
        <w:rPr>
          <w:color w:val="272527"/>
          <w:spacing w:val="-9"/>
        </w:rPr>
        <w:t> </w:t>
      </w:r>
      <w:r>
        <w:rPr>
          <w:color w:val="272527"/>
          <w:spacing w:val="-4"/>
        </w:rPr>
        <w:t>Verduz-</w:t>
      </w:r>
      <w:r>
        <w:rPr>
          <w:color w:val="272527"/>
        </w:rPr>
        <w:t> co (2011) consideran que, además de las relaciones en el</w:t>
      </w:r>
      <w:r>
        <w:rPr>
          <w:color w:val="272527"/>
          <w:spacing w:val="10"/>
        </w:rPr>
        <w:t> </w:t>
      </w:r>
      <w:r>
        <w:rPr>
          <w:color w:val="272527"/>
        </w:rPr>
        <w:t>nivel</w:t>
      </w:r>
      <w:r>
        <w:rPr>
          <w:color w:val="272527"/>
          <w:spacing w:val="1"/>
        </w:rPr>
        <w:t> </w:t>
      </w:r>
      <w:r>
        <w:rPr>
          <w:color w:val="272527"/>
        </w:rPr>
        <w:t>agregado entre</w:t>
      </w:r>
      <w:r>
        <w:rPr>
          <w:color w:val="272527"/>
          <w:spacing w:val="26"/>
        </w:rPr>
        <w:t> </w:t>
      </w:r>
      <w:r>
        <w:rPr>
          <w:color w:val="272527"/>
        </w:rPr>
        <w:t>cambios</w:t>
      </w:r>
      <w:r>
        <w:rPr>
          <w:color w:val="272527"/>
          <w:spacing w:val="26"/>
        </w:rPr>
        <w:t> </w:t>
      </w:r>
      <w:r>
        <w:rPr>
          <w:color w:val="272527"/>
        </w:rPr>
        <w:t>en</w:t>
      </w:r>
      <w:r>
        <w:rPr>
          <w:color w:val="272527"/>
          <w:spacing w:val="26"/>
        </w:rPr>
        <w:t> </w:t>
      </w:r>
      <w:r>
        <w:rPr>
          <w:color w:val="272527"/>
        </w:rPr>
        <w:t>el</w:t>
      </w:r>
      <w:r>
        <w:rPr>
          <w:color w:val="272527"/>
          <w:spacing w:val="26"/>
        </w:rPr>
        <w:t> </w:t>
      </w:r>
      <w:r>
        <w:rPr>
          <w:color w:val="272527"/>
        </w:rPr>
        <w:t>empleo</w:t>
      </w:r>
      <w:r>
        <w:rPr>
          <w:color w:val="272527"/>
          <w:spacing w:val="26"/>
        </w:rPr>
        <w:t> </w:t>
      </w:r>
      <w:r>
        <w:rPr>
          <w:color w:val="272527"/>
        </w:rPr>
        <w:t>y</w:t>
      </w:r>
      <w:r>
        <w:rPr>
          <w:color w:val="272527"/>
          <w:spacing w:val="26"/>
        </w:rPr>
        <w:t> </w:t>
      </w:r>
      <w:r>
        <w:rPr>
          <w:color w:val="272527"/>
        </w:rPr>
        <w:t>cambios</w:t>
      </w:r>
      <w:r>
        <w:rPr>
          <w:color w:val="272527"/>
          <w:spacing w:val="26"/>
        </w:rPr>
        <w:t> </w:t>
      </w:r>
      <w:r>
        <w:rPr>
          <w:color w:val="272527"/>
        </w:rPr>
        <w:t>en</w:t>
      </w:r>
      <w:r>
        <w:rPr>
          <w:color w:val="272527"/>
          <w:spacing w:val="26"/>
        </w:rPr>
        <w:t> </w:t>
      </w:r>
      <w:r>
        <w:rPr>
          <w:color w:val="272527"/>
        </w:rPr>
        <w:t>la</w:t>
      </w:r>
      <w:r>
        <w:rPr>
          <w:color w:val="272527"/>
          <w:spacing w:val="26"/>
        </w:rPr>
        <w:t> </w:t>
      </w:r>
      <w:r>
        <w:rPr>
          <w:color w:val="272527"/>
        </w:rPr>
        <w:t>liberalización</w:t>
      </w:r>
      <w:r>
        <w:rPr>
          <w:color w:val="272527"/>
          <w:spacing w:val="26"/>
        </w:rPr>
        <w:t> </w:t>
      </w:r>
      <w:r>
        <w:rPr>
          <w:color w:val="272527"/>
        </w:rPr>
        <w:t>comercial, estas</w:t>
      </w:r>
      <w:r>
        <w:rPr>
          <w:color w:val="272527"/>
          <w:spacing w:val="22"/>
        </w:rPr>
        <w:t> </w:t>
      </w:r>
      <w:r>
        <w:rPr>
          <w:color w:val="272527"/>
        </w:rPr>
        <w:t>diferentes</w:t>
      </w:r>
      <w:r>
        <w:rPr>
          <w:color w:val="272527"/>
          <w:spacing w:val="23"/>
        </w:rPr>
        <w:t> </w:t>
      </w:r>
      <w:r>
        <w:rPr>
          <w:color w:val="272527"/>
        </w:rPr>
        <w:t>facetas</w:t>
      </w:r>
      <w:r>
        <w:rPr>
          <w:color w:val="272527"/>
          <w:spacing w:val="23"/>
        </w:rPr>
        <w:t> </w:t>
      </w:r>
      <w:r>
        <w:rPr>
          <w:color w:val="272527"/>
        </w:rPr>
        <w:t>pueden</w:t>
      </w:r>
      <w:r>
        <w:rPr>
          <w:color w:val="272527"/>
          <w:spacing w:val="23"/>
        </w:rPr>
        <w:t> </w:t>
      </w:r>
      <w:r>
        <w:rPr>
          <w:color w:val="272527"/>
        </w:rPr>
        <w:t>ser</w:t>
      </w:r>
      <w:r>
        <w:rPr>
          <w:color w:val="272527"/>
          <w:spacing w:val="23"/>
        </w:rPr>
        <w:t> </w:t>
      </w:r>
      <w:r>
        <w:rPr>
          <w:color w:val="272527"/>
        </w:rPr>
        <w:t>mejor</w:t>
      </w:r>
      <w:r>
        <w:rPr>
          <w:color w:val="272527"/>
          <w:spacing w:val="22"/>
        </w:rPr>
        <w:t> </w:t>
      </w:r>
      <w:r>
        <w:rPr>
          <w:color w:val="272527"/>
        </w:rPr>
        <w:t>entendidas</w:t>
      </w:r>
      <w:r>
        <w:rPr>
          <w:color w:val="272527"/>
          <w:spacing w:val="22"/>
        </w:rPr>
        <w:t> </w:t>
      </w:r>
      <w:r>
        <w:rPr>
          <w:color w:val="272527"/>
        </w:rPr>
        <w:t>si</w:t>
      </w:r>
      <w:r>
        <w:rPr>
          <w:color w:val="272527"/>
          <w:spacing w:val="23"/>
        </w:rPr>
        <w:t> </w:t>
      </w:r>
      <w:r>
        <w:rPr>
          <w:color w:val="272527"/>
        </w:rPr>
        <w:t>se</w:t>
      </w:r>
      <w:r>
        <w:rPr>
          <w:color w:val="272527"/>
          <w:spacing w:val="23"/>
        </w:rPr>
        <w:t> </w:t>
      </w:r>
      <w:r>
        <w:rPr>
          <w:color w:val="272527"/>
        </w:rPr>
        <w:t>agrupan</w:t>
      </w:r>
      <w:r>
        <w:rPr>
          <w:color w:val="272527"/>
          <w:spacing w:val="22"/>
        </w:rPr>
        <w:t> </w:t>
      </w:r>
      <w:r>
        <w:rPr>
          <w:color w:val="272527"/>
        </w:rPr>
        <w:t>los estudios alrededor de los siguientes temas: comercio y empleo</w:t>
      </w:r>
      <w:r>
        <w:rPr>
          <w:color w:val="272527"/>
          <w:spacing w:val="31"/>
        </w:rPr>
        <w:t> </w:t>
      </w:r>
      <w:r>
        <w:rPr>
          <w:color w:val="272527"/>
        </w:rPr>
        <w:t>en</w:t>
      </w:r>
      <w:r>
        <w:rPr>
          <w:color w:val="272527"/>
          <w:spacing w:val="20"/>
        </w:rPr>
        <w:t> </w:t>
      </w:r>
      <w:r>
        <w:rPr>
          <w:color w:val="272527"/>
        </w:rPr>
        <w:t>una perspectiva de equilibrio general; asimetrías en el poder</w:t>
      </w:r>
      <w:r>
        <w:rPr>
          <w:color w:val="272527"/>
          <w:spacing w:val="13"/>
        </w:rPr>
        <w:t> </w:t>
      </w:r>
      <w:r>
        <w:rPr>
          <w:color w:val="272527"/>
        </w:rPr>
        <w:t>negociador</w:t>
      </w:r>
      <w:r>
        <w:rPr>
          <w:color w:val="272527"/>
          <w:spacing w:val="7"/>
        </w:rPr>
        <w:t> </w:t>
      </w:r>
      <w:r>
        <w:rPr>
          <w:color w:val="272527"/>
        </w:rPr>
        <w:t>del trabajo</w:t>
      </w:r>
      <w:r>
        <w:rPr>
          <w:color w:val="272527"/>
          <w:spacing w:val="-10"/>
        </w:rPr>
        <w:t> </w:t>
      </w:r>
      <w:r>
        <w:rPr>
          <w:color w:val="272527"/>
        </w:rPr>
        <w:t>frente</w:t>
      </w:r>
      <w:r>
        <w:rPr>
          <w:color w:val="272527"/>
          <w:spacing w:val="-10"/>
        </w:rPr>
        <w:t> </w:t>
      </w:r>
      <w:r>
        <w:rPr>
          <w:color w:val="272527"/>
        </w:rPr>
        <w:t>al</w:t>
      </w:r>
      <w:r>
        <w:rPr>
          <w:color w:val="272527"/>
          <w:spacing w:val="-10"/>
        </w:rPr>
        <w:t> </w:t>
      </w:r>
      <w:r>
        <w:rPr>
          <w:color w:val="272527"/>
        </w:rPr>
        <w:t>capital;</w:t>
      </w:r>
      <w:r>
        <w:rPr>
          <w:color w:val="272527"/>
          <w:spacing w:val="-10"/>
        </w:rPr>
        <w:t> </w:t>
      </w:r>
      <w:r>
        <w:rPr>
          <w:color w:val="272527"/>
        </w:rPr>
        <w:t>liberalización</w:t>
      </w:r>
      <w:r>
        <w:rPr>
          <w:color w:val="272527"/>
          <w:spacing w:val="-10"/>
        </w:rPr>
        <w:t> </w:t>
      </w:r>
      <w:r>
        <w:rPr>
          <w:color w:val="272527"/>
        </w:rPr>
        <w:t>comercial</w:t>
      </w:r>
      <w:r>
        <w:rPr>
          <w:color w:val="272527"/>
          <w:spacing w:val="-10"/>
        </w:rPr>
        <w:t> </w:t>
      </w:r>
      <w:r>
        <w:rPr>
          <w:color w:val="272527"/>
        </w:rPr>
        <w:t>y</w:t>
      </w:r>
      <w:r>
        <w:rPr>
          <w:color w:val="272527"/>
          <w:spacing w:val="-10"/>
        </w:rPr>
        <w:t> </w:t>
      </w:r>
      <w:r>
        <w:rPr>
          <w:color w:val="272527"/>
        </w:rPr>
        <w:t>desempleo;</w:t>
      </w:r>
      <w:r>
        <w:rPr>
          <w:color w:val="272527"/>
          <w:spacing w:val="-10"/>
        </w:rPr>
        <w:t> </w:t>
      </w:r>
      <w:r>
        <w:rPr>
          <w:color w:val="272527"/>
        </w:rPr>
        <w:t>calidad</w:t>
      </w:r>
      <w:r>
        <w:rPr>
          <w:color w:val="272527"/>
          <w:spacing w:val="-10"/>
        </w:rPr>
        <w:t> </w:t>
      </w:r>
      <w:r>
        <w:rPr>
          <w:color w:val="272527"/>
        </w:rPr>
        <w:t>de los</w:t>
      </w:r>
      <w:r>
        <w:rPr>
          <w:color w:val="272527"/>
          <w:spacing w:val="-12"/>
        </w:rPr>
        <w:t> </w:t>
      </w:r>
      <w:r>
        <w:rPr>
          <w:color w:val="272527"/>
        </w:rPr>
        <w:t>puestos</w:t>
      </w:r>
      <w:r>
        <w:rPr>
          <w:color w:val="272527"/>
          <w:spacing w:val="-11"/>
        </w:rPr>
        <w:t> </w:t>
      </w:r>
      <w:r>
        <w:rPr>
          <w:color w:val="272527"/>
        </w:rPr>
        <w:t>de</w:t>
      </w:r>
      <w:r>
        <w:rPr>
          <w:color w:val="272527"/>
          <w:spacing w:val="-11"/>
        </w:rPr>
        <w:t> </w:t>
      </w:r>
      <w:r>
        <w:rPr>
          <w:color w:val="272527"/>
        </w:rPr>
        <w:t>trabajo,</w:t>
      </w:r>
      <w:r>
        <w:rPr>
          <w:color w:val="272527"/>
          <w:spacing w:val="-12"/>
        </w:rPr>
        <w:t> </w:t>
      </w:r>
      <w:r>
        <w:rPr>
          <w:color w:val="272527"/>
        </w:rPr>
        <w:t>desplazamiento</w:t>
      </w:r>
      <w:r>
        <w:rPr>
          <w:color w:val="272527"/>
          <w:spacing w:val="-12"/>
        </w:rPr>
        <w:t> </w:t>
      </w:r>
      <w:r>
        <w:rPr>
          <w:color w:val="272527"/>
        </w:rPr>
        <w:t>de</w:t>
      </w:r>
      <w:r>
        <w:rPr>
          <w:color w:val="272527"/>
          <w:spacing w:val="-11"/>
        </w:rPr>
        <w:t> </w:t>
      </w:r>
      <w:r>
        <w:rPr>
          <w:color w:val="272527"/>
        </w:rPr>
        <w:t>procesos</w:t>
      </w:r>
      <w:r>
        <w:rPr>
          <w:color w:val="272527"/>
          <w:spacing w:val="-11"/>
        </w:rPr>
        <w:t> </w:t>
      </w:r>
      <w:r>
        <w:rPr>
          <w:color w:val="272527"/>
        </w:rPr>
        <w:t>y</w:t>
      </w:r>
      <w:r>
        <w:rPr>
          <w:color w:val="272527"/>
          <w:spacing w:val="-11"/>
        </w:rPr>
        <w:t> </w:t>
      </w:r>
      <w:r>
        <w:rPr>
          <w:color w:val="272527"/>
        </w:rPr>
        <w:t>tareas</w:t>
      </w:r>
      <w:r>
        <w:rPr>
          <w:color w:val="272527"/>
          <w:spacing w:val="-12"/>
        </w:rPr>
        <w:t> </w:t>
      </w:r>
      <w:r>
        <w:rPr>
          <w:color w:val="272527"/>
        </w:rPr>
        <w:t>(</w:t>
      </w:r>
      <w:r>
        <w:rPr>
          <w:i/>
          <w:color w:val="272527"/>
        </w:rPr>
        <w:t>offshoring</w:t>
      </w:r>
      <w:r>
        <w:rPr>
          <w:color w:val="272527"/>
        </w:rPr>
        <w:t>)</w:t>
      </w:r>
      <w:r>
        <w:rPr>
          <w:color w:val="272527"/>
          <w:spacing w:val="-11"/>
        </w:rPr>
        <w:t> </w:t>
      </w:r>
      <w:r>
        <w:rPr>
          <w:color w:val="272527"/>
        </w:rPr>
        <w:t>y su efecto sobre el empleo, tanto en los países de origen como</w:t>
      </w:r>
      <w:r>
        <w:rPr>
          <w:color w:val="272527"/>
          <w:spacing w:val="-30"/>
        </w:rPr>
        <w:t> </w:t>
      </w:r>
      <w:r>
        <w:rPr>
          <w:color w:val="272527"/>
        </w:rPr>
        <w:t>de</w:t>
      </w:r>
      <w:r>
        <w:rPr>
          <w:color w:val="272527"/>
          <w:spacing w:val="-3"/>
        </w:rPr>
        <w:t> </w:t>
      </w:r>
      <w:r>
        <w:rPr>
          <w:color w:val="272527"/>
        </w:rPr>
        <w:t>destino. En</w:t>
      </w:r>
      <w:r>
        <w:rPr>
          <w:color w:val="272527"/>
          <w:spacing w:val="-12"/>
        </w:rPr>
        <w:t> </w:t>
      </w:r>
      <w:r>
        <w:rPr>
          <w:color w:val="272527"/>
        </w:rPr>
        <w:t>cada</w:t>
      </w:r>
      <w:r>
        <w:rPr>
          <w:color w:val="272527"/>
          <w:spacing w:val="-12"/>
        </w:rPr>
        <w:t> </w:t>
      </w:r>
      <w:r>
        <w:rPr>
          <w:color w:val="272527"/>
        </w:rPr>
        <w:t>uno</w:t>
      </w:r>
      <w:r>
        <w:rPr>
          <w:color w:val="272527"/>
          <w:spacing w:val="-12"/>
        </w:rPr>
        <w:t> </w:t>
      </w:r>
      <w:r>
        <w:rPr>
          <w:color w:val="272527"/>
        </w:rPr>
        <w:t>de</w:t>
      </w:r>
      <w:r>
        <w:rPr>
          <w:color w:val="272527"/>
          <w:spacing w:val="-12"/>
        </w:rPr>
        <w:t> </w:t>
      </w:r>
      <w:r>
        <w:rPr>
          <w:color w:val="272527"/>
        </w:rPr>
        <w:t>estos</w:t>
      </w:r>
      <w:r>
        <w:rPr>
          <w:color w:val="272527"/>
          <w:spacing w:val="-12"/>
        </w:rPr>
        <w:t> </w:t>
      </w:r>
      <w:r>
        <w:rPr>
          <w:color w:val="272527"/>
        </w:rPr>
        <w:t>subtemas,</w:t>
      </w:r>
      <w:r>
        <w:rPr>
          <w:color w:val="272527"/>
          <w:spacing w:val="-12"/>
        </w:rPr>
        <w:t> </w:t>
      </w:r>
      <w:r>
        <w:rPr>
          <w:color w:val="272527"/>
        </w:rPr>
        <w:t>los</w:t>
      </w:r>
      <w:r>
        <w:rPr>
          <w:color w:val="272527"/>
          <w:spacing w:val="-12"/>
        </w:rPr>
        <w:t> </w:t>
      </w:r>
      <w:r>
        <w:rPr>
          <w:color w:val="272527"/>
        </w:rPr>
        <w:t>niveles</w:t>
      </w:r>
      <w:r>
        <w:rPr>
          <w:color w:val="272527"/>
          <w:spacing w:val="-12"/>
        </w:rPr>
        <w:t> </w:t>
      </w:r>
      <w:r>
        <w:rPr>
          <w:color w:val="272527"/>
        </w:rPr>
        <w:t>de</w:t>
      </w:r>
      <w:r>
        <w:rPr>
          <w:color w:val="272527"/>
          <w:spacing w:val="-12"/>
        </w:rPr>
        <w:t> </w:t>
      </w:r>
      <w:r>
        <w:rPr>
          <w:color w:val="272527"/>
        </w:rPr>
        <w:t>análisis</w:t>
      </w:r>
      <w:r>
        <w:rPr>
          <w:color w:val="272527"/>
          <w:spacing w:val="-13"/>
        </w:rPr>
        <w:t> </w:t>
      </w:r>
      <w:r>
        <w:rPr>
          <w:color w:val="272527"/>
        </w:rPr>
        <w:t>(países,</w:t>
      </w:r>
      <w:r>
        <w:rPr>
          <w:color w:val="272527"/>
          <w:spacing w:val="-12"/>
        </w:rPr>
        <w:t> </w:t>
      </w:r>
      <w:r>
        <w:rPr>
          <w:color w:val="272527"/>
        </w:rPr>
        <w:t>sectores</w:t>
      </w:r>
      <w:r>
        <w:rPr>
          <w:color w:val="272527"/>
          <w:spacing w:val="-12"/>
        </w:rPr>
        <w:t> </w:t>
      </w:r>
      <w:r>
        <w:rPr>
          <w:color w:val="272527"/>
        </w:rPr>
        <w:t>de actividad,</w:t>
      </w:r>
      <w:r>
        <w:rPr>
          <w:color w:val="272527"/>
          <w:spacing w:val="-8"/>
        </w:rPr>
        <w:t> </w:t>
      </w:r>
      <w:r>
        <w:rPr>
          <w:color w:val="272527"/>
        </w:rPr>
        <w:t>empresas,</w:t>
      </w:r>
      <w:r>
        <w:rPr>
          <w:color w:val="272527"/>
          <w:spacing w:val="-8"/>
        </w:rPr>
        <w:t> </w:t>
      </w:r>
      <w:r>
        <w:rPr>
          <w:color w:val="272527"/>
        </w:rPr>
        <w:t>trabajadores,</w:t>
      </w:r>
      <w:r>
        <w:rPr>
          <w:color w:val="272527"/>
          <w:spacing w:val="-9"/>
        </w:rPr>
        <w:t> </w:t>
      </w:r>
      <w:r>
        <w:rPr>
          <w:color w:val="272527"/>
        </w:rPr>
        <w:t>ocupaciones),</w:t>
      </w:r>
      <w:r>
        <w:rPr>
          <w:color w:val="272527"/>
          <w:spacing w:val="-8"/>
        </w:rPr>
        <w:t> </w:t>
      </w:r>
      <w:r>
        <w:rPr>
          <w:color w:val="272527"/>
        </w:rPr>
        <w:t>las</w:t>
      </w:r>
      <w:r>
        <w:rPr>
          <w:color w:val="272527"/>
          <w:spacing w:val="-8"/>
        </w:rPr>
        <w:t> </w:t>
      </w:r>
      <w:r>
        <w:rPr>
          <w:color w:val="272527"/>
        </w:rPr>
        <w:t>metodologías</w:t>
      </w:r>
      <w:r>
        <w:rPr>
          <w:color w:val="272527"/>
          <w:spacing w:val="-8"/>
        </w:rPr>
        <w:t> </w:t>
      </w:r>
      <w:r>
        <w:rPr>
          <w:color w:val="272527"/>
        </w:rPr>
        <w:t>(cuan- titativas y cualitativas) y las bases de datos (tanto datos</w:t>
      </w:r>
      <w:r>
        <w:rPr>
          <w:color w:val="272527"/>
          <w:spacing w:val="-34"/>
        </w:rPr>
        <w:t> </w:t>
      </w:r>
      <w:r>
        <w:rPr>
          <w:color w:val="272527"/>
        </w:rPr>
        <w:t>transversales</w:t>
      </w:r>
      <w:r>
        <w:rPr>
          <w:color w:val="272527"/>
          <w:spacing w:val="-5"/>
        </w:rPr>
        <w:t> </w:t>
      </w:r>
      <w:r>
        <w:rPr>
          <w:color w:val="272527"/>
        </w:rPr>
        <w:t>du- rante</w:t>
      </w:r>
      <w:r>
        <w:rPr>
          <w:color w:val="272527"/>
          <w:spacing w:val="-5"/>
        </w:rPr>
        <w:t> </w:t>
      </w:r>
      <w:r>
        <w:rPr>
          <w:color w:val="272527"/>
        </w:rPr>
        <w:t>varios</w:t>
      </w:r>
      <w:r>
        <w:rPr>
          <w:color w:val="272527"/>
          <w:spacing w:val="-4"/>
        </w:rPr>
        <w:t> </w:t>
      </w:r>
      <w:r>
        <w:rPr>
          <w:color w:val="272527"/>
        </w:rPr>
        <w:t>años</w:t>
      </w:r>
      <w:r>
        <w:rPr>
          <w:color w:val="272527"/>
          <w:spacing w:val="-5"/>
        </w:rPr>
        <w:t> </w:t>
      </w:r>
      <w:r>
        <w:rPr>
          <w:color w:val="272527"/>
        </w:rPr>
        <w:t>como</w:t>
      </w:r>
      <w:r>
        <w:rPr>
          <w:color w:val="272527"/>
          <w:spacing w:val="-5"/>
        </w:rPr>
        <w:t> </w:t>
      </w:r>
      <w:r>
        <w:rPr>
          <w:color w:val="272527"/>
        </w:rPr>
        <w:t>longitudinales)</w:t>
      </w:r>
      <w:r>
        <w:rPr>
          <w:color w:val="272527"/>
          <w:spacing w:val="-5"/>
        </w:rPr>
        <w:t> </w:t>
      </w:r>
      <w:r>
        <w:rPr>
          <w:color w:val="272527"/>
        </w:rPr>
        <w:t>pueden</w:t>
      </w:r>
      <w:r>
        <w:rPr>
          <w:color w:val="272527"/>
          <w:spacing w:val="-5"/>
        </w:rPr>
        <w:t> </w:t>
      </w:r>
      <w:r>
        <w:rPr>
          <w:color w:val="272527"/>
        </w:rPr>
        <w:t>variar,</w:t>
      </w:r>
      <w:r>
        <w:rPr>
          <w:color w:val="272527"/>
          <w:spacing w:val="-4"/>
        </w:rPr>
        <w:t> </w:t>
      </w:r>
      <w:r>
        <w:rPr>
          <w:color w:val="272527"/>
        </w:rPr>
        <w:t>lo</w:t>
      </w:r>
      <w:r>
        <w:rPr>
          <w:color w:val="272527"/>
          <w:spacing w:val="-5"/>
        </w:rPr>
        <w:t> </w:t>
      </w:r>
      <w:r>
        <w:rPr>
          <w:color w:val="272527"/>
        </w:rPr>
        <w:t>cual</w:t>
      </w:r>
      <w:r>
        <w:rPr>
          <w:color w:val="272527"/>
          <w:spacing w:val="-5"/>
        </w:rPr>
        <w:t> </w:t>
      </w:r>
      <w:r>
        <w:rPr>
          <w:color w:val="272527"/>
        </w:rPr>
        <w:t>complejiza</w:t>
      </w:r>
    </w:p>
    <w:p>
      <w:pPr>
        <w:pStyle w:val="BodyText"/>
        <w:spacing w:before="1"/>
        <w:ind w:left="110"/>
        <w:jc w:val="both"/>
      </w:pPr>
      <w:r>
        <w:rPr>
          <w:color w:val="272527"/>
        </w:rPr>
        <w:t>la comparación de resultados (McMillan y Verduzco, 2011).</w:t>
      </w:r>
    </w:p>
    <w:p>
      <w:pPr>
        <w:pStyle w:val="BodyText"/>
        <w:spacing w:line="249" w:lineRule="auto" w:before="10"/>
        <w:ind w:left="110" w:right="111" w:firstLine="283"/>
        <w:jc w:val="both"/>
      </w:pPr>
      <w:r>
        <w:rPr>
          <w:color w:val="231F20"/>
        </w:rPr>
        <w:t>Nuestra óptica particular es de corte sociodemográfico, y nuestro objetivo es examinar las condiciones laborales o la calidad del empleo existente en diferentes sectores económicos, según su vinculación con</w:t>
      </w:r>
      <w:r>
        <w:rPr>
          <w:color w:val="231F20"/>
          <w:spacing w:val="-32"/>
        </w:rPr>
        <w:t> </w:t>
      </w:r>
      <w:r>
        <w:rPr>
          <w:color w:val="231F20"/>
        </w:rPr>
        <w:t>el comercio exterior. La información que manejamos son estadísticas</w:t>
      </w:r>
      <w:r>
        <w:rPr>
          <w:color w:val="231F20"/>
          <w:spacing w:val="-31"/>
        </w:rPr>
        <w:t> </w:t>
      </w:r>
      <w:r>
        <w:rPr>
          <w:color w:val="231F20"/>
        </w:rPr>
        <w:t>agre- gadas de comercio exterior sobre productos exportados e importados en diferentes</w:t>
      </w:r>
      <w:r>
        <w:rPr>
          <w:color w:val="231F20"/>
          <w:spacing w:val="-6"/>
        </w:rPr>
        <w:t> </w:t>
      </w:r>
      <w:r>
        <w:rPr>
          <w:color w:val="231F20"/>
        </w:rPr>
        <w:t>ramas</w:t>
      </w:r>
      <w:r>
        <w:rPr>
          <w:color w:val="231F20"/>
          <w:spacing w:val="-6"/>
        </w:rPr>
        <w:t> </w:t>
      </w:r>
      <w:r>
        <w:rPr>
          <w:color w:val="231F20"/>
        </w:rPr>
        <w:t>de</w:t>
      </w:r>
      <w:r>
        <w:rPr>
          <w:color w:val="231F20"/>
          <w:spacing w:val="-6"/>
        </w:rPr>
        <w:t> </w:t>
      </w:r>
      <w:r>
        <w:rPr>
          <w:color w:val="231F20"/>
        </w:rPr>
        <w:t>actividad</w:t>
      </w:r>
      <w:r>
        <w:rPr>
          <w:color w:val="231F20"/>
          <w:spacing w:val="-6"/>
        </w:rPr>
        <w:t> </w:t>
      </w:r>
      <w:r>
        <w:rPr>
          <w:color w:val="231F20"/>
        </w:rPr>
        <w:t>agrícolas,</w:t>
      </w:r>
      <w:r>
        <w:rPr>
          <w:color w:val="231F20"/>
          <w:spacing w:val="-6"/>
        </w:rPr>
        <w:t> </w:t>
      </w:r>
      <w:r>
        <w:rPr>
          <w:color w:val="231F20"/>
        </w:rPr>
        <w:t>manufactureras</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construc- ción mexicanas (sectores primario y secundario, periodo 2002-2012), provenientes de la Comtrade de Naciones Unidas, así como micro datos de las encuestas de empleo sobre trabajadores en esas ramas en el año final (ENOE, 2012).</w:t>
      </w:r>
      <w:r>
        <w:rPr>
          <w:color w:val="231F20"/>
          <w:position w:val="7"/>
          <w:sz w:val="11"/>
        </w:rPr>
        <w:t>1 </w:t>
      </w:r>
      <w:r>
        <w:rPr>
          <w:color w:val="231F20"/>
        </w:rPr>
        <w:t>Dado este tipo de datos, no buscamos establecer relaciones de causalidad, sino más bien conocer cómo las condiciones de trabajo (remuneraciones y seguridad social) varían en sectores eco- nómicos que han experimentado diferentes tipos de flujos comerciales en la última década, y donde existe un número determinado de socios comerciales. Para llevar a cabo esta tarea, se realizó un extenso</w:t>
      </w:r>
      <w:r>
        <w:rPr>
          <w:color w:val="231F20"/>
          <w:spacing w:val="-19"/>
        </w:rPr>
        <w:t> </w:t>
      </w:r>
      <w:r>
        <w:rPr>
          <w:color w:val="231F20"/>
        </w:rPr>
        <w:t>ejercicio de comparación entre las estadísticas de comercio exterior y las de ocu- pación y empleo que detallamos más</w:t>
      </w:r>
      <w:r>
        <w:rPr>
          <w:color w:val="231F20"/>
          <w:spacing w:val="-3"/>
        </w:rPr>
        <w:t> </w:t>
      </w:r>
      <w:r>
        <w:rPr>
          <w:color w:val="231F20"/>
        </w:rPr>
        <w:t>adelante.</w:t>
      </w:r>
    </w:p>
    <w:p>
      <w:pPr>
        <w:pStyle w:val="BodyText"/>
        <w:spacing w:before="1"/>
        <w:ind w:left="41" w:right="111"/>
        <w:jc w:val="right"/>
      </w:pPr>
      <w:r>
        <w:rPr>
          <w:color w:val="272527"/>
        </w:rPr>
        <w:t>El trabajo se estructura como sigue. En el apartado siguiente exami-</w:t>
      </w:r>
    </w:p>
    <w:p>
      <w:pPr>
        <w:spacing w:before="145"/>
        <w:ind w:left="110" w:right="111" w:firstLine="0"/>
        <w:jc w:val="both"/>
        <w:rPr>
          <w:sz w:val="14"/>
        </w:rPr>
      </w:pPr>
      <w:r>
        <w:rPr>
          <w:color w:val="231F20"/>
          <w:position w:val="5"/>
          <w:sz w:val="8"/>
        </w:rPr>
        <w:t>1 </w:t>
      </w:r>
      <w:r>
        <w:rPr>
          <w:color w:val="231F20"/>
          <w:sz w:val="14"/>
        </w:rPr>
        <w:t>La Comtrade es la </w:t>
      </w:r>
      <w:r>
        <w:rPr>
          <w:i/>
          <w:color w:val="231F20"/>
          <w:sz w:val="14"/>
        </w:rPr>
        <w:t>Commodity Trade Statistics </w:t>
      </w:r>
      <w:r>
        <w:rPr>
          <w:color w:val="231F20"/>
          <w:sz w:val="14"/>
        </w:rPr>
        <w:t>(base de datos estadísticos sobre comercio exterior de las Naciones Unidas); la ENOE es la Encuesta Nacional de Ocupación y Empleo, llevada a cabo por el Instituto Nacional de Estadística y Geografía (INEGI).</w:t>
      </w:r>
    </w:p>
    <w:p>
      <w:pPr>
        <w:spacing w:after="0"/>
        <w:jc w:val="both"/>
        <w:rPr>
          <w:sz w:val="14"/>
        </w:rPr>
        <w:sectPr>
          <w:pgSz w:w="7770" w:h="11740"/>
          <w:pgMar w:header="0" w:footer="474" w:top="820" w:bottom="740" w:left="740" w:right="1020"/>
        </w:sectPr>
      </w:pPr>
    </w:p>
    <w:p>
      <w:pPr>
        <w:pStyle w:val="BodyText"/>
        <w:spacing w:line="249" w:lineRule="auto" w:before="60"/>
        <w:ind w:left="113" w:right="108"/>
        <w:jc w:val="both"/>
      </w:pPr>
      <w:r>
        <w:rPr>
          <w:color w:val="272527"/>
        </w:rPr>
        <w:t>namos brevemente el proceso de apertura comercial del país y la situa- ción prevaleciente en el mercado de trabajo; se señalan los principales productos de exportación, así como las principales tendencias con res- pecto a crecimiento económico, ocupación y desocupación. Al finalizar esta primera parte, indicamos el procedimiento seguido para clasificar a las ramas económicas objeto de estudio según la intensidad de los flujos comerciales y la diversificación de socios.</w:t>
      </w:r>
    </w:p>
    <w:p>
      <w:pPr>
        <w:pStyle w:val="BodyText"/>
        <w:spacing w:line="249" w:lineRule="auto" w:before="1"/>
        <w:ind w:left="113" w:right="107" w:firstLine="283"/>
        <w:jc w:val="both"/>
      </w:pPr>
      <w:r>
        <w:rPr>
          <w:color w:val="272527"/>
        </w:rPr>
        <w:t>En la segunda parte del trabajo se presentan los resultados. Inicial- mente se ofrecen datos descriptivos sobre el número de trabajadores    en las diferentes ramas económicas ya definidas previamente según su vinculación con el comercio exterior. Asimismo, se señalan sus distin- tos rasgos, tales como su edad, condición de hombre o mujer, nivel de escolaridad, ingresos, y tenencia o no de seguridad social. A continua- ción estimamos modelos de regresión en torno a los factores asociados al ingreso por hora de los trabajadores y al acceso a seguridad social. Lo que buscamos clarificar es si existen diferencias de ingreso y prestacio- nes sociales significativas en las distintas ramas económicas (definidas según</w:t>
      </w:r>
      <w:r>
        <w:rPr>
          <w:color w:val="272527"/>
          <w:spacing w:val="-7"/>
        </w:rPr>
        <w:t> </w:t>
      </w:r>
      <w:r>
        <w:rPr>
          <w:color w:val="272527"/>
        </w:rPr>
        <w:t>su</w:t>
      </w:r>
      <w:r>
        <w:rPr>
          <w:color w:val="272527"/>
          <w:spacing w:val="-7"/>
        </w:rPr>
        <w:t> </w:t>
      </w:r>
      <w:r>
        <w:rPr>
          <w:color w:val="272527"/>
        </w:rPr>
        <w:t>vinculación</w:t>
      </w:r>
      <w:r>
        <w:rPr>
          <w:color w:val="272527"/>
          <w:spacing w:val="-7"/>
        </w:rPr>
        <w:t> </w:t>
      </w:r>
      <w:r>
        <w:rPr>
          <w:color w:val="272527"/>
        </w:rPr>
        <w:t>con</w:t>
      </w:r>
      <w:r>
        <w:rPr>
          <w:color w:val="272527"/>
          <w:spacing w:val="-7"/>
        </w:rPr>
        <w:t> </w:t>
      </w:r>
      <w:r>
        <w:rPr>
          <w:color w:val="272527"/>
        </w:rPr>
        <w:t>el</w:t>
      </w:r>
      <w:r>
        <w:rPr>
          <w:color w:val="272527"/>
          <w:spacing w:val="-7"/>
        </w:rPr>
        <w:t> </w:t>
      </w:r>
      <w:r>
        <w:rPr>
          <w:color w:val="272527"/>
        </w:rPr>
        <w:t>comercio</w:t>
      </w:r>
      <w:r>
        <w:rPr>
          <w:color w:val="272527"/>
          <w:spacing w:val="-7"/>
        </w:rPr>
        <w:t> </w:t>
      </w:r>
      <w:r>
        <w:rPr>
          <w:color w:val="272527"/>
        </w:rPr>
        <w:t>exterior),</w:t>
      </w:r>
      <w:r>
        <w:rPr>
          <w:color w:val="272527"/>
          <w:spacing w:val="-8"/>
        </w:rPr>
        <w:t> </w:t>
      </w:r>
      <w:r>
        <w:rPr>
          <w:color w:val="272527"/>
        </w:rPr>
        <w:t>una</w:t>
      </w:r>
      <w:r>
        <w:rPr>
          <w:color w:val="272527"/>
          <w:spacing w:val="-7"/>
        </w:rPr>
        <w:t> </w:t>
      </w:r>
      <w:r>
        <w:rPr>
          <w:color w:val="272527"/>
        </w:rPr>
        <w:t>vez</w:t>
      </w:r>
      <w:r>
        <w:rPr>
          <w:color w:val="272527"/>
          <w:spacing w:val="-7"/>
        </w:rPr>
        <w:t> </w:t>
      </w:r>
      <w:r>
        <w:rPr>
          <w:color w:val="272527"/>
        </w:rPr>
        <w:t>que</w:t>
      </w:r>
      <w:r>
        <w:rPr>
          <w:color w:val="272527"/>
          <w:spacing w:val="-7"/>
        </w:rPr>
        <w:t> </w:t>
      </w:r>
      <w:r>
        <w:rPr>
          <w:color w:val="272527"/>
        </w:rPr>
        <w:t>controlamos estadísticamente los rasgos sociodemográficos y ocupacionales de los trabajadores. Finalmente, en la discusión y consideraciones finales resu- mimos</w:t>
      </w:r>
      <w:r>
        <w:rPr>
          <w:color w:val="272527"/>
          <w:spacing w:val="-7"/>
        </w:rPr>
        <w:t> </w:t>
      </w:r>
      <w:r>
        <w:rPr>
          <w:color w:val="272527"/>
        </w:rPr>
        <w:t>los</w:t>
      </w:r>
      <w:r>
        <w:rPr>
          <w:color w:val="272527"/>
          <w:spacing w:val="-7"/>
        </w:rPr>
        <w:t> </w:t>
      </w:r>
      <w:r>
        <w:rPr>
          <w:color w:val="272527"/>
        </w:rPr>
        <w:t>hallazgos</w:t>
      </w:r>
      <w:r>
        <w:rPr>
          <w:color w:val="272527"/>
          <w:spacing w:val="-7"/>
        </w:rPr>
        <w:t> </w:t>
      </w:r>
      <w:r>
        <w:rPr>
          <w:color w:val="272527"/>
        </w:rPr>
        <w:t>que</w:t>
      </w:r>
      <w:r>
        <w:rPr>
          <w:color w:val="272527"/>
          <w:spacing w:val="-6"/>
        </w:rPr>
        <w:t> </w:t>
      </w:r>
      <w:r>
        <w:rPr>
          <w:color w:val="272527"/>
        </w:rPr>
        <w:t>consideramos</w:t>
      </w:r>
      <w:r>
        <w:rPr>
          <w:color w:val="272527"/>
          <w:spacing w:val="-7"/>
        </w:rPr>
        <w:t> </w:t>
      </w:r>
      <w:r>
        <w:rPr>
          <w:color w:val="272527"/>
        </w:rPr>
        <w:t>más</w:t>
      </w:r>
      <w:r>
        <w:rPr>
          <w:color w:val="272527"/>
          <w:spacing w:val="-7"/>
        </w:rPr>
        <w:t> </w:t>
      </w:r>
      <w:r>
        <w:rPr>
          <w:color w:val="272527"/>
        </w:rPr>
        <w:t>importantes</w:t>
      </w:r>
      <w:r>
        <w:rPr>
          <w:color w:val="272527"/>
          <w:spacing w:val="-7"/>
        </w:rPr>
        <w:t> </w:t>
      </w:r>
      <w:r>
        <w:rPr>
          <w:color w:val="272527"/>
        </w:rPr>
        <w:t>dentro</w:t>
      </w:r>
      <w:r>
        <w:rPr>
          <w:color w:val="272527"/>
          <w:spacing w:val="-6"/>
        </w:rPr>
        <w:t> </w:t>
      </w:r>
      <w:r>
        <w:rPr>
          <w:color w:val="272527"/>
        </w:rPr>
        <w:t>de</w:t>
      </w:r>
      <w:r>
        <w:rPr>
          <w:color w:val="272527"/>
          <w:spacing w:val="-6"/>
        </w:rPr>
        <w:t> </w:t>
      </w:r>
      <w:r>
        <w:rPr>
          <w:color w:val="272527"/>
        </w:rPr>
        <w:t>lo</w:t>
      </w:r>
      <w:r>
        <w:rPr>
          <w:color w:val="272527"/>
          <w:spacing w:val="-7"/>
        </w:rPr>
        <w:t> </w:t>
      </w:r>
      <w:r>
        <w:rPr>
          <w:color w:val="272527"/>
        </w:rPr>
        <w:t>que se</w:t>
      </w:r>
      <w:r>
        <w:rPr>
          <w:color w:val="272527"/>
          <w:spacing w:val="-9"/>
        </w:rPr>
        <w:t> </w:t>
      </w:r>
      <w:r>
        <w:rPr>
          <w:color w:val="272527"/>
        </w:rPr>
        <w:t>conoce</w:t>
      </w:r>
      <w:r>
        <w:rPr>
          <w:color w:val="272527"/>
          <w:spacing w:val="-9"/>
        </w:rPr>
        <w:t> </w:t>
      </w:r>
      <w:r>
        <w:rPr>
          <w:color w:val="272527"/>
        </w:rPr>
        <w:t>sobre</w:t>
      </w:r>
      <w:r>
        <w:rPr>
          <w:color w:val="272527"/>
          <w:spacing w:val="-9"/>
        </w:rPr>
        <w:t> </w:t>
      </w:r>
      <w:r>
        <w:rPr>
          <w:color w:val="272527"/>
        </w:rPr>
        <w:t>el</w:t>
      </w:r>
      <w:r>
        <w:rPr>
          <w:color w:val="272527"/>
          <w:spacing w:val="-9"/>
        </w:rPr>
        <w:t> </w:t>
      </w:r>
      <w:r>
        <w:rPr>
          <w:color w:val="272527"/>
        </w:rPr>
        <w:t>tema</w:t>
      </w:r>
      <w:r>
        <w:rPr>
          <w:color w:val="272527"/>
          <w:spacing w:val="-9"/>
        </w:rPr>
        <w:t> </w:t>
      </w:r>
      <w:r>
        <w:rPr>
          <w:color w:val="272527"/>
        </w:rPr>
        <w:t>en</w:t>
      </w:r>
      <w:r>
        <w:rPr>
          <w:color w:val="272527"/>
          <w:spacing w:val="-9"/>
        </w:rPr>
        <w:t> </w:t>
      </w:r>
      <w:r>
        <w:rPr>
          <w:color w:val="272527"/>
        </w:rPr>
        <w:t>México</w:t>
      </w:r>
      <w:r>
        <w:rPr>
          <w:color w:val="272527"/>
          <w:spacing w:val="-9"/>
        </w:rPr>
        <w:t> </w:t>
      </w:r>
      <w:r>
        <w:rPr>
          <w:color w:val="272527"/>
        </w:rPr>
        <w:t>en</w:t>
      </w:r>
      <w:r>
        <w:rPr>
          <w:color w:val="272527"/>
          <w:spacing w:val="-9"/>
        </w:rPr>
        <w:t> </w:t>
      </w:r>
      <w:r>
        <w:rPr>
          <w:color w:val="272527"/>
        </w:rPr>
        <w:t>una</w:t>
      </w:r>
      <w:r>
        <w:rPr>
          <w:color w:val="272527"/>
          <w:spacing w:val="-9"/>
        </w:rPr>
        <w:t> </w:t>
      </w:r>
      <w:r>
        <w:rPr>
          <w:color w:val="272527"/>
        </w:rPr>
        <w:t>perspectiva</w:t>
      </w:r>
      <w:r>
        <w:rPr>
          <w:color w:val="272527"/>
          <w:spacing w:val="-9"/>
        </w:rPr>
        <w:t> </w:t>
      </w:r>
      <w:r>
        <w:rPr>
          <w:color w:val="272527"/>
        </w:rPr>
        <w:t>sociodemográfica, destacamos su relevancia en referencia a algunos planteamientos teóri- cos, y puntualizamos las limitaciones de esta</w:t>
      </w:r>
      <w:r>
        <w:rPr>
          <w:color w:val="272527"/>
          <w:spacing w:val="-4"/>
        </w:rPr>
        <w:t> </w:t>
      </w:r>
      <w:r>
        <w:rPr>
          <w:color w:val="272527"/>
        </w:rPr>
        <w:t>investigación.</w:t>
      </w:r>
    </w:p>
    <w:p>
      <w:pPr>
        <w:pStyle w:val="Heading4"/>
        <w:spacing w:line="240" w:lineRule="exact" w:before="166"/>
        <w:ind w:right="174"/>
      </w:pPr>
      <w:r>
        <w:rPr>
          <w:w w:val="75"/>
        </w:rPr>
        <w:t>Estrategia de crecimiento económico, acuerdos comerciales y evolución</w:t>
      </w:r>
      <w:r>
        <w:rPr>
          <w:spacing w:val="-16"/>
          <w:w w:val="75"/>
        </w:rPr>
        <w:t> </w:t>
      </w:r>
      <w:r>
        <w:rPr>
          <w:w w:val="75"/>
        </w:rPr>
        <w:t>del mercado de trabajo en México: algunos</w:t>
      </w:r>
      <w:r>
        <w:rPr>
          <w:spacing w:val="-9"/>
          <w:w w:val="75"/>
        </w:rPr>
        <w:t> </w:t>
      </w:r>
      <w:r>
        <w:rPr>
          <w:w w:val="75"/>
        </w:rPr>
        <w:t>antecedentes</w:t>
      </w:r>
    </w:p>
    <w:p>
      <w:pPr>
        <w:pStyle w:val="BodyText"/>
        <w:spacing w:line="249" w:lineRule="auto" w:before="175"/>
        <w:ind w:left="113" w:right="107"/>
        <w:jc w:val="both"/>
      </w:pPr>
      <w:r>
        <w:rPr>
          <w:color w:val="231F20"/>
        </w:rPr>
        <w:t>El fomento a la base exportadora y la puesta en marcha de acuerdos co- merciales han sido piezas fundamentales de la estrategia de desarrollo económico puesta en marcha por México y muchos otros países a partir de los años 1980. Chile y México son los países de América Latina que han firmado más acuerdos de libre comercio y que tienen más socios</w:t>
      </w:r>
      <w:r>
        <w:rPr>
          <w:color w:val="231F20"/>
          <w:spacing w:val="-35"/>
        </w:rPr>
        <w:t> </w:t>
      </w:r>
      <w:r>
        <w:rPr>
          <w:color w:val="231F20"/>
        </w:rPr>
        <w:t>co- merciales (Dingemans y Ross, 2012). Sin embargo, en el caso mexicano habría</w:t>
      </w:r>
      <w:r>
        <w:rPr>
          <w:color w:val="231F20"/>
          <w:spacing w:val="-7"/>
        </w:rPr>
        <w:t> </w:t>
      </w:r>
      <w:r>
        <w:rPr>
          <w:color w:val="231F20"/>
        </w:rPr>
        <w:t>que</w:t>
      </w:r>
      <w:r>
        <w:rPr>
          <w:color w:val="231F20"/>
          <w:spacing w:val="-7"/>
        </w:rPr>
        <w:t> </w:t>
      </w:r>
      <w:r>
        <w:rPr>
          <w:color w:val="231F20"/>
        </w:rPr>
        <w:t>puntualizar</w:t>
      </w:r>
      <w:r>
        <w:rPr>
          <w:color w:val="231F20"/>
          <w:spacing w:val="-7"/>
        </w:rPr>
        <w:t> </w:t>
      </w:r>
      <w:r>
        <w:rPr>
          <w:color w:val="231F20"/>
        </w:rPr>
        <w:t>la</w:t>
      </w:r>
      <w:r>
        <w:rPr>
          <w:color w:val="231F20"/>
          <w:spacing w:val="-7"/>
        </w:rPr>
        <w:t> </w:t>
      </w:r>
      <w:r>
        <w:rPr>
          <w:color w:val="231F20"/>
        </w:rPr>
        <w:t>importancia</w:t>
      </w:r>
      <w:r>
        <w:rPr>
          <w:color w:val="231F20"/>
          <w:spacing w:val="-7"/>
        </w:rPr>
        <w:t> </w:t>
      </w:r>
      <w:r>
        <w:rPr>
          <w:color w:val="231F20"/>
        </w:rPr>
        <w:t>del</w:t>
      </w:r>
      <w:r>
        <w:rPr>
          <w:color w:val="231F20"/>
          <w:spacing w:val="-11"/>
        </w:rPr>
        <w:t> </w:t>
      </w:r>
      <w:r>
        <w:rPr>
          <w:color w:val="231F20"/>
        </w:rPr>
        <w:t>Tratado</w:t>
      </w:r>
      <w:r>
        <w:rPr>
          <w:color w:val="231F20"/>
          <w:spacing w:val="-7"/>
        </w:rPr>
        <w:t> </w:t>
      </w:r>
      <w:r>
        <w:rPr>
          <w:color w:val="231F20"/>
        </w:rPr>
        <w:t>de</w:t>
      </w:r>
      <w:r>
        <w:rPr>
          <w:color w:val="231F20"/>
          <w:spacing w:val="-7"/>
        </w:rPr>
        <w:t> </w:t>
      </w:r>
      <w:r>
        <w:rPr>
          <w:color w:val="231F20"/>
        </w:rPr>
        <w:t>Libre</w:t>
      </w:r>
      <w:r>
        <w:rPr>
          <w:color w:val="231F20"/>
          <w:spacing w:val="-8"/>
        </w:rPr>
        <w:t> </w:t>
      </w:r>
      <w:r>
        <w:rPr>
          <w:color w:val="231F20"/>
        </w:rPr>
        <w:t>Comercio</w:t>
      </w:r>
      <w:r>
        <w:rPr>
          <w:color w:val="231F20"/>
          <w:spacing w:val="-7"/>
        </w:rPr>
        <w:t> </w:t>
      </w:r>
      <w:r>
        <w:rPr>
          <w:color w:val="231F20"/>
        </w:rPr>
        <w:t>con Estados Unidos y Canadá, firmado en 1994 (TLCAN o </w:t>
      </w:r>
      <w:r>
        <w:rPr>
          <w:color w:val="231F20"/>
          <w:spacing w:val="-3"/>
        </w:rPr>
        <w:t>NAFTA, </w:t>
      </w:r>
      <w:r>
        <w:rPr>
          <w:color w:val="231F20"/>
        </w:rPr>
        <w:t>por sus siglas en</w:t>
      </w:r>
      <w:r>
        <w:rPr>
          <w:color w:val="231F20"/>
          <w:spacing w:val="-6"/>
        </w:rPr>
        <w:t> </w:t>
      </w:r>
      <w:r>
        <w:rPr>
          <w:color w:val="231F20"/>
        </w:rPr>
        <w:t>inglés).</w:t>
      </w:r>
    </w:p>
    <w:p>
      <w:pPr>
        <w:pStyle w:val="BodyText"/>
        <w:spacing w:line="249" w:lineRule="auto" w:before="1"/>
        <w:ind w:left="113" w:right="108" w:firstLine="283"/>
        <w:jc w:val="both"/>
      </w:pPr>
      <w:r>
        <w:rPr>
          <w:color w:val="272527"/>
        </w:rPr>
        <w:t>En lo que respecta al valor absoluto de las exportaciones, hasta 2008 México era el país que había alcanzado un mayor valor en toda la</w:t>
      </w:r>
      <w:r>
        <w:rPr>
          <w:color w:val="272527"/>
          <w:spacing w:val="-32"/>
        </w:rPr>
        <w:t> </w:t>
      </w:r>
      <w:r>
        <w:rPr>
          <w:color w:val="272527"/>
        </w:rPr>
        <w:t>región en este renglón, y había experimentado un crecimiento medio anual  </w:t>
      </w:r>
      <w:r>
        <w:rPr>
          <w:color w:val="272527"/>
          <w:spacing w:val="27"/>
        </w:rPr>
        <w:t> </w:t>
      </w:r>
      <w:r>
        <w:rPr>
          <w:color w:val="272527"/>
        </w:rPr>
        <w:t>de</w:t>
      </w:r>
    </w:p>
    <w:p>
      <w:pPr>
        <w:pStyle w:val="BodyText"/>
        <w:spacing w:before="1"/>
        <w:ind w:left="113"/>
        <w:jc w:val="both"/>
      </w:pPr>
      <w:r>
        <w:rPr>
          <w:color w:val="272527"/>
        </w:rPr>
        <w:t>11.4 por ciento en sus exportaciones desde 1990. A pesar del éxito obte-</w:t>
      </w:r>
    </w:p>
    <w:p>
      <w:pPr>
        <w:spacing w:after="0"/>
        <w:jc w:val="both"/>
        <w:sectPr>
          <w:footerReference w:type="default" r:id="rId98"/>
          <w:pgSz w:w="7770" w:h="11740"/>
          <w:pgMar w:footer="474" w:header="0" w:top="840" w:bottom="660" w:left="1020" w:right="740"/>
          <w:pgNumType w:start="87"/>
        </w:sectPr>
      </w:pPr>
    </w:p>
    <w:p>
      <w:pPr>
        <w:pStyle w:val="BodyText"/>
        <w:spacing w:line="249" w:lineRule="auto" w:before="60"/>
        <w:ind w:left="110" w:right="110"/>
        <w:jc w:val="both"/>
      </w:pPr>
      <w:r>
        <w:rPr>
          <w:color w:val="272527"/>
        </w:rPr>
        <w:t>nido en cuanto al incremento del valor absoluto y el número de socios, el punto más controversial de la estrategia mexicana es su escasa diver- sificación,</w:t>
      </w:r>
      <w:r>
        <w:rPr>
          <w:color w:val="272527"/>
          <w:spacing w:val="-5"/>
        </w:rPr>
        <w:t> </w:t>
      </w:r>
      <w:r>
        <w:rPr>
          <w:color w:val="272527"/>
        </w:rPr>
        <w:t>pues</w:t>
      </w:r>
      <w:r>
        <w:rPr>
          <w:color w:val="272527"/>
          <w:spacing w:val="-5"/>
        </w:rPr>
        <w:t> </w:t>
      </w:r>
      <w:r>
        <w:rPr>
          <w:color w:val="272527"/>
        </w:rPr>
        <w:t>una</w:t>
      </w:r>
      <w:r>
        <w:rPr>
          <w:color w:val="272527"/>
          <w:spacing w:val="-5"/>
        </w:rPr>
        <w:t> </w:t>
      </w:r>
      <w:r>
        <w:rPr>
          <w:color w:val="272527"/>
        </w:rPr>
        <w:t>proporción</w:t>
      </w:r>
      <w:r>
        <w:rPr>
          <w:color w:val="272527"/>
          <w:spacing w:val="-5"/>
        </w:rPr>
        <w:t> </w:t>
      </w:r>
      <w:r>
        <w:rPr>
          <w:color w:val="272527"/>
        </w:rPr>
        <w:t>mayoritaria</w:t>
      </w:r>
      <w:r>
        <w:rPr>
          <w:color w:val="272527"/>
          <w:spacing w:val="-6"/>
        </w:rPr>
        <w:t> </w:t>
      </w:r>
      <w:r>
        <w:rPr>
          <w:color w:val="272527"/>
        </w:rPr>
        <w:t>de</w:t>
      </w:r>
      <w:r>
        <w:rPr>
          <w:color w:val="272527"/>
          <w:spacing w:val="-5"/>
        </w:rPr>
        <w:t> </w:t>
      </w:r>
      <w:r>
        <w:rPr>
          <w:color w:val="272527"/>
        </w:rPr>
        <w:t>las</w:t>
      </w:r>
      <w:r>
        <w:rPr>
          <w:color w:val="272527"/>
          <w:spacing w:val="-5"/>
        </w:rPr>
        <w:t> </w:t>
      </w:r>
      <w:r>
        <w:rPr>
          <w:color w:val="272527"/>
        </w:rPr>
        <w:t>exportaciones</w:t>
      </w:r>
      <w:r>
        <w:rPr>
          <w:color w:val="272527"/>
          <w:spacing w:val="-6"/>
        </w:rPr>
        <w:t> </w:t>
      </w:r>
      <w:r>
        <w:rPr>
          <w:color w:val="272527"/>
        </w:rPr>
        <w:t>del</w:t>
      </w:r>
      <w:r>
        <w:rPr>
          <w:color w:val="272527"/>
          <w:spacing w:val="-5"/>
        </w:rPr>
        <w:t> </w:t>
      </w:r>
      <w:r>
        <w:rPr>
          <w:color w:val="272527"/>
        </w:rPr>
        <w:t>país se</w:t>
      </w:r>
      <w:r>
        <w:rPr>
          <w:color w:val="272527"/>
          <w:spacing w:val="-4"/>
        </w:rPr>
        <w:t> </w:t>
      </w:r>
      <w:r>
        <w:rPr>
          <w:color w:val="272527"/>
        </w:rPr>
        <w:t>dirigen</w:t>
      </w:r>
      <w:r>
        <w:rPr>
          <w:color w:val="272527"/>
          <w:spacing w:val="-4"/>
        </w:rPr>
        <w:t> </w:t>
      </w:r>
      <w:r>
        <w:rPr>
          <w:color w:val="272527"/>
        </w:rPr>
        <w:t>hacia</w:t>
      </w:r>
      <w:r>
        <w:rPr>
          <w:color w:val="272527"/>
          <w:spacing w:val="-4"/>
        </w:rPr>
        <w:t> </w:t>
      </w:r>
      <w:r>
        <w:rPr>
          <w:color w:val="272527"/>
        </w:rPr>
        <w:t>Estados</w:t>
      </w:r>
      <w:r>
        <w:rPr>
          <w:color w:val="272527"/>
          <w:spacing w:val="-4"/>
        </w:rPr>
        <w:t> </w:t>
      </w:r>
      <w:r>
        <w:rPr>
          <w:color w:val="272527"/>
        </w:rPr>
        <w:t>Unidos</w:t>
      </w:r>
      <w:r>
        <w:rPr>
          <w:color w:val="272527"/>
          <w:spacing w:val="-4"/>
        </w:rPr>
        <w:t> </w:t>
      </w:r>
      <w:r>
        <w:rPr>
          <w:color w:val="272527"/>
        </w:rPr>
        <w:t>(70</w:t>
      </w:r>
      <w:r>
        <w:rPr>
          <w:color w:val="272527"/>
          <w:spacing w:val="-4"/>
        </w:rPr>
        <w:t> </w:t>
      </w:r>
      <w:r>
        <w:rPr>
          <w:color w:val="272527"/>
        </w:rPr>
        <w:t>por</w:t>
      </w:r>
      <w:r>
        <w:rPr>
          <w:color w:val="272527"/>
          <w:spacing w:val="-4"/>
        </w:rPr>
        <w:t> </w:t>
      </w:r>
      <w:r>
        <w:rPr>
          <w:color w:val="272527"/>
        </w:rPr>
        <w:t>ciento</w:t>
      </w:r>
      <w:r>
        <w:rPr>
          <w:color w:val="272527"/>
          <w:spacing w:val="-4"/>
        </w:rPr>
        <w:t> </w:t>
      </w:r>
      <w:r>
        <w:rPr>
          <w:color w:val="272527"/>
        </w:rPr>
        <w:t>en</w:t>
      </w:r>
      <w:r>
        <w:rPr>
          <w:color w:val="272527"/>
          <w:spacing w:val="-4"/>
        </w:rPr>
        <w:t> </w:t>
      </w:r>
      <w:r>
        <w:rPr>
          <w:color w:val="272527"/>
        </w:rPr>
        <w:t>1990;</w:t>
      </w:r>
      <w:r>
        <w:rPr>
          <w:color w:val="272527"/>
          <w:spacing w:val="-4"/>
        </w:rPr>
        <w:t> </w:t>
      </w:r>
      <w:r>
        <w:rPr>
          <w:color w:val="272527"/>
        </w:rPr>
        <w:t>76</w:t>
      </w:r>
      <w:r>
        <w:rPr>
          <w:color w:val="272527"/>
          <w:spacing w:val="-4"/>
        </w:rPr>
        <w:t> </w:t>
      </w:r>
      <w:r>
        <w:rPr>
          <w:color w:val="272527"/>
        </w:rPr>
        <w:t>por</w:t>
      </w:r>
      <w:r>
        <w:rPr>
          <w:color w:val="272527"/>
          <w:spacing w:val="-4"/>
        </w:rPr>
        <w:t> </w:t>
      </w:r>
      <w:r>
        <w:rPr>
          <w:color w:val="272527"/>
        </w:rPr>
        <w:t>ciento</w:t>
      </w:r>
      <w:r>
        <w:rPr>
          <w:color w:val="272527"/>
          <w:spacing w:val="-4"/>
        </w:rPr>
        <w:t> </w:t>
      </w:r>
      <w:r>
        <w:rPr>
          <w:color w:val="272527"/>
        </w:rPr>
        <w:t>en 2012; 80 por ciento en 2014) (Dingemans y Ross, 2012; Fujii y Cervan- tes, 2013; INEGI, 2012 y 2014). Además de lo anterior, es importante tener</w:t>
      </w:r>
      <w:r>
        <w:rPr>
          <w:color w:val="272527"/>
          <w:spacing w:val="-7"/>
        </w:rPr>
        <w:t> </w:t>
      </w:r>
      <w:r>
        <w:rPr>
          <w:color w:val="272527"/>
        </w:rPr>
        <w:t>en</w:t>
      </w:r>
      <w:r>
        <w:rPr>
          <w:color w:val="272527"/>
          <w:spacing w:val="-7"/>
        </w:rPr>
        <w:t> </w:t>
      </w:r>
      <w:r>
        <w:rPr>
          <w:color w:val="272527"/>
        </w:rPr>
        <w:t>cuenta</w:t>
      </w:r>
      <w:r>
        <w:rPr>
          <w:color w:val="272527"/>
          <w:spacing w:val="-7"/>
        </w:rPr>
        <w:t> </w:t>
      </w:r>
      <w:r>
        <w:rPr>
          <w:color w:val="272527"/>
        </w:rPr>
        <w:t>que</w:t>
      </w:r>
      <w:r>
        <w:rPr>
          <w:color w:val="272527"/>
          <w:spacing w:val="-6"/>
        </w:rPr>
        <w:t> </w:t>
      </w:r>
      <w:r>
        <w:rPr>
          <w:color w:val="272527"/>
        </w:rPr>
        <w:t>los</w:t>
      </w:r>
      <w:r>
        <w:rPr>
          <w:color w:val="272527"/>
          <w:spacing w:val="-7"/>
        </w:rPr>
        <w:t> </w:t>
      </w:r>
      <w:r>
        <w:rPr>
          <w:color w:val="272527"/>
        </w:rPr>
        <w:t>dos</w:t>
      </w:r>
      <w:r>
        <w:rPr>
          <w:color w:val="272527"/>
          <w:spacing w:val="-7"/>
        </w:rPr>
        <w:t> </w:t>
      </w:r>
      <w:r>
        <w:rPr>
          <w:color w:val="272527"/>
        </w:rPr>
        <w:t>principales</w:t>
      </w:r>
      <w:r>
        <w:rPr>
          <w:color w:val="272527"/>
          <w:spacing w:val="-7"/>
        </w:rPr>
        <w:t> </w:t>
      </w:r>
      <w:r>
        <w:rPr>
          <w:color w:val="272527"/>
        </w:rPr>
        <w:t>productos</w:t>
      </w:r>
      <w:r>
        <w:rPr>
          <w:color w:val="272527"/>
          <w:spacing w:val="-6"/>
        </w:rPr>
        <w:t> </w:t>
      </w:r>
      <w:r>
        <w:rPr>
          <w:color w:val="272527"/>
        </w:rPr>
        <w:t>de</w:t>
      </w:r>
      <w:r>
        <w:rPr>
          <w:color w:val="272527"/>
          <w:spacing w:val="-6"/>
        </w:rPr>
        <w:t> </w:t>
      </w:r>
      <w:r>
        <w:rPr>
          <w:color w:val="272527"/>
        </w:rPr>
        <w:t>exportación</w:t>
      </w:r>
      <w:r>
        <w:rPr>
          <w:color w:val="272527"/>
          <w:spacing w:val="-7"/>
        </w:rPr>
        <w:t> </w:t>
      </w:r>
      <w:r>
        <w:rPr>
          <w:color w:val="272527"/>
        </w:rPr>
        <w:t>en</w:t>
      </w:r>
      <w:r>
        <w:rPr>
          <w:color w:val="272527"/>
          <w:spacing w:val="-7"/>
        </w:rPr>
        <w:t> </w:t>
      </w:r>
      <w:r>
        <w:rPr>
          <w:color w:val="272527"/>
        </w:rPr>
        <w:t>1990 se</w:t>
      </w:r>
      <w:r>
        <w:rPr>
          <w:color w:val="272527"/>
          <w:spacing w:val="-4"/>
        </w:rPr>
        <w:t> </w:t>
      </w:r>
      <w:r>
        <w:rPr>
          <w:color w:val="272527"/>
        </w:rPr>
        <w:t>mantienen</w:t>
      </w:r>
      <w:r>
        <w:rPr>
          <w:color w:val="272527"/>
          <w:spacing w:val="-5"/>
        </w:rPr>
        <w:t> </w:t>
      </w:r>
      <w:r>
        <w:rPr>
          <w:color w:val="272527"/>
        </w:rPr>
        <w:t>en</w:t>
      </w:r>
      <w:r>
        <w:rPr>
          <w:color w:val="272527"/>
          <w:spacing w:val="-5"/>
        </w:rPr>
        <w:t> </w:t>
      </w:r>
      <w:r>
        <w:rPr>
          <w:color w:val="272527"/>
        </w:rPr>
        <w:t>2008,</w:t>
      </w:r>
      <w:r>
        <w:rPr>
          <w:color w:val="272527"/>
          <w:spacing w:val="-4"/>
        </w:rPr>
        <w:t> </w:t>
      </w:r>
      <w:r>
        <w:rPr>
          <w:color w:val="272527"/>
        </w:rPr>
        <w:t>aunque</w:t>
      </w:r>
      <w:r>
        <w:rPr>
          <w:color w:val="272527"/>
          <w:spacing w:val="-5"/>
        </w:rPr>
        <w:t> </w:t>
      </w:r>
      <w:r>
        <w:rPr>
          <w:color w:val="272527"/>
        </w:rPr>
        <w:t>ha</w:t>
      </w:r>
      <w:r>
        <w:rPr>
          <w:color w:val="272527"/>
          <w:spacing w:val="-5"/>
        </w:rPr>
        <w:t> </w:t>
      </w:r>
      <w:r>
        <w:rPr>
          <w:color w:val="272527"/>
        </w:rPr>
        <w:t>variado</w:t>
      </w:r>
      <w:r>
        <w:rPr>
          <w:color w:val="272527"/>
          <w:spacing w:val="-5"/>
        </w:rPr>
        <w:t> </w:t>
      </w:r>
      <w:r>
        <w:rPr>
          <w:color w:val="272527"/>
        </w:rPr>
        <w:t>el</w:t>
      </w:r>
      <w:r>
        <w:rPr>
          <w:color w:val="272527"/>
          <w:spacing w:val="-5"/>
        </w:rPr>
        <w:t> </w:t>
      </w:r>
      <w:r>
        <w:rPr>
          <w:color w:val="272527"/>
        </w:rPr>
        <w:t>peso</w:t>
      </w:r>
      <w:r>
        <w:rPr>
          <w:color w:val="272527"/>
          <w:spacing w:val="-4"/>
        </w:rPr>
        <w:t> </w:t>
      </w:r>
      <w:r>
        <w:rPr>
          <w:color w:val="272527"/>
        </w:rPr>
        <w:t>de</w:t>
      </w:r>
      <w:r>
        <w:rPr>
          <w:color w:val="272527"/>
          <w:spacing w:val="-5"/>
        </w:rPr>
        <w:t> </w:t>
      </w:r>
      <w:r>
        <w:rPr>
          <w:color w:val="272527"/>
        </w:rPr>
        <w:t>cada</w:t>
      </w:r>
      <w:r>
        <w:rPr>
          <w:color w:val="272527"/>
          <w:spacing w:val="-5"/>
        </w:rPr>
        <w:t> </w:t>
      </w:r>
      <w:r>
        <w:rPr>
          <w:color w:val="272527"/>
        </w:rPr>
        <w:t>uno</w:t>
      </w:r>
      <w:r>
        <w:rPr>
          <w:color w:val="272527"/>
          <w:spacing w:val="-4"/>
        </w:rPr>
        <w:t> </w:t>
      </w:r>
      <w:r>
        <w:rPr>
          <w:color w:val="272527"/>
        </w:rPr>
        <w:t>de</w:t>
      </w:r>
      <w:r>
        <w:rPr>
          <w:color w:val="272527"/>
          <w:spacing w:val="-5"/>
        </w:rPr>
        <w:t> </w:t>
      </w:r>
      <w:r>
        <w:rPr>
          <w:color w:val="272527"/>
        </w:rPr>
        <w:t>ellos</w:t>
      </w:r>
      <w:r>
        <w:rPr>
          <w:color w:val="272527"/>
          <w:spacing w:val="-5"/>
        </w:rPr>
        <w:t> </w:t>
      </w:r>
      <w:r>
        <w:rPr>
          <w:color w:val="272527"/>
        </w:rPr>
        <w:t>en el conjunto del total (el petróleo representaba 33 por ciento en el primer año</w:t>
      </w:r>
      <w:r>
        <w:rPr>
          <w:color w:val="272527"/>
          <w:spacing w:val="-10"/>
        </w:rPr>
        <w:t> </w:t>
      </w:r>
      <w:r>
        <w:rPr>
          <w:color w:val="272527"/>
        </w:rPr>
        <w:t>y</w:t>
      </w:r>
      <w:r>
        <w:rPr>
          <w:color w:val="272527"/>
          <w:spacing w:val="-9"/>
        </w:rPr>
        <w:t> </w:t>
      </w:r>
      <w:r>
        <w:rPr>
          <w:color w:val="272527"/>
        </w:rPr>
        <w:t>bajó</w:t>
      </w:r>
      <w:r>
        <w:rPr>
          <w:color w:val="272527"/>
          <w:spacing w:val="-10"/>
        </w:rPr>
        <w:t> </w:t>
      </w:r>
      <w:r>
        <w:rPr>
          <w:color w:val="272527"/>
        </w:rPr>
        <w:t>a</w:t>
      </w:r>
      <w:r>
        <w:rPr>
          <w:color w:val="272527"/>
          <w:spacing w:val="-10"/>
        </w:rPr>
        <w:t> </w:t>
      </w:r>
      <w:r>
        <w:rPr>
          <w:color w:val="272527"/>
        </w:rPr>
        <w:t>15</w:t>
      </w:r>
      <w:r>
        <w:rPr>
          <w:color w:val="272527"/>
          <w:spacing w:val="-9"/>
        </w:rPr>
        <w:t> </w:t>
      </w:r>
      <w:r>
        <w:rPr>
          <w:color w:val="272527"/>
        </w:rPr>
        <w:t>por</w:t>
      </w:r>
      <w:r>
        <w:rPr>
          <w:color w:val="272527"/>
          <w:spacing w:val="-9"/>
        </w:rPr>
        <w:t> </w:t>
      </w:r>
      <w:r>
        <w:rPr>
          <w:color w:val="272527"/>
        </w:rPr>
        <w:t>ciento</w:t>
      </w:r>
      <w:r>
        <w:rPr>
          <w:color w:val="272527"/>
          <w:spacing w:val="-10"/>
        </w:rPr>
        <w:t> </w:t>
      </w:r>
      <w:r>
        <w:rPr>
          <w:color w:val="272527"/>
        </w:rPr>
        <w:t>en</w:t>
      </w:r>
      <w:r>
        <w:rPr>
          <w:color w:val="272527"/>
          <w:spacing w:val="-10"/>
        </w:rPr>
        <w:t> </w:t>
      </w:r>
      <w:r>
        <w:rPr>
          <w:color w:val="272527"/>
        </w:rPr>
        <w:t>el</w:t>
      </w:r>
      <w:r>
        <w:rPr>
          <w:color w:val="272527"/>
          <w:spacing w:val="-10"/>
        </w:rPr>
        <w:t> </w:t>
      </w:r>
      <w:r>
        <w:rPr>
          <w:color w:val="272527"/>
        </w:rPr>
        <w:t>segundo;</w:t>
      </w:r>
      <w:r>
        <w:rPr>
          <w:color w:val="272527"/>
          <w:spacing w:val="-9"/>
        </w:rPr>
        <w:t> </w:t>
      </w:r>
      <w:r>
        <w:rPr>
          <w:color w:val="272527"/>
        </w:rPr>
        <w:t>le</w:t>
      </w:r>
      <w:r>
        <w:rPr>
          <w:color w:val="272527"/>
          <w:spacing w:val="-10"/>
        </w:rPr>
        <w:t> </w:t>
      </w:r>
      <w:r>
        <w:rPr>
          <w:color w:val="272527"/>
        </w:rPr>
        <w:t>siguieron</w:t>
      </w:r>
      <w:r>
        <w:rPr>
          <w:color w:val="272527"/>
          <w:spacing w:val="-9"/>
        </w:rPr>
        <w:t> </w:t>
      </w:r>
      <w:r>
        <w:rPr>
          <w:color w:val="272527"/>
        </w:rPr>
        <w:t>los</w:t>
      </w:r>
      <w:r>
        <w:rPr>
          <w:color w:val="272527"/>
          <w:spacing w:val="-10"/>
        </w:rPr>
        <w:t> </w:t>
      </w:r>
      <w:r>
        <w:rPr>
          <w:color w:val="272527"/>
        </w:rPr>
        <w:t>vehículos</w:t>
      </w:r>
      <w:r>
        <w:rPr>
          <w:color w:val="272527"/>
          <w:spacing w:val="-10"/>
        </w:rPr>
        <w:t> </w:t>
      </w:r>
      <w:r>
        <w:rPr>
          <w:color w:val="272527"/>
        </w:rPr>
        <w:t>de</w:t>
      </w:r>
      <w:r>
        <w:rPr>
          <w:color w:val="272527"/>
          <w:spacing w:val="-10"/>
        </w:rPr>
        <w:t> </w:t>
      </w:r>
      <w:r>
        <w:rPr>
          <w:color w:val="272527"/>
        </w:rPr>
        <w:t>ca- rretera</w:t>
      </w:r>
      <w:r>
        <w:rPr>
          <w:color w:val="272527"/>
          <w:spacing w:val="-5"/>
        </w:rPr>
        <w:t> </w:t>
      </w:r>
      <w:r>
        <w:rPr>
          <w:color w:val="272527"/>
        </w:rPr>
        <w:t>que</w:t>
      </w:r>
      <w:r>
        <w:rPr>
          <w:color w:val="272527"/>
          <w:spacing w:val="-5"/>
        </w:rPr>
        <w:t> </w:t>
      </w:r>
      <w:r>
        <w:rPr>
          <w:color w:val="272527"/>
        </w:rPr>
        <w:t>subieron</w:t>
      </w:r>
      <w:r>
        <w:rPr>
          <w:color w:val="272527"/>
          <w:spacing w:val="-5"/>
        </w:rPr>
        <w:t> </w:t>
      </w:r>
      <w:r>
        <w:rPr>
          <w:color w:val="272527"/>
        </w:rPr>
        <w:t>de</w:t>
      </w:r>
      <w:r>
        <w:rPr>
          <w:color w:val="272527"/>
          <w:spacing w:val="-5"/>
        </w:rPr>
        <w:t> </w:t>
      </w:r>
      <w:r>
        <w:rPr>
          <w:color w:val="272527"/>
        </w:rPr>
        <w:t>13</w:t>
      </w:r>
      <w:r>
        <w:rPr>
          <w:color w:val="272527"/>
          <w:spacing w:val="-5"/>
        </w:rPr>
        <w:t> </w:t>
      </w:r>
      <w:r>
        <w:rPr>
          <w:color w:val="272527"/>
        </w:rPr>
        <w:t>a</w:t>
      </w:r>
      <w:r>
        <w:rPr>
          <w:color w:val="272527"/>
          <w:spacing w:val="-5"/>
        </w:rPr>
        <w:t> </w:t>
      </w:r>
      <w:r>
        <w:rPr>
          <w:color w:val="272527"/>
        </w:rPr>
        <w:t>15</w:t>
      </w:r>
      <w:r>
        <w:rPr>
          <w:color w:val="272527"/>
          <w:spacing w:val="-5"/>
        </w:rPr>
        <w:t> </w:t>
      </w:r>
      <w:r>
        <w:rPr>
          <w:color w:val="272527"/>
        </w:rPr>
        <w:t>por</w:t>
      </w:r>
      <w:r>
        <w:rPr>
          <w:color w:val="272527"/>
          <w:spacing w:val="-5"/>
        </w:rPr>
        <w:t> </w:t>
      </w:r>
      <w:r>
        <w:rPr>
          <w:color w:val="272527"/>
        </w:rPr>
        <w:t>ciento</w:t>
      </w:r>
      <w:r>
        <w:rPr>
          <w:color w:val="272527"/>
          <w:spacing w:val="-6"/>
        </w:rPr>
        <w:t> </w:t>
      </w:r>
      <w:r>
        <w:rPr>
          <w:color w:val="272527"/>
        </w:rPr>
        <w:t>del</w:t>
      </w:r>
      <w:r>
        <w:rPr>
          <w:color w:val="272527"/>
          <w:spacing w:val="-5"/>
        </w:rPr>
        <w:t> </w:t>
      </w:r>
      <w:r>
        <w:rPr>
          <w:color w:val="272527"/>
        </w:rPr>
        <w:t>total</w:t>
      </w:r>
      <w:r>
        <w:rPr>
          <w:color w:val="272527"/>
          <w:spacing w:val="-6"/>
        </w:rPr>
        <w:t> </w:t>
      </w:r>
      <w:r>
        <w:rPr>
          <w:color w:val="272527"/>
        </w:rPr>
        <w:t>en</w:t>
      </w:r>
      <w:r>
        <w:rPr>
          <w:color w:val="272527"/>
          <w:spacing w:val="-6"/>
        </w:rPr>
        <w:t> </w:t>
      </w:r>
      <w:r>
        <w:rPr>
          <w:color w:val="272527"/>
        </w:rPr>
        <w:t>el</w:t>
      </w:r>
      <w:r>
        <w:rPr>
          <w:color w:val="272527"/>
          <w:spacing w:val="-5"/>
        </w:rPr>
        <w:t> </w:t>
      </w:r>
      <w:r>
        <w:rPr>
          <w:color w:val="272527"/>
        </w:rPr>
        <w:t>mismo</w:t>
      </w:r>
      <w:r>
        <w:rPr>
          <w:color w:val="272527"/>
          <w:spacing w:val="-6"/>
        </w:rPr>
        <w:t> </w:t>
      </w:r>
      <w:r>
        <w:rPr>
          <w:color w:val="272527"/>
        </w:rPr>
        <w:t>periodo). El tercer lugar en el conjunto de las exportaciones en 1990, lo ocupaba la maquinaria y los equipos generadores de fuerza, con seis por ciento; en cambio, en 2008 dicho lugar pasó a ocuparlo la subrama de equipos para</w:t>
      </w:r>
      <w:r>
        <w:rPr>
          <w:color w:val="272527"/>
          <w:spacing w:val="-10"/>
        </w:rPr>
        <w:t> </w:t>
      </w:r>
      <w:r>
        <w:rPr>
          <w:color w:val="272527"/>
        </w:rPr>
        <w:t>telecomunicaciones</w:t>
      </w:r>
      <w:r>
        <w:rPr>
          <w:color w:val="272527"/>
          <w:spacing w:val="-11"/>
        </w:rPr>
        <w:t> </w:t>
      </w:r>
      <w:r>
        <w:rPr>
          <w:color w:val="272527"/>
        </w:rPr>
        <w:t>y</w:t>
      </w:r>
      <w:r>
        <w:rPr>
          <w:color w:val="272527"/>
          <w:spacing w:val="-10"/>
        </w:rPr>
        <w:t> </w:t>
      </w:r>
      <w:r>
        <w:rPr>
          <w:color w:val="272527"/>
        </w:rPr>
        <w:t>sonido,</w:t>
      </w:r>
      <w:r>
        <w:rPr>
          <w:color w:val="272527"/>
          <w:spacing w:val="-10"/>
        </w:rPr>
        <w:t> </w:t>
      </w:r>
      <w:r>
        <w:rPr>
          <w:color w:val="272527"/>
        </w:rPr>
        <w:t>con</w:t>
      </w:r>
      <w:r>
        <w:rPr>
          <w:color w:val="272527"/>
          <w:spacing w:val="-10"/>
        </w:rPr>
        <w:t> </w:t>
      </w:r>
      <w:r>
        <w:rPr>
          <w:color w:val="272527"/>
        </w:rPr>
        <w:t>15</w:t>
      </w:r>
      <w:r>
        <w:rPr>
          <w:color w:val="272527"/>
          <w:spacing w:val="-10"/>
        </w:rPr>
        <w:t> </w:t>
      </w:r>
      <w:r>
        <w:rPr>
          <w:color w:val="272527"/>
        </w:rPr>
        <w:t>por</w:t>
      </w:r>
      <w:r>
        <w:rPr>
          <w:color w:val="272527"/>
          <w:spacing w:val="-10"/>
        </w:rPr>
        <w:t> </w:t>
      </w:r>
      <w:r>
        <w:rPr>
          <w:color w:val="272527"/>
        </w:rPr>
        <w:t>ciento</w:t>
      </w:r>
      <w:r>
        <w:rPr>
          <w:color w:val="272527"/>
          <w:spacing w:val="-10"/>
        </w:rPr>
        <w:t> </w:t>
      </w:r>
      <w:r>
        <w:rPr>
          <w:color w:val="272527"/>
        </w:rPr>
        <w:t>de</w:t>
      </w:r>
      <w:r>
        <w:rPr>
          <w:color w:val="272527"/>
          <w:spacing w:val="-10"/>
        </w:rPr>
        <w:t> </w:t>
      </w:r>
      <w:r>
        <w:rPr>
          <w:color w:val="272527"/>
        </w:rPr>
        <w:t>las</w:t>
      </w:r>
      <w:r>
        <w:rPr>
          <w:color w:val="272527"/>
          <w:spacing w:val="-10"/>
        </w:rPr>
        <w:t> </w:t>
      </w:r>
      <w:r>
        <w:rPr>
          <w:color w:val="272527"/>
        </w:rPr>
        <w:t>exportaciones (datos elaborados por Dingemans y Ross,</w:t>
      </w:r>
      <w:r>
        <w:rPr>
          <w:color w:val="272527"/>
          <w:spacing w:val="-10"/>
        </w:rPr>
        <w:t> </w:t>
      </w:r>
      <w:r>
        <w:rPr>
          <w:color w:val="272527"/>
        </w:rPr>
        <w:t>2012).</w:t>
      </w:r>
    </w:p>
    <w:p>
      <w:pPr>
        <w:pStyle w:val="BodyText"/>
        <w:spacing w:line="249" w:lineRule="auto" w:before="1"/>
        <w:ind w:left="110" w:right="111" w:firstLine="283"/>
        <w:jc w:val="both"/>
      </w:pPr>
      <w:r>
        <w:rPr>
          <w:color w:val="272527"/>
        </w:rPr>
        <w:t>Muchos</w:t>
      </w:r>
      <w:r>
        <w:rPr>
          <w:color w:val="272527"/>
          <w:spacing w:val="-5"/>
        </w:rPr>
        <w:t> </w:t>
      </w:r>
      <w:r>
        <w:rPr>
          <w:color w:val="272527"/>
        </w:rPr>
        <w:t>han</w:t>
      </w:r>
      <w:r>
        <w:rPr>
          <w:color w:val="272527"/>
          <w:spacing w:val="-5"/>
        </w:rPr>
        <w:t> </w:t>
      </w:r>
      <w:r>
        <w:rPr>
          <w:color w:val="272527"/>
        </w:rPr>
        <w:t>subrayado</w:t>
      </w:r>
      <w:r>
        <w:rPr>
          <w:color w:val="272527"/>
          <w:spacing w:val="-5"/>
        </w:rPr>
        <w:t> </w:t>
      </w:r>
      <w:r>
        <w:rPr>
          <w:color w:val="272527"/>
        </w:rPr>
        <w:t>la</w:t>
      </w:r>
      <w:r>
        <w:rPr>
          <w:color w:val="272527"/>
          <w:spacing w:val="-6"/>
        </w:rPr>
        <w:t> </w:t>
      </w:r>
      <w:r>
        <w:rPr>
          <w:color w:val="272527"/>
        </w:rPr>
        <w:t>parte</w:t>
      </w:r>
      <w:r>
        <w:rPr>
          <w:color w:val="272527"/>
          <w:spacing w:val="-6"/>
        </w:rPr>
        <w:t> </w:t>
      </w:r>
      <w:r>
        <w:rPr>
          <w:color w:val="272527"/>
        </w:rPr>
        <w:t>más</w:t>
      </w:r>
      <w:r>
        <w:rPr>
          <w:color w:val="272527"/>
          <w:spacing w:val="-6"/>
        </w:rPr>
        <w:t> </w:t>
      </w:r>
      <w:r>
        <w:rPr>
          <w:color w:val="272527"/>
        </w:rPr>
        <w:t>positiva</w:t>
      </w:r>
      <w:r>
        <w:rPr>
          <w:color w:val="272527"/>
          <w:spacing w:val="-6"/>
        </w:rPr>
        <w:t> </w:t>
      </w:r>
      <w:r>
        <w:rPr>
          <w:color w:val="272527"/>
        </w:rPr>
        <w:t>del</w:t>
      </w:r>
      <w:r>
        <w:rPr>
          <w:color w:val="272527"/>
          <w:spacing w:val="-6"/>
        </w:rPr>
        <w:t> </w:t>
      </w:r>
      <w:r>
        <w:rPr>
          <w:color w:val="272527"/>
        </w:rPr>
        <w:t>dinamismo</w:t>
      </w:r>
      <w:r>
        <w:rPr>
          <w:color w:val="272527"/>
          <w:spacing w:val="-6"/>
        </w:rPr>
        <w:t> </w:t>
      </w:r>
      <w:r>
        <w:rPr>
          <w:color w:val="272527"/>
        </w:rPr>
        <w:t>observa- do</w:t>
      </w:r>
      <w:r>
        <w:rPr>
          <w:color w:val="272527"/>
          <w:spacing w:val="-8"/>
        </w:rPr>
        <w:t> </w:t>
      </w:r>
      <w:r>
        <w:rPr>
          <w:color w:val="272527"/>
        </w:rPr>
        <w:t>por</w:t>
      </w:r>
      <w:r>
        <w:rPr>
          <w:color w:val="272527"/>
          <w:spacing w:val="-8"/>
        </w:rPr>
        <w:t> </w:t>
      </w:r>
      <w:r>
        <w:rPr>
          <w:color w:val="272527"/>
        </w:rPr>
        <w:t>las</w:t>
      </w:r>
      <w:r>
        <w:rPr>
          <w:color w:val="272527"/>
          <w:spacing w:val="-8"/>
        </w:rPr>
        <w:t> </w:t>
      </w:r>
      <w:r>
        <w:rPr>
          <w:color w:val="272527"/>
        </w:rPr>
        <w:t>exportaciones</w:t>
      </w:r>
      <w:r>
        <w:rPr>
          <w:color w:val="272527"/>
          <w:spacing w:val="-9"/>
        </w:rPr>
        <w:t> </w:t>
      </w:r>
      <w:r>
        <w:rPr>
          <w:color w:val="272527"/>
        </w:rPr>
        <w:t>mexicanas</w:t>
      </w:r>
      <w:r>
        <w:rPr>
          <w:color w:val="272527"/>
          <w:spacing w:val="-8"/>
        </w:rPr>
        <w:t> </w:t>
      </w:r>
      <w:r>
        <w:rPr>
          <w:color w:val="272527"/>
        </w:rPr>
        <w:t>y</w:t>
      </w:r>
      <w:r>
        <w:rPr>
          <w:color w:val="272527"/>
          <w:spacing w:val="-8"/>
        </w:rPr>
        <w:t> </w:t>
      </w:r>
      <w:r>
        <w:rPr>
          <w:color w:val="272527"/>
        </w:rPr>
        <w:t>el</w:t>
      </w:r>
      <w:r>
        <w:rPr>
          <w:color w:val="272527"/>
          <w:spacing w:val="-8"/>
        </w:rPr>
        <w:t> </w:t>
      </w:r>
      <w:r>
        <w:rPr>
          <w:color w:val="272527"/>
        </w:rPr>
        <w:t>hecho</w:t>
      </w:r>
      <w:r>
        <w:rPr>
          <w:color w:val="272527"/>
          <w:spacing w:val="-8"/>
        </w:rPr>
        <w:t> </w:t>
      </w:r>
      <w:r>
        <w:rPr>
          <w:color w:val="272527"/>
        </w:rPr>
        <w:t>de</w:t>
      </w:r>
      <w:r>
        <w:rPr>
          <w:color w:val="272527"/>
          <w:spacing w:val="-8"/>
        </w:rPr>
        <w:t> </w:t>
      </w:r>
      <w:r>
        <w:rPr>
          <w:color w:val="272527"/>
        </w:rPr>
        <w:t>que</w:t>
      </w:r>
      <w:r>
        <w:rPr>
          <w:color w:val="272527"/>
          <w:spacing w:val="-8"/>
        </w:rPr>
        <w:t> </w:t>
      </w:r>
      <w:r>
        <w:rPr>
          <w:color w:val="272527"/>
        </w:rPr>
        <w:t>se</w:t>
      </w:r>
      <w:r>
        <w:rPr>
          <w:color w:val="272527"/>
          <w:spacing w:val="-8"/>
        </w:rPr>
        <w:t> </w:t>
      </w:r>
      <w:r>
        <w:rPr>
          <w:color w:val="272527"/>
        </w:rPr>
        <w:t>trate</w:t>
      </w:r>
      <w:r>
        <w:rPr>
          <w:color w:val="272527"/>
          <w:spacing w:val="-8"/>
        </w:rPr>
        <w:t> </w:t>
      </w:r>
      <w:r>
        <w:rPr>
          <w:color w:val="272527"/>
        </w:rPr>
        <w:t>de</w:t>
      </w:r>
      <w:r>
        <w:rPr>
          <w:color w:val="272527"/>
          <w:spacing w:val="-8"/>
        </w:rPr>
        <w:t> </w:t>
      </w:r>
      <w:r>
        <w:rPr>
          <w:color w:val="272527"/>
        </w:rPr>
        <w:t>exporta- ciones manufactureras. Sin embargo, estimaciones recientes demuestran que dichas exportaciones están débilmente encadenadas con el mercado interno y el conjunto de la economía. El valor agregado nacional conte- nido en las exportaciones es relativamente bajo, especialmente en lo</w:t>
      </w:r>
      <w:r>
        <w:rPr>
          <w:color w:val="272527"/>
          <w:spacing w:val="-19"/>
        </w:rPr>
        <w:t> </w:t>
      </w:r>
      <w:r>
        <w:rPr>
          <w:color w:val="272527"/>
        </w:rPr>
        <w:t>que respecta a la industria maquiladora, que aporta más de 60 por ciento de las exportaciones manufactureras del país (Fujii y Cervantes, 2013). Las estimaciones de estos autores fundamentan, pues, el relativo</w:t>
      </w:r>
      <w:r>
        <w:rPr>
          <w:color w:val="272527"/>
          <w:spacing w:val="-9"/>
        </w:rPr>
        <w:t> </w:t>
      </w:r>
      <w:r>
        <w:rPr>
          <w:color w:val="272527"/>
        </w:rPr>
        <w:t>aislamiento de los sectores exportadores con respecto al resto de la economía nacio- nal.</w:t>
      </w:r>
    </w:p>
    <w:p>
      <w:pPr>
        <w:pStyle w:val="BodyText"/>
        <w:spacing w:line="249" w:lineRule="auto" w:before="1"/>
        <w:ind w:left="110" w:right="111" w:firstLine="283"/>
        <w:jc w:val="both"/>
      </w:pPr>
      <w:r>
        <w:rPr>
          <w:color w:val="231F20"/>
        </w:rPr>
        <w:t>Si nos referimos ahora a los principales indicadores económicos y sociales de México después de la firma de su principal acuerdo comer- cial (TLCAN), tenemos que el crecimiento económico del país ha sido modesto (2.93 por ciento anual desde los años 1990 a 2012, de los más bajos en la región latinoamericana en la última década, según el Banco Mundial (2014),</w:t>
      </w:r>
      <w:r>
        <w:rPr>
          <w:color w:val="231F20"/>
          <w:position w:val="7"/>
          <w:sz w:val="11"/>
        </w:rPr>
        <w:t>2 </w:t>
      </w:r>
      <w:r>
        <w:rPr>
          <w:color w:val="231F20"/>
        </w:rPr>
        <w:t>y los niveles de desigualdad y pobreza no han sido abatidos de forma significativa. Aunque sería un error plantear que</w:t>
      </w:r>
      <w:r>
        <w:rPr>
          <w:color w:val="231F20"/>
          <w:spacing w:val="-23"/>
        </w:rPr>
        <w:t> </w:t>
      </w:r>
      <w:r>
        <w:rPr>
          <w:color w:val="231F20"/>
        </w:rPr>
        <w:t>estos fenómenos y tendencias han sido causados por la apertura comercial o por la falla del TLCAN u otros acuerdos comerciales, hay que tener  </w:t>
      </w:r>
      <w:r>
        <w:rPr>
          <w:color w:val="231F20"/>
          <w:spacing w:val="16"/>
        </w:rPr>
        <w:t> </w:t>
      </w:r>
      <w:r>
        <w:rPr>
          <w:color w:val="231F20"/>
        </w:rPr>
        <w:t>en</w:t>
      </w:r>
    </w:p>
    <w:p>
      <w:pPr>
        <w:pStyle w:val="BodyText"/>
        <w:rPr>
          <w:sz w:val="24"/>
        </w:rPr>
      </w:pPr>
    </w:p>
    <w:p>
      <w:pPr>
        <w:spacing w:before="0"/>
        <w:ind w:left="110" w:right="111" w:firstLine="0"/>
        <w:jc w:val="both"/>
        <w:rPr>
          <w:sz w:val="14"/>
        </w:rPr>
      </w:pPr>
      <w:r>
        <w:rPr>
          <w:color w:val="231F20"/>
          <w:position w:val="5"/>
          <w:sz w:val="8"/>
        </w:rPr>
        <w:t>2</w:t>
      </w:r>
      <w:r>
        <w:rPr>
          <w:color w:val="231F20"/>
          <w:spacing w:val="9"/>
          <w:position w:val="5"/>
          <w:sz w:val="8"/>
        </w:rPr>
        <w:t> </w:t>
      </w:r>
      <w:r>
        <w:rPr>
          <w:color w:val="231F20"/>
          <w:sz w:val="14"/>
        </w:rPr>
        <w:t>De</w:t>
      </w:r>
      <w:r>
        <w:rPr>
          <w:color w:val="231F20"/>
          <w:spacing w:val="-6"/>
          <w:sz w:val="14"/>
        </w:rPr>
        <w:t> </w:t>
      </w:r>
      <w:r>
        <w:rPr>
          <w:color w:val="231F20"/>
          <w:sz w:val="14"/>
        </w:rPr>
        <w:t>1990</w:t>
      </w:r>
      <w:r>
        <w:rPr>
          <w:color w:val="231F20"/>
          <w:spacing w:val="-6"/>
          <w:sz w:val="14"/>
        </w:rPr>
        <w:t> </w:t>
      </w:r>
      <w:r>
        <w:rPr>
          <w:color w:val="231F20"/>
          <w:sz w:val="14"/>
        </w:rPr>
        <w:t>a</w:t>
      </w:r>
      <w:r>
        <w:rPr>
          <w:color w:val="231F20"/>
          <w:spacing w:val="-6"/>
          <w:sz w:val="14"/>
        </w:rPr>
        <w:t> </w:t>
      </w:r>
      <w:r>
        <w:rPr>
          <w:color w:val="231F20"/>
          <w:sz w:val="14"/>
        </w:rPr>
        <w:t>2001,</w:t>
      </w:r>
      <w:r>
        <w:rPr>
          <w:color w:val="231F20"/>
          <w:spacing w:val="-6"/>
          <w:sz w:val="14"/>
        </w:rPr>
        <w:t> </w:t>
      </w:r>
      <w:r>
        <w:rPr>
          <w:color w:val="231F20"/>
          <w:sz w:val="14"/>
        </w:rPr>
        <w:t>México</w:t>
      </w:r>
      <w:r>
        <w:rPr>
          <w:color w:val="231F20"/>
          <w:spacing w:val="-6"/>
          <w:sz w:val="14"/>
        </w:rPr>
        <w:t> </w:t>
      </w:r>
      <w:r>
        <w:rPr>
          <w:color w:val="231F20"/>
          <w:sz w:val="14"/>
        </w:rPr>
        <w:t>mantuvo</w:t>
      </w:r>
      <w:r>
        <w:rPr>
          <w:color w:val="231F20"/>
          <w:spacing w:val="-6"/>
          <w:sz w:val="14"/>
        </w:rPr>
        <w:t> </w:t>
      </w:r>
      <w:r>
        <w:rPr>
          <w:color w:val="231F20"/>
          <w:sz w:val="14"/>
        </w:rPr>
        <w:t>un</w:t>
      </w:r>
      <w:r>
        <w:rPr>
          <w:color w:val="231F20"/>
          <w:spacing w:val="-6"/>
          <w:sz w:val="14"/>
        </w:rPr>
        <w:t> </w:t>
      </w:r>
      <w:r>
        <w:rPr>
          <w:color w:val="231F20"/>
          <w:sz w:val="14"/>
        </w:rPr>
        <w:t>ritmo</w:t>
      </w:r>
      <w:r>
        <w:rPr>
          <w:color w:val="231F20"/>
          <w:spacing w:val="-6"/>
          <w:sz w:val="14"/>
        </w:rPr>
        <w:t> </w:t>
      </w:r>
      <w:r>
        <w:rPr>
          <w:color w:val="231F20"/>
          <w:sz w:val="14"/>
        </w:rPr>
        <w:t>muy</w:t>
      </w:r>
      <w:r>
        <w:rPr>
          <w:color w:val="231F20"/>
          <w:spacing w:val="-6"/>
          <w:sz w:val="14"/>
        </w:rPr>
        <w:t> </w:t>
      </w:r>
      <w:r>
        <w:rPr>
          <w:color w:val="231F20"/>
          <w:sz w:val="14"/>
        </w:rPr>
        <w:t>parecido</w:t>
      </w:r>
      <w:r>
        <w:rPr>
          <w:color w:val="231F20"/>
          <w:spacing w:val="-6"/>
          <w:sz w:val="14"/>
        </w:rPr>
        <w:t> </w:t>
      </w:r>
      <w:r>
        <w:rPr>
          <w:color w:val="231F20"/>
          <w:sz w:val="14"/>
        </w:rPr>
        <w:t>al</w:t>
      </w:r>
      <w:r>
        <w:rPr>
          <w:color w:val="231F20"/>
          <w:spacing w:val="-6"/>
          <w:sz w:val="14"/>
        </w:rPr>
        <w:t> </w:t>
      </w:r>
      <w:r>
        <w:rPr>
          <w:color w:val="231F20"/>
          <w:sz w:val="14"/>
        </w:rPr>
        <w:t>resto</w:t>
      </w:r>
      <w:r>
        <w:rPr>
          <w:color w:val="231F20"/>
          <w:spacing w:val="-6"/>
          <w:sz w:val="14"/>
        </w:rPr>
        <w:t> </w:t>
      </w:r>
      <w:r>
        <w:rPr>
          <w:color w:val="231F20"/>
          <w:sz w:val="14"/>
        </w:rPr>
        <w:t>de</w:t>
      </w:r>
      <w:r>
        <w:rPr>
          <w:color w:val="231F20"/>
          <w:spacing w:val="-14"/>
          <w:sz w:val="14"/>
        </w:rPr>
        <w:t> </w:t>
      </w:r>
      <w:r>
        <w:rPr>
          <w:color w:val="231F20"/>
          <w:sz w:val="14"/>
        </w:rPr>
        <w:t>América</w:t>
      </w:r>
      <w:r>
        <w:rPr>
          <w:color w:val="231F20"/>
          <w:spacing w:val="-6"/>
          <w:sz w:val="14"/>
        </w:rPr>
        <w:t> </w:t>
      </w:r>
      <w:r>
        <w:rPr>
          <w:color w:val="231F20"/>
          <w:sz w:val="14"/>
        </w:rPr>
        <w:t>Latina,</w:t>
      </w:r>
      <w:r>
        <w:rPr>
          <w:color w:val="231F20"/>
          <w:spacing w:val="-6"/>
          <w:sz w:val="14"/>
        </w:rPr>
        <w:t> </w:t>
      </w:r>
      <w:r>
        <w:rPr>
          <w:color w:val="231F20"/>
          <w:sz w:val="14"/>
        </w:rPr>
        <w:t>e</w:t>
      </w:r>
      <w:r>
        <w:rPr>
          <w:color w:val="231F20"/>
          <w:spacing w:val="-6"/>
          <w:sz w:val="14"/>
        </w:rPr>
        <w:t> </w:t>
      </w:r>
      <w:r>
        <w:rPr>
          <w:color w:val="231F20"/>
          <w:sz w:val="14"/>
        </w:rPr>
        <w:t>incluso</w:t>
      </w:r>
      <w:r>
        <w:rPr>
          <w:color w:val="231F20"/>
          <w:spacing w:val="-6"/>
          <w:sz w:val="14"/>
        </w:rPr>
        <w:t> </w:t>
      </w:r>
      <w:r>
        <w:rPr>
          <w:color w:val="231F20"/>
          <w:sz w:val="14"/>
        </w:rPr>
        <w:t>un</w:t>
      </w:r>
      <w:r>
        <w:rPr>
          <w:color w:val="231F20"/>
          <w:spacing w:val="-6"/>
          <w:sz w:val="14"/>
        </w:rPr>
        <w:t> </w:t>
      </w:r>
      <w:r>
        <w:rPr>
          <w:color w:val="231F20"/>
          <w:sz w:val="14"/>
        </w:rPr>
        <w:t>poco superior (3.4 por ciento contra 2.8 por ciento regional). Sin embargo, en el periodo de 2002 a 2012 esta situación se revirtió. La región latinoamericana creció a un promedio anual de 3.4 por ciento durante estos años, mientras que México se mantuvo a un punto porcentual de desventaja, 2.4 por ciento anual promedio (Banco Mundial,</w:t>
      </w:r>
      <w:r>
        <w:rPr>
          <w:color w:val="231F20"/>
          <w:spacing w:val="-7"/>
          <w:sz w:val="14"/>
        </w:rPr>
        <w:t> </w:t>
      </w:r>
      <w:r>
        <w:rPr>
          <w:color w:val="231F20"/>
          <w:sz w:val="14"/>
        </w:rPr>
        <w:t>2014).</w:t>
      </w:r>
    </w:p>
    <w:p>
      <w:pPr>
        <w:spacing w:after="0"/>
        <w:jc w:val="both"/>
        <w:rPr>
          <w:sz w:val="14"/>
        </w:rPr>
        <w:sectPr>
          <w:pgSz w:w="7770" w:h="11740"/>
          <w:pgMar w:header="0" w:footer="474" w:top="840" w:bottom="740" w:left="740" w:right="1020"/>
        </w:sectPr>
      </w:pPr>
    </w:p>
    <w:p>
      <w:pPr>
        <w:pStyle w:val="BodyText"/>
        <w:spacing w:line="249" w:lineRule="auto" w:before="60"/>
        <w:ind w:left="113" w:right="107"/>
        <w:jc w:val="both"/>
      </w:pPr>
      <w:r>
        <w:rPr>
          <w:color w:val="231F20"/>
        </w:rPr>
        <w:t>cuenta el contexto y las expectativas que surgieron al momento de su firma</w:t>
      </w:r>
      <w:r>
        <w:rPr>
          <w:color w:val="231F20"/>
          <w:spacing w:val="-6"/>
        </w:rPr>
        <w:t> </w:t>
      </w:r>
      <w:r>
        <w:rPr>
          <w:color w:val="231F20"/>
        </w:rPr>
        <w:t>(Weisbrot</w:t>
      </w:r>
      <w:r>
        <w:rPr>
          <w:color w:val="231F20"/>
          <w:spacing w:val="-7"/>
        </w:rPr>
        <w:t> </w:t>
      </w:r>
      <w:r>
        <w:rPr>
          <w:i/>
          <w:color w:val="231F20"/>
        </w:rPr>
        <w:t>et</w:t>
      </w:r>
      <w:r>
        <w:rPr>
          <w:i/>
          <w:color w:val="231F20"/>
          <w:spacing w:val="-7"/>
        </w:rPr>
        <w:t> </w:t>
      </w:r>
      <w:r>
        <w:rPr>
          <w:i/>
          <w:color w:val="231F20"/>
        </w:rPr>
        <w:t>al</w:t>
      </w:r>
      <w:r>
        <w:rPr>
          <w:color w:val="231F20"/>
        </w:rPr>
        <w:t>.,2014).</w:t>
      </w:r>
      <w:r>
        <w:rPr>
          <w:color w:val="231F20"/>
          <w:spacing w:val="-6"/>
        </w:rPr>
        <w:t> </w:t>
      </w:r>
      <w:r>
        <w:rPr>
          <w:color w:val="231F20"/>
        </w:rPr>
        <w:t>Estos</w:t>
      </w:r>
      <w:r>
        <w:rPr>
          <w:color w:val="231F20"/>
          <w:spacing w:val="-7"/>
        </w:rPr>
        <w:t> </w:t>
      </w:r>
      <w:r>
        <w:rPr>
          <w:color w:val="231F20"/>
        </w:rPr>
        <w:t>autores</w:t>
      </w:r>
      <w:r>
        <w:rPr>
          <w:color w:val="231F20"/>
          <w:spacing w:val="-7"/>
        </w:rPr>
        <w:t> </w:t>
      </w:r>
      <w:r>
        <w:rPr>
          <w:color w:val="231F20"/>
        </w:rPr>
        <w:t>indican</w:t>
      </w:r>
      <w:r>
        <w:rPr>
          <w:color w:val="231F20"/>
          <w:spacing w:val="-7"/>
        </w:rPr>
        <w:t> </w:t>
      </w:r>
      <w:r>
        <w:rPr>
          <w:color w:val="231F20"/>
        </w:rPr>
        <w:t>que</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7"/>
        </w:rPr>
        <w:t> </w:t>
      </w:r>
      <w:r>
        <w:rPr>
          <w:color w:val="231F20"/>
        </w:rPr>
        <w:t>princi- pales propósitos del TLCAN era promover un conjunto de políticas eco- nómicas de liberalización e inversión extranjera, que permitirían al país alcanzar el progreso económico que no era posible bajo el modelo pro- teccionista que había prevalecido antes de 1980. Aunque consideran</w:t>
      </w:r>
      <w:r>
        <w:rPr>
          <w:color w:val="231F20"/>
          <w:spacing w:val="-27"/>
        </w:rPr>
        <w:t> </w:t>
      </w:r>
      <w:r>
        <w:rPr>
          <w:color w:val="231F20"/>
        </w:rPr>
        <w:t>que muchas</w:t>
      </w:r>
      <w:r>
        <w:rPr>
          <w:color w:val="231F20"/>
          <w:spacing w:val="-6"/>
        </w:rPr>
        <w:t> </w:t>
      </w:r>
      <w:r>
        <w:rPr>
          <w:color w:val="231F20"/>
        </w:rPr>
        <w:t>de</w:t>
      </w:r>
      <w:r>
        <w:rPr>
          <w:color w:val="231F20"/>
          <w:spacing w:val="-6"/>
        </w:rPr>
        <w:t> </w:t>
      </w:r>
      <w:r>
        <w:rPr>
          <w:color w:val="231F20"/>
        </w:rPr>
        <w:t>estos</w:t>
      </w:r>
      <w:r>
        <w:rPr>
          <w:color w:val="231F20"/>
          <w:spacing w:val="-6"/>
        </w:rPr>
        <w:t> </w:t>
      </w:r>
      <w:r>
        <w:rPr>
          <w:color w:val="231F20"/>
        </w:rPr>
        <w:t>cambios</w:t>
      </w:r>
      <w:r>
        <w:rPr>
          <w:color w:val="231F20"/>
          <w:spacing w:val="-6"/>
        </w:rPr>
        <w:t> </w:t>
      </w:r>
      <w:r>
        <w:rPr>
          <w:color w:val="231F20"/>
        </w:rPr>
        <w:t>de</w:t>
      </w:r>
      <w:r>
        <w:rPr>
          <w:color w:val="231F20"/>
          <w:spacing w:val="-6"/>
        </w:rPr>
        <w:t> </w:t>
      </w:r>
      <w:r>
        <w:rPr>
          <w:color w:val="231F20"/>
        </w:rPr>
        <w:t>política</w:t>
      </w:r>
      <w:r>
        <w:rPr>
          <w:color w:val="231F20"/>
          <w:spacing w:val="-6"/>
        </w:rPr>
        <w:t> </w:t>
      </w:r>
      <w:r>
        <w:rPr>
          <w:color w:val="231F20"/>
        </w:rPr>
        <w:t>eran</w:t>
      </w:r>
      <w:r>
        <w:rPr>
          <w:color w:val="231F20"/>
          <w:spacing w:val="-6"/>
        </w:rPr>
        <w:t> </w:t>
      </w:r>
      <w:r>
        <w:rPr>
          <w:color w:val="231F20"/>
        </w:rPr>
        <w:t>necesarias</w:t>
      </w:r>
      <w:r>
        <w:rPr>
          <w:color w:val="231F20"/>
          <w:spacing w:val="-6"/>
        </w:rPr>
        <w:t> </w:t>
      </w:r>
      <w:r>
        <w:rPr>
          <w:color w:val="231F20"/>
        </w:rPr>
        <w:t>y/o</w:t>
      </w:r>
      <w:r>
        <w:rPr>
          <w:color w:val="231F20"/>
          <w:spacing w:val="-6"/>
        </w:rPr>
        <w:t> </w:t>
      </w:r>
      <w:r>
        <w:rPr>
          <w:color w:val="231F20"/>
        </w:rPr>
        <w:t>positivas,</w:t>
      </w:r>
      <w:r>
        <w:rPr>
          <w:color w:val="231F20"/>
          <w:spacing w:val="-6"/>
        </w:rPr>
        <w:t> </w:t>
      </w:r>
      <w:r>
        <w:rPr>
          <w:color w:val="231F20"/>
        </w:rPr>
        <w:t>llegan a la conclusión de que se ha fracasado, ya sea que se compare México con su pasado proteccionista o con el resto de la región latinoamericana (Weisbrot </w:t>
      </w:r>
      <w:r>
        <w:rPr>
          <w:i/>
          <w:color w:val="231F20"/>
        </w:rPr>
        <w:t>et al</w:t>
      </w:r>
      <w:r>
        <w:rPr>
          <w:color w:val="231F20"/>
        </w:rPr>
        <w:t>., 2014). Otros estudiosos como Lustig (2010) y Blecker (2010), también coinciden en que las expectativas que se abrieron con</w:t>
      </w:r>
      <w:r>
        <w:rPr>
          <w:color w:val="231F20"/>
          <w:spacing w:val="-24"/>
        </w:rPr>
        <w:t> </w:t>
      </w:r>
      <w:r>
        <w:rPr>
          <w:color w:val="231F20"/>
        </w:rPr>
        <w:t>la apertura comercial con respecto al empleo, los salarios y la desigualdad, no se han</w:t>
      </w:r>
      <w:r>
        <w:rPr>
          <w:color w:val="231F20"/>
          <w:spacing w:val="-1"/>
        </w:rPr>
        <w:t> </w:t>
      </w:r>
      <w:r>
        <w:rPr>
          <w:color w:val="231F20"/>
        </w:rPr>
        <w:t>realizado.</w:t>
      </w:r>
    </w:p>
    <w:p>
      <w:pPr>
        <w:pStyle w:val="BodyText"/>
        <w:spacing w:line="249" w:lineRule="auto" w:before="1"/>
        <w:ind w:left="113" w:right="107" w:firstLine="283"/>
        <w:jc w:val="both"/>
        <w:rPr>
          <w:sz w:val="11"/>
        </w:rPr>
      </w:pPr>
      <w:r>
        <w:rPr>
          <w:color w:val="231F20"/>
        </w:rPr>
        <w:t>Blecker (2010), tras un análisis de la literatura y revisión de la En- cuesta Industrial Mensual de las últimas dos décadas, reconoce también que el desempeño del empleo, sobre todo el poco crecimiento dentro de las industrias manufactureras y la desigualdad salarial pueden entender- se, hasta cierto punto, como efectos de la inserción de México en la</w:t>
      </w:r>
      <w:r>
        <w:rPr>
          <w:color w:val="231F20"/>
          <w:spacing w:val="-22"/>
        </w:rPr>
        <w:t> </w:t>
      </w:r>
      <w:r>
        <w:rPr>
          <w:color w:val="231F20"/>
        </w:rPr>
        <w:t>eco- nomía global. Dos elementos hipotéticos podrían explicar estos funcio- namientos, por un lado el hecho de que en la liberalización se desgravó más fuertemente a los sectores intensivos en mano de obra no</w:t>
      </w:r>
      <w:r>
        <w:rPr>
          <w:color w:val="231F20"/>
          <w:spacing w:val="-33"/>
        </w:rPr>
        <w:t> </w:t>
      </w:r>
      <w:r>
        <w:rPr>
          <w:color w:val="231F20"/>
        </w:rPr>
        <w:t>calificada, que eran más protegidos; mientras que dicho proceso también propició un cambio tecnológico sesgado hacia mano de obra</w:t>
      </w:r>
      <w:r>
        <w:rPr>
          <w:color w:val="231F20"/>
          <w:spacing w:val="-8"/>
        </w:rPr>
        <w:t> </w:t>
      </w:r>
      <w:r>
        <w:rPr>
          <w:color w:val="231F20"/>
        </w:rPr>
        <w:t>calificada.</w:t>
      </w:r>
      <w:r>
        <w:rPr>
          <w:color w:val="231F20"/>
          <w:position w:val="7"/>
          <w:sz w:val="11"/>
        </w:rPr>
        <w:t>3</w:t>
      </w:r>
    </w:p>
    <w:p>
      <w:pPr>
        <w:pStyle w:val="BodyText"/>
        <w:spacing w:line="249" w:lineRule="auto" w:before="1"/>
        <w:ind w:left="113" w:right="107" w:firstLine="283"/>
        <w:jc w:val="both"/>
      </w:pPr>
      <w:r>
        <w:rPr>
          <w:color w:val="231F20"/>
        </w:rPr>
        <w:t>En el contexto de la estrategia económica anteriormente descrita, la mayoría de los diagnósticos realizados sobre el mercado de trabajo del país también han hecho hincapié en el escaso avance logrado en torno   a las difíciles condiciones laborales que caracterizan a gran parte de los trabajadores.</w:t>
      </w:r>
      <w:r>
        <w:rPr>
          <w:color w:val="231F20"/>
          <w:spacing w:val="-5"/>
        </w:rPr>
        <w:t> </w:t>
      </w:r>
      <w:r>
        <w:rPr>
          <w:color w:val="231F20"/>
        </w:rPr>
        <w:t>Usualmente</w:t>
      </w:r>
      <w:r>
        <w:rPr>
          <w:color w:val="231F20"/>
          <w:spacing w:val="-4"/>
        </w:rPr>
        <w:t> </w:t>
      </w:r>
      <w:r>
        <w:rPr>
          <w:color w:val="231F20"/>
        </w:rPr>
        <w:t>se</w:t>
      </w:r>
      <w:r>
        <w:rPr>
          <w:color w:val="231F20"/>
          <w:spacing w:val="-5"/>
        </w:rPr>
        <w:t> </w:t>
      </w:r>
      <w:r>
        <w:rPr>
          <w:color w:val="231F20"/>
        </w:rPr>
        <w:t>llega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conclusión</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comenza- do</w:t>
      </w:r>
      <w:r>
        <w:rPr>
          <w:color w:val="231F20"/>
          <w:spacing w:val="-4"/>
        </w:rPr>
        <w:t> </w:t>
      </w:r>
      <w:r>
        <w:rPr>
          <w:color w:val="231F20"/>
        </w:rPr>
        <w:t>a</w:t>
      </w:r>
      <w:r>
        <w:rPr>
          <w:color w:val="231F20"/>
          <w:spacing w:val="-5"/>
        </w:rPr>
        <w:t> </w:t>
      </w:r>
      <w:r>
        <w:rPr>
          <w:color w:val="231F20"/>
        </w:rPr>
        <w:t>abatir</w:t>
      </w:r>
      <w:r>
        <w:rPr>
          <w:color w:val="231F20"/>
          <w:spacing w:val="-5"/>
        </w:rPr>
        <w:t> </w:t>
      </w:r>
      <w:r>
        <w:rPr>
          <w:color w:val="231F20"/>
        </w:rPr>
        <w:t>de</w:t>
      </w:r>
      <w:r>
        <w:rPr>
          <w:color w:val="231F20"/>
          <w:spacing w:val="-5"/>
        </w:rPr>
        <w:t> </w:t>
      </w:r>
      <w:r>
        <w:rPr>
          <w:color w:val="231F20"/>
        </w:rPr>
        <w:t>forma</w:t>
      </w:r>
      <w:r>
        <w:rPr>
          <w:color w:val="231F20"/>
          <w:spacing w:val="-5"/>
        </w:rPr>
        <w:t> </w:t>
      </w:r>
      <w:r>
        <w:rPr>
          <w:color w:val="231F20"/>
        </w:rPr>
        <w:t>significativa</w:t>
      </w:r>
      <w:r>
        <w:rPr>
          <w:color w:val="231F20"/>
          <w:spacing w:val="-5"/>
        </w:rPr>
        <w:t> </w:t>
      </w:r>
      <w:r>
        <w:rPr>
          <w:color w:val="231F20"/>
        </w:rPr>
        <w:t>algunos</w:t>
      </w:r>
      <w:r>
        <w:rPr>
          <w:color w:val="231F20"/>
          <w:spacing w:val="-5"/>
        </w:rPr>
        <w:t> </w:t>
      </w:r>
      <w:r>
        <w:rPr>
          <w:color w:val="231F20"/>
        </w:rPr>
        <w:t>problemas</w:t>
      </w:r>
      <w:r>
        <w:rPr>
          <w:color w:val="231F20"/>
          <w:spacing w:val="-5"/>
        </w:rPr>
        <w:t> </w:t>
      </w:r>
      <w:r>
        <w:rPr>
          <w:color w:val="231F20"/>
        </w:rPr>
        <w:t>de</w:t>
      </w:r>
      <w:r>
        <w:rPr>
          <w:color w:val="231F20"/>
          <w:spacing w:val="-5"/>
        </w:rPr>
        <w:t> </w:t>
      </w:r>
      <w:r>
        <w:rPr>
          <w:color w:val="231F20"/>
        </w:rPr>
        <w:t>larga</w:t>
      </w:r>
      <w:r>
        <w:rPr>
          <w:color w:val="231F20"/>
          <w:spacing w:val="-5"/>
        </w:rPr>
        <w:t> </w:t>
      </w:r>
      <w:r>
        <w:rPr>
          <w:color w:val="231F20"/>
        </w:rPr>
        <w:t>data,</w:t>
      </w:r>
      <w:r>
        <w:rPr>
          <w:color w:val="231F20"/>
          <w:spacing w:val="-5"/>
        </w:rPr>
        <w:t> </w:t>
      </w:r>
      <w:r>
        <w:rPr>
          <w:color w:val="231F20"/>
        </w:rPr>
        <w:t>como son la existencia de bajos ingresos, la ausencia de prestaciones sociales o la presencia de muy pequeñas unidades productivas que no permiten una sobrevivencia digna a quienes laboran en ellas. Las estimaciones y los</w:t>
      </w:r>
      <w:r>
        <w:rPr>
          <w:color w:val="231F20"/>
          <w:spacing w:val="-11"/>
        </w:rPr>
        <w:t> </w:t>
      </w:r>
      <w:r>
        <w:rPr>
          <w:color w:val="231F20"/>
        </w:rPr>
        <w:t>indicadores</w:t>
      </w:r>
      <w:r>
        <w:rPr>
          <w:color w:val="231F20"/>
          <w:spacing w:val="-11"/>
        </w:rPr>
        <w:t> </w:t>
      </w:r>
      <w:r>
        <w:rPr>
          <w:color w:val="231F20"/>
        </w:rPr>
        <w:t>varían</w:t>
      </w:r>
      <w:r>
        <w:rPr>
          <w:color w:val="231F20"/>
          <w:spacing w:val="-11"/>
        </w:rPr>
        <w:t> </w:t>
      </w:r>
      <w:r>
        <w:rPr>
          <w:color w:val="231F20"/>
        </w:rPr>
        <w:t>debido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cambios</w:t>
      </w:r>
      <w:r>
        <w:rPr>
          <w:color w:val="231F20"/>
          <w:spacing w:val="-12"/>
        </w:rPr>
        <w:t> </w:t>
      </w:r>
      <w:r>
        <w:rPr>
          <w:color w:val="231F20"/>
        </w:rPr>
        <w:t>en</w:t>
      </w:r>
      <w:r>
        <w:rPr>
          <w:color w:val="231F20"/>
          <w:spacing w:val="-11"/>
        </w:rPr>
        <w:t> </w:t>
      </w:r>
      <w:r>
        <w:rPr>
          <w:color w:val="231F20"/>
        </w:rPr>
        <w:t>las</w:t>
      </w:r>
      <w:r>
        <w:rPr>
          <w:color w:val="231F20"/>
          <w:spacing w:val="-11"/>
        </w:rPr>
        <w:t> </w:t>
      </w:r>
      <w:r>
        <w:rPr>
          <w:color w:val="231F20"/>
        </w:rPr>
        <w:t>formas</w:t>
      </w:r>
      <w:r>
        <w:rPr>
          <w:color w:val="231F20"/>
          <w:spacing w:val="-11"/>
        </w:rPr>
        <w:t> </w:t>
      </w:r>
      <w:r>
        <w:rPr>
          <w:color w:val="231F20"/>
        </w:rPr>
        <w:t>de</w:t>
      </w:r>
      <w:r>
        <w:rPr>
          <w:color w:val="231F20"/>
          <w:spacing w:val="-11"/>
        </w:rPr>
        <w:t> </w:t>
      </w:r>
      <w:r>
        <w:rPr>
          <w:color w:val="231F20"/>
        </w:rPr>
        <w:t>captación</w:t>
      </w:r>
      <w:r>
        <w:rPr>
          <w:color w:val="231F20"/>
          <w:spacing w:val="-12"/>
        </w:rPr>
        <w:t> </w:t>
      </w:r>
      <w:r>
        <w:rPr>
          <w:color w:val="231F20"/>
        </w:rPr>
        <w:t>en las</w:t>
      </w:r>
      <w:r>
        <w:rPr>
          <w:color w:val="231F20"/>
          <w:spacing w:val="-9"/>
        </w:rPr>
        <w:t> </w:t>
      </w:r>
      <w:r>
        <w:rPr>
          <w:color w:val="231F20"/>
        </w:rPr>
        <w:t>encuestas</w:t>
      </w:r>
      <w:r>
        <w:rPr>
          <w:color w:val="231F20"/>
          <w:spacing w:val="-9"/>
        </w:rPr>
        <w:t> </w:t>
      </w:r>
      <w:r>
        <w:rPr>
          <w:color w:val="231F20"/>
        </w:rPr>
        <w:t>de</w:t>
      </w:r>
      <w:r>
        <w:rPr>
          <w:color w:val="231F20"/>
          <w:spacing w:val="-9"/>
        </w:rPr>
        <w:t> </w:t>
      </w:r>
      <w:r>
        <w:rPr>
          <w:color w:val="231F20"/>
        </w:rPr>
        <w:t>empleo,</w:t>
      </w:r>
      <w:r>
        <w:rPr>
          <w:color w:val="231F20"/>
          <w:spacing w:val="-9"/>
        </w:rPr>
        <w:t> </w:t>
      </w:r>
      <w:r>
        <w:rPr>
          <w:color w:val="231F20"/>
        </w:rPr>
        <w:t>pero</w:t>
      </w:r>
      <w:r>
        <w:rPr>
          <w:color w:val="231F20"/>
          <w:spacing w:val="-9"/>
        </w:rPr>
        <w:t> </w:t>
      </w:r>
      <w:r>
        <w:rPr>
          <w:color w:val="231F20"/>
        </w:rPr>
        <w:t>la</w:t>
      </w:r>
      <w:r>
        <w:rPr>
          <w:color w:val="231F20"/>
          <w:spacing w:val="-9"/>
        </w:rPr>
        <w:t> </w:t>
      </w:r>
      <w:r>
        <w:rPr>
          <w:color w:val="231F20"/>
        </w:rPr>
        <w:t>información</w:t>
      </w:r>
      <w:r>
        <w:rPr>
          <w:color w:val="231F20"/>
          <w:spacing w:val="-9"/>
        </w:rPr>
        <w:t> </w:t>
      </w:r>
      <w:r>
        <w:rPr>
          <w:color w:val="231F20"/>
        </w:rPr>
        <w:t>más</w:t>
      </w:r>
      <w:r>
        <w:rPr>
          <w:color w:val="231F20"/>
          <w:spacing w:val="-9"/>
        </w:rPr>
        <w:t> </w:t>
      </w:r>
      <w:r>
        <w:rPr>
          <w:color w:val="231F20"/>
        </w:rPr>
        <w:t>comparable</w:t>
      </w:r>
      <w:r>
        <w:rPr>
          <w:color w:val="231F20"/>
          <w:spacing w:val="-9"/>
        </w:rPr>
        <w:t> </w:t>
      </w:r>
      <w:r>
        <w:rPr>
          <w:color w:val="231F20"/>
        </w:rPr>
        <w:t>se</w:t>
      </w:r>
      <w:r>
        <w:rPr>
          <w:color w:val="231F20"/>
          <w:spacing w:val="-9"/>
        </w:rPr>
        <w:t> </w:t>
      </w:r>
      <w:r>
        <w:rPr>
          <w:color w:val="231F20"/>
        </w:rPr>
        <w:t>refiere</w:t>
      </w:r>
      <w:r>
        <w:rPr>
          <w:color w:val="231F20"/>
          <w:spacing w:val="-9"/>
        </w:rPr>
        <w:t> </w:t>
      </w:r>
      <w:r>
        <w:rPr>
          <w:color w:val="231F20"/>
        </w:rPr>
        <w:t>a los</w:t>
      </w:r>
      <w:r>
        <w:rPr>
          <w:color w:val="231F20"/>
          <w:spacing w:val="-8"/>
        </w:rPr>
        <w:t> </w:t>
      </w:r>
      <w:r>
        <w:rPr>
          <w:color w:val="231F20"/>
        </w:rPr>
        <w:t>datos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ENOE</w:t>
      </w:r>
      <w:r>
        <w:rPr>
          <w:color w:val="231F20"/>
          <w:spacing w:val="-8"/>
        </w:rPr>
        <w:t> </w:t>
      </w:r>
      <w:r>
        <w:rPr>
          <w:color w:val="231F20"/>
        </w:rPr>
        <w:t>de</w:t>
      </w:r>
      <w:r>
        <w:rPr>
          <w:color w:val="231F20"/>
          <w:spacing w:val="-8"/>
        </w:rPr>
        <w:t> </w:t>
      </w:r>
      <w:r>
        <w:rPr>
          <w:color w:val="231F20"/>
        </w:rPr>
        <w:t>2005</w:t>
      </w:r>
      <w:r>
        <w:rPr>
          <w:color w:val="231F20"/>
          <w:spacing w:val="-8"/>
        </w:rPr>
        <w:t> </w:t>
      </w:r>
      <w:r>
        <w:rPr>
          <w:color w:val="231F20"/>
        </w:rPr>
        <w:t>en</w:t>
      </w:r>
      <w:r>
        <w:rPr>
          <w:color w:val="231F20"/>
          <w:spacing w:val="-8"/>
        </w:rPr>
        <w:t> </w:t>
      </w:r>
      <w:r>
        <w:rPr>
          <w:color w:val="231F20"/>
        </w:rPr>
        <w:t>adelante.</w:t>
      </w:r>
      <w:r>
        <w:rPr>
          <w:color w:val="231F20"/>
          <w:spacing w:val="-9"/>
        </w:rPr>
        <w:t> </w:t>
      </w:r>
      <w:r>
        <w:rPr>
          <w:color w:val="231F20"/>
        </w:rPr>
        <w:t>Según</w:t>
      </w:r>
      <w:r>
        <w:rPr>
          <w:color w:val="231F20"/>
          <w:spacing w:val="-8"/>
        </w:rPr>
        <w:t> </w:t>
      </w:r>
      <w:r>
        <w:rPr>
          <w:color w:val="231F20"/>
        </w:rPr>
        <w:t>esta</w:t>
      </w:r>
      <w:r>
        <w:rPr>
          <w:color w:val="231F20"/>
          <w:spacing w:val="-8"/>
        </w:rPr>
        <w:t> </w:t>
      </w:r>
      <w:r>
        <w:rPr>
          <w:color w:val="231F20"/>
        </w:rPr>
        <w:t>fuente,</w:t>
      </w:r>
      <w:r>
        <w:rPr>
          <w:color w:val="231F20"/>
          <w:spacing w:val="-8"/>
        </w:rPr>
        <w:t> </w:t>
      </w:r>
      <w:r>
        <w:rPr>
          <w:color w:val="231F20"/>
        </w:rPr>
        <w:t>los</w:t>
      </w:r>
      <w:r>
        <w:rPr>
          <w:color w:val="231F20"/>
          <w:spacing w:val="-8"/>
        </w:rPr>
        <w:t> </w:t>
      </w:r>
      <w:r>
        <w:rPr>
          <w:color w:val="231F20"/>
        </w:rPr>
        <w:t>micro- negocios no agrícolas precarios representaban 40 por ciento de la fuerza de trabajo total en el año 2005 y pasaron a representar 41.7 por ciento  en</w:t>
      </w:r>
      <w:r>
        <w:rPr>
          <w:color w:val="231F20"/>
          <w:spacing w:val="18"/>
        </w:rPr>
        <w:t> </w:t>
      </w:r>
      <w:r>
        <w:rPr>
          <w:color w:val="231F20"/>
        </w:rPr>
        <w:t>2012.</w:t>
      </w:r>
      <w:r>
        <w:rPr>
          <w:color w:val="231F20"/>
          <w:spacing w:val="18"/>
        </w:rPr>
        <w:t> </w:t>
      </w:r>
      <w:r>
        <w:rPr>
          <w:color w:val="231F20"/>
        </w:rPr>
        <w:t>Por</w:t>
      </w:r>
      <w:r>
        <w:rPr>
          <w:color w:val="231F20"/>
          <w:spacing w:val="18"/>
        </w:rPr>
        <w:t> </w:t>
      </w:r>
      <w:r>
        <w:rPr>
          <w:color w:val="231F20"/>
        </w:rPr>
        <w:t>su</w:t>
      </w:r>
      <w:r>
        <w:rPr>
          <w:color w:val="231F20"/>
          <w:spacing w:val="18"/>
        </w:rPr>
        <w:t> </w:t>
      </w:r>
      <w:r>
        <w:rPr>
          <w:color w:val="231F20"/>
        </w:rPr>
        <w:t>parte,</w:t>
      </w:r>
      <w:r>
        <w:rPr>
          <w:color w:val="231F20"/>
          <w:spacing w:val="18"/>
        </w:rPr>
        <w:t> </w:t>
      </w:r>
      <w:r>
        <w:rPr>
          <w:color w:val="231F20"/>
        </w:rPr>
        <w:t>58</w:t>
      </w:r>
      <w:r>
        <w:rPr>
          <w:color w:val="231F20"/>
          <w:spacing w:val="18"/>
        </w:rPr>
        <w:t> </w:t>
      </w:r>
      <w:r>
        <w:rPr>
          <w:color w:val="231F20"/>
        </w:rPr>
        <w:t>por</w:t>
      </w:r>
      <w:r>
        <w:rPr>
          <w:color w:val="231F20"/>
          <w:spacing w:val="18"/>
        </w:rPr>
        <w:t> </w:t>
      </w:r>
      <w:r>
        <w:rPr>
          <w:color w:val="231F20"/>
        </w:rPr>
        <w:t>ciento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fuerza</w:t>
      </w:r>
      <w:r>
        <w:rPr>
          <w:color w:val="231F20"/>
          <w:spacing w:val="18"/>
        </w:rPr>
        <w:t> </w:t>
      </w:r>
      <w:r>
        <w:rPr>
          <w:color w:val="231F20"/>
        </w:rPr>
        <w:t>de</w:t>
      </w:r>
      <w:r>
        <w:rPr>
          <w:color w:val="231F20"/>
          <w:spacing w:val="18"/>
        </w:rPr>
        <w:t> </w:t>
      </w:r>
      <w:r>
        <w:rPr>
          <w:color w:val="231F20"/>
        </w:rPr>
        <w:t>trabajo</w:t>
      </w:r>
      <w:r>
        <w:rPr>
          <w:color w:val="231F20"/>
          <w:spacing w:val="18"/>
        </w:rPr>
        <w:t> </w:t>
      </w:r>
      <w:r>
        <w:rPr>
          <w:color w:val="231F20"/>
        </w:rPr>
        <w:t>asalariada</w:t>
      </w:r>
    </w:p>
    <w:p>
      <w:pPr>
        <w:spacing w:before="116"/>
        <w:ind w:left="113" w:right="107" w:firstLine="0"/>
        <w:jc w:val="both"/>
        <w:rPr>
          <w:sz w:val="14"/>
        </w:rPr>
      </w:pPr>
      <w:r>
        <w:rPr>
          <w:color w:val="231F20"/>
          <w:position w:val="5"/>
          <w:sz w:val="8"/>
        </w:rPr>
        <w:t>3 </w:t>
      </w:r>
      <w:r>
        <w:rPr>
          <w:color w:val="231F20"/>
          <w:sz w:val="14"/>
        </w:rPr>
        <w:t>Otros autores como Puyana y Romero (2004) más bien consideran que ha sido la existencia de una oferta</w:t>
      </w:r>
      <w:r>
        <w:rPr>
          <w:color w:val="231F20"/>
          <w:spacing w:val="-5"/>
          <w:sz w:val="14"/>
        </w:rPr>
        <w:t> </w:t>
      </w:r>
      <w:r>
        <w:rPr>
          <w:color w:val="231F20"/>
          <w:sz w:val="14"/>
        </w:rPr>
        <w:t>ilimitada</w:t>
      </w:r>
      <w:r>
        <w:rPr>
          <w:color w:val="231F20"/>
          <w:spacing w:val="-5"/>
          <w:sz w:val="14"/>
        </w:rPr>
        <w:t> </w:t>
      </w:r>
      <w:r>
        <w:rPr>
          <w:color w:val="231F20"/>
          <w:sz w:val="14"/>
        </w:rPr>
        <w:t>de</w:t>
      </w:r>
      <w:r>
        <w:rPr>
          <w:color w:val="231F20"/>
          <w:spacing w:val="-5"/>
          <w:sz w:val="14"/>
        </w:rPr>
        <w:t> </w:t>
      </w:r>
      <w:r>
        <w:rPr>
          <w:color w:val="231F20"/>
          <w:sz w:val="14"/>
        </w:rPr>
        <w:t>mano</w:t>
      </w:r>
      <w:r>
        <w:rPr>
          <w:color w:val="231F20"/>
          <w:spacing w:val="-5"/>
          <w:sz w:val="14"/>
        </w:rPr>
        <w:t> </w:t>
      </w:r>
      <w:r>
        <w:rPr>
          <w:color w:val="231F20"/>
          <w:sz w:val="14"/>
        </w:rPr>
        <w:t>de</w:t>
      </w:r>
      <w:r>
        <w:rPr>
          <w:color w:val="231F20"/>
          <w:spacing w:val="-5"/>
          <w:sz w:val="14"/>
        </w:rPr>
        <w:t> </w:t>
      </w:r>
      <w:r>
        <w:rPr>
          <w:color w:val="231F20"/>
          <w:sz w:val="14"/>
        </w:rPr>
        <w:t>obra</w:t>
      </w:r>
      <w:r>
        <w:rPr>
          <w:color w:val="231F20"/>
          <w:spacing w:val="-5"/>
          <w:sz w:val="14"/>
        </w:rPr>
        <w:t> </w:t>
      </w:r>
      <w:r>
        <w:rPr>
          <w:color w:val="231F20"/>
          <w:sz w:val="14"/>
        </w:rPr>
        <w:t>en</w:t>
      </w:r>
      <w:r>
        <w:rPr>
          <w:color w:val="231F20"/>
          <w:spacing w:val="-5"/>
          <w:sz w:val="14"/>
        </w:rPr>
        <w:t> </w:t>
      </w:r>
      <w:r>
        <w:rPr>
          <w:color w:val="231F20"/>
          <w:sz w:val="14"/>
        </w:rPr>
        <w:t>el</w:t>
      </w:r>
      <w:r>
        <w:rPr>
          <w:color w:val="231F20"/>
          <w:spacing w:val="-5"/>
          <w:sz w:val="14"/>
        </w:rPr>
        <w:t> </w:t>
      </w:r>
      <w:r>
        <w:rPr>
          <w:color w:val="231F20"/>
          <w:sz w:val="14"/>
        </w:rPr>
        <w:t>país</w:t>
      </w:r>
      <w:r>
        <w:rPr>
          <w:color w:val="231F20"/>
          <w:spacing w:val="-5"/>
          <w:sz w:val="14"/>
        </w:rPr>
        <w:t> </w:t>
      </w:r>
      <w:r>
        <w:rPr>
          <w:color w:val="231F20"/>
          <w:sz w:val="14"/>
        </w:rPr>
        <w:t>la</w:t>
      </w:r>
      <w:r>
        <w:rPr>
          <w:color w:val="231F20"/>
          <w:spacing w:val="-5"/>
          <w:sz w:val="14"/>
        </w:rPr>
        <w:t> </w:t>
      </w:r>
      <w:r>
        <w:rPr>
          <w:color w:val="231F20"/>
          <w:sz w:val="14"/>
        </w:rPr>
        <w:t>que</w:t>
      </w:r>
      <w:r>
        <w:rPr>
          <w:color w:val="231F20"/>
          <w:spacing w:val="-5"/>
          <w:sz w:val="14"/>
        </w:rPr>
        <w:t> </w:t>
      </w:r>
      <w:r>
        <w:rPr>
          <w:color w:val="231F20"/>
          <w:sz w:val="14"/>
        </w:rPr>
        <w:t>ha</w:t>
      </w:r>
      <w:r>
        <w:rPr>
          <w:color w:val="231F20"/>
          <w:spacing w:val="-5"/>
          <w:sz w:val="14"/>
        </w:rPr>
        <w:t> </w:t>
      </w:r>
      <w:r>
        <w:rPr>
          <w:color w:val="231F20"/>
          <w:sz w:val="14"/>
        </w:rPr>
        <w:t>frenado</w:t>
      </w:r>
      <w:r>
        <w:rPr>
          <w:color w:val="231F20"/>
          <w:spacing w:val="-5"/>
          <w:sz w:val="14"/>
        </w:rPr>
        <w:t> </w:t>
      </w:r>
      <w:r>
        <w:rPr>
          <w:color w:val="231F20"/>
          <w:sz w:val="14"/>
        </w:rPr>
        <w:t>la</w:t>
      </w:r>
      <w:r>
        <w:rPr>
          <w:color w:val="231F20"/>
          <w:spacing w:val="-5"/>
          <w:sz w:val="14"/>
        </w:rPr>
        <w:t> </w:t>
      </w:r>
      <w:r>
        <w:rPr>
          <w:color w:val="231F20"/>
          <w:sz w:val="14"/>
        </w:rPr>
        <w:t>expansión</w:t>
      </w:r>
      <w:r>
        <w:rPr>
          <w:color w:val="231F20"/>
          <w:spacing w:val="-6"/>
          <w:sz w:val="14"/>
        </w:rPr>
        <w:t> </w:t>
      </w:r>
      <w:r>
        <w:rPr>
          <w:color w:val="231F20"/>
          <w:sz w:val="14"/>
        </w:rPr>
        <w:t>de</w:t>
      </w:r>
      <w:r>
        <w:rPr>
          <w:color w:val="231F20"/>
          <w:spacing w:val="-5"/>
          <w:sz w:val="14"/>
        </w:rPr>
        <w:t> </w:t>
      </w:r>
      <w:r>
        <w:rPr>
          <w:color w:val="231F20"/>
          <w:sz w:val="14"/>
        </w:rPr>
        <w:t>los</w:t>
      </w:r>
      <w:r>
        <w:rPr>
          <w:color w:val="231F20"/>
          <w:spacing w:val="-5"/>
          <w:sz w:val="14"/>
        </w:rPr>
        <w:t> </w:t>
      </w:r>
      <w:r>
        <w:rPr>
          <w:color w:val="231F20"/>
          <w:sz w:val="14"/>
        </w:rPr>
        <w:t>salarios,</w:t>
      </w:r>
      <w:r>
        <w:rPr>
          <w:color w:val="231F20"/>
          <w:spacing w:val="-5"/>
          <w:sz w:val="14"/>
        </w:rPr>
        <w:t> </w:t>
      </w:r>
      <w:r>
        <w:rPr>
          <w:color w:val="231F20"/>
          <w:sz w:val="14"/>
        </w:rPr>
        <w:t>lo</w:t>
      </w:r>
      <w:r>
        <w:rPr>
          <w:color w:val="231F20"/>
          <w:spacing w:val="-5"/>
          <w:sz w:val="14"/>
        </w:rPr>
        <w:t> </w:t>
      </w:r>
      <w:r>
        <w:rPr>
          <w:color w:val="231F20"/>
          <w:sz w:val="14"/>
        </w:rPr>
        <w:t>cual</w:t>
      </w:r>
      <w:r>
        <w:rPr>
          <w:color w:val="231F20"/>
          <w:spacing w:val="-5"/>
          <w:sz w:val="14"/>
        </w:rPr>
        <w:t> </w:t>
      </w:r>
      <w:r>
        <w:rPr>
          <w:color w:val="231F20"/>
          <w:sz w:val="14"/>
        </w:rPr>
        <w:t>hubiera sido posible con la apertura</w:t>
      </w:r>
      <w:r>
        <w:rPr>
          <w:color w:val="231F20"/>
          <w:spacing w:val="-5"/>
          <w:sz w:val="14"/>
        </w:rPr>
        <w:t> </w:t>
      </w:r>
      <w:r>
        <w:rPr>
          <w:color w:val="231F20"/>
          <w:sz w:val="14"/>
        </w:rPr>
        <w:t>comercial.</w:t>
      </w:r>
    </w:p>
    <w:p>
      <w:pPr>
        <w:spacing w:after="0"/>
        <w:jc w:val="both"/>
        <w:rPr>
          <w:sz w:val="14"/>
        </w:rPr>
        <w:sectPr>
          <w:footerReference w:type="default" r:id="rId99"/>
          <w:pgSz w:w="7770" w:h="11740"/>
          <w:pgMar w:footer="474" w:header="0" w:top="840" w:bottom="660" w:left="1020" w:right="740"/>
          <w:pgNumType w:start="89"/>
        </w:sectPr>
      </w:pPr>
    </w:p>
    <w:p>
      <w:pPr>
        <w:pStyle w:val="BodyText"/>
        <w:spacing w:line="249" w:lineRule="auto" w:before="60"/>
        <w:ind w:left="89" w:right="111"/>
        <w:jc w:val="right"/>
      </w:pPr>
      <w:r>
        <w:rPr>
          <w:color w:val="231F20"/>
        </w:rPr>
        <w:t>tenía prestaciones de salud en 2005, y dicho porcentaje descendió a 55 por ciento en el 2012 (datos de las ENOE, no mostrados en los cuadros). En la primera década del siglo XXI también el desempleo abierto comenzó a crecer de manera sistemática, y experimentó una expansión sin precedentes a partir de la crisis de 2008-2009. Este fenómeno afectó a 2.5 por ciento de la población económicamente activa (PEA) en 2000 y dicha tasa se elevó a 5.2 por ciento en el 2009. En años posteriores ha descendido (a 4.8 por ciento en el segundo trimestre de 2012) pero toda- vía no alcanza los niveles observados en décadas pasadas. Esto significa</w:t>
      </w:r>
      <w:r>
        <w:rPr>
          <w:color w:val="231F20"/>
          <w:w w:val="98"/>
        </w:rPr>
        <w:t> </w:t>
      </w:r>
      <w:r>
        <w:rPr>
          <w:color w:val="231F20"/>
        </w:rPr>
        <w:t>que han sido afectados por el desempleo abierto entre 2.2 y 2.9 millones de trabajadores durante la última década. Asimismo, tampoco es despre- ciable el relevante incremento de los trabajadores desalentados, es decir de aquellos que están disponibles para participar en el mercado de tra- bajo, pero que no buscan activamente una ocupación o empleo; de 13.5 por ciento de la población no económicamente activa en 2000, pasaron a representar 17.8 por ciento en 2009 y esta cifra se mantuvo en niveles similares en 2012 —datos de las ENOE no mostrados en los  cuadros—</w:t>
      </w:r>
    </w:p>
    <w:p>
      <w:pPr>
        <w:pStyle w:val="BodyText"/>
        <w:spacing w:before="1"/>
        <w:ind w:left="110"/>
        <w:jc w:val="both"/>
      </w:pPr>
      <w:r>
        <w:rPr>
          <w:color w:val="231F20"/>
        </w:rPr>
        <w:t>(García y Sánchez, 2012; García, 2013).</w:t>
      </w:r>
    </w:p>
    <w:p>
      <w:pPr>
        <w:pStyle w:val="BodyText"/>
        <w:spacing w:line="249" w:lineRule="auto" w:before="10"/>
        <w:ind w:left="110" w:right="112" w:firstLine="283"/>
        <w:jc w:val="both"/>
      </w:pPr>
      <w:r>
        <w:rPr>
          <w:color w:val="272527"/>
        </w:rPr>
        <w:t>Los diagnósticos brevemente descritos sobre el mercado de traba-  jo, generalmente se refieren al conjunto de los trabajadores del país, a   lo que ocurre en sus regiones geográficas, o a los sectores de actividad caracterizados por el destino de su producción o prestación de servicios (primario, secundario y terciario). De la misma manera que sucede en  el nivel internacional, no ha interesado mucho hasta ahora comenzar a vincular de manera detallada las tendencias de comercio exterior y las condiciones</w:t>
      </w:r>
      <w:r>
        <w:rPr>
          <w:color w:val="272527"/>
          <w:spacing w:val="-6"/>
        </w:rPr>
        <w:t> </w:t>
      </w:r>
      <w:r>
        <w:rPr>
          <w:color w:val="272527"/>
        </w:rPr>
        <w:t>laborales,</w:t>
      </w:r>
      <w:r>
        <w:rPr>
          <w:color w:val="272527"/>
          <w:spacing w:val="-6"/>
        </w:rPr>
        <w:t> </w:t>
      </w:r>
      <w:r>
        <w:rPr>
          <w:color w:val="272527"/>
        </w:rPr>
        <w:t>y</w:t>
      </w:r>
      <w:r>
        <w:rPr>
          <w:color w:val="272527"/>
          <w:spacing w:val="-5"/>
        </w:rPr>
        <w:t> </w:t>
      </w:r>
      <w:r>
        <w:rPr>
          <w:color w:val="272527"/>
        </w:rPr>
        <w:t>lo</w:t>
      </w:r>
      <w:r>
        <w:rPr>
          <w:color w:val="272527"/>
          <w:spacing w:val="-5"/>
        </w:rPr>
        <w:t> </w:t>
      </w:r>
      <w:r>
        <w:rPr>
          <w:color w:val="272527"/>
        </w:rPr>
        <w:t>que</w:t>
      </w:r>
      <w:r>
        <w:rPr>
          <w:color w:val="272527"/>
          <w:spacing w:val="-5"/>
        </w:rPr>
        <w:t> </w:t>
      </w:r>
      <w:r>
        <w:rPr>
          <w:color w:val="272527"/>
        </w:rPr>
        <w:t>más</w:t>
      </w:r>
      <w:r>
        <w:rPr>
          <w:color w:val="272527"/>
          <w:spacing w:val="-5"/>
        </w:rPr>
        <w:t> </w:t>
      </w:r>
      <w:r>
        <w:rPr>
          <w:color w:val="272527"/>
        </w:rPr>
        <w:t>atrae</w:t>
      </w:r>
      <w:r>
        <w:rPr>
          <w:color w:val="272527"/>
          <w:spacing w:val="-5"/>
        </w:rPr>
        <w:t> </w:t>
      </w:r>
      <w:r>
        <w:rPr>
          <w:color w:val="272527"/>
        </w:rPr>
        <w:t>la</w:t>
      </w:r>
      <w:r>
        <w:rPr>
          <w:color w:val="272527"/>
          <w:spacing w:val="-5"/>
        </w:rPr>
        <w:t> </w:t>
      </w:r>
      <w:r>
        <w:rPr>
          <w:color w:val="272527"/>
        </w:rPr>
        <w:t>atención</w:t>
      </w:r>
      <w:r>
        <w:rPr>
          <w:color w:val="272527"/>
          <w:spacing w:val="-6"/>
        </w:rPr>
        <w:t> </w:t>
      </w:r>
      <w:r>
        <w:rPr>
          <w:color w:val="272527"/>
        </w:rPr>
        <w:t>es</w:t>
      </w:r>
      <w:r>
        <w:rPr>
          <w:color w:val="272527"/>
          <w:spacing w:val="-5"/>
        </w:rPr>
        <w:t> </w:t>
      </w:r>
      <w:r>
        <w:rPr>
          <w:color w:val="272527"/>
        </w:rPr>
        <w:t>el</w:t>
      </w:r>
      <w:r>
        <w:rPr>
          <w:color w:val="272527"/>
          <w:spacing w:val="-5"/>
        </w:rPr>
        <w:t> </w:t>
      </w:r>
      <w:r>
        <w:rPr>
          <w:color w:val="272527"/>
        </w:rPr>
        <w:t>resultado</w:t>
      </w:r>
      <w:r>
        <w:rPr>
          <w:color w:val="272527"/>
          <w:spacing w:val="-5"/>
        </w:rPr>
        <w:t> </w:t>
      </w:r>
      <w:r>
        <w:rPr>
          <w:color w:val="272527"/>
        </w:rPr>
        <w:t>de</w:t>
      </w:r>
      <w:r>
        <w:rPr>
          <w:color w:val="272527"/>
          <w:spacing w:val="-5"/>
        </w:rPr>
        <w:t> </w:t>
      </w:r>
      <w:r>
        <w:rPr>
          <w:color w:val="272527"/>
        </w:rPr>
        <w:t>la liberalización comercial en términos de crecimiento económico (insatis- factorio</w:t>
      </w:r>
      <w:r>
        <w:rPr>
          <w:color w:val="272527"/>
          <w:spacing w:val="-7"/>
        </w:rPr>
        <w:t> </w:t>
      </w:r>
      <w:r>
        <w:rPr>
          <w:color w:val="272527"/>
        </w:rPr>
        <w:t>en</w:t>
      </w:r>
      <w:r>
        <w:rPr>
          <w:color w:val="272527"/>
          <w:spacing w:val="-7"/>
        </w:rPr>
        <w:t> </w:t>
      </w:r>
      <w:r>
        <w:rPr>
          <w:color w:val="272527"/>
        </w:rPr>
        <w:t>el</w:t>
      </w:r>
      <w:r>
        <w:rPr>
          <w:color w:val="272527"/>
          <w:spacing w:val="-7"/>
        </w:rPr>
        <w:t> </w:t>
      </w:r>
      <w:r>
        <w:rPr>
          <w:color w:val="272527"/>
        </w:rPr>
        <w:t>caso</w:t>
      </w:r>
      <w:r>
        <w:rPr>
          <w:color w:val="272527"/>
          <w:spacing w:val="-7"/>
        </w:rPr>
        <w:t> </w:t>
      </w:r>
      <w:r>
        <w:rPr>
          <w:color w:val="272527"/>
        </w:rPr>
        <w:t>mexicano).</w:t>
      </w:r>
      <w:r>
        <w:rPr>
          <w:color w:val="272527"/>
          <w:spacing w:val="-8"/>
        </w:rPr>
        <w:t> </w:t>
      </w:r>
      <w:r>
        <w:rPr>
          <w:color w:val="272527"/>
        </w:rPr>
        <w:t>Nosotras</w:t>
      </w:r>
      <w:r>
        <w:rPr>
          <w:color w:val="272527"/>
          <w:spacing w:val="-6"/>
        </w:rPr>
        <w:t> </w:t>
      </w:r>
      <w:r>
        <w:rPr>
          <w:color w:val="272527"/>
        </w:rPr>
        <w:t>estamos</w:t>
      </w:r>
      <w:r>
        <w:rPr>
          <w:color w:val="272527"/>
          <w:spacing w:val="-7"/>
        </w:rPr>
        <w:t> </w:t>
      </w:r>
      <w:r>
        <w:rPr>
          <w:color w:val="272527"/>
        </w:rPr>
        <w:t>interesadas</w:t>
      </w:r>
      <w:r>
        <w:rPr>
          <w:color w:val="272527"/>
          <w:spacing w:val="-7"/>
        </w:rPr>
        <w:t> </w:t>
      </w:r>
      <w:r>
        <w:rPr>
          <w:color w:val="272527"/>
        </w:rPr>
        <w:t>precisamen- te en comenzar a desbrozar esa relación entre comercio y condiciones  de trabajo, la cual plantea muchos desafíos teóricos, metodológicos y de tratamiento de las distintas fuentes de información, como veremos a lo largo de este</w:t>
      </w:r>
      <w:r>
        <w:rPr>
          <w:color w:val="272527"/>
          <w:spacing w:val="-5"/>
        </w:rPr>
        <w:t> </w:t>
      </w:r>
      <w:r>
        <w:rPr>
          <w:color w:val="272527"/>
        </w:rPr>
        <w:t>estudio.</w:t>
      </w:r>
    </w:p>
    <w:p>
      <w:pPr>
        <w:pStyle w:val="Heading4"/>
        <w:ind w:left="110"/>
      </w:pPr>
      <w:r>
        <w:rPr>
          <w:w w:val="85"/>
        </w:rPr>
        <w:t>Metodología</w:t>
      </w:r>
    </w:p>
    <w:p>
      <w:pPr>
        <w:pStyle w:val="BodyText"/>
        <w:spacing w:line="249" w:lineRule="auto" w:before="171"/>
        <w:ind w:left="110" w:right="111"/>
        <w:jc w:val="both"/>
      </w:pPr>
      <w:r>
        <w:rPr>
          <w:color w:val="231F20"/>
        </w:rPr>
        <w:t>El primer paso en nuestro análisis es la creación de una clasificación de las ramas de actividad que componen la agricultura, la industria extrac- tiva y de transformación mexicana, así como la construcción (sectores primario y secundario), tomando en cuenta el dinamismo en la genera- ción de divisas y su relación con el comercio internacional. En segundo término, analizamos las condiciones de trabajo prevalecientes en dichas</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ramas. Para llevar a cabo lo anterior, es preciso homologar la informa- ción sobre el comercio exterior y la proveniente de las encuestas de</w:t>
      </w:r>
      <w:r>
        <w:rPr>
          <w:color w:val="231F20"/>
          <w:spacing w:val="-27"/>
        </w:rPr>
        <w:t> </w:t>
      </w:r>
      <w:r>
        <w:rPr>
          <w:color w:val="231F20"/>
        </w:rPr>
        <w:t>ocu- pación y empleo. A continuación se detalla el proceso seguido para tal fin, y se especifica la naturaleza diversa de las fuentes de</w:t>
      </w:r>
      <w:r>
        <w:rPr>
          <w:color w:val="231F20"/>
          <w:spacing w:val="-22"/>
        </w:rPr>
        <w:t> </w:t>
      </w:r>
      <w:r>
        <w:rPr>
          <w:color w:val="231F20"/>
        </w:rPr>
        <w:t>información.</w:t>
      </w:r>
    </w:p>
    <w:p>
      <w:pPr>
        <w:pStyle w:val="Heading5"/>
        <w:rPr>
          <w:i/>
        </w:rPr>
      </w:pPr>
      <w:r>
        <w:rPr>
          <w:i/>
          <w:w w:val="75"/>
        </w:rPr>
        <w:t>Diversidad de fuentes de información</w:t>
      </w:r>
    </w:p>
    <w:p>
      <w:pPr>
        <w:pStyle w:val="BodyText"/>
        <w:spacing w:line="249" w:lineRule="auto" w:before="171"/>
        <w:ind w:left="113" w:right="108"/>
        <w:jc w:val="both"/>
        <w:rPr>
          <w:sz w:val="11"/>
        </w:rPr>
      </w:pPr>
      <w:r>
        <w:rPr>
          <w:color w:val="231F20"/>
        </w:rPr>
        <w:t>Las estadísticas de comercio exterior que manejamos, se refieren a los bienes de los que se tiene información sobre su intercambio internacio- nal,</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corresponden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estadios</w:t>
      </w:r>
      <w:r>
        <w:rPr>
          <w:color w:val="231F20"/>
          <w:spacing w:val="-5"/>
        </w:rPr>
        <w:t> </w:t>
      </w:r>
      <w:r>
        <w:rPr>
          <w:color w:val="231F20"/>
        </w:rPr>
        <w:t>finales</w:t>
      </w:r>
      <w:r>
        <w:rPr>
          <w:color w:val="231F20"/>
          <w:spacing w:val="-5"/>
        </w:rPr>
        <w:t> </w:t>
      </w:r>
      <w:r>
        <w:rPr>
          <w:color w:val="231F20"/>
        </w:rPr>
        <w:t>del</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produc- ción;</w:t>
      </w:r>
      <w:r>
        <w:rPr>
          <w:color w:val="231F20"/>
          <w:spacing w:val="-6"/>
        </w:rPr>
        <w:t> </w:t>
      </w:r>
      <w:r>
        <w:rPr>
          <w:color w:val="231F20"/>
        </w:rPr>
        <w:t>de</w:t>
      </w:r>
      <w:r>
        <w:rPr>
          <w:color w:val="231F20"/>
          <w:spacing w:val="-5"/>
        </w:rPr>
        <w:t> </w:t>
      </w:r>
      <w:r>
        <w:rPr>
          <w:color w:val="231F20"/>
        </w:rPr>
        <w:t>modo</w:t>
      </w:r>
      <w:r>
        <w:rPr>
          <w:color w:val="231F20"/>
          <w:spacing w:val="-6"/>
        </w:rPr>
        <w:t> </w:t>
      </w:r>
      <w:r>
        <w:rPr>
          <w:color w:val="231F20"/>
        </w:rPr>
        <w:t>que</w:t>
      </w:r>
      <w:r>
        <w:rPr>
          <w:color w:val="231F20"/>
          <w:spacing w:val="-5"/>
        </w:rPr>
        <w:t> </w:t>
      </w:r>
      <w:r>
        <w:rPr>
          <w:color w:val="231F20"/>
        </w:rPr>
        <w:t>están</w:t>
      </w:r>
      <w:r>
        <w:rPr>
          <w:color w:val="231F20"/>
          <w:spacing w:val="-6"/>
        </w:rPr>
        <w:t> </w:t>
      </w:r>
      <w:r>
        <w:rPr>
          <w:color w:val="231F20"/>
        </w:rPr>
        <w:t>“relacionados</w:t>
      </w:r>
      <w:r>
        <w:rPr>
          <w:color w:val="231F20"/>
          <w:spacing w:val="-6"/>
        </w:rPr>
        <w:t> </w:t>
      </w:r>
      <w:r>
        <w:rPr>
          <w:color w:val="231F20"/>
        </w:rPr>
        <w:t>a”</w:t>
      </w:r>
      <w:r>
        <w:rPr>
          <w:color w:val="231F20"/>
          <w:spacing w:val="-6"/>
        </w:rPr>
        <w:t> </w:t>
      </w:r>
      <w:r>
        <w:rPr>
          <w:color w:val="231F20"/>
        </w:rPr>
        <w:t>y</w:t>
      </w:r>
      <w:r>
        <w:rPr>
          <w:color w:val="231F20"/>
          <w:spacing w:val="-5"/>
        </w:rPr>
        <w:t> </w:t>
      </w:r>
      <w:r>
        <w:rPr>
          <w:color w:val="231F20"/>
        </w:rPr>
        <w:t>no</w:t>
      </w:r>
      <w:r>
        <w:rPr>
          <w:color w:val="231F20"/>
          <w:spacing w:val="-5"/>
        </w:rPr>
        <w:t> </w:t>
      </w:r>
      <w:r>
        <w:rPr>
          <w:color w:val="231F20"/>
        </w:rPr>
        <w:t>“son”</w:t>
      </w:r>
      <w:r>
        <w:rPr>
          <w:color w:val="231F20"/>
          <w:spacing w:val="-6"/>
        </w:rPr>
        <w:t> </w:t>
      </w:r>
      <w:r>
        <w:rPr>
          <w:color w:val="231F20"/>
        </w:rPr>
        <w:t>las</w:t>
      </w:r>
      <w:r>
        <w:rPr>
          <w:color w:val="231F20"/>
          <w:spacing w:val="-6"/>
        </w:rPr>
        <w:t> </w:t>
      </w:r>
      <w:r>
        <w:rPr>
          <w:color w:val="231F20"/>
        </w:rPr>
        <w:t>ramas</w:t>
      </w:r>
      <w:r>
        <w:rPr>
          <w:color w:val="231F20"/>
          <w:spacing w:val="-6"/>
        </w:rPr>
        <w:t> </w:t>
      </w:r>
      <w:r>
        <w:rPr>
          <w:color w:val="231F20"/>
        </w:rPr>
        <w:t>económi- cas. Por ejemplo, no es lo mismo hablar de la venta exterior de zapatos que de la fabricación de zapatos. Sin embargo, es indudable que el flujo de esta exportación mantiene una relación con el proceso de</w:t>
      </w:r>
      <w:r>
        <w:rPr>
          <w:color w:val="231F20"/>
          <w:spacing w:val="-27"/>
        </w:rPr>
        <w:t> </w:t>
      </w:r>
      <w:r>
        <w:rPr>
          <w:color w:val="231F20"/>
        </w:rPr>
        <w:t>producción. Por lo anterior, no se sugiere leer nuestro ejercicio clasificatorio en tér- minos inequívocos, sino como una aproximación entre lo que sucede en dos estadios diferentes de la producción: la creación de mercancías y el intercambio o valorización de las mismas.</w:t>
      </w:r>
      <w:r>
        <w:rPr>
          <w:color w:val="231F20"/>
          <w:position w:val="7"/>
          <w:sz w:val="11"/>
        </w:rPr>
        <w:t>4</w:t>
      </w:r>
    </w:p>
    <w:p>
      <w:pPr>
        <w:pStyle w:val="BodyText"/>
        <w:spacing w:line="249" w:lineRule="auto" w:before="1"/>
        <w:ind w:left="113" w:right="107" w:firstLine="283"/>
        <w:jc w:val="both"/>
      </w:pPr>
      <w:r>
        <w:rPr>
          <w:color w:val="231F20"/>
        </w:rPr>
        <w:t>La principal fuente de información que se utilizó para calcular el vo- lumen de exportaciones e importaciones de productos fue la Comtrade (</w:t>
      </w:r>
      <w:r>
        <w:rPr>
          <w:i/>
          <w:color w:val="231F20"/>
        </w:rPr>
        <w:t>Commodity </w:t>
      </w:r>
      <w:r>
        <w:rPr>
          <w:i/>
          <w:color w:val="231F20"/>
          <w:spacing w:val="-3"/>
        </w:rPr>
        <w:t>Trade </w:t>
      </w:r>
      <w:r>
        <w:rPr>
          <w:i/>
          <w:color w:val="231F20"/>
        </w:rPr>
        <w:t>Statistics Database</w:t>
      </w:r>
      <w:r>
        <w:rPr>
          <w:color w:val="231F20"/>
        </w:rPr>
        <w:t>), la base de datos estadísticos so- bre el comercio de mercancías de Naciones Unidas. Desafortunadamen- te, dicha fuente sólo se refiere a productos, de modo que en este estudio no se incluyó al comercio y los servicios.</w:t>
      </w:r>
      <w:r>
        <w:rPr>
          <w:color w:val="231F20"/>
          <w:position w:val="7"/>
          <w:sz w:val="11"/>
        </w:rPr>
        <w:t>5  </w:t>
      </w:r>
      <w:r>
        <w:rPr>
          <w:color w:val="231F20"/>
        </w:rPr>
        <w:t>La Comtrade está integrada   a la plataforma WITS </w:t>
      </w:r>
      <w:r>
        <w:rPr>
          <w:color w:val="231F20"/>
          <w:spacing w:val="-4"/>
        </w:rPr>
        <w:t>(</w:t>
      </w:r>
      <w:r>
        <w:rPr>
          <w:i/>
          <w:color w:val="231F20"/>
          <w:spacing w:val="-4"/>
        </w:rPr>
        <w:t>World </w:t>
      </w:r>
      <w:r>
        <w:rPr>
          <w:i/>
          <w:color w:val="231F20"/>
        </w:rPr>
        <w:t>Integrated </w:t>
      </w:r>
      <w:r>
        <w:rPr>
          <w:i/>
          <w:color w:val="231F20"/>
          <w:spacing w:val="-3"/>
        </w:rPr>
        <w:t>Trade </w:t>
      </w:r>
      <w:r>
        <w:rPr>
          <w:i/>
          <w:color w:val="231F20"/>
        </w:rPr>
        <w:t>Solution</w:t>
      </w:r>
      <w:r>
        <w:rPr>
          <w:color w:val="231F20"/>
        </w:rPr>
        <w:t>), la cual brinda información sobre el comercio y los esquemas tarifarios y ha sido de- sarrollada por el Banco Mundial, algunas divisiones de Naciones Uni- das, y la Organización Mundial del Comercio (OMC). La Comtrade</w:t>
      </w:r>
      <w:r>
        <w:rPr>
          <w:color w:val="231F20"/>
          <w:spacing w:val="-30"/>
        </w:rPr>
        <w:t> </w:t>
      </w:r>
      <w:r>
        <w:rPr>
          <w:color w:val="231F20"/>
        </w:rPr>
        <w:t>está homologada de acuerdo a la clasificación del Sistema Armonizado de Descripción y Codificación de Mercancías para el año 2002 (SA) a</w:t>
      </w:r>
      <w:r>
        <w:rPr>
          <w:color w:val="231F20"/>
          <w:spacing w:val="-33"/>
        </w:rPr>
        <w:t> </w:t>
      </w:r>
      <w:r>
        <w:rPr>
          <w:color w:val="231F20"/>
        </w:rPr>
        <w:t>nivel</w:t>
      </w:r>
    </w:p>
    <w:p>
      <w:pPr>
        <w:spacing w:before="96"/>
        <w:ind w:left="113" w:right="107" w:firstLine="0"/>
        <w:jc w:val="both"/>
        <w:rPr>
          <w:sz w:val="14"/>
        </w:rPr>
      </w:pPr>
      <w:r>
        <w:rPr>
          <w:color w:val="231F20"/>
          <w:position w:val="5"/>
          <w:sz w:val="8"/>
        </w:rPr>
        <w:t>4 </w:t>
      </w:r>
      <w:r>
        <w:rPr>
          <w:color w:val="231F20"/>
          <w:sz w:val="14"/>
        </w:rPr>
        <w:t>Existen varios ejercicios de correspondencia entre los distintos niveles de información de la produc- ción, a pesar de encontrarse en diferentes fases. Por ejemplo, la publicación Clasificaciones</w:t>
      </w:r>
      <w:r>
        <w:rPr>
          <w:color w:val="231F20"/>
          <w:spacing w:val="-21"/>
          <w:sz w:val="14"/>
        </w:rPr>
        <w:t> </w:t>
      </w:r>
      <w:r>
        <w:rPr>
          <w:color w:val="231F20"/>
          <w:sz w:val="14"/>
        </w:rPr>
        <w:t>estadísticas internacionales incorporadas en el banco de datos del comercio exterior de América Latina y el Caribe de</w:t>
      </w:r>
      <w:r>
        <w:rPr>
          <w:color w:val="231F20"/>
          <w:spacing w:val="-6"/>
          <w:sz w:val="14"/>
        </w:rPr>
        <w:t> </w:t>
      </w:r>
      <w:r>
        <w:rPr>
          <w:color w:val="231F20"/>
          <w:sz w:val="14"/>
        </w:rPr>
        <w:t>la</w:t>
      </w:r>
      <w:r>
        <w:rPr>
          <w:color w:val="231F20"/>
          <w:spacing w:val="-6"/>
          <w:sz w:val="14"/>
        </w:rPr>
        <w:t> </w:t>
      </w:r>
      <w:r>
        <w:rPr>
          <w:color w:val="231F20"/>
          <w:spacing w:val="-3"/>
          <w:sz w:val="14"/>
        </w:rPr>
        <w:t>CEPAL,</w:t>
      </w:r>
      <w:r>
        <w:rPr>
          <w:color w:val="231F20"/>
          <w:spacing w:val="-6"/>
          <w:sz w:val="14"/>
        </w:rPr>
        <w:t> </w:t>
      </w:r>
      <w:r>
        <w:rPr>
          <w:color w:val="231F20"/>
          <w:sz w:val="14"/>
        </w:rPr>
        <w:t>Revisión</w:t>
      </w:r>
      <w:r>
        <w:rPr>
          <w:color w:val="231F20"/>
          <w:spacing w:val="-6"/>
          <w:sz w:val="14"/>
        </w:rPr>
        <w:t> </w:t>
      </w:r>
      <w:r>
        <w:rPr>
          <w:color w:val="231F20"/>
          <w:sz w:val="14"/>
        </w:rPr>
        <w:t>3</w:t>
      </w:r>
      <w:r>
        <w:rPr>
          <w:color w:val="231F20"/>
          <w:spacing w:val="-6"/>
          <w:sz w:val="14"/>
        </w:rPr>
        <w:t> </w:t>
      </w:r>
      <w:r>
        <w:rPr>
          <w:color w:val="231F20"/>
          <w:spacing w:val="-3"/>
          <w:sz w:val="14"/>
        </w:rPr>
        <w:t>(CEPAL,</w:t>
      </w:r>
      <w:r>
        <w:rPr>
          <w:color w:val="231F20"/>
          <w:spacing w:val="-6"/>
          <w:sz w:val="14"/>
        </w:rPr>
        <w:t> </w:t>
      </w:r>
      <w:r>
        <w:rPr>
          <w:color w:val="231F20"/>
          <w:sz w:val="14"/>
        </w:rPr>
        <w:t>2008).</w:t>
      </w:r>
      <w:r>
        <w:rPr>
          <w:color w:val="231F20"/>
          <w:spacing w:val="-6"/>
          <w:sz w:val="14"/>
        </w:rPr>
        <w:t> </w:t>
      </w:r>
      <w:r>
        <w:rPr>
          <w:color w:val="231F20"/>
          <w:sz w:val="14"/>
        </w:rPr>
        <w:t>Este</w:t>
      </w:r>
      <w:r>
        <w:rPr>
          <w:color w:val="231F20"/>
          <w:spacing w:val="-6"/>
          <w:sz w:val="14"/>
        </w:rPr>
        <w:t> </w:t>
      </w:r>
      <w:r>
        <w:rPr>
          <w:color w:val="231F20"/>
          <w:sz w:val="14"/>
        </w:rPr>
        <w:t>documento</w:t>
      </w:r>
      <w:r>
        <w:rPr>
          <w:color w:val="231F20"/>
          <w:spacing w:val="-6"/>
          <w:sz w:val="14"/>
        </w:rPr>
        <w:t> </w:t>
      </w:r>
      <w:r>
        <w:rPr>
          <w:color w:val="231F20"/>
          <w:sz w:val="14"/>
        </w:rPr>
        <w:t>contiene</w:t>
      </w:r>
      <w:r>
        <w:rPr>
          <w:color w:val="231F20"/>
          <w:spacing w:val="-6"/>
          <w:sz w:val="14"/>
        </w:rPr>
        <w:t> </w:t>
      </w:r>
      <w:r>
        <w:rPr>
          <w:color w:val="231F20"/>
          <w:sz w:val="14"/>
        </w:rPr>
        <w:t>un</w:t>
      </w:r>
      <w:r>
        <w:rPr>
          <w:color w:val="231F20"/>
          <w:spacing w:val="-6"/>
          <w:sz w:val="14"/>
        </w:rPr>
        <w:t> </w:t>
      </w:r>
      <w:r>
        <w:rPr>
          <w:color w:val="231F20"/>
          <w:sz w:val="14"/>
        </w:rPr>
        <w:t>vasto</w:t>
      </w:r>
      <w:r>
        <w:rPr>
          <w:color w:val="231F20"/>
          <w:spacing w:val="-6"/>
          <w:sz w:val="14"/>
        </w:rPr>
        <w:t> </w:t>
      </w:r>
      <w:r>
        <w:rPr>
          <w:color w:val="231F20"/>
          <w:sz w:val="14"/>
        </w:rPr>
        <w:t>ejercicio</w:t>
      </w:r>
      <w:r>
        <w:rPr>
          <w:color w:val="231F20"/>
          <w:spacing w:val="-6"/>
          <w:sz w:val="14"/>
        </w:rPr>
        <w:t> </w:t>
      </w:r>
      <w:r>
        <w:rPr>
          <w:color w:val="231F20"/>
          <w:sz w:val="14"/>
        </w:rPr>
        <w:t>de</w:t>
      </w:r>
      <w:r>
        <w:rPr>
          <w:color w:val="231F20"/>
          <w:spacing w:val="-6"/>
          <w:sz w:val="14"/>
        </w:rPr>
        <w:t> </w:t>
      </w:r>
      <w:r>
        <w:rPr>
          <w:color w:val="231F20"/>
          <w:sz w:val="14"/>
        </w:rPr>
        <w:t>compatibilidad entre</w:t>
      </w:r>
      <w:r>
        <w:rPr>
          <w:color w:val="231F20"/>
          <w:spacing w:val="-3"/>
          <w:sz w:val="14"/>
        </w:rPr>
        <w:t> </w:t>
      </w:r>
      <w:r>
        <w:rPr>
          <w:color w:val="231F20"/>
          <w:sz w:val="14"/>
        </w:rPr>
        <w:t>las</w:t>
      </w:r>
      <w:r>
        <w:rPr>
          <w:color w:val="231F20"/>
          <w:spacing w:val="-3"/>
          <w:sz w:val="14"/>
        </w:rPr>
        <w:t> </w:t>
      </w:r>
      <w:r>
        <w:rPr>
          <w:color w:val="231F20"/>
          <w:sz w:val="14"/>
        </w:rPr>
        <w:t>diversas</w:t>
      </w:r>
      <w:r>
        <w:rPr>
          <w:color w:val="231F20"/>
          <w:spacing w:val="-3"/>
          <w:sz w:val="14"/>
        </w:rPr>
        <w:t> </w:t>
      </w:r>
      <w:r>
        <w:rPr>
          <w:color w:val="231F20"/>
          <w:sz w:val="14"/>
        </w:rPr>
        <w:t>clasificaciones</w:t>
      </w:r>
      <w:r>
        <w:rPr>
          <w:color w:val="231F20"/>
          <w:spacing w:val="-3"/>
          <w:sz w:val="14"/>
        </w:rPr>
        <w:t> </w:t>
      </w:r>
      <w:r>
        <w:rPr>
          <w:color w:val="231F20"/>
          <w:sz w:val="14"/>
        </w:rPr>
        <w:t>de</w:t>
      </w:r>
      <w:r>
        <w:rPr>
          <w:color w:val="231F20"/>
          <w:spacing w:val="-3"/>
          <w:sz w:val="14"/>
        </w:rPr>
        <w:t> </w:t>
      </w:r>
      <w:r>
        <w:rPr>
          <w:color w:val="231F20"/>
          <w:sz w:val="14"/>
        </w:rPr>
        <w:t>productos</w:t>
      </w:r>
      <w:r>
        <w:rPr>
          <w:color w:val="231F20"/>
          <w:spacing w:val="-3"/>
          <w:sz w:val="14"/>
        </w:rPr>
        <w:t> </w:t>
      </w:r>
      <w:r>
        <w:rPr>
          <w:color w:val="231F20"/>
          <w:sz w:val="14"/>
        </w:rPr>
        <w:t>y</w:t>
      </w:r>
      <w:r>
        <w:rPr>
          <w:color w:val="231F20"/>
          <w:spacing w:val="-3"/>
          <w:sz w:val="14"/>
        </w:rPr>
        <w:t> </w:t>
      </w:r>
      <w:r>
        <w:rPr>
          <w:color w:val="231F20"/>
          <w:sz w:val="14"/>
        </w:rPr>
        <w:t>de</w:t>
      </w:r>
      <w:r>
        <w:rPr>
          <w:color w:val="231F20"/>
          <w:spacing w:val="-3"/>
          <w:sz w:val="14"/>
        </w:rPr>
        <w:t> </w:t>
      </w:r>
      <w:r>
        <w:rPr>
          <w:color w:val="231F20"/>
          <w:sz w:val="14"/>
        </w:rPr>
        <w:t>ramas</w:t>
      </w:r>
      <w:r>
        <w:rPr>
          <w:color w:val="231F20"/>
          <w:spacing w:val="-3"/>
          <w:sz w:val="14"/>
        </w:rPr>
        <w:t> </w:t>
      </w:r>
      <w:r>
        <w:rPr>
          <w:color w:val="231F20"/>
          <w:sz w:val="14"/>
        </w:rPr>
        <w:t>de</w:t>
      </w:r>
      <w:r>
        <w:rPr>
          <w:color w:val="231F20"/>
          <w:spacing w:val="-3"/>
          <w:sz w:val="14"/>
        </w:rPr>
        <w:t> </w:t>
      </w:r>
      <w:r>
        <w:rPr>
          <w:color w:val="231F20"/>
          <w:sz w:val="14"/>
        </w:rPr>
        <w:t>actividad</w:t>
      </w:r>
      <w:r>
        <w:rPr>
          <w:color w:val="231F20"/>
          <w:spacing w:val="-3"/>
          <w:sz w:val="14"/>
        </w:rPr>
        <w:t> </w:t>
      </w:r>
      <w:r>
        <w:rPr>
          <w:color w:val="231F20"/>
          <w:sz w:val="14"/>
        </w:rPr>
        <w:t>económica.</w:t>
      </w:r>
      <w:r>
        <w:rPr>
          <w:color w:val="231F20"/>
          <w:spacing w:val="-10"/>
          <w:sz w:val="14"/>
        </w:rPr>
        <w:t> </w:t>
      </w:r>
      <w:r>
        <w:rPr>
          <w:color w:val="231F20"/>
          <w:sz w:val="14"/>
        </w:rPr>
        <w:t>Asimismo,</w:t>
      </w:r>
      <w:r>
        <w:rPr>
          <w:color w:val="231F20"/>
          <w:spacing w:val="-3"/>
          <w:sz w:val="14"/>
        </w:rPr>
        <w:t> </w:t>
      </w:r>
      <w:r>
        <w:rPr>
          <w:color w:val="231F20"/>
          <w:sz w:val="14"/>
        </w:rPr>
        <w:t>Naciones Unidas también provee una amplia documentación sobre tablas de correspondencia para poder analizar la información a diferentes niveles del proceso de producción. Del mismo modo, en la COMTRADE, especialmente por medio de la herramienta de consulta </w:t>
      </w:r>
      <w:r>
        <w:rPr>
          <w:color w:val="231F20"/>
          <w:spacing w:val="-3"/>
          <w:sz w:val="14"/>
        </w:rPr>
        <w:t>(</w:t>
      </w:r>
      <w:r>
        <w:rPr>
          <w:i/>
          <w:color w:val="231F20"/>
          <w:spacing w:val="-3"/>
          <w:sz w:val="14"/>
        </w:rPr>
        <w:t>World </w:t>
      </w:r>
      <w:r>
        <w:rPr>
          <w:i/>
          <w:color w:val="231F20"/>
          <w:sz w:val="14"/>
        </w:rPr>
        <w:t>Integrated </w:t>
      </w:r>
      <w:r>
        <w:rPr>
          <w:i/>
          <w:color w:val="231F20"/>
          <w:spacing w:val="-3"/>
          <w:sz w:val="14"/>
        </w:rPr>
        <w:t>Trade </w:t>
      </w:r>
      <w:r>
        <w:rPr>
          <w:i/>
          <w:color w:val="231F20"/>
          <w:sz w:val="14"/>
        </w:rPr>
        <w:t>Solution</w:t>
      </w:r>
      <w:r>
        <w:rPr>
          <w:color w:val="231F20"/>
          <w:sz w:val="14"/>
        </w:rPr>
        <w:t>, WITS), ofre- ce una serie de catálogos de productos y de actividades económicas desde la cual se puede analizar la información del intercambio de bienes y servicios. Estos ejercicios proveyeron importantes insumos para nuestra</w:t>
      </w:r>
      <w:r>
        <w:rPr>
          <w:color w:val="231F20"/>
          <w:spacing w:val="-8"/>
          <w:sz w:val="14"/>
        </w:rPr>
        <w:t> </w:t>
      </w:r>
      <w:r>
        <w:rPr>
          <w:color w:val="231F20"/>
          <w:sz w:val="14"/>
        </w:rPr>
        <w:t>clasificación.</w:t>
      </w:r>
    </w:p>
    <w:p>
      <w:pPr>
        <w:spacing w:before="0"/>
        <w:ind w:left="113" w:right="108" w:firstLine="0"/>
        <w:jc w:val="both"/>
        <w:rPr>
          <w:sz w:val="14"/>
        </w:rPr>
      </w:pPr>
      <w:r>
        <w:rPr>
          <w:color w:val="231F20"/>
          <w:position w:val="5"/>
          <w:sz w:val="8"/>
        </w:rPr>
        <w:t>5 </w:t>
      </w:r>
      <w:r>
        <w:rPr>
          <w:color w:val="231F20"/>
          <w:sz w:val="14"/>
        </w:rPr>
        <w:t>La información sobre el intercambio comercial referente a los servicios la proporciona Servicetrade, también desarrollada por el Banco Mundial, algunas divisiones de Naciones Unidas, y la Organización Mundial del Comercio (OMC), pero no es parte del WITS. Asimismo, indicadores del intercambio de servicios se pueden obtener por medio de las herramientas desarrolladas por el Intracen (International Trade Center) (véase, Escoto, 2014).</w:t>
      </w:r>
    </w:p>
    <w:p>
      <w:pPr>
        <w:spacing w:after="0"/>
        <w:jc w:val="both"/>
        <w:rPr>
          <w:sz w:val="14"/>
        </w:rPr>
        <w:sectPr>
          <w:footerReference w:type="default" r:id="rId100"/>
          <w:pgSz w:w="7770" w:h="11740"/>
          <w:pgMar w:footer="474" w:header="0" w:top="840" w:bottom="660" w:left="1020" w:right="740"/>
          <w:pgNumType w:start="91"/>
        </w:sectPr>
      </w:pPr>
    </w:p>
    <w:p>
      <w:pPr>
        <w:pStyle w:val="BodyText"/>
        <w:spacing w:before="60"/>
        <w:ind w:left="110" w:right="792"/>
      </w:pPr>
      <w:r>
        <w:rPr>
          <w:color w:val="231F20"/>
        </w:rPr>
        <w:t>internacional, el cual ha sido adoptado por más de 177 países.</w:t>
      </w:r>
    </w:p>
    <w:p>
      <w:pPr>
        <w:pStyle w:val="BodyText"/>
        <w:spacing w:line="249" w:lineRule="auto" w:before="10"/>
        <w:ind w:left="110" w:right="110" w:firstLine="283"/>
        <w:jc w:val="right"/>
      </w:pPr>
      <w:r>
        <w:rPr>
          <w:color w:val="231F20"/>
        </w:rPr>
        <w:t>En su versión más detallada el SA versión de 2002 (de</w:t>
      </w:r>
      <w:r>
        <w:rPr>
          <w:color w:val="231F20"/>
          <w:spacing w:val="3"/>
        </w:rPr>
        <w:t> </w:t>
      </w:r>
      <w:r>
        <w:rPr>
          <w:color w:val="231F20"/>
        </w:rPr>
        <w:t>seis</w:t>
      </w:r>
      <w:r>
        <w:rPr>
          <w:color w:val="231F20"/>
          <w:spacing w:val="10"/>
        </w:rPr>
        <w:t> </w:t>
      </w:r>
      <w:r>
        <w:rPr>
          <w:color w:val="231F20"/>
        </w:rPr>
        <w:t>dígitos) alberga</w:t>
      </w:r>
      <w:r>
        <w:rPr>
          <w:color w:val="231F20"/>
          <w:spacing w:val="-7"/>
        </w:rPr>
        <w:t> </w:t>
      </w:r>
      <w:r>
        <w:rPr>
          <w:color w:val="231F20"/>
        </w:rPr>
        <w:t>a</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cinco</w:t>
      </w:r>
      <w:r>
        <w:rPr>
          <w:color w:val="231F20"/>
          <w:spacing w:val="-7"/>
        </w:rPr>
        <w:t> </w:t>
      </w:r>
      <w:r>
        <w:rPr>
          <w:color w:val="231F20"/>
        </w:rPr>
        <w:t>mil</w:t>
      </w:r>
      <w:r>
        <w:rPr>
          <w:color w:val="231F20"/>
          <w:spacing w:val="-7"/>
        </w:rPr>
        <w:t> </w:t>
      </w:r>
      <w:r>
        <w:rPr>
          <w:color w:val="231F20"/>
        </w:rPr>
        <w:t>productos,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corresponde</w:t>
      </w:r>
      <w:r>
        <w:rPr>
          <w:color w:val="231F20"/>
          <w:spacing w:val="-7"/>
        </w:rPr>
        <w:t> </w:t>
      </w:r>
      <w:r>
        <w:rPr>
          <w:color w:val="231F20"/>
        </w:rPr>
        <w:t>a</w:t>
      </w:r>
      <w:r>
        <w:rPr>
          <w:color w:val="231F20"/>
          <w:spacing w:val="-7"/>
        </w:rPr>
        <w:t> </w:t>
      </w:r>
      <w:r>
        <w:rPr>
          <w:color w:val="231F20"/>
        </w:rPr>
        <w:t>145</w:t>
      </w:r>
      <w:r>
        <w:rPr>
          <w:color w:val="231F20"/>
          <w:spacing w:val="-7"/>
        </w:rPr>
        <w:t> </w:t>
      </w:r>
      <w:r>
        <w:rPr>
          <w:color w:val="231F20"/>
        </w:rPr>
        <w:t>ramas</w:t>
      </w:r>
      <w:r>
        <w:rPr>
          <w:color w:val="231F20"/>
          <w:spacing w:val="-7"/>
        </w:rPr>
        <w:t> </w:t>
      </w:r>
      <w:r>
        <w:rPr>
          <w:color w:val="231F20"/>
        </w:rPr>
        <w:t>de actividad</w:t>
      </w:r>
      <w:r>
        <w:rPr>
          <w:color w:val="231F20"/>
          <w:spacing w:val="-5"/>
        </w:rPr>
        <w:t> </w:t>
      </w:r>
      <w:r>
        <w:rPr>
          <w:color w:val="231F20"/>
        </w:rPr>
        <w:t>(a</w:t>
      </w:r>
      <w:r>
        <w:rPr>
          <w:color w:val="231F20"/>
          <w:spacing w:val="-5"/>
        </w:rPr>
        <w:t> </w:t>
      </w:r>
      <w:r>
        <w:rPr>
          <w:color w:val="231F20"/>
        </w:rPr>
        <w:t>cuatro</w:t>
      </w:r>
      <w:r>
        <w:rPr>
          <w:color w:val="231F20"/>
          <w:spacing w:val="-5"/>
        </w:rPr>
        <w:t> </w:t>
      </w:r>
      <w:r>
        <w:rPr>
          <w:color w:val="231F20"/>
        </w:rPr>
        <w:t>dígitos)</w:t>
      </w:r>
      <w:r>
        <w:rPr>
          <w:color w:val="231F20"/>
          <w:spacing w:val="-5"/>
        </w:rPr>
        <w:t> </w:t>
      </w:r>
      <w:r>
        <w:rPr>
          <w:color w:val="231F20"/>
        </w:rPr>
        <w:t>de</w:t>
      </w:r>
      <w:r>
        <w:rPr>
          <w:color w:val="231F20"/>
          <w:spacing w:val="-5"/>
        </w:rPr>
        <w:t> </w:t>
      </w:r>
      <w:r>
        <w:rPr>
          <w:color w:val="231F20"/>
        </w:rPr>
        <w:t>acuerdo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Clasificación</w:t>
      </w:r>
      <w:r>
        <w:rPr>
          <w:color w:val="231F20"/>
          <w:spacing w:val="-5"/>
        </w:rPr>
        <w:t> </w:t>
      </w:r>
      <w:r>
        <w:rPr>
          <w:color w:val="231F20"/>
        </w:rPr>
        <w:t>Industrial</w:t>
      </w:r>
      <w:r>
        <w:rPr>
          <w:color w:val="231F20"/>
          <w:spacing w:val="-5"/>
        </w:rPr>
        <w:t> </w:t>
      </w:r>
      <w:r>
        <w:rPr>
          <w:color w:val="231F20"/>
        </w:rPr>
        <w:t>Inter- nacional Uniforme (CIIU) revisión 3, y a 44 ramas (a cuatro</w:t>
      </w:r>
      <w:r>
        <w:rPr>
          <w:color w:val="231F20"/>
          <w:spacing w:val="1"/>
        </w:rPr>
        <w:t> </w:t>
      </w:r>
      <w:r>
        <w:rPr>
          <w:color w:val="231F20"/>
        </w:rPr>
        <w:t>dígitos) del Sistema de Clasificación Industrial de América del Norte</w:t>
      </w:r>
      <w:r>
        <w:rPr>
          <w:color w:val="231F20"/>
          <w:spacing w:val="48"/>
        </w:rPr>
        <w:t> </w:t>
      </w:r>
      <w:r>
        <w:rPr>
          <w:color w:val="231F20"/>
        </w:rPr>
        <w:t>(SCIAN)</w:t>
      </w:r>
      <w:r>
        <w:rPr>
          <w:color w:val="231F20"/>
          <w:spacing w:val="7"/>
        </w:rPr>
        <w:t> </w:t>
      </w:r>
      <w:r>
        <w:rPr>
          <w:color w:val="231F20"/>
        </w:rPr>
        <w:t>ver- sión 2009. Este último es el catálogo que utiliza México</w:t>
      </w:r>
      <w:r>
        <w:rPr>
          <w:color w:val="231F20"/>
          <w:spacing w:val="22"/>
        </w:rPr>
        <w:t> </w:t>
      </w:r>
      <w:r>
        <w:rPr>
          <w:color w:val="231F20"/>
        </w:rPr>
        <w:t>actualmente</w:t>
      </w:r>
      <w:r>
        <w:rPr>
          <w:color w:val="231F20"/>
          <w:spacing w:val="2"/>
        </w:rPr>
        <w:t> </w:t>
      </w:r>
      <w:r>
        <w:rPr>
          <w:color w:val="231F20"/>
        </w:rPr>
        <w:t>en sus encuestas de empleo y otras estadísticas económicas. El</w:t>
      </w:r>
      <w:r>
        <w:rPr>
          <w:color w:val="231F20"/>
          <w:spacing w:val="-6"/>
        </w:rPr>
        <w:t> </w:t>
      </w:r>
      <w:r>
        <w:rPr>
          <w:color w:val="231F20"/>
        </w:rPr>
        <w:t>objetivo</w:t>
      </w:r>
      <w:r>
        <w:rPr>
          <w:color w:val="231F20"/>
          <w:spacing w:val="-1"/>
        </w:rPr>
        <w:t> </w:t>
      </w:r>
      <w:r>
        <w:rPr>
          <w:color w:val="231F20"/>
        </w:rPr>
        <w:t>fue entonces efectuar la correspondencia entre SA versión 2002</w:t>
      </w:r>
      <w:r>
        <w:rPr>
          <w:color w:val="231F20"/>
          <w:spacing w:val="6"/>
        </w:rPr>
        <w:t> </w:t>
      </w:r>
      <w:r>
        <w:rPr>
          <w:color w:val="231F20"/>
        </w:rPr>
        <w:t>y</w:t>
      </w:r>
      <w:r>
        <w:rPr>
          <w:color w:val="231F20"/>
          <w:spacing w:val="21"/>
        </w:rPr>
        <w:t> </w:t>
      </w:r>
      <w:r>
        <w:rPr>
          <w:color w:val="231F20"/>
        </w:rPr>
        <w:t>SCIAN</w:t>
      </w:r>
      <w:r>
        <w:rPr>
          <w:color w:val="231F20"/>
          <w:spacing w:val="-1"/>
        </w:rPr>
        <w:t> </w:t>
      </w:r>
      <w:r>
        <w:rPr>
          <w:color w:val="231F20"/>
        </w:rPr>
        <w:t>versión</w:t>
      </w:r>
      <w:r>
        <w:rPr>
          <w:color w:val="231F20"/>
          <w:spacing w:val="-9"/>
        </w:rPr>
        <w:t> </w:t>
      </w:r>
      <w:r>
        <w:rPr>
          <w:color w:val="231F20"/>
        </w:rPr>
        <w:t>2009,</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a</w:t>
      </w:r>
      <w:r>
        <w:rPr>
          <w:color w:val="231F20"/>
          <w:spacing w:val="-9"/>
        </w:rPr>
        <w:t> </w:t>
      </w:r>
      <w:r>
        <w:rPr>
          <w:color w:val="231F20"/>
        </w:rPr>
        <w:t>veces</w:t>
      </w:r>
      <w:r>
        <w:rPr>
          <w:color w:val="231F20"/>
          <w:spacing w:val="-9"/>
        </w:rPr>
        <w:t> </w:t>
      </w:r>
      <w:r>
        <w:rPr>
          <w:color w:val="231F20"/>
        </w:rPr>
        <w:t>se</w:t>
      </w:r>
      <w:r>
        <w:rPr>
          <w:color w:val="231F20"/>
          <w:spacing w:val="-9"/>
        </w:rPr>
        <w:t> </w:t>
      </w:r>
      <w:r>
        <w:rPr>
          <w:color w:val="231F20"/>
        </w:rPr>
        <w:t>pudo</w:t>
      </w:r>
      <w:r>
        <w:rPr>
          <w:color w:val="231F20"/>
          <w:spacing w:val="-9"/>
        </w:rPr>
        <w:t> </w:t>
      </w:r>
      <w:r>
        <w:rPr>
          <w:color w:val="231F20"/>
        </w:rPr>
        <w:t>hacer</w:t>
      </w:r>
      <w:r>
        <w:rPr>
          <w:color w:val="231F20"/>
          <w:spacing w:val="-9"/>
        </w:rPr>
        <w:t> </w:t>
      </w:r>
      <w:r>
        <w:rPr>
          <w:color w:val="231F20"/>
        </w:rPr>
        <w:t>por</w:t>
      </w:r>
      <w:r>
        <w:rPr>
          <w:color w:val="231F20"/>
          <w:spacing w:val="-9"/>
        </w:rPr>
        <w:t> </w:t>
      </w:r>
      <w:r>
        <w:rPr>
          <w:color w:val="231F20"/>
        </w:rPr>
        <w:t>medio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CIIU,</w:t>
      </w:r>
      <w:r>
        <w:rPr>
          <w:color w:val="231F20"/>
          <w:spacing w:val="-9"/>
        </w:rPr>
        <w:t> </w:t>
      </w:r>
      <w:r>
        <w:rPr>
          <w:color w:val="231F20"/>
        </w:rPr>
        <w:t>pues</w:t>
      </w:r>
      <w:r>
        <w:rPr>
          <w:color w:val="231F20"/>
          <w:spacing w:val="-9"/>
        </w:rPr>
        <w:t> </w:t>
      </w:r>
      <w:r>
        <w:rPr>
          <w:color w:val="231F20"/>
        </w:rPr>
        <w:t>se</w:t>
      </w:r>
      <w:r>
        <w:rPr>
          <w:color w:val="231F20"/>
          <w:spacing w:val="-1"/>
        </w:rPr>
        <w:t> </w:t>
      </w:r>
      <w:r>
        <w:rPr>
          <w:color w:val="231F20"/>
        </w:rPr>
        <w:t>utilizaron las tablas de correspondencia de Naciones Unidas</w:t>
      </w:r>
      <w:r>
        <w:rPr>
          <w:color w:val="231F20"/>
          <w:spacing w:val="-34"/>
        </w:rPr>
        <w:t> </w:t>
      </w:r>
      <w:r>
        <w:rPr>
          <w:color w:val="231F20"/>
        </w:rPr>
        <w:t>que</w:t>
      </w:r>
      <w:r>
        <w:rPr>
          <w:color w:val="231F20"/>
          <w:spacing w:val="-5"/>
        </w:rPr>
        <w:t> </w:t>
      </w:r>
      <w:r>
        <w:rPr>
          <w:color w:val="231F20"/>
        </w:rPr>
        <w:t>enlazan el</w:t>
      </w:r>
      <w:r>
        <w:rPr>
          <w:color w:val="231F20"/>
          <w:spacing w:val="14"/>
        </w:rPr>
        <w:t> </w:t>
      </w:r>
      <w:r>
        <w:rPr>
          <w:color w:val="231F20"/>
        </w:rPr>
        <w:t>SA</w:t>
      </w:r>
      <w:r>
        <w:rPr>
          <w:color w:val="231F20"/>
          <w:spacing w:val="3"/>
        </w:rPr>
        <w:t> </w:t>
      </w:r>
      <w:r>
        <w:rPr>
          <w:color w:val="231F20"/>
        </w:rPr>
        <w:t>con</w:t>
      </w:r>
      <w:r>
        <w:rPr>
          <w:color w:val="231F20"/>
          <w:spacing w:val="14"/>
        </w:rPr>
        <w:t> </w:t>
      </w:r>
      <w:r>
        <w:rPr>
          <w:color w:val="231F20"/>
        </w:rPr>
        <w:t>la</w:t>
      </w:r>
      <w:r>
        <w:rPr>
          <w:color w:val="231F20"/>
          <w:spacing w:val="14"/>
        </w:rPr>
        <w:t> </w:t>
      </w:r>
      <w:r>
        <w:rPr>
          <w:color w:val="231F20"/>
        </w:rPr>
        <w:t>CIIU</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revisión</w:t>
      </w:r>
      <w:r>
        <w:rPr>
          <w:color w:val="231F20"/>
          <w:spacing w:val="14"/>
        </w:rPr>
        <w:t> </w:t>
      </w:r>
      <w:r>
        <w:rPr>
          <w:color w:val="231F20"/>
        </w:rPr>
        <w:t>3,</w:t>
      </w:r>
      <w:r>
        <w:rPr>
          <w:color w:val="231F20"/>
          <w:spacing w:val="14"/>
        </w:rPr>
        <w:t> </w:t>
      </w:r>
      <w:r>
        <w:rPr>
          <w:color w:val="231F20"/>
        </w:rPr>
        <w:t>para</w:t>
      </w:r>
      <w:r>
        <w:rPr>
          <w:color w:val="231F20"/>
          <w:spacing w:val="14"/>
        </w:rPr>
        <w:t> </w:t>
      </w:r>
      <w:r>
        <w:rPr>
          <w:color w:val="231F20"/>
        </w:rPr>
        <w:t>luego</w:t>
      </w:r>
      <w:r>
        <w:rPr>
          <w:color w:val="231F20"/>
          <w:spacing w:val="13"/>
        </w:rPr>
        <w:t> </w:t>
      </w:r>
      <w:r>
        <w:rPr>
          <w:color w:val="231F20"/>
        </w:rPr>
        <w:t>aproximarlas</w:t>
      </w:r>
      <w:r>
        <w:rPr>
          <w:color w:val="231F20"/>
          <w:spacing w:val="13"/>
        </w:rPr>
        <w:t> </w:t>
      </w:r>
      <w:r>
        <w:rPr>
          <w:color w:val="231F20"/>
        </w:rPr>
        <w:t>a</w:t>
      </w:r>
      <w:r>
        <w:rPr>
          <w:color w:val="231F20"/>
          <w:spacing w:val="14"/>
        </w:rPr>
        <w:t> </w:t>
      </w:r>
      <w:r>
        <w:rPr>
          <w:color w:val="231F20"/>
        </w:rPr>
        <w:t>la</w:t>
      </w:r>
      <w:r>
        <w:rPr>
          <w:color w:val="231F20"/>
          <w:spacing w:val="14"/>
        </w:rPr>
        <w:t> </w:t>
      </w:r>
      <w:r>
        <w:rPr>
          <w:color w:val="231F20"/>
        </w:rPr>
        <w:t>CIIU revisión 4 que mantiene correspondencias más cercanas con</w:t>
      </w:r>
      <w:r>
        <w:rPr>
          <w:color w:val="231F20"/>
          <w:spacing w:val="13"/>
        </w:rPr>
        <w:t> </w:t>
      </w:r>
      <w:r>
        <w:rPr>
          <w:color w:val="231F20"/>
        </w:rPr>
        <w:t>la</w:t>
      </w:r>
      <w:r>
        <w:rPr>
          <w:color w:val="231F20"/>
          <w:spacing w:val="8"/>
        </w:rPr>
        <w:t> </w:t>
      </w:r>
      <w:r>
        <w:rPr>
          <w:color w:val="231F20"/>
        </w:rPr>
        <w:t>SCIAN,</w:t>
      </w:r>
      <w:r>
        <w:rPr>
          <w:color w:val="231F20"/>
          <w:spacing w:val="-1"/>
        </w:rPr>
        <w:t> </w:t>
      </w:r>
      <w:r>
        <w:rPr>
          <w:color w:val="231F20"/>
        </w:rPr>
        <w:t>tal como lo publica INEGI. Una vez establecida</w:t>
      </w:r>
      <w:r>
        <w:rPr>
          <w:color w:val="231F20"/>
          <w:spacing w:val="45"/>
        </w:rPr>
        <w:t> </w:t>
      </w:r>
      <w:r>
        <w:rPr>
          <w:color w:val="231F20"/>
        </w:rPr>
        <w:t>dicha</w:t>
      </w:r>
      <w:r>
        <w:rPr>
          <w:color w:val="231F20"/>
          <w:spacing w:val="5"/>
        </w:rPr>
        <w:t> </w:t>
      </w:r>
      <w:r>
        <w:rPr>
          <w:color w:val="231F20"/>
        </w:rPr>
        <w:t>correspondencia, se calculó el promedio del volumen de exportaciones e</w:t>
      </w:r>
      <w:r>
        <w:rPr>
          <w:color w:val="231F20"/>
          <w:spacing w:val="-31"/>
        </w:rPr>
        <w:t> </w:t>
      </w:r>
      <w:r>
        <w:rPr>
          <w:color w:val="231F20"/>
        </w:rPr>
        <w:t>importaciones</w:t>
      </w:r>
      <w:r>
        <w:rPr>
          <w:color w:val="231F20"/>
          <w:spacing w:val="-4"/>
        </w:rPr>
        <w:t> </w:t>
      </w:r>
      <w:r>
        <w:rPr>
          <w:color w:val="231F20"/>
        </w:rPr>
        <w:t>en cada rama de actividad para el periodo 2002-2012, así como el</w:t>
      </w:r>
      <w:r>
        <w:rPr>
          <w:color w:val="231F20"/>
          <w:spacing w:val="26"/>
        </w:rPr>
        <w:t> </w:t>
      </w:r>
      <w:r>
        <w:rPr>
          <w:color w:val="231F20"/>
        </w:rPr>
        <w:t>resto</w:t>
      </w:r>
      <w:r>
        <w:rPr>
          <w:color w:val="231F20"/>
          <w:spacing w:val="7"/>
        </w:rPr>
        <w:t> </w:t>
      </w:r>
      <w:r>
        <w:rPr>
          <w:color w:val="231F20"/>
        </w:rPr>
        <w:t>de información necesaria para la subclasificación que se detalla</w:t>
      </w:r>
      <w:r>
        <w:rPr>
          <w:color w:val="231F20"/>
          <w:spacing w:val="-9"/>
        </w:rPr>
        <w:t> </w:t>
      </w:r>
      <w:r>
        <w:rPr>
          <w:color w:val="231F20"/>
        </w:rPr>
        <w:t>más</w:t>
      </w:r>
      <w:r>
        <w:rPr>
          <w:color w:val="231F20"/>
          <w:spacing w:val="-2"/>
        </w:rPr>
        <w:t> </w:t>
      </w:r>
      <w:r>
        <w:rPr>
          <w:color w:val="231F20"/>
        </w:rPr>
        <w:t>abajo.</w:t>
      </w:r>
      <w:r>
        <w:rPr>
          <w:color w:val="231F20"/>
          <w:w w:val="100"/>
        </w:rPr>
        <w:t> </w:t>
      </w:r>
      <w:r>
        <w:rPr>
          <w:color w:val="231F20"/>
        </w:rPr>
        <w:t>En</w:t>
      </w:r>
      <w:r>
        <w:rPr>
          <w:color w:val="231F20"/>
          <w:spacing w:val="-8"/>
        </w:rPr>
        <w:t> </w:t>
      </w:r>
      <w:r>
        <w:rPr>
          <w:color w:val="231F20"/>
        </w:rPr>
        <w:t>lo</w:t>
      </w:r>
      <w:r>
        <w:rPr>
          <w:color w:val="231F20"/>
          <w:spacing w:val="-8"/>
        </w:rPr>
        <w:t> </w:t>
      </w:r>
      <w:r>
        <w:rPr>
          <w:color w:val="231F20"/>
        </w:rPr>
        <w:t>que</w:t>
      </w:r>
      <w:r>
        <w:rPr>
          <w:color w:val="231F20"/>
          <w:spacing w:val="-7"/>
        </w:rPr>
        <w:t> </w:t>
      </w:r>
      <w:r>
        <w:rPr>
          <w:color w:val="231F20"/>
        </w:rPr>
        <w:t>respecta</w:t>
      </w:r>
      <w:r>
        <w:rPr>
          <w:color w:val="231F20"/>
          <w:spacing w:val="-7"/>
        </w:rPr>
        <w:t> </w:t>
      </w:r>
      <w:r>
        <w:rPr>
          <w:color w:val="231F20"/>
        </w:rPr>
        <w:t>a</w:t>
      </w:r>
      <w:r>
        <w:rPr>
          <w:color w:val="231F20"/>
          <w:spacing w:val="-7"/>
        </w:rPr>
        <w:t> </w:t>
      </w:r>
      <w:r>
        <w:rPr>
          <w:color w:val="231F20"/>
        </w:rPr>
        <w:t>las</w:t>
      </w:r>
      <w:r>
        <w:rPr>
          <w:color w:val="231F20"/>
          <w:spacing w:val="-8"/>
        </w:rPr>
        <w:t> </w:t>
      </w:r>
      <w:r>
        <w:rPr>
          <w:color w:val="231F20"/>
        </w:rPr>
        <w:t>estadísticas</w:t>
      </w:r>
      <w:r>
        <w:rPr>
          <w:color w:val="231F20"/>
          <w:spacing w:val="-8"/>
        </w:rPr>
        <w:t> </w:t>
      </w:r>
      <w:r>
        <w:rPr>
          <w:color w:val="231F20"/>
        </w:rPr>
        <w:t>sobre</w:t>
      </w:r>
      <w:r>
        <w:rPr>
          <w:color w:val="231F20"/>
          <w:spacing w:val="-7"/>
        </w:rPr>
        <w:t> </w:t>
      </w:r>
      <w:r>
        <w:rPr>
          <w:color w:val="231F20"/>
        </w:rPr>
        <w:t>mercados</w:t>
      </w:r>
      <w:r>
        <w:rPr>
          <w:color w:val="231F20"/>
          <w:spacing w:val="-8"/>
        </w:rPr>
        <w:t> </w:t>
      </w:r>
      <w:r>
        <w:rPr>
          <w:color w:val="231F20"/>
        </w:rPr>
        <w:t>de</w:t>
      </w:r>
      <w:r>
        <w:rPr>
          <w:color w:val="231F20"/>
          <w:spacing w:val="-7"/>
        </w:rPr>
        <w:t> </w:t>
      </w:r>
      <w:r>
        <w:rPr>
          <w:color w:val="231F20"/>
        </w:rPr>
        <w:t>trabajo,</w:t>
      </w:r>
      <w:r>
        <w:rPr>
          <w:color w:val="231F20"/>
          <w:spacing w:val="-8"/>
        </w:rPr>
        <w:t> </w:t>
      </w:r>
      <w:r>
        <w:rPr>
          <w:color w:val="231F20"/>
        </w:rPr>
        <w:t>es</w:t>
      </w:r>
      <w:r>
        <w:rPr>
          <w:color w:val="231F20"/>
          <w:spacing w:val="-8"/>
        </w:rPr>
        <w:t> </w:t>
      </w:r>
      <w:r>
        <w:rPr>
          <w:color w:val="231F20"/>
        </w:rPr>
        <w:t>útil recordar</w:t>
      </w:r>
      <w:r>
        <w:rPr>
          <w:color w:val="231F20"/>
          <w:spacing w:val="-5"/>
        </w:rPr>
        <w:t> </w:t>
      </w:r>
      <w:r>
        <w:rPr>
          <w:color w:val="231F20"/>
        </w:rPr>
        <w:t>que</w:t>
      </w:r>
      <w:r>
        <w:rPr>
          <w:color w:val="231F20"/>
          <w:spacing w:val="-5"/>
        </w:rPr>
        <w:t> </w:t>
      </w:r>
      <w:r>
        <w:rPr>
          <w:color w:val="231F20"/>
        </w:rPr>
        <w:t>al</w:t>
      </w:r>
      <w:r>
        <w:rPr>
          <w:color w:val="231F20"/>
          <w:spacing w:val="-5"/>
        </w:rPr>
        <w:t> </w:t>
      </w:r>
      <w:r>
        <w:rPr>
          <w:color w:val="231F20"/>
        </w:rPr>
        <w:t>considerar</w:t>
      </w:r>
      <w:r>
        <w:rPr>
          <w:color w:val="231F20"/>
          <w:spacing w:val="-6"/>
        </w:rPr>
        <w:t> </w:t>
      </w:r>
      <w:r>
        <w:rPr>
          <w:color w:val="231F20"/>
        </w:rPr>
        <w:t>la</w:t>
      </w:r>
      <w:r>
        <w:rPr>
          <w:color w:val="231F20"/>
          <w:spacing w:val="-5"/>
        </w:rPr>
        <w:t> </w:t>
      </w:r>
      <w:r>
        <w:rPr>
          <w:color w:val="231F20"/>
        </w:rPr>
        <w:t>fuerza</w:t>
      </w:r>
      <w:r>
        <w:rPr>
          <w:color w:val="231F20"/>
          <w:spacing w:val="-5"/>
        </w:rPr>
        <w:t> </w:t>
      </w:r>
      <w:r>
        <w:rPr>
          <w:color w:val="231F20"/>
        </w:rPr>
        <w:t>de</w:t>
      </w:r>
      <w:r>
        <w:rPr>
          <w:color w:val="231F20"/>
          <w:spacing w:val="-5"/>
        </w:rPr>
        <w:t> </w:t>
      </w:r>
      <w:r>
        <w:rPr>
          <w:color w:val="231F20"/>
        </w:rPr>
        <w:t>trabajo</w:t>
      </w:r>
      <w:r>
        <w:rPr>
          <w:color w:val="231F20"/>
          <w:spacing w:val="-6"/>
        </w:rPr>
        <w:t> </w:t>
      </w:r>
      <w:r>
        <w:rPr>
          <w:color w:val="231F20"/>
        </w:rPr>
        <w:t>como</w:t>
      </w:r>
      <w:r>
        <w:rPr>
          <w:color w:val="231F20"/>
          <w:spacing w:val="-6"/>
        </w:rPr>
        <w:t> </w:t>
      </w:r>
      <w:r>
        <w:rPr>
          <w:color w:val="231F20"/>
        </w:rPr>
        <w:t>un</w:t>
      </w:r>
      <w:r>
        <w:rPr>
          <w:color w:val="231F20"/>
          <w:spacing w:val="-5"/>
        </w:rPr>
        <w:t> </w:t>
      </w:r>
      <w:r>
        <w:rPr>
          <w:color w:val="231F20"/>
        </w:rPr>
        <w:t>factor</w:t>
      </w:r>
      <w:r>
        <w:rPr>
          <w:color w:val="231F20"/>
          <w:spacing w:val="-5"/>
        </w:rPr>
        <w:t> </w:t>
      </w:r>
      <w:r>
        <w:rPr>
          <w:color w:val="231F20"/>
        </w:rPr>
        <w:t>de</w:t>
      </w:r>
      <w:r>
        <w:rPr>
          <w:color w:val="231F20"/>
          <w:spacing w:val="-5"/>
        </w:rPr>
        <w:t> </w:t>
      </w:r>
      <w:r>
        <w:rPr>
          <w:color w:val="231F20"/>
        </w:rPr>
        <w:t>produc- ción, se establece una relación con el proceso productivo</w:t>
      </w:r>
      <w:r>
        <w:rPr>
          <w:color w:val="231F20"/>
          <w:spacing w:val="6"/>
        </w:rPr>
        <w:t> </w:t>
      </w:r>
      <w:r>
        <w:rPr>
          <w:color w:val="231F20"/>
        </w:rPr>
        <w:t>de elaboración de bienes y servicios, y por ello se registra y se clasifica dentro</w:t>
      </w:r>
      <w:r>
        <w:rPr>
          <w:color w:val="231F20"/>
          <w:spacing w:val="46"/>
        </w:rPr>
        <w:t> </w:t>
      </w:r>
      <w:r>
        <w:rPr>
          <w:color w:val="231F20"/>
        </w:rPr>
        <w:t>de</w:t>
      </w:r>
      <w:r>
        <w:rPr>
          <w:color w:val="231F20"/>
          <w:spacing w:val="11"/>
        </w:rPr>
        <w:t> </w:t>
      </w:r>
      <w:r>
        <w:rPr>
          <w:color w:val="231F20"/>
        </w:rPr>
        <w:t>una</w:t>
      </w:r>
      <w:r>
        <w:rPr>
          <w:color w:val="231F20"/>
          <w:w w:val="100"/>
        </w:rPr>
        <w:t> </w:t>
      </w:r>
      <w:r>
        <w:rPr>
          <w:color w:val="231F20"/>
        </w:rPr>
        <w:t>“rama</w:t>
      </w:r>
      <w:r>
        <w:rPr>
          <w:color w:val="231F20"/>
          <w:spacing w:val="-7"/>
        </w:rPr>
        <w:t> </w:t>
      </w:r>
      <w:r>
        <w:rPr>
          <w:color w:val="231F20"/>
        </w:rPr>
        <w:t>de</w:t>
      </w:r>
      <w:r>
        <w:rPr>
          <w:color w:val="231F20"/>
          <w:spacing w:val="-6"/>
        </w:rPr>
        <w:t> </w:t>
      </w:r>
      <w:r>
        <w:rPr>
          <w:color w:val="231F20"/>
        </w:rPr>
        <w:t>actividad</w:t>
      </w:r>
      <w:r>
        <w:rPr>
          <w:color w:val="231F20"/>
          <w:spacing w:val="-6"/>
        </w:rPr>
        <w:t> </w:t>
      </w:r>
      <w:r>
        <w:rPr>
          <w:color w:val="231F20"/>
        </w:rPr>
        <w:t>económica”.</w:t>
      </w:r>
      <w:r>
        <w:rPr>
          <w:color w:val="231F20"/>
          <w:spacing w:val="-7"/>
        </w:rPr>
        <w:t> </w:t>
      </w:r>
      <w:r>
        <w:rPr>
          <w:color w:val="231F20"/>
        </w:rPr>
        <w:t>Como</w:t>
      </w:r>
      <w:r>
        <w:rPr>
          <w:color w:val="231F20"/>
          <w:spacing w:val="-6"/>
        </w:rPr>
        <w:t> </w:t>
      </w:r>
      <w:r>
        <w:rPr>
          <w:color w:val="231F20"/>
        </w:rPr>
        <w:t>se</w:t>
      </w:r>
      <w:r>
        <w:rPr>
          <w:color w:val="231F20"/>
          <w:spacing w:val="-6"/>
        </w:rPr>
        <w:t> </w:t>
      </w:r>
      <w:r>
        <w:rPr>
          <w:color w:val="231F20"/>
        </w:rPr>
        <w:t>adelantó,</w:t>
      </w:r>
      <w:r>
        <w:rPr>
          <w:color w:val="231F20"/>
          <w:spacing w:val="-7"/>
        </w:rPr>
        <w:t> </w:t>
      </w:r>
      <w:r>
        <w:rPr>
          <w:color w:val="231F20"/>
        </w:rPr>
        <w:t>la</w:t>
      </w:r>
      <w:r>
        <w:rPr>
          <w:color w:val="231F20"/>
          <w:spacing w:val="-6"/>
        </w:rPr>
        <w:t> </w:t>
      </w:r>
      <w:r>
        <w:rPr>
          <w:color w:val="231F20"/>
        </w:rPr>
        <w:t>fuente</w:t>
      </w:r>
      <w:r>
        <w:rPr>
          <w:color w:val="231F20"/>
          <w:spacing w:val="-6"/>
        </w:rPr>
        <w:t> </w:t>
      </w:r>
      <w:r>
        <w:rPr>
          <w:color w:val="231F20"/>
        </w:rPr>
        <w:t>de</w:t>
      </w:r>
      <w:r>
        <w:rPr>
          <w:color w:val="231F20"/>
          <w:spacing w:val="-6"/>
        </w:rPr>
        <w:t> </w:t>
      </w:r>
      <w:r>
        <w:rPr>
          <w:color w:val="231F20"/>
        </w:rPr>
        <w:t>informa-</w:t>
      </w:r>
      <w:r>
        <w:rPr>
          <w:color w:val="231F20"/>
          <w:w w:val="100"/>
        </w:rPr>
        <w:t> </w:t>
      </w:r>
      <w:r>
        <w:rPr>
          <w:color w:val="231F20"/>
        </w:rPr>
        <w:t>ción</w:t>
      </w:r>
      <w:r>
        <w:rPr>
          <w:color w:val="231F20"/>
          <w:spacing w:val="-9"/>
        </w:rPr>
        <w:t> </w:t>
      </w:r>
      <w:r>
        <w:rPr>
          <w:color w:val="231F20"/>
        </w:rPr>
        <w:t>utilizada</w:t>
      </w:r>
      <w:r>
        <w:rPr>
          <w:color w:val="231F20"/>
          <w:spacing w:val="-9"/>
        </w:rPr>
        <w:t> </w:t>
      </w:r>
      <w:r>
        <w:rPr>
          <w:color w:val="231F20"/>
        </w:rPr>
        <w:t>para</w:t>
      </w:r>
      <w:r>
        <w:rPr>
          <w:color w:val="231F20"/>
          <w:spacing w:val="-8"/>
        </w:rPr>
        <w:t> </w:t>
      </w:r>
      <w:r>
        <w:rPr>
          <w:color w:val="231F20"/>
        </w:rPr>
        <w:t>este</w:t>
      </w:r>
      <w:r>
        <w:rPr>
          <w:color w:val="231F20"/>
          <w:spacing w:val="-9"/>
        </w:rPr>
        <w:t> </w:t>
      </w:r>
      <w:r>
        <w:rPr>
          <w:color w:val="231F20"/>
        </w:rPr>
        <w:t>propósito</w:t>
      </w:r>
      <w:r>
        <w:rPr>
          <w:color w:val="231F20"/>
          <w:spacing w:val="-8"/>
        </w:rPr>
        <w:t> </w:t>
      </w:r>
      <w:r>
        <w:rPr>
          <w:color w:val="231F20"/>
        </w:rPr>
        <w:t>fue</w:t>
      </w:r>
      <w:r>
        <w:rPr>
          <w:color w:val="231F20"/>
          <w:spacing w:val="-8"/>
        </w:rPr>
        <w:t> </w:t>
      </w:r>
      <w:r>
        <w:rPr>
          <w:color w:val="231F20"/>
        </w:rPr>
        <w:t>la</w:t>
      </w:r>
      <w:r>
        <w:rPr>
          <w:color w:val="231F20"/>
          <w:spacing w:val="-8"/>
        </w:rPr>
        <w:t> </w:t>
      </w:r>
      <w:r>
        <w:rPr>
          <w:color w:val="231F20"/>
        </w:rPr>
        <w:t>Encuesta</w:t>
      </w:r>
      <w:r>
        <w:rPr>
          <w:color w:val="231F20"/>
          <w:spacing w:val="-9"/>
        </w:rPr>
        <w:t> </w:t>
      </w:r>
      <w:r>
        <w:rPr>
          <w:color w:val="231F20"/>
        </w:rPr>
        <w:t>Nacional</w:t>
      </w:r>
      <w:r>
        <w:rPr>
          <w:color w:val="231F20"/>
          <w:spacing w:val="-8"/>
        </w:rPr>
        <w:t> </w:t>
      </w:r>
      <w:r>
        <w:rPr>
          <w:color w:val="231F20"/>
        </w:rPr>
        <w:t>de</w:t>
      </w:r>
      <w:r>
        <w:rPr>
          <w:color w:val="231F20"/>
          <w:spacing w:val="-8"/>
        </w:rPr>
        <w:t> </w:t>
      </w:r>
      <w:r>
        <w:rPr>
          <w:color w:val="231F20"/>
        </w:rPr>
        <w:t>Ocupación</w:t>
      </w:r>
      <w:r>
        <w:rPr>
          <w:color w:val="231F20"/>
          <w:spacing w:val="-1"/>
          <w:w w:val="100"/>
        </w:rPr>
        <w:t> </w:t>
      </w:r>
      <w:r>
        <w:rPr>
          <w:color w:val="231F20"/>
        </w:rPr>
        <w:t>y Empleo (ENOE) para el segundo trimestre de 2012, y el</w:t>
      </w:r>
      <w:r>
        <w:rPr>
          <w:color w:val="231F20"/>
          <w:spacing w:val="41"/>
        </w:rPr>
        <w:t> </w:t>
      </w:r>
      <w:r>
        <w:rPr>
          <w:color w:val="231F20"/>
        </w:rPr>
        <w:t>catálogo</w:t>
      </w:r>
      <w:r>
        <w:rPr>
          <w:color w:val="231F20"/>
          <w:spacing w:val="8"/>
        </w:rPr>
        <w:t> </w:t>
      </w:r>
      <w:r>
        <w:rPr>
          <w:color w:val="231F20"/>
        </w:rPr>
        <w:t>co-</w:t>
      </w:r>
      <w:r>
        <w:rPr>
          <w:color w:val="231F20"/>
          <w:w w:val="100"/>
        </w:rPr>
        <w:t> </w:t>
      </w:r>
      <w:r>
        <w:rPr>
          <w:color w:val="231F20"/>
        </w:rPr>
        <w:t>rrespondiente es el SCIAN, como se mencionó arriba. Se</w:t>
      </w:r>
      <w:r>
        <w:rPr>
          <w:color w:val="231F20"/>
          <w:spacing w:val="29"/>
        </w:rPr>
        <w:t> </w:t>
      </w:r>
      <w:r>
        <w:rPr>
          <w:color w:val="231F20"/>
        </w:rPr>
        <w:t>debe</w:t>
      </w:r>
      <w:r>
        <w:rPr>
          <w:color w:val="231F20"/>
          <w:spacing w:val="3"/>
        </w:rPr>
        <w:t> </w:t>
      </w:r>
      <w:r>
        <w:rPr>
          <w:color w:val="231F20"/>
        </w:rPr>
        <w:t>subrayar</w:t>
      </w:r>
      <w:r>
        <w:rPr>
          <w:color w:val="231F20"/>
          <w:spacing w:val="-1"/>
          <w:w w:val="100"/>
        </w:rPr>
        <w:t> </w:t>
      </w:r>
      <w:r>
        <w:rPr>
          <w:color w:val="231F20"/>
        </w:rPr>
        <w:t>que esta clasificación define a la entidad dónde se ocupa la</w:t>
      </w:r>
      <w:r>
        <w:rPr>
          <w:color w:val="231F20"/>
          <w:spacing w:val="33"/>
        </w:rPr>
        <w:t> </w:t>
      </w:r>
      <w:r>
        <w:rPr>
          <w:color w:val="231F20"/>
        </w:rPr>
        <w:t>persona</w:t>
      </w:r>
      <w:r>
        <w:rPr>
          <w:color w:val="231F20"/>
          <w:spacing w:val="3"/>
        </w:rPr>
        <w:t> </w:t>
      </w:r>
      <w:r>
        <w:rPr>
          <w:color w:val="231F20"/>
        </w:rPr>
        <w:t>em- pleada;</w:t>
      </w:r>
      <w:r>
        <w:rPr>
          <w:color w:val="231F20"/>
          <w:spacing w:val="21"/>
        </w:rPr>
        <w:t> </w:t>
      </w:r>
      <w:r>
        <w:rPr>
          <w:color w:val="231F20"/>
        </w:rPr>
        <w:t>y</w:t>
      </w:r>
      <w:r>
        <w:rPr>
          <w:color w:val="231F20"/>
          <w:spacing w:val="21"/>
        </w:rPr>
        <w:t> </w:t>
      </w:r>
      <w:r>
        <w:rPr>
          <w:color w:val="231F20"/>
        </w:rPr>
        <w:t>que</w:t>
      </w:r>
      <w:r>
        <w:rPr>
          <w:color w:val="231F20"/>
          <w:spacing w:val="21"/>
        </w:rPr>
        <w:t> </w:t>
      </w:r>
      <w:r>
        <w:rPr>
          <w:color w:val="231F20"/>
        </w:rPr>
        <w:t>esta</w:t>
      </w:r>
      <w:r>
        <w:rPr>
          <w:color w:val="231F20"/>
          <w:spacing w:val="21"/>
        </w:rPr>
        <w:t> </w:t>
      </w:r>
      <w:r>
        <w:rPr>
          <w:color w:val="231F20"/>
        </w:rPr>
        <w:t>definición</w:t>
      </w:r>
      <w:r>
        <w:rPr>
          <w:color w:val="231F20"/>
          <w:spacing w:val="21"/>
        </w:rPr>
        <w:t> </w:t>
      </w:r>
      <w:r>
        <w:rPr>
          <w:color w:val="231F20"/>
        </w:rPr>
        <w:t>está</w:t>
      </w:r>
      <w:r>
        <w:rPr>
          <w:color w:val="231F20"/>
          <w:spacing w:val="21"/>
        </w:rPr>
        <w:t> </w:t>
      </w:r>
      <w:r>
        <w:rPr>
          <w:color w:val="231F20"/>
        </w:rPr>
        <w:t>dada</w:t>
      </w:r>
      <w:r>
        <w:rPr>
          <w:color w:val="231F20"/>
          <w:spacing w:val="21"/>
        </w:rPr>
        <w:t> </w:t>
      </w:r>
      <w:r>
        <w:rPr>
          <w:color w:val="231F20"/>
        </w:rPr>
        <w:t>por</w:t>
      </w:r>
      <w:r>
        <w:rPr>
          <w:color w:val="231F20"/>
          <w:spacing w:val="21"/>
        </w:rPr>
        <w:t> </w:t>
      </w:r>
      <w:r>
        <w:rPr>
          <w:color w:val="231F20"/>
        </w:rPr>
        <w:t>diferentes</w:t>
      </w:r>
      <w:r>
        <w:rPr>
          <w:color w:val="231F20"/>
          <w:spacing w:val="21"/>
        </w:rPr>
        <w:t> </w:t>
      </w:r>
      <w:r>
        <w:rPr>
          <w:color w:val="231F20"/>
        </w:rPr>
        <w:t>informantes.</w:t>
      </w:r>
      <w:r>
        <w:rPr>
          <w:color w:val="231F20"/>
          <w:spacing w:val="21"/>
        </w:rPr>
        <w:t> </w:t>
      </w:r>
      <w:r>
        <w:rPr>
          <w:color w:val="231F20"/>
        </w:rPr>
        <w:t>En</w:t>
      </w:r>
      <w:r>
        <w:rPr>
          <w:color w:val="231F20"/>
          <w:w w:val="100"/>
        </w:rPr>
        <w:t> </w:t>
      </w:r>
      <w:r>
        <w:rPr>
          <w:color w:val="231F20"/>
        </w:rPr>
        <w:t>el</w:t>
      </w:r>
      <w:r>
        <w:rPr>
          <w:color w:val="231F20"/>
          <w:spacing w:val="17"/>
        </w:rPr>
        <w:t> </w:t>
      </w:r>
      <w:r>
        <w:rPr>
          <w:color w:val="231F20"/>
        </w:rPr>
        <w:t>caso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encuestas</w:t>
      </w:r>
      <w:r>
        <w:rPr>
          <w:color w:val="231F20"/>
          <w:spacing w:val="17"/>
        </w:rPr>
        <w:t> </w:t>
      </w:r>
      <w:r>
        <w:rPr>
          <w:color w:val="231F20"/>
        </w:rPr>
        <w:t>de</w:t>
      </w:r>
      <w:r>
        <w:rPr>
          <w:color w:val="231F20"/>
          <w:spacing w:val="17"/>
        </w:rPr>
        <w:t> </w:t>
      </w:r>
      <w:r>
        <w:rPr>
          <w:color w:val="231F20"/>
        </w:rPr>
        <w:t>empleo,</w:t>
      </w:r>
      <w:r>
        <w:rPr>
          <w:color w:val="231F20"/>
          <w:spacing w:val="17"/>
        </w:rPr>
        <w:t> </w:t>
      </w:r>
      <w:r>
        <w:rPr>
          <w:color w:val="231F20"/>
        </w:rPr>
        <w:t>por</w:t>
      </w:r>
      <w:r>
        <w:rPr>
          <w:color w:val="231F20"/>
          <w:spacing w:val="17"/>
        </w:rPr>
        <w:t> </w:t>
      </w:r>
      <w:r>
        <w:rPr>
          <w:color w:val="231F20"/>
        </w:rPr>
        <w:t>un</w:t>
      </w:r>
      <w:r>
        <w:rPr>
          <w:color w:val="231F20"/>
          <w:spacing w:val="17"/>
        </w:rPr>
        <w:t> </w:t>
      </w:r>
      <w:r>
        <w:rPr>
          <w:color w:val="231F20"/>
        </w:rPr>
        <w:t>representante</w:t>
      </w:r>
      <w:r>
        <w:rPr>
          <w:color w:val="231F20"/>
          <w:spacing w:val="17"/>
        </w:rPr>
        <w:t> </w:t>
      </w:r>
      <w:r>
        <w:rPr>
          <w:color w:val="231F20"/>
        </w:rPr>
        <w:t>dentro</w:t>
      </w:r>
      <w:r>
        <w:rPr>
          <w:color w:val="231F20"/>
          <w:spacing w:val="17"/>
        </w:rPr>
        <w:t> </w:t>
      </w:r>
      <w:r>
        <w:rPr>
          <w:color w:val="231F20"/>
        </w:rPr>
        <w:t>de</w:t>
      </w:r>
      <w:r>
        <w:rPr>
          <w:color w:val="231F20"/>
          <w:spacing w:val="17"/>
        </w:rPr>
        <w:t> </w:t>
      </w:r>
      <w:r>
        <w:rPr>
          <w:color w:val="231F20"/>
        </w:rPr>
        <w:t>los hogares de la población trabajadora, o bien por el individuo</w:t>
      </w:r>
      <w:r>
        <w:rPr>
          <w:color w:val="231F20"/>
          <w:spacing w:val="37"/>
        </w:rPr>
        <w:t> </w:t>
      </w:r>
      <w:r>
        <w:rPr>
          <w:color w:val="231F20"/>
        </w:rPr>
        <w:t>mismo.</w:t>
      </w:r>
      <w:r>
        <w:rPr>
          <w:color w:val="231F20"/>
          <w:spacing w:val="7"/>
        </w:rPr>
        <w:t> </w:t>
      </w:r>
      <w:r>
        <w:rPr>
          <w:color w:val="231F20"/>
        </w:rPr>
        <w:t>En el caso de la información sobre comercio exterior los</w:t>
      </w:r>
      <w:r>
        <w:rPr>
          <w:color w:val="231F20"/>
          <w:spacing w:val="17"/>
        </w:rPr>
        <w:t> </w:t>
      </w:r>
      <w:r>
        <w:rPr>
          <w:color w:val="231F20"/>
        </w:rPr>
        <w:t>datos</w:t>
      </w:r>
      <w:r>
        <w:rPr>
          <w:color w:val="231F20"/>
          <w:spacing w:val="13"/>
        </w:rPr>
        <w:t> </w:t>
      </w:r>
      <w:r>
        <w:rPr>
          <w:color w:val="231F20"/>
        </w:rPr>
        <w:t>registrados responden al registro de empresas. Es decir, pueden</w:t>
      </w:r>
      <w:r>
        <w:rPr>
          <w:color w:val="231F20"/>
          <w:spacing w:val="-33"/>
        </w:rPr>
        <w:t> </w:t>
      </w:r>
      <w:r>
        <w:rPr>
          <w:color w:val="231F20"/>
        </w:rPr>
        <w:t>existir</w:t>
      </w:r>
      <w:r>
        <w:rPr>
          <w:color w:val="231F20"/>
          <w:spacing w:val="-5"/>
        </w:rPr>
        <w:t> </w:t>
      </w:r>
      <w:r>
        <w:rPr>
          <w:color w:val="231F20"/>
        </w:rPr>
        <w:t>discrepancias de las clasificaciones a nivel de informante y los</w:t>
      </w:r>
      <w:r>
        <w:rPr>
          <w:color w:val="231F20"/>
          <w:spacing w:val="34"/>
        </w:rPr>
        <w:t> </w:t>
      </w:r>
      <w:r>
        <w:rPr>
          <w:color w:val="231F20"/>
        </w:rPr>
        <w:t>significados</w:t>
      </w:r>
      <w:r>
        <w:rPr>
          <w:color w:val="231F20"/>
          <w:spacing w:val="3"/>
        </w:rPr>
        <w:t> </w:t>
      </w:r>
      <w:r>
        <w:rPr>
          <w:color w:val="231F20"/>
        </w:rPr>
        <w:t>atribuidos</w:t>
      </w:r>
      <w:r>
        <w:rPr>
          <w:color w:val="231F20"/>
          <w:w w:val="100"/>
        </w:rPr>
        <w:t> </w:t>
      </w:r>
      <w:r>
        <w:rPr>
          <w:color w:val="231F20"/>
        </w:rPr>
        <w:t>al lugar de trabajo y a la actividad realizada. Pero, se debe</w:t>
      </w:r>
      <w:r>
        <w:rPr>
          <w:color w:val="231F20"/>
          <w:spacing w:val="5"/>
        </w:rPr>
        <w:t> </w:t>
      </w:r>
      <w:r>
        <w:rPr>
          <w:color w:val="231F20"/>
        </w:rPr>
        <w:t>señalar</w:t>
      </w:r>
      <w:r>
        <w:rPr>
          <w:color w:val="231F20"/>
          <w:spacing w:val="9"/>
        </w:rPr>
        <w:t> </w:t>
      </w:r>
      <w:r>
        <w:rPr>
          <w:color w:val="231F20"/>
        </w:rPr>
        <w:t>que, al ser una clasificación estandarizada e internacional,</w:t>
      </w:r>
      <w:r>
        <w:rPr>
          <w:color w:val="231F20"/>
          <w:spacing w:val="-31"/>
        </w:rPr>
        <w:t> </w:t>
      </w:r>
      <w:r>
        <w:rPr>
          <w:color w:val="231F20"/>
        </w:rPr>
        <w:t>estas</w:t>
      </w:r>
      <w:r>
        <w:rPr>
          <w:color w:val="231F20"/>
          <w:spacing w:val="-5"/>
        </w:rPr>
        <w:t> </w:t>
      </w:r>
      <w:r>
        <w:rPr>
          <w:color w:val="231F20"/>
        </w:rPr>
        <w:t>discrepancias</w:t>
      </w:r>
      <w:r>
        <w:rPr>
          <w:color w:val="231F20"/>
          <w:w w:val="100"/>
        </w:rPr>
        <w:t> </w:t>
      </w:r>
      <w:r>
        <w:rPr>
          <w:color w:val="231F20"/>
        </w:rPr>
        <w:t>serán menores que cuando se utiliza otro tipo de enlace entre </w:t>
      </w:r>
      <w:r>
        <w:rPr>
          <w:color w:val="231F20"/>
          <w:spacing w:val="18"/>
        </w:rPr>
        <w:t> </w:t>
      </w:r>
      <w:r>
        <w:rPr>
          <w:color w:val="231F20"/>
        </w:rPr>
        <w:t>diferentes</w:t>
      </w:r>
    </w:p>
    <w:p>
      <w:pPr>
        <w:pStyle w:val="BodyText"/>
        <w:spacing w:before="1"/>
        <w:ind w:left="110" w:right="792"/>
      </w:pPr>
      <w:r>
        <w:rPr>
          <w:color w:val="231F20"/>
        </w:rPr>
        <w:t>fuentes de información.</w:t>
      </w:r>
    </w:p>
    <w:p>
      <w:pPr>
        <w:pStyle w:val="Heading5"/>
        <w:spacing w:line="240" w:lineRule="exact" w:before="175"/>
        <w:ind w:left="110" w:right="1320"/>
        <w:jc w:val="left"/>
      </w:pPr>
      <w:r>
        <w:rPr>
          <w:i/>
          <w:w w:val="75"/>
        </w:rPr>
        <w:t>Uso de la información, criterios de clasificación y diagramas </w:t>
      </w:r>
      <w:r>
        <w:rPr>
          <w:w w:val="75"/>
        </w:rPr>
        <w:t>de decisión: propuesta inicial</w:t>
      </w:r>
    </w:p>
    <w:p>
      <w:pPr>
        <w:pStyle w:val="BodyText"/>
        <w:spacing w:before="175"/>
        <w:ind w:left="110"/>
      </w:pPr>
      <w:r>
        <w:rPr>
          <w:color w:val="231F20"/>
        </w:rPr>
        <w:t>Nuestra clasificación de las ramas de actividad económica desde la pers-</w:t>
      </w:r>
    </w:p>
    <w:p>
      <w:pPr>
        <w:spacing w:after="0"/>
        <w:sectPr>
          <w:pgSz w:w="7770" w:h="11740"/>
          <w:pgMar w:header="0" w:footer="474" w:top="840" w:bottom="740" w:left="740" w:right="1020"/>
        </w:sectPr>
      </w:pPr>
    </w:p>
    <w:p>
      <w:pPr>
        <w:pStyle w:val="BodyText"/>
        <w:spacing w:line="249" w:lineRule="auto" w:before="60"/>
        <w:ind w:left="113" w:right="109"/>
        <w:jc w:val="both"/>
      </w:pPr>
      <w:r>
        <w:rPr>
          <w:color w:val="231F20"/>
        </w:rPr>
        <w:t>pectiva del comercio internacional en el periodo 2002-2012, obedeció inicialmente a tres criterios, los cuales se basan en la información pro- porcionada por la Comtrade:</w:t>
      </w:r>
    </w:p>
    <w:p>
      <w:pPr>
        <w:pStyle w:val="ListParagraph"/>
        <w:numPr>
          <w:ilvl w:val="0"/>
          <w:numId w:val="2"/>
        </w:numPr>
        <w:tabs>
          <w:tab w:pos="474" w:val="left" w:leader="none"/>
        </w:tabs>
        <w:spacing w:line="249" w:lineRule="auto" w:before="114" w:after="0"/>
        <w:ind w:left="473" w:right="108" w:hanging="360"/>
        <w:jc w:val="both"/>
        <w:rPr>
          <w:sz w:val="20"/>
        </w:rPr>
      </w:pPr>
      <w:r>
        <w:rPr>
          <w:color w:val="231F20"/>
          <w:sz w:val="20"/>
        </w:rPr>
        <w:t>La intensidad del comercio que se lleva a cabo en ellas, en términos del volumen de exportaciones e importaciones que desde allí tiene lugar.</w:t>
      </w:r>
    </w:p>
    <w:p>
      <w:pPr>
        <w:pStyle w:val="ListParagraph"/>
        <w:numPr>
          <w:ilvl w:val="0"/>
          <w:numId w:val="2"/>
        </w:numPr>
        <w:tabs>
          <w:tab w:pos="474" w:val="left" w:leader="none"/>
        </w:tabs>
        <w:spacing w:line="249" w:lineRule="auto" w:before="1" w:after="0"/>
        <w:ind w:left="473" w:right="108" w:hanging="360"/>
        <w:jc w:val="both"/>
        <w:rPr>
          <w:sz w:val="20"/>
        </w:rPr>
      </w:pPr>
      <w:r>
        <w:rPr>
          <w:color w:val="231F20"/>
          <w:sz w:val="20"/>
        </w:rPr>
        <w:t>La dirección o especialización de los flujos de comercio internacio- nal (flujos bilaterales; sólo exportación o sólo</w:t>
      </w:r>
      <w:r>
        <w:rPr>
          <w:color w:val="231F20"/>
          <w:spacing w:val="-11"/>
          <w:sz w:val="20"/>
        </w:rPr>
        <w:t> </w:t>
      </w:r>
      <w:r>
        <w:rPr>
          <w:color w:val="231F20"/>
          <w:sz w:val="20"/>
        </w:rPr>
        <w:t>importación).</w:t>
      </w:r>
    </w:p>
    <w:p>
      <w:pPr>
        <w:pStyle w:val="ListParagraph"/>
        <w:numPr>
          <w:ilvl w:val="0"/>
          <w:numId w:val="2"/>
        </w:numPr>
        <w:tabs>
          <w:tab w:pos="474" w:val="left" w:leader="none"/>
        </w:tabs>
        <w:spacing w:line="249" w:lineRule="auto" w:before="1" w:after="0"/>
        <w:ind w:left="473" w:right="109" w:hanging="360"/>
        <w:jc w:val="both"/>
        <w:rPr>
          <w:sz w:val="20"/>
        </w:rPr>
      </w:pPr>
      <w:r>
        <w:rPr>
          <w:color w:val="231F20"/>
          <w:sz w:val="20"/>
        </w:rPr>
        <w:t>El número de socios con los que se comercia o la concentración de socios.</w:t>
      </w:r>
    </w:p>
    <w:p>
      <w:pPr>
        <w:pStyle w:val="BodyText"/>
        <w:spacing w:line="249" w:lineRule="auto" w:before="114"/>
        <w:ind w:left="113" w:right="107" w:firstLine="283"/>
        <w:jc w:val="right"/>
      </w:pPr>
      <w:r>
        <w:rPr>
          <w:color w:val="231F20"/>
        </w:rPr>
        <w:t>El primer aspecto nos indica la transabilidad o</w:t>
      </w:r>
      <w:r>
        <w:rPr>
          <w:color w:val="231F20"/>
          <w:spacing w:val="38"/>
        </w:rPr>
        <w:t> </w:t>
      </w:r>
      <w:r>
        <w:rPr>
          <w:color w:val="231F20"/>
        </w:rPr>
        <w:t>comerciabilidad</w:t>
      </w:r>
      <w:r>
        <w:rPr>
          <w:color w:val="231F20"/>
          <w:spacing w:val="23"/>
        </w:rPr>
        <w:t> </w:t>
      </w:r>
      <w:r>
        <w:rPr>
          <w:color w:val="231F20"/>
        </w:rPr>
        <w:t>de cada</w:t>
      </w:r>
      <w:r>
        <w:rPr>
          <w:color w:val="231F20"/>
          <w:spacing w:val="23"/>
        </w:rPr>
        <w:t> </w:t>
      </w:r>
      <w:r>
        <w:rPr>
          <w:color w:val="231F20"/>
        </w:rPr>
        <w:t>una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ramas</w:t>
      </w:r>
      <w:r>
        <w:rPr>
          <w:color w:val="231F20"/>
          <w:spacing w:val="23"/>
        </w:rPr>
        <w:t> </w:t>
      </w:r>
      <w:r>
        <w:rPr>
          <w:color w:val="231F20"/>
        </w:rPr>
        <w:t>en</w:t>
      </w:r>
      <w:r>
        <w:rPr>
          <w:color w:val="231F20"/>
          <w:spacing w:val="23"/>
        </w:rPr>
        <w:t> </w:t>
      </w:r>
      <w:r>
        <w:rPr>
          <w:color w:val="231F20"/>
        </w:rPr>
        <w:t>estudio.</w:t>
      </w:r>
      <w:r>
        <w:rPr>
          <w:color w:val="231F20"/>
          <w:spacing w:val="23"/>
        </w:rPr>
        <w:t> </w:t>
      </w:r>
      <w:r>
        <w:rPr>
          <w:color w:val="231F20"/>
        </w:rPr>
        <w:t>Es</w:t>
      </w:r>
      <w:r>
        <w:rPr>
          <w:color w:val="231F20"/>
          <w:spacing w:val="23"/>
        </w:rPr>
        <w:t> </w:t>
      </w:r>
      <w:r>
        <w:rPr>
          <w:color w:val="231F20"/>
        </w:rPr>
        <w:t>decir,</w:t>
      </w:r>
      <w:r>
        <w:rPr>
          <w:color w:val="231F20"/>
          <w:spacing w:val="23"/>
        </w:rPr>
        <w:t> </w:t>
      </w:r>
      <w:r>
        <w:rPr>
          <w:color w:val="231F20"/>
        </w:rPr>
        <w:t>establece</w:t>
      </w:r>
      <w:r>
        <w:rPr>
          <w:color w:val="231F20"/>
          <w:spacing w:val="22"/>
        </w:rPr>
        <w:t> </w:t>
      </w:r>
      <w:r>
        <w:rPr>
          <w:color w:val="231F20"/>
        </w:rPr>
        <w:t>qué</w:t>
      </w:r>
      <w:r>
        <w:rPr>
          <w:color w:val="231F20"/>
          <w:spacing w:val="23"/>
        </w:rPr>
        <w:t> </w:t>
      </w:r>
      <w:r>
        <w:rPr>
          <w:color w:val="231F20"/>
        </w:rPr>
        <w:t>cantidad</w:t>
      </w:r>
      <w:r>
        <w:rPr>
          <w:color w:val="231F20"/>
          <w:spacing w:val="23"/>
        </w:rPr>
        <w:t> </w:t>
      </w:r>
      <w:r>
        <w:rPr>
          <w:color w:val="231F20"/>
        </w:rPr>
        <w:t>de productos son exportados o importados desde la rama de</w:t>
      </w:r>
      <w:r>
        <w:rPr>
          <w:color w:val="231F20"/>
          <w:spacing w:val="6"/>
        </w:rPr>
        <w:t> </w:t>
      </w:r>
      <w:r>
        <w:rPr>
          <w:color w:val="231F20"/>
        </w:rPr>
        <w:t>actividad</w:t>
      </w:r>
      <w:r>
        <w:rPr>
          <w:color w:val="231F20"/>
          <w:spacing w:val="17"/>
        </w:rPr>
        <w:t> </w:t>
      </w:r>
      <w:r>
        <w:rPr>
          <w:color w:val="231F20"/>
        </w:rPr>
        <w:t>es- pecífica, o si en dicha rama no se observa ningún (o</w:t>
      </w:r>
      <w:r>
        <w:rPr>
          <w:color w:val="231F20"/>
          <w:spacing w:val="47"/>
        </w:rPr>
        <w:t> </w:t>
      </w:r>
      <w:r>
        <w:rPr>
          <w:color w:val="231F20"/>
        </w:rPr>
        <w:t>bajo)</w:t>
      </w:r>
      <w:r>
        <w:rPr>
          <w:color w:val="231F20"/>
          <w:spacing w:val="13"/>
        </w:rPr>
        <w:t> </w:t>
      </w:r>
      <w:r>
        <w:rPr>
          <w:color w:val="231F20"/>
        </w:rPr>
        <w:t>intercambio</w:t>
      </w:r>
      <w:r>
        <w:rPr>
          <w:color w:val="231F20"/>
          <w:w w:val="100"/>
        </w:rPr>
        <w:t> </w:t>
      </w:r>
      <w:r>
        <w:rPr>
          <w:color w:val="231F20"/>
        </w:rPr>
        <w:t>comercial. El segundo elemento, establece si los flujos</w:t>
      </w:r>
      <w:r>
        <w:rPr>
          <w:color w:val="231F20"/>
          <w:spacing w:val="32"/>
        </w:rPr>
        <w:t> </w:t>
      </w:r>
      <w:r>
        <w:rPr>
          <w:color w:val="231F20"/>
        </w:rPr>
        <w:t>son</w:t>
      </w:r>
      <w:r>
        <w:rPr>
          <w:color w:val="231F20"/>
          <w:spacing w:val="22"/>
        </w:rPr>
        <w:t> </w:t>
      </w:r>
      <w:r>
        <w:rPr>
          <w:color w:val="231F20"/>
        </w:rPr>
        <w:t>bilaterales</w:t>
      </w:r>
      <w:r>
        <w:rPr>
          <w:color w:val="231F20"/>
          <w:w w:val="100"/>
        </w:rPr>
        <w:t> </w:t>
      </w:r>
      <w:r>
        <w:rPr>
          <w:color w:val="231F20"/>
        </w:rPr>
        <w:t>(exportación e importación), o si se han especializado en</w:t>
      </w:r>
      <w:r>
        <w:rPr>
          <w:color w:val="231F20"/>
          <w:spacing w:val="-16"/>
        </w:rPr>
        <w:t> </w:t>
      </w:r>
      <w:r>
        <w:rPr>
          <w:color w:val="231F20"/>
        </w:rPr>
        <w:t>ser</w:t>
      </w:r>
      <w:r>
        <w:rPr>
          <w:color w:val="231F20"/>
          <w:spacing w:val="-2"/>
        </w:rPr>
        <w:t> </w:t>
      </w:r>
      <w:r>
        <w:rPr>
          <w:color w:val="231F20"/>
        </w:rPr>
        <w:t>únicamente exportadores o importadores. El tercer aspecto nos señala</w:t>
      </w:r>
      <w:r>
        <w:rPr>
          <w:color w:val="231F20"/>
          <w:spacing w:val="25"/>
        </w:rPr>
        <w:t> </w:t>
      </w:r>
      <w:r>
        <w:rPr>
          <w:color w:val="231F20"/>
        </w:rPr>
        <w:t>la</w:t>
      </w:r>
      <w:r>
        <w:rPr>
          <w:color w:val="231F20"/>
          <w:spacing w:val="22"/>
        </w:rPr>
        <w:t> </w:t>
      </w:r>
      <w:r>
        <w:rPr>
          <w:color w:val="231F20"/>
        </w:rPr>
        <w:t>situación</w:t>
      </w:r>
      <w:r>
        <w:rPr>
          <w:color w:val="231F20"/>
          <w:spacing w:val="-1"/>
        </w:rPr>
        <w:t> </w:t>
      </w:r>
      <w:r>
        <w:rPr>
          <w:color w:val="231F20"/>
        </w:rPr>
        <w:t>mexicana frente a la economía mundial en los mercados de</w:t>
      </w:r>
      <w:r>
        <w:rPr>
          <w:color w:val="231F20"/>
          <w:spacing w:val="15"/>
        </w:rPr>
        <w:t> </w:t>
      </w:r>
      <w:r>
        <w:rPr>
          <w:color w:val="231F20"/>
        </w:rPr>
        <w:t>cada</w:t>
      </w:r>
      <w:r>
        <w:rPr>
          <w:color w:val="231F20"/>
          <w:spacing w:val="17"/>
        </w:rPr>
        <w:t> </w:t>
      </w:r>
      <w:r>
        <w:rPr>
          <w:color w:val="231F20"/>
        </w:rPr>
        <w:t>rama productiva, pues nos indica qué tan diversificada es la cartera</w:t>
      </w:r>
      <w:r>
        <w:rPr>
          <w:color w:val="231F20"/>
          <w:spacing w:val="20"/>
        </w:rPr>
        <w:t> </w:t>
      </w:r>
      <w:r>
        <w:rPr>
          <w:color w:val="231F20"/>
        </w:rPr>
        <w:t>de</w:t>
      </w:r>
      <w:r>
        <w:rPr>
          <w:color w:val="231F20"/>
          <w:spacing w:val="7"/>
        </w:rPr>
        <w:t> </w:t>
      </w:r>
      <w:r>
        <w:rPr>
          <w:color w:val="231F20"/>
        </w:rPr>
        <w:t>socios comerciales</w:t>
      </w:r>
      <w:r>
        <w:rPr>
          <w:color w:val="231F20"/>
          <w:spacing w:val="-14"/>
        </w:rPr>
        <w:t> </w:t>
      </w:r>
      <w:r>
        <w:rPr>
          <w:color w:val="231F20"/>
        </w:rPr>
        <w:t>del</w:t>
      </w:r>
      <w:r>
        <w:rPr>
          <w:color w:val="231F20"/>
          <w:spacing w:val="-13"/>
        </w:rPr>
        <w:t> </w:t>
      </w:r>
      <w:r>
        <w:rPr>
          <w:color w:val="231F20"/>
        </w:rPr>
        <w:t>país</w:t>
      </w:r>
      <w:r>
        <w:rPr>
          <w:color w:val="231F20"/>
          <w:spacing w:val="-13"/>
        </w:rPr>
        <w:t> </w:t>
      </w:r>
      <w:r>
        <w:rPr>
          <w:color w:val="231F20"/>
        </w:rPr>
        <w:t>para</w:t>
      </w:r>
      <w:r>
        <w:rPr>
          <w:color w:val="231F20"/>
          <w:spacing w:val="-13"/>
        </w:rPr>
        <w:t> </w:t>
      </w:r>
      <w:r>
        <w:rPr>
          <w:color w:val="231F20"/>
        </w:rPr>
        <w:t>ofrecer</w:t>
      </w:r>
      <w:r>
        <w:rPr>
          <w:color w:val="231F20"/>
          <w:spacing w:val="-13"/>
        </w:rPr>
        <w:t> </w:t>
      </w:r>
      <w:r>
        <w:rPr>
          <w:color w:val="231F20"/>
        </w:rPr>
        <w:t>sus</w:t>
      </w:r>
      <w:r>
        <w:rPr>
          <w:color w:val="231F20"/>
          <w:spacing w:val="-13"/>
        </w:rPr>
        <w:t> </w:t>
      </w:r>
      <w:r>
        <w:rPr>
          <w:color w:val="231F20"/>
        </w:rPr>
        <w:t>exportaciones.</w:t>
      </w:r>
      <w:r>
        <w:rPr>
          <w:color w:val="231F20"/>
          <w:spacing w:val="-14"/>
        </w:rPr>
        <w:t> </w:t>
      </w:r>
      <w:r>
        <w:rPr>
          <w:color w:val="231F20"/>
        </w:rPr>
        <w:t>Los</w:t>
      </w:r>
      <w:r>
        <w:rPr>
          <w:color w:val="231F20"/>
          <w:spacing w:val="-13"/>
        </w:rPr>
        <w:t> </w:t>
      </w:r>
      <w:r>
        <w:rPr>
          <w:color w:val="231F20"/>
        </w:rPr>
        <w:t>criterios</w:t>
      </w:r>
      <w:r>
        <w:rPr>
          <w:color w:val="231F20"/>
          <w:spacing w:val="-13"/>
        </w:rPr>
        <w:t> </w:t>
      </w:r>
      <w:r>
        <w:rPr>
          <w:color w:val="231F20"/>
        </w:rPr>
        <w:t>teóricos iniciales</w:t>
      </w:r>
      <w:r>
        <w:rPr>
          <w:color w:val="231F20"/>
          <w:spacing w:val="-7"/>
        </w:rPr>
        <w:t> </w:t>
      </w:r>
      <w:r>
        <w:rPr>
          <w:color w:val="231F20"/>
        </w:rPr>
        <w:t>para</w:t>
      </w:r>
      <w:r>
        <w:rPr>
          <w:color w:val="231F20"/>
          <w:spacing w:val="-7"/>
        </w:rPr>
        <w:t> </w:t>
      </w:r>
      <w:r>
        <w:rPr>
          <w:color w:val="231F20"/>
        </w:rPr>
        <w:t>operacionalizar</w:t>
      </w:r>
      <w:r>
        <w:rPr>
          <w:color w:val="231F20"/>
          <w:spacing w:val="-7"/>
        </w:rPr>
        <w:t> </w:t>
      </w:r>
      <w:r>
        <w:rPr>
          <w:color w:val="231F20"/>
        </w:rPr>
        <w:t>estos</w:t>
      </w:r>
      <w:r>
        <w:rPr>
          <w:color w:val="231F20"/>
          <w:spacing w:val="-7"/>
        </w:rPr>
        <w:t> </w:t>
      </w:r>
      <w:r>
        <w:rPr>
          <w:color w:val="231F20"/>
        </w:rPr>
        <w:t>aspectos</w:t>
      </w:r>
      <w:r>
        <w:rPr>
          <w:color w:val="231F20"/>
          <w:spacing w:val="-7"/>
        </w:rPr>
        <w:t> </w:t>
      </w:r>
      <w:r>
        <w:rPr>
          <w:color w:val="231F20"/>
        </w:rPr>
        <w:t>se</w:t>
      </w:r>
      <w:r>
        <w:rPr>
          <w:color w:val="231F20"/>
          <w:spacing w:val="-7"/>
        </w:rPr>
        <w:t> </w:t>
      </w:r>
      <w:r>
        <w:rPr>
          <w:color w:val="231F20"/>
        </w:rPr>
        <w:t>detallan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Esquema</w:t>
      </w:r>
      <w:r>
        <w:rPr>
          <w:color w:val="231F20"/>
          <w:spacing w:val="-7"/>
        </w:rPr>
        <w:t> </w:t>
      </w:r>
      <w:r>
        <w:rPr>
          <w:color w:val="231F20"/>
        </w:rPr>
        <w:t>1. La lógica del Esquema 1, es un proceso secuencial de</w:t>
      </w:r>
      <w:r>
        <w:rPr>
          <w:color w:val="231F20"/>
          <w:spacing w:val="10"/>
        </w:rPr>
        <w:t> </w:t>
      </w:r>
      <w:r>
        <w:rPr>
          <w:color w:val="231F20"/>
        </w:rPr>
        <w:t>decisiones</w:t>
      </w:r>
      <w:r>
        <w:rPr>
          <w:color w:val="231F20"/>
          <w:spacing w:val="16"/>
        </w:rPr>
        <w:t> </w:t>
      </w:r>
      <w:r>
        <w:rPr>
          <w:color w:val="231F20"/>
        </w:rPr>
        <w:t>a partir de los criterios ya señalados, los cuales están marcados</w:t>
      </w:r>
      <w:r>
        <w:rPr>
          <w:color w:val="231F20"/>
          <w:spacing w:val="42"/>
        </w:rPr>
        <w:t> </w:t>
      </w:r>
      <w:r>
        <w:rPr>
          <w:color w:val="231F20"/>
        </w:rPr>
        <w:t>por</w:t>
      </w:r>
      <w:r>
        <w:rPr>
          <w:color w:val="231F20"/>
          <w:spacing w:val="9"/>
        </w:rPr>
        <w:t> </w:t>
      </w:r>
      <w:r>
        <w:rPr>
          <w:color w:val="231F20"/>
        </w:rPr>
        <w:t>áreas creando subesquemas. El primero permite identificar a los</w:t>
      </w:r>
      <w:r>
        <w:rPr>
          <w:color w:val="231F20"/>
          <w:spacing w:val="3"/>
        </w:rPr>
        <w:t> </w:t>
      </w:r>
      <w:r>
        <w:rPr>
          <w:color w:val="231F20"/>
        </w:rPr>
        <w:t>sectores tran- sables y no transables, desde sus resultados en el</w:t>
      </w:r>
      <w:r>
        <w:rPr>
          <w:color w:val="231F20"/>
          <w:spacing w:val="-10"/>
        </w:rPr>
        <w:t> </w:t>
      </w:r>
      <w:r>
        <w:rPr>
          <w:color w:val="231F20"/>
        </w:rPr>
        <w:t>comercio</w:t>
      </w:r>
      <w:r>
        <w:rPr>
          <w:color w:val="231F20"/>
          <w:spacing w:val="-2"/>
        </w:rPr>
        <w:t> </w:t>
      </w:r>
      <w:r>
        <w:rPr>
          <w:color w:val="231F20"/>
        </w:rPr>
        <w:t>internacional dados por la intensidad del volumen de exportaciones</w:t>
      </w:r>
      <w:r>
        <w:rPr>
          <w:color w:val="231F20"/>
          <w:spacing w:val="1"/>
        </w:rPr>
        <w:t> </w:t>
      </w:r>
      <w:r>
        <w:rPr>
          <w:color w:val="231F20"/>
        </w:rPr>
        <w:t>e</w:t>
      </w:r>
      <w:r>
        <w:rPr>
          <w:color w:val="231F20"/>
          <w:spacing w:val="12"/>
        </w:rPr>
        <w:t> </w:t>
      </w:r>
      <w:r>
        <w:rPr>
          <w:color w:val="231F20"/>
        </w:rPr>
        <w:t>importaciones. Es</w:t>
      </w:r>
      <w:r>
        <w:rPr>
          <w:color w:val="231F20"/>
          <w:spacing w:val="-6"/>
        </w:rPr>
        <w:t> </w:t>
      </w:r>
      <w:r>
        <w:rPr>
          <w:color w:val="231F20"/>
        </w:rPr>
        <w:t>decir,</w:t>
      </w:r>
      <w:r>
        <w:rPr>
          <w:color w:val="231F20"/>
          <w:spacing w:val="-6"/>
        </w:rPr>
        <w:t> </w:t>
      </w:r>
      <w:r>
        <w:rPr>
          <w:color w:val="231F20"/>
        </w:rPr>
        <w:t>partimos</w:t>
      </w:r>
      <w:r>
        <w:rPr>
          <w:color w:val="231F20"/>
          <w:spacing w:val="-6"/>
        </w:rPr>
        <w:t> </w:t>
      </w:r>
      <w:r>
        <w:rPr>
          <w:color w:val="231F20"/>
        </w:rPr>
        <w:t>del</w:t>
      </w:r>
      <w:r>
        <w:rPr>
          <w:color w:val="231F20"/>
          <w:spacing w:val="-6"/>
        </w:rPr>
        <w:t> </w:t>
      </w:r>
      <w:r>
        <w:rPr>
          <w:color w:val="231F20"/>
        </w:rPr>
        <w:t>monto</w:t>
      </w:r>
      <w:r>
        <w:rPr>
          <w:color w:val="231F20"/>
          <w:spacing w:val="-6"/>
        </w:rPr>
        <w:t> </w:t>
      </w:r>
      <w:r>
        <w:rPr>
          <w:color w:val="231F20"/>
        </w:rPr>
        <w:t>de</w:t>
      </w:r>
      <w:r>
        <w:rPr>
          <w:color w:val="231F20"/>
          <w:spacing w:val="-6"/>
        </w:rPr>
        <w:t> </w:t>
      </w:r>
      <w:r>
        <w:rPr>
          <w:color w:val="231F20"/>
        </w:rPr>
        <w:t>dólares</w:t>
      </w:r>
      <w:r>
        <w:rPr>
          <w:color w:val="231F20"/>
          <w:spacing w:val="-5"/>
        </w:rPr>
        <w:t> </w:t>
      </w:r>
      <w:r>
        <w:rPr>
          <w:color w:val="231F20"/>
        </w:rPr>
        <w:t>corrientes</w:t>
      </w:r>
      <w:r>
        <w:rPr>
          <w:color w:val="231F20"/>
          <w:spacing w:val="-5"/>
        </w:rPr>
        <w:t> </w:t>
      </w:r>
      <w:r>
        <w:rPr>
          <w:color w:val="231F20"/>
        </w:rPr>
        <w:t>provenientes</w:t>
      </w:r>
      <w:r>
        <w:rPr>
          <w:color w:val="231F20"/>
          <w:spacing w:val="-5"/>
        </w:rPr>
        <w:t> </w:t>
      </w:r>
      <w:r>
        <w:rPr>
          <w:color w:val="231F20"/>
        </w:rPr>
        <w:t>de</w:t>
      </w:r>
      <w:r>
        <w:rPr>
          <w:color w:val="231F20"/>
          <w:spacing w:val="-5"/>
        </w:rPr>
        <w:t> </w:t>
      </w:r>
      <w:r>
        <w:rPr>
          <w:color w:val="231F20"/>
        </w:rPr>
        <w:t>flujos</w:t>
      </w:r>
      <w:r>
        <w:rPr>
          <w:color w:val="231F20"/>
          <w:w w:val="97"/>
        </w:rPr>
        <w:t> </w:t>
      </w:r>
      <w:r>
        <w:rPr>
          <w:color w:val="231F20"/>
        </w:rPr>
        <w:t>comerciales por rama de actividad y los comparamos con los flujos</w:t>
      </w:r>
      <w:r>
        <w:rPr>
          <w:color w:val="231F20"/>
          <w:spacing w:val="20"/>
        </w:rPr>
        <w:t> </w:t>
      </w:r>
      <w:r>
        <w:rPr>
          <w:color w:val="231F20"/>
        </w:rPr>
        <w:t>pro-</w:t>
      </w:r>
    </w:p>
    <w:p>
      <w:pPr>
        <w:pStyle w:val="BodyText"/>
        <w:spacing w:before="1"/>
        <w:ind w:left="113"/>
        <w:jc w:val="both"/>
      </w:pPr>
      <w:r>
        <w:rPr>
          <w:color w:val="231F20"/>
        </w:rPr>
        <w:t>medio en el periodo 2002-2012.</w:t>
      </w:r>
    </w:p>
    <w:p>
      <w:pPr>
        <w:pStyle w:val="BodyText"/>
        <w:spacing w:line="249" w:lineRule="auto" w:before="10"/>
        <w:ind w:left="113" w:right="108" w:firstLine="325"/>
        <w:jc w:val="both"/>
        <w:rPr>
          <w:sz w:val="11"/>
        </w:rPr>
      </w:pPr>
      <w:r>
        <w:rPr>
          <w:color w:val="231F20"/>
        </w:rPr>
        <w:t>Las</w:t>
      </w:r>
      <w:r>
        <w:rPr>
          <w:color w:val="231F20"/>
          <w:spacing w:val="-9"/>
        </w:rPr>
        <w:t> </w:t>
      </w:r>
      <w:r>
        <w:rPr>
          <w:color w:val="231F20"/>
        </w:rPr>
        <w:t>ramas</w:t>
      </w:r>
      <w:r>
        <w:rPr>
          <w:color w:val="231F20"/>
          <w:spacing w:val="-9"/>
        </w:rPr>
        <w:t> </w:t>
      </w:r>
      <w:r>
        <w:rPr>
          <w:color w:val="231F20"/>
        </w:rPr>
        <w:t>se</w:t>
      </w:r>
      <w:r>
        <w:rPr>
          <w:color w:val="231F20"/>
          <w:spacing w:val="-9"/>
        </w:rPr>
        <w:t> </w:t>
      </w:r>
      <w:r>
        <w:rPr>
          <w:color w:val="231F20"/>
        </w:rPr>
        <w:t>clasifican</w:t>
      </w:r>
      <w:r>
        <w:rPr>
          <w:color w:val="231F20"/>
          <w:spacing w:val="-9"/>
        </w:rPr>
        <w:t> </w:t>
      </w:r>
      <w:r>
        <w:rPr>
          <w:color w:val="231F20"/>
        </w:rPr>
        <w:t>entonces</w:t>
      </w:r>
      <w:r>
        <w:rPr>
          <w:color w:val="231F20"/>
          <w:spacing w:val="-9"/>
        </w:rPr>
        <w:t> </w:t>
      </w:r>
      <w:r>
        <w:rPr>
          <w:color w:val="231F20"/>
        </w:rPr>
        <w:t>en</w:t>
      </w:r>
      <w:r>
        <w:rPr>
          <w:color w:val="231F20"/>
          <w:spacing w:val="-9"/>
        </w:rPr>
        <w:t> </w:t>
      </w:r>
      <w:r>
        <w:rPr>
          <w:color w:val="231F20"/>
        </w:rPr>
        <w:t>sectores</w:t>
      </w:r>
      <w:r>
        <w:rPr>
          <w:color w:val="231F20"/>
          <w:spacing w:val="-9"/>
        </w:rPr>
        <w:t> </w:t>
      </w:r>
      <w:r>
        <w:rPr>
          <w:color w:val="231F20"/>
        </w:rPr>
        <w:t>transables,</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pre- sentan flujos de bienes o servicios que se intercambiaron entre México  y otros socios comerciales durante 2002-2012 por encima de la mediana de los flujos comerciales de las ramas analizadas. Mientras que se con- sidera como sectores no transables a aquellas ramas que no presentan flujos de bienes o servicios que se intercambian entre el país de estudio y otros socios comerciales, o que lo hacen en escasa magnitud (criterio  I, primera</w:t>
      </w:r>
      <w:r>
        <w:rPr>
          <w:color w:val="231F20"/>
          <w:spacing w:val="2"/>
        </w:rPr>
        <w:t> </w:t>
      </w:r>
      <w:r>
        <w:rPr>
          <w:color w:val="231F20"/>
        </w:rPr>
        <w:t>área).</w:t>
      </w:r>
      <w:r>
        <w:rPr>
          <w:color w:val="231F20"/>
          <w:position w:val="7"/>
          <w:sz w:val="11"/>
        </w:rPr>
        <w:t>6</w:t>
      </w:r>
    </w:p>
    <w:p>
      <w:pPr>
        <w:spacing w:line="184" w:lineRule="auto" w:before="131"/>
        <w:ind w:left="113" w:right="108" w:firstLine="0"/>
        <w:jc w:val="both"/>
        <w:rPr>
          <w:sz w:val="18"/>
        </w:rPr>
      </w:pPr>
      <w:r>
        <w:rPr>
          <w:color w:val="231F20"/>
          <w:position w:val="5"/>
          <w:sz w:val="8"/>
        </w:rPr>
        <w:t>6 </w:t>
      </w:r>
      <w:r>
        <w:rPr>
          <w:color w:val="231F20"/>
          <w:sz w:val="18"/>
        </w:rPr>
        <w:t>Nuestra clasificación, por tanto refleja más lo “comercializado” de manera</w:t>
      </w:r>
      <w:r>
        <w:rPr>
          <w:color w:val="231F20"/>
          <w:spacing w:val="-15"/>
          <w:sz w:val="18"/>
        </w:rPr>
        <w:t> </w:t>
      </w:r>
      <w:r>
        <w:rPr>
          <w:color w:val="231F20"/>
          <w:sz w:val="18"/>
        </w:rPr>
        <w:t>con- creta que la capacidad que, ante algún cambio en los precios relativos, la pro- ducción</w:t>
      </w:r>
      <w:r>
        <w:rPr>
          <w:color w:val="231F20"/>
          <w:spacing w:val="23"/>
          <w:sz w:val="18"/>
        </w:rPr>
        <w:t> </w:t>
      </w:r>
      <w:r>
        <w:rPr>
          <w:color w:val="231F20"/>
          <w:sz w:val="18"/>
        </w:rPr>
        <w:t>se</w:t>
      </w:r>
      <w:r>
        <w:rPr>
          <w:color w:val="231F20"/>
          <w:spacing w:val="23"/>
          <w:sz w:val="18"/>
        </w:rPr>
        <w:t> </w:t>
      </w:r>
      <w:r>
        <w:rPr>
          <w:color w:val="231F20"/>
          <w:sz w:val="18"/>
        </w:rPr>
        <w:t>oriente</w:t>
      </w:r>
      <w:r>
        <w:rPr>
          <w:color w:val="231F20"/>
          <w:spacing w:val="23"/>
          <w:sz w:val="18"/>
        </w:rPr>
        <w:t> </w:t>
      </w:r>
      <w:r>
        <w:rPr>
          <w:color w:val="231F20"/>
          <w:sz w:val="18"/>
        </w:rPr>
        <w:t>hacia</w:t>
      </w:r>
      <w:r>
        <w:rPr>
          <w:color w:val="231F20"/>
          <w:spacing w:val="23"/>
          <w:sz w:val="18"/>
        </w:rPr>
        <w:t> </w:t>
      </w:r>
      <w:r>
        <w:rPr>
          <w:color w:val="231F20"/>
          <w:sz w:val="18"/>
        </w:rPr>
        <w:t>afuera.</w:t>
      </w:r>
      <w:r>
        <w:rPr>
          <w:color w:val="231F20"/>
          <w:spacing w:val="22"/>
          <w:sz w:val="18"/>
        </w:rPr>
        <w:t> </w:t>
      </w:r>
      <w:r>
        <w:rPr>
          <w:color w:val="231F20"/>
          <w:sz w:val="18"/>
        </w:rPr>
        <w:t>Retomando</w:t>
      </w:r>
      <w:r>
        <w:rPr>
          <w:color w:val="231F20"/>
          <w:spacing w:val="23"/>
          <w:sz w:val="18"/>
        </w:rPr>
        <w:t> </w:t>
      </w:r>
      <w:r>
        <w:rPr>
          <w:color w:val="231F20"/>
          <w:sz w:val="18"/>
        </w:rPr>
        <w:t>una</w:t>
      </w:r>
      <w:r>
        <w:rPr>
          <w:color w:val="231F20"/>
          <w:spacing w:val="23"/>
          <w:sz w:val="18"/>
        </w:rPr>
        <w:t> </w:t>
      </w:r>
      <w:r>
        <w:rPr>
          <w:color w:val="231F20"/>
          <w:sz w:val="18"/>
        </w:rPr>
        <w:t>de</w:t>
      </w:r>
      <w:r>
        <w:rPr>
          <w:color w:val="231F20"/>
          <w:spacing w:val="23"/>
          <w:sz w:val="18"/>
        </w:rPr>
        <w:t> </w:t>
      </w:r>
      <w:r>
        <w:rPr>
          <w:color w:val="231F20"/>
          <w:sz w:val="18"/>
        </w:rPr>
        <w:t>las</w:t>
      </w:r>
      <w:r>
        <w:rPr>
          <w:color w:val="231F20"/>
          <w:spacing w:val="23"/>
          <w:sz w:val="18"/>
        </w:rPr>
        <w:t> </w:t>
      </w:r>
      <w:r>
        <w:rPr>
          <w:color w:val="231F20"/>
          <w:sz w:val="18"/>
        </w:rPr>
        <w:t>premisas</w:t>
      </w:r>
      <w:r>
        <w:rPr>
          <w:color w:val="231F20"/>
          <w:spacing w:val="23"/>
          <w:sz w:val="18"/>
        </w:rPr>
        <w:t> </w:t>
      </w:r>
      <w:r>
        <w:rPr>
          <w:color w:val="231F20"/>
          <w:sz w:val="18"/>
        </w:rPr>
        <w:t>de</w:t>
      </w:r>
      <w:r>
        <w:rPr>
          <w:color w:val="231F20"/>
          <w:spacing w:val="23"/>
          <w:sz w:val="18"/>
        </w:rPr>
        <w:t> </w:t>
      </w:r>
      <w:r>
        <w:rPr>
          <w:color w:val="231F20"/>
          <w:sz w:val="18"/>
        </w:rPr>
        <w:t>Knight</w:t>
      </w:r>
      <w:r>
        <w:rPr>
          <w:color w:val="231F20"/>
          <w:spacing w:val="23"/>
          <w:sz w:val="18"/>
        </w:rPr>
        <w:t> </w:t>
      </w:r>
      <w:r>
        <w:rPr>
          <w:color w:val="231F20"/>
          <w:sz w:val="18"/>
        </w:rPr>
        <w:t>y</w:t>
      </w:r>
    </w:p>
    <w:p>
      <w:pPr>
        <w:spacing w:after="0" w:line="184" w:lineRule="auto"/>
        <w:jc w:val="both"/>
        <w:rPr>
          <w:sz w:val="18"/>
        </w:rPr>
        <w:sectPr>
          <w:footerReference w:type="default" r:id="rId101"/>
          <w:pgSz w:w="7770" w:h="11740"/>
          <w:pgMar w:footer="474" w:header="0" w:top="840" w:bottom="660" w:left="1020" w:right="740"/>
          <w:pgNumType w:start="93"/>
        </w:sectPr>
      </w:pPr>
    </w:p>
    <w:p>
      <w:pPr>
        <w:spacing w:line="254" w:lineRule="auto" w:before="54"/>
        <w:ind w:left="104" w:right="213" w:firstLine="0"/>
        <w:jc w:val="left"/>
        <w:rPr>
          <w:sz w:val="18"/>
        </w:rPr>
      </w:pPr>
      <w:r>
        <w:rPr/>
        <w:pict>
          <v:group style="position:absolute;margin-left:56.195538pt;margin-top:26.386402pt;width:249.5pt;height:426.9pt;mso-position-horizontal-relative:page;mso-position-vertical-relative:paragraph;z-index:2824;mso-wrap-distance-left:0;mso-wrap-distance-right:0" coordorigin="1124,528" coordsize="4990,8538">
            <v:shape style="position:absolute;left:4413;top:4435;width:1652;height:457" coordorigin="4413,4435" coordsize="1652,457" path="m4624,4891l5854,4891,5921,4879,5979,4847,6024,4797,6054,4735,6065,4663,6054,4591,6024,4528,5979,4479,5921,4446,5854,4435,4624,4435,4557,4446,4500,4479,4454,4528,4424,4591,4413,4663,4424,4735,4454,4797,4500,4847,4557,4879,4624,4891xe" filled="false" stroked="true" strokeweight=".946057pt" strokecolor="#000000">
              <v:path arrowok="t"/>
            </v:shape>
            <v:shape style="position:absolute;left:4333;top:4618;width:81;height:88" coordorigin="4333,4618" coordsize="81,88" path="m4333,4706l4333,4618,4413,4663,4333,4706xe" filled="true" fillcolor="#000000" stroked="false">
              <v:path arrowok="t"/>
              <v:fill type="solid"/>
            </v:shape>
            <v:shape style="position:absolute;left:2373;top:1816;width:1277;height:534" type="#_x0000_t75" stroked="false">
              <v:imagedata r:id="rId102" o:title=""/>
            </v:shape>
            <v:shape style="position:absolute;left:2371;top:1747;width:1280;height:673" coordorigin="2371,1747" coordsize="1280,673" path="m2371,2083l3010,1747,3651,2083,3010,2419,2371,2083xe" filled="false" stroked="true" strokeweight=".934992pt" strokecolor="#000000">
              <v:path arrowok="t"/>
            </v:shape>
            <v:shape style="position:absolute;left:2310;top:692;width:1374;height:539" type="#_x0000_t75" stroked="false">
              <v:imagedata r:id="rId103" o:title=""/>
            </v:shape>
            <v:rect style="position:absolute;left:2424;top:626;width:1155;height:672" filled="false" stroked="true" strokeweight=".932213pt" strokecolor="#000000"/>
            <v:line style="position:absolute" from="3003,1298" to="3009,1670" stroked="true" strokeweight=".875428pt" strokecolor="#000000"/>
            <v:shape style="position:absolute;left:2968;top:1658;width:82;height:89" coordorigin="2968,1658" coordsize="82,89" path="m3010,1747l2968,1661,3050,1658,3010,1747xe" filled="true" fillcolor="#000000" stroked="false">
              <v:path arrowok="t"/>
              <v:fill type="solid"/>
            </v:shape>
            <v:line style="position:absolute" from="3651,2083" to="3814,2083" stroked="true" strokeweight=".951446pt" strokecolor="#000000"/>
            <v:line style="position:absolute" from="3982,2083" to="4076,2083" stroked="true" strokeweight=".951446pt" strokecolor="#000000"/>
            <v:shape style="position:absolute;left:4065;top:2040;width:81;height:88" coordorigin="4065,2040" coordsize="81,88" path="m4065,2128l4065,2040,4145,2083,4065,2128xe" filled="true" fillcolor="#000000" stroked="false">
              <v:path arrowok="t"/>
              <v:fill type="solid"/>
            </v:shape>
            <v:shape style="position:absolute;left:3827;top:2003;width:164;height:187" type="#_x0000_t75" stroked="false">
              <v:imagedata r:id="rId104" o:title=""/>
            </v:shape>
            <v:line style="position:absolute" from="3010,2727" to="3010,2419" stroked="true" strokeweight=".875412pt" strokecolor="#000000"/>
            <v:line style="position:absolute" from="3010,3129" to="3010,2898" stroked="true" strokeweight=".875412pt" strokecolor="#000000"/>
            <v:shape style="position:absolute;left:2969;top:3118;width:82;height:88" coordorigin="2969,3118" coordsize="82,88" path="m3010,3206l2969,3118,3051,3118,3010,3206xe" filled="true" fillcolor="#000000" stroked="false">
              <v:path arrowok="t"/>
              <v:fill type="solid"/>
            </v:shape>
            <v:shape style="position:absolute;left:2974;top:2734;width:97;height:183" type="#_x0000_t75" stroked="false">
              <v:imagedata r:id="rId105" o:title=""/>
            </v:shape>
            <v:shape style="position:absolute;left:4136;top:1850;width:1670;height:468" type="#_x0000_t75" stroked="false">
              <v:imagedata r:id="rId106" o:title=""/>
            </v:shape>
            <v:shape style="position:absolute;left:2223;top:3203;width:1574;height:452" type="#_x0000_t75" stroked="false">
              <v:imagedata r:id="rId107" o:title=""/>
            </v:shape>
            <v:shape style="position:absolute;left:2226;top:3206;width:1570;height:448" coordorigin="2226,3206" coordsize="1570,448" path="m2432,3653l3589,3653,3654,3641,3711,3610,3755,3561,3785,3500,3795,3429,3785,3359,3755,3297,3711,3249,3654,3217,3589,3206,2432,3206,2367,3217,2310,3249,2265,3297,2236,3359,2226,3429,2236,3500,2265,3561,2310,3610,2367,3641,2432,3653xe" filled="false" stroked="true" strokeweight=".945737pt" strokecolor="#000000">
              <v:path arrowok="t"/>
            </v:shape>
            <v:shape style="position:absolute;left:2310;top:4392;width:1403;height:539" type="#_x0000_t75" stroked="false">
              <v:imagedata r:id="rId108" o:title=""/>
            </v:shape>
            <v:shape style="position:absolute;left:2309;top:4325;width:1404;height:674" coordorigin="2309,4325" coordsize="1404,674" path="m2309,4663l3010,4325,3712,4663,3010,4999,2309,4663xe" filled="false" stroked="true" strokeweight=".937202pt" strokecolor="#000000">
              <v:path arrowok="t"/>
            </v:shape>
            <v:line style="position:absolute" from="3010,5282" to="3010,4999" stroked="true" strokeweight=".875412pt" strokecolor="#000000"/>
            <v:line style="position:absolute" from="3010,5658" to="3010,5452" stroked="true" strokeweight=".875412pt" strokecolor="#000000"/>
            <v:shape style="position:absolute;left:2969;top:5646;width:82;height:89" coordorigin="2969,5646" coordsize="82,89" path="m3010,5735l2969,5646,3051,5646,3010,5735xe" filled="true" fillcolor="#000000" stroked="false">
              <v:path arrowok="t"/>
              <v:fill type="solid"/>
            </v:shape>
            <v:shape style="position:absolute;left:2957;top:5282;width:126;height:178" type="#_x0000_t75" stroked="false">
              <v:imagedata r:id="rId109" o:title=""/>
            </v:shape>
            <v:line style="position:absolute" from="3010,3653" to="3010,4250" stroked="true" strokeweight=".875412pt" strokecolor="#000000"/>
            <v:shape style="position:absolute;left:2969;top:4239;width:82;height:86" coordorigin="2969,4239" coordsize="82,86" path="m3010,4325l2969,4239,3051,4239,3010,4325xe" filled="true" fillcolor="#000000" stroked="false">
              <v:path arrowok="t"/>
              <v:fill type="solid"/>
            </v:shape>
            <v:shape style="position:absolute;left:1124;top:528;width:4989;height:3312" type="#_x0000_t75" stroked="false">
              <v:imagedata r:id="rId110" o:title=""/>
            </v:shape>
            <v:shape style="position:absolute;left:4478;top:3341;width:1525;height:311" type="#_x0000_t75" stroked="false">
              <v:imagedata r:id="rId111" o:title=""/>
            </v:shape>
            <v:shape style="position:absolute;left:4411;top:4432;width:1656;height:461" type="#_x0000_t75" stroked="false">
              <v:imagedata r:id="rId112" o:title=""/>
            </v:shape>
            <v:shape style="position:absolute;left:2182;top:5732;width:1656;height:462" type="#_x0000_t75" stroked="false">
              <v:imagedata r:id="rId113" o:title=""/>
            </v:shape>
            <v:shape style="position:absolute;left:2185;top:5735;width:1652;height:458" coordorigin="2185,5735" coordsize="1652,458" path="m2395,6192l3626,6192,3692,6181,3750,6148,3795,6099,3825,6036,3836,5964,3825,5891,3795,5828,3750,5779,3692,5746,3626,5735,2395,5735,2329,5746,2271,5779,2225,5828,2195,5891,2185,5964,2195,6036,2225,6099,2271,6148,2329,6181,2395,6192xe" filled="false" stroked="true" strokeweight=".946024pt" strokecolor="#000000">
              <v:path arrowok="t"/>
            </v:shape>
            <v:shape style="position:absolute;left:3986;top:4579;width:176;height:174" type="#_x0000_t75" stroked="false">
              <v:imagedata r:id="rId114" o:title=""/>
            </v:shape>
            <v:shape style="position:absolute;left:1124;top:3936;width:4989;height:2528" type="#_x0000_t75" stroked="false">
              <v:imagedata r:id="rId115" o:title=""/>
            </v:shape>
            <v:shape style="position:absolute;left:4516;top:5803;width:1530;height:311" type="#_x0000_t75" stroked="false">
              <v:imagedata r:id="rId116" o:title=""/>
            </v:shape>
            <v:shape style="position:absolute;left:2289;top:6940;width:1445;height:735" type="#_x0000_t75" stroked="false">
              <v:imagedata r:id="rId117" o:title=""/>
            </v:shape>
            <v:shape style="position:absolute;left:2288;top:6870;width:1445;height:876" coordorigin="2288,6870" coordsize="1445,876" path="m2288,7309l3010,6870,3732,7309,3010,7746,2288,7309xe" filled="false" stroked="true" strokeweight=".931024pt" strokecolor="#000000">
              <v:path arrowok="t"/>
            </v:shape>
            <v:shape style="position:absolute;left:3010;top:7746;width:1210;height:101" coordorigin="3010,7746" coordsize="1210,101" path="m3010,7746l3010,7846,4220,7846e" filled="false" stroked="true" strokeweight=".950923pt" strokecolor="#000000">
              <v:path arrowok="t"/>
            </v:shape>
            <v:shape style="position:absolute;left:4209;top:7803;width:82;height:88" coordorigin="4209,7803" coordsize="82,88" path="m4209,7891l4209,7803,4291,7846,4209,7891xe" filled="true" fillcolor="#000000" stroked="false">
              <v:path arrowok="t"/>
              <v:fill type="solid"/>
            </v:shape>
            <v:shape style="position:absolute;left:3542;top:7760;width:138;height:180" type="#_x0000_t75" stroked="false">
              <v:imagedata r:id="rId118" o:title=""/>
            </v:shape>
            <v:shape style="position:absolute;left:4289;top:7620;width:1656;height:453" type="#_x0000_t75" stroked="false">
              <v:imagedata r:id="rId119" o:title=""/>
            </v:shape>
            <v:shape style="position:absolute;left:4291;top:7623;width:1652;height:449" coordorigin="4291,7623" coordsize="1652,449" path="m4497,8071l5735,8071,5800,8060,5857,8028,5902,7979,5931,7918,5942,7847,5931,7776,5902,7714,5857,7666,5800,7634,5735,7623,4497,7623,4432,7634,4375,7666,4331,7714,4301,7776,4291,7847,4301,7918,4331,7979,4375,8028,4432,8060,4497,8071xe" filled="false" stroked="true" strokeweight=".946218pt" strokecolor="#000000">
              <v:path arrowok="t"/>
            </v:shape>
            <v:shape style="position:absolute;left:4285;top:7081;width:1656;height:453" type="#_x0000_t75" stroked="false">
              <v:imagedata r:id="rId120" o:title=""/>
            </v:shape>
            <v:shape style="position:absolute;left:4287;top:7084;width:1652;height:449" coordorigin="4287,7084" coordsize="1652,449" path="m4493,7532l5731,7532,5796,7521,5853,7489,5898,7441,5927,7379,5938,7308,5927,7237,5898,7176,5853,7127,5796,7095,5731,7084,4493,7084,4428,7095,4371,7127,4327,7176,4297,7237,4287,7308,4297,7379,4327,7441,4371,7489,4428,7521,4493,7532xe" filled="false" stroked="true" strokeweight=".946218pt" strokecolor="#000000">
              <v:path arrowok="t"/>
            </v:shape>
            <v:line style="position:absolute" from="4093,7309" to="4216,7309" stroked="true" strokeweight=".951446pt" strokecolor="#000000"/>
            <v:shape style="position:absolute;left:4206;top:7264;width:81;height:88" coordorigin="4206,7264" coordsize="81,88" path="m4206,7352l4206,7264,4287,7309,4206,7352xe" filled="true" fillcolor="#000000" stroked="false">
              <v:path arrowok="t"/>
              <v:fill type="solid"/>
            </v:shape>
            <v:shape style="position:absolute;left:3932;top:7223;width:181;height:178" type="#_x0000_t75" stroked="false">
              <v:imagedata r:id="rId121" o:title=""/>
            </v:shape>
            <v:line style="position:absolute" from="3010,6192" to="3010,6795" stroked="true" strokeweight=".875412pt" strokecolor="#000000"/>
            <v:shape style="position:absolute;left:2969;top:6783;width:82;height:88" coordorigin="2969,6783" coordsize="82,88" path="m3010,6870l2969,6783,3051,6783,3010,6870xe" filled="true" fillcolor="#000000" stroked="false">
              <v:path arrowok="t"/>
              <v:fill type="solid"/>
            </v:shape>
            <v:shape style="position:absolute;left:1124;top:6538;width:4989;height:2528" type="#_x0000_t75" stroked="false">
              <v:imagedata r:id="rId122" o:title=""/>
            </v:shape>
            <v:shape style="position:absolute;left:4352;top:8401;width:1529;height:311" type="#_x0000_t75" stroked="false">
              <v:imagedata r:id="rId116" o:title=""/>
            </v:shape>
            <v:shape style="position:absolute;left:1297;top:2419;width:1513;height:525" type="#_x0000_t75" stroked="false">
              <v:imagedata r:id="rId123" o:title=""/>
            </v:shape>
            <v:shape style="position:absolute;left:1289;top:4908;width:1567;height:900" type="#_x0000_t75" stroked="false">
              <v:imagedata r:id="rId124" o:title=""/>
            </v:shape>
            <v:shape style="position:absolute;left:1604;top:7840;width:882;height:187" type="#_x0000_t75" stroked="false">
              <v:imagedata r:id="rId125" o:title=""/>
            </v:shape>
            <v:shape style="position:absolute;left:2507;top:716;width:981;height:512" type="#_x0000_t202" filled="false" stroked="false">
              <v:textbox inset="0,0,0,0">
                <w:txbxContent>
                  <w:p>
                    <w:pPr>
                      <w:spacing w:line="155" w:lineRule="exact" w:before="0"/>
                      <w:ind w:left="205" w:right="-12" w:hanging="5"/>
                      <w:jc w:val="left"/>
                      <w:rPr>
                        <w:rFonts w:ascii="Cambria"/>
                        <w:sz w:val="15"/>
                      </w:rPr>
                    </w:pPr>
                    <w:r>
                      <w:rPr>
                        <w:rFonts w:ascii="Cambria"/>
                        <w:w w:val="95"/>
                        <w:sz w:val="15"/>
                      </w:rPr>
                      <w:t>Ramas de</w:t>
                    </w:r>
                  </w:p>
                  <w:p>
                    <w:pPr>
                      <w:spacing w:line="174" w:lineRule="exact" w:before="10"/>
                      <w:ind w:left="0" w:right="-12" w:firstLine="205"/>
                      <w:jc w:val="left"/>
                      <w:rPr>
                        <w:rFonts w:ascii="Cambria" w:hAnsi="Cambria"/>
                        <w:sz w:val="15"/>
                      </w:rPr>
                    </w:pPr>
                    <w:r>
                      <w:rPr>
                        <w:rFonts w:ascii="Cambria" w:hAnsi="Cambria"/>
                        <w:sz w:val="15"/>
                      </w:rPr>
                      <w:t>Actividad </w:t>
                    </w:r>
                    <w:r>
                      <w:rPr>
                        <w:rFonts w:ascii="Cambria" w:hAnsi="Cambria"/>
                        <w:w w:val="95"/>
                        <w:sz w:val="15"/>
                      </w:rPr>
                      <w:t>SCIAN* 4</w:t>
                    </w:r>
                    <w:r>
                      <w:rPr>
                        <w:rFonts w:ascii="Cambria" w:hAnsi="Cambria"/>
                        <w:spacing w:val="-20"/>
                        <w:w w:val="95"/>
                        <w:sz w:val="15"/>
                      </w:rPr>
                      <w:t> </w:t>
                    </w:r>
                    <w:r>
                      <w:rPr>
                        <w:rFonts w:ascii="Cambria" w:hAnsi="Cambria"/>
                        <w:w w:val="95"/>
                        <w:sz w:val="15"/>
                      </w:rPr>
                      <w:t>d</w:t>
                    </w:r>
                    <w:r>
                      <w:rPr>
                        <w:rFonts w:ascii="Calibri" w:hAnsi="Calibri"/>
                        <w:w w:val="95"/>
                        <w:sz w:val="15"/>
                      </w:rPr>
                      <w:t>í</w:t>
                    </w:r>
                    <w:r>
                      <w:rPr>
                        <w:rFonts w:ascii="Cambria" w:hAnsi="Cambria"/>
                        <w:w w:val="95"/>
                        <w:sz w:val="15"/>
                      </w:rPr>
                      <w:t>gitos</w:t>
                    </w:r>
                  </w:p>
                </w:txbxContent>
              </v:textbox>
              <w10:wrap type="none"/>
            </v:shape>
            <v:shape style="position:absolute;left:2549;top:2018;width:1406;height:160" type="#_x0000_t202" filled="false" stroked="false">
              <v:textbox inset="0,0,0,0">
                <w:txbxContent>
                  <w:p>
                    <w:pPr>
                      <w:tabs>
                        <w:tab w:pos="1310" w:val="left" w:leader="none"/>
                      </w:tabs>
                      <w:spacing w:line="160" w:lineRule="exact" w:before="0"/>
                      <w:ind w:left="0" w:right="0" w:firstLine="0"/>
                      <w:jc w:val="left"/>
                      <w:rPr>
                        <w:rFonts w:ascii="Cambria" w:hAnsi="Cambria"/>
                        <w:sz w:val="15"/>
                      </w:rPr>
                    </w:pPr>
                    <w:r>
                      <w:rPr>
                        <w:rFonts w:ascii="Arial" w:hAnsi="Arial"/>
                        <w:position w:val="1"/>
                        <w:sz w:val="15"/>
                      </w:rPr>
                      <w:t>¿Es</w:t>
                    </w:r>
                    <w:r>
                      <w:rPr>
                        <w:rFonts w:ascii="Arial" w:hAnsi="Arial"/>
                        <w:spacing w:val="-23"/>
                        <w:position w:val="1"/>
                        <w:sz w:val="15"/>
                      </w:rPr>
                      <w:t> </w:t>
                    </w:r>
                    <w:r>
                      <w:rPr>
                        <w:rFonts w:ascii="Cambria" w:hAnsi="Cambria"/>
                        <w:position w:val="1"/>
                        <w:sz w:val="15"/>
                      </w:rPr>
                      <w:t>transable</w:t>
                    </w:r>
                    <w:r>
                      <w:rPr>
                        <w:rFonts w:ascii="Arial" w:hAnsi="Arial"/>
                        <w:position w:val="1"/>
                        <w:sz w:val="15"/>
                      </w:rPr>
                      <w:t>?</w:t>
                      <w:tab/>
                    </w:r>
                    <w:r>
                      <w:rPr>
                        <w:rFonts w:ascii="Cambria" w:hAnsi="Cambria"/>
                        <w:w w:val="90"/>
                        <w:sz w:val="15"/>
                      </w:rPr>
                      <w:t>N</w:t>
                    </w:r>
                  </w:p>
                </w:txbxContent>
              </v:textbox>
              <w10:wrap type="none"/>
            </v:shape>
            <v:shape style="position:absolute;left:4587;top:2013;width:766;height:151" type="#_x0000_t202" filled="false" stroked="false">
              <v:textbox inset="0,0,0,0">
                <w:txbxContent>
                  <w:p>
                    <w:pPr>
                      <w:spacing w:line="151" w:lineRule="exact" w:before="0"/>
                      <w:ind w:left="0" w:right="-16" w:firstLine="0"/>
                      <w:jc w:val="left"/>
                      <w:rPr>
                        <w:rFonts w:ascii="Cambria"/>
                        <w:sz w:val="15"/>
                      </w:rPr>
                    </w:pPr>
                    <w:r>
                      <w:rPr>
                        <w:rFonts w:ascii="Cambria"/>
                        <w:w w:val="95"/>
                        <w:sz w:val="15"/>
                      </w:rPr>
                      <w:t>No</w:t>
                    </w:r>
                    <w:r>
                      <w:rPr>
                        <w:rFonts w:ascii="Cambria"/>
                        <w:spacing w:val="-16"/>
                        <w:w w:val="95"/>
                        <w:sz w:val="15"/>
                      </w:rPr>
                      <w:t> </w:t>
                    </w:r>
                    <w:r>
                      <w:rPr>
                        <w:rFonts w:ascii="Cambria"/>
                        <w:w w:val="95"/>
                        <w:sz w:val="15"/>
                      </w:rPr>
                      <w:t>transable</w:t>
                    </w:r>
                  </w:p>
                </w:txbxContent>
              </v:textbox>
              <w10:wrap type="none"/>
            </v:shape>
            <v:shape style="position:absolute;left:1482;top:2439;width:1574;height:494" type="#_x0000_t202" filled="false" stroked="false">
              <v:textbox inset="0,0,0,0">
                <w:txbxContent>
                  <w:p>
                    <w:pPr>
                      <w:spacing w:line="154" w:lineRule="exact" w:before="0"/>
                      <w:ind w:left="0" w:right="396" w:firstLine="0"/>
                      <w:jc w:val="center"/>
                      <w:rPr>
                        <w:sz w:val="15"/>
                      </w:rPr>
                    </w:pPr>
                    <w:r>
                      <w:rPr>
                        <w:sz w:val="15"/>
                      </w:rPr>
                      <w:t>X</w:t>
                    </w:r>
                    <w:r>
                      <w:rPr>
                        <w:spacing w:val="-16"/>
                        <w:sz w:val="15"/>
                      </w:rPr>
                      <w:t> </w:t>
                    </w:r>
                    <w:r>
                      <w:rPr>
                        <w:sz w:val="15"/>
                      </w:rPr>
                      <w:t>(2002</w:t>
                    </w:r>
                    <w:r>
                      <w:rPr>
                        <w:spacing w:val="-18"/>
                        <w:sz w:val="15"/>
                      </w:rPr>
                      <w:t> </w:t>
                    </w:r>
                    <w:r>
                      <w:rPr>
                        <w:sz w:val="15"/>
                      </w:rPr>
                      <w:t>–</w:t>
                    </w:r>
                    <w:r>
                      <w:rPr>
                        <w:spacing w:val="-18"/>
                        <w:sz w:val="15"/>
                      </w:rPr>
                      <w:t> </w:t>
                    </w:r>
                    <w:r>
                      <w:rPr>
                        <w:sz w:val="15"/>
                      </w:rPr>
                      <w:t>2012)</w:t>
                    </w:r>
                    <w:r>
                      <w:rPr>
                        <w:spacing w:val="-19"/>
                        <w:sz w:val="15"/>
                      </w:rPr>
                      <w:t> </w:t>
                    </w:r>
                    <w:r>
                      <w:rPr>
                        <w:sz w:val="15"/>
                      </w:rPr>
                      <w:t>&gt;</w:t>
                    </w:r>
                    <w:r>
                      <w:rPr>
                        <w:spacing w:val="-16"/>
                        <w:sz w:val="15"/>
                      </w:rPr>
                      <w:t> </w:t>
                    </w:r>
                    <w:r>
                      <w:rPr>
                        <w:sz w:val="15"/>
                      </w:rPr>
                      <w:t>0</w:t>
                    </w:r>
                  </w:p>
                  <w:p>
                    <w:pPr>
                      <w:spacing w:line="159" w:lineRule="exact" w:before="1"/>
                      <w:ind w:left="0" w:right="392" w:firstLine="0"/>
                      <w:jc w:val="center"/>
                      <w:rPr>
                        <w:sz w:val="15"/>
                      </w:rPr>
                    </w:pPr>
                    <w:r>
                      <w:rPr>
                        <w:w w:val="92"/>
                        <w:sz w:val="15"/>
                      </w:rPr>
                      <w:t>ó</w:t>
                    </w:r>
                  </w:p>
                  <w:p>
                    <w:pPr>
                      <w:tabs>
                        <w:tab w:pos="1504" w:val="left" w:leader="none"/>
                      </w:tabs>
                      <w:spacing w:line="179" w:lineRule="exact" w:before="0"/>
                      <w:ind w:left="0" w:right="0" w:firstLine="0"/>
                      <w:jc w:val="left"/>
                      <w:rPr>
                        <w:rFonts w:ascii="Cambria"/>
                        <w:sz w:val="15"/>
                      </w:rPr>
                    </w:pPr>
                    <w:r>
                      <w:rPr>
                        <w:sz w:val="15"/>
                      </w:rPr>
                      <w:t>M</w:t>
                    </w:r>
                    <w:r>
                      <w:rPr>
                        <w:spacing w:val="-15"/>
                        <w:sz w:val="15"/>
                      </w:rPr>
                      <w:t> </w:t>
                    </w:r>
                    <w:r>
                      <w:rPr>
                        <w:sz w:val="15"/>
                      </w:rPr>
                      <w:t>(2002</w:t>
                    </w:r>
                    <w:r>
                      <w:rPr>
                        <w:spacing w:val="-9"/>
                        <w:sz w:val="15"/>
                      </w:rPr>
                      <w:t> </w:t>
                    </w:r>
                    <w:r>
                      <w:rPr>
                        <w:sz w:val="15"/>
                      </w:rPr>
                      <w:t>-</w:t>
                    </w:r>
                    <w:r>
                      <w:rPr>
                        <w:spacing w:val="-14"/>
                        <w:sz w:val="15"/>
                      </w:rPr>
                      <w:t> </w:t>
                    </w:r>
                    <w:r>
                      <w:rPr>
                        <w:sz w:val="15"/>
                      </w:rPr>
                      <w:t>2012)&gt;</w:t>
                    </w:r>
                    <w:r>
                      <w:rPr>
                        <w:spacing w:val="14"/>
                        <w:sz w:val="15"/>
                      </w:rPr>
                      <w:t> </w:t>
                    </w:r>
                    <w:r>
                      <w:rPr>
                        <w:sz w:val="15"/>
                      </w:rPr>
                      <w:t>0</w:t>
                      <w:tab/>
                    </w:r>
                    <w:r>
                      <w:rPr>
                        <w:rFonts w:ascii="Cambria"/>
                        <w:w w:val="90"/>
                        <w:position w:val="2"/>
                        <w:sz w:val="15"/>
                      </w:rPr>
                      <w:t>S</w:t>
                    </w:r>
                  </w:p>
                </w:txbxContent>
              </v:textbox>
              <w10:wrap type="none"/>
            </v:shape>
            <v:shape style="position:absolute;left:2709;top:3365;width:597;height:151" type="#_x0000_t202" filled="false" stroked="false">
              <v:textbox inset="0,0,0,0">
                <w:txbxContent>
                  <w:p>
                    <w:pPr>
                      <w:spacing w:line="151" w:lineRule="exact" w:before="0"/>
                      <w:ind w:left="0" w:right="-1" w:firstLine="0"/>
                      <w:jc w:val="left"/>
                      <w:rPr>
                        <w:rFonts w:ascii="Cambria"/>
                        <w:sz w:val="15"/>
                      </w:rPr>
                    </w:pPr>
                    <w:r>
                      <w:rPr>
                        <w:rFonts w:ascii="Cambria"/>
                        <w:w w:val="90"/>
                        <w:sz w:val="15"/>
                      </w:rPr>
                      <w:t>Transable</w:t>
                    </w:r>
                  </w:p>
                </w:txbxContent>
              </v:textbox>
              <w10:wrap type="none"/>
            </v:shape>
            <v:shape style="position:absolute;left:4974;top:3429;width:537;height:151" type="#_x0000_t202" filled="false" stroked="false">
              <v:textbox inset="0,0,0,0">
                <w:txbxContent>
                  <w:p>
                    <w:pPr>
                      <w:spacing w:line="151" w:lineRule="exact" w:before="0"/>
                      <w:ind w:left="0" w:right="-16" w:firstLine="0"/>
                      <w:jc w:val="left"/>
                      <w:rPr>
                        <w:rFonts w:ascii="Cambria"/>
                        <w:sz w:val="15"/>
                      </w:rPr>
                    </w:pPr>
                    <w:r>
                      <w:rPr>
                        <w:rFonts w:ascii="Cambria"/>
                        <w:w w:val="95"/>
                        <w:sz w:val="15"/>
                      </w:rPr>
                      <w:t>Criterio</w:t>
                    </w:r>
                    <w:r>
                      <w:rPr>
                        <w:rFonts w:ascii="Cambria"/>
                        <w:spacing w:val="-16"/>
                        <w:w w:val="95"/>
                        <w:sz w:val="15"/>
                      </w:rPr>
                      <w:t> </w:t>
                    </w:r>
                    <w:r>
                      <w:rPr>
                        <w:rFonts w:ascii="Cambria"/>
                        <w:w w:val="95"/>
                        <w:sz w:val="15"/>
                      </w:rPr>
                      <w:t>I</w:t>
                    </w:r>
                  </w:p>
                </w:txbxContent>
              </v:textbox>
              <w10:wrap type="none"/>
            </v:shape>
            <v:shape style="position:absolute;left:1532;top:4498;width:1972;height:772" type="#_x0000_t202" filled="false" stroked="false">
              <v:textbox inset="0,0,0,0">
                <w:txbxContent>
                  <w:p>
                    <w:pPr>
                      <w:spacing w:line="162" w:lineRule="exact" w:before="0"/>
                      <w:ind w:left="987" w:right="0" w:firstLine="0"/>
                      <w:jc w:val="center"/>
                      <w:rPr>
                        <w:rFonts w:ascii="Cambria" w:hAnsi="Cambria"/>
                        <w:sz w:val="15"/>
                      </w:rPr>
                    </w:pPr>
                    <w:r>
                      <w:rPr>
                        <w:rFonts w:ascii="Calibri" w:hAnsi="Calibri"/>
                        <w:w w:val="90"/>
                        <w:sz w:val="15"/>
                      </w:rPr>
                      <w:t>¿</w:t>
                    </w:r>
                    <w:r>
                      <w:rPr>
                        <w:rFonts w:ascii="Cambria" w:hAnsi="Cambria"/>
                        <w:w w:val="90"/>
                        <w:sz w:val="15"/>
                      </w:rPr>
                      <w:t>Mantiene flujos</w:t>
                    </w:r>
                  </w:p>
                  <w:p>
                    <w:pPr>
                      <w:spacing w:before="4"/>
                      <w:ind w:left="985" w:right="0" w:firstLine="0"/>
                      <w:jc w:val="center"/>
                      <w:rPr>
                        <w:rFonts w:ascii="Cambria"/>
                        <w:sz w:val="15"/>
                      </w:rPr>
                    </w:pPr>
                    <w:r>
                      <w:rPr>
                        <w:rFonts w:ascii="Cambria"/>
                        <w:sz w:val="15"/>
                      </w:rPr>
                      <w:t>bilaterales?</w:t>
                    </w:r>
                  </w:p>
                  <w:p>
                    <w:pPr>
                      <w:spacing w:before="66"/>
                      <w:ind w:left="0" w:right="888" w:firstLine="0"/>
                      <w:jc w:val="center"/>
                      <w:rPr>
                        <w:rFonts w:ascii="Cambria" w:hAnsi="Cambria"/>
                        <w:sz w:val="15"/>
                      </w:rPr>
                    </w:pPr>
                    <w:r>
                      <w:rPr>
                        <w:rFonts w:ascii="Cambria" w:hAnsi="Cambria"/>
                        <w:sz w:val="15"/>
                      </w:rPr>
                      <w:t>X</w:t>
                    </w:r>
                    <w:r>
                      <w:rPr>
                        <w:rFonts w:ascii="Cambria" w:hAnsi="Cambria"/>
                        <w:spacing w:val="-22"/>
                        <w:sz w:val="15"/>
                      </w:rPr>
                      <w:t> </w:t>
                    </w:r>
                    <w:r>
                      <w:rPr>
                        <w:rFonts w:ascii="Cambria" w:hAnsi="Cambria"/>
                        <w:sz w:val="15"/>
                      </w:rPr>
                      <w:t>(2002</w:t>
                    </w:r>
                    <w:r>
                      <w:rPr>
                        <w:rFonts w:ascii="Cambria" w:hAnsi="Cambria"/>
                        <w:spacing w:val="-19"/>
                        <w:sz w:val="15"/>
                      </w:rPr>
                      <w:t> </w:t>
                    </w:r>
                    <w:r>
                      <w:rPr>
                        <w:rFonts w:ascii="Calibri" w:hAnsi="Calibri"/>
                        <w:sz w:val="15"/>
                      </w:rPr>
                      <w:t>–</w:t>
                    </w:r>
                    <w:r>
                      <w:rPr>
                        <w:rFonts w:ascii="Calibri" w:hAnsi="Calibri"/>
                        <w:spacing w:val="-22"/>
                        <w:sz w:val="15"/>
                      </w:rPr>
                      <w:t> </w:t>
                    </w:r>
                    <w:r>
                      <w:rPr>
                        <w:rFonts w:ascii="Cambria" w:hAnsi="Cambria"/>
                        <w:sz w:val="15"/>
                      </w:rPr>
                      <w:t>2010)</w:t>
                    </w:r>
                    <w:r>
                      <w:rPr>
                        <w:rFonts w:ascii="Cambria" w:hAnsi="Cambria"/>
                        <w:spacing w:val="-22"/>
                        <w:sz w:val="15"/>
                      </w:rPr>
                      <w:t> </w:t>
                    </w:r>
                    <w:r>
                      <w:rPr>
                        <w:rFonts w:ascii="Cambria" w:hAnsi="Cambria"/>
                        <w:sz w:val="15"/>
                      </w:rPr>
                      <w:t>&gt;</w:t>
                    </w:r>
                  </w:p>
                  <w:p>
                    <w:pPr>
                      <w:spacing w:line="171" w:lineRule="exact" w:before="9"/>
                      <w:ind w:left="0" w:right="888" w:firstLine="0"/>
                      <w:jc w:val="center"/>
                      <w:rPr>
                        <w:rFonts w:ascii="Cambria"/>
                        <w:sz w:val="15"/>
                      </w:rPr>
                    </w:pPr>
                    <w:r>
                      <w:rPr>
                        <w:rFonts w:ascii="Cambria"/>
                        <w:sz w:val="15"/>
                      </w:rPr>
                      <w:t>Med</w:t>
                    </w:r>
                  </w:p>
                </w:txbxContent>
              </v:textbox>
              <w10:wrap type="none"/>
            </v:shape>
            <v:shape style="position:absolute;left:3712;top:4499;width:267;height:151" type="#_x0000_t202" filled="false" stroked="false">
              <v:textbox inset="0,0,0,0">
                <w:txbxContent>
                  <w:p>
                    <w:pPr>
                      <w:tabs>
                        <w:tab w:pos="266" w:val="left" w:leader="none"/>
                      </w:tabs>
                      <w:spacing w:line="151" w:lineRule="exact" w:before="0"/>
                      <w:ind w:left="0" w:right="0" w:firstLine="0"/>
                      <w:jc w:val="left"/>
                      <w:rPr>
                        <w:sz w:val="15"/>
                      </w:rPr>
                    </w:pPr>
                    <w:r>
                      <w:rPr>
                        <w:w w:val="92"/>
                        <w:sz w:val="15"/>
                        <w:u w:val="single"/>
                      </w:rPr>
                      <w:t> </w:t>
                    </w:r>
                    <w:r>
                      <w:rPr>
                        <w:sz w:val="15"/>
                        <w:u w:val="single"/>
                      </w:rPr>
                      <w:tab/>
                    </w:r>
                  </w:p>
                </w:txbxContent>
              </v:textbox>
              <w10:wrap type="none"/>
            </v:shape>
            <v:shape style="position:absolute;left:3986;top:4598;width:179;height:151" type="#_x0000_t202" filled="false" stroked="false">
              <v:textbox inset="0,0,0,0">
                <w:txbxContent>
                  <w:p>
                    <w:pPr>
                      <w:spacing w:line="151" w:lineRule="exact" w:before="0"/>
                      <w:ind w:left="0" w:right="-14" w:firstLine="0"/>
                      <w:jc w:val="left"/>
                      <w:rPr>
                        <w:rFonts w:ascii="Arial"/>
                        <w:sz w:val="15"/>
                      </w:rPr>
                    </w:pPr>
                    <w:r>
                      <w:rPr>
                        <w:rFonts w:ascii="Arial"/>
                        <w:w w:val="90"/>
                        <w:sz w:val="15"/>
                      </w:rPr>
                      <w:t>No</w:t>
                    </w:r>
                  </w:p>
                </w:txbxContent>
              </v:textbox>
              <w10:wrap type="none"/>
            </v:shape>
            <v:shape style="position:absolute;left:4146;top:4499;width:198;height:151" type="#_x0000_t202" filled="false" stroked="false">
              <v:textbox inset="0,0,0,0">
                <w:txbxContent>
                  <w:p>
                    <w:pPr>
                      <w:spacing w:line="151" w:lineRule="exact" w:before="0"/>
                      <w:ind w:left="0" w:right="0" w:firstLine="0"/>
                      <w:jc w:val="left"/>
                      <w:rPr>
                        <w:sz w:val="15"/>
                      </w:rPr>
                    </w:pPr>
                    <w:r>
                      <w:rPr>
                        <w:w w:val="92"/>
                        <w:sz w:val="15"/>
                        <w:u w:val="single"/>
                      </w:rPr>
                      <w:t> </w:t>
                    </w:r>
                    <w:r>
                      <w:rPr>
                        <w:spacing w:val="12"/>
                        <w:sz w:val="15"/>
                        <w:u w:val="single"/>
                      </w:rPr>
                      <w:t> </w:t>
                    </w:r>
                  </w:p>
                </w:txbxContent>
              </v:textbox>
              <w10:wrap type="none"/>
            </v:shape>
            <v:shape style="position:absolute;left:1545;top:4522;width:4388;height:1283" type="#_x0000_t202" filled="false" stroked="false">
              <v:textbox inset="0,0,0,0">
                <w:txbxContent>
                  <w:p>
                    <w:pPr>
                      <w:spacing w:line="136" w:lineRule="exact" w:before="0"/>
                      <w:ind w:left="3222" w:right="-5" w:hanging="219"/>
                      <w:jc w:val="left"/>
                      <w:rPr>
                        <w:rFonts w:ascii="Cambria"/>
                        <w:sz w:val="13"/>
                      </w:rPr>
                    </w:pPr>
                    <w:r>
                      <w:rPr>
                        <w:rFonts w:ascii="Cambria"/>
                        <w:w w:val="95"/>
                        <w:sz w:val="13"/>
                      </w:rPr>
                      <w:t>Sectores</w:t>
                    </w:r>
                    <w:r>
                      <w:rPr>
                        <w:rFonts w:ascii="Cambria"/>
                        <w:spacing w:val="-12"/>
                        <w:w w:val="95"/>
                        <w:sz w:val="13"/>
                      </w:rPr>
                      <w:t> </w:t>
                    </w:r>
                    <w:r>
                      <w:rPr>
                        <w:rFonts w:ascii="Cambria"/>
                        <w:w w:val="95"/>
                        <w:sz w:val="13"/>
                      </w:rPr>
                      <w:t>especializados</w:t>
                    </w:r>
                    <w:r>
                      <w:rPr>
                        <w:rFonts w:ascii="Cambria"/>
                        <w:spacing w:val="-12"/>
                        <w:w w:val="95"/>
                        <w:sz w:val="13"/>
                      </w:rPr>
                      <w:t> </w:t>
                    </w:r>
                    <w:r>
                      <w:rPr>
                        <w:rFonts w:ascii="Cambria"/>
                        <w:w w:val="95"/>
                        <w:sz w:val="13"/>
                      </w:rPr>
                      <w:t>en</w:t>
                    </w:r>
                  </w:p>
                  <w:p>
                    <w:pPr>
                      <w:spacing w:before="2"/>
                      <w:ind w:left="3222" w:right="-5" w:firstLine="0"/>
                      <w:jc w:val="left"/>
                      <w:rPr>
                        <w:rFonts w:ascii="Cambria" w:hAnsi="Cambria"/>
                        <w:sz w:val="13"/>
                      </w:rPr>
                    </w:pPr>
                    <w:r>
                      <w:rPr>
                        <w:rFonts w:ascii="Cambria" w:hAnsi="Cambria"/>
                        <w:w w:val="95"/>
                        <w:sz w:val="13"/>
                      </w:rPr>
                      <w:t>t</w:t>
                    </w:r>
                    <w:r>
                      <w:rPr>
                        <w:rFonts w:ascii="Calibri" w:hAnsi="Calibri"/>
                        <w:w w:val="95"/>
                        <w:sz w:val="13"/>
                      </w:rPr>
                      <w:t>é</w:t>
                    </w:r>
                    <w:r>
                      <w:rPr>
                        <w:rFonts w:ascii="Cambria" w:hAnsi="Cambria"/>
                        <w:w w:val="95"/>
                        <w:sz w:val="13"/>
                      </w:rPr>
                      <w:t>rminos de flujos</w:t>
                    </w:r>
                  </w:p>
                  <w:p>
                    <w:pPr>
                      <w:spacing w:line="240" w:lineRule="auto" w:before="0"/>
                      <w:rPr>
                        <w:sz w:val="14"/>
                      </w:rPr>
                    </w:pPr>
                  </w:p>
                  <w:p>
                    <w:pPr>
                      <w:spacing w:line="240" w:lineRule="auto" w:before="0"/>
                      <w:rPr>
                        <w:sz w:val="14"/>
                      </w:rPr>
                    </w:pPr>
                  </w:p>
                  <w:p>
                    <w:pPr>
                      <w:spacing w:line="240" w:lineRule="auto" w:before="8"/>
                      <w:rPr>
                        <w:sz w:val="11"/>
                      </w:rPr>
                    </w:pPr>
                  </w:p>
                  <w:p>
                    <w:pPr>
                      <w:spacing w:before="1"/>
                      <w:ind w:left="0" w:right="3332" w:firstLine="0"/>
                      <w:jc w:val="center"/>
                      <w:rPr>
                        <w:rFonts w:ascii="Cambria"/>
                        <w:sz w:val="15"/>
                      </w:rPr>
                    </w:pPr>
                    <w:r>
                      <w:rPr>
                        <w:rFonts w:ascii="Cambria"/>
                        <w:w w:val="92"/>
                        <w:sz w:val="15"/>
                      </w:rPr>
                      <w:t>y</w:t>
                    </w:r>
                  </w:p>
                  <w:p>
                    <w:pPr>
                      <w:spacing w:before="2"/>
                      <w:ind w:left="0" w:right="3326" w:firstLine="0"/>
                      <w:jc w:val="center"/>
                      <w:rPr>
                        <w:rFonts w:ascii="Cambria" w:hAnsi="Cambria"/>
                        <w:sz w:val="15"/>
                      </w:rPr>
                    </w:pPr>
                    <w:r>
                      <w:rPr>
                        <w:rFonts w:ascii="Cambria" w:hAnsi="Cambria"/>
                        <w:w w:val="90"/>
                        <w:sz w:val="15"/>
                      </w:rPr>
                      <w:t>M (2002</w:t>
                    </w:r>
                    <w:r>
                      <w:rPr>
                        <w:rFonts w:ascii="Cambria" w:hAnsi="Cambria"/>
                        <w:spacing w:val="-22"/>
                        <w:w w:val="90"/>
                        <w:sz w:val="15"/>
                      </w:rPr>
                      <w:t> </w:t>
                    </w:r>
                    <w:r>
                      <w:rPr>
                        <w:rFonts w:ascii="Cambria" w:hAnsi="Cambria"/>
                        <w:w w:val="70"/>
                        <w:sz w:val="15"/>
                      </w:rPr>
                      <w:t>-­‐ </w:t>
                    </w:r>
                    <w:r>
                      <w:rPr>
                        <w:rFonts w:ascii="Cambria" w:hAnsi="Cambria"/>
                        <w:w w:val="90"/>
                        <w:sz w:val="15"/>
                      </w:rPr>
                      <w:t>2010)&gt;</w:t>
                    </w:r>
                  </w:p>
                  <w:p>
                    <w:pPr>
                      <w:spacing w:line="171" w:lineRule="exact" w:before="2"/>
                      <w:ind w:left="0" w:right="3330" w:firstLine="0"/>
                      <w:jc w:val="center"/>
                      <w:rPr>
                        <w:rFonts w:ascii="Cambria"/>
                        <w:sz w:val="15"/>
                      </w:rPr>
                    </w:pPr>
                    <w:r>
                      <w:rPr>
                        <w:rFonts w:ascii="Cambria"/>
                        <w:sz w:val="15"/>
                      </w:rPr>
                      <w:t>Med</w:t>
                    </w:r>
                  </w:p>
                </w:txbxContent>
              </v:textbox>
              <w10:wrap type="none"/>
            </v:shape>
            <v:shape style="position:absolute;left:2957;top:5297;width:124;height:151" type="#_x0000_t202" filled="false" stroked="false">
              <v:textbox inset="0,0,0,0">
                <w:txbxContent>
                  <w:p>
                    <w:pPr>
                      <w:spacing w:line="151" w:lineRule="exact" w:before="0"/>
                      <w:ind w:left="0" w:right="-17" w:firstLine="0"/>
                      <w:jc w:val="left"/>
                      <w:rPr>
                        <w:rFonts w:ascii="Arial"/>
                        <w:sz w:val="15"/>
                      </w:rPr>
                    </w:pPr>
                    <w:r>
                      <w:rPr>
                        <w:rFonts w:ascii="Arial"/>
                        <w:w w:val="90"/>
                        <w:sz w:val="15"/>
                      </w:rPr>
                      <w:t>Si</w:t>
                    </w:r>
                  </w:p>
                </w:txbxContent>
              </v:textbox>
              <w10:wrap type="none"/>
            </v:shape>
            <v:shape style="position:absolute;left:2326;top:5827;width:1364;height:329" type="#_x0000_t202" filled="false" stroked="false">
              <v:textbox inset="0,0,0,0">
                <w:txbxContent>
                  <w:p>
                    <w:pPr>
                      <w:spacing w:line="155" w:lineRule="exact" w:before="0"/>
                      <w:ind w:left="0" w:right="0" w:firstLine="0"/>
                      <w:jc w:val="center"/>
                      <w:rPr>
                        <w:rFonts w:ascii="Cambria"/>
                        <w:sz w:val="15"/>
                      </w:rPr>
                    </w:pPr>
                    <w:r>
                      <w:rPr>
                        <w:rFonts w:ascii="Cambria"/>
                        <w:w w:val="95"/>
                        <w:sz w:val="15"/>
                      </w:rPr>
                      <w:t>Sectores</w:t>
                    </w:r>
                    <w:r>
                      <w:rPr>
                        <w:rFonts w:ascii="Cambria"/>
                        <w:spacing w:val="-18"/>
                        <w:w w:val="95"/>
                        <w:sz w:val="15"/>
                      </w:rPr>
                      <w:t> </w:t>
                    </w:r>
                    <w:r>
                      <w:rPr>
                        <w:rFonts w:ascii="Cambria"/>
                        <w:w w:val="95"/>
                        <w:sz w:val="15"/>
                      </w:rPr>
                      <w:t>transables</w:t>
                    </w:r>
                    <w:r>
                      <w:rPr>
                        <w:rFonts w:ascii="Cambria"/>
                        <w:spacing w:val="-15"/>
                        <w:w w:val="95"/>
                        <w:sz w:val="15"/>
                      </w:rPr>
                      <w:t> </w:t>
                    </w:r>
                    <w:r>
                      <w:rPr>
                        <w:rFonts w:ascii="Cambria"/>
                        <w:w w:val="95"/>
                        <w:sz w:val="15"/>
                      </w:rPr>
                      <w:t>No</w:t>
                    </w:r>
                  </w:p>
                  <w:p>
                    <w:pPr>
                      <w:spacing w:line="171" w:lineRule="exact" w:before="2"/>
                      <w:ind w:left="7" w:right="0" w:firstLine="0"/>
                      <w:jc w:val="center"/>
                      <w:rPr>
                        <w:rFonts w:ascii="Cambria"/>
                        <w:sz w:val="15"/>
                      </w:rPr>
                    </w:pPr>
                    <w:r>
                      <w:rPr>
                        <w:rFonts w:ascii="Cambria"/>
                        <w:sz w:val="15"/>
                      </w:rPr>
                      <w:t>especializados</w:t>
                    </w:r>
                  </w:p>
                </w:txbxContent>
              </v:textbox>
              <w10:wrap type="none"/>
            </v:shape>
            <v:shape style="position:absolute;left:4986;top:5895;width:583;height:151" type="#_x0000_t202" filled="false" stroked="false">
              <v:textbox inset="0,0,0,0">
                <w:txbxContent>
                  <w:p>
                    <w:pPr>
                      <w:spacing w:line="151" w:lineRule="exact" w:before="0"/>
                      <w:ind w:left="0" w:right="-16" w:firstLine="0"/>
                      <w:jc w:val="left"/>
                      <w:rPr>
                        <w:rFonts w:ascii="Cambria"/>
                        <w:sz w:val="15"/>
                      </w:rPr>
                    </w:pPr>
                    <w:r>
                      <w:rPr>
                        <w:rFonts w:ascii="Cambria"/>
                        <w:w w:val="95"/>
                        <w:sz w:val="15"/>
                      </w:rPr>
                      <w:t>Criterio</w:t>
                    </w:r>
                    <w:r>
                      <w:rPr>
                        <w:rFonts w:ascii="Cambria"/>
                        <w:spacing w:val="-16"/>
                        <w:w w:val="95"/>
                        <w:sz w:val="15"/>
                      </w:rPr>
                      <w:t> </w:t>
                    </w:r>
                    <w:r>
                      <w:rPr>
                        <w:rFonts w:ascii="Cambria"/>
                        <w:w w:val="95"/>
                        <w:sz w:val="15"/>
                      </w:rPr>
                      <w:t>II</w:t>
                    </w:r>
                  </w:p>
                </w:txbxContent>
              </v:textbox>
              <w10:wrap type="none"/>
            </v:shape>
            <v:shape style="position:absolute;left:2499;top:7147;width:1023;height:334" type="#_x0000_t202" filled="false" stroked="false">
              <v:textbox inset="0,0,0,0">
                <w:txbxContent>
                  <w:p>
                    <w:pPr>
                      <w:spacing w:line="162" w:lineRule="exact" w:before="0"/>
                      <w:ind w:left="80" w:right="-12" w:hanging="80"/>
                      <w:jc w:val="left"/>
                      <w:rPr>
                        <w:rFonts w:ascii="Cambria" w:hAnsi="Cambria"/>
                        <w:sz w:val="15"/>
                      </w:rPr>
                    </w:pPr>
                    <w:r>
                      <w:rPr>
                        <w:rFonts w:ascii="Calibri" w:hAnsi="Calibri"/>
                        <w:w w:val="95"/>
                        <w:sz w:val="15"/>
                      </w:rPr>
                      <w:t>¿</w:t>
                    </w:r>
                    <w:r>
                      <w:rPr>
                        <w:rFonts w:ascii="Cambria" w:hAnsi="Cambria"/>
                        <w:w w:val="95"/>
                        <w:sz w:val="15"/>
                      </w:rPr>
                      <w:t>Los</w:t>
                    </w:r>
                    <w:r>
                      <w:rPr>
                        <w:rFonts w:ascii="Cambria" w:hAnsi="Cambria"/>
                        <w:spacing w:val="-17"/>
                        <w:w w:val="95"/>
                        <w:sz w:val="15"/>
                      </w:rPr>
                      <w:t> </w:t>
                    </w:r>
                    <w:r>
                      <w:rPr>
                        <w:rFonts w:ascii="Cambria" w:hAnsi="Cambria"/>
                        <w:w w:val="95"/>
                        <w:sz w:val="15"/>
                      </w:rPr>
                      <w:t>socios</w:t>
                    </w:r>
                    <w:r>
                      <w:rPr>
                        <w:rFonts w:ascii="Cambria" w:hAnsi="Cambria"/>
                        <w:spacing w:val="-14"/>
                        <w:w w:val="95"/>
                        <w:sz w:val="15"/>
                      </w:rPr>
                      <w:t> </w:t>
                    </w:r>
                    <w:r>
                      <w:rPr>
                        <w:rFonts w:ascii="Cambria" w:hAnsi="Cambria"/>
                        <w:w w:val="95"/>
                        <w:sz w:val="15"/>
                      </w:rPr>
                      <w:t>est</w:t>
                    </w:r>
                    <w:r>
                      <w:rPr>
                        <w:rFonts w:ascii="Calibri" w:hAnsi="Calibri"/>
                        <w:w w:val="95"/>
                        <w:sz w:val="15"/>
                      </w:rPr>
                      <w:t>á</w:t>
                    </w:r>
                    <w:r>
                      <w:rPr>
                        <w:rFonts w:ascii="Cambria" w:hAnsi="Cambria"/>
                        <w:w w:val="95"/>
                        <w:sz w:val="15"/>
                      </w:rPr>
                      <w:t>n</w:t>
                    </w:r>
                  </w:p>
                  <w:p>
                    <w:pPr>
                      <w:spacing w:line="171" w:lineRule="exact" w:before="0"/>
                      <w:ind w:left="80" w:right="-12" w:firstLine="0"/>
                      <w:jc w:val="left"/>
                      <w:rPr>
                        <w:rFonts w:ascii="Cambria"/>
                        <w:sz w:val="15"/>
                      </w:rPr>
                    </w:pPr>
                    <w:r>
                      <w:rPr>
                        <w:rFonts w:ascii="Cambria"/>
                        <w:w w:val="95"/>
                        <w:sz w:val="15"/>
                      </w:rPr>
                      <w:t>concentrados?</w:t>
                    </w:r>
                  </w:p>
                </w:txbxContent>
              </v:textbox>
              <w10:wrap type="none"/>
            </v:shape>
            <v:shape style="position:absolute;left:3732;top:7148;width:378;height:242" type="#_x0000_t202" filled="false" stroked="false">
              <v:textbox inset="0,0,0,0">
                <w:txbxContent>
                  <w:p>
                    <w:pPr>
                      <w:spacing w:line="169" w:lineRule="exact" w:before="72"/>
                      <w:ind w:left="0" w:right="-9" w:firstLine="0"/>
                      <w:jc w:val="left"/>
                      <w:rPr>
                        <w:rFonts w:ascii="Arial"/>
                        <w:sz w:val="15"/>
                      </w:rPr>
                    </w:pPr>
                    <w:r>
                      <w:rPr>
                        <w:w w:val="92"/>
                        <w:position w:val="9"/>
                        <w:sz w:val="15"/>
                        <w:u w:val="single"/>
                      </w:rPr>
                      <w:t> </w:t>
                    </w:r>
                    <w:r>
                      <w:rPr>
                        <w:position w:val="9"/>
                        <w:sz w:val="15"/>
                        <w:u w:val="single"/>
                      </w:rPr>
                      <w:t>    </w:t>
                    </w:r>
                    <w:r>
                      <w:rPr>
                        <w:rFonts w:ascii="Arial"/>
                        <w:w w:val="95"/>
                        <w:sz w:val="15"/>
                      </w:rPr>
                      <w:t>No</w:t>
                    </w:r>
                  </w:p>
                </w:txbxContent>
              </v:textbox>
              <w10:wrap type="none"/>
            </v:shape>
            <v:shape style="position:absolute;left:4427;top:7244;width:1368;height:133" type="#_x0000_t202" filled="false" stroked="false">
              <v:textbox inset="0,0,0,0">
                <w:txbxContent>
                  <w:p>
                    <w:pPr>
                      <w:spacing w:line="132" w:lineRule="exact" w:before="0"/>
                      <w:ind w:left="0" w:right="-11" w:firstLine="0"/>
                      <w:jc w:val="left"/>
                      <w:rPr>
                        <w:rFonts w:ascii="Cambria"/>
                        <w:sz w:val="13"/>
                      </w:rPr>
                    </w:pPr>
                    <w:r>
                      <w:rPr>
                        <w:rFonts w:ascii="Cambria"/>
                        <w:w w:val="95"/>
                        <w:sz w:val="13"/>
                      </w:rPr>
                      <w:t>Transable no</w:t>
                    </w:r>
                    <w:r>
                      <w:rPr>
                        <w:rFonts w:ascii="Cambria"/>
                        <w:spacing w:val="-18"/>
                        <w:w w:val="95"/>
                        <w:sz w:val="13"/>
                      </w:rPr>
                      <w:t> </w:t>
                    </w:r>
                    <w:r>
                      <w:rPr>
                        <w:rFonts w:ascii="Cambria"/>
                        <w:w w:val="95"/>
                        <w:sz w:val="13"/>
                      </w:rPr>
                      <w:t>concentrado</w:t>
                    </w:r>
                  </w:p>
                </w:txbxContent>
              </v:textbox>
              <w10:wrap type="none"/>
            </v:shape>
            <v:shape style="position:absolute;left:1730;top:7864;width:577;height:151" type="#_x0000_t202" filled="false" stroked="false">
              <v:textbox inset="0,0,0,0">
                <w:txbxContent>
                  <w:p>
                    <w:pPr>
                      <w:spacing w:line="151" w:lineRule="exact" w:before="0"/>
                      <w:ind w:left="0" w:right="0" w:firstLine="0"/>
                      <w:jc w:val="left"/>
                      <w:rPr>
                        <w:rFonts w:ascii="Cambria"/>
                        <w:sz w:val="15"/>
                      </w:rPr>
                    </w:pPr>
                    <w:r>
                      <w:rPr>
                        <w:rFonts w:ascii="Cambria"/>
                        <w:w w:val="90"/>
                        <w:sz w:val="15"/>
                      </w:rPr>
                      <w:t>IHH&gt;0.15</w:t>
                    </w:r>
                  </w:p>
                </w:txbxContent>
              </v:textbox>
              <w10:wrap type="none"/>
            </v:shape>
            <v:shape style="position:absolute;left:3545;top:7786;width:131;height:151" type="#_x0000_t202" filled="false" stroked="false">
              <v:textbox inset="0,0,0,0">
                <w:txbxContent>
                  <w:p>
                    <w:pPr>
                      <w:spacing w:line="151" w:lineRule="exact" w:before="0"/>
                      <w:ind w:left="0" w:right="-17" w:firstLine="0"/>
                      <w:jc w:val="left"/>
                      <w:rPr>
                        <w:rFonts w:ascii="Arial" w:hAnsi="Arial"/>
                        <w:sz w:val="15"/>
                      </w:rPr>
                    </w:pPr>
                    <w:r>
                      <w:rPr>
                        <w:rFonts w:ascii="Arial" w:hAnsi="Arial"/>
                        <w:w w:val="90"/>
                        <w:sz w:val="15"/>
                      </w:rPr>
                      <w:t>Sí</w:t>
                    </w:r>
                  </w:p>
                </w:txbxContent>
              </v:textbox>
              <w10:wrap type="none"/>
            </v:shape>
            <v:shape style="position:absolute;left:4427;top:7777;width:1376;height:151" type="#_x0000_t202" filled="false" stroked="false">
              <v:textbox inset="0,0,0,0">
                <w:txbxContent>
                  <w:p>
                    <w:pPr>
                      <w:spacing w:line="151" w:lineRule="exact" w:before="0"/>
                      <w:ind w:left="0" w:right="-3" w:firstLine="0"/>
                      <w:jc w:val="left"/>
                      <w:rPr>
                        <w:rFonts w:ascii="Cambria"/>
                        <w:sz w:val="15"/>
                      </w:rPr>
                    </w:pPr>
                    <w:r>
                      <w:rPr>
                        <w:rFonts w:ascii="Cambria"/>
                        <w:w w:val="90"/>
                        <w:sz w:val="15"/>
                      </w:rPr>
                      <w:t>Transable  concentrado</w:t>
                    </w:r>
                  </w:p>
                </w:txbxContent>
              </v:textbox>
              <w10:wrap type="none"/>
            </v:shape>
            <v:shape style="position:absolute;left:4801;top:8489;width:629;height:151" type="#_x0000_t202" filled="false" stroked="false">
              <v:textbox inset="0,0,0,0">
                <w:txbxContent>
                  <w:p>
                    <w:pPr>
                      <w:spacing w:line="151" w:lineRule="exact" w:before="0"/>
                      <w:ind w:left="0" w:right="-16" w:firstLine="0"/>
                      <w:jc w:val="left"/>
                      <w:rPr>
                        <w:rFonts w:ascii="Cambria"/>
                        <w:sz w:val="15"/>
                      </w:rPr>
                    </w:pPr>
                    <w:r>
                      <w:rPr>
                        <w:rFonts w:ascii="Cambria"/>
                        <w:w w:val="95"/>
                        <w:sz w:val="15"/>
                      </w:rPr>
                      <w:t>Criterio</w:t>
                    </w:r>
                    <w:r>
                      <w:rPr>
                        <w:rFonts w:ascii="Cambria"/>
                        <w:spacing w:val="-16"/>
                        <w:w w:val="95"/>
                        <w:sz w:val="15"/>
                      </w:rPr>
                      <w:t> </w:t>
                    </w:r>
                    <w:r>
                      <w:rPr>
                        <w:rFonts w:ascii="Cambria"/>
                        <w:w w:val="95"/>
                        <w:sz w:val="15"/>
                      </w:rPr>
                      <w:t>III</w:t>
                    </w:r>
                  </w:p>
                </w:txbxContent>
              </v:textbox>
              <w10:wrap type="none"/>
            </v:shape>
            <w10:wrap type="topAndBottom"/>
          </v:group>
        </w:pict>
      </w:r>
      <w:r>
        <w:rPr>
          <w:sz w:val="18"/>
        </w:rPr>
        <w:t>Esquema</w:t>
      </w:r>
      <w:r>
        <w:rPr>
          <w:spacing w:val="-11"/>
          <w:sz w:val="18"/>
        </w:rPr>
        <w:t> </w:t>
      </w:r>
      <w:r>
        <w:rPr>
          <w:sz w:val="18"/>
        </w:rPr>
        <w:t>1.</w:t>
      </w:r>
      <w:r>
        <w:rPr>
          <w:spacing w:val="-12"/>
          <w:sz w:val="18"/>
        </w:rPr>
        <w:t> </w:t>
      </w:r>
      <w:r>
        <w:rPr>
          <w:sz w:val="18"/>
        </w:rPr>
        <w:t>Diagrama</w:t>
      </w:r>
      <w:r>
        <w:rPr>
          <w:spacing w:val="-11"/>
          <w:sz w:val="18"/>
        </w:rPr>
        <w:t> </w:t>
      </w:r>
      <w:r>
        <w:rPr>
          <w:sz w:val="18"/>
        </w:rPr>
        <w:t>de</w:t>
      </w:r>
      <w:r>
        <w:rPr>
          <w:spacing w:val="-11"/>
          <w:sz w:val="18"/>
        </w:rPr>
        <w:t> </w:t>
      </w:r>
      <w:r>
        <w:rPr>
          <w:sz w:val="18"/>
        </w:rPr>
        <w:t>decisión</w:t>
      </w:r>
      <w:r>
        <w:rPr>
          <w:spacing w:val="-11"/>
          <w:sz w:val="18"/>
        </w:rPr>
        <w:t> </w:t>
      </w:r>
      <w:r>
        <w:rPr>
          <w:sz w:val="18"/>
        </w:rPr>
        <w:t>inicial</w:t>
      </w:r>
      <w:r>
        <w:rPr>
          <w:spacing w:val="-12"/>
          <w:sz w:val="18"/>
        </w:rPr>
        <w:t> </w:t>
      </w:r>
      <w:r>
        <w:rPr>
          <w:sz w:val="18"/>
        </w:rPr>
        <w:t>para</w:t>
      </w:r>
      <w:r>
        <w:rPr>
          <w:spacing w:val="-11"/>
          <w:sz w:val="18"/>
        </w:rPr>
        <w:t> </w:t>
      </w:r>
      <w:r>
        <w:rPr>
          <w:sz w:val="18"/>
        </w:rPr>
        <w:t>clasificar</w:t>
      </w:r>
      <w:r>
        <w:rPr>
          <w:spacing w:val="-12"/>
          <w:sz w:val="18"/>
        </w:rPr>
        <w:t> </w:t>
      </w:r>
      <w:r>
        <w:rPr>
          <w:sz w:val="18"/>
        </w:rPr>
        <w:t>a</w:t>
      </w:r>
      <w:r>
        <w:rPr>
          <w:spacing w:val="-11"/>
          <w:sz w:val="18"/>
        </w:rPr>
        <w:t> </w:t>
      </w:r>
      <w:r>
        <w:rPr>
          <w:sz w:val="18"/>
        </w:rPr>
        <w:t>la</w:t>
      </w:r>
      <w:r>
        <w:rPr>
          <w:spacing w:val="-11"/>
          <w:sz w:val="18"/>
        </w:rPr>
        <w:t> </w:t>
      </w:r>
      <w:r>
        <w:rPr>
          <w:sz w:val="18"/>
        </w:rPr>
        <w:t>fuerza</w:t>
      </w:r>
      <w:r>
        <w:rPr>
          <w:spacing w:val="-12"/>
          <w:sz w:val="18"/>
        </w:rPr>
        <w:t> </w:t>
      </w:r>
      <w:r>
        <w:rPr>
          <w:sz w:val="18"/>
        </w:rPr>
        <w:t>de trabajo</w:t>
      </w:r>
      <w:r>
        <w:rPr>
          <w:spacing w:val="-17"/>
          <w:sz w:val="18"/>
        </w:rPr>
        <w:t> </w:t>
      </w:r>
      <w:r>
        <w:rPr>
          <w:sz w:val="18"/>
        </w:rPr>
        <w:t>en</w:t>
      </w:r>
      <w:r>
        <w:rPr>
          <w:spacing w:val="-17"/>
          <w:sz w:val="18"/>
        </w:rPr>
        <w:t> </w:t>
      </w:r>
      <w:r>
        <w:rPr>
          <w:sz w:val="18"/>
        </w:rPr>
        <w:t>los</w:t>
      </w:r>
      <w:r>
        <w:rPr>
          <w:spacing w:val="-17"/>
          <w:sz w:val="18"/>
        </w:rPr>
        <w:t> </w:t>
      </w:r>
      <w:r>
        <w:rPr>
          <w:sz w:val="18"/>
        </w:rPr>
        <w:t>sectores</w:t>
      </w:r>
      <w:r>
        <w:rPr>
          <w:spacing w:val="-17"/>
          <w:sz w:val="18"/>
        </w:rPr>
        <w:t> </w:t>
      </w:r>
      <w:r>
        <w:rPr>
          <w:sz w:val="18"/>
        </w:rPr>
        <w:t>económicos</w:t>
      </w:r>
      <w:r>
        <w:rPr>
          <w:spacing w:val="-17"/>
          <w:sz w:val="18"/>
        </w:rPr>
        <w:t> </w:t>
      </w:r>
      <w:r>
        <w:rPr>
          <w:sz w:val="18"/>
        </w:rPr>
        <w:t>según</w:t>
      </w:r>
      <w:r>
        <w:rPr>
          <w:spacing w:val="-17"/>
          <w:sz w:val="18"/>
        </w:rPr>
        <w:t> </w:t>
      </w:r>
      <w:r>
        <w:rPr>
          <w:sz w:val="18"/>
        </w:rPr>
        <w:t>su</w:t>
      </w:r>
      <w:r>
        <w:rPr>
          <w:spacing w:val="-17"/>
          <w:sz w:val="18"/>
        </w:rPr>
        <w:t> </w:t>
      </w:r>
      <w:r>
        <w:rPr>
          <w:sz w:val="18"/>
        </w:rPr>
        <w:t>perfil</w:t>
      </w:r>
      <w:r>
        <w:rPr>
          <w:spacing w:val="-17"/>
          <w:sz w:val="18"/>
        </w:rPr>
        <w:t> </w:t>
      </w:r>
      <w:r>
        <w:rPr>
          <w:sz w:val="18"/>
        </w:rPr>
        <w:t>de</w:t>
      </w:r>
      <w:r>
        <w:rPr>
          <w:spacing w:val="-17"/>
          <w:sz w:val="18"/>
        </w:rPr>
        <w:t> </w:t>
      </w:r>
      <w:r>
        <w:rPr>
          <w:sz w:val="18"/>
        </w:rPr>
        <w:t>comercio</w:t>
      </w:r>
      <w:r>
        <w:rPr>
          <w:spacing w:val="-17"/>
          <w:sz w:val="18"/>
        </w:rPr>
        <w:t> </w:t>
      </w:r>
      <w:r>
        <w:rPr>
          <w:sz w:val="18"/>
        </w:rPr>
        <w:t>exterior</w:t>
      </w:r>
    </w:p>
    <w:p>
      <w:pPr>
        <w:spacing w:before="0"/>
        <w:ind w:left="104" w:right="213" w:firstLine="0"/>
        <w:jc w:val="left"/>
        <w:rPr>
          <w:sz w:val="15"/>
        </w:rPr>
      </w:pPr>
      <w:r>
        <w:rPr>
          <w:w w:val="95"/>
          <w:sz w:val="15"/>
        </w:rPr>
        <w:t>Fuente: elaboración propia.</w:t>
      </w:r>
    </w:p>
    <w:p>
      <w:pPr>
        <w:spacing w:before="5"/>
        <w:ind w:left="104" w:right="213" w:firstLine="0"/>
        <w:jc w:val="left"/>
        <w:rPr>
          <w:sz w:val="15"/>
        </w:rPr>
      </w:pPr>
      <w:r>
        <w:rPr>
          <w:w w:val="95"/>
          <w:sz w:val="15"/>
        </w:rPr>
        <w:t>Notación: X, exportaciones. M, importaciones. IHH Índice de Hirschmann-Herfindahl.</w:t>
      </w:r>
    </w:p>
    <w:p>
      <w:pPr>
        <w:spacing w:after="0"/>
        <w:jc w:val="left"/>
        <w:rPr>
          <w:sz w:val="15"/>
        </w:rPr>
        <w:sectPr>
          <w:pgSz w:w="7770" w:h="11740"/>
          <w:pgMar w:header="0" w:footer="474" w:top="900" w:bottom="740" w:left="1020" w:right="1060"/>
        </w:sectPr>
      </w:pPr>
    </w:p>
    <w:p>
      <w:pPr>
        <w:pStyle w:val="BodyText"/>
        <w:spacing w:line="249" w:lineRule="auto" w:before="60"/>
        <w:ind w:left="113" w:right="108" w:firstLine="283"/>
        <w:jc w:val="both"/>
      </w:pPr>
      <w:r>
        <w:rPr>
          <w:color w:val="231F20"/>
        </w:rPr>
        <w:t>El segundo criterio, que atañe únicamente a las ramas dentro de los sectores transables, fue definido inicialmente por la dirección o especia- lización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flujos.</w:t>
      </w:r>
      <w:r>
        <w:rPr>
          <w:color w:val="231F20"/>
          <w:spacing w:val="-4"/>
        </w:rPr>
        <w:t> </w:t>
      </w:r>
      <w:r>
        <w:rPr>
          <w:color w:val="231F20"/>
        </w:rPr>
        <w:t>Este</w:t>
      </w:r>
      <w:r>
        <w:rPr>
          <w:color w:val="231F20"/>
          <w:spacing w:val="-4"/>
        </w:rPr>
        <w:t> </w:t>
      </w:r>
      <w:r>
        <w:rPr>
          <w:color w:val="231F20"/>
        </w:rPr>
        <w:t>criterio</w:t>
      </w:r>
      <w:r>
        <w:rPr>
          <w:color w:val="231F20"/>
          <w:spacing w:val="-4"/>
        </w:rPr>
        <w:t> </w:t>
      </w:r>
      <w:r>
        <w:rPr>
          <w:color w:val="231F20"/>
        </w:rPr>
        <w:t>se</w:t>
      </w:r>
      <w:r>
        <w:rPr>
          <w:color w:val="231F20"/>
          <w:spacing w:val="-4"/>
        </w:rPr>
        <w:t> </w:t>
      </w:r>
      <w:r>
        <w:rPr>
          <w:color w:val="231F20"/>
        </w:rPr>
        <w:t>aplica</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información</w:t>
      </w:r>
      <w:r>
        <w:rPr>
          <w:color w:val="231F20"/>
          <w:spacing w:val="-4"/>
        </w:rPr>
        <w:t> </w:t>
      </w:r>
      <w:r>
        <w:rPr>
          <w:color w:val="231F20"/>
        </w:rPr>
        <w:t>que</w:t>
      </w:r>
      <w:r>
        <w:rPr>
          <w:color w:val="231F20"/>
          <w:spacing w:val="-4"/>
        </w:rPr>
        <w:t> </w:t>
      </w:r>
      <w:r>
        <w:rPr>
          <w:color w:val="231F20"/>
        </w:rPr>
        <w:t>ya</w:t>
      </w:r>
      <w:r>
        <w:rPr>
          <w:color w:val="231F20"/>
          <w:spacing w:val="-4"/>
        </w:rPr>
        <w:t> </w:t>
      </w:r>
      <w:r>
        <w:rPr>
          <w:color w:val="231F20"/>
        </w:rPr>
        <w:t>se mantiene del mismo proceso anterior. Se establecen como sectores tran- sables no especializados a aquellas ramas que incluyen flujos bilaterales de exportación e importación. Es decir, son ramas cuyos bienes o servi- cios se fabrican y consumen en el exterior y en la economía doméstica. El caso opuesto sería el de los sectores transables especializados (ex- portadores o importadores), pues en esta sub-categoría se incluirían a  las ramas de actividad que están especializadas en términos de un flujo unilateral de comercio. Estos flujos se determinarían por la posición de las ramas en la distribución (mediana) de las exportaciones y las impor- taciones (criterio II, segunda</w:t>
      </w:r>
      <w:r>
        <w:rPr>
          <w:color w:val="231F20"/>
          <w:spacing w:val="-7"/>
        </w:rPr>
        <w:t> </w:t>
      </w:r>
      <w:r>
        <w:rPr>
          <w:color w:val="231F20"/>
        </w:rPr>
        <w:t>área).</w:t>
      </w:r>
    </w:p>
    <w:p>
      <w:pPr>
        <w:pStyle w:val="BodyText"/>
        <w:spacing w:line="249" w:lineRule="auto" w:before="1"/>
        <w:ind w:left="113" w:right="107" w:firstLine="283"/>
        <w:jc w:val="both"/>
      </w:pPr>
      <w:r>
        <w:rPr>
          <w:color w:val="231F20"/>
        </w:rPr>
        <w:t>Un tercer elemento clasificatorio del cual partimos se logra con el establecimiento de la estructura de las exportaciones en relación a los socios comerciales, y eso se hace para las ramas transables no especiali- zadas. La concentración de socios para estas ramas se calculó con base en el Índice de Hirschman-Herfindal, en su versión normalizada. El ín- dice se calcula así:</w:t>
      </w:r>
    </w:p>
    <w:p>
      <w:pPr>
        <w:pStyle w:val="BodyText"/>
        <w:spacing w:before="6"/>
        <w:rPr>
          <w:sz w:val="10"/>
        </w:rPr>
      </w:pPr>
    </w:p>
    <w:p>
      <w:pPr>
        <w:spacing w:line="123" w:lineRule="exact" w:before="1"/>
        <w:ind w:left="0" w:right="4264" w:firstLine="0"/>
        <w:jc w:val="center"/>
        <w:rPr>
          <w:sz w:val="12"/>
        </w:rPr>
      </w:pPr>
      <w:r>
        <w:rPr>
          <w:color w:val="231F20"/>
          <w:sz w:val="12"/>
        </w:rPr>
        <w:t>N</w:t>
      </w:r>
    </w:p>
    <w:p>
      <w:pPr>
        <w:spacing w:line="240" w:lineRule="exact" w:before="0"/>
        <w:ind w:left="404" w:right="4841" w:firstLine="0"/>
        <w:jc w:val="center"/>
        <w:rPr>
          <w:i/>
          <w:sz w:val="9"/>
        </w:rPr>
      </w:pPr>
      <w:r>
        <w:rPr/>
        <w:pict>
          <v:shape style="position:absolute;margin-left:108.075699pt;margin-top:3.314596pt;width:2.35pt;height:4.7pt;mso-position-horizontal-relative:page;mso-position-vertical-relative:paragraph;z-index:-335008" type="#_x0000_t202" filled="false" stroked="false">
            <v:textbox inset="0,0,0,0">
              <w:txbxContent>
                <w:p>
                  <w:pPr>
                    <w:spacing w:line="93" w:lineRule="exact" w:before="0"/>
                    <w:ind w:left="0" w:right="0" w:firstLine="0"/>
                    <w:jc w:val="left"/>
                    <w:rPr>
                      <w:sz w:val="9"/>
                    </w:rPr>
                  </w:pPr>
                  <w:r>
                    <w:rPr>
                      <w:color w:val="231F20"/>
                      <w:w w:val="103"/>
                      <w:sz w:val="9"/>
                    </w:rPr>
                    <w:t>2</w:t>
                  </w:r>
                </w:p>
              </w:txbxContent>
            </v:textbox>
            <w10:wrap type="none"/>
          </v:shape>
        </w:pict>
      </w:r>
      <w:r>
        <w:rPr>
          <w:i/>
          <w:color w:val="231F20"/>
          <w:position w:val="1"/>
          <w:sz w:val="22"/>
        </w:rPr>
        <w:t>H </w:t>
      </w:r>
      <w:r>
        <w:rPr>
          <w:color w:val="231F20"/>
          <w:position w:val="1"/>
          <w:sz w:val="22"/>
        </w:rPr>
        <w:t>= </w:t>
      </w:r>
      <w:r>
        <w:rPr>
          <w:color w:val="231F20"/>
          <w:position w:val="2"/>
          <w:sz w:val="26"/>
        </w:rPr>
        <w:t>Σ </w:t>
      </w:r>
      <w:r>
        <w:rPr>
          <w:color w:val="231F20"/>
          <w:position w:val="5"/>
          <w:sz w:val="16"/>
        </w:rPr>
        <w:t>S</w:t>
      </w:r>
      <w:r>
        <w:rPr>
          <w:i/>
          <w:color w:val="231F20"/>
          <w:sz w:val="9"/>
        </w:rPr>
        <w:t>i</w:t>
      </w:r>
    </w:p>
    <w:p>
      <w:pPr>
        <w:spacing w:line="123" w:lineRule="exact" w:before="0"/>
        <w:ind w:left="774" w:right="792" w:firstLine="0"/>
        <w:jc w:val="left"/>
        <w:rPr>
          <w:sz w:val="12"/>
        </w:rPr>
      </w:pPr>
      <w:r>
        <w:rPr>
          <w:i/>
          <w:color w:val="231F20"/>
          <w:sz w:val="12"/>
        </w:rPr>
        <w:t>i </w:t>
      </w:r>
      <w:r>
        <w:rPr>
          <w:color w:val="231F20"/>
          <w:sz w:val="12"/>
        </w:rPr>
        <w:t>= 1</w:t>
      </w:r>
    </w:p>
    <w:p>
      <w:pPr>
        <w:pStyle w:val="BodyText"/>
        <w:spacing w:before="10"/>
        <w:rPr>
          <w:sz w:val="9"/>
        </w:rPr>
      </w:pPr>
    </w:p>
    <w:p>
      <w:pPr>
        <w:pStyle w:val="BodyText"/>
        <w:spacing w:line="249" w:lineRule="auto"/>
        <w:ind w:left="113" w:right="107" w:firstLine="283"/>
        <w:jc w:val="both"/>
      </w:pPr>
      <w:r>
        <w:rPr>
          <w:color w:val="231F20"/>
        </w:rPr>
        <w:t>Donde </w:t>
      </w:r>
      <w:r>
        <w:rPr>
          <w:i/>
          <w:color w:val="231F20"/>
        </w:rPr>
        <w:t>s </w:t>
      </w:r>
      <w:r>
        <w:rPr>
          <w:color w:val="231F20"/>
        </w:rPr>
        <w:t>es la participación de cada socio comercial, </w:t>
      </w:r>
      <w:r>
        <w:rPr>
          <w:i/>
          <w:color w:val="231F20"/>
        </w:rPr>
        <w:t>i </w:t>
      </w:r>
      <w:r>
        <w:rPr>
          <w:color w:val="231F20"/>
        </w:rPr>
        <w:t>en el mercado y </w:t>
      </w:r>
      <w:r>
        <w:rPr>
          <w:i/>
          <w:color w:val="231F20"/>
        </w:rPr>
        <w:t>N </w:t>
      </w:r>
      <w:r>
        <w:rPr>
          <w:color w:val="231F20"/>
        </w:rPr>
        <w:t>es el número total de socios. La versión normalizada del índice, se calcula como:</w:t>
      </w:r>
    </w:p>
    <w:p>
      <w:pPr>
        <w:spacing w:line="339" w:lineRule="exact" w:before="62"/>
        <w:ind w:left="425" w:right="792" w:firstLine="0"/>
        <w:jc w:val="left"/>
        <w:rPr>
          <w:sz w:val="22"/>
        </w:rPr>
      </w:pPr>
      <w:r>
        <w:rPr/>
        <w:pict>
          <v:line style="position:absolute;mso-position-horizontal-relative:page;mso-position-vertical-relative:paragraph;z-index:-335032" from="99.566902pt,17.570425pt" to="141.731902pt,17.570425pt" stroked="true" strokeweight=".5pt" strokecolor="#231f20">
            <w10:wrap type="none"/>
          </v:line>
        </w:pict>
      </w:r>
      <w:r>
        <w:rPr>
          <w:i/>
          <w:color w:val="231F20"/>
          <w:position w:val="-13"/>
          <w:sz w:val="22"/>
        </w:rPr>
        <w:t>H</w:t>
      </w:r>
      <w:r>
        <w:rPr>
          <w:color w:val="231F20"/>
          <w:position w:val="-13"/>
          <w:sz w:val="22"/>
        </w:rPr>
        <w:t>* =   </w:t>
      </w:r>
      <w:r>
        <w:rPr>
          <w:i/>
          <w:color w:val="231F20"/>
          <w:sz w:val="22"/>
        </w:rPr>
        <w:t>H </w:t>
      </w:r>
      <w:r>
        <w:rPr>
          <w:color w:val="231F20"/>
          <w:sz w:val="22"/>
        </w:rPr>
        <w:t>- 1/N</w:t>
      </w:r>
    </w:p>
    <w:p>
      <w:pPr>
        <w:pStyle w:val="Heading6"/>
        <w:spacing w:line="199" w:lineRule="exact"/>
        <w:ind w:left="1028" w:right="792"/>
      </w:pPr>
      <w:r>
        <w:rPr>
          <w:color w:val="231F20"/>
        </w:rPr>
        <w:t>1 - 1/N</w:t>
      </w:r>
    </w:p>
    <w:p>
      <w:pPr>
        <w:pStyle w:val="BodyText"/>
        <w:spacing w:before="120"/>
        <w:ind w:left="113" w:right="792"/>
        <w:rPr>
          <w:sz w:val="18"/>
        </w:rPr>
      </w:pPr>
      <w:r>
        <w:rPr>
          <w:color w:val="231F20"/>
        </w:rPr>
        <w:t>convirtiendo la escala de 0 a 1/N, en una de 0 a 1</w:t>
      </w:r>
      <w:r>
        <w:rPr>
          <w:color w:val="231F20"/>
          <w:sz w:val="18"/>
        </w:rPr>
        <w:t>.</w:t>
      </w:r>
    </w:p>
    <w:p>
      <w:pPr>
        <w:pStyle w:val="BodyText"/>
        <w:spacing w:line="249" w:lineRule="auto" w:before="10"/>
        <w:ind w:left="113" w:right="107" w:firstLine="283"/>
        <w:jc w:val="both"/>
      </w:pPr>
      <w:r>
        <w:rPr>
          <w:color w:val="231F20"/>
        </w:rPr>
        <w:t>El Índice de Hirschmann-Herfindahl (IHH) ha sido utilizado en la literatura sobre economía industrial como indicador de la concentración de los mercados. La escala utilizada por el gobierno de Estados Unidos establece que un índice mayor de 0.18 se considera como un mercado “concentrado”. Entre 0.10 y 0.18 “moderadamente concentrado”, mien- tras</w:t>
      </w:r>
      <w:r>
        <w:rPr>
          <w:color w:val="231F20"/>
          <w:spacing w:val="-11"/>
        </w:rPr>
        <w:t> </w:t>
      </w:r>
      <w:r>
        <w:rPr>
          <w:color w:val="231F20"/>
        </w:rPr>
        <w:t>el</w:t>
      </w:r>
      <w:r>
        <w:rPr>
          <w:color w:val="231F20"/>
          <w:spacing w:val="-11"/>
        </w:rPr>
        <w:t> </w:t>
      </w:r>
      <w:r>
        <w:rPr>
          <w:color w:val="231F20"/>
        </w:rPr>
        <w:t>rango</w:t>
      </w:r>
      <w:r>
        <w:rPr>
          <w:color w:val="231F20"/>
          <w:spacing w:val="-11"/>
        </w:rPr>
        <w:t> </w:t>
      </w:r>
      <w:r>
        <w:rPr>
          <w:color w:val="231F20"/>
        </w:rPr>
        <w:t>entre</w:t>
      </w:r>
      <w:r>
        <w:rPr>
          <w:color w:val="231F20"/>
          <w:spacing w:val="-11"/>
        </w:rPr>
        <w:t> </w:t>
      </w:r>
      <w:r>
        <w:rPr>
          <w:color w:val="231F20"/>
        </w:rPr>
        <w:t>0.0</w:t>
      </w:r>
      <w:r>
        <w:rPr>
          <w:color w:val="231F20"/>
          <w:spacing w:val="-11"/>
        </w:rPr>
        <w:t> </w:t>
      </w:r>
      <w:r>
        <w:rPr>
          <w:color w:val="231F20"/>
        </w:rPr>
        <w:t>y</w:t>
      </w:r>
      <w:r>
        <w:rPr>
          <w:color w:val="231F20"/>
          <w:spacing w:val="-11"/>
        </w:rPr>
        <w:t> </w:t>
      </w:r>
      <w:r>
        <w:rPr>
          <w:color w:val="231F20"/>
        </w:rPr>
        <w:t>0.10</w:t>
      </w:r>
      <w:r>
        <w:rPr>
          <w:color w:val="231F20"/>
          <w:spacing w:val="-11"/>
        </w:rPr>
        <w:t> </w:t>
      </w:r>
      <w:r>
        <w:rPr>
          <w:color w:val="231F20"/>
        </w:rPr>
        <w:t>se</w:t>
      </w:r>
      <w:r>
        <w:rPr>
          <w:color w:val="231F20"/>
          <w:spacing w:val="-11"/>
        </w:rPr>
        <w:t> </w:t>
      </w:r>
      <w:r>
        <w:rPr>
          <w:color w:val="231F20"/>
        </w:rPr>
        <w:t>considera</w:t>
      </w:r>
      <w:r>
        <w:rPr>
          <w:color w:val="231F20"/>
          <w:spacing w:val="-11"/>
        </w:rPr>
        <w:t> </w:t>
      </w:r>
      <w:r>
        <w:rPr>
          <w:color w:val="231F20"/>
        </w:rPr>
        <w:t>“diversificado”.</w:t>
      </w:r>
      <w:r>
        <w:rPr>
          <w:color w:val="231F20"/>
          <w:spacing w:val="-11"/>
        </w:rPr>
        <w:t> </w:t>
      </w:r>
      <w:r>
        <w:rPr>
          <w:color w:val="231F20"/>
        </w:rPr>
        <w:t>Para</w:t>
      </w:r>
      <w:r>
        <w:rPr>
          <w:color w:val="231F20"/>
          <w:spacing w:val="-11"/>
        </w:rPr>
        <w:t> </w:t>
      </w:r>
      <w:r>
        <w:rPr>
          <w:color w:val="231F20"/>
        </w:rPr>
        <w:t>establecer una sola medida, se plantea en esta clasificación inicial tomar una</w:t>
      </w:r>
      <w:r>
        <w:rPr>
          <w:color w:val="231F20"/>
          <w:spacing w:val="-21"/>
        </w:rPr>
        <w:t> </w:t>
      </w:r>
      <w:r>
        <w:rPr>
          <w:color w:val="231F20"/>
        </w:rPr>
        <w:t>escala</w:t>
      </w:r>
    </w:p>
    <w:p>
      <w:pPr>
        <w:pStyle w:val="BodyText"/>
        <w:spacing w:before="2"/>
        <w:rPr>
          <w:sz w:val="17"/>
        </w:rPr>
      </w:pPr>
      <w:r>
        <w:rPr/>
        <w:pict>
          <v:line style="position:absolute;mso-position-horizontal-relative:page;mso-position-vertical-relative:paragraph;z-index:2848;mso-wrap-distance-left:0;mso-wrap-distance-right:0" from="56.692902pt,12.350046pt" to="344.692902pt,12.350046pt" stroked="true" strokeweight="1pt" strokecolor="#231f20">
            <w10:wrap type="topAndBottom"/>
          </v:line>
        </w:pict>
      </w:r>
    </w:p>
    <w:p>
      <w:pPr>
        <w:spacing w:line="184" w:lineRule="auto" w:before="0"/>
        <w:ind w:left="113" w:right="108" w:firstLine="0"/>
        <w:jc w:val="both"/>
        <w:rPr>
          <w:sz w:val="18"/>
        </w:rPr>
      </w:pPr>
      <w:r>
        <w:rPr>
          <w:color w:val="231F20"/>
          <w:sz w:val="18"/>
        </w:rPr>
        <w:t>Johnson (1997), se ha utilizado información de varios años para darle robustez histórica a la clasificación. Se advierte que la transabilidad queda determinada para el periodo utilizado, pues las ramas de actividad que hemos considerado como transables o no, podrían cambiar en el futuro, y seguramente no reflejan</w:t>
      </w:r>
      <w:r>
        <w:rPr>
          <w:color w:val="231F20"/>
          <w:spacing w:val="-16"/>
          <w:sz w:val="18"/>
        </w:rPr>
        <w:t> </w:t>
      </w:r>
      <w:r>
        <w:rPr>
          <w:color w:val="231F20"/>
          <w:sz w:val="18"/>
        </w:rPr>
        <w:t>la transabilidad del</w:t>
      </w:r>
      <w:r>
        <w:rPr>
          <w:color w:val="231F20"/>
          <w:spacing w:val="-1"/>
          <w:sz w:val="18"/>
        </w:rPr>
        <w:t> </w:t>
      </w:r>
      <w:r>
        <w:rPr>
          <w:color w:val="231F20"/>
          <w:sz w:val="18"/>
        </w:rPr>
        <w:t>pasado.</w:t>
      </w:r>
    </w:p>
    <w:p>
      <w:pPr>
        <w:spacing w:after="0" w:line="184" w:lineRule="auto"/>
        <w:jc w:val="both"/>
        <w:rPr>
          <w:sz w:val="18"/>
        </w:rPr>
        <w:sectPr>
          <w:footerReference w:type="default" r:id="rId126"/>
          <w:pgSz w:w="7770" w:h="11740"/>
          <w:pgMar w:footer="474" w:header="0" w:top="840" w:bottom="660" w:left="1020" w:right="740"/>
          <w:pgNumType w:start="95"/>
        </w:sectPr>
      </w:pPr>
    </w:p>
    <w:p>
      <w:pPr>
        <w:pStyle w:val="BodyText"/>
        <w:spacing w:line="249" w:lineRule="auto" w:before="60"/>
        <w:ind w:left="110" w:right="111"/>
        <w:jc w:val="both"/>
        <w:rPr>
          <w:sz w:val="11"/>
        </w:rPr>
      </w:pPr>
      <w:r>
        <w:rPr>
          <w:color w:val="231F20"/>
        </w:rPr>
        <w:t>media de 0.15 para establecer el nivel de concentración de los mercados de las ramas de actividad en estudio (Durán, 2006). A partir de esta de- finición de intensidad comercial, establecimos un criterio de separación dentro de los sectores que no tienen flujos comerciales especializados. Un sector transable (no especializado) se considera como concentrado</w:t>
      </w:r>
      <w:r>
        <w:rPr>
          <w:color w:val="231F20"/>
          <w:spacing w:val="-23"/>
        </w:rPr>
        <w:t> </w:t>
      </w:r>
      <w:r>
        <w:rPr>
          <w:color w:val="231F20"/>
        </w:rPr>
        <w:t>si está compuesto por ramas de actividad con índices mayores a 0.15. En caso contrario se le consideró como no concentrado (criterio III, tercera área).</w:t>
      </w:r>
      <w:r>
        <w:rPr>
          <w:color w:val="231F20"/>
          <w:position w:val="7"/>
          <w:sz w:val="11"/>
        </w:rPr>
        <w:t>7</w:t>
      </w:r>
    </w:p>
    <w:p>
      <w:pPr>
        <w:pStyle w:val="Heading5"/>
        <w:ind w:left="110"/>
        <w:rPr>
          <w:i/>
        </w:rPr>
      </w:pPr>
      <w:r>
        <w:rPr>
          <w:i/>
          <w:w w:val="75"/>
        </w:rPr>
        <w:t>Agrupación finalmente utilizada</w:t>
      </w:r>
    </w:p>
    <w:p>
      <w:pPr>
        <w:pStyle w:val="BodyText"/>
        <w:spacing w:line="249" w:lineRule="auto" w:before="171"/>
        <w:ind w:left="105" w:right="110"/>
        <w:jc w:val="right"/>
      </w:pPr>
      <w:r>
        <w:rPr>
          <w:color w:val="231F20"/>
        </w:rPr>
        <w:t>La clasificación inicial mostrada en el Esquema 1 permitiría el</w:t>
      </w:r>
      <w:r>
        <w:rPr>
          <w:color w:val="231F20"/>
          <w:spacing w:val="11"/>
        </w:rPr>
        <w:t> </w:t>
      </w:r>
      <w:r>
        <w:rPr>
          <w:color w:val="231F20"/>
        </w:rPr>
        <w:t>estudio</w:t>
      </w:r>
      <w:r>
        <w:rPr>
          <w:color w:val="231F20"/>
          <w:spacing w:val="1"/>
        </w:rPr>
        <w:t> </w:t>
      </w:r>
      <w:r>
        <w:rPr>
          <w:color w:val="231F20"/>
        </w:rPr>
        <w:t>a</w:t>
      </w:r>
      <w:r>
        <w:rPr>
          <w:color w:val="231F20"/>
          <w:w w:val="100"/>
        </w:rPr>
        <w:t> </w:t>
      </w:r>
      <w:r>
        <w:rPr>
          <w:color w:val="231F20"/>
        </w:rPr>
        <w:t>nivel de cinco sectores diferentes, idealmente. Sin embargo,</w:t>
      </w:r>
      <w:r>
        <w:rPr>
          <w:color w:val="231F20"/>
          <w:spacing w:val="41"/>
        </w:rPr>
        <w:t> </w:t>
      </w:r>
      <w:r>
        <w:rPr>
          <w:color w:val="231F20"/>
        </w:rPr>
        <w:t>después</w:t>
      </w:r>
      <w:r>
        <w:rPr>
          <w:color w:val="231F20"/>
          <w:spacing w:val="5"/>
        </w:rPr>
        <w:t> </w:t>
      </w:r>
      <w:r>
        <w:rPr>
          <w:color w:val="231F20"/>
        </w:rPr>
        <w:t>de analizar las primeras frecuencias en el caso mexicano y de</w:t>
      </w:r>
      <w:r>
        <w:rPr>
          <w:color w:val="231F20"/>
          <w:spacing w:val="7"/>
        </w:rPr>
        <w:t> </w:t>
      </w:r>
      <w:r>
        <w:rPr>
          <w:color w:val="231F20"/>
        </w:rPr>
        <w:t>otros</w:t>
      </w:r>
      <w:r>
        <w:rPr>
          <w:color w:val="231F20"/>
          <w:spacing w:val="11"/>
        </w:rPr>
        <w:t> </w:t>
      </w:r>
      <w:r>
        <w:rPr>
          <w:color w:val="231F20"/>
        </w:rPr>
        <w:t>países estudiados con la misma metodología (Escoto, 2014), este nivel</w:t>
      </w:r>
      <w:r>
        <w:rPr>
          <w:color w:val="231F20"/>
          <w:spacing w:val="-11"/>
        </w:rPr>
        <w:t> </w:t>
      </w:r>
      <w:r>
        <w:rPr>
          <w:color w:val="231F20"/>
        </w:rPr>
        <w:t>de</w:t>
      </w:r>
      <w:r>
        <w:rPr>
          <w:color w:val="231F20"/>
          <w:spacing w:val="-2"/>
        </w:rPr>
        <w:t> </w:t>
      </w:r>
      <w:r>
        <w:rPr>
          <w:color w:val="231F20"/>
        </w:rPr>
        <w:t>deta- lle</w:t>
      </w:r>
      <w:r>
        <w:rPr>
          <w:color w:val="231F20"/>
          <w:spacing w:val="-10"/>
        </w:rPr>
        <w:t> </w:t>
      </w:r>
      <w:r>
        <w:rPr>
          <w:color w:val="231F20"/>
        </w:rPr>
        <w:t>no</w:t>
      </w:r>
      <w:r>
        <w:rPr>
          <w:color w:val="231F20"/>
          <w:spacing w:val="-9"/>
        </w:rPr>
        <w:t> </w:t>
      </w:r>
      <w:r>
        <w:rPr>
          <w:color w:val="231F20"/>
        </w:rPr>
        <w:t>se</w:t>
      </w:r>
      <w:r>
        <w:rPr>
          <w:color w:val="231F20"/>
          <w:spacing w:val="-9"/>
        </w:rPr>
        <w:t> </w:t>
      </w:r>
      <w:r>
        <w:rPr>
          <w:color w:val="231F20"/>
        </w:rPr>
        <w:t>pudo</w:t>
      </w:r>
      <w:r>
        <w:rPr>
          <w:color w:val="231F20"/>
          <w:spacing w:val="-9"/>
        </w:rPr>
        <w:t> </w:t>
      </w:r>
      <w:r>
        <w:rPr>
          <w:color w:val="231F20"/>
        </w:rPr>
        <w:t>mantener,</w:t>
      </w:r>
      <w:r>
        <w:rPr>
          <w:color w:val="231F20"/>
          <w:spacing w:val="-9"/>
        </w:rPr>
        <w:t> </w:t>
      </w:r>
      <w:r>
        <w:rPr>
          <w:color w:val="231F20"/>
        </w:rPr>
        <w:t>lo</w:t>
      </w:r>
      <w:r>
        <w:rPr>
          <w:color w:val="231F20"/>
          <w:spacing w:val="-10"/>
        </w:rPr>
        <w:t> </w:t>
      </w:r>
      <w:r>
        <w:rPr>
          <w:color w:val="231F20"/>
        </w:rPr>
        <w:t>que</w:t>
      </w:r>
      <w:r>
        <w:rPr>
          <w:color w:val="231F20"/>
          <w:spacing w:val="-9"/>
        </w:rPr>
        <w:t> </w:t>
      </w:r>
      <w:r>
        <w:rPr>
          <w:color w:val="231F20"/>
        </w:rPr>
        <w:t>obligó</w:t>
      </w:r>
      <w:r>
        <w:rPr>
          <w:color w:val="231F20"/>
          <w:spacing w:val="-9"/>
        </w:rPr>
        <w:t> </w:t>
      </w:r>
      <w:r>
        <w:rPr>
          <w:color w:val="231F20"/>
        </w:rPr>
        <w:t>a</w:t>
      </w:r>
      <w:r>
        <w:rPr>
          <w:color w:val="231F20"/>
          <w:spacing w:val="-9"/>
        </w:rPr>
        <w:t> </w:t>
      </w:r>
      <w:r>
        <w:rPr>
          <w:color w:val="231F20"/>
        </w:rPr>
        <w:t>agrupar</w:t>
      </w:r>
      <w:r>
        <w:rPr>
          <w:color w:val="231F20"/>
          <w:spacing w:val="-10"/>
        </w:rPr>
        <w:t> </w:t>
      </w:r>
      <w:r>
        <w:rPr>
          <w:color w:val="231F20"/>
        </w:rPr>
        <w:t>a</w:t>
      </w:r>
      <w:r>
        <w:rPr>
          <w:color w:val="231F20"/>
          <w:spacing w:val="-9"/>
        </w:rPr>
        <w:t> </w:t>
      </w:r>
      <w:r>
        <w:rPr>
          <w:color w:val="231F20"/>
        </w:rPr>
        <w:t>los</w:t>
      </w:r>
      <w:r>
        <w:rPr>
          <w:color w:val="231F20"/>
          <w:spacing w:val="-10"/>
        </w:rPr>
        <w:t> </w:t>
      </w:r>
      <w:r>
        <w:rPr>
          <w:color w:val="231F20"/>
        </w:rPr>
        <w:t>sectores</w:t>
      </w:r>
      <w:r>
        <w:rPr>
          <w:color w:val="231F20"/>
          <w:spacing w:val="-9"/>
        </w:rPr>
        <w:t> </w:t>
      </w:r>
      <w:r>
        <w:rPr>
          <w:color w:val="231F20"/>
        </w:rPr>
        <w:t>transables. Dada la naturaleza del comercio exterior mexicano, una</w:t>
      </w:r>
      <w:r>
        <w:rPr>
          <w:color w:val="231F20"/>
          <w:spacing w:val="-18"/>
        </w:rPr>
        <w:t> </w:t>
      </w:r>
      <w:r>
        <w:rPr>
          <w:color w:val="231F20"/>
        </w:rPr>
        <w:t>parte</w:t>
      </w:r>
      <w:r>
        <w:rPr>
          <w:color w:val="231F20"/>
          <w:spacing w:val="-2"/>
        </w:rPr>
        <w:t> </w:t>
      </w:r>
      <w:r>
        <w:rPr>
          <w:color w:val="231F20"/>
        </w:rPr>
        <w:t>impor- tante de la fuerza de trabajo en estos sectores transables se</w:t>
      </w:r>
      <w:r>
        <w:rPr>
          <w:color w:val="231F20"/>
          <w:spacing w:val="5"/>
        </w:rPr>
        <w:t> </w:t>
      </w:r>
      <w:r>
        <w:rPr>
          <w:color w:val="231F20"/>
        </w:rPr>
        <w:t>aglutina</w:t>
      </w:r>
      <w:r>
        <w:rPr>
          <w:color w:val="231F20"/>
          <w:spacing w:val="14"/>
        </w:rPr>
        <w:t> </w:t>
      </w:r>
      <w:r>
        <w:rPr>
          <w:color w:val="231F20"/>
        </w:rPr>
        <w:t>en los sectores transables no especializados (con flujos</w:t>
      </w:r>
      <w:r>
        <w:rPr>
          <w:color w:val="231F20"/>
          <w:spacing w:val="46"/>
        </w:rPr>
        <w:t> </w:t>
      </w:r>
      <w:r>
        <w:rPr>
          <w:color w:val="231F20"/>
        </w:rPr>
        <w:t>bilaterales de</w:t>
      </w:r>
      <w:r>
        <w:rPr>
          <w:color w:val="231F20"/>
          <w:spacing w:val="24"/>
        </w:rPr>
        <w:t> </w:t>
      </w:r>
      <w:r>
        <w:rPr>
          <w:color w:val="231F20"/>
        </w:rPr>
        <w:t>co- mercio) concentrados. El resto de los sectores posibles</w:t>
      </w:r>
      <w:r>
        <w:rPr>
          <w:color w:val="231F20"/>
          <w:spacing w:val="33"/>
        </w:rPr>
        <w:t> </w:t>
      </w:r>
      <w:r>
        <w:rPr>
          <w:color w:val="231F20"/>
        </w:rPr>
        <w:t>agrupan</w:t>
      </w:r>
      <w:r>
        <w:rPr>
          <w:color w:val="231F20"/>
          <w:spacing w:val="22"/>
        </w:rPr>
        <w:t> </w:t>
      </w:r>
      <w:r>
        <w:rPr>
          <w:color w:val="231F20"/>
        </w:rPr>
        <w:t>pocas observaciones</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respecta</w:t>
      </w:r>
      <w:r>
        <w:rPr>
          <w:color w:val="231F20"/>
          <w:spacing w:val="-7"/>
        </w:rPr>
        <w:t> </w:t>
      </w:r>
      <w:r>
        <w:rPr>
          <w:color w:val="231F20"/>
        </w:rPr>
        <w:t>al</w:t>
      </w:r>
      <w:r>
        <w:rPr>
          <w:color w:val="231F20"/>
          <w:spacing w:val="-7"/>
        </w:rPr>
        <w:t> </w:t>
      </w:r>
      <w:r>
        <w:rPr>
          <w:color w:val="231F20"/>
        </w:rPr>
        <w:t>mercado</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y</w:t>
      </w:r>
      <w:r>
        <w:rPr>
          <w:color w:val="231F20"/>
          <w:spacing w:val="-7"/>
        </w:rPr>
        <w:t> </w:t>
      </w:r>
      <w:r>
        <w:rPr>
          <w:color w:val="231F20"/>
        </w:rPr>
        <w:t>después</w:t>
      </w:r>
      <w:r>
        <w:rPr>
          <w:color w:val="231F20"/>
          <w:spacing w:val="-7"/>
        </w:rPr>
        <w:t> </w:t>
      </w:r>
      <w:r>
        <w:rPr>
          <w:color w:val="231F20"/>
        </w:rPr>
        <w:t>de</w:t>
      </w:r>
      <w:r>
        <w:rPr>
          <w:color w:val="231F20"/>
          <w:spacing w:val="-7"/>
        </w:rPr>
        <w:t> </w:t>
      </w:r>
      <w:r>
        <w:rPr>
          <w:color w:val="231F20"/>
        </w:rPr>
        <w:t>una primera</w:t>
      </w:r>
      <w:r>
        <w:rPr>
          <w:color w:val="231F20"/>
          <w:spacing w:val="-5"/>
        </w:rPr>
        <w:t> </w:t>
      </w:r>
      <w:r>
        <w:rPr>
          <w:color w:val="231F20"/>
        </w:rPr>
        <w:t>exploración</w:t>
      </w:r>
      <w:r>
        <w:rPr>
          <w:color w:val="231F20"/>
          <w:spacing w:val="-5"/>
        </w:rPr>
        <w:t> </w:t>
      </w:r>
      <w:r>
        <w:rPr>
          <w:color w:val="231F20"/>
        </w:rPr>
        <w:t>en</w:t>
      </w:r>
      <w:r>
        <w:rPr>
          <w:color w:val="231F20"/>
          <w:spacing w:val="-5"/>
        </w:rPr>
        <w:t> </w:t>
      </w:r>
      <w:r>
        <w:rPr>
          <w:color w:val="231F20"/>
        </w:rPr>
        <w:t>cuanto</w:t>
      </w:r>
      <w:r>
        <w:rPr>
          <w:color w:val="231F20"/>
          <w:spacing w:val="-5"/>
        </w:rPr>
        <w:t> </w:t>
      </w:r>
      <w:r>
        <w:rPr>
          <w:color w:val="231F20"/>
        </w:rPr>
        <w:t>a</w:t>
      </w:r>
      <w:r>
        <w:rPr>
          <w:color w:val="231F20"/>
          <w:spacing w:val="-5"/>
        </w:rPr>
        <w:t> </w:t>
      </w:r>
      <w:r>
        <w:rPr>
          <w:color w:val="231F20"/>
        </w:rPr>
        <w:t>condiciones</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observamos</w:t>
      </w:r>
      <w:r>
        <w:rPr>
          <w:color w:val="231F20"/>
          <w:spacing w:val="-5"/>
        </w:rPr>
        <w:t> </w:t>
      </w:r>
      <w:r>
        <w:rPr>
          <w:color w:val="231F20"/>
        </w:rPr>
        <w:t>que los</w:t>
      </w:r>
      <w:r>
        <w:rPr>
          <w:color w:val="231F20"/>
          <w:spacing w:val="-6"/>
        </w:rPr>
        <w:t> </w:t>
      </w:r>
      <w:r>
        <w:rPr>
          <w:color w:val="231F20"/>
        </w:rPr>
        <w:t>comportamientos</w:t>
      </w:r>
      <w:r>
        <w:rPr>
          <w:color w:val="231F20"/>
          <w:spacing w:val="-6"/>
        </w:rPr>
        <w:t> </w:t>
      </w:r>
      <w:r>
        <w:rPr>
          <w:color w:val="231F20"/>
        </w:rPr>
        <w:t>eran</w:t>
      </w:r>
      <w:r>
        <w:rPr>
          <w:color w:val="231F20"/>
          <w:spacing w:val="-6"/>
        </w:rPr>
        <w:t> </w:t>
      </w:r>
      <w:r>
        <w:rPr>
          <w:color w:val="231F20"/>
        </w:rPr>
        <w:t>similares.</w:t>
      </w:r>
      <w:r>
        <w:rPr>
          <w:color w:val="231F20"/>
          <w:spacing w:val="-6"/>
        </w:rPr>
        <w:t> </w:t>
      </w:r>
      <w:r>
        <w:rPr>
          <w:color w:val="231F20"/>
        </w:rPr>
        <w:t>Por</w:t>
      </w:r>
      <w:r>
        <w:rPr>
          <w:color w:val="231F20"/>
          <w:spacing w:val="-6"/>
        </w:rPr>
        <w:t> </w:t>
      </w:r>
      <w:r>
        <w:rPr>
          <w:color w:val="231F20"/>
        </w:rPr>
        <w:t>esta</w:t>
      </w:r>
      <w:r>
        <w:rPr>
          <w:color w:val="231F20"/>
          <w:spacing w:val="-6"/>
        </w:rPr>
        <w:t> </w:t>
      </w:r>
      <w:r>
        <w:rPr>
          <w:color w:val="231F20"/>
        </w:rPr>
        <w:t>razón,</w:t>
      </w:r>
      <w:r>
        <w:rPr>
          <w:color w:val="231F20"/>
          <w:spacing w:val="-6"/>
        </w:rPr>
        <w:t> </w:t>
      </w:r>
      <w:r>
        <w:rPr>
          <w:color w:val="231F20"/>
        </w:rPr>
        <w:t>tomamos</w:t>
      </w:r>
      <w:r>
        <w:rPr>
          <w:color w:val="231F20"/>
          <w:spacing w:val="-7"/>
        </w:rPr>
        <w:t> </w:t>
      </w:r>
      <w:r>
        <w:rPr>
          <w:color w:val="231F20"/>
        </w:rPr>
        <w:t>la</w:t>
      </w:r>
      <w:r>
        <w:rPr>
          <w:color w:val="231F20"/>
          <w:spacing w:val="-6"/>
        </w:rPr>
        <w:t> </w:t>
      </w:r>
      <w:r>
        <w:rPr>
          <w:color w:val="231F20"/>
        </w:rPr>
        <w:t>decisión de</w:t>
      </w:r>
      <w:r>
        <w:rPr>
          <w:color w:val="231F20"/>
          <w:spacing w:val="-6"/>
        </w:rPr>
        <w:t> </w:t>
      </w:r>
      <w:r>
        <w:rPr>
          <w:color w:val="231F20"/>
        </w:rPr>
        <w:t>considerar</w:t>
      </w:r>
      <w:r>
        <w:rPr>
          <w:color w:val="231F20"/>
          <w:spacing w:val="-7"/>
        </w:rPr>
        <w:t> </w:t>
      </w:r>
      <w:r>
        <w:rPr>
          <w:color w:val="231F20"/>
        </w:rPr>
        <w:t>sólo</w:t>
      </w:r>
      <w:r>
        <w:rPr>
          <w:color w:val="231F20"/>
          <w:spacing w:val="-6"/>
        </w:rPr>
        <w:t> </w:t>
      </w:r>
      <w:r>
        <w:rPr>
          <w:color w:val="231F20"/>
        </w:rPr>
        <w:t>dos</w:t>
      </w:r>
      <w:r>
        <w:rPr>
          <w:color w:val="231F20"/>
          <w:spacing w:val="-6"/>
        </w:rPr>
        <w:t> </w:t>
      </w:r>
      <w:r>
        <w:rPr>
          <w:color w:val="231F20"/>
        </w:rPr>
        <w:t>agrupaciones</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sectores</w:t>
      </w:r>
      <w:r>
        <w:rPr>
          <w:color w:val="231F20"/>
          <w:spacing w:val="-6"/>
        </w:rPr>
        <w:t> </w:t>
      </w:r>
      <w:r>
        <w:rPr>
          <w:color w:val="231F20"/>
        </w:rPr>
        <w:t>transables:</w:t>
      </w:r>
      <w:r>
        <w:rPr>
          <w:color w:val="231F20"/>
          <w:spacing w:val="-17"/>
        </w:rPr>
        <w:t> </w:t>
      </w:r>
      <w:r>
        <w:rPr>
          <w:color w:val="231F20"/>
        </w:rPr>
        <w:t>A)</w:t>
      </w:r>
      <w:r>
        <w:rPr>
          <w:color w:val="231F20"/>
          <w:spacing w:val="-1"/>
        </w:rPr>
        <w:t> </w:t>
      </w:r>
      <w:r>
        <w:rPr>
          <w:color w:val="231F20"/>
        </w:rPr>
        <w:t>un sector transable con flujos bilaterales de comercio y</w:t>
      </w:r>
      <w:r>
        <w:rPr>
          <w:color w:val="231F20"/>
          <w:spacing w:val="1"/>
        </w:rPr>
        <w:t> </w:t>
      </w:r>
      <w:r>
        <w:rPr>
          <w:color w:val="231F20"/>
        </w:rPr>
        <w:t>concentrado</w:t>
      </w:r>
      <w:r>
        <w:rPr>
          <w:color w:val="231F20"/>
          <w:spacing w:val="10"/>
        </w:rPr>
        <w:t> </w:t>
      </w:r>
      <w:r>
        <w:rPr>
          <w:color w:val="231F20"/>
        </w:rPr>
        <w:t>en</w:t>
      </w:r>
      <w:r>
        <w:rPr>
          <w:color w:val="231F20"/>
          <w:w w:val="100"/>
        </w:rPr>
        <w:t> </w:t>
      </w:r>
      <w:r>
        <w:rPr>
          <w:color w:val="231F20"/>
        </w:rPr>
        <w:t>términos de socios; B) un sector de otros transables, el cual</w:t>
      </w:r>
      <w:r>
        <w:rPr>
          <w:color w:val="231F20"/>
          <w:spacing w:val="23"/>
        </w:rPr>
        <w:t> </w:t>
      </w:r>
      <w:r>
        <w:rPr>
          <w:color w:val="231F20"/>
        </w:rPr>
        <w:t>puede</w:t>
      </w:r>
      <w:r>
        <w:rPr>
          <w:color w:val="231F20"/>
          <w:spacing w:val="2"/>
        </w:rPr>
        <w:t> </w:t>
      </w:r>
      <w:r>
        <w:rPr>
          <w:color w:val="231F20"/>
        </w:rPr>
        <w:t>agru- par a: i) ramas de actividad con flujos bilaterales de comercio,</w:t>
      </w:r>
      <w:r>
        <w:rPr>
          <w:color w:val="231F20"/>
          <w:spacing w:val="6"/>
        </w:rPr>
        <w:t> </w:t>
      </w:r>
      <w:r>
        <w:rPr>
          <w:color w:val="231F20"/>
        </w:rPr>
        <w:t>pero</w:t>
      </w:r>
      <w:r>
        <w:rPr>
          <w:color w:val="231F20"/>
          <w:spacing w:val="5"/>
        </w:rPr>
        <w:t> </w:t>
      </w:r>
      <w:r>
        <w:rPr>
          <w:color w:val="231F20"/>
        </w:rPr>
        <w:t>que</w:t>
      </w:r>
      <w:r>
        <w:rPr>
          <w:color w:val="231F20"/>
          <w:w w:val="100"/>
        </w:rPr>
        <w:t> </w:t>
      </w:r>
      <w:r>
        <w:rPr>
          <w:color w:val="231F20"/>
        </w:rPr>
        <w:t>tienen un mercado diversificado en términos de socios adonde</w:t>
      </w:r>
      <w:r>
        <w:rPr>
          <w:color w:val="231F20"/>
          <w:spacing w:val="-29"/>
        </w:rPr>
        <w:t> </w:t>
      </w:r>
      <w:r>
        <w:rPr>
          <w:color w:val="231F20"/>
        </w:rPr>
        <w:t>se</w:t>
      </w:r>
      <w:r>
        <w:rPr>
          <w:color w:val="231F20"/>
          <w:spacing w:val="-4"/>
        </w:rPr>
        <w:t> </w:t>
      </w:r>
      <w:r>
        <w:rPr>
          <w:color w:val="231F20"/>
        </w:rPr>
        <w:t>dirigen</w:t>
      </w:r>
      <w:r>
        <w:rPr>
          <w:color w:val="231F20"/>
          <w:w w:val="100"/>
        </w:rPr>
        <w:t> </w:t>
      </w:r>
      <w:r>
        <w:rPr>
          <w:color w:val="231F20"/>
        </w:rPr>
        <w:t>las exportaciones; ii) ramas especializadas con flujos unilaterales</w:t>
      </w:r>
      <w:r>
        <w:rPr>
          <w:color w:val="231F20"/>
          <w:spacing w:val="29"/>
        </w:rPr>
        <w:t> </w:t>
      </w:r>
      <w:r>
        <w:rPr>
          <w:color w:val="231F20"/>
        </w:rPr>
        <w:t>de</w:t>
      </w:r>
      <w:r>
        <w:rPr>
          <w:color w:val="231F20"/>
          <w:spacing w:val="3"/>
        </w:rPr>
        <w:t> </w:t>
      </w:r>
      <w:r>
        <w:rPr>
          <w:color w:val="231F20"/>
        </w:rPr>
        <w:t>co- mercio, exportadoras o importadoras. Como se mencionó, la</w:t>
      </w:r>
      <w:r>
        <w:rPr>
          <w:color w:val="231F20"/>
          <w:spacing w:val="-11"/>
        </w:rPr>
        <w:t> </w:t>
      </w:r>
      <w:r>
        <w:rPr>
          <w:color w:val="231F20"/>
        </w:rPr>
        <w:t>decisión</w:t>
      </w:r>
      <w:r>
        <w:rPr>
          <w:color w:val="231F20"/>
          <w:spacing w:val="-2"/>
        </w:rPr>
        <w:t> </w:t>
      </w:r>
      <w:r>
        <w:rPr>
          <w:color w:val="231F20"/>
        </w:rPr>
        <w:t>de efectuar</w:t>
      </w:r>
      <w:r>
        <w:rPr>
          <w:color w:val="231F20"/>
          <w:spacing w:val="17"/>
        </w:rPr>
        <w:t> </w:t>
      </w:r>
      <w:r>
        <w:rPr>
          <w:color w:val="231F20"/>
        </w:rPr>
        <w:t>esta</w:t>
      </w:r>
      <w:r>
        <w:rPr>
          <w:color w:val="231F20"/>
          <w:spacing w:val="17"/>
        </w:rPr>
        <w:t> </w:t>
      </w:r>
      <w:r>
        <w:rPr>
          <w:color w:val="231F20"/>
        </w:rPr>
        <w:t>última</w:t>
      </w:r>
      <w:r>
        <w:rPr>
          <w:color w:val="231F20"/>
          <w:spacing w:val="18"/>
        </w:rPr>
        <w:t> </w:t>
      </w:r>
      <w:r>
        <w:rPr>
          <w:color w:val="231F20"/>
        </w:rPr>
        <w:t>agrupación</w:t>
      </w:r>
      <w:r>
        <w:rPr>
          <w:color w:val="231F20"/>
          <w:spacing w:val="17"/>
        </w:rPr>
        <w:t> </w:t>
      </w:r>
      <w:r>
        <w:rPr>
          <w:color w:val="231F20"/>
        </w:rPr>
        <w:t>se</w:t>
      </w:r>
      <w:r>
        <w:rPr>
          <w:color w:val="231F20"/>
          <w:spacing w:val="18"/>
        </w:rPr>
        <w:t> </w:t>
      </w:r>
      <w:r>
        <w:rPr>
          <w:color w:val="231F20"/>
        </w:rPr>
        <w:t>debe</w:t>
      </w:r>
      <w:r>
        <w:rPr>
          <w:color w:val="231F20"/>
          <w:spacing w:val="18"/>
        </w:rPr>
        <w:t> </w:t>
      </w:r>
      <w:r>
        <w:rPr>
          <w:color w:val="231F20"/>
        </w:rPr>
        <w:t>a</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trata</w:t>
      </w:r>
      <w:r>
        <w:rPr>
          <w:color w:val="231F20"/>
          <w:spacing w:val="17"/>
        </w:rPr>
        <w:t> </w:t>
      </w:r>
      <w:r>
        <w:rPr>
          <w:color w:val="231F20"/>
        </w:rPr>
        <w:t>de</w:t>
      </w:r>
      <w:r>
        <w:rPr>
          <w:color w:val="231F20"/>
          <w:spacing w:val="18"/>
        </w:rPr>
        <w:t> </w:t>
      </w:r>
      <w:r>
        <w:rPr>
          <w:color w:val="231F20"/>
        </w:rPr>
        <w:t>sectores</w:t>
      </w:r>
      <w:r>
        <w:rPr>
          <w:color w:val="231F20"/>
          <w:spacing w:val="18"/>
        </w:rPr>
        <w:t> </w:t>
      </w:r>
      <w:r>
        <w:rPr>
          <w:color w:val="231F20"/>
        </w:rPr>
        <w:t>más pequeños en términos de observaciones en el mercado de trabajo,</w:t>
      </w:r>
      <w:r>
        <w:rPr>
          <w:color w:val="231F20"/>
          <w:spacing w:val="28"/>
        </w:rPr>
        <w:t> </w:t>
      </w:r>
      <w:r>
        <w:rPr>
          <w:color w:val="231F20"/>
        </w:rPr>
        <w:t>en</w:t>
      </w:r>
      <w:r>
        <w:rPr>
          <w:color w:val="231F20"/>
          <w:spacing w:val="2"/>
        </w:rPr>
        <w:t> </w:t>
      </w:r>
      <w:r>
        <w:rPr>
          <w:color w:val="231F20"/>
        </w:rPr>
        <w:t>las economías hasta ahora estudiadas. Sin duda, otros casos y</w:t>
      </w:r>
      <w:r>
        <w:rPr>
          <w:color w:val="231F20"/>
          <w:spacing w:val="38"/>
        </w:rPr>
        <w:t> </w:t>
      </w:r>
      <w:r>
        <w:rPr>
          <w:color w:val="231F20"/>
        </w:rPr>
        <w:t>otros</w:t>
      </w:r>
      <w:r>
        <w:rPr>
          <w:color w:val="231F20"/>
          <w:spacing w:val="15"/>
        </w:rPr>
        <w:t> </w:t>
      </w:r>
      <w:r>
        <w:rPr>
          <w:color w:val="231F20"/>
        </w:rPr>
        <w:t>países podrían permitir un análisis individual de estas ramas. En</w:t>
      </w:r>
      <w:r>
        <w:rPr>
          <w:color w:val="231F20"/>
          <w:spacing w:val="18"/>
        </w:rPr>
        <w:t> </w:t>
      </w:r>
      <w:r>
        <w:rPr>
          <w:color w:val="231F20"/>
        </w:rPr>
        <w:t>resumen,</w:t>
      </w:r>
      <w:r>
        <w:rPr>
          <w:color w:val="231F20"/>
          <w:spacing w:val="18"/>
        </w:rPr>
        <w:t> </w:t>
      </w:r>
      <w:r>
        <w:rPr>
          <w:color w:val="231F20"/>
        </w:rPr>
        <w:t>se</w:t>
      </w:r>
      <w:r>
        <w:rPr>
          <w:color w:val="231F20"/>
          <w:spacing w:val="-1"/>
        </w:rPr>
        <w:t> </w:t>
      </w:r>
      <w:r>
        <w:rPr>
          <w:color w:val="231F20"/>
        </w:rPr>
        <w:t>trabajará</w:t>
      </w:r>
      <w:r>
        <w:rPr>
          <w:color w:val="231F20"/>
          <w:spacing w:val="-5"/>
        </w:rPr>
        <w:t> </w:t>
      </w:r>
      <w:r>
        <w:rPr>
          <w:color w:val="231F20"/>
        </w:rPr>
        <w:t>con</w:t>
      </w:r>
      <w:r>
        <w:rPr>
          <w:color w:val="231F20"/>
          <w:spacing w:val="-5"/>
        </w:rPr>
        <w:t> </w:t>
      </w:r>
      <w:r>
        <w:rPr>
          <w:color w:val="231F20"/>
        </w:rPr>
        <w:t>las</w:t>
      </w:r>
      <w:r>
        <w:rPr>
          <w:color w:val="231F20"/>
          <w:spacing w:val="-5"/>
        </w:rPr>
        <w:t> </w:t>
      </w:r>
      <w:r>
        <w:rPr>
          <w:color w:val="231F20"/>
        </w:rPr>
        <w:t>agrupaciones</w:t>
      </w:r>
      <w:r>
        <w:rPr>
          <w:color w:val="231F20"/>
          <w:spacing w:val="-5"/>
        </w:rPr>
        <w:t> </w:t>
      </w:r>
      <w:r>
        <w:rPr>
          <w:color w:val="231F20"/>
        </w:rPr>
        <w:t>que</w:t>
      </w:r>
      <w:r>
        <w:rPr>
          <w:color w:val="231F20"/>
          <w:spacing w:val="-5"/>
        </w:rPr>
        <w:t> </w:t>
      </w:r>
      <w:r>
        <w:rPr>
          <w:color w:val="231F20"/>
        </w:rPr>
        <w:t>se</w:t>
      </w:r>
      <w:r>
        <w:rPr>
          <w:color w:val="231F20"/>
          <w:spacing w:val="-4"/>
        </w:rPr>
        <w:t> </w:t>
      </w:r>
      <w:r>
        <w:rPr>
          <w:color w:val="231F20"/>
        </w:rPr>
        <w:t>detallan</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Recuadro</w:t>
      </w:r>
      <w:r>
        <w:rPr>
          <w:color w:val="231F20"/>
          <w:spacing w:val="-5"/>
        </w:rPr>
        <w:t> </w:t>
      </w:r>
      <w:r>
        <w:rPr>
          <w:color w:val="231F20"/>
        </w:rPr>
        <w:t>1</w:t>
      </w:r>
      <w:r>
        <w:rPr>
          <w:color w:val="231F20"/>
          <w:spacing w:val="-4"/>
        </w:rPr>
        <w:t> </w:t>
      </w:r>
      <w:r>
        <w:rPr>
          <w:color w:val="231F20"/>
        </w:rPr>
        <w:t>más</w:t>
      </w:r>
      <w:r>
        <w:rPr>
          <w:color w:val="231F20"/>
          <w:spacing w:val="-5"/>
        </w:rPr>
        <w:t> </w:t>
      </w:r>
      <w:r>
        <w:rPr>
          <w:color w:val="231F20"/>
        </w:rPr>
        <w:t>aba- jo.</w:t>
      </w:r>
      <w:r>
        <w:rPr>
          <w:color w:val="231F20"/>
          <w:spacing w:val="-7"/>
        </w:rPr>
        <w:t> </w:t>
      </w:r>
      <w:r>
        <w:rPr>
          <w:color w:val="231F20"/>
        </w:rPr>
        <w:t>Las</w:t>
      </w:r>
      <w:r>
        <w:rPr>
          <w:color w:val="231F20"/>
          <w:spacing w:val="-7"/>
        </w:rPr>
        <w:t> </w:t>
      </w:r>
      <w:r>
        <w:rPr>
          <w:color w:val="231F20"/>
        </w:rPr>
        <w:t>ramas</w:t>
      </w:r>
      <w:r>
        <w:rPr>
          <w:color w:val="231F20"/>
          <w:spacing w:val="-7"/>
        </w:rPr>
        <w:t> </w:t>
      </w:r>
      <w:r>
        <w:rPr>
          <w:color w:val="231F20"/>
        </w:rPr>
        <w:t>y</w:t>
      </w:r>
      <w:r>
        <w:rPr>
          <w:color w:val="231F20"/>
          <w:spacing w:val="-7"/>
        </w:rPr>
        <w:t> </w:t>
      </w:r>
      <w:r>
        <w:rPr>
          <w:color w:val="231F20"/>
        </w:rPr>
        <w:t>sub-ramas</w:t>
      </w:r>
      <w:r>
        <w:rPr>
          <w:color w:val="231F20"/>
          <w:spacing w:val="-7"/>
        </w:rPr>
        <w:t> </w:t>
      </w:r>
      <w:r>
        <w:rPr>
          <w:color w:val="231F20"/>
        </w:rPr>
        <w:t>finalmente</w:t>
      </w:r>
      <w:r>
        <w:rPr>
          <w:color w:val="231F20"/>
          <w:spacing w:val="-7"/>
        </w:rPr>
        <w:t> </w:t>
      </w:r>
      <w:r>
        <w:rPr>
          <w:color w:val="231F20"/>
        </w:rPr>
        <w:t>incluidas</w:t>
      </w:r>
      <w:r>
        <w:rPr>
          <w:color w:val="231F20"/>
          <w:spacing w:val="-7"/>
        </w:rPr>
        <w:t> </w:t>
      </w:r>
      <w:r>
        <w:rPr>
          <w:color w:val="231F20"/>
        </w:rPr>
        <w:t>en</w:t>
      </w:r>
      <w:r>
        <w:rPr>
          <w:color w:val="231F20"/>
          <w:spacing w:val="-7"/>
        </w:rPr>
        <w:t> </w:t>
      </w:r>
      <w:r>
        <w:rPr>
          <w:color w:val="231F20"/>
        </w:rPr>
        <w:t>cada</w:t>
      </w:r>
      <w:r>
        <w:rPr>
          <w:color w:val="231F20"/>
          <w:spacing w:val="-7"/>
        </w:rPr>
        <w:t> </w:t>
      </w:r>
      <w:r>
        <w:rPr>
          <w:color w:val="231F20"/>
        </w:rPr>
        <w:t>caso</w:t>
      </w:r>
      <w:r>
        <w:rPr>
          <w:color w:val="231F20"/>
          <w:spacing w:val="-7"/>
        </w:rPr>
        <w:t> </w:t>
      </w:r>
      <w:r>
        <w:rPr>
          <w:color w:val="231F20"/>
        </w:rPr>
        <w:t>—las</w:t>
      </w:r>
      <w:r>
        <w:rPr>
          <w:color w:val="231F20"/>
          <w:spacing w:val="-7"/>
        </w:rPr>
        <w:t> </w:t>
      </w:r>
      <w:r>
        <w:rPr>
          <w:color w:val="231F20"/>
        </w:rPr>
        <w:t>cuales</w:t>
      </w:r>
    </w:p>
    <w:p>
      <w:pPr>
        <w:spacing w:before="96"/>
        <w:ind w:left="110" w:right="111" w:firstLine="0"/>
        <w:jc w:val="both"/>
        <w:rPr>
          <w:sz w:val="14"/>
        </w:rPr>
      </w:pPr>
      <w:r>
        <w:rPr>
          <w:color w:val="231F20"/>
          <w:position w:val="5"/>
          <w:sz w:val="8"/>
        </w:rPr>
        <w:t>7 </w:t>
      </w:r>
      <w:r>
        <w:rPr>
          <w:color w:val="231F20"/>
          <w:sz w:val="14"/>
        </w:rPr>
        <w:t>Al adoptar este esquema basado en árboles de decisiones, se estableció un modelo replicable,</w:t>
      </w:r>
      <w:r>
        <w:rPr>
          <w:color w:val="231F20"/>
          <w:spacing w:val="-21"/>
          <w:sz w:val="14"/>
        </w:rPr>
        <w:t> </w:t>
      </w:r>
      <w:r>
        <w:rPr>
          <w:color w:val="231F20"/>
          <w:sz w:val="14"/>
        </w:rPr>
        <w:t>cualidad por demás necesaria en una línea de investigación que pretende ser comparativa. Se debe mencionar que se intentó hacer una clasificación con herramientas estadísticas multivariadas como el análisis de conglomerados. Al evaluar los resultados después de aplicar estas técnicas, se observó que los grupos resultantes (con base en los mismos aspectos de volumen de comercio, dirección de los flujos y socios comerciales) no ofrecían una clasificación adecuada, desde la perspectiva del conocimiento existente sobre el</w:t>
      </w:r>
      <w:r>
        <w:rPr>
          <w:color w:val="231F20"/>
          <w:spacing w:val="-4"/>
          <w:sz w:val="14"/>
        </w:rPr>
        <w:t> </w:t>
      </w:r>
      <w:r>
        <w:rPr>
          <w:color w:val="231F20"/>
          <w:sz w:val="14"/>
        </w:rPr>
        <w:t>tema.</w:t>
      </w:r>
    </w:p>
    <w:p>
      <w:pPr>
        <w:spacing w:after="0"/>
        <w:jc w:val="both"/>
        <w:rPr>
          <w:sz w:val="14"/>
        </w:rPr>
        <w:sectPr>
          <w:pgSz w:w="7770" w:h="11740"/>
          <w:pgMar w:header="0" w:footer="474" w:top="840" w:bottom="740" w:left="740" w:right="1020"/>
        </w:sectPr>
      </w:pPr>
    </w:p>
    <w:p>
      <w:pPr>
        <w:pStyle w:val="BodyText"/>
        <w:spacing w:line="249" w:lineRule="auto" w:before="60"/>
        <w:ind w:left="113" w:right="108"/>
        <w:jc w:val="both"/>
      </w:pPr>
      <w:r>
        <w:rPr>
          <w:color w:val="231F20"/>
        </w:rPr>
        <w:t>resultan de nuestro ejercicio clasificatorio— están especificadas en los cuadros A.1 del anexo.</w:t>
      </w:r>
    </w:p>
    <w:p>
      <w:pPr>
        <w:pStyle w:val="Heading4"/>
        <w:spacing w:line="240" w:lineRule="exact" w:before="166"/>
        <w:ind w:right="867"/>
        <w:jc w:val="left"/>
      </w:pPr>
      <w:r>
        <w:rPr>
          <w:w w:val="75"/>
        </w:rPr>
        <w:t>Condiciones laborales y comercio exterior: principales resultados de la clasificación propuesta</w:t>
      </w:r>
    </w:p>
    <w:p>
      <w:pPr>
        <w:pStyle w:val="BodyText"/>
        <w:spacing w:line="249" w:lineRule="auto" w:before="175"/>
        <w:ind w:left="113" w:right="108"/>
        <w:jc w:val="both"/>
      </w:pPr>
      <w:r>
        <w:rPr>
          <w:color w:val="231F20"/>
        </w:rPr>
        <w:t>Nuestra clasificación de las ramas de  actividad  según  su  vincula-  ción con el comercio exterior permite analizar las actividades de 13,951,751 trabajadores en ramas asociadas con la agricultura y la</w:t>
      </w:r>
      <w:r>
        <w:rPr>
          <w:color w:val="231F20"/>
          <w:spacing w:val="-22"/>
        </w:rPr>
        <w:t> </w:t>
      </w:r>
      <w:r>
        <w:rPr>
          <w:color w:val="231F20"/>
        </w:rPr>
        <w:t>gana- dería, la industria extractiva y eléctrica, la industria de transformación y la construcción en México, en el segundo trimestre del 2012. No fueron incluidos desde el inicio dos tipos de trabajadores: aquellos que se ocu- pan de manera no remunerada en estas diversas ramas de actividad y los que ejercen su actividad por cuenta propia en la agricultura. Se trata de actividades</w:t>
      </w:r>
      <w:r>
        <w:rPr>
          <w:color w:val="231F20"/>
          <w:spacing w:val="-10"/>
        </w:rPr>
        <w:t> </w:t>
      </w:r>
      <w:r>
        <w:rPr>
          <w:color w:val="231F20"/>
        </w:rPr>
        <w:t>que</w:t>
      </w:r>
      <w:r>
        <w:rPr>
          <w:color w:val="231F20"/>
          <w:spacing w:val="-9"/>
        </w:rPr>
        <w:t> </w:t>
      </w:r>
      <w:r>
        <w:rPr>
          <w:color w:val="231F20"/>
        </w:rPr>
        <w:t>sólo</w:t>
      </w:r>
      <w:r>
        <w:rPr>
          <w:color w:val="231F20"/>
          <w:spacing w:val="-9"/>
        </w:rPr>
        <w:t> </w:t>
      </w:r>
      <w:r>
        <w:rPr>
          <w:color w:val="231F20"/>
        </w:rPr>
        <w:t>remotamente</w:t>
      </w:r>
      <w:r>
        <w:rPr>
          <w:color w:val="231F20"/>
          <w:spacing w:val="-9"/>
        </w:rPr>
        <w:t> </w:t>
      </w:r>
      <w:r>
        <w:rPr>
          <w:color w:val="231F20"/>
        </w:rPr>
        <w:t>podrían</w:t>
      </w:r>
      <w:r>
        <w:rPr>
          <w:color w:val="231F20"/>
          <w:spacing w:val="-9"/>
        </w:rPr>
        <w:t> </w:t>
      </w:r>
      <w:r>
        <w:rPr>
          <w:color w:val="231F20"/>
        </w:rPr>
        <w:t>estar</w:t>
      </w:r>
      <w:r>
        <w:rPr>
          <w:color w:val="231F20"/>
          <w:spacing w:val="-10"/>
        </w:rPr>
        <w:t> </w:t>
      </w:r>
      <w:r>
        <w:rPr>
          <w:color w:val="231F20"/>
        </w:rPr>
        <w:t>vinculadas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comer- cio exterior, por lo que consideramos que su inclusión suponía sesgar</w:t>
      </w:r>
      <w:r>
        <w:rPr>
          <w:color w:val="231F20"/>
          <w:spacing w:val="-23"/>
        </w:rPr>
        <w:t> </w:t>
      </w:r>
      <w:r>
        <w:rPr>
          <w:color w:val="231F20"/>
        </w:rPr>
        <w:t>de partida</w:t>
      </w:r>
      <w:r>
        <w:rPr>
          <w:color w:val="231F20"/>
          <w:spacing w:val="-5"/>
        </w:rPr>
        <w:t> </w:t>
      </w:r>
      <w:r>
        <w:rPr>
          <w:color w:val="231F20"/>
        </w:rPr>
        <w:t>los</w:t>
      </w:r>
      <w:r>
        <w:rPr>
          <w:color w:val="231F20"/>
          <w:spacing w:val="-5"/>
        </w:rPr>
        <w:t> </w:t>
      </w:r>
      <w:r>
        <w:rPr>
          <w:color w:val="231F20"/>
        </w:rPr>
        <w:t>resultados.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segundo</w:t>
      </w:r>
      <w:r>
        <w:rPr>
          <w:color w:val="231F20"/>
          <w:spacing w:val="-5"/>
        </w:rPr>
        <w:t> </w:t>
      </w:r>
      <w:r>
        <w:rPr>
          <w:color w:val="231F20"/>
        </w:rPr>
        <w:t>trimestre</w:t>
      </w:r>
      <w:r>
        <w:rPr>
          <w:color w:val="231F20"/>
          <w:spacing w:val="-6"/>
        </w:rPr>
        <w:t> </w:t>
      </w:r>
      <w:r>
        <w:rPr>
          <w:color w:val="231F20"/>
        </w:rPr>
        <w:t>de</w:t>
      </w:r>
      <w:r>
        <w:rPr>
          <w:color w:val="231F20"/>
          <w:spacing w:val="-5"/>
        </w:rPr>
        <w:t> </w:t>
      </w:r>
      <w:r>
        <w:rPr>
          <w:color w:val="231F20"/>
        </w:rPr>
        <w:t>2012,</w:t>
      </w:r>
      <w:r>
        <w:rPr>
          <w:color w:val="231F20"/>
          <w:spacing w:val="-5"/>
        </w:rPr>
        <w:t> </w:t>
      </w:r>
      <w:r>
        <w:rPr>
          <w:color w:val="231F20"/>
        </w:rPr>
        <w:t>estas</w:t>
      </w:r>
      <w:r>
        <w:rPr>
          <w:color w:val="231F20"/>
          <w:spacing w:val="-5"/>
        </w:rPr>
        <w:t> </w:t>
      </w:r>
      <w:r>
        <w:rPr>
          <w:color w:val="231F20"/>
        </w:rPr>
        <w:t>actividades de subsistencia agrícola y no remuneradas ocupaban a 3,926,495 traba- jadores, es decir a 8.11 por ciento del total de ocupados (48,437,762) reportados por la ENOE en esa</w:t>
      </w:r>
      <w:r>
        <w:rPr>
          <w:color w:val="231F20"/>
          <w:spacing w:val="-3"/>
        </w:rPr>
        <w:t> </w:t>
      </w:r>
      <w:r>
        <w:rPr>
          <w:color w:val="231F20"/>
        </w:rPr>
        <w:t>fecha.</w:t>
      </w:r>
    </w:p>
    <w:p>
      <w:pPr>
        <w:pStyle w:val="BodyText"/>
        <w:spacing w:line="249" w:lineRule="auto" w:before="1"/>
        <w:ind w:left="113" w:right="108" w:firstLine="283"/>
        <w:jc w:val="both"/>
      </w:pPr>
      <w:r>
        <w:rPr>
          <w:color w:val="231F20"/>
        </w:rPr>
        <w:t>Asimismo, como anticipamos, dada la naturaleza de la fuente de in- formación que utilizamos para el comercio exterior (base de datos de mercancías) lamentablemente no pudimos incluir a la gran cantidad de trabajadores que se ocupan en el comercio y los servicios (30,208,158 trabajadores, es decir 62.36 por ciento de la fuerza de trabajo en el se- gundo trimestre de 2012).</w:t>
      </w:r>
    </w:p>
    <w:p>
      <w:pPr>
        <w:pStyle w:val="BodyText"/>
        <w:spacing w:line="249" w:lineRule="auto" w:before="1"/>
        <w:ind w:left="113" w:right="107" w:firstLine="283"/>
        <w:jc w:val="both"/>
      </w:pPr>
      <w:r>
        <w:rPr>
          <w:color w:val="231F20"/>
        </w:rPr>
        <w:t>Como se observa en el Esquema 2, tenemos que en las actividades productivas clasificadas predominan aquellas cuyos bienes o productos mantienen intercambio internacional.</w:t>
      </w:r>
    </w:p>
    <w:p>
      <w:pPr>
        <w:pStyle w:val="BodyText"/>
        <w:spacing w:line="249" w:lineRule="auto" w:before="1"/>
        <w:ind w:left="113" w:right="108" w:firstLine="283"/>
        <w:jc w:val="both"/>
      </w:pPr>
      <w:r>
        <w:rPr>
          <w:color w:val="231F20"/>
        </w:rPr>
        <w:t>Así, siete de cada 10 empleos en la fuerza de trabajo analizada</w:t>
      </w:r>
      <w:r>
        <w:rPr>
          <w:color w:val="231F20"/>
          <w:spacing w:val="-30"/>
        </w:rPr>
        <w:t> </w:t>
      </w:r>
      <w:r>
        <w:rPr>
          <w:color w:val="231F20"/>
        </w:rPr>
        <w:t>perte- necen a sectores transables, y el resto a sectores no transables, definidos como aquellos cuyos productos no han sido comercializados en los últi- mos diez años (o lo han sido en muy escasa</w:t>
      </w:r>
      <w:r>
        <w:rPr>
          <w:color w:val="231F20"/>
          <w:spacing w:val="-9"/>
        </w:rPr>
        <w:t> </w:t>
      </w:r>
      <w:r>
        <w:rPr>
          <w:color w:val="231F20"/>
        </w:rPr>
        <w:t>medida).</w:t>
      </w:r>
    </w:p>
    <w:p>
      <w:pPr>
        <w:pStyle w:val="BodyText"/>
        <w:spacing w:line="249" w:lineRule="auto" w:before="1"/>
        <w:ind w:left="113" w:right="108" w:firstLine="283"/>
        <w:jc w:val="right"/>
      </w:pPr>
      <w:r>
        <w:rPr>
          <w:color w:val="231F20"/>
        </w:rPr>
        <w:t>A primera vista este resultado no es sorprendente, dado el gran es- fuerzo realizado por el país para abrir su economía al comercio exterior.</w:t>
      </w:r>
    </w:p>
    <w:p>
      <w:pPr>
        <w:pStyle w:val="BodyText"/>
        <w:spacing w:line="249" w:lineRule="auto" w:before="1"/>
        <w:ind w:left="113" w:right="108" w:firstLine="283"/>
        <w:jc w:val="both"/>
      </w:pPr>
      <w:r>
        <w:rPr>
          <w:color w:val="231F20"/>
        </w:rPr>
        <w:t>Lo que más atrae la atención, es la distribución encontrada para la fuerza de trabajo al interior de los sectores transables (Esquema 2).</w:t>
      </w:r>
    </w:p>
    <w:p>
      <w:pPr>
        <w:spacing w:after="0" w:line="249" w:lineRule="auto"/>
        <w:jc w:val="both"/>
        <w:sectPr>
          <w:footerReference w:type="default" r:id="rId127"/>
          <w:pgSz w:w="7770" w:h="11740"/>
          <w:pgMar w:footer="474" w:header="0" w:top="840" w:bottom="660" w:left="1020" w:right="740"/>
        </w:sectPr>
      </w:pPr>
    </w:p>
    <w:p>
      <w:pPr>
        <w:pStyle w:val="BodyText"/>
        <w:spacing w:before="9"/>
        <w:rPr>
          <w:sz w:val="16"/>
        </w:rPr>
      </w:pPr>
      <w:r>
        <w:rPr/>
        <w:pict>
          <v:shape style="position:absolute;margin-left:26.963537pt;margin-top:178.527603pt;width:12pt;height:12pt;mso-position-horizontal-relative:page;mso-position-vertical-relative:page;z-index:2968" type="#_x0000_t202" filled="false" stroked="false">
            <v:textbox inset="0,0,0,0" style="layout-flow:vertical">
              <w:txbxContent>
                <w:p>
                  <w:pPr>
                    <w:pStyle w:val="BodyText"/>
                    <w:spacing w:line="224" w:lineRule="exact"/>
                    <w:ind w:left="20" w:right="-100"/>
                  </w:pPr>
                  <w:r>
                    <w:rPr>
                      <w:color w:val="231F20"/>
                    </w:rPr>
                    <w:t>98</w:t>
                  </w:r>
                </w:p>
              </w:txbxContent>
            </v:textbox>
            <w10:wrap type="none"/>
          </v:shape>
        </w:pict>
      </w:r>
    </w:p>
    <w:p>
      <w:pPr>
        <w:spacing w:line="252" w:lineRule="auto" w:before="81"/>
        <w:ind w:left="334" w:right="52" w:firstLine="0"/>
        <w:jc w:val="left"/>
        <w:rPr>
          <w:sz w:val="19"/>
        </w:rPr>
      </w:pPr>
      <w:r>
        <w:rPr/>
        <w:pict>
          <v:line style="position:absolute;mso-position-horizontal-relative:page;mso-position-vertical-relative:paragraph;z-index:2920;mso-wrap-distance-left:0;mso-wrap-distance-right:0" from="99.699997pt,30.199747pt" to="489.459997pt,30.199747pt" stroked="true" strokeweight=".481pt" strokecolor="#000000">
            <w10:wrap type="topAndBottom"/>
          </v:line>
        </w:pict>
      </w:r>
      <w:r>
        <w:rPr>
          <w:w w:val="105"/>
          <w:sz w:val="19"/>
        </w:rPr>
        <w:t>Recuadro 1. Resumen de la clasificación según la relación con el comercio internacional. Descripción por sectores</w:t>
      </w:r>
    </w:p>
    <w:p>
      <w:pPr>
        <w:pStyle w:val="ListParagraph"/>
        <w:numPr>
          <w:ilvl w:val="1"/>
          <w:numId w:val="2"/>
        </w:numPr>
        <w:tabs>
          <w:tab w:pos="805" w:val="left" w:leader="none"/>
        </w:tabs>
        <w:spacing w:line="252" w:lineRule="auto" w:before="0" w:after="0"/>
        <w:ind w:left="804" w:right="390" w:hanging="360"/>
        <w:jc w:val="both"/>
        <w:rPr>
          <w:sz w:val="19"/>
        </w:rPr>
      </w:pPr>
      <w:r>
        <w:rPr>
          <w:w w:val="105"/>
          <w:sz w:val="19"/>
        </w:rPr>
        <w:t>Sectores transables: se refieren a ramas de actividad que presentaron flujos de bienes que se intercambiaron entre México y otros socios comerciales, durante 2002-2012. Incluye a ramas de actividad con flujos bilaterales de importación y exportación</w:t>
      </w:r>
      <w:r>
        <w:rPr>
          <w:spacing w:val="49"/>
          <w:w w:val="105"/>
          <w:sz w:val="19"/>
        </w:rPr>
        <w:t> </w:t>
      </w:r>
      <w:r>
        <w:rPr>
          <w:w w:val="105"/>
          <w:sz w:val="19"/>
        </w:rPr>
        <w:t>(no</w:t>
      </w:r>
      <w:r>
        <w:rPr>
          <w:spacing w:val="49"/>
          <w:w w:val="105"/>
          <w:sz w:val="19"/>
        </w:rPr>
        <w:t> </w:t>
      </w:r>
      <w:r>
        <w:rPr>
          <w:w w:val="105"/>
          <w:sz w:val="19"/>
        </w:rPr>
        <w:t>especializados) y a ramas que se concentran en ser exportadoras o importadoras (especializadas).</w:t>
      </w:r>
    </w:p>
    <w:p>
      <w:pPr>
        <w:pStyle w:val="BodyText"/>
        <w:spacing w:before="1"/>
        <w:rPr>
          <w:sz w:val="13"/>
        </w:rPr>
      </w:pPr>
    </w:p>
    <w:p>
      <w:pPr>
        <w:pStyle w:val="ListParagraph"/>
        <w:numPr>
          <w:ilvl w:val="2"/>
          <w:numId w:val="2"/>
        </w:numPr>
        <w:tabs>
          <w:tab w:pos="1525" w:val="left" w:leader="none"/>
        </w:tabs>
        <w:spacing w:line="244" w:lineRule="auto" w:before="81" w:after="0"/>
        <w:ind w:left="1524" w:right="390" w:hanging="360"/>
        <w:jc w:val="both"/>
        <w:rPr>
          <w:sz w:val="19"/>
        </w:rPr>
      </w:pPr>
      <w:r>
        <w:rPr>
          <w:w w:val="105"/>
          <w:sz w:val="19"/>
        </w:rPr>
        <w:t>Concentrado: se incluye a las ramas de actividad con flujos bilaterales de importación y exportación (no especializados), pero cuyo mercado está concentrado en términos de países a quiénes se dirigen las</w:t>
      </w:r>
      <w:r>
        <w:rPr>
          <w:spacing w:val="-21"/>
          <w:w w:val="105"/>
          <w:sz w:val="19"/>
        </w:rPr>
        <w:t> </w:t>
      </w:r>
      <w:r>
        <w:rPr>
          <w:w w:val="105"/>
          <w:sz w:val="19"/>
        </w:rPr>
        <w:t>exportaciones.</w:t>
      </w:r>
    </w:p>
    <w:p>
      <w:pPr>
        <w:pStyle w:val="ListParagraph"/>
        <w:numPr>
          <w:ilvl w:val="2"/>
          <w:numId w:val="2"/>
        </w:numPr>
        <w:tabs>
          <w:tab w:pos="1525" w:val="left" w:leader="none"/>
        </w:tabs>
        <w:spacing w:line="247" w:lineRule="auto" w:before="7" w:after="0"/>
        <w:ind w:left="1524" w:right="388" w:hanging="360"/>
        <w:jc w:val="both"/>
        <w:rPr>
          <w:sz w:val="19"/>
        </w:rPr>
      </w:pPr>
      <w:r>
        <w:rPr>
          <w:w w:val="105"/>
          <w:sz w:val="19"/>
        </w:rPr>
        <w:t>Otros transables: se aglutina a ramas de actividad con flujos bilaterales de importación y exportación (no especializados), pero que tienen un mercado diversificado en términos de países a quiénes se dirigen las exportaciones. Asimismo, se puede tratar de ramas especializadas con un flujo unilateral de comercio.</w:t>
      </w:r>
    </w:p>
    <w:p>
      <w:pPr>
        <w:pStyle w:val="BodyText"/>
        <w:spacing w:before="6"/>
      </w:pPr>
    </w:p>
    <w:p>
      <w:pPr>
        <w:pStyle w:val="ListParagraph"/>
        <w:numPr>
          <w:ilvl w:val="1"/>
          <w:numId w:val="2"/>
        </w:numPr>
        <w:tabs>
          <w:tab w:pos="805" w:val="left" w:leader="none"/>
        </w:tabs>
        <w:spacing w:line="252" w:lineRule="auto" w:before="1" w:after="0"/>
        <w:ind w:left="804" w:right="390" w:hanging="360"/>
        <w:jc w:val="both"/>
        <w:rPr>
          <w:sz w:val="19"/>
        </w:rPr>
      </w:pPr>
      <w:r>
        <w:rPr>
          <w:w w:val="105"/>
          <w:sz w:val="19"/>
        </w:rPr>
        <w:t>No transables: se refieren a ramas de actividad que no presentan flujos de bienes que se intercambian entre México y otros socios comerciales (o que los tienen en muy pequeña escala).</w:t>
      </w:r>
    </w:p>
    <w:p>
      <w:pPr>
        <w:pStyle w:val="BodyText"/>
        <w:spacing w:line="20" w:lineRule="exact"/>
        <w:ind w:left="314"/>
        <w:rPr>
          <w:sz w:val="2"/>
        </w:rPr>
      </w:pPr>
      <w:r>
        <w:rPr>
          <w:sz w:val="2"/>
        </w:rPr>
        <w:pict>
          <v:group style="width:391pt;height:.5pt;mso-position-horizontal-relative:char;mso-position-vertical-relative:line" coordorigin="0,0" coordsize="7820,10">
            <v:line style="position:absolute" from="5,5" to="7815,5" stroked="true" strokeweight=".481pt" strokecolor="#000000"/>
          </v:group>
        </w:pict>
      </w:r>
      <w:r>
        <w:rPr>
          <w:sz w:val="2"/>
        </w:rPr>
      </w:r>
    </w:p>
    <w:p>
      <w:pPr>
        <w:spacing w:before="0"/>
        <w:ind w:left="334" w:right="52" w:firstLine="0"/>
        <w:jc w:val="left"/>
        <w:rPr>
          <w:sz w:val="16"/>
        </w:rPr>
      </w:pPr>
      <w:r>
        <w:rPr>
          <w:sz w:val="16"/>
        </w:rPr>
        <w:t>Fuente: elaboración propia.</w:t>
      </w:r>
    </w:p>
    <w:p>
      <w:pPr>
        <w:spacing w:after="0"/>
        <w:jc w:val="left"/>
        <w:rPr>
          <w:sz w:val="16"/>
        </w:rPr>
        <w:sectPr>
          <w:footerReference w:type="default" r:id="rId128"/>
          <w:pgSz w:w="11740" w:h="7770" w:orient="landscape"/>
          <w:pgMar w:footer="0" w:header="0" w:top="680" w:bottom="280" w:left="1660" w:right="1660"/>
        </w:sectPr>
      </w:pPr>
    </w:p>
    <w:p>
      <w:pPr>
        <w:pStyle w:val="BodyText"/>
      </w:pPr>
      <w:r>
        <w:rPr/>
        <w:pict>
          <v:shape style="position:absolute;margin-left:22.711536pt;margin-top:193.173203pt;width:12pt;height:12pt;mso-position-horizontal-relative:page;mso-position-vertical-relative:page;z-index:3088" type="#_x0000_t202" filled="false" stroked="false">
            <v:textbox inset="0,0,0,0" style="layout-flow:vertical">
              <w:txbxContent>
                <w:p>
                  <w:pPr>
                    <w:pStyle w:val="BodyText"/>
                    <w:spacing w:line="224" w:lineRule="exact"/>
                    <w:ind w:left="20" w:right="-100"/>
                  </w:pPr>
                  <w:r>
                    <w:rPr>
                      <w:color w:val="231F20"/>
                    </w:rPr>
                    <w:t>99</w:t>
                  </w:r>
                </w:p>
              </w:txbxContent>
            </v:textbox>
            <w10:wrap type="none"/>
          </v:shape>
        </w:pict>
      </w:r>
    </w:p>
    <w:p>
      <w:pPr>
        <w:pStyle w:val="BodyText"/>
      </w:pPr>
    </w:p>
    <w:p>
      <w:pPr>
        <w:pStyle w:val="BodyText"/>
      </w:pPr>
    </w:p>
    <w:p>
      <w:pPr>
        <w:pStyle w:val="BodyText"/>
      </w:pPr>
    </w:p>
    <w:p>
      <w:pPr>
        <w:pStyle w:val="BodyText"/>
        <w:spacing w:before="1"/>
        <w:rPr>
          <w:sz w:val="16"/>
        </w:rPr>
      </w:pPr>
    </w:p>
    <w:p>
      <w:pPr>
        <w:spacing w:line="252" w:lineRule="auto" w:before="81"/>
        <w:ind w:left="117" w:right="3" w:firstLine="0"/>
        <w:jc w:val="left"/>
        <w:rPr>
          <w:sz w:val="19"/>
        </w:rPr>
      </w:pPr>
      <w:r>
        <w:rPr/>
        <w:pict>
          <v:group style="position:absolute;margin-left:83.721001pt;margin-top:56.599354pt;width:432.5pt;height:178.35pt;mso-position-horizontal-relative:page;mso-position-vertical-relative:paragraph;z-index:3064" coordorigin="1674,1132" coordsize="8650,3567">
            <v:shape style="position:absolute;left:2360;top:2914;width:443;height:422" coordorigin="2360,2914" coordsize="443,422" path="m2360,2914l2582,2914,2582,3336,2803,3336e" filled="false" stroked="true" strokeweight="1pt" strokecolor="#000000">
              <v:path arrowok="t"/>
            </v:shape>
            <v:shape style="position:absolute;left:2360;top:2494;width:443;height:422" coordorigin="2360,2494" coordsize="443,422" path="m2360,2915l2582,2915,2582,2494,2803,2494e" filled="false" stroked="true" strokeweight="1pt" strokecolor="#000000">
              <v:path arrowok="t"/>
            </v:shape>
            <v:shape style="position:absolute;left:1674;top:1132;width:696;height:3566" type="#_x0000_t75" stroked="false">
              <v:imagedata r:id="rId130" o:title=""/>
            </v:shape>
            <v:shape style="position:absolute;left:5011;top:2494;width:442;height:421" coordorigin="5011,2494" coordsize="442,421" path="m5011,2494l5232,2494,5232,2914,5453,2914e" filled="false" stroked="true" strokeweight="1pt" strokecolor="#000000">
              <v:path arrowok="t"/>
            </v:shape>
            <v:shape style="position:absolute;left:5011;top:2073;width:443;height:422" coordorigin="5011,2073" coordsize="443,422" path="m5011,2494l5232,2494,5232,2073,5453,2073e" filled="false" stroked="true" strokeweight="1pt" strokecolor="#000000">
              <v:path arrowok="t"/>
            </v:shape>
            <v:shape style="position:absolute;left:2788;top:2145;width:2237;height:696" type="#_x0000_t75" stroked="false">
              <v:imagedata r:id="rId131" o:title=""/>
            </v:shape>
            <v:shape style="position:absolute;left:-421;top:6212;width:843;height:443" coordorigin="-421,6212" coordsize="843,443" path="m7661,2914l7883,2914,7883,3336,8104,3336m7661,2914l7882,2914,7882,2494,8103,2494e" filled="false" stroked="true" strokeweight="1pt" strokecolor="#000000">
              <v:path arrowok="t"/>
            </v:shape>
            <v:shape style="position:absolute;left:5442;top:1722;width:2232;height:701" type="#_x0000_t75" stroked="false">
              <v:imagedata r:id="rId132" o:title=""/>
            </v:shape>
            <v:shape style="position:absolute;left:5380;top:2490;width:2357;height:907" type="#_x0000_t75" stroked="false">
              <v:imagedata r:id="rId133" o:title=""/>
            </v:shape>
            <v:shape style="position:absolute;left:8092;top:2145;width:2232;height:696" type="#_x0000_t75" stroked="false">
              <v:imagedata r:id="rId134" o:title=""/>
            </v:shape>
            <v:shape style="position:absolute;left:8092;top:2985;width:2232;height:701" type="#_x0000_t75" stroked="false">
              <v:imagedata r:id="rId132" o:title=""/>
            </v:shape>
            <v:shape style="position:absolute;left:2788;top:2985;width:2237;height:701" type="#_x0000_t75" stroked="false">
              <v:imagedata r:id="rId135" o:title=""/>
            </v:shape>
            <v:shape style="position:absolute;left:3337;top:2171;width:1150;height:1492" type="#_x0000_t202" filled="false" stroked="false">
              <v:textbox inset="0,0,0,0">
                <w:txbxContent>
                  <w:p>
                    <w:pPr>
                      <w:spacing w:line="218" w:lineRule="auto" w:before="0"/>
                      <w:ind w:left="1" w:right="0" w:firstLine="0"/>
                      <w:jc w:val="center"/>
                      <w:rPr>
                        <w:sz w:val="21"/>
                      </w:rPr>
                    </w:pPr>
                    <w:r>
                      <w:rPr>
                        <w:sz w:val="21"/>
                      </w:rPr>
                      <w:t>Transables 10,050,423</w:t>
                    </w:r>
                  </w:p>
                  <w:p>
                    <w:pPr>
                      <w:spacing w:line="224" w:lineRule="exact" w:before="0"/>
                      <w:ind w:left="0" w:right="0" w:firstLine="0"/>
                      <w:jc w:val="center"/>
                      <w:rPr>
                        <w:sz w:val="21"/>
                      </w:rPr>
                    </w:pPr>
                    <w:r>
                      <w:rPr>
                        <w:sz w:val="21"/>
                      </w:rPr>
                      <w:t>72.04%</w:t>
                    </w:r>
                  </w:p>
                  <w:p>
                    <w:pPr>
                      <w:spacing w:line="240" w:lineRule="auto" w:before="7"/>
                      <w:rPr>
                        <w:sz w:val="15"/>
                      </w:rPr>
                    </w:pPr>
                  </w:p>
                  <w:p>
                    <w:pPr>
                      <w:spacing w:line="220" w:lineRule="exact" w:before="0"/>
                      <w:ind w:left="0" w:right="0" w:firstLine="0"/>
                      <w:jc w:val="center"/>
                      <w:rPr>
                        <w:sz w:val="21"/>
                      </w:rPr>
                    </w:pPr>
                    <w:r>
                      <w:rPr>
                        <w:sz w:val="21"/>
                      </w:rPr>
                      <w:t>No transables 3,901,328</w:t>
                    </w:r>
                  </w:p>
                  <w:p>
                    <w:pPr>
                      <w:spacing w:line="217" w:lineRule="exact" w:before="0"/>
                      <w:ind w:left="101" w:right="102" w:firstLine="0"/>
                      <w:jc w:val="center"/>
                      <w:rPr>
                        <w:sz w:val="21"/>
                      </w:rPr>
                    </w:pPr>
                    <w:r>
                      <w:rPr>
                        <w:sz w:val="21"/>
                      </w:rPr>
                      <w:t>27.96%</w:t>
                    </w:r>
                  </w:p>
                </w:txbxContent>
              </v:textbox>
              <w10:wrap type="none"/>
            </v:shape>
            <v:shape style="position:absolute;left:5883;top:1750;width:1360;height:1492" type="#_x0000_t202" filled="false" stroked="false">
              <v:textbox inset="0,0,0,0">
                <w:txbxContent>
                  <w:p>
                    <w:pPr>
                      <w:spacing w:line="218" w:lineRule="auto" w:before="0"/>
                      <w:ind w:left="2" w:right="0" w:firstLine="0"/>
                      <w:jc w:val="center"/>
                      <w:rPr>
                        <w:sz w:val="21"/>
                      </w:rPr>
                    </w:pPr>
                    <w:r>
                      <w:rPr>
                        <w:sz w:val="21"/>
                      </w:rPr>
                      <w:t>Concentrados 5,527,183</w:t>
                    </w:r>
                  </w:p>
                  <w:p>
                    <w:pPr>
                      <w:spacing w:line="224" w:lineRule="exact" w:before="0"/>
                      <w:ind w:left="0" w:right="0" w:firstLine="0"/>
                      <w:jc w:val="center"/>
                      <w:rPr>
                        <w:sz w:val="21"/>
                      </w:rPr>
                    </w:pPr>
                    <w:r>
                      <w:rPr>
                        <w:sz w:val="21"/>
                      </w:rPr>
                      <w:t>39.62%</w:t>
                    </w:r>
                  </w:p>
                  <w:p>
                    <w:pPr>
                      <w:spacing w:line="240" w:lineRule="auto" w:before="7"/>
                      <w:rPr>
                        <w:sz w:val="15"/>
                      </w:rPr>
                    </w:pPr>
                  </w:p>
                  <w:p>
                    <w:pPr>
                      <w:spacing w:line="220" w:lineRule="exact" w:before="0"/>
                      <w:ind w:left="-1" w:right="0" w:firstLine="0"/>
                      <w:jc w:val="center"/>
                      <w:rPr>
                        <w:sz w:val="21"/>
                      </w:rPr>
                    </w:pPr>
                    <w:r>
                      <w:rPr>
                        <w:sz w:val="21"/>
                      </w:rPr>
                      <w:t>Otros</w:t>
                    </w:r>
                    <w:r>
                      <w:rPr>
                        <w:spacing w:val="-4"/>
                        <w:sz w:val="21"/>
                      </w:rPr>
                      <w:t> </w:t>
                    </w:r>
                    <w:r>
                      <w:rPr>
                        <w:sz w:val="21"/>
                      </w:rPr>
                      <w:t>transables 4,523,240</w:t>
                    </w:r>
                  </w:p>
                  <w:p>
                    <w:pPr>
                      <w:spacing w:line="217" w:lineRule="exact" w:before="0"/>
                      <w:ind w:left="102" w:right="103" w:firstLine="0"/>
                      <w:jc w:val="center"/>
                      <w:rPr>
                        <w:sz w:val="21"/>
                      </w:rPr>
                    </w:pPr>
                    <w:r>
                      <w:rPr>
                        <w:sz w:val="21"/>
                      </w:rPr>
                      <w:t>32.42%</w:t>
                    </w:r>
                  </w:p>
                </w:txbxContent>
              </v:textbox>
              <w10:wrap type="none"/>
            </v:shape>
            <v:shape style="position:absolute;left:8504;top:2171;width:1418;height:1478" type="#_x0000_t202" filled="false" stroked="false">
              <v:textbox inset="0,0,0,0">
                <w:txbxContent>
                  <w:p>
                    <w:pPr>
                      <w:spacing w:line="218" w:lineRule="auto" w:before="0"/>
                      <w:ind w:left="0" w:right="0" w:firstLine="0"/>
                      <w:jc w:val="center"/>
                      <w:rPr>
                        <w:sz w:val="21"/>
                      </w:rPr>
                    </w:pPr>
                    <w:r>
                      <w:rPr>
                        <w:sz w:val="21"/>
                      </w:rPr>
                      <w:t>No concentrados 3,727,699</w:t>
                    </w:r>
                  </w:p>
                  <w:p>
                    <w:pPr>
                      <w:spacing w:line="224" w:lineRule="exact" w:before="0"/>
                      <w:ind w:left="52" w:right="0" w:firstLine="0"/>
                      <w:jc w:val="center"/>
                      <w:rPr>
                        <w:sz w:val="21"/>
                      </w:rPr>
                    </w:pPr>
                    <w:r>
                      <w:rPr>
                        <w:sz w:val="21"/>
                      </w:rPr>
                      <w:t>26.72%</w:t>
                    </w:r>
                  </w:p>
                  <w:p>
                    <w:pPr>
                      <w:spacing w:line="240" w:lineRule="auto" w:before="7"/>
                      <w:rPr>
                        <w:sz w:val="17"/>
                      </w:rPr>
                    </w:pPr>
                  </w:p>
                  <w:p>
                    <w:pPr>
                      <w:spacing w:line="200" w:lineRule="exact" w:before="1"/>
                      <w:ind w:left="2" w:right="0" w:firstLine="0"/>
                      <w:jc w:val="center"/>
                      <w:rPr>
                        <w:sz w:val="20"/>
                      </w:rPr>
                    </w:pPr>
                    <w:r>
                      <w:rPr>
                        <w:sz w:val="20"/>
                      </w:rPr>
                      <w:t>Especializados 795,541</w:t>
                    </w:r>
                  </w:p>
                  <w:p>
                    <w:pPr>
                      <w:spacing w:line="219" w:lineRule="exact" w:before="0"/>
                      <w:ind w:left="0" w:right="0" w:firstLine="0"/>
                      <w:jc w:val="center"/>
                      <w:rPr>
                        <w:sz w:val="20"/>
                      </w:rPr>
                    </w:pPr>
                    <w:r>
                      <w:rPr>
                        <w:sz w:val="20"/>
                      </w:rPr>
                      <w:t>5.70%</w:t>
                    </w:r>
                  </w:p>
                </w:txbxContent>
              </v:textbox>
              <w10:wrap type="none"/>
            </v:shape>
            <w10:wrap type="none"/>
          </v:group>
        </w:pict>
      </w:r>
      <w:r>
        <w:rPr/>
        <w:pict>
          <v:shape style="position:absolute;margin-left:84.069122pt;margin-top:104.66655pt;width:34.550pt;height:81.650pt;mso-position-horizontal-relative:page;mso-position-vertical-relative:paragraph;z-index:3112" type="#_x0000_t202" filled="false" stroked="false">
            <v:textbox inset="0,0,0,0" style="layout-flow:vertical;mso-layout-flow-alt:bottom-to-top">
              <w:txbxContent>
                <w:p>
                  <w:pPr>
                    <w:spacing w:line="220" w:lineRule="exact" w:before="13"/>
                    <w:ind w:left="343" w:right="-617" w:hanging="324"/>
                    <w:jc w:val="left"/>
                    <w:rPr>
                      <w:sz w:val="21"/>
                    </w:rPr>
                  </w:pPr>
                  <w:r>
                    <w:rPr>
                      <w:spacing w:val="-1"/>
                      <w:sz w:val="21"/>
                    </w:rPr>
                    <w:t>Població</w:t>
                  </w:r>
                  <w:r>
                    <w:rPr>
                      <w:sz w:val="21"/>
                    </w:rPr>
                    <w:t>n ocupada 13,951,751</w:t>
                  </w:r>
                </w:p>
                <w:p>
                  <w:pPr>
                    <w:spacing w:line="222" w:lineRule="exact" w:before="0"/>
                    <w:ind w:left="413" w:right="-320" w:firstLine="0"/>
                    <w:jc w:val="left"/>
                    <w:rPr>
                      <w:sz w:val="21"/>
                    </w:rPr>
                  </w:pPr>
                  <w:r>
                    <w:rPr>
                      <w:sz w:val="21"/>
                    </w:rPr>
                    <w:t>100.00 %</w:t>
                  </w:r>
                </w:p>
              </w:txbxContent>
            </v:textbox>
            <w10:wrap type="none"/>
          </v:shape>
        </w:pict>
      </w:r>
      <w:r>
        <w:rPr>
          <w:w w:val="105"/>
          <w:sz w:val="19"/>
        </w:rPr>
        <w:t>Esquema 2. Distribución de la población ocupada remunerada en sectores económicos clasificados desde el comercio internacional. México, 2012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53"/>
        <w:ind w:left="117" w:right="3" w:firstLine="0"/>
        <w:jc w:val="left"/>
        <w:rPr>
          <w:sz w:val="16"/>
        </w:rPr>
      </w:pPr>
      <w:r>
        <w:rPr>
          <w:sz w:val="16"/>
        </w:rPr>
        <w:t>Fuente: estimaciones propias con información de la ENOE, 2012, segundo trimestre. No se incluye a los trabajadores en comercio, servicios, así como aquellos en actividades de subsistencia agrícola y no remunerados.</w:t>
      </w:r>
    </w:p>
    <w:p>
      <w:pPr>
        <w:spacing w:after="0"/>
        <w:jc w:val="left"/>
        <w:rPr>
          <w:sz w:val="16"/>
        </w:rPr>
        <w:sectPr>
          <w:footerReference w:type="default" r:id="rId129"/>
          <w:pgSz w:w="11740" w:h="7770" w:orient="landscape"/>
          <w:pgMar w:footer="0" w:header="0" w:top="0" w:bottom="280" w:left="1480" w:right="1180"/>
        </w:sectPr>
      </w:pPr>
    </w:p>
    <w:p>
      <w:pPr>
        <w:pStyle w:val="BodyText"/>
        <w:spacing w:line="249" w:lineRule="auto" w:before="60"/>
        <w:ind w:left="110" w:right="111" w:firstLine="283"/>
        <w:jc w:val="both"/>
      </w:pPr>
      <w:r>
        <w:rPr>
          <w:color w:val="231F20"/>
        </w:rPr>
        <w:t>Dada</w:t>
      </w:r>
      <w:r>
        <w:rPr>
          <w:color w:val="231F20"/>
          <w:spacing w:val="-7"/>
        </w:rPr>
        <w:t> </w:t>
      </w:r>
      <w:r>
        <w:rPr>
          <w:color w:val="231F20"/>
        </w:rPr>
        <w:t>la</w:t>
      </w:r>
      <w:r>
        <w:rPr>
          <w:color w:val="231F20"/>
          <w:spacing w:val="-7"/>
        </w:rPr>
        <w:t> </w:t>
      </w:r>
      <w:r>
        <w:rPr>
          <w:color w:val="231F20"/>
        </w:rPr>
        <w:t>gran</w:t>
      </w:r>
      <w:r>
        <w:rPr>
          <w:color w:val="231F20"/>
          <w:spacing w:val="-7"/>
        </w:rPr>
        <w:t> </w:t>
      </w:r>
      <w:r>
        <w:rPr>
          <w:color w:val="231F20"/>
        </w:rPr>
        <w:t>concentración</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exportaciones</w:t>
      </w:r>
      <w:r>
        <w:rPr>
          <w:color w:val="231F20"/>
          <w:spacing w:val="-8"/>
        </w:rPr>
        <w:t> </w:t>
      </w:r>
      <w:r>
        <w:rPr>
          <w:color w:val="231F20"/>
        </w:rPr>
        <w:t>mexicanas</w:t>
      </w:r>
      <w:r>
        <w:rPr>
          <w:color w:val="231F20"/>
          <w:spacing w:val="-7"/>
        </w:rPr>
        <w:t> </w:t>
      </w:r>
      <w:r>
        <w:rPr>
          <w:color w:val="231F20"/>
        </w:rPr>
        <w:t>hacia</w:t>
      </w:r>
      <w:r>
        <w:rPr>
          <w:color w:val="231F20"/>
          <w:spacing w:val="-7"/>
        </w:rPr>
        <w:t> </w:t>
      </w:r>
      <w:r>
        <w:rPr>
          <w:color w:val="231F20"/>
        </w:rPr>
        <w:t>Es- tados Unidos, sería esperable que los sectores transables concentrados fuesen muy importantes, y así lo son, pues agrupan a casi cuatro de</w:t>
      </w:r>
      <w:r>
        <w:rPr>
          <w:color w:val="231F20"/>
          <w:spacing w:val="-18"/>
        </w:rPr>
        <w:t> </w:t>
      </w:r>
      <w:r>
        <w:rPr>
          <w:color w:val="231F20"/>
        </w:rPr>
        <w:t>cada siete empleos en el grupo de los transables; sin embargo, queremos en- fatizar</w:t>
      </w:r>
      <w:r>
        <w:rPr>
          <w:color w:val="231F20"/>
          <w:spacing w:val="-4"/>
        </w:rPr>
        <w:t> </w:t>
      </w:r>
      <w:r>
        <w:rPr>
          <w:color w:val="231F20"/>
        </w:rPr>
        <w:t>el</w:t>
      </w:r>
      <w:r>
        <w:rPr>
          <w:color w:val="231F20"/>
          <w:spacing w:val="-4"/>
        </w:rPr>
        <w:t> </w:t>
      </w:r>
      <w:r>
        <w:rPr>
          <w:color w:val="231F20"/>
        </w:rPr>
        <w:t>resultado</w:t>
      </w:r>
      <w:r>
        <w:rPr>
          <w:color w:val="231F20"/>
          <w:spacing w:val="-4"/>
        </w:rPr>
        <w:t> </w:t>
      </w:r>
      <w:r>
        <w:rPr>
          <w:color w:val="231F20"/>
        </w:rPr>
        <w:t>encontrado</w:t>
      </w:r>
      <w:r>
        <w:rPr>
          <w:color w:val="231F20"/>
          <w:spacing w:val="-5"/>
        </w:rPr>
        <w:t> </w:t>
      </w:r>
      <w:r>
        <w:rPr>
          <w:color w:val="231F20"/>
        </w:rPr>
        <w:t>para</w:t>
      </w:r>
      <w:r>
        <w:rPr>
          <w:color w:val="231F20"/>
          <w:spacing w:val="-4"/>
        </w:rPr>
        <w:t> </w:t>
      </w:r>
      <w:r>
        <w:rPr>
          <w:color w:val="231F20"/>
        </w:rPr>
        <w:t>los</w:t>
      </w:r>
      <w:r>
        <w:rPr>
          <w:color w:val="231F20"/>
          <w:spacing w:val="-5"/>
        </w:rPr>
        <w:t> </w:t>
      </w:r>
      <w:r>
        <w:rPr>
          <w:color w:val="231F20"/>
        </w:rPr>
        <w:t>otros</w:t>
      </w:r>
      <w:r>
        <w:rPr>
          <w:color w:val="231F20"/>
          <w:spacing w:val="-4"/>
        </w:rPr>
        <w:t> </w:t>
      </w:r>
      <w:r>
        <w:rPr>
          <w:color w:val="231F20"/>
        </w:rPr>
        <w:t>transables</w:t>
      </w:r>
      <w:r>
        <w:rPr>
          <w:color w:val="231F20"/>
          <w:spacing w:val="-5"/>
        </w:rPr>
        <w:t> </w:t>
      </w:r>
      <w:r>
        <w:rPr>
          <w:color w:val="231F20"/>
        </w:rPr>
        <w:t>que</w:t>
      </w:r>
      <w:r>
        <w:rPr>
          <w:color w:val="231F20"/>
          <w:spacing w:val="-4"/>
        </w:rPr>
        <w:t> </w:t>
      </w:r>
      <w:r>
        <w:rPr>
          <w:color w:val="231F20"/>
        </w:rPr>
        <w:t>agrupan</w:t>
      </w:r>
      <w:r>
        <w:rPr>
          <w:color w:val="231F20"/>
          <w:spacing w:val="-5"/>
        </w:rPr>
        <w:t> </w:t>
      </w:r>
      <w:r>
        <w:rPr>
          <w:color w:val="231F20"/>
        </w:rPr>
        <w:t>a</w:t>
      </w:r>
      <w:r>
        <w:rPr>
          <w:color w:val="231F20"/>
          <w:spacing w:val="-4"/>
        </w:rPr>
        <w:t> </w:t>
      </w:r>
      <w:r>
        <w:rPr>
          <w:color w:val="231F20"/>
        </w:rPr>
        <w:t>un poco más de tres de cada siete empleos en el conjunto de los</w:t>
      </w:r>
      <w:r>
        <w:rPr>
          <w:color w:val="231F20"/>
          <w:spacing w:val="37"/>
        </w:rPr>
        <w:t> </w:t>
      </w:r>
      <w:r>
        <w:rPr>
          <w:color w:val="231F20"/>
        </w:rPr>
        <w:t>transables.</w:t>
      </w:r>
    </w:p>
    <w:p>
      <w:pPr>
        <w:pStyle w:val="BodyText"/>
        <w:spacing w:before="1"/>
        <w:ind w:left="110" w:right="792"/>
      </w:pPr>
      <w:r>
        <w:rPr>
          <w:color w:val="231F20"/>
        </w:rPr>
        <w:t>¿Cuáles son las sub-ramas más relevantes en cada caso?</w:t>
      </w:r>
    </w:p>
    <w:p>
      <w:pPr>
        <w:pStyle w:val="BodyText"/>
        <w:spacing w:line="249" w:lineRule="auto" w:before="10"/>
        <w:ind w:left="110" w:right="111" w:firstLine="283"/>
        <w:jc w:val="both"/>
      </w:pPr>
      <w:r>
        <w:rPr>
          <w:color w:val="231F20"/>
        </w:rPr>
        <w:t>En lo que toca a los sectores transables concentrados (Esquema 3), sobresale, en términos de fuerza de trabajo empleada, la agricultura y la fabricación</w:t>
      </w:r>
      <w:r>
        <w:rPr>
          <w:color w:val="231F20"/>
          <w:spacing w:val="-7"/>
        </w:rPr>
        <w:t> </w:t>
      </w:r>
      <w:r>
        <w:rPr>
          <w:color w:val="231F20"/>
        </w:rPr>
        <w:t>de</w:t>
      </w:r>
      <w:r>
        <w:rPr>
          <w:color w:val="231F20"/>
          <w:spacing w:val="-7"/>
        </w:rPr>
        <w:t> </w:t>
      </w:r>
      <w:r>
        <w:rPr>
          <w:color w:val="231F20"/>
        </w:rPr>
        <w:t>prendas</w:t>
      </w:r>
      <w:r>
        <w:rPr>
          <w:color w:val="231F20"/>
          <w:spacing w:val="-7"/>
        </w:rPr>
        <w:t> </w:t>
      </w:r>
      <w:r>
        <w:rPr>
          <w:color w:val="231F20"/>
        </w:rPr>
        <w:t>de</w:t>
      </w:r>
      <w:r>
        <w:rPr>
          <w:color w:val="231F20"/>
          <w:spacing w:val="-7"/>
        </w:rPr>
        <w:t> </w:t>
      </w:r>
      <w:r>
        <w:rPr>
          <w:color w:val="231F20"/>
        </w:rPr>
        <w:t>vestir,</w:t>
      </w:r>
      <w:r>
        <w:rPr>
          <w:color w:val="231F20"/>
          <w:spacing w:val="-7"/>
        </w:rPr>
        <w:t> </w:t>
      </w:r>
      <w:r>
        <w:rPr>
          <w:color w:val="231F20"/>
        </w:rPr>
        <w:t>sectores</w:t>
      </w:r>
      <w:r>
        <w:rPr>
          <w:color w:val="231F20"/>
          <w:spacing w:val="-7"/>
        </w:rPr>
        <w:t> </w:t>
      </w:r>
      <w:r>
        <w:rPr>
          <w:color w:val="231F20"/>
        </w:rPr>
        <w:t>tradicionales</w:t>
      </w:r>
      <w:r>
        <w:rPr>
          <w:color w:val="231F20"/>
          <w:spacing w:val="-8"/>
        </w:rPr>
        <w:t> </w:t>
      </w:r>
      <w:r>
        <w:rPr>
          <w:color w:val="231F20"/>
        </w:rPr>
        <w:t>de</w:t>
      </w:r>
      <w:r>
        <w:rPr>
          <w:color w:val="231F20"/>
          <w:spacing w:val="-7"/>
        </w:rPr>
        <w:t> </w:t>
      </w:r>
      <w:r>
        <w:rPr>
          <w:color w:val="231F20"/>
        </w:rPr>
        <w:t>exportación</w:t>
      </w:r>
      <w:r>
        <w:rPr>
          <w:color w:val="231F20"/>
          <w:spacing w:val="-8"/>
        </w:rPr>
        <w:t> </w:t>
      </w:r>
      <w:r>
        <w:rPr>
          <w:color w:val="231F20"/>
        </w:rPr>
        <w:t>de México. Alrededor de 2012,</w:t>
      </w:r>
      <w:r>
        <w:rPr>
          <w:color w:val="231F20"/>
          <w:position w:val="7"/>
          <w:sz w:val="11"/>
        </w:rPr>
        <w:t>8 </w:t>
      </w:r>
      <w:r>
        <w:rPr>
          <w:color w:val="231F20"/>
        </w:rPr>
        <w:t>los principales productos ligados a estos sectores eran el jitomate, las legumbres y las hortalizas, generalmente cultivados en grandes predios agrícolas, con acceso a riego, crédito y otros insumos necesarios. En lo que toca a la fabricación de prendas de vestir, es ampliamente conocida la importancia en este rubro de la in- dustria maquiladora, la cual fue tradicionalmente un símbolo de la inte- gración económica con Estados Unidos, y la cual ha sido ampliamente estudiada desde la perspectiva de la mano de obra empleada (De la O, 2013). Es interesante observar que todavía dicho sector se perfile como uno de los más importantes dentro de los sectores transables concentra- dos</w:t>
      </w:r>
      <w:r>
        <w:rPr>
          <w:color w:val="231F20"/>
          <w:spacing w:val="-10"/>
        </w:rPr>
        <w:t> </w:t>
      </w:r>
      <w:r>
        <w:rPr>
          <w:color w:val="231F20"/>
        </w:rPr>
        <w:t>a</w:t>
      </w:r>
      <w:r>
        <w:rPr>
          <w:color w:val="231F20"/>
          <w:spacing w:val="-10"/>
        </w:rPr>
        <w:t> </w:t>
      </w:r>
      <w:r>
        <w:rPr>
          <w:color w:val="231F20"/>
        </w:rPr>
        <w:t>pesar</w:t>
      </w:r>
      <w:r>
        <w:rPr>
          <w:color w:val="231F20"/>
          <w:spacing w:val="-10"/>
        </w:rPr>
        <w:t> </w:t>
      </w:r>
      <w:r>
        <w:rPr>
          <w:color w:val="231F20"/>
        </w:rPr>
        <w:t>de</w:t>
      </w:r>
      <w:r>
        <w:rPr>
          <w:color w:val="231F20"/>
          <w:spacing w:val="-10"/>
        </w:rPr>
        <w:t> </w:t>
      </w:r>
      <w:r>
        <w:rPr>
          <w:color w:val="231F20"/>
        </w:rPr>
        <w:t>haber</w:t>
      </w:r>
      <w:r>
        <w:rPr>
          <w:color w:val="231F20"/>
          <w:spacing w:val="-10"/>
        </w:rPr>
        <w:t> </w:t>
      </w:r>
      <w:r>
        <w:rPr>
          <w:color w:val="231F20"/>
        </w:rPr>
        <w:t>perdido</w:t>
      </w:r>
      <w:r>
        <w:rPr>
          <w:color w:val="231F20"/>
          <w:spacing w:val="-10"/>
        </w:rPr>
        <w:t> </w:t>
      </w:r>
      <w:r>
        <w:rPr>
          <w:color w:val="231F20"/>
        </w:rPr>
        <w:t>una</w:t>
      </w:r>
      <w:r>
        <w:rPr>
          <w:color w:val="231F20"/>
          <w:spacing w:val="-10"/>
        </w:rPr>
        <w:t> </w:t>
      </w:r>
      <w:r>
        <w:rPr>
          <w:color w:val="231F20"/>
        </w:rPr>
        <w:t>importante</w:t>
      </w:r>
      <w:r>
        <w:rPr>
          <w:color w:val="231F20"/>
          <w:spacing w:val="-11"/>
        </w:rPr>
        <w:t> </w:t>
      </w:r>
      <w:r>
        <w:rPr>
          <w:color w:val="231F20"/>
        </w:rPr>
        <w:t>cantidad</w:t>
      </w:r>
      <w:r>
        <w:rPr>
          <w:color w:val="231F20"/>
          <w:spacing w:val="-11"/>
        </w:rPr>
        <w:t> </w:t>
      </w:r>
      <w:r>
        <w:rPr>
          <w:color w:val="231F20"/>
        </w:rPr>
        <w:t>de</w:t>
      </w:r>
      <w:r>
        <w:rPr>
          <w:color w:val="231F20"/>
          <w:spacing w:val="-10"/>
        </w:rPr>
        <w:t> </w:t>
      </w:r>
      <w:r>
        <w:rPr>
          <w:color w:val="231F20"/>
        </w:rPr>
        <w:t>empleos</w:t>
      </w:r>
      <w:r>
        <w:rPr>
          <w:color w:val="231F20"/>
          <w:spacing w:val="-10"/>
        </w:rPr>
        <w:t> </w:t>
      </w:r>
      <w:r>
        <w:rPr>
          <w:color w:val="231F20"/>
        </w:rPr>
        <w:t>(más</w:t>
      </w:r>
      <w:r>
        <w:rPr>
          <w:color w:val="231F20"/>
          <w:spacing w:val="-10"/>
        </w:rPr>
        <w:t> </w:t>
      </w:r>
      <w:r>
        <w:rPr>
          <w:color w:val="231F20"/>
        </w:rPr>
        <w:t>de 50</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entre</w:t>
      </w:r>
      <w:r>
        <w:rPr>
          <w:color w:val="231F20"/>
          <w:spacing w:val="-9"/>
        </w:rPr>
        <w:t> </w:t>
      </w:r>
      <w:r>
        <w:rPr>
          <w:color w:val="231F20"/>
        </w:rPr>
        <w:t>2000</w:t>
      </w:r>
      <w:r>
        <w:rPr>
          <w:color w:val="231F20"/>
          <w:spacing w:val="-9"/>
        </w:rPr>
        <w:t> </w:t>
      </w:r>
      <w:r>
        <w:rPr>
          <w:color w:val="231F20"/>
        </w:rPr>
        <w:t>y</w:t>
      </w:r>
      <w:r>
        <w:rPr>
          <w:color w:val="231F20"/>
          <w:spacing w:val="-9"/>
        </w:rPr>
        <w:t> </w:t>
      </w:r>
      <w:r>
        <w:rPr>
          <w:color w:val="231F20"/>
        </w:rPr>
        <w:t>2010,</w:t>
      </w:r>
      <w:r>
        <w:rPr>
          <w:color w:val="231F20"/>
          <w:spacing w:val="-9"/>
        </w:rPr>
        <w:t> </w:t>
      </w:r>
      <w:r>
        <w:rPr>
          <w:color w:val="231F20"/>
        </w:rPr>
        <w:t>según</w:t>
      </w:r>
      <w:r>
        <w:rPr>
          <w:color w:val="231F20"/>
          <w:spacing w:val="-9"/>
        </w:rPr>
        <w:t> </w:t>
      </w:r>
      <w:r>
        <w:rPr>
          <w:color w:val="231F20"/>
        </w:rPr>
        <w:t>Dussel</w:t>
      </w:r>
      <w:r>
        <w:rPr>
          <w:color w:val="231F20"/>
          <w:spacing w:val="-9"/>
        </w:rPr>
        <w:t> </w:t>
      </w:r>
      <w:r>
        <w:rPr>
          <w:color w:val="231F20"/>
        </w:rPr>
        <w:t>Peters</w:t>
      </w:r>
      <w:r>
        <w:rPr>
          <w:color w:val="231F20"/>
          <w:spacing w:val="-9"/>
        </w:rPr>
        <w:t> </w:t>
      </w:r>
      <w:r>
        <w:rPr>
          <w:color w:val="231F20"/>
        </w:rPr>
        <w:t>y</w:t>
      </w:r>
      <w:r>
        <w:rPr>
          <w:color w:val="231F20"/>
          <w:spacing w:val="-9"/>
        </w:rPr>
        <w:t> </w:t>
      </w:r>
      <w:r>
        <w:rPr>
          <w:color w:val="231F20"/>
        </w:rPr>
        <w:t>Gallagher,</w:t>
      </w:r>
      <w:r>
        <w:rPr>
          <w:color w:val="231F20"/>
          <w:spacing w:val="-9"/>
        </w:rPr>
        <w:t> </w:t>
      </w:r>
      <w:r>
        <w:rPr>
          <w:color w:val="231F20"/>
        </w:rPr>
        <w:t>2013), debido a la competencia con China en el mercado de Estados</w:t>
      </w:r>
      <w:r>
        <w:rPr>
          <w:color w:val="231F20"/>
          <w:spacing w:val="-12"/>
        </w:rPr>
        <w:t> </w:t>
      </w:r>
      <w:r>
        <w:rPr>
          <w:color w:val="231F20"/>
        </w:rPr>
        <w:t>Unidos.</w:t>
      </w:r>
    </w:p>
    <w:p>
      <w:pPr>
        <w:pStyle w:val="BodyText"/>
        <w:spacing w:line="249" w:lineRule="auto" w:before="1"/>
        <w:ind w:left="110" w:right="111" w:firstLine="283"/>
        <w:jc w:val="both"/>
      </w:pPr>
      <w:r>
        <w:rPr>
          <w:color w:val="231F20"/>
        </w:rPr>
        <w:t>Por su parte, en los sectores denominados otros transables, figuran como principales sub-ramas, en lo que respecta a mano de obra emplea- da, la industria alimentaria y la fabricación de equipo de transporte y partes.</w:t>
      </w:r>
    </w:p>
    <w:p>
      <w:pPr>
        <w:pStyle w:val="BodyText"/>
        <w:spacing w:line="249" w:lineRule="auto" w:before="1"/>
        <w:ind w:left="110" w:right="111" w:firstLine="283"/>
        <w:jc w:val="both"/>
      </w:pPr>
      <w:r>
        <w:rPr>
          <w:color w:val="231F20"/>
        </w:rPr>
        <w:t>Se trata de sub-ramas que ocupan un lugar más prominente en térmi- nos</w:t>
      </w:r>
      <w:r>
        <w:rPr>
          <w:color w:val="231F20"/>
          <w:spacing w:val="-4"/>
        </w:rPr>
        <w:t> </w:t>
      </w:r>
      <w:r>
        <w:rPr>
          <w:color w:val="231F20"/>
        </w:rPr>
        <w:t>económicos</w:t>
      </w:r>
      <w:r>
        <w:rPr>
          <w:color w:val="231F20"/>
          <w:spacing w:val="-5"/>
        </w:rPr>
        <w:t> </w:t>
      </w:r>
      <w:r>
        <w:rPr>
          <w:color w:val="231F20"/>
        </w:rPr>
        <w:t>que</w:t>
      </w:r>
      <w:r>
        <w:rPr>
          <w:color w:val="231F20"/>
          <w:spacing w:val="-4"/>
        </w:rPr>
        <w:t> </w:t>
      </w:r>
      <w:r>
        <w:rPr>
          <w:color w:val="231F20"/>
        </w:rPr>
        <w:t>las</w:t>
      </w:r>
      <w:r>
        <w:rPr>
          <w:color w:val="231F20"/>
          <w:spacing w:val="-4"/>
        </w:rPr>
        <w:t> </w:t>
      </w:r>
      <w:r>
        <w:rPr>
          <w:color w:val="231F20"/>
        </w:rPr>
        <w:t>anteriormente</w:t>
      </w:r>
      <w:r>
        <w:rPr>
          <w:color w:val="231F20"/>
          <w:spacing w:val="-5"/>
        </w:rPr>
        <w:t> </w:t>
      </w:r>
      <w:r>
        <w:rPr>
          <w:color w:val="231F20"/>
        </w:rPr>
        <w:t>analizadas</w:t>
      </w:r>
      <w:r>
        <w:rPr>
          <w:color w:val="231F20"/>
          <w:spacing w:val="-5"/>
        </w:rPr>
        <w:t> </w:t>
      </w:r>
      <w:r>
        <w:rPr>
          <w:color w:val="231F20"/>
        </w:rPr>
        <w:t>(INEGI,</w:t>
      </w:r>
      <w:r>
        <w:rPr>
          <w:color w:val="231F20"/>
          <w:spacing w:val="-4"/>
        </w:rPr>
        <w:t> </w:t>
      </w:r>
      <w:r>
        <w:rPr>
          <w:color w:val="231F20"/>
        </w:rPr>
        <w:t>2012</w:t>
      </w:r>
      <w:r>
        <w:rPr>
          <w:color w:val="231F20"/>
          <w:spacing w:val="-4"/>
        </w:rPr>
        <w:t> </w:t>
      </w:r>
      <w:r>
        <w:rPr>
          <w:color w:val="231F20"/>
        </w:rPr>
        <w:t>y</w:t>
      </w:r>
      <w:r>
        <w:rPr>
          <w:color w:val="231F20"/>
          <w:spacing w:val="-4"/>
        </w:rPr>
        <w:t> </w:t>
      </w:r>
      <w:r>
        <w:rPr>
          <w:color w:val="231F20"/>
        </w:rPr>
        <w:t>2014), y no habría que olvidar que las hemos agrupado en este rubro porque aquí se comercia con más socios o existe una especialización en cuanto a flujos de exportación o importación. En lo que concierne a la industria alimentaria, los principales productos de exportación son la caña de</w:t>
      </w:r>
      <w:r>
        <w:rPr>
          <w:color w:val="231F20"/>
          <w:spacing w:val="-31"/>
        </w:rPr>
        <w:t> </w:t>
      </w:r>
      <w:r>
        <w:rPr>
          <w:color w:val="231F20"/>
        </w:rPr>
        <w:t>azú- car, el café tostado y la panificación; salvo el caso de la caña de azúcar, los</w:t>
      </w:r>
      <w:r>
        <w:rPr>
          <w:color w:val="231F20"/>
          <w:spacing w:val="-4"/>
        </w:rPr>
        <w:t> </w:t>
      </w:r>
      <w:r>
        <w:rPr>
          <w:color w:val="231F20"/>
        </w:rPr>
        <w:t>otros</w:t>
      </w:r>
      <w:r>
        <w:rPr>
          <w:color w:val="231F20"/>
          <w:spacing w:val="-4"/>
        </w:rPr>
        <w:t> </w:t>
      </w:r>
      <w:r>
        <w:rPr>
          <w:color w:val="231F20"/>
        </w:rPr>
        <w:t>dos</w:t>
      </w:r>
      <w:r>
        <w:rPr>
          <w:color w:val="231F20"/>
          <w:spacing w:val="-4"/>
        </w:rPr>
        <w:t> </w:t>
      </w:r>
      <w:r>
        <w:rPr>
          <w:color w:val="231F20"/>
        </w:rPr>
        <w:t>productos</w:t>
      </w:r>
      <w:r>
        <w:rPr>
          <w:color w:val="231F20"/>
          <w:spacing w:val="-4"/>
        </w:rPr>
        <w:t> </w:t>
      </w:r>
      <w:r>
        <w:rPr>
          <w:color w:val="231F20"/>
        </w:rPr>
        <w:t>han</w:t>
      </w:r>
      <w:r>
        <w:rPr>
          <w:color w:val="231F20"/>
          <w:spacing w:val="-4"/>
        </w:rPr>
        <w:t> </w:t>
      </w:r>
      <w:r>
        <w:rPr>
          <w:color w:val="231F20"/>
        </w:rPr>
        <w:t>crecido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canasta</w:t>
      </w:r>
      <w:r>
        <w:rPr>
          <w:color w:val="231F20"/>
          <w:spacing w:val="-4"/>
        </w:rPr>
        <w:t> </w:t>
      </w:r>
      <w:r>
        <w:rPr>
          <w:color w:val="231F20"/>
        </w:rPr>
        <w:t>exportadora</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últi- mos años (Secretaría de Economía,</w:t>
      </w:r>
      <w:r>
        <w:rPr>
          <w:color w:val="231F20"/>
          <w:spacing w:val="-3"/>
        </w:rPr>
        <w:t> </w:t>
      </w:r>
      <w:r>
        <w:rPr>
          <w:color w:val="231F20"/>
        </w:rPr>
        <w:t>2012).</w:t>
      </w:r>
    </w:p>
    <w:p>
      <w:pPr>
        <w:pStyle w:val="BodyText"/>
      </w:pPr>
    </w:p>
    <w:p>
      <w:pPr>
        <w:pStyle w:val="BodyText"/>
      </w:pPr>
    </w:p>
    <w:p>
      <w:pPr>
        <w:pStyle w:val="BodyText"/>
        <w:spacing w:before="8"/>
        <w:rPr>
          <w:sz w:val="25"/>
        </w:rPr>
      </w:pPr>
    </w:p>
    <w:p>
      <w:pPr>
        <w:spacing w:before="1"/>
        <w:ind w:left="110" w:right="107" w:firstLine="0"/>
        <w:jc w:val="left"/>
        <w:rPr>
          <w:sz w:val="14"/>
        </w:rPr>
      </w:pPr>
      <w:r>
        <w:rPr>
          <w:color w:val="231F20"/>
          <w:position w:val="5"/>
          <w:sz w:val="8"/>
        </w:rPr>
        <w:t>8 </w:t>
      </w:r>
      <w:r>
        <w:rPr>
          <w:color w:val="231F20"/>
          <w:sz w:val="14"/>
        </w:rPr>
        <w:t>Los planteamientos que se hacen en la interpretación del Esquema 2 están basados en las estadísticas del comercio exterior de México, publicadas por el INEGI (2012 y 2014).</w:t>
      </w:r>
    </w:p>
    <w:p>
      <w:pPr>
        <w:pStyle w:val="BodyText"/>
        <w:spacing w:before="2"/>
        <w:rPr>
          <w:sz w:val="21"/>
        </w:rPr>
      </w:pPr>
    </w:p>
    <w:p>
      <w:pPr>
        <w:pStyle w:val="BodyText"/>
        <w:spacing w:before="75"/>
        <w:ind w:left="404" w:right="407"/>
        <w:jc w:val="center"/>
      </w:pPr>
      <w:r>
        <w:rPr>
          <w:color w:val="231F20"/>
        </w:rPr>
        <w:t>100</w:t>
      </w:r>
    </w:p>
    <w:p>
      <w:pPr>
        <w:spacing w:after="0"/>
        <w:jc w:val="center"/>
        <w:sectPr>
          <w:footerReference w:type="default" r:id="rId136"/>
          <w:pgSz w:w="7770" w:h="11740"/>
          <w:pgMar w:footer="0" w:header="0" w:top="840" w:bottom="280" w:left="740" w:right="1020"/>
        </w:sectPr>
      </w:pPr>
    </w:p>
    <w:p>
      <w:pPr>
        <w:pStyle w:val="BodyText"/>
      </w:pPr>
      <w:r>
        <w:rPr/>
        <w:pict>
          <v:shape style="position:absolute;margin-left:22.711536pt;margin-top:193.173203pt;width:12pt;height:17pt;mso-position-horizontal-relative:page;mso-position-vertical-relative:page;z-index:3352" type="#_x0000_t202" filled="false" stroked="false">
            <v:textbox inset="0,0,0,0" style="layout-flow:vertical">
              <w:txbxContent>
                <w:p>
                  <w:pPr>
                    <w:pStyle w:val="BodyText"/>
                    <w:spacing w:line="224" w:lineRule="exact"/>
                    <w:ind w:left="20" w:right="-100"/>
                  </w:pPr>
                  <w:r>
                    <w:rPr>
                      <w:color w:val="231F20"/>
                    </w:rPr>
                    <w:t>101</w:t>
                  </w:r>
                </w:p>
              </w:txbxContent>
            </v:textbox>
            <w10:wrap type="none"/>
          </v:shape>
        </w:pict>
      </w:r>
    </w:p>
    <w:p>
      <w:pPr>
        <w:pStyle w:val="BodyText"/>
        <w:spacing w:before="11"/>
        <w:rPr>
          <w:sz w:val="19"/>
        </w:rPr>
      </w:pPr>
    </w:p>
    <w:p>
      <w:pPr>
        <w:spacing w:line="252" w:lineRule="auto" w:before="81"/>
        <w:ind w:left="117" w:right="705" w:hanging="1"/>
        <w:jc w:val="left"/>
        <w:rPr>
          <w:sz w:val="19"/>
        </w:rPr>
      </w:pPr>
      <w:r>
        <w:rPr>
          <w:w w:val="105"/>
          <w:sz w:val="19"/>
        </w:rPr>
        <w:t>Esquema 3. Principales sub-ramas de los sectores en el Esquema 2, de acuerdo con la participación de la población ocupada en cada uno de ellos. México, 2012 (Porcentajes dentro de cada sector)</w:t>
      </w:r>
    </w:p>
    <w:p>
      <w:pPr>
        <w:pStyle w:val="BodyText"/>
      </w:pPr>
    </w:p>
    <w:p>
      <w:pPr>
        <w:pStyle w:val="BodyText"/>
        <w:spacing w:before="4"/>
        <w:rPr>
          <w:sz w:val="19"/>
        </w:rPr>
      </w:pPr>
    </w:p>
    <w:p>
      <w:pPr>
        <w:pStyle w:val="Heading6"/>
        <w:spacing w:line="220" w:lineRule="exact" w:before="101"/>
        <w:ind w:left="1001" w:right="6691" w:firstLine="215"/>
      </w:pPr>
      <w:r>
        <w:rPr/>
        <w:pict>
          <v:shape style="position:absolute;margin-left:186.768494pt;margin-top:-17.579288pt;width:21.6pt;height:67.05pt;mso-position-horizontal-relative:page;mso-position-vertical-relative:paragraph;z-index:3136" coordorigin="3735,-352" coordsize="432,1341" path="m4167,989l4083,977,4014,945,3968,897,3951,838,3951,470,3934,411,3888,363,3819,331,3735,319,3819,307,3888,275,3934,227,3951,168,3951,-201,3968,-259,4014,-307,4083,-340,4167,-352e" filled="false" stroked="true" strokeweight="1pt" strokecolor="#000000">
            <v:path arrowok="t"/>
            <w10:wrap type="none"/>
          </v:shape>
        </w:pict>
      </w:r>
      <w:r>
        <w:rPr/>
        <w:pict>
          <v:group style="position:absolute;margin-left:216.385513pt;margin-top:-18.279699pt;width:294.5pt;height:68.4pt;mso-position-horizontal-relative:page;mso-position-vertical-relative:paragraph;z-index:3184" coordorigin="4328,-366" coordsize="5890,1368">
            <v:shape style="position:absolute;left:4328;top:-366;width:5890;height:1368" type="#_x0000_t75" stroked="false">
              <v:imagedata r:id="rId138" o:title=""/>
            </v:shape>
            <v:shape style="position:absolute;left:4328;top:-366;width:5890;height:1368" type="#_x0000_t202" filled="false" stroked="false">
              <v:textbox inset="0,0,0,0">
                <w:txbxContent>
                  <w:p>
                    <w:pPr>
                      <w:spacing w:line="240" w:lineRule="auto" w:before="2"/>
                      <w:rPr>
                        <w:sz w:val="24"/>
                      </w:rPr>
                    </w:pPr>
                  </w:p>
                  <w:p>
                    <w:pPr>
                      <w:tabs>
                        <w:tab w:pos="835" w:val="left" w:leader="none"/>
                      </w:tabs>
                      <w:spacing w:before="1"/>
                      <w:ind w:left="77" w:right="0" w:firstLine="0"/>
                      <w:jc w:val="left"/>
                      <w:rPr>
                        <w:sz w:val="21"/>
                      </w:rPr>
                    </w:pPr>
                    <w:r>
                      <w:rPr>
                        <w:spacing w:val="2"/>
                        <w:sz w:val="22"/>
                      </w:rPr>
                      <w:t>•1000</w:t>
                      <w:tab/>
                    </w:r>
                    <w:r>
                      <w:rPr>
                        <w:sz w:val="22"/>
                      </w:rPr>
                      <w:t>Agricultura y actividades forestales*</w:t>
                    </w:r>
                    <w:r>
                      <w:rPr>
                        <w:spacing w:val="-12"/>
                        <w:sz w:val="22"/>
                      </w:rPr>
                      <w:t> </w:t>
                    </w:r>
                    <w:r>
                      <w:rPr>
                        <w:sz w:val="22"/>
                      </w:rPr>
                      <w:t>(</w:t>
                    </w:r>
                    <w:r>
                      <w:rPr>
                        <w:sz w:val="21"/>
                      </w:rPr>
                      <w:t>40.6%)</w:t>
                    </w:r>
                  </w:p>
                  <w:p>
                    <w:pPr>
                      <w:tabs>
                        <w:tab w:pos="847" w:val="left" w:leader="none"/>
                      </w:tabs>
                      <w:spacing w:before="7"/>
                      <w:ind w:left="77" w:right="0" w:firstLine="0"/>
                      <w:jc w:val="left"/>
                      <w:rPr>
                        <w:sz w:val="22"/>
                      </w:rPr>
                    </w:pPr>
                    <w:r>
                      <w:rPr>
                        <w:spacing w:val="2"/>
                        <w:sz w:val="22"/>
                      </w:rPr>
                      <w:t>•3150</w:t>
                      <w:tab/>
                    </w:r>
                    <w:r>
                      <w:rPr>
                        <w:sz w:val="22"/>
                      </w:rPr>
                      <w:t>Fabricación de prendas de vestir</w:t>
                    </w:r>
                    <w:r>
                      <w:rPr>
                        <w:spacing w:val="-10"/>
                        <w:sz w:val="22"/>
                      </w:rPr>
                      <w:t> </w:t>
                    </w:r>
                    <w:r>
                      <w:rPr>
                        <w:sz w:val="22"/>
                      </w:rPr>
                      <w:t>(13.48%)</w:t>
                    </w:r>
                  </w:p>
                  <w:p>
                    <w:pPr>
                      <w:tabs>
                        <w:tab w:pos="847" w:val="left" w:leader="none"/>
                      </w:tabs>
                      <w:spacing w:before="27"/>
                      <w:ind w:left="77" w:right="0" w:firstLine="0"/>
                      <w:jc w:val="left"/>
                      <w:rPr>
                        <w:sz w:val="22"/>
                      </w:rPr>
                    </w:pPr>
                    <w:r>
                      <w:rPr>
                        <w:spacing w:val="2"/>
                        <w:sz w:val="22"/>
                      </w:rPr>
                      <w:t>•3320</w:t>
                      <w:tab/>
                    </w:r>
                    <w:r>
                      <w:rPr>
                        <w:sz w:val="22"/>
                      </w:rPr>
                      <w:t>Fabricación de productos metálicos</w:t>
                    </w:r>
                    <w:r>
                      <w:rPr>
                        <w:spacing w:val="-11"/>
                        <w:sz w:val="22"/>
                      </w:rPr>
                      <w:t> </w:t>
                    </w:r>
                    <w:r>
                      <w:rPr>
                        <w:sz w:val="22"/>
                      </w:rPr>
                      <w:t>(9.66%)</w:t>
                    </w:r>
                  </w:p>
                </w:txbxContent>
              </v:textbox>
              <w10:wrap type="none"/>
            </v:shape>
            <w10:wrap type="none"/>
          </v:group>
        </w:pict>
      </w:r>
      <w:r>
        <w:rPr/>
        <w:t>Transables concentrados</w:t>
      </w:r>
    </w:p>
    <w:p>
      <w:pPr>
        <w:pStyle w:val="BodyText"/>
      </w:pPr>
    </w:p>
    <w:p>
      <w:pPr>
        <w:pStyle w:val="BodyText"/>
      </w:pPr>
    </w:p>
    <w:p>
      <w:pPr>
        <w:pStyle w:val="BodyText"/>
      </w:pPr>
    </w:p>
    <w:p>
      <w:pPr>
        <w:pStyle w:val="BodyText"/>
      </w:pPr>
    </w:p>
    <w:p>
      <w:pPr>
        <w:pStyle w:val="BodyText"/>
        <w:spacing w:before="1"/>
        <w:rPr>
          <w:sz w:val="21"/>
        </w:rPr>
      </w:pPr>
    </w:p>
    <w:p>
      <w:pPr>
        <w:spacing w:before="71"/>
        <w:ind w:left="738" w:right="0" w:firstLine="0"/>
        <w:jc w:val="left"/>
        <w:rPr>
          <w:sz w:val="22"/>
        </w:rPr>
      </w:pPr>
      <w:r>
        <w:rPr/>
        <w:pict>
          <v:shape style="position:absolute;margin-left:186.768494pt;margin-top:-23.55427pt;width:21.6pt;height:67.05pt;mso-position-horizontal-relative:page;mso-position-vertical-relative:paragraph;z-index:3208" coordorigin="3735,-471" coordsize="432,1341" path="m4167,870l4083,858,4014,825,3968,778,3951,719,3951,350,3934,291,3888,244,3819,211,3735,199,3819,187,3888,155,3934,107,3951,48,3951,-320,3968,-379,4014,-427,4083,-459,4167,-471e" filled="false" stroked="true" strokeweight="1pt" strokecolor="#000000">
            <v:path arrowok="t"/>
            <w10:wrap type="none"/>
          </v:shape>
        </w:pict>
      </w:r>
      <w:r>
        <w:rPr/>
        <w:pict>
          <v:group style="position:absolute;margin-left:216.385513pt;margin-top:-24.04277pt;width:294.5pt;height:68.2pt;mso-position-horizontal-relative:page;mso-position-vertical-relative:paragraph;z-index:3256" coordorigin="4328,-481" coordsize="5890,1364">
            <v:shape style="position:absolute;left:4328;top:-481;width:5890;height:1363" type="#_x0000_t75" stroked="false">
              <v:imagedata r:id="rId139" o:title=""/>
            </v:shape>
            <v:shape style="position:absolute;left:4328;top:-481;width:5890;height:1364" type="#_x0000_t202" filled="false" stroked="false">
              <v:textbox inset="0,0,0,0">
                <w:txbxContent>
                  <w:p>
                    <w:pPr>
                      <w:spacing w:line="240" w:lineRule="auto" w:before="10"/>
                      <w:rPr>
                        <w:sz w:val="23"/>
                      </w:rPr>
                    </w:pPr>
                  </w:p>
                  <w:p>
                    <w:pPr>
                      <w:tabs>
                        <w:tab w:pos="847" w:val="left" w:leader="none"/>
                      </w:tabs>
                      <w:spacing w:before="0"/>
                      <w:ind w:left="77" w:right="0" w:firstLine="0"/>
                      <w:jc w:val="left"/>
                      <w:rPr>
                        <w:sz w:val="22"/>
                      </w:rPr>
                    </w:pPr>
                    <w:r>
                      <w:rPr>
                        <w:sz w:val="22"/>
                      </w:rPr>
                      <w:t>•3110</w:t>
                      <w:tab/>
                      <w:t>Industria alimentaria</w:t>
                    </w:r>
                    <w:r>
                      <w:rPr>
                        <w:spacing w:val="-1"/>
                        <w:sz w:val="22"/>
                      </w:rPr>
                      <w:t> </w:t>
                    </w:r>
                    <w:r>
                      <w:rPr>
                        <w:sz w:val="22"/>
                      </w:rPr>
                      <w:t>(37.26%)</w:t>
                    </w:r>
                  </w:p>
                  <w:p>
                    <w:pPr>
                      <w:tabs>
                        <w:tab w:pos="847" w:val="left" w:leader="none"/>
                      </w:tabs>
                      <w:spacing w:before="7"/>
                      <w:ind w:left="77" w:right="0" w:firstLine="0"/>
                      <w:jc w:val="left"/>
                      <w:rPr>
                        <w:sz w:val="22"/>
                      </w:rPr>
                    </w:pPr>
                    <w:r>
                      <w:rPr>
                        <w:spacing w:val="2"/>
                        <w:sz w:val="22"/>
                      </w:rPr>
                      <w:t>•3360</w:t>
                      <w:tab/>
                    </w:r>
                    <w:r>
                      <w:rPr>
                        <w:sz w:val="22"/>
                      </w:rPr>
                      <w:t>Fabricación de equipo de transporte y partes</w:t>
                    </w:r>
                    <w:r>
                      <w:rPr>
                        <w:spacing w:val="-12"/>
                        <w:sz w:val="22"/>
                      </w:rPr>
                      <w:t> </w:t>
                    </w:r>
                    <w:r>
                      <w:rPr>
                        <w:sz w:val="22"/>
                      </w:rPr>
                      <w:t>(15.82%)</w:t>
                    </w:r>
                  </w:p>
                  <w:p>
                    <w:pPr>
                      <w:tabs>
                        <w:tab w:pos="847" w:val="left" w:leader="none"/>
                      </w:tabs>
                      <w:spacing w:before="27"/>
                      <w:ind w:left="77" w:right="0" w:firstLine="0"/>
                      <w:jc w:val="left"/>
                      <w:rPr>
                        <w:sz w:val="22"/>
                      </w:rPr>
                    </w:pPr>
                    <w:r>
                      <w:rPr>
                        <w:spacing w:val="2"/>
                        <w:sz w:val="22"/>
                      </w:rPr>
                      <w:t>•3370</w:t>
                      <w:tab/>
                    </w:r>
                    <w:r>
                      <w:rPr>
                        <w:sz w:val="22"/>
                      </w:rPr>
                      <w:t>Fabricación de muebles, colchones y persianas</w:t>
                    </w:r>
                    <w:r>
                      <w:rPr>
                        <w:spacing w:val="-12"/>
                        <w:sz w:val="22"/>
                      </w:rPr>
                      <w:t> </w:t>
                    </w:r>
                    <w:r>
                      <w:rPr>
                        <w:sz w:val="22"/>
                      </w:rPr>
                      <w:t>(9.06%)</w:t>
                    </w:r>
                  </w:p>
                </w:txbxContent>
              </v:textbox>
              <w10:wrap type="none"/>
            </v:shape>
            <w10:wrap type="none"/>
          </v:group>
        </w:pict>
      </w:r>
      <w:r>
        <w:rPr>
          <w:sz w:val="22"/>
        </w:rPr>
        <w:t>Otros transables</w:t>
      </w:r>
    </w:p>
    <w:p>
      <w:pPr>
        <w:pStyle w:val="BodyText"/>
      </w:pPr>
    </w:p>
    <w:p>
      <w:pPr>
        <w:pStyle w:val="BodyText"/>
      </w:pPr>
    </w:p>
    <w:p>
      <w:pPr>
        <w:pStyle w:val="BodyText"/>
      </w:pPr>
    </w:p>
    <w:p>
      <w:pPr>
        <w:pStyle w:val="BodyText"/>
      </w:pPr>
    </w:p>
    <w:p>
      <w:pPr>
        <w:pStyle w:val="BodyText"/>
        <w:spacing w:before="6"/>
        <w:rPr>
          <w:sz w:val="29"/>
        </w:rPr>
      </w:pPr>
    </w:p>
    <w:p>
      <w:pPr>
        <w:spacing w:before="72"/>
        <w:ind w:left="958" w:right="0" w:firstLine="0"/>
        <w:jc w:val="left"/>
        <w:rPr>
          <w:sz w:val="22"/>
        </w:rPr>
      </w:pPr>
      <w:r>
        <w:rPr/>
        <w:pict>
          <v:shape style="position:absolute;margin-left:186.768494pt;margin-top:-23.50437pt;width:21.6pt;height:67.05pt;mso-position-horizontal-relative:page;mso-position-vertical-relative:paragraph;z-index:3280" coordorigin="3735,-470" coordsize="432,1341" path="m4167,871l4083,859,4014,826,3968,779,3951,720,3951,351,3934,292,3888,245,3819,212,3735,200,3819,188,3888,156,3934,108,3951,49,3951,-319,3968,-378,4014,-426,4083,-458,4167,-470e" filled="false" stroked="true" strokeweight="1pt" strokecolor="#000000">
            <v:path arrowok="t"/>
            <w10:wrap type="none"/>
          </v:shape>
        </w:pict>
      </w:r>
      <w:r>
        <w:rPr/>
        <w:pict>
          <v:group style="position:absolute;margin-left:216.385513pt;margin-top:-24.021271pt;width:294.5pt;height:68.2pt;mso-position-horizontal-relative:page;mso-position-vertical-relative:paragraph;z-index:3328" coordorigin="4328,-480" coordsize="5890,1364">
            <v:shape style="position:absolute;left:4328;top:-480;width:5890;height:1363" type="#_x0000_t75" stroked="false">
              <v:imagedata r:id="rId139" o:title=""/>
            </v:shape>
            <v:shape style="position:absolute;left:4328;top:-480;width:5890;height:1364" type="#_x0000_t202" filled="false" stroked="false">
              <v:textbox inset="0,0,0,0">
                <w:txbxContent>
                  <w:p>
                    <w:pPr>
                      <w:tabs>
                        <w:tab w:pos="843" w:val="left" w:leader="none"/>
                      </w:tabs>
                      <w:spacing w:line="220" w:lineRule="exact" w:before="185"/>
                      <w:ind w:left="837" w:right="231" w:hanging="761"/>
                      <w:jc w:val="left"/>
                      <w:rPr>
                        <w:sz w:val="22"/>
                      </w:rPr>
                    </w:pPr>
                    <w:r>
                      <w:rPr>
                        <w:spacing w:val="2"/>
                        <w:sz w:val="22"/>
                      </w:rPr>
                      <w:t>•2382</w:t>
                      <w:tab/>
                      <w:tab/>
                    </w:r>
                    <w:r>
                      <w:rPr>
                        <w:sz w:val="22"/>
                      </w:rPr>
                      <w:t>Trabajos de albañilería de</w:t>
                    </w:r>
                    <w:r>
                      <w:rPr>
                        <w:spacing w:val="-8"/>
                        <w:sz w:val="22"/>
                      </w:rPr>
                      <w:t> </w:t>
                    </w:r>
                    <w:r>
                      <w:rPr>
                        <w:sz w:val="22"/>
                      </w:rPr>
                      <w:t>instalaciones</w:t>
                    </w:r>
                    <w:r>
                      <w:rPr>
                        <w:spacing w:val="-3"/>
                        <w:sz w:val="22"/>
                      </w:rPr>
                      <w:t> </w:t>
                    </w:r>
                    <w:r>
                      <w:rPr>
                        <w:sz w:val="22"/>
                      </w:rPr>
                      <w:t>hidrosanitarias y eléctricas y de trabajos en exteriores</w:t>
                    </w:r>
                    <w:r>
                      <w:rPr>
                        <w:spacing w:val="-4"/>
                        <w:sz w:val="22"/>
                      </w:rPr>
                      <w:t> </w:t>
                    </w:r>
                    <w:r>
                      <w:rPr>
                        <w:sz w:val="22"/>
                      </w:rPr>
                      <w:t>(45.65%)</w:t>
                    </w:r>
                  </w:p>
                  <w:p>
                    <w:pPr>
                      <w:tabs>
                        <w:tab w:pos="847" w:val="left" w:leader="none"/>
                      </w:tabs>
                      <w:spacing w:before="30"/>
                      <w:ind w:left="77" w:right="0" w:firstLine="0"/>
                      <w:jc w:val="left"/>
                      <w:rPr>
                        <w:sz w:val="22"/>
                      </w:rPr>
                    </w:pPr>
                    <w:r>
                      <w:rPr>
                        <w:spacing w:val="2"/>
                        <w:sz w:val="22"/>
                      </w:rPr>
                      <w:t>•2361</w:t>
                      <w:tab/>
                    </w:r>
                    <w:r>
                      <w:rPr>
                        <w:sz w:val="22"/>
                      </w:rPr>
                      <w:t>Edificación residencial</w:t>
                    </w:r>
                    <w:r>
                      <w:rPr>
                        <w:spacing w:val="-1"/>
                        <w:sz w:val="22"/>
                      </w:rPr>
                      <w:t> </w:t>
                    </w:r>
                    <w:r>
                      <w:rPr>
                        <w:sz w:val="22"/>
                      </w:rPr>
                      <w:t>(31.49%)</w:t>
                    </w:r>
                  </w:p>
                  <w:p>
                    <w:pPr>
                      <w:tabs>
                        <w:tab w:pos="847" w:val="left" w:leader="none"/>
                      </w:tabs>
                      <w:spacing w:before="27"/>
                      <w:ind w:left="77" w:right="0" w:firstLine="0"/>
                      <w:jc w:val="left"/>
                      <w:rPr>
                        <w:sz w:val="22"/>
                      </w:rPr>
                    </w:pPr>
                    <w:r>
                      <w:rPr>
                        <w:spacing w:val="2"/>
                        <w:sz w:val="22"/>
                      </w:rPr>
                      <w:t>•2370</w:t>
                      <w:tab/>
                    </w:r>
                    <w:r>
                      <w:rPr>
                        <w:sz w:val="22"/>
                      </w:rPr>
                      <w:t>Construcción de obras de ingeniería civil</w:t>
                    </w:r>
                    <w:r>
                      <w:rPr>
                        <w:spacing w:val="-2"/>
                        <w:sz w:val="22"/>
                      </w:rPr>
                      <w:t> </w:t>
                    </w:r>
                    <w:r>
                      <w:rPr>
                        <w:sz w:val="22"/>
                      </w:rPr>
                      <w:t>(7.68%)</w:t>
                    </w:r>
                  </w:p>
                </w:txbxContent>
              </v:textbox>
              <w10:wrap type="none"/>
            </v:shape>
            <w10:wrap type="none"/>
          </v:group>
        </w:pict>
      </w:r>
      <w:r>
        <w:rPr>
          <w:sz w:val="22"/>
        </w:rPr>
        <w:t>No transables</w:t>
      </w:r>
    </w:p>
    <w:p>
      <w:pPr>
        <w:pStyle w:val="BodyText"/>
      </w:pPr>
    </w:p>
    <w:p>
      <w:pPr>
        <w:pStyle w:val="BodyText"/>
        <w:spacing w:before="6"/>
        <w:rPr>
          <w:sz w:val="29"/>
        </w:rPr>
      </w:pPr>
    </w:p>
    <w:p>
      <w:pPr>
        <w:spacing w:line="240" w:lineRule="auto" w:before="79"/>
        <w:ind w:left="117" w:right="705" w:firstLine="0"/>
        <w:jc w:val="left"/>
        <w:rPr>
          <w:sz w:val="16"/>
        </w:rPr>
      </w:pPr>
      <w:r>
        <w:rPr>
          <w:sz w:val="16"/>
        </w:rPr>
        <w:t>Fuente: estimaciones propias con base en el cuadro A.1 (en el Anexo), con información de la ENOE, 2012, segundo trimestre (*) La rama 1110 Agricultura y la rama 1130 de actividad forestal se agruparon para el análisis del comercio internacional como resultado de la correspondencia entre la CIIU y la SCIAN.</w:t>
      </w:r>
    </w:p>
    <w:p>
      <w:pPr>
        <w:spacing w:after="0" w:line="240" w:lineRule="auto"/>
        <w:jc w:val="left"/>
        <w:rPr>
          <w:sz w:val="16"/>
        </w:rPr>
        <w:sectPr>
          <w:footerReference w:type="default" r:id="rId137"/>
          <w:pgSz w:w="11740" w:h="7770" w:orient="landscape"/>
          <w:pgMar w:footer="0" w:header="0" w:top="680" w:bottom="280" w:left="1460" w:right="1400"/>
        </w:sectPr>
      </w:pPr>
    </w:p>
    <w:p>
      <w:pPr>
        <w:pStyle w:val="BodyText"/>
        <w:spacing w:line="249" w:lineRule="auto" w:before="60"/>
        <w:ind w:left="110" w:right="111" w:firstLine="283"/>
        <w:jc w:val="both"/>
      </w:pPr>
      <w:r>
        <w:rPr>
          <w:color w:val="231F20"/>
        </w:rPr>
        <w:t>Ahora bien, habría que subrayar de manera especial la presencia en este grupo de la fabricación de equipo de transporte y partes, dado que los</w:t>
      </w:r>
      <w:r>
        <w:rPr>
          <w:color w:val="231F20"/>
          <w:spacing w:val="-6"/>
        </w:rPr>
        <w:t> </w:t>
      </w:r>
      <w:r>
        <w:rPr>
          <w:color w:val="231F20"/>
        </w:rPr>
        <w:t>productos</w:t>
      </w:r>
      <w:r>
        <w:rPr>
          <w:color w:val="231F20"/>
          <w:spacing w:val="-6"/>
        </w:rPr>
        <w:t> </w:t>
      </w:r>
      <w:r>
        <w:rPr>
          <w:color w:val="231F20"/>
        </w:rPr>
        <w:t>automotrices</w:t>
      </w:r>
      <w:r>
        <w:rPr>
          <w:color w:val="231F20"/>
          <w:spacing w:val="-6"/>
        </w:rPr>
        <w:t> </w:t>
      </w:r>
      <w:r>
        <w:rPr>
          <w:color w:val="231F20"/>
        </w:rPr>
        <w:t>constituyeron</w:t>
      </w:r>
      <w:r>
        <w:rPr>
          <w:color w:val="231F20"/>
          <w:spacing w:val="-6"/>
        </w:rPr>
        <w:t> </w:t>
      </w:r>
      <w:r>
        <w:rPr>
          <w:color w:val="231F20"/>
        </w:rPr>
        <w:t>el</w:t>
      </w:r>
      <w:r>
        <w:rPr>
          <w:color w:val="231F20"/>
          <w:spacing w:val="-6"/>
        </w:rPr>
        <w:t> </w:t>
      </w:r>
      <w:r>
        <w:rPr>
          <w:color w:val="231F20"/>
        </w:rPr>
        <w:t>principal</w:t>
      </w:r>
      <w:r>
        <w:rPr>
          <w:color w:val="231F20"/>
          <w:spacing w:val="-6"/>
        </w:rPr>
        <w:t> </w:t>
      </w:r>
      <w:r>
        <w:rPr>
          <w:color w:val="231F20"/>
        </w:rPr>
        <w:t>producto</w:t>
      </w:r>
      <w:r>
        <w:rPr>
          <w:color w:val="231F20"/>
          <w:spacing w:val="-6"/>
        </w:rPr>
        <w:t> </w:t>
      </w:r>
      <w:r>
        <w:rPr>
          <w:color w:val="231F20"/>
        </w:rPr>
        <w:t>de</w:t>
      </w:r>
      <w:r>
        <w:rPr>
          <w:color w:val="231F20"/>
          <w:spacing w:val="-6"/>
        </w:rPr>
        <w:t> </w:t>
      </w:r>
      <w:r>
        <w:rPr>
          <w:color w:val="231F20"/>
        </w:rPr>
        <w:t>expor- tación de México en 2012-2014 (representaron 29 por ciento del valor económico de los productos no petroleros manufacturados exportados en 2012 y 31 por ciento en 2014) (INEGI, 2012 y 2014). Se trata de productos ligados a las armadoras de automóviles estadunidenses y ja- ponesas, los cuales también requieren de importantes volúmenes de bie- nes importados, y que hasta cierto punto constituyen modernos enclaves productivos.</w:t>
      </w:r>
    </w:p>
    <w:p>
      <w:pPr>
        <w:pStyle w:val="BodyText"/>
        <w:spacing w:before="1"/>
        <w:ind w:left="393"/>
      </w:pPr>
      <w:r>
        <w:rPr>
          <w:color w:val="231F20"/>
        </w:rPr>
        <w:t>Sin embargo, algunos estudiosos destacan más bien que en este caso</w:t>
      </w:r>
    </w:p>
    <w:p>
      <w:pPr>
        <w:pStyle w:val="BodyText"/>
        <w:spacing w:line="249" w:lineRule="auto" w:before="10"/>
        <w:ind w:left="110" w:right="111"/>
        <w:jc w:val="both"/>
      </w:pPr>
      <w:r>
        <w:rPr>
          <w:color w:val="231F20"/>
        </w:rPr>
        <w:t>—a diferencia de la cadena hilo-textiles-confección— México todavía destaca por ser uno de los principales proveedores y actores en Estados Unidos, mientras que China se encuentra rezagada en este sentido por estar destinada hasta ahora su producción de automóviles a su mercado interno (Dussel y Gallagher, 2013). En lo que toca a los objetivos de este artículo, consideramos importante concretar si las/os trabajadores en estas y otras ramas del grupo de otros transables se distinguen de los demás, una vez que hemos tenido en cuenta sus características socio- demográficas como la edad, la escolaridad y la condición de hombre o mujer, entre otros</w:t>
      </w:r>
      <w:r>
        <w:rPr>
          <w:color w:val="231F20"/>
          <w:spacing w:val="-10"/>
        </w:rPr>
        <w:t> </w:t>
      </w:r>
      <w:r>
        <w:rPr>
          <w:color w:val="231F20"/>
        </w:rPr>
        <w:t>aspectos.</w:t>
      </w:r>
    </w:p>
    <w:p>
      <w:pPr>
        <w:pStyle w:val="BodyText"/>
        <w:spacing w:line="249" w:lineRule="auto" w:before="1"/>
        <w:ind w:left="110" w:right="111" w:firstLine="283"/>
        <w:jc w:val="both"/>
      </w:pPr>
      <w:r>
        <w:rPr>
          <w:color w:val="231F20"/>
        </w:rPr>
        <w:t>Finalmente, en los sectores no transables quedaron clasificadas prin- cipalmente sub-ramas ligadas a la industria de la construcción en el ám- bito</w:t>
      </w:r>
      <w:r>
        <w:rPr>
          <w:color w:val="231F20"/>
          <w:spacing w:val="-5"/>
        </w:rPr>
        <w:t> </w:t>
      </w:r>
      <w:r>
        <w:rPr>
          <w:color w:val="231F20"/>
        </w:rPr>
        <w:t>residencial,</w:t>
      </w:r>
      <w:r>
        <w:rPr>
          <w:color w:val="231F20"/>
          <w:spacing w:val="-5"/>
        </w:rPr>
        <w:t> </w:t>
      </w:r>
      <w:r>
        <w:rPr>
          <w:color w:val="231F20"/>
        </w:rPr>
        <w:t>pero</w:t>
      </w:r>
      <w:r>
        <w:rPr>
          <w:color w:val="231F20"/>
          <w:spacing w:val="-5"/>
        </w:rPr>
        <w:t> </w:t>
      </w:r>
      <w:r>
        <w:rPr>
          <w:color w:val="231F20"/>
        </w:rPr>
        <w:t>también</w:t>
      </w:r>
      <w:r>
        <w:rPr>
          <w:color w:val="231F20"/>
          <w:spacing w:val="-5"/>
        </w:rPr>
        <w:t> </w:t>
      </w:r>
      <w:r>
        <w:rPr>
          <w:color w:val="231F20"/>
        </w:rPr>
        <w:t>no</w:t>
      </w:r>
      <w:r>
        <w:rPr>
          <w:color w:val="231F20"/>
          <w:spacing w:val="-5"/>
        </w:rPr>
        <w:t> </w:t>
      </w:r>
      <w:r>
        <w:rPr>
          <w:color w:val="231F20"/>
        </w:rPr>
        <w:t>residencial</w:t>
      </w:r>
      <w:r>
        <w:rPr>
          <w:color w:val="231F20"/>
          <w:spacing w:val="-5"/>
        </w:rPr>
        <w:t> </w:t>
      </w:r>
      <w:r>
        <w:rPr>
          <w:color w:val="231F20"/>
        </w:rPr>
        <w:t>y</w:t>
      </w:r>
      <w:r>
        <w:rPr>
          <w:color w:val="231F20"/>
          <w:spacing w:val="-5"/>
        </w:rPr>
        <w:t> </w:t>
      </w:r>
      <w:r>
        <w:rPr>
          <w:color w:val="231F20"/>
        </w:rPr>
        <w:t>trabajos</w:t>
      </w:r>
      <w:r>
        <w:rPr>
          <w:color w:val="231F20"/>
          <w:spacing w:val="-5"/>
        </w:rPr>
        <w:t> </w:t>
      </w:r>
      <w:r>
        <w:rPr>
          <w:color w:val="231F20"/>
        </w:rPr>
        <w:t>especializados</w:t>
      </w:r>
      <w:r>
        <w:rPr>
          <w:color w:val="231F20"/>
          <w:spacing w:val="-5"/>
        </w:rPr>
        <w:t> </w:t>
      </w:r>
      <w:r>
        <w:rPr>
          <w:color w:val="231F20"/>
        </w:rPr>
        <w:t>de esta área, con muy poca participación de otras ramas productivas con- cernientes a la transformación o extracción (cuadros A.1 en anexo, para mayor detalle).</w:t>
      </w:r>
      <w:r>
        <w:rPr>
          <w:color w:val="231F20"/>
          <w:position w:val="7"/>
          <w:sz w:val="11"/>
        </w:rPr>
        <w:t>9 </w:t>
      </w:r>
      <w:r>
        <w:rPr>
          <w:color w:val="231F20"/>
        </w:rPr>
        <w:t>El resultado de esta última agrupación demuestra la im- portante</w:t>
      </w:r>
      <w:r>
        <w:rPr>
          <w:color w:val="231F20"/>
          <w:spacing w:val="-9"/>
        </w:rPr>
        <w:t> </w:t>
      </w:r>
      <w:r>
        <w:rPr>
          <w:color w:val="231F20"/>
        </w:rPr>
        <w:t>medida</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encuentra</w:t>
      </w:r>
      <w:r>
        <w:rPr>
          <w:color w:val="231F20"/>
          <w:spacing w:val="-9"/>
        </w:rPr>
        <w:t> </w:t>
      </w:r>
      <w:r>
        <w:rPr>
          <w:color w:val="231F20"/>
        </w:rPr>
        <w:t>abierta</w:t>
      </w:r>
      <w:r>
        <w:rPr>
          <w:color w:val="231F20"/>
          <w:spacing w:val="-9"/>
        </w:rPr>
        <w:t> </w:t>
      </w:r>
      <w:r>
        <w:rPr>
          <w:color w:val="231F20"/>
        </w:rPr>
        <w:t>la</w:t>
      </w:r>
      <w:r>
        <w:rPr>
          <w:color w:val="231F20"/>
          <w:spacing w:val="-9"/>
        </w:rPr>
        <w:t> </w:t>
      </w:r>
      <w:r>
        <w:rPr>
          <w:color w:val="231F20"/>
        </w:rPr>
        <w:t>economía</w:t>
      </w:r>
      <w:r>
        <w:rPr>
          <w:color w:val="231F20"/>
          <w:spacing w:val="-9"/>
        </w:rPr>
        <w:t> </w:t>
      </w:r>
      <w:r>
        <w:rPr>
          <w:color w:val="231F20"/>
        </w:rPr>
        <w:t>mexicana.</w:t>
      </w:r>
      <w:r>
        <w:rPr>
          <w:color w:val="231F20"/>
          <w:spacing w:val="-9"/>
        </w:rPr>
        <w:t> </w:t>
      </w:r>
      <w:r>
        <w:rPr>
          <w:color w:val="231F20"/>
        </w:rPr>
        <w:t>En</w:t>
      </w:r>
      <w:r>
        <w:rPr>
          <w:color w:val="231F20"/>
          <w:spacing w:val="-9"/>
        </w:rPr>
        <w:t> </w:t>
      </w:r>
      <w:r>
        <w:rPr>
          <w:color w:val="231F20"/>
        </w:rPr>
        <w:t>el estudio</w:t>
      </w:r>
      <w:r>
        <w:rPr>
          <w:color w:val="231F20"/>
          <w:spacing w:val="-11"/>
        </w:rPr>
        <w:t> </w:t>
      </w:r>
      <w:r>
        <w:rPr>
          <w:color w:val="231F20"/>
        </w:rPr>
        <w:t>anterior</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misma</w:t>
      </w:r>
      <w:r>
        <w:rPr>
          <w:color w:val="231F20"/>
          <w:spacing w:val="-11"/>
        </w:rPr>
        <w:t> </w:t>
      </w:r>
      <w:r>
        <w:rPr>
          <w:color w:val="231F20"/>
        </w:rPr>
        <w:t>metodología</w:t>
      </w:r>
      <w:r>
        <w:rPr>
          <w:color w:val="231F20"/>
          <w:spacing w:val="-12"/>
        </w:rPr>
        <w:t> </w:t>
      </w:r>
      <w:r>
        <w:rPr>
          <w:color w:val="231F20"/>
        </w:rPr>
        <w:t>para</w:t>
      </w:r>
      <w:r>
        <w:rPr>
          <w:color w:val="231F20"/>
          <w:spacing w:val="-11"/>
        </w:rPr>
        <w:t> </w:t>
      </w:r>
      <w:r>
        <w:rPr>
          <w:color w:val="231F20"/>
        </w:rPr>
        <w:t>países</w:t>
      </w:r>
      <w:r>
        <w:rPr>
          <w:color w:val="231F20"/>
          <w:spacing w:val="-11"/>
        </w:rPr>
        <w:t> </w:t>
      </w:r>
      <w:r>
        <w:rPr>
          <w:color w:val="231F20"/>
        </w:rPr>
        <w:t>centroamericanos, se encontró que en los casos de Guatemala, El Salvador y Costa Rica, aproximadamente en el mismo periodo histórico, quedaron en ocasiones clasificadas como no transables (fuera de algunas ramas en el comercio y los servicios), las siguientes sub-ramas: la producción de tabaco y la producción de madera y fabricación de productos de madera y corcho, además de la silvicultura, pesca, minería, transporte, agua y electricidad (Escoto, 2014).</w:t>
      </w:r>
    </w:p>
    <w:p>
      <w:pPr>
        <w:pStyle w:val="BodyText"/>
        <w:rPr>
          <w:sz w:val="24"/>
        </w:rPr>
      </w:pPr>
    </w:p>
    <w:p>
      <w:pPr>
        <w:spacing w:before="0"/>
        <w:ind w:left="110" w:right="111" w:firstLine="0"/>
        <w:jc w:val="both"/>
        <w:rPr>
          <w:sz w:val="14"/>
        </w:rPr>
      </w:pPr>
      <w:r>
        <w:rPr>
          <w:color w:val="231F20"/>
          <w:position w:val="5"/>
          <w:sz w:val="8"/>
        </w:rPr>
        <w:t>9 </w:t>
      </w:r>
      <w:r>
        <w:rPr>
          <w:color w:val="231F20"/>
          <w:sz w:val="14"/>
        </w:rPr>
        <w:t>Existen actividades de construcción que pueden ser contabilizados dentro del comercio internacional de servicios según la EBOPS (</w:t>
      </w:r>
      <w:r>
        <w:rPr>
          <w:i/>
          <w:color w:val="231F20"/>
          <w:sz w:val="14"/>
        </w:rPr>
        <w:t>Extended Balance of Payments Services Classification</w:t>
      </w:r>
      <w:r>
        <w:rPr>
          <w:color w:val="231F20"/>
          <w:sz w:val="14"/>
        </w:rPr>
        <w:t>), sin embargo, para</w:t>
      </w:r>
      <w:r>
        <w:rPr>
          <w:color w:val="231F20"/>
          <w:spacing w:val="-4"/>
          <w:sz w:val="14"/>
        </w:rPr>
        <w:t> </w:t>
      </w:r>
      <w:r>
        <w:rPr>
          <w:color w:val="231F20"/>
          <w:sz w:val="14"/>
        </w:rPr>
        <w:t>el</w:t>
      </w:r>
      <w:r>
        <w:rPr>
          <w:color w:val="231F20"/>
          <w:spacing w:val="-4"/>
          <w:sz w:val="14"/>
        </w:rPr>
        <w:t> </w:t>
      </w:r>
      <w:r>
        <w:rPr>
          <w:color w:val="231F20"/>
          <w:sz w:val="14"/>
        </w:rPr>
        <w:t>caso</w:t>
      </w:r>
      <w:r>
        <w:rPr>
          <w:color w:val="231F20"/>
          <w:spacing w:val="-4"/>
          <w:sz w:val="14"/>
        </w:rPr>
        <w:t> </w:t>
      </w:r>
      <w:r>
        <w:rPr>
          <w:color w:val="231F20"/>
          <w:sz w:val="14"/>
        </w:rPr>
        <w:t>mexicano,</w:t>
      </w:r>
      <w:r>
        <w:rPr>
          <w:color w:val="231F20"/>
          <w:spacing w:val="-4"/>
          <w:sz w:val="14"/>
        </w:rPr>
        <w:t> </w:t>
      </w:r>
      <w:r>
        <w:rPr>
          <w:color w:val="231F20"/>
          <w:sz w:val="14"/>
        </w:rPr>
        <w:t>la</w:t>
      </w:r>
      <w:r>
        <w:rPr>
          <w:color w:val="231F20"/>
          <w:spacing w:val="-4"/>
          <w:sz w:val="14"/>
        </w:rPr>
        <w:t> </w:t>
      </w:r>
      <w:r>
        <w:rPr>
          <w:color w:val="231F20"/>
          <w:sz w:val="14"/>
        </w:rPr>
        <w:t>construcción</w:t>
      </w:r>
      <w:r>
        <w:rPr>
          <w:color w:val="231F20"/>
          <w:spacing w:val="-5"/>
          <w:sz w:val="14"/>
        </w:rPr>
        <w:t> </w:t>
      </w:r>
      <w:r>
        <w:rPr>
          <w:color w:val="231F20"/>
          <w:sz w:val="14"/>
        </w:rPr>
        <w:t>se</w:t>
      </w:r>
      <w:r>
        <w:rPr>
          <w:color w:val="231F20"/>
          <w:spacing w:val="-4"/>
          <w:sz w:val="14"/>
        </w:rPr>
        <w:t> </w:t>
      </w:r>
      <w:r>
        <w:rPr>
          <w:color w:val="231F20"/>
          <w:sz w:val="14"/>
        </w:rPr>
        <w:t>mantendría</w:t>
      </w:r>
      <w:r>
        <w:rPr>
          <w:color w:val="231F20"/>
          <w:spacing w:val="-4"/>
          <w:sz w:val="14"/>
        </w:rPr>
        <w:t> </w:t>
      </w:r>
      <w:r>
        <w:rPr>
          <w:color w:val="231F20"/>
          <w:sz w:val="14"/>
        </w:rPr>
        <w:t>como</w:t>
      </w:r>
      <w:r>
        <w:rPr>
          <w:color w:val="231F20"/>
          <w:spacing w:val="-4"/>
          <w:sz w:val="14"/>
        </w:rPr>
        <w:t> </w:t>
      </w:r>
      <w:r>
        <w:rPr>
          <w:color w:val="231F20"/>
          <w:sz w:val="14"/>
        </w:rPr>
        <w:t>no</w:t>
      </w:r>
      <w:r>
        <w:rPr>
          <w:color w:val="231F20"/>
          <w:spacing w:val="-4"/>
          <w:sz w:val="14"/>
        </w:rPr>
        <w:t> </w:t>
      </w:r>
      <w:r>
        <w:rPr>
          <w:color w:val="231F20"/>
          <w:sz w:val="14"/>
        </w:rPr>
        <w:t>transable,</w:t>
      </w:r>
      <w:r>
        <w:rPr>
          <w:color w:val="231F20"/>
          <w:spacing w:val="-4"/>
          <w:sz w:val="14"/>
        </w:rPr>
        <w:t> </w:t>
      </w:r>
      <w:r>
        <w:rPr>
          <w:color w:val="231F20"/>
          <w:sz w:val="14"/>
        </w:rPr>
        <w:t>puesto</w:t>
      </w:r>
      <w:r>
        <w:rPr>
          <w:color w:val="231F20"/>
          <w:spacing w:val="-4"/>
          <w:sz w:val="14"/>
        </w:rPr>
        <w:t> </w:t>
      </w:r>
      <w:r>
        <w:rPr>
          <w:color w:val="231F20"/>
          <w:sz w:val="14"/>
        </w:rPr>
        <w:t>que</w:t>
      </w:r>
      <w:r>
        <w:rPr>
          <w:color w:val="231F20"/>
          <w:spacing w:val="-4"/>
          <w:sz w:val="14"/>
        </w:rPr>
        <w:t> </w:t>
      </w:r>
      <w:r>
        <w:rPr>
          <w:color w:val="231F20"/>
          <w:sz w:val="14"/>
        </w:rPr>
        <w:t>en</w:t>
      </w:r>
      <w:r>
        <w:rPr>
          <w:color w:val="231F20"/>
          <w:spacing w:val="-4"/>
          <w:sz w:val="14"/>
        </w:rPr>
        <w:t> </w:t>
      </w:r>
      <w:r>
        <w:rPr>
          <w:color w:val="231F20"/>
          <w:sz w:val="14"/>
        </w:rPr>
        <w:t>los</w:t>
      </w:r>
      <w:r>
        <w:rPr>
          <w:color w:val="231F20"/>
          <w:spacing w:val="-4"/>
          <w:sz w:val="14"/>
        </w:rPr>
        <w:t> </w:t>
      </w:r>
      <w:r>
        <w:rPr>
          <w:color w:val="231F20"/>
          <w:sz w:val="14"/>
        </w:rPr>
        <w:t>últimos</w:t>
      </w:r>
      <w:r>
        <w:rPr>
          <w:color w:val="231F20"/>
          <w:spacing w:val="-4"/>
          <w:sz w:val="14"/>
        </w:rPr>
        <w:t> </w:t>
      </w:r>
      <w:r>
        <w:rPr>
          <w:color w:val="231F20"/>
          <w:sz w:val="14"/>
        </w:rPr>
        <w:t>años (de 2000 a 2012) no se han reportados servicios importados o exportados relativos a esta rama, según  la consulta hecha con la herramienta </w:t>
      </w:r>
      <w:r>
        <w:rPr>
          <w:i/>
          <w:color w:val="231F20"/>
          <w:sz w:val="14"/>
        </w:rPr>
        <w:t>Market Analysis </w:t>
      </w:r>
      <w:r>
        <w:rPr>
          <w:i/>
          <w:color w:val="231F20"/>
          <w:spacing w:val="-3"/>
          <w:sz w:val="14"/>
        </w:rPr>
        <w:t>Tools</w:t>
      </w:r>
      <w:r>
        <w:rPr>
          <w:color w:val="231F20"/>
          <w:spacing w:val="-3"/>
          <w:sz w:val="14"/>
        </w:rPr>
        <w:t>, </w:t>
      </w:r>
      <w:r>
        <w:rPr>
          <w:color w:val="231F20"/>
          <w:sz w:val="14"/>
        </w:rPr>
        <w:t>Intracen. Recuperado en octubre de</w:t>
      </w:r>
      <w:r>
        <w:rPr>
          <w:color w:val="231F20"/>
          <w:spacing w:val="-1"/>
          <w:sz w:val="14"/>
        </w:rPr>
        <w:t> </w:t>
      </w:r>
      <w:r>
        <w:rPr>
          <w:color w:val="231F20"/>
          <w:sz w:val="14"/>
        </w:rPr>
        <w:t>2014.</w:t>
      </w:r>
    </w:p>
    <w:p>
      <w:pPr>
        <w:spacing w:after="0"/>
        <w:jc w:val="both"/>
        <w:rPr>
          <w:sz w:val="14"/>
        </w:rPr>
        <w:sectPr>
          <w:footerReference w:type="default" r:id="rId140"/>
          <w:pgSz w:w="7770" w:h="11740"/>
          <w:pgMar w:footer="474" w:header="0" w:top="840" w:bottom="660" w:left="740" w:right="1020"/>
          <w:pgNumType w:start="102"/>
        </w:sectPr>
      </w:pPr>
    </w:p>
    <w:p>
      <w:pPr>
        <w:pStyle w:val="BodyText"/>
        <w:spacing w:line="249" w:lineRule="auto" w:before="60"/>
        <w:ind w:left="113" w:right="107" w:firstLine="283"/>
        <w:jc w:val="both"/>
      </w:pPr>
      <w:r>
        <w:rPr>
          <w:color w:val="231F20"/>
        </w:rPr>
        <w:t>Una vez ubicados las/los trabajadores en las distintos sectores clasi- ficados desde el comercio internacional, nos interesa profundizar en sus condiciones laborales. Las ENOE incluyen una gran cantidad de infor- mación</w:t>
      </w:r>
      <w:r>
        <w:rPr>
          <w:color w:val="231F20"/>
          <w:spacing w:val="-5"/>
        </w:rPr>
        <w:t> </w:t>
      </w:r>
      <w:r>
        <w:rPr>
          <w:color w:val="231F20"/>
        </w:rPr>
        <w:t>que</w:t>
      </w:r>
      <w:r>
        <w:rPr>
          <w:color w:val="231F20"/>
          <w:spacing w:val="-5"/>
        </w:rPr>
        <w:t> </w:t>
      </w:r>
      <w:r>
        <w:rPr>
          <w:color w:val="231F20"/>
        </w:rPr>
        <w:t>potencialmente</w:t>
      </w:r>
      <w:r>
        <w:rPr>
          <w:color w:val="231F20"/>
          <w:spacing w:val="-5"/>
        </w:rPr>
        <w:t> </w:t>
      </w:r>
      <w:r>
        <w:rPr>
          <w:color w:val="231F20"/>
        </w:rPr>
        <w:t>sería</w:t>
      </w:r>
      <w:r>
        <w:rPr>
          <w:color w:val="231F20"/>
          <w:spacing w:val="-4"/>
        </w:rPr>
        <w:t> </w:t>
      </w:r>
      <w:r>
        <w:rPr>
          <w:color w:val="231F20"/>
        </w:rPr>
        <w:t>útil</w:t>
      </w:r>
      <w:r>
        <w:rPr>
          <w:color w:val="231F20"/>
          <w:spacing w:val="-5"/>
        </w:rPr>
        <w:t> </w:t>
      </w:r>
      <w:r>
        <w:rPr>
          <w:color w:val="231F20"/>
        </w:rPr>
        <w:t>para</w:t>
      </w:r>
      <w:r>
        <w:rPr>
          <w:color w:val="231F20"/>
          <w:spacing w:val="-5"/>
        </w:rPr>
        <w:t> </w:t>
      </w:r>
      <w:r>
        <w:rPr>
          <w:color w:val="231F20"/>
        </w:rPr>
        <w:t>este</w:t>
      </w:r>
      <w:r>
        <w:rPr>
          <w:color w:val="231F20"/>
          <w:spacing w:val="-5"/>
        </w:rPr>
        <w:t> </w:t>
      </w:r>
      <w:r>
        <w:rPr>
          <w:color w:val="231F20"/>
        </w:rPr>
        <w:t>propósito,</w:t>
      </w:r>
      <w:r>
        <w:rPr>
          <w:color w:val="231F20"/>
          <w:spacing w:val="-5"/>
        </w:rPr>
        <w:t> </w:t>
      </w:r>
      <w:r>
        <w:rPr>
          <w:color w:val="231F20"/>
        </w:rPr>
        <w:t>pero</w:t>
      </w:r>
      <w:r>
        <w:rPr>
          <w:color w:val="231F20"/>
          <w:spacing w:val="-5"/>
        </w:rPr>
        <w:t> </w:t>
      </w:r>
      <w:r>
        <w:rPr>
          <w:color w:val="231F20"/>
        </w:rPr>
        <w:t>hemos</w:t>
      </w:r>
      <w:r>
        <w:rPr>
          <w:color w:val="231F20"/>
          <w:spacing w:val="-5"/>
        </w:rPr>
        <w:t> </w:t>
      </w:r>
      <w:r>
        <w:rPr>
          <w:color w:val="231F20"/>
        </w:rPr>
        <w:t>es- cogido dos indicadores que han mostrado ser significativos para ofrecer una visión sintética de dichas condiciones en el caso de México: el in- greso</w:t>
      </w:r>
      <w:r>
        <w:rPr>
          <w:color w:val="231F20"/>
          <w:spacing w:val="-4"/>
        </w:rPr>
        <w:t> </w:t>
      </w:r>
      <w:r>
        <w:rPr>
          <w:color w:val="231F20"/>
        </w:rPr>
        <w:t>por</w:t>
      </w:r>
      <w:r>
        <w:rPr>
          <w:color w:val="231F20"/>
          <w:spacing w:val="-4"/>
        </w:rPr>
        <w:t> </w:t>
      </w:r>
      <w:r>
        <w:rPr>
          <w:color w:val="231F20"/>
        </w:rPr>
        <w:t>hora</w:t>
      </w:r>
      <w:r>
        <w:rPr>
          <w:color w:val="231F20"/>
          <w:spacing w:val="-4"/>
        </w:rPr>
        <w:t> </w:t>
      </w:r>
      <w:r>
        <w:rPr>
          <w:color w:val="231F20"/>
        </w:rPr>
        <w:t>trabajada</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acceso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seguridad</w:t>
      </w:r>
      <w:r>
        <w:rPr>
          <w:color w:val="231F20"/>
          <w:spacing w:val="-3"/>
        </w:rPr>
        <w:t> </w:t>
      </w:r>
      <w:r>
        <w:rPr>
          <w:color w:val="231F20"/>
        </w:rPr>
        <w:t>social.</w:t>
      </w:r>
      <w:r>
        <w:rPr>
          <w:color w:val="231F20"/>
          <w:spacing w:val="-3"/>
        </w:rPr>
        <w:t> </w:t>
      </w:r>
      <w:r>
        <w:rPr>
          <w:color w:val="231F20"/>
        </w:rPr>
        <w:t>Habría</w:t>
      </w:r>
      <w:r>
        <w:rPr>
          <w:color w:val="231F20"/>
          <w:spacing w:val="-3"/>
        </w:rPr>
        <w:t> </w:t>
      </w:r>
      <w:r>
        <w:rPr>
          <w:color w:val="231F20"/>
        </w:rPr>
        <w:t>que</w:t>
      </w:r>
      <w:r>
        <w:rPr>
          <w:color w:val="231F20"/>
          <w:spacing w:val="-4"/>
        </w:rPr>
        <w:t> </w:t>
      </w:r>
      <w:r>
        <w:rPr>
          <w:color w:val="231F20"/>
        </w:rPr>
        <w:t>re- cordar que muchos planteamientos conceptuales en torno a las carencias que experimenta nuestra fuerza de trabajo, coinciden en tomar en</w:t>
      </w:r>
      <w:r>
        <w:rPr>
          <w:color w:val="231F20"/>
          <w:spacing w:val="-15"/>
        </w:rPr>
        <w:t> </w:t>
      </w:r>
      <w:r>
        <w:rPr>
          <w:color w:val="231F20"/>
        </w:rPr>
        <w:t>cuenta estos aspectos como dimensiones centrales. Por una parte se trata del dinero indispensable para la sobrevivencia en una economía capitalista como la nuestra, y por la otra, la garantía de algún respaldo institucional ante los escenarios de enfermedad, incapacidad o jubilación (Pacheco </w:t>
      </w:r>
      <w:r>
        <w:rPr>
          <w:i/>
          <w:color w:val="231F20"/>
        </w:rPr>
        <w:t>et </w:t>
      </w:r>
      <w:r>
        <w:rPr>
          <w:i/>
          <w:color w:val="231F20"/>
        </w:rPr>
        <w:t>al</w:t>
      </w:r>
      <w:r>
        <w:rPr>
          <w:color w:val="231F20"/>
        </w:rPr>
        <w:t>.,</w:t>
      </w:r>
      <w:r>
        <w:rPr>
          <w:color w:val="231F20"/>
          <w:spacing w:val="-8"/>
        </w:rPr>
        <w:t> </w:t>
      </w:r>
      <w:r>
        <w:rPr>
          <w:color w:val="231F20"/>
        </w:rPr>
        <w:t>2011).</w:t>
      </w:r>
    </w:p>
    <w:p>
      <w:pPr>
        <w:pStyle w:val="BodyText"/>
        <w:spacing w:line="249" w:lineRule="auto" w:before="1"/>
        <w:ind w:left="113" w:right="108" w:firstLine="283"/>
        <w:jc w:val="both"/>
      </w:pPr>
      <w:r>
        <w:rPr>
          <w:color w:val="231F20"/>
        </w:rPr>
        <w:t>En el Cuadro 1 presentamos información sobre estos indicadores de condiciones laborales para los sectores anteriormente descritos, además de algunas características sociodemográficas de los trabajadores</w:t>
      </w:r>
      <w:r>
        <w:rPr>
          <w:color w:val="231F20"/>
          <w:spacing w:val="-25"/>
        </w:rPr>
        <w:t> </w:t>
      </w:r>
      <w:r>
        <w:rPr>
          <w:color w:val="231F20"/>
        </w:rPr>
        <w:t>insertos en los</w:t>
      </w:r>
      <w:r>
        <w:rPr>
          <w:color w:val="231F20"/>
          <w:spacing w:val="-2"/>
        </w:rPr>
        <w:t> </w:t>
      </w:r>
      <w:r>
        <w:rPr>
          <w:color w:val="231F20"/>
        </w:rPr>
        <w:t>mismos.</w:t>
      </w:r>
    </w:p>
    <w:p>
      <w:pPr>
        <w:spacing w:line="242" w:lineRule="auto" w:before="179"/>
        <w:ind w:left="118" w:right="0" w:firstLine="0"/>
        <w:jc w:val="left"/>
        <w:rPr>
          <w:sz w:val="19"/>
        </w:rPr>
      </w:pPr>
      <w:r>
        <w:rPr/>
        <w:pict>
          <v:line style="position:absolute;mso-position-horizontal-relative:page;mso-position-vertical-relative:paragraph;z-index:-334528" from="139.476608pt,115.216904pt" to="142.781089pt,115.216904pt" stroked="true" strokeweight=".458497pt" strokecolor="#000000">
            <w10:wrap type="none"/>
          </v:line>
        </w:pict>
      </w:r>
      <w:r>
        <w:rPr>
          <w:sz w:val="19"/>
        </w:rPr>
        <w:t>Cuadro</w:t>
      </w:r>
      <w:r>
        <w:rPr>
          <w:spacing w:val="-18"/>
          <w:sz w:val="19"/>
        </w:rPr>
        <w:t> </w:t>
      </w:r>
      <w:r>
        <w:rPr>
          <w:sz w:val="19"/>
        </w:rPr>
        <w:t>1.</w:t>
      </w:r>
      <w:r>
        <w:rPr>
          <w:spacing w:val="-18"/>
          <w:sz w:val="19"/>
        </w:rPr>
        <w:t> </w:t>
      </w:r>
      <w:r>
        <w:rPr>
          <w:sz w:val="19"/>
        </w:rPr>
        <w:t>Características</w:t>
      </w:r>
      <w:r>
        <w:rPr>
          <w:spacing w:val="-18"/>
          <w:sz w:val="19"/>
        </w:rPr>
        <w:t> </w:t>
      </w:r>
      <w:r>
        <w:rPr>
          <w:sz w:val="19"/>
        </w:rPr>
        <w:t>sociodemográficas</w:t>
      </w:r>
      <w:r>
        <w:rPr>
          <w:spacing w:val="-18"/>
          <w:sz w:val="19"/>
        </w:rPr>
        <w:t> </w:t>
      </w:r>
      <w:r>
        <w:rPr>
          <w:sz w:val="19"/>
        </w:rPr>
        <w:t>y</w:t>
      </w:r>
      <w:r>
        <w:rPr>
          <w:spacing w:val="-18"/>
          <w:sz w:val="19"/>
        </w:rPr>
        <w:t> </w:t>
      </w:r>
      <w:r>
        <w:rPr>
          <w:sz w:val="19"/>
        </w:rPr>
        <w:t>condiciones</w:t>
      </w:r>
      <w:r>
        <w:rPr>
          <w:spacing w:val="-18"/>
          <w:sz w:val="19"/>
        </w:rPr>
        <w:t> </w:t>
      </w:r>
      <w:r>
        <w:rPr>
          <w:sz w:val="19"/>
        </w:rPr>
        <w:t>laborales</w:t>
      </w:r>
      <w:r>
        <w:rPr>
          <w:spacing w:val="-18"/>
          <w:sz w:val="19"/>
        </w:rPr>
        <w:t> </w:t>
      </w:r>
      <w:r>
        <w:rPr>
          <w:sz w:val="19"/>
        </w:rPr>
        <w:t>de</w:t>
      </w:r>
      <w:r>
        <w:rPr>
          <w:spacing w:val="-18"/>
          <w:sz w:val="19"/>
        </w:rPr>
        <w:t> </w:t>
      </w:r>
      <w:r>
        <w:rPr>
          <w:sz w:val="19"/>
        </w:rPr>
        <w:t>los trabajadores</w:t>
      </w:r>
      <w:r>
        <w:rPr>
          <w:spacing w:val="-14"/>
          <w:sz w:val="19"/>
        </w:rPr>
        <w:t> </w:t>
      </w:r>
      <w:r>
        <w:rPr>
          <w:sz w:val="19"/>
        </w:rPr>
        <w:t>según</w:t>
      </w:r>
      <w:r>
        <w:rPr>
          <w:spacing w:val="-14"/>
          <w:sz w:val="19"/>
        </w:rPr>
        <w:t> </w:t>
      </w:r>
      <w:r>
        <w:rPr>
          <w:sz w:val="19"/>
        </w:rPr>
        <w:t>su</w:t>
      </w:r>
      <w:r>
        <w:rPr>
          <w:spacing w:val="-14"/>
          <w:sz w:val="19"/>
        </w:rPr>
        <w:t> </w:t>
      </w:r>
      <w:r>
        <w:rPr>
          <w:sz w:val="19"/>
        </w:rPr>
        <w:t>pertenencia</w:t>
      </w:r>
      <w:r>
        <w:rPr>
          <w:spacing w:val="-14"/>
          <w:sz w:val="19"/>
        </w:rPr>
        <w:t> </w:t>
      </w:r>
      <w:r>
        <w:rPr>
          <w:sz w:val="19"/>
        </w:rPr>
        <w:t>a</w:t>
      </w:r>
      <w:r>
        <w:rPr>
          <w:spacing w:val="-14"/>
          <w:sz w:val="19"/>
        </w:rPr>
        <w:t> </w:t>
      </w:r>
      <w:r>
        <w:rPr>
          <w:sz w:val="19"/>
        </w:rPr>
        <w:t>distintos</w:t>
      </w:r>
      <w:r>
        <w:rPr>
          <w:spacing w:val="-14"/>
          <w:sz w:val="19"/>
        </w:rPr>
        <w:t> </w:t>
      </w:r>
      <w:r>
        <w:rPr>
          <w:sz w:val="19"/>
        </w:rPr>
        <w:t>sectores</w:t>
      </w:r>
      <w:r>
        <w:rPr>
          <w:spacing w:val="-14"/>
          <w:sz w:val="19"/>
        </w:rPr>
        <w:t> </w:t>
      </w:r>
      <w:r>
        <w:rPr>
          <w:sz w:val="19"/>
        </w:rPr>
        <w:t>clasificados</w:t>
      </w:r>
      <w:r>
        <w:rPr>
          <w:spacing w:val="-14"/>
          <w:sz w:val="19"/>
        </w:rPr>
        <w:t> </w:t>
      </w:r>
      <w:r>
        <w:rPr>
          <w:sz w:val="19"/>
        </w:rPr>
        <w:t>desde</w:t>
      </w:r>
      <w:r>
        <w:rPr>
          <w:spacing w:val="-14"/>
          <w:sz w:val="19"/>
        </w:rPr>
        <w:t> </w:t>
      </w:r>
      <w:r>
        <w:rPr>
          <w:sz w:val="19"/>
        </w:rPr>
        <w:t>el comercio</w:t>
      </w:r>
      <w:r>
        <w:rPr>
          <w:spacing w:val="-27"/>
          <w:sz w:val="19"/>
        </w:rPr>
        <w:t> </w:t>
      </w:r>
      <w:r>
        <w:rPr>
          <w:sz w:val="19"/>
        </w:rPr>
        <w:t>internacional.</w:t>
      </w:r>
      <w:r>
        <w:rPr>
          <w:spacing w:val="-28"/>
          <w:sz w:val="19"/>
        </w:rPr>
        <w:t> </w:t>
      </w:r>
      <w:r>
        <w:rPr>
          <w:sz w:val="19"/>
        </w:rPr>
        <w:t>Indicadores</w:t>
      </w:r>
      <w:r>
        <w:rPr>
          <w:spacing w:val="-27"/>
          <w:sz w:val="19"/>
        </w:rPr>
        <w:t> </w:t>
      </w:r>
      <w:r>
        <w:rPr>
          <w:sz w:val="19"/>
        </w:rPr>
        <w:t>seleccionados.</w:t>
      </w:r>
      <w:r>
        <w:rPr>
          <w:spacing w:val="-28"/>
          <w:sz w:val="19"/>
        </w:rPr>
        <w:t> </w:t>
      </w:r>
      <w:r>
        <w:rPr>
          <w:sz w:val="19"/>
        </w:rPr>
        <w:t>México,</w:t>
      </w:r>
      <w:r>
        <w:rPr>
          <w:spacing w:val="-28"/>
          <w:sz w:val="19"/>
        </w:rPr>
        <w:t> </w:t>
      </w:r>
      <w:r>
        <w:rPr>
          <w:sz w:val="19"/>
        </w:rPr>
        <w:t>2012</w:t>
      </w:r>
    </w:p>
    <w:p>
      <w:pPr>
        <w:pStyle w:val="BodyText"/>
        <w:spacing w:before="5"/>
        <w:rPr>
          <w:sz w:val="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23"/>
        <w:gridCol w:w="1154"/>
        <w:gridCol w:w="1002"/>
        <w:gridCol w:w="1042"/>
        <w:gridCol w:w="662"/>
      </w:tblGrid>
      <w:tr>
        <w:trPr>
          <w:trHeight w:val="451" w:hRule="exact"/>
        </w:trPr>
        <w:tc>
          <w:tcPr>
            <w:tcW w:w="1923" w:type="dxa"/>
            <w:tcBorders>
              <w:left w:val="nil"/>
              <w:right w:val="nil"/>
            </w:tcBorders>
          </w:tcPr>
          <w:p>
            <w:pPr/>
          </w:p>
        </w:tc>
        <w:tc>
          <w:tcPr>
            <w:tcW w:w="1154" w:type="dxa"/>
            <w:tcBorders>
              <w:left w:val="nil"/>
              <w:right w:val="nil"/>
            </w:tcBorders>
          </w:tcPr>
          <w:p>
            <w:pPr>
              <w:pStyle w:val="TableParagraph"/>
              <w:spacing w:line="216" w:lineRule="exact" w:before="6"/>
              <w:ind w:left="141" w:firstLine="175"/>
              <w:jc w:val="left"/>
              <w:rPr>
                <w:sz w:val="19"/>
              </w:rPr>
            </w:pPr>
            <w:r>
              <w:rPr>
                <w:w w:val="95"/>
                <w:sz w:val="19"/>
              </w:rPr>
              <w:t>Transable concentrado</w:t>
            </w:r>
          </w:p>
        </w:tc>
        <w:tc>
          <w:tcPr>
            <w:tcW w:w="1002" w:type="dxa"/>
            <w:tcBorders>
              <w:left w:val="nil"/>
              <w:right w:val="nil"/>
            </w:tcBorders>
          </w:tcPr>
          <w:p>
            <w:pPr>
              <w:pStyle w:val="TableParagraph"/>
              <w:spacing w:line="216" w:lineRule="exact" w:before="6"/>
              <w:ind w:left="205" w:right="45" w:firstLine="330"/>
              <w:jc w:val="left"/>
              <w:rPr>
                <w:sz w:val="19"/>
              </w:rPr>
            </w:pPr>
            <w:r>
              <w:rPr>
                <w:w w:val="95"/>
                <w:sz w:val="19"/>
              </w:rPr>
              <w:t>Otros transables</w:t>
            </w:r>
          </w:p>
        </w:tc>
        <w:tc>
          <w:tcPr>
            <w:tcW w:w="1042" w:type="dxa"/>
            <w:tcBorders>
              <w:left w:val="nil"/>
              <w:right w:val="nil"/>
            </w:tcBorders>
          </w:tcPr>
          <w:p>
            <w:pPr>
              <w:pStyle w:val="TableParagraph"/>
              <w:spacing w:line="216" w:lineRule="exact" w:before="6"/>
              <w:ind w:left="129" w:right="156" w:firstLine="516"/>
              <w:jc w:val="left"/>
              <w:rPr>
                <w:sz w:val="19"/>
              </w:rPr>
            </w:pPr>
            <w:r>
              <w:rPr>
                <w:w w:val="95"/>
                <w:sz w:val="19"/>
              </w:rPr>
              <w:t>No transables</w:t>
            </w:r>
          </w:p>
        </w:tc>
        <w:tc>
          <w:tcPr>
            <w:tcW w:w="662" w:type="dxa"/>
            <w:tcBorders>
              <w:left w:val="nil"/>
              <w:right w:val="nil"/>
            </w:tcBorders>
          </w:tcPr>
          <w:p>
            <w:pPr>
              <w:pStyle w:val="TableParagraph"/>
              <w:jc w:val="left"/>
              <w:rPr>
                <w:sz w:val="19"/>
              </w:rPr>
            </w:pPr>
          </w:p>
          <w:p>
            <w:pPr>
              <w:pStyle w:val="TableParagraph"/>
              <w:ind w:right="41"/>
              <w:rPr>
                <w:sz w:val="19"/>
              </w:rPr>
            </w:pPr>
            <w:r>
              <w:rPr>
                <w:w w:val="95"/>
                <w:sz w:val="19"/>
              </w:rPr>
              <w:t>Total</w:t>
            </w:r>
          </w:p>
        </w:tc>
      </w:tr>
      <w:tr>
        <w:trPr>
          <w:trHeight w:val="233" w:hRule="exact"/>
        </w:trPr>
        <w:tc>
          <w:tcPr>
            <w:tcW w:w="1923" w:type="dxa"/>
            <w:tcBorders>
              <w:left w:val="nil"/>
              <w:bottom w:val="nil"/>
              <w:right w:val="nil"/>
            </w:tcBorders>
          </w:tcPr>
          <w:p>
            <w:pPr>
              <w:pStyle w:val="TableParagraph"/>
              <w:spacing w:line="216" w:lineRule="exact"/>
              <w:ind w:left="4"/>
              <w:jc w:val="left"/>
              <w:rPr>
                <w:sz w:val="19"/>
              </w:rPr>
            </w:pPr>
            <w:r>
              <w:rPr>
                <w:sz w:val="19"/>
              </w:rPr>
              <w:t>Hombre (%)</w:t>
            </w:r>
          </w:p>
        </w:tc>
        <w:tc>
          <w:tcPr>
            <w:tcW w:w="1154" w:type="dxa"/>
            <w:tcBorders>
              <w:left w:val="nil"/>
              <w:bottom w:val="nil"/>
              <w:right w:val="nil"/>
            </w:tcBorders>
          </w:tcPr>
          <w:p>
            <w:pPr>
              <w:pStyle w:val="TableParagraph"/>
              <w:spacing w:line="216" w:lineRule="exact"/>
              <w:ind w:right="101"/>
              <w:rPr>
                <w:sz w:val="19"/>
              </w:rPr>
            </w:pPr>
            <w:r>
              <w:rPr>
                <w:w w:val="95"/>
                <w:sz w:val="19"/>
              </w:rPr>
              <w:t>78.49</w:t>
            </w:r>
          </w:p>
        </w:tc>
        <w:tc>
          <w:tcPr>
            <w:tcW w:w="1002" w:type="dxa"/>
            <w:tcBorders>
              <w:left w:val="nil"/>
              <w:bottom w:val="nil"/>
              <w:right w:val="nil"/>
            </w:tcBorders>
          </w:tcPr>
          <w:p>
            <w:pPr>
              <w:pStyle w:val="TableParagraph"/>
              <w:spacing w:line="216" w:lineRule="exact"/>
              <w:ind w:right="50"/>
              <w:rPr>
                <w:sz w:val="19"/>
              </w:rPr>
            </w:pPr>
            <w:r>
              <w:rPr>
                <w:w w:val="95"/>
                <w:sz w:val="19"/>
              </w:rPr>
              <w:t>63.77</w:t>
            </w:r>
          </w:p>
        </w:tc>
        <w:tc>
          <w:tcPr>
            <w:tcW w:w="1042" w:type="dxa"/>
            <w:tcBorders>
              <w:left w:val="nil"/>
              <w:bottom w:val="nil"/>
              <w:right w:val="nil"/>
            </w:tcBorders>
          </w:tcPr>
          <w:p>
            <w:pPr>
              <w:pStyle w:val="TableParagraph"/>
              <w:spacing w:line="216" w:lineRule="exact"/>
              <w:ind w:left="455"/>
              <w:jc w:val="left"/>
              <w:rPr>
                <w:sz w:val="19"/>
              </w:rPr>
            </w:pPr>
            <w:r>
              <w:rPr>
                <w:sz w:val="19"/>
              </w:rPr>
              <w:t>95.43</w:t>
            </w:r>
          </w:p>
        </w:tc>
        <w:tc>
          <w:tcPr>
            <w:tcW w:w="662" w:type="dxa"/>
            <w:tcBorders>
              <w:left w:val="nil"/>
              <w:bottom w:val="nil"/>
              <w:right w:val="nil"/>
            </w:tcBorders>
          </w:tcPr>
          <w:p>
            <w:pPr>
              <w:pStyle w:val="TableParagraph"/>
              <w:spacing w:line="216" w:lineRule="exact"/>
              <w:ind w:right="40"/>
              <w:rPr>
                <w:sz w:val="19"/>
              </w:rPr>
            </w:pPr>
            <w:r>
              <w:rPr>
                <w:w w:val="95"/>
                <w:sz w:val="19"/>
              </w:rPr>
              <w:t>78.67</w:t>
            </w:r>
          </w:p>
        </w:tc>
      </w:tr>
      <w:tr>
        <w:trPr>
          <w:trHeight w:val="221" w:hRule="exact"/>
        </w:trPr>
        <w:tc>
          <w:tcPr>
            <w:tcW w:w="1923" w:type="dxa"/>
            <w:tcBorders>
              <w:top w:val="nil"/>
              <w:left w:val="nil"/>
              <w:bottom w:val="nil"/>
              <w:right w:val="nil"/>
            </w:tcBorders>
          </w:tcPr>
          <w:p>
            <w:pPr/>
          </w:p>
        </w:tc>
        <w:tc>
          <w:tcPr>
            <w:tcW w:w="1154" w:type="dxa"/>
            <w:tcBorders>
              <w:top w:val="nil"/>
              <w:left w:val="nil"/>
              <w:bottom w:val="nil"/>
              <w:right w:val="nil"/>
            </w:tcBorders>
          </w:tcPr>
          <w:p>
            <w:pPr>
              <w:pStyle w:val="TableParagraph"/>
              <w:spacing w:line="209" w:lineRule="exact"/>
              <w:ind w:right="101"/>
              <w:rPr>
                <w:sz w:val="19"/>
              </w:rPr>
            </w:pPr>
            <w:r>
              <w:rPr>
                <w:w w:val="95"/>
                <w:sz w:val="19"/>
              </w:rPr>
              <w:t>(0.005)</w:t>
            </w:r>
          </w:p>
        </w:tc>
        <w:tc>
          <w:tcPr>
            <w:tcW w:w="1002" w:type="dxa"/>
            <w:tcBorders>
              <w:top w:val="nil"/>
              <w:left w:val="nil"/>
              <w:bottom w:val="nil"/>
              <w:right w:val="nil"/>
            </w:tcBorders>
          </w:tcPr>
          <w:p>
            <w:pPr>
              <w:pStyle w:val="TableParagraph"/>
              <w:spacing w:line="209" w:lineRule="exact"/>
              <w:ind w:right="50"/>
              <w:rPr>
                <w:sz w:val="19"/>
              </w:rPr>
            </w:pPr>
            <w:r>
              <w:rPr>
                <w:w w:val="95"/>
                <w:sz w:val="19"/>
              </w:rPr>
              <w:t>(0.006)</w:t>
            </w:r>
          </w:p>
        </w:tc>
        <w:tc>
          <w:tcPr>
            <w:tcW w:w="1042" w:type="dxa"/>
            <w:tcBorders>
              <w:top w:val="nil"/>
              <w:left w:val="nil"/>
              <w:bottom w:val="nil"/>
              <w:right w:val="nil"/>
            </w:tcBorders>
          </w:tcPr>
          <w:p>
            <w:pPr>
              <w:pStyle w:val="TableParagraph"/>
              <w:spacing w:line="209" w:lineRule="exact"/>
              <w:ind w:left="331"/>
              <w:jc w:val="left"/>
              <w:rPr>
                <w:sz w:val="19"/>
              </w:rPr>
            </w:pPr>
            <w:r>
              <w:rPr>
                <w:sz w:val="19"/>
              </w:rPr>
              <w:t>(0.003)</w:t>
            </w:r>
          </w:p>
        </w:tc>
        <w:tc>
          <w:tcPr>
            <w:tcW w:w="662" w:type="dxa"/>
            <w:tcBorders>
              <w:top w:val="nil"/>
              <w:left w:val="nil"/>
              <w:bottom w:val="nil"/>
              <w:right w:val="nil"/>
            </w:tcBorders>
          </w:tcPr>
          <w:p>
            <w:pPr>
              <w:pStyle w:val="TableParagraph"/>
              <w:spacing w:line="209" w:lineRule="exact"/>
              <w:ind w:right="39"/>
              <w:rPr>
                <w:sz w:val="19"/>
              </w:rPr>
            </w:pPr>
            <w:r>
              <w:rPr>
                <w:w w:val="95"/>
                <w:sz w:val="19"/>
              </w:rPr>
              <w:t>(0.003)</w:t>
            </w:r>
          </w:p>
        </w:tc>
      </w:tr>
      <w:tr>
        <w:trPr>
          <w:trHeight w:val="221" w:hRule="exact"/>
        </w:trPr>
        <w:tc>
          <w:tcPr>
            <w:tcW w:w="1923" w:type="dxa"/>
            <w:tcBorders>
              <w:top w:val="nil"/>
              <w:left w:val="nil"/>
              <w:bottom w:val="nil"/>
              <w:right w:val="nil"/>
            </w:tcBorders>
          </w:tcPr>
          <w:p>
            <w:pPr>
              <w:pStyle w:val="TableParagraph"/>
              <w:spacing w:line="209" w:lineRule="exact"/>
              <w:ind w:left="4"/>
              <w:jc w:val="left"/>
              <w:rPr>
                <w:sz w:val="19"/>
              </w:rPr>
            </w:pPr>
            <w:r>
              <w:rPr>
                <w:sz w:val="19"/>
              </w:rPr>
              <w:t>Mujer (%)</w:t>
            </w:r>
          </w:p>
        </w:tc>
        <w:tc>
          <w:tcPr>
            <w:tcW w:w="1154" w:type="dxa"/>
            <w:tcBorders>
              <w:top w:val="nil"/>
              <w:left w:val="nil"/>
              <w:bottom w:val="nil"/>
              <w:right w:val="nil"/>
            </w:tcBorders>
          </w:tcPr>
          <w:p>
            <w:pPr>
              <w:pStyle w:val="TableParagraph"/>
              <w:spacing w:line="209" w:lineRule="exact"/>
              <w:ind w:right="101"/>
              <w:rPr>
                <w:sz w:val="19"/>
              </w:rPr>
            </w:pPr>
            <w:r>
              <w:rPr>
                <w:w w:val="95"/>
                <w:sz w:val="19"/>
              </w:rPr>
              <w:t>21.51</w:t>
            </w:r>
          </w:p>
        </w:tc>
        <w:tc>
          <w:tcPr>
            <w:tcW w:w="1002" w:type="dxa"/>
            <w:tcBorders>
              <w:top w:val="nil"/>
              <w:left w:val="nil"/>
              <w:bottom w:val="nil"/>
              <w:right w:val="nil"/>
            </w:tcBorders>
          </w:tcPr>
          <w:p>
            <w:pPr>
              <w:pStyle w:val="TableParagraph"/>
              <w:spacing w:line="209" w:lineRule="exact"/>
              <w:ind w:right="50"/>
              <w:rPr>
                <w:sz w:val="19"/>
              </w:rPr>
            </w:pPr>
            <w:r>
              <w:rPr>
                <w:w w:val="95"/>
                <w:sz w:val="19"/>
              </w:rPr>
              <w:t>36.23</w:t>
            </w:r>
          </w:p>
        </w:tc>
        <w:tc>
          <w:tcPr>
            <w:tcW w:w="1042" w:type="dxa"/>
            <w:tcBorders>
              <w:top w:val="nil"/>
              <w:left w:val="nil"/>
              <w:bottom w:val="nil"/>
              <w:right w:val="nil"/>
            </w:tcBorders>
          </w:tcPr>
          <w:p>
            <w:pPr>
              <w:pStyle w:val="TableParagraph"/>
              <w:spacing w:line="209" w:lineRule="exact"/>
              <w:ind w:left="548"/>
              <w:jc w:val="left"/>
              <w:rPr>
                <w:sz w:val="19"/>
              </w:rPr>
            </w:pPr>
            <w:r>
              <w:rPr>
                <w:sz w:val="19"/>
              </w:rPr>
              <w:t>4.57</w:t>
            </w:r>
          </w:p>
        </w:tc>
        <w:tc>
          <w:tcPr>
            <w:tcW w:w="662" w:type="dxa"/>
            <w:tcBorders>
              <w:top w:val="nil"/>
              <w:left w:val="nil"/>
              <w:bottom w:val="nil"/>
              <w:right w:val="nil"/>
            </w:tcBorders>
          </w:tcPr>
          <w:p>
            <w:pPr>
              <w:pStyle w:val="TableParagraph"/>
              <w:spacing w:line="209" w:lineRule="exact"/>
              <w:ind w:right="40"/>
              <w:rPr>
                <w:sz w:val="19"/>
              </w:rPr>
            </w:pPr>
            <w:r>
              <w:rPr>
                <w:w w:val="95"/>
                <w:sz w:val="19"/>
              </w:rPr>
              <w:t>21.33</w:t>
            </w:r>
          </w:p>
        </w:tc>
      </w:tr>
      <w:tr>
        <w:trPr>
          <w:trHeight w:val="223" w:hRule="exact"/>
        </w:trPr>
        <w:tc>
          <w:tcPr>
            <w:tcW w:w="1923" w:type="dxa"/>
            <w:tcBorders>
              <w:top w:val="nil"/>
              <w:left w:val="nil"/>
              <w:bottom w:val="nil"/>
              <w:right w:val="nil"/>
            </w:tcBorders>
          </w:tcPr>
          <w:p>
            <w:pPr/>
          </w:p>
        </w:tc>
        <w:tc>
          <w:tcPr>
            <w:tcW w:w="1154" w:type="dxa"/>
            <w:tcBorders>
              <w:top w:val="nil"/>
              <w:left w:val="nil"/>
              <w:bottom w:val="nil"/>
              <w:right w:val="nil"/>
            </w:tcBorders>
          </w:tcPr>
          <w:p>
            <w:pPr>
              <w:pStyle w:val="TableParagraph"/>
              <w:spacing w:line="209" w:lineRule="exact"/>
              <w:ind w:right="101"/>
              <w:rPr>
                <w:sz w:val="19"/>
              </w:rPr>
            </w:pPr>
            <w:r>
              <w:rPr>
                <w:w w:val="95"/>
                <w:sz w:val="19"/>
              </w:rPr>
              <w:t>(0.005)</w:t>
            </w:r>
          </w:p>
        </w:tc>
        <w:tc>
          <w:tcPr>
            <w:tcW w:w="1002" w:type="dxa"/>
            <w:tcBorders>
              <w:top w:val="nil"/>
              <w:left w:val="nil"/>
              <w:bottom w:val="nil"/>
              <w:right w:val="nil"/>
            </w:tcBorders>
          </w:tcPr>
          <w:p>
            <w:pPr>
              <w:pStyle w:val="TableParagraph"/>
              <w:spacing w:line="209" w:lineRule="exact"/>
              <w:ind w:right="50"/>
              <w:rPr>
                <w:sz w:val="19"/>
              </w:rPr>
            </w:pPr>
            <w:r>
              <w:rPr>
                <w:w w:val="95"/>
                <w:sz w:val="19"/>
              </w:rPr>
              <w:t>(0.006)</w:t>
            </w:r>
          </w:p>
        </w:tc>
        <w:tc>
          <w:tcPr>
            <w:tcW w:w="1042" w:type="dxa"/>
            <w:tcBorders>
              <w:top w:val="nil"/>
              <w:left w:val="nil"/>
              <w:bottom w:val="nil"/>
              <w:right w:val="nil"/>
            </w:tcBorders>
          </w:tcPr>
          <w:p>
            <w:pPr>
              <w:pStyle w:val="TableParagraph"/>
              <w:spacing w:line="209" w:lineRule="exact"/>
              <w:ind w:left="331"/>
              <w:jc w:val="left"/>
              <w:rPr>
                <w:sz w:val="19"/>
              </w:rPr>
            </w:pPr>
            <w:r>
              <w:rPr>
                <w:sz w:val="19"/>
              </w:rPr>
              <w:t>(0.003)</w:t>
            </w:r>
          </w:p>
        </w:tc>
        <w:tc>
          <w:tcPr>
            <w:tcW w:w="662" w:type="dxa"/>
            <w:tcBorders>
              <w:top w:val="nil"/>
              <w:left w:val="nil"/>
              <w:bottom w:val="nil"/>
              <w:right w:val="nil"/>
            </w:tcBorders>
          </w:tcPr>
          <w:p>
            <w:pPr>
              <w:pStyle w:val="TableParagraph"/>
              <w:spacing w:line="209" w:lineRule="exact"/>
              <w:ind w:right="39"/>
              <w:rPr>
                <w:sz w:val="19"/>
              </w:rPr>
            </w:pPr>
            <w:r>
              <w:rPr>
                <w:w w:val="95"/>
                <w:sz w:val="19"/>
              </w:rPr>
              <w:t>(0.003)</w:t>
            </w:r>
          </w:p>
        </w:tc>
      </w:tr>
      <w:tr>
        <w:trPr>
          <w:trHeight w:val="224" w:hRule="exact"/>
        </w:trPr>
        <w:tc>
          <w:tcPr>
            <w:tcW w:w="1923" w:type="dxa"/>
            <w:tcBorders>
              <w:top w:val="nil"/>
              <w:left w:val="nil"/>
              <w:bottom w:val="nil"/>
              <w:right w:val="nil"/>
            </w:tcBorders>
          </w:tcPr>
          <w:p>
            <w:pPr>
              <w:pStyle w:val="TableParagraph"/>
              <w:spacing w:line="213" w:lineRule="exact"/>
              <w:ind w:left="4"/>
              <w:jc w:val="left"/>
              <w:rPr>
                <w:i/>
                <w:sz w:val="19"/>
              </w:rPr>
            </w:pPr>
            <w:r>
              <w:rPr>
                <w:spacing w:val="2"/>
                <w:w w:val="96"/>
                <w:sz w:val="19"/>
              </w:rPr>
              <w:t>A</w:t>
            </w:r>
            <w:r>
              <w:rPr>
                <w:spacing w:val="1"/>
                <w:w w:val="96"/>
                <w:sz w:val="19"/>
              </w:rPr>
              <w:t>ño</w:t>
            </w:r>
            <w:r>
              <w:rPr>
                <w:w w:val="96"/>
                <w:sz w:val="19"/>
              </w:rPr>
              <w:t>s</w:t>
            </w:r>
            <w:r>
              <w:rPr>
                <w:sz w:val="19"/>
              </w:rPr>
              <w:t> </w:t>
            </w:r>
            <w:r>
              <w:rPr>
                <w:spacing w:val="1"/>
                <w:w w:val="96"/>
                <w:sz w:val="19"/>
              </w:rPr>
              <w:t>d</w:t>
            </w:r>
            <w:r>
              <w:rPr>
                <w:w w:val="96"/>
                <w:sz w:val="19"/>
              </w:rPr>
              <w:t>e</w:t>
            </w:r>
            <w:r>
              <w:rPr>
                <w:sz w:val="19"/>
              </w:rPr>
              <w:t> </w:t>
            </w:r>
            <w:r>
              <w:rPr>
                <w:spacing w:val="1"/>
                <w:w w:val="96"/>
                <w:sz w:val="19"/>
              </w:rPr>
              <w:t>esco</w:t>
            </w:r>
            <w:r>
              <w:rPr>
                <w:w w:val="96"/>
                <w:sz w:val="19"/>
              </w:rPr>
              <w:t>l</w:t>
            </w:r>
            <w:r>
              <w:rPr>
                <w:spacing w:val="1"/>
                <w:w w:val="96"/>
                <w:sz w:val="19"/>
              </w:rPr>
              <w:t>ar</w:t>
            </w:r>
            <w:r>
              <w:rPr>
                <w:w w:val="96"/>
                <w:sz w:val="19"/>
              </w:rPr>
              <w:t>i</w:t>
            </w:r>
            <w:r>
              <w:rPr>
                <w:spacing w:val="1"/>
                <w:w w:val="96"/>
                <w:sz w:val="19"/>
              </w:rPr>
              <w:t>da</w:t>
            </w:r>
            <w:r>
              <w:rPr>
                <w:w w:val="96"/>
                <w:sz w:val="19"/>
              </w:rPr>
              <w:t>d</w:t>
            </w:r>
            <w:r>
              <w:rPr>
                <w:sz w:val="19"/>
              </w:rPr>
              <w:t> </w:t>
            </w:r>
            <w:r>
              <w:rPr>
                <w:i/>
                <w:w w:val="96"/>
                <w:sz w:val="19"/>
              </w:rPr>
              <w:t>(</w:t>
            </w:r>
            <w:r>
              <w:rPr>
                <w:rFonts w:ascii="Cambria Math" w:hAnsi="Cambria Math" w:eastAsia="Cambria Math"/>
                <w:w w:val="48"/>
                <w:sz w:val="19"/>
              </w:rPr>
              <w:t>𝑥</w:t>
            </w:r>
            <w:r>
              <w:rPr>
                <w:rFonts w:ascii="Cambria Math" w:hAnsi="Cambria Math" w:eastAsia="Cambria Math"/>
                <w:spacing w:val="7"/>
                <w:w w:val="48"/>
                <w:sz w:val="19"/>
              </w:rPr>
              <w:t>𝑥</w:t>
            </w:r>
            <w:r>
              <w:rPr>
                <w:i/>
                <w:w w:val="96"/>
                <w:sz w:val="19"/>
              </w:rPr>
              <w:t>)</w:t>
            </w:r>
          </w:p>
        </w:tc>
        <w:tc>
          <w:tcPr>
            <w:tcW w:w="1154" w:type="dxa"/>
            <w:tcBorders>
              <w:top w:val="nil"/>
              <w:left w:val="nil"/>
              <w:bottom w:val="nil"/>
              <w:right w:val="nil"/>
            </w:tcBorders>
          </w:tcPr>
          <w:p>
            <w:pPr>
              <w:pStyle w:val="TableParagraph"/>
              <w:spacing w:line="212" w:lineRule="exact"/>
              <w:ind w:right="101"/>
              <w:rPr>
                <w:sz w:val="19"/>
              </w:rPr>
            </w:pPr>
            <w:r>
              <w:rPr>
                <w:w w:val="95"/>
                <w:sz w:val="19"/>
              </w:rPr>
              <w:t>7.715</w:t>
            </w:r>
          </w:p>
        </w:tc>
        <w:tc>
          <w:tcPr>
            <w:tcW w:w="1002" w:type="dxa"/>
            <w:tcBorders>
              <w:top w:val="nil"/>
              <w:left w:val="nil"/>
              <w:bottom w:val="nil"/>
              <w:right w:val="nil"/>
            </w:tcBorders>
          </w:tcPr>
          <w:p>
            <w:pPr>
              <w:pStyle w:val="TableParagraph"/>
              <w:spacing w:line="212" w:lineRule="exact"/>
              <w:ind w:right="50"/>
              <w:rPr>
                <w:sz w:val="19"/>
              </w:rPr>
            </w:pPr>
            <w:r>
              <w:rPr>
                <w:w w:val="95"/>
                <w:sz w:val="19"/>
              </w:rPr>
              <w:t>8.966</w:t>
            </w:r>
          </w:p>
        </w:tc>
        <w:tc>
          <w:tcPr>
            <w:tcW w:w="1042" w:type="dxa"/>
            <w:tcBorders>
              <w:top w:val="nil"/>
              <w:left w:val="nil"/>
              <w:bottom w:val="nil"/>
              <w:right w:val="nil"/>
            </w:tcBorders>
          </w:tcPr>
          <w:p>
            <w:pPr>
              <w:pStyle w:val="TableParagraph"/>
              <w:spacing w:line="212" w:lineRule="exact"/>
              <w:ind w:left="455"/>
              <w:jc w:val="left"/>
              <w:rPr>
                <w:sz w:val="19"/>
              </w:rPr>
            </w:pPr>
            <w:r>
              <w:rPr>
                <w:sz w:val="19"/>
              </w:rPr>
              <w:t>7.854</w:t>
            </w:r>
          </w:p>
        </w:tc>
        <w:tc>
          <w:tcPr>
            <w:tcW w:w="662" w:type="dxa"/>
            <w:tcBorders>
              <w:top w:val="nil"/>
              <w:left w:val="nil"/>
              <w:bottom w:val="nil"/>
              <w:right w:val="nil"/>
            </w:tcBorders>
          </w:tcPr>
          <w:p>
            <w:pPr>
              <w:pStyle w:val="TableParagraph"/>
              <w:spacing w:line="212" w:lineRule="exact"/>
              <w:ind w:right="40"/>
              <w:rPr>
                <w:sz w:val="19"/>
              </w:rPr>
            </w:pPr>
            <w:r>
              <w:rPr>
                <w:w w:val="95"/>
                <w:sz w:val="19"/>
              </w:rPr>
              <w:t>8.146</w:t>
            </w:r>
          </w:p>
        </w:tc>
      </w:tr>
      <w:tr>
        <w:trPr>
          <w:trHeight w:val="221" w:hRule="exact"/>
        </w:trPr>
        <w:tc>
          <w:tcPr>
            <w:tcW w:w="1923" w:type="dxa"/>
            <w:tcBorders>
              <w:top w:val="nil"/>
              <w:left w:val="nil"/>
              <w:bottom w:val="nil"/>
              <w:right w:val="nil"/>
            </w:tcBorders>
          </w:tcPr>
          <w:p>
            <w:pPr/>
          </w:p>
        </w:tc>
        <w:tc>
          <w:tcPr>
            <w:tcW w:w="1154" w:type="dxa"/>
            <w:tcBorders>
              <w:top w:val="nil"/>
              <w:left w:val="nil"/>
              <w:bottom w:val="nil"/>
              <w:right w:val="nil"/>
            </w:tcBorders>
          </w:tcPr>
          <w:p>
            <w:pPr>
              <w:pStyle w:val="TableParagraph"/>
              <w:spacing w:line="209" w:lineRule="exact"/>
              <w:ind w:right="101"/>
              <w:rPr>
                <w:sz w:val="19"/>
              </w:rPr>
            </w:pPr>
            <w:r>
              <w:rPr>
                <w:w w:val="95"/>
                <w:sz w:val="19"/>
              </w:rPr>
              <w:t>(0.050)</w:t>
            </w:r>
          </w:p>
        </w:tc>
        <w:tc>
          <w:tcPr>
            <w:tcW w:w="1002" w:type="dxa"/>
            <w:tcBorders>
              <w:top w:val="nil"/>
              <w:left w:val="nil"/>
              <w:bottom w:val="nil"/>
              <w:right w:val="nil"/>
            </w:tcBorders>
          </w:tcPr>
          <w:p>
            <w:pPr>
              <w:pStyle w:val="TableParagraph"/>
              <w:spacing w:line="209" w:lineRule="exact"/>
              <w:ind w:right="50"/>
              <w:rPr>
                <w:sz w:val="19"/>
              </w:rPr>
            </w:pPr>
            <w:r>
              <w:rPr>
                <w:w w:val="95"/>
                <w:sz w:val="19"/>
              </w:rPr>
              <w:t>(0.051)</w:t>
            </w:r>
          </w:p>
        </w:tc>
        <w:tc>
          <w:tcPr>
            <w:tcW w:w="1042" w:type="dxa"/>
            <w:tcBorders>
              <w:top w:val="nil"/>
              <w:left w:val="nil"/>
              <w:bottom w:val="nil"/>
              <w:right w:val="nil"/>
            </w:tcBorders>
          </w:tcPr>
          <w:p>
            <w:pPr>
              <w:pStyle w:val="TableParagraph"/>
              <w:spacing w:line="209" w:lineRule="exact"/>
              <w:ind w:left="331"/>
              <w:jc w:val="left"/>
              <w:rPr>
                <w:sz w:val="19"/>
              </w:rPr>
            </w:pPr>
            <w:r>
              <w:rPr>
                <w:sz w:val="19"/>
              </w:rPr>
              <w:t>(0.053)</w:t>
            </w:r>
          </w:p>
        </w:tc>
        <w:tc>
          <w:tcPr>
            <w:tcW w:w="662" w:type="dxa"/>
            <w:tcBorders>
              <w:top w:val="nil"/>
              <w:left w:val="nil"/>
              <w:bottom w:val="nil"/>
              <w:right w:val="nil"/>
            </w:tcBorders>
          </w:tcPr>
          <w:p>
            <w:pPr>
              <w:pStyle w:val="TableParagraph"/>
              <w:spacing w:line="209" w:lineRule="exact"/>
              <w:ind w:right="39"/>
              <w:rPr>
                <w:sz w:val="19"/>
              </w:rPr>
            </w:pPr>
            <w:r>
              <w:rPr>
                <w:w w:val="95"/>
                <w:sz w:val="19"/>
              </w:rPr>
              <w:t>(0.030)</w:t>
            </w:r>
          </w:p>
        </w:tc>
      </w:tr>
      <w:tr>
        <w:trPr>
          <w:trHeight w:val="226" w:hRule="exact"/>
        </w:trPr>
        <w:tc>
          <w:tcPr>
            <w:tcW w:w="1923" w:type="dxa"/>
            <w:tcBorders>
              <w:top w:val="nil"/>
              <w:left w:val="nil"/>
              <w:bottom w:val="nil"/>
              <w:right w:val="nil"/>
            </w:tcBorders>
          </w:tcPr>
          <w:p>
            <w:pPr>
              <w:pStyle w:val="TableParagraph"/>
              <w:spacing w:line="215" w:lineRule="exact"/>
              <w:ind w:left="4"/>
              <w:jc w:val="left"/>
              <w:rPr>
                <w:i/>
                <w:sz w:val="19"/>
              </w:rPr>
            </w:pPr>
            <w:r>
              <w:rPr>
                <w:spacing w:val="1"/>
                <w:w w:val="96"/>
                <w:sz w:val="19"/>
              </w:rPr>
              <w:t>Eda</w:t>
            </w:r>
            <w:r>
              <w:rPr>
                <w:w w:val="96"/>
                <w:sz w:val="19"/>
              </w:rPr>
              <w:t>d</w:t>
            </w:r>
            <w:r>
              <w:rPr>
                <w:sz w:val="19"/>
              </w:rPr>
              <w:t> </w:t>
            </w:r>
            <w:r>
              <w:rPr>
                <w:i/>
                <w:w w:val="96"/>
                <w:sz w:val="19"/>
              </w:rPr>
              <w:t>(</w:t>
            </w:r>
            <w:r>
              <w:rPr>
                <w:rFonts w:ascii="Cambria Math" w:eastAsia="Cambria Math"/>
                <w:w w:val="48"/>
                <w:sz w:val="19"/>
              </w:rPr>
              <w:t>𝑥</w:t>
            </w:r>
            <w:r>
              <w:rPr>
                <w:rFonts w:ascii="Cambria Math" w:eastAsia="Cambria Math"/>
                <w:spacing w:val="7"/>
                <w:w w:val="48"/>
                <w:sz w:val="19"/>
              </w:rPr>
              <w:t>𝑥</w:t>
            </w:r>
            <w:r>
              <w:rPr>
                <w:i/>
                <w:w w:val="96"/>
                <w:sz w:val="19"/>
              </w:rPr>
              <w:t>)</w:t>
            </w:r>
          </w:p>
        </w:tc>
        <w:tc>
          <w:tcPr>
            <w:tcW w:w="1154" w:type="dxa"/>
            <w:tcBorders>
              <w:top w:val="nil"/>
              <w:left w:val="nil"/>
              <w:bottom w:val="nil"/>
              <w:right w:val="nil"/>
            </w:tcBorders>
          </w:tcPr>
          <w:p>
            <w:pPr>
              <w:pStyle w:val="TableParagraph"/>
              <w:spacing w:line="209" w:lineRule="exact"/>
              <w:ind w:right="103"/>
              <w:rPr>
                <w:sz w:val="19"/>
              </w:rPr>
            </w:pPr>
            <w:r>
              <w:rPr>
                <w:w w:val="95"/>
                <w:sz w:val="19"/>
              </w:rPr>
              <w:t>36.467</w:t>
            </w:r>
          </w:p>
        </w:tc>
        <w:tc>
          <w:tcPr>
            <w:tcW w:w="1002" w:type="dxa"/>
            <w:tcBorders>
              <w:top w:val="nil"/>
              <w:left w:val="nil"/>
              <w:bottom w:val="nil"/>
              <w:right w:val="nil"/>
            </w:tcBorders>
          </w:tcPr>
          <w:p>
            <w:pPr>
              <w:pStyle w:val="TableParagraph"/>
              <w:spacing w:line="209" w:lineRule="exact"/>
              <w:ind w:right="50"/>
              <w:rPr>
                <w:sz w:val="19"/>
              </w:rPr>
            </w:pPr>
            <w:r>
              <w:rPr>
                <w:w w:val="95"/>
                <w:sz w:val="19"/>
              </w:rPr>
              <w:t>36.597</w:t>
            </w:r>
          </w:p>
        </w:tc>
        <w:tc>
          <w:tcPr>
            <w:tcW w:w="1042" w:type="dxa"/>
            <w:tcBorders>
              <w:top w:val="nil"/>
              <w:left w:val="nil"/>
              <w:bottom w:val="nil"/>
              <w:right w:val="nil"/>
            </w:tcBorders>
          </w:tcPr>
          <w:p>
            <w:pPr>
              <w:pStyle w:val="TableParagraph"/>
              <w:spacing w:line="209" w:lineRule="exact"/>
              <w:ind w:left="362"/>
              <w:jc w:val="left"/>
              <w:rPr>
                <w:sz w:val="19"/>
              </w:rPr>
            </w:pPr>
            <w:r>
              <w:rPr>
                <w:sz w:val="19"/>
              </w:rPr>
              <w:t>36.863</w:t>
            </w:r>
          </w:p>
        </w:tc>
        <w:tc>
          <w:tcPr>
            <w:tcW w:w="662" w:type="dxa"/>
            <w:tcBorders>
              <w:top w:val="nil"/>
              <w:left w:val="nil"/>
              <w:bottom w:val="nil"/>
              <w:right w:val="nil"/>
            </w:tcBorders>
          </w:tcPr>
          <w:p>
            <w:pPr>
              <w:pStyle w:val="TableParagraph"/>
              <w:spacing w:line="214" w:lineRule="exact"/>
              <w:ind w:right="40"/>
              <w:rPr>
                <w:sz w:val="19"/>
              </w:rPr>
            </w:pPr>
            <w:r>
              <w:rPr>
                <w:w w:val="95"/>
                <w:sz w:val="19"/>
              </w:rPr>
              <w:t>36.620</w:t>
            </w:r>
          </w:p>
        </w:tc>
      </w:tr>
      <w:tr>
        <w:trPr>
          <w:trHeight w:val="221" w:hRule="exact"/>
        </w:trPr>
        <w:tc>
          <w:tcPr>
            <w:tcW w:w="1923" w:type="dxa"/>
            <w:tcBorders>
              <w:top w:val="nil"/>
              <w:left w:val="nil"/>
              <w:bottom w:val="nil"/>
              <w:right w:val="nil"/>
            </w:tcBorders>
          </w:tcPr>
          <w:p>
            <w:pPr/>
          </w:p>
        </w:tc>
        <w:tc>
          <w:tcPr>
            <w:tcW w:w="1154" w:type="dxa"/>
            <w:tcBorders>
              <w:top w:val="nil"/>
              <w:left w:val="nil"/>
              <w:bottom w:val="nil"/>
              <w:right w:val="nil"/>
            </w:tcBorders>
          </w:tcPr>
          <w:p>
            <w:pPr>
              <w:pStyle w:val="TableParagraph"/>
              <w:spacing w:line="209" w:lineRule="exact"/>
              <w:ind w:right="101"/>
              <w:rPr>
                <w:sz w:val="19"/>
              </w:rPr>
            </w:pPr>
            <w:r>
              <w:rPr>
                <w:w w:val="95"/>
                <w:sz w:val="19"/>
              </w:rPr>
              <w:t>(0.162)</w:t>
            </w:r>
          </w:p>
        </w:tc>
        <w:tc>
          <w:tcPr>
            <w:tcW w:w="1002" w:type="dxa"/>
            <w:tcBorders>
              <w:top w:val="nil"/>
              <w:left w:val="nil"/>
              <w:bottom w:val="nil"/>
              <w:right w:val="nil"/>
            </w:tcBorders>
          </w:tcPr>
          <w:p>
            <w:pPr>
              <w:pStyle w:val="TableParagraph"/>
              <w:spacing w:line="209" w:lineRule="exact"/>
              <w:ind w:right="50"/>
              <w:rPr>
                <w:sz w:val="19"/>
              </w:rPr>
            </w:pPr>
            <w:r>
              <w:rPr>
                <w:w w:val="95"/>
                <w:sz w:val="19"/>
              </w:rPr>
              <w:t>(0.179)</w:t>
            </w:r>
          </w:p>
        </w:tc>
        <w:tc>
          <w:tcPr>
            <w:tcW w:w="1042" w:type="dxa"/>
            <w:tcBorders>
              <w:top w:val="nil"/>
              <w:left w:val="nil"/>
              <w:bottom w:val="nil"/>
              <w:right w:val="nil"/>
            </w:tcBorders>
          </w:tcPr>
          <w:p>
            <w:pPr>
              <w:pStyle w:val="TableParagraph"/>
              <w:spacing w:line="209" w:lineRule="exact"/>
              <w:ind w:left="331"/>
              <w:jc w:val="left"/>
              <w:rPr>
                <w:sz w:val="19"/>
              </w:rPr>
            </w:pPr>
            <w:r>
              <w:rPr>
                <w:sz w:val="19"/>
              </w:rPr>
              <w:t>(0.188)</w:t>
            </w:r>
          </w:p>
        </w:tc>
        <w:tc>
          <w:tcPr>
            <w:tcW w:w="662" w:type="dxa"/>
            <w:tcBorders>
              <w:top w:val="nil"/>
              <w:left w:val="nil"/>
              <w:bottom w:val="nil"/>
              <w:right w:val="nil"/>
            </w:tcBorders>
          </w:tcPr>
          <w:p>
            <w:pPr>
              <w:pStyle w:val="TableParagraph"/>
              <w:spacing w:line="209" w:lineRule="exact"/>
              <w:ind w:right="39"/>
              <w:rPr>
                <w:sz w:val="19"/>
              </w:rPr>
            </w:pPr>
            <w:r>
              <w:rPr>
                <w:w w:val="95"/>
                <w:sz w:val="19"/>
              </w:rPr>
              <w:t>(0.101)</w:t>
            </w:r>
          </w:p>
        </w:tc>
      </w:tr>
      <w:tr>
        <w:trPr>
          <w:trHeight w:val="223" w:hRule="exact"/>
        </w:trPr>
        <w:tc>
          <w:tcPr>
            <w:tcW w:w="1923" w:type="dxa"/>
            <w:tcBorders>
              <w:top w:val="nil"/>
              <w:left w:val="nil"/>
              <w:bottom w:val="nil"/>
              <w:right w:val="nil"/>
            </w:tcBorders>
          </w:tcPr>
          <w:p>
            <w:pPr>
              <w:pStyle w:val="TableParagraph"/>
              <w:spacing w:line="215" w:lineRule="exact"/>
              <w:ind w:left="4"/>
              <w:jc w:val="left"/>
              <w:rPr>
                <w:i/>
                <w:sz w:val="19"/>
              </w:rPr>
            </w:pPr>
            <w:r>
              <w:rPr>
                <w:w w:val="96"/>
                <w:sz w:val="19"/>
              </w:rPr>
              <w:t>I</w:t>
            </w:r>
            <w:r>
              <w:rPr>
                <w:spacing w:val="1"/>
                <w:w w:val="96"/>
                <w:sz w:val="19"/>
              </w:rPr>
              <w:t>ng</w:t>
            </w:r>
            <w:r>
              <w:rPr>
                <w:w w:val="96"/>
                <w:sz w:val="19"/>
              </w:rPr>
              <w:t>r</w:t>
            </w:r>
            <w:r>
              <w:rPr>
                <w:spacing w:val="1"/>
                <w:w w:val="96"/>
                <w:sz w:val="19"/>
              </w:rPr>
              <w:t>es</w:t>
            </w:r>
            <w:r>
              <w:rPr>
                <w:w w:val="96"/>
                <w:sz w:val="19"/>
              </w:rPr>
              <w:t>o</w:t>
            </w:r>
            <w:r>
              <w:rPr>
                <w:sz w:val="19"/>
              </w:rPr>
              <w:t> </w:t>
            </w:r>
            <w:r>
              <w:rPr>
                <w:spacing w:val="1"/>
                <w:w w:val="96"/>
                <w:sz w:val="19"/>
              </w:rPr>
              <w:t>po</w:t>
            </w:r>
            <w:r>
              <w:rPr>
                <w:w w:val="96"/>
                <w:sz w:val="19"/>
              </w:rPr>
              <w:t>r</w:t>
            </w:r>
            <w:r>
              <w:rPr>
                <w:spacing w:val="-1"/>
                <w:sz w:val="19"/>
              </w:rPr>
              <w:t> </w:t>
            </w:r>
            <w:r>
              <w:rPr>
                <w:spacing w:val="1"/>
                <w:w w:val="96"/>
                <w:sz w:val="19"/>
              </w:rPr>
              <w:t>ho</w:t>
            </w:r>
            <w:r>
              <w:rPr>
                <w:w w:val="96"/>
                <w:sz w:val="19"/>
              </w:rPr>
              <w:t>ra</w:t>
            </w:r>
            <w:r>
              <w:rPr>
                <w:sz w:val="19"/>
              </w:rPr>
              <w:t> </w:t>
            </w:r>
            <w:r>
              <w:rPr>
                <w:i/>
                <w:w w:val="96"/>
                <w:sz w:val="19"/>
              </w:rPr>
              <w:t>(</w:t>
            </w:r>
            <w:r>
              <w:rPr>
                <w:rFonts w:ascii="Cambria Math" w:eastAsia="Cambria Math"/>
                <w:w w:val="48"/>
                <w:sz w:val="19"/>
              </w:rPr>
              <w:t>𝑥</w:t>
            </w:r>
            <w:r>
              <w:rPr>
                <w:rFonts w:ascii="Cambria Math" w:eastAsia="Cambria Math"/>
                <w:spacing w:val="7"/>
                <w:w w:val="48"/>
                <w:sz w:val="19"/>
              </w:rPr>
              <w:t>𝑥</w:t>
            </w:r>
            <w:r>
              <w:rPr>
                <w:i/>
                <w:w w:val="96"/>
                <w:sz w:val="19"/>
              </w:rPr>
              <w:t>)</w:t>
            </w:r>
          </w:p>
        </w:tc>
        <w:tc>
          <w:tcPr>
            <w:tcW w:w="1154" w:type="dxa"/>
            <w:tcBorders>
              <w:top w:val="nil"/>
              <w:left w:val="nil"/>
              <w:bottom w:val="nil"/>
              <w:right w:val="nil"/>
            </w:tcBorders>
          </w:tcPr>
          <w:p>
            <w:pPr>
              <w:pStyle w:val="TableParagraph"/>
              <w:spacing w:line="209" w:lineRule="exact"/>
              <w:ind w:right="101"/>
              <w:rPr>
                <w:sz w:val="19"/>
              </w:rPr>
            </w:pPr>
            <w:r>
              <w:rPr>
                <w:w w:val="95"/>
                <w:sz w:val="19"/>
              </w:rPr>
              <w:t>2.724</w:t>
            </w:r>
          </w:p>
        </w:tc>
        <w:tc>
          <w:tcPr>
            <w:tcW w:w="1002" w:type="dxa"/>
            <w:tcBorders>
              <w:top w:val="nil"/>
              <w:left w:val="nil"/>
              <w:bottom w:val="nil"/>
              <w:right w:val="nil"/>
            </w:tcBorders>
          </w:tcPr>
          <w:p>
            <w:pPr>
              <w:pStyle w:val="TableParagraph"/>
              <w:spacing w:line="209" w:lineRule="exact"/>
              <w:ind w:right="50"/>
              <w:rPr>
                <w:sz w:val="19"/>
              </w:rPr>
            </w:pPr>
            <w:r>
              <w:rPr>
                <w:w w:val="95"/>
                <w:sz w:val="19"/>
              </w:rPr>
              <w:t>2.908</w:t>
            </w:r>
          </w:p>
        </w:tc>
        <w:tc>
          <w:tcPr>
            <w:tcW w:w="1042" w:type="dxa"/>
            <w:tcBorders>
              <w:top w:val="nil"/>
              <w:left w:val="nil"/>
              <w:bottom w:val="nil"/>
              <w:right w:val="nil"/>
            </w:tcBorders>
          </w:tcPr>
          <w:p>
            <w:pPr>
              <w:pStyle w:val="TableParagraph"/>
              <w:spacing w:line="209" w:lineRule="exact"/>
              <w:ind w:left="455"/>
              <w:jc w:val="left"/>
              <w:rPr>
                <w:sz w:val="19"/>
              </w:rPr>
            </w:pPr>
            <w:r>
              <w:rPr>
                <w:sz w:val="19"/>
              </w:rPr>
              <w:t>3.377</w:t>
            </w:r>
          </w:p>
        </w:tc>
        <w:tc>
          <w:tcPr>
            <w:tcW w:w="662" w:type="dxa"/>
            <w:tcBorders>
              <w:top w:val="nil"/>
              <w:left w:val="nil"/>
              <w:bottom w:val="nil"/>
              <w:right w:val="nil"/>
            </w:tcBorders>
          </w:tcPr>
          <w:p>
            <w:pPr>
              <w:pStyle w:val="TableParagraph"/>
              <w:spacing w:line="214" w:lineRule="exact"/>
              <w:ind w:right="40"/>
              <w:rPr>
                <w:sz w:val="19"/>
              </w:rPr>
            </w:pPr>
            <w:r>
              <w:rPr>
                <w:w w:val="95"/>
                <w:sz w:val="19"/>
              </w:rPr>
              <w:t>2.966</w:t>
            </w:r>
          </w:p>
        </w:tc>
      </w:tr>
      <w:tr>
        <w:trPr>
          <w:trHeight w:val="219" w:hRule="exact"/>
        </w:trPr>
        <w:tc>
          <w:tcPr>
            <w:tcW w:w="1923" w:type="dxa"/>
            <w:tcBorders>
              <w:top w:val="nil"/>
              <w:left w:val="nil"/>
              <w:bottom w:val="nil"/>
              <w:right w:val="nil"/>
            </w:tcBorders>
          </w:tcPr>
          <w:p>
            <w:pPr>
              <w:pStyle w:val="TableParagraph"/>
              <w:spacing w:line="207" w:lineRule="exact"/>
              <w:ind w:left="4"/>
              <w:jc w:val="left"/>
              <w:rPr>
                <w:sz w:val="19"/>
              </w:rPr>
            </w:pPr>
            <w:r>
              <w:rPr>
                <w:sz w:val="19"/>
              </w:rPr>
              <w:t>(USD PPA)</w:t>
            </w:r>
          </w:p>
        </w:tc>
        <w:tc>
          <w:tcPr>
            <w:tcW w:w="1154" w:type="dxa"/>
            <w:tcBorders>
              <w:top w:val="nil"/>
              <w:left w:val="nil"/>
              <w:bottom w:val="nil"/>
              <w:right w:val="nil"/>
            </w:tcBorders>
          </w:tcPr>
          <w:p>
            <w:pPr>
              <w:pStyle w:val="TableParagraph"/>
              <w:spacing w:line="207" w:lineRule="exact"/>
              <w:ind w:right="101"/>
              <w:rPr>
                <w:sz w:val="19"/>
              </w:rPr>
            </w:pPr>
            <w:r>
              <w:rPr>
                <w:w w:val="95"/>
                <w:sz w:val="19"/>
              </w:rPr>
              <w:t>(0.033)</w:t>
            </w:r>
          </w:p>
        </w:tc>
        <w:tc>
          <w:tcPr>
            <w:tcW w:w="1002" w:type="dxa"/>
            <w:tcBorders>
              <w:top w:val="nil"/>
              <w:left w:val="nil"/>
              <w:bottom w:val="nil"/>
              <w:right w:val="nil"/>
            </w:tcBorders>
          </w:tcPr>
          <w:p>
            <w:pPr>
              <w:pStyle w:val="TableParagraph"/>
              <w:spacing w:line="207" w:lineRule="exact"/>
              <w:ind w:right="50"/>
              <w:rPr>
                <w:sz w:val="19"/>
              </w:rPr>
            </w:pPr>
            <w:r>
              <w:rPr>
                <w:w w:val="95"/>
                <w:sz w:val="19"/>
              </w:rPr>
              <w:t>(0.037)</w:t>
            </w:r>
          </w:p>
        </w:tc>
        <w:tc>
          <w:tcPr>
            <w:tcW w:w="1042" w:type="dxa"/>
            <w:tcBorders>
              <w:top w:val="nil"/>
              <w:left w:val="nil"/>
              <w:bottom w:val="nil"/>
              <w:right w:val="nil"/>
            </w:tcBorders>
          </w:tcPr>
          <w:p>
            <w:pPr>
              <w:pStyle w:val="TableParagraph"/>
              <w:spacing w:line="207" w:lineRule="exact"/>
              <w:ind w:left="331"/>
              <w:jc w:val="left"/>
              <w:rPr>
                <w:sz w:val="19"/>
              </w:rPr>
            </w:pPr>
            <w:r>
              <w:rPr>
                <w:sz w:val="19"/>
              </w:rPr>
              <w:t>(0.049)</w:t>
            </w:r>
          </w:p>
        </w:tc>
        <w:tc>
          <w:tcPr>
            <w:tcW w:w="662" w:type="dxa"/>
            <w:tcBorders>
              <w:top w:val="nil"/>
              <w:left w:val="nil"/>
              <w:bottom w:val="nil"/>
              <w:right w:val="nil"/>
            </w:tcBorders>
          </w:tcPr>
          <w:p>
            <w:pPr>
              <w:pStyle w:val="TableParagraph"/>
              <w:spacing w:line="207" w:lineRule="exact"/>
              <w:ind w:right="39"/>
              <w:rPr>
                <w:sz w:val="19"/>
              </w:rPr>
            </w:pPr>
            <w:r>
              <w:rPr>
                <w:w w:val="95"/>
                <w:sz w:val="19"/>
              </w:rPr>
              <w:t>(0.022)</w:t>
            </w:r>
          </w:p>
        </w:tc>
      </w:tr>
      <w:tr>
        <w:trPr>
          <w:trHeight w:val="221" w:hRule="exact"/>
        </w:trPr>
        <w:tc>
          <w:tcPr>
            <w:tcW w:w="1923" w:type="dxa"/>
            <w:tcBorders>
              <w:top w:val="nil"/>
              <w:left w:val="nil"/>
              <w:bottom w:val="nil"/>
              <w:right w:val="nil"/>
            </w:tcBorders>
          </w:tcPr>
          <w:p>
            <w:pPr>
              <w:pStyle w:val="TableParagraph"/>
              <w:spacing w:line="209" w:lineRule="exact"/>
              <w:ind w:left="4"/>
              <w:jc w:val="left"/>
              <w:rPr>
                <w:sz w:val="19"/>
              </w:rPr>
            </w:pPr>
            <w:r>
              <w:rPr>
                <w:sz w:val="19"/>
              </w:rPr>
              <w:t>Contrato (%)</w:t>
            </w:r>
          </w:p>
        </w:tc>
        <w:tc>
          <w:tcPr>
            <w:tcW w:w="1154" w:type="dxa"/>
            <w:tcBorders>
              <w:top w:val="nil"/>
              <w:left w:val="nil"/>
              <w:bottom w:val="nil"/>
              <w:right w:val="nil"/>
            </w:tcBorders>
          </w:tcPr>
          <w:p>
            <w:pPr>
              <w:pStyle w:val="TableParagraph"/>
              <w:spacing w:line="209" w:lineRule="exact"/>
              <w:ind w:right="101"/>
              <w:rPr>
                <w:sz w:val="19"/>
              </w:rPr>
            </w:pPr>
            <w:r>
              <w:rPr>
                <w:w w:val="95"/>
                <w:sz w:val="19"/>
              </w:rPr>
              <w:t>29.70</w:t>
            </w:r>
          </w:p>
        </w:tc>
        <w:tc>
          <w:tcPr>
            <w:tcW w:w="1002" w:type="dxa"/>
            <w:tcBorders>
              <w:top w:val="nil"/>
              <w:left w:val="nil"/>
              <w:bottom w:val="nil"/>
              <w:right w:val="nil"/>
            </w:tcBorders>
          </w:tcPr>
          <w:p>
            <w:pPr>
              <w:pStyle w:val="TableParagraph"/>
              <w:spacing w:line="209" w:lineRule="exact"/>
              <w:ind w:right="50"/>
              <w:rPr>
                <w:sz w:val="19"/>
              </w:rPr>
            </w:pPr>
            <w:r>
              <w:rPr>
                <w:w w:val="95"/>
                <w:sz w:val="19"/>
              </w:rPr>
              <w:t>55.00</w:t>
            </w:r>
          </w:p>
        </w:tc>
        <w:tc>
          <w:tcPr>
            <w:tcW w:w="1042" w:type="dxa"/>
            <w:tcBorders>
              <w:top w:val="nil"/>
              <w:left w:val="nil"/>
              <w:bottom w:val="nil"/>
              <w:right w:val="nil"/>
            </w:tcBorders>
          </w:tcPr>
          <w:p>
            <w:pPr>
              <w:pStyle w:val="TableParagraph"/>
              <w:spacing w:line="209" w:lineRule="exact"/>
              <w:ind w:left="455"/>
              <w:jc w:val="left"/>
              <w:rPr>
                <w:sz w:val="19"/>
              </w:rPr>
            </w:pPr>
            <w:r>
              <w:rPr>
                <w:sz w:val="19"/>
              </w:rPr>
              <w:t>19.83</w:t>
            </w:r>
          </w:p>
        </w:tc>
        <w:tc>
          <w:tcPr>
            <w:tcW w:w="662" w:type="dxa"/>
            <w:tcBorders>
              <w:top w:val="nil"/>
              <w:left w:val="nil"/>
              <w:bottom w:val="nil"/>
              <w:right w:val="nil"/>
            </w:tcBorders>
          </w:tcPr>
          <w:p>
            <w:pPr>
              <w:pStyle w:val="TableParagraph"/>
              <w:spacing w:line="209" w:lineRule="exact"/>
              <w:ind w:right="40"/>
              <w:rPr>
                <w:sz w:val="19"/>
              </w:rPr>
            </w:pPr>
            <w:r>
              <w:rPr>
                <w:w w:val="95"/>
                <w:sz w:val="19"/>
              </w:rPr>
              <w:t>34.84</w:t>
            </w:r>
          </w:p>
        </w:tc>
      </w:tr>
      <w:tr>
        <w:trPr>
          <w:trHeight w:val="221" w:hRule="exact"/>
        </w:trPr>
        <w:tc>
          <w:tcPr>
            <w:tcW w:w="1923" w:type="dxa"/>
            <w:tcBorders>
              <w:top w:val="nil"/>
              <w:left w:val="nil"/>
              <w:bottom w:val="nil"/>
              <w:right w:val="nil"/>
            </w:tcBorders>
          </w:tcPr>
          <w:p>
            <w:pPr/>
          </w:p>
        </w:tc>
        <w:tc>
          <w:tcPr>
            <w:tcW w:w="1154" w:type="dxa"/>
            <w:tcBorders>
              <w:top w:val="nil"/>
              <w:left w:val="nil"/>
              <w:bottom w:val="nil"/>
              <w:right w:val="nil"/>
            </w:tcBorders>
          </w:tcPr>
          <w:p>
            <w:pPr>
              <w:pStyle w:val="TableParagraph"/>
              <w:spacing w:line="209" w:lineRule="exact"/>
              <w:ind w:right="101"/>
              <w:rPr>
                <w:sz w:val="19"/>
              </w:rPr>
            </w:pPr>
            <w:r>
              <w:rPr>
                <w:w w:val="95"/>
                <w:sz w:val="19"/>
              </w:rPr>
              <w:t>(0.005)</w:t>
            </w:r>
          </w:p>
        </w:tc>
        <w:tc>
          <w:tcPr>
            <w:tcW w:w="1002" w:type="dxa"/>
            <w:tcBorders>
              <w:top w:val="nil"/>
              <w:left w:val="nil"/>
              <w:bottom w:val="nil"/>
              <w:right w:val="nil"/>
            </w:tcBorders>
          </w:tcPr>
          <w:p>
            <w:pPr>
              <w:pStyle w:val="TableParagraph"/>
              <w:spacing w:line="209" w:lineRule="exact"/>
              <w:ind w:right="50"/>
              <w:rPr>
                <w:sz w:val="19"/>
              </w:rPr>
            </w:pPr>
            <w:r>
              <w:rPr>
                <w:w w:val="95"/>
                <w:sz w:val="19"/>
              </w:rPr>
              <w:t>(0.007)</w:t>
            </w:r>
          </w:p>
        </w:tc>
        <w:tc>
          <w:tcPr>
            <w:tcW w:w="1042" w:type="dxa"/>
            <w:tcBorders>
              <w:top w:val="nil"/>
              <w:left w:val="nil"/>
              <w:bottom w:val="nil"/>
              <w:right w:val="nil"/>
            </w:tcBorders>
          </w:tcPr>
          <w:p>
            <w:pPr>
              <w:pStyle w:val="TableParagraph"/>
              <w:spacing w:line="209" w:lineRule="exact"/>
              <w:ind w:left="331"/>
              <w:jc w:val="left"/>
              <w:rPr>
                <w:sz w:val="19"/>
              </w:rPr>
            </w:pPr>
            <w:r>
              <w:rPr>
                <w:sz w:val="19"/>
              </w:rPr>
              <w:t>(0.006)</w:t>
            </w:r>
          </w:p>
        </w:tc>
        <w:tc>
          <w:tcPr>
            <w:tcW w:w="662" w:type="dxa"/>
            <w:tcBorders>
              <w:top w:val="nil"/>
              <w:left w:val="nil"/>
              <w:bottom w:val="nil"/>
              <w:right w:val="nil"/>
            </w:tcBorders>
          </w:tcPr>
          <w:p>
            <w:pPr>
              <w:pStyle w:val="TableParagraph"/>
              <w:spacing w:line="209" w:lineRule="exact"/>
              <w:ind w:right="39"/>
              <w:rPr>
                <w:sz w:val="19"/>
              </w:rPr>
            </w:pPr>
            <w:r>
              <w:rPr>
                <w:w w:val="95"/>
                <w:sz w:val="19"/>
              </w:rPr>
              <w:t>(0.004)</w:t>
            </w:r>
          </w:p>
        </w:tc>
      </w:tr>
      <w:tr>
        <w:trPr>
          <w:trHeight w:val="221" w:hRule="exact"/>
        </w:trPr>
        <w:tc>
          <w:tcPr>
            <w:tcW w:w="1923" w:type="dxa"/>
            <w:tcBorders>
              <w:top w:val="nil"/>
              <w:left w:val="nil"/>
              <w:bottom w:val="nil"/>
              <w:right w:val="nil"/>
            </w:tcBorders>
          </w:tcPr>
          <w:p>
            <w:pPr>
              <w:pStyle w:val="TableParagraph"/>
              <w:spacing w:line="209" w:lineRule="exact"/>
              <w:ind w:left="4"/>
              <w:jc w:val="left"/>
              <w:rPr>
                <w:sz w:val="19"/>
              </w:rPr>
            </w:pPr>
            <w:r>
              <w:rPr>
                <w:sz w:val="19"/>
              </w:rPr>
              <w:t>Seguridad social (%)</w:t>
            </w:r>
          </w:p>
        </w:tc>
        <w:tc>
          <w:tcPr>
            <w:tcW w:w="1154" w:type="dxa"/>
            <w:tcBorders>
              <w:top w:val="nil"/>
              <w:left w:val="nil"/>
              <w:bottom w:val="nil"/>
              <w:right w:val="nil"/>
            </w:tcBorders>
          </w:tcPr>
          <w:p>
            <w:pPr>
              <w:pStyle w:val="TableParagraph"/>
              <w:spacing w:line="209" w:lineRule="exact"/>
              <w:ind w:right="101"/>
              <w:rPr>
                <w:sz w:val="19"/>
              </w:rPr>
            </w:pPr>
            <w:r>
              <w:rPr>
                <w:w w:val="95"/>
                <w:sz w:val="19"/>
              </w:rPr>
              <w:t>32.37</w:t>
            </w:r>
          </w:p>
        </w:tc>
        <w:tc>
          <w:tcPr>
            <w:tcW w:w="1002" w:type="dxa"/>
            <w:tcBorders>
              <w:top w:val="nil"/>
              <w:left w:val="nil"/>
              <w:bottom w:val="nil"/>
              <w:right w:val="nil"/>
            </w:tcBorders>
          </w:tcPr>
          <w:p>
            <w:pPr>
              <w:pStyle w:val="TableParagraph"/>
              <w:spacing w:line="209" w:lineRule="exact"/>
              <w:ind w:right="50"/>
              <w:rPr>
                <w:sz w:val="19"/>
              </w:rPr>
            </w:pPr>
            <w:r>
              <w:rPr>
                <w:w w:val="95"/>
                <w:sz w:val="19"/>
              </w:rPr>
              <w:t>57.39</w:t>
            </w:r>
          </w:p>
        </w:tc>
        <w:tc>
          <w:tcPr>
            <w:tcW w:w="1042" w:type="dxa"/>
            <w:tcBorders>
              <w:top w:val="nil"/>
              <w:left w:val="nil"/>
              <w:bottom w:val="nil"/>
              <w:right w:val="nil"/>
            </w:tcBorders>
          </w:tcPr>
          <w:p>
            <w:pPr>
              <w:pStyle w:val="TableParagraph"/>
              <w:spacing w:line="209" w:lineRule="exact"/>
              <w:ind w:left="300"/>
              <w:jc w:val="left"/>
              <w:rPr>
                <w:sz w:val="19"/>
              </w:rPr>
            </w:pPr>
            <w:r>
              <w:rPr>
                <w:sz w:val="19"/>
              </w:rPr>
              <w:t>22.83%</w:t>
            </w:r>
          </w:p>
        </w:tc>
        <w:tc>
          <w:tcPr>
            <w:tcW w:w="662" w:type="dxa"/>
            <w:tcBorders>
              <w:top w:val="nil"/>
              <w:left w:val="nil"/>
              <w:bottom w:val="nil"/>
              <w:right w:val="nil"/>
            </w:tcBorders>
          </w:tcPr>
          <w:p>
            <w:pPr>
              <w:pStyle w:val="TableParagraph"/>
              <w:spacing w:line="209" w:lineRule="exact"/>
              <w:ind w:right="40"/>
              <w:rPr>
                <w:sz w:val="19"/>
              </w:rPr>
            </w:pPr>
            <w:r>
              <w:rPr>
                <w:w w:val="95"/>
                <w:sz w:val="19"/>
              </w:rPr>
              <w:t>37.51</w:t>
            </w:r>
          </w:p>
        </w:tc>
      </w:tr>
      <w:tr>
        <w:trPr>
          <w:trHeight w:val="219" w:hRule="exact"/>
        </w:trPr>
        <w:tc>
          <w:tcPr>
            <w:tcW w:w="1923" w:type="dxa"/>
            <w:tcBorders>
              <w:top w:val="nil"/>
              <w:left w:val="nil"/>
              <w:right w:val="nil"/>
            </w:tcBorders>
          </w:tcPr>
          <w:p>
            <w:pPr>
              <w:pStyle w:val="TableParagraph"/>
              <w:spacing w:line="209" w:lineRule="exact"/>
              <w:ind w:left="4"/>
              <w:jc w:val="left"/>
              <w:rPr>
                <w:sz w:val="19"/>
              </w:rPr>
            </w:pPr>
            <w:r>
              <w:rPr>
                <w:sz w:val="19"/>
              </w:rPr>
              <w:t>(IMSS o ISSSTE)</w:t>
            </w:r>
          </w:p>
        </w:tc>
        <w:tc>
          <w:tcPr>
            <w:tcW w:w="1154" w:type="dxa"/>
            <w:tcBorders>
              <w:top w:val="nil"/>
              <w:left w:val="nil"/>
              <w:right w:val="nil"/>
            </w:tcBorders>
          </w:tcPr>
          <w:p>
            <w:pPr>
              <w:pStyle w:val="TableParagraph"/>
              <w:spacing w:line="209" w:lineRule="exact"/>
              <w:ind w:right="101"/>
              <w:rPr>
                <w:sz w:val="19"/>
              </w:rPr>
            </w:pPr>
            <w:r>
              <w:rPr>
                <w:w w:val="95"/>
                <w:sz w:val="19"/>
              </w:rPr>
              <w:t>(0.006)</w:t>
            </w:r>
          </w:p>
        </w:tc>
        <w:tc>
          <w:tcPr>
            <w:tcW w:w="1002" w:type="dxa"/>
            <w:tcBorders>
              <w:top w:val="nil"/>
              <w:left w:val="nil"/>
              <w:right w:val="nil"/>
            </w:tcBorders>
          </w:tcPr>
          <w:p>
            <w:pPr>
              <w:pStyle w:val="TableParagraph"/>
              <w:spacing w:line="209" w:lineRule="exact"/>
              <w:ind w:right="50"/>
              <w:rPr>
                <w:sz w:val="19"/>
              </w:rPr>
            </w:pPr>
            <w:r>
              <w:rPr>
                <w:w w:val="95"/>
                <w:sz w:val="19"/>
              </w:rPr>
              <w:t>(0.007)</w:t>
            </w:r>
          </w:p>
        </w:tc>
        <w:tc>
          <w:tcPr>
            <w:tcW w:w="1042" w:type="dxa"/>
            <w:tcBorders>
              <w:top w:val="nil"/>
              <w:left w:val="nil"/>
              <w:right w:val="nil"/>
            </w:tcBorders>
          </w:tcPr>
          <w:p>
            <w:pPr>
              <w:pStyle w:val="TableParagraph"/>
              <w:spacing w:line="209" w:lineRule="exact"/>
              <w:ind w:left="331"/>
              <w:jc w:val="left"/>
              <w:rPr>
                <w:sz w:val="19"/>
              </w:rPr>
            </w:pPr>
            <w:r>
              <w:rPr>
                <w:sz w:val="19"/>
              </w:rPr>
              <w:t>(0.006)</w:t>
            </w:r>
          </w:p>
        </w:tc>
        <w:tc>
          <w:tcPr>
            <w:tcW w:w="662" w:type="dxa"/>
            <w:tcBorders>
              <w:top w:val="nil"/>
              <w:left w:val="nil"/>
              <w:right w:val="nil"/>
            </w:tcBorders>
          </w:tcPr>
          <w:p>
            <w:pPr>
              <w:pStyle w:val="TableParagraph"/>
              <w:spacing w:line="209" w:lineRule="exact"/>
              <w:ind w:right="39"/>
              <w:rPr>
                <w:sz w:val="19"/>
              </w:rPr>
            </w:pPr>
            <w:r>
              <w:rPr>
                <w:w w:val="95"/>
                <w:sz w:val="19"/>
              </w:rPr>
              <w:t>(0.004)</w:t>
            </w:r>
          </w:p>
        </w:tc>
      </w:tr>
      <w:tr>
        <w:trPr>
          <w:trHeight w:val="177" w:hRule="exact"/>
        </w:trPr>
        <w:tc>
          <w:tcPr>
            <w:tcW w:w="1923" w:type="dxa"/>
            <w:tcBorders>
              <w:left w:val="nil"/>
              <w:bottom w:val="nil"/>
              <w:right w:val="nil"/>
            </w:tcBorders>
          </w:tcPr>
          <w:p>
            <w:pPr>
              <w:pStyle w:val="TableParagraph"/>
              <w:spacing w:before="2"/>
              <w:ind w:left="4"/>
              <w:jc w:val="left"/>
              <w:rPr>
                <w:sz w:val="15"/>
              </w:rPr>
            </w:pPr>
            <w:r>
              <w:rPr>
                <w:sz w:val="15"/>
              </w:rPr>
              <w:t>Fuente:  estimaciones  propias</w:t>
            </w:r>
          </w:p>
        </w:tc>
        <w:tc>
          <w:tcPr>
            <w:tcW w:w="1154" w:type="dxa"/>
            <w:tcBorders>
              <w:left w:val="nil"/>
              <w:bottom w:val="nil"/>
              <w:right w:val="nil"/>
            </w:tcBorders>
          </w:tcPr>
          <w:p>
            <w:pPr>
              <w:pStyle w:val="TableParagraph"/>
              <w:spacing w:before="2"/>
              <w:ind w:right="51"/>
              <w:rPr>
                <w:sz w:val="15"/>
              </w:rPr>
            </w:pPr>
            <w:r>
              <w:rPr>
                <w:sz w:val="15"/>
              </w:rPr>
              <w:t>con  información</w:t>
            </w:r>
          </w:p>
        </w:tc>
        <w:tc>
          <w:tcPr>
            <w:tcW w:w="1002" w:type="dxa"/>
            <w:tcBorders>
              <w:left w:val="nil"/>
              <w:bottom w:val="nil"/>
              <w:right w:val="nil"/>
            </w:tcBorders>
          </w:tcPr>
          <w:p>
            <w:pPr>
              <w:pStyle w:val="TableParagraph"/>
              <w:spacing w:before="2"/>
              <w:ind w:right="52"/>
              <w:rPr>
                <w:sz w:val="15"/>
              </w:rPr>
            </w:pPr>
            <w:r>
              <w:rPr>
                <w:sz w:val="15"/>
              </w:rPr>
              <w:t>de   la  ENOE,</w:t>
            </w:r>
          </w:p>
        </w:tc>
        <w:tc>
          <w:tcPr>
            <w:tcW w:w="1042" w:type="dxa"/>
            <w:tcBorders>
              <w:left w:val="nil"/>
              <w:bottom w:val="nil"/>
              <w:right w:val="nil"/>
            </w:tcBorders>
          </w:tcPr>
          <w:p>
            <w:pPr>
              <w:pStyle w:val="TableParagraph"/>
              <w:spacing w:before="2"/>
              <w:ind w:left="52"/>
              <w:jc w:val="left"/>
              <w:rPr>
                <w:sz w:val="15"/>
              </w:rPr>
            </w:pPr>
            <w:r>
              <w:rPr>
                <w:sz w:val="15"/>
              </w:rPr>
              <w:t>2012,  segundo</w:t>
            </w:r>
          </w:p>
        </w:tc>
        <w:tc>
          <w:tcPr>
            <w:tcW w:w="662" w:type="dxa"/>
            <w:tcBorders>
              <w:left w:val="nil"/>
              <w:bottom w:val="nil"/>
              <w:right w:val="nil"/>
            </w:tcBorders>
          </w:tcPr>
          <w:p>
            <w:pPr>
              <w:pStyle w:val="TableParagraph"/>
              <w:spacing w:before="2"/>
              <w:ind w:right="39"/>
              <w:rPr>
                <w:sz w:val="15"/>
              </w:rPr>
            </w:pPr>
            <w:r>
              <w:rPr>
                <w:w w:val="95"/>
                <w:sz w:val="15"/>
              </w:rPr>
              <w:t>trimestre.</w:t>
            </w:r>
          </w:p>
        </w:tc>
      </w:tr>
    </w:tbl>
    <w:p>
      <w:pPr>
        <w:spacing w:line="247" w:lineRule="auto" w:before="5"/>
        <w:ind w:left="118" w:right="144" w:firstLine="0"/>
        <w:jc w:val="both"/>
        <w:rPr>
          <w:sz w:val="15"/>
        </w:rPr>
      </w:pPr>
      <w:r>
        <w:rPr/>
        <w:pict>
          <v:line style="position:absolute;mso-position-horizontal-relative:page;mso-position-vertical-relative:paragraph;z-index:-334504" from="83.226959pt,-94.713196pt" to="86.53144pt,-94.713196pt" stroked="true" strokeweight=".459456pt" strokecolor="#000000">
            <w10:wrap type="none"/>
          </v:line>
        </w:pict>
      </w:r>
      <w:r>
        <w:rPr/>
        <w:pict>
          <v:line style="position:absolute;mso-position-horizontal-relative:page;mso-position-vertical-relative:paragraph;z-index:-334480" from="125.4142pt,-72.383064pt" to="128.718681pt,-72.383064pt" stroked="true" strokeweight=".459456pt" strokecolor="#000000">
            <w10:wrap type="none"/>
          </v:line>
        </w:pict>
      </w:r>
      <w:r>
        <w:rPr>
          <w:sz w:val="15"/>
        </w:rPr>
        <w:t>Desviaciones estándar en paréntesis, en base a población muestral. No se incluye a los trabajadores en el comercio y los servicios, así como a los insertos en sectores de subsistencia agrícola y los no remunerados.</w:t>
      </w:r>
    </w:p>
    <w:p>
      <w:pPr>
        <w:spacing w:after="0" w:line="247" w:lineRule="auto"/>
        <w:jc w:val="both"/>
        <w:rPr>
          <w:sz w:val="15"/>
        </w:rPr>
        <w:sectPr>
          <w:pgSz w:w="7770" w:h="11740"/>
          <w:pgMar w:header="0" w:footer="474" w:top="840" w:bottom="660" w:left="1020" w:right="740"/>
        </w:sectPr>
      </w:pPr>
    </w:p>
    <w:p>
      <w:pPr>
        <w:pStyle w:val="BodyText"/>
        <w:spacing w:line="249" w:lineRule="auto" w:before="60"/>
        <w:ind w:left="110" w:right="111" w:firstLine="283"/>
        <w:jc w:val="both"/>
      </w:pPr>
      <w:r>
        <w:rPr>
          <w:color w:val="231F20"/>
        </w:rPr>
        <w:t>En esta primera presentación, los sectores transables concentrados  se caracterizan por conjuntar a personas que tienen ligeramente</w:t>
      </w:r>
      <w:r>
        <w:rPr>
          <w:color w:val="231F20"/>
          <w:spacing w:val="-15"/>
        </w:rPr>
        <w:t> </w:t>
      </w:r>
      <w:r>
        <w:rPr>
          <w:color w:val="231F20"/>
        </w:rPr>
        <w:t>menores ingresos y escolaridad, y una situación intermedia en lo que respecta a seguridad</w:t>
      </w:r>
      <w:r>
        <w:rPr>
          <w:color w:val="231F20"/>
          <w:spacing w:val="-8"/>
        </w:rPr>
        <w:t> </w:t>
      </w:r>
      <w:r>
        <w:rPr>
          <w:color w:val="231F20"/>
        </w:rPr>
        <w:t>social.</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parte,</w:t>
      </w:r>
      <w:r>
        <w:rPr>
          <w:color w:val="231F20"/>
          <w:spacing w:val="-8"/>
        </w:rPr>
        <w:t> </w:t>
      </w:r>
      <w:r>
        <w:rPr>
          <w:color w:val="231F20"/>
        </w:rPr>
        <w:t>los</w:t>
      </w:r>
      <w:r>
        <w:rPr>
          <w:color w:val="231F20"/>
          <w:spacing w:val="-9"/>
        </w:rPr>
        <w:t> </w:t>
      </w:r>
      <w:r>
        <w:rPr>
          <w:color w:val="231F20"/>
        </w:rPr>
        <w:t>otros</w:t>
      </w:r>
      <w:r>
        <w:rPr>
          <w:color w:val="231F20"/>
          <w:spacing w:val="-8"/>
        </w:rPr>
        <w:t> </w:t>
      </w:r>
      <w:r>
        <w:rPr>
          <w:color w:val="231F20"/>
        </w:rPr>
        <w:t>transables</w:t>
      </w:r>
      <w:r>
        <w:rPr>
          <w:color w:val="231F20"/>
          <w:spacing w:val="-9"/>
        </w:rPr>
        <w:t> </w:t>
      </w:r>
      <w:r>
        <w:rPr>
          <w:color w:val="231F20"/>
        </w:rPr>
        <w:t>agrupan</w:t>
      </w:r>
      <w:r>
        <w:rPr>
          <w:color w:val="231F20"/>
          <w:spacing w:val="-9"/>
        </w:rPr>
        <w:t> </w:t>
      </w:r>
      <w:r>
        <w:rPr>
          <w:color w:val="231F20"/>
        </w:rPr>
        <w:t>a</w:t>
      </w:r>
      <w:r>
        <w:rPr>
          <w:color w:val="231F20"/>
          <w:spacing w:val="-8"/>
        </w:rPr>
        <w:t> </w:t>
      </w:r>
      <w:r>
        <w:rPr>
          <w:color w:val="231F20"/>
        </w:rPr>
        <w:t>trabajadores con ingresos y escolaridad un poco mayores, mujeres en mayor medida, y la mejor situación en lo que respecta a seguridad social. Finalmente, los que se ubican en sectores no transables son hombres en gran medida y con escolaridad intermedia; presentan los mejores ingresos, pero no la mejor situación en términos de seguridad social (en los cuadros A.1 en el anexo se encuentran los indicadores para cada una de las sub-ramas consideradas en los distintos</w:t>
      </w:r>
      <w:r>
        <w:rPr>
          <w:color w:val="231F20"/>
          <w:spacing w:val="-13"/>
        </w:rPr>
        <w:t> </w:t>
      </w:r>
      <w:r>
        <w:rPr>
          <w:color w:val="231F20"/>
        </w:rPr>
        <w:t>sectores).</w:t>
      </w:r>
    </w:p>
    <w:p>
      <w:pPr>
        <w:pStyle w:val="BodyText"/>
        <w:spacing w:line="249" w:lineRule="auto" w:before="1"/>
        <w:ind w:left="110" w:right="111" w:firstLine="283"/>
        <w:jc w:val="both"/>
      </w:pPr>
      <w:r>
        <w:rPr>
          <w:color w:val="231F20"/>
        </w:rPr>
        <w:t>Como es conocido, la percepción de un ingreso determinado y el ac- ceso a la seguridad social pueden estar afectados por una diversidad de rasgos sociodemográficos, económicos, residenciales, los cuales debe- mos tener en cuenta antes de llegar a conclusiones más claras. A fin de dar un paso en esa dirección, presentamos a continuación, los resultados de distintos modelos de análisis estadístico multivariado: regresiones medianas para el ingreso, y regresiones logísticas para el acceso a la seguridad social.</w:t>
      </w:r>
    </w:p>
    <w:p>
      <w:pPr>
        <w:spacing w:line="240" w:lineRule="exact" w:before="166"/>
        <w:ind w:left="110" w:right="1567" w:firstLine="0"/>
        <w:jc w:val="left"/>
        <w:rPr>
          <w:i/>
          <w:sz w:val="24"/>
        </w:rPr>
      </w:pPr>
      <w:r>
        <w:rPr>
          <w:i/>
          <w:w w:val="75"/>
          <w:sz w:val="24"/>
        </w:rPr>
        <w:t>Los ingresos laborales en México, desde una nueva </w:t>
      </w:r>
      <w:r>
        <w:rPr>
          <w:i/>
          <w:w w:val="75"/>
          <w:sz w:val="24"/>
        </w:rPr>
        <w:t>configuración productiva</w:t>
      </w:r>
    </w:p>
    <w:p>
      <w:pPr>
        <w:pStyle w:val="BodyText"/>
        <w:spacing w:line="249" w:lineRule="auto" w:before="175"/>
        <w:ind w:left="110" w:right="111"/>
        <w:jc w:val="both"/>
      </w:pPr>
      <w:r>
        <w:rPr>
          <w:color w:val="231F20"/>
        </w:rPr>
        <w:t>Para establecer con mayor precisión si las diferencias de ingreso en el Cuadro 1 (expresadas en dólares según paridad de poder adquisitivo o </w:t>
      </w:r>
      <w:r>
        <w:rPr>
          <w:color w:val="231F20"/>
          <w:spacing w:val="-6"/>
        </w:rPr>
        <w:t>PPA) </w:t>
      </w:r>
      <w:r>
        <w:rPr>
          <w:color w:val="231F20"/>
        </w:rPr>
        <w:t>se mantienen una vez tenida en cuenta la diversidad de rasgos que caracterizan a la población analizada, se utilizaron regresiones media- nas.</w:t>
      </w:r>
      <w:r>
        <w:rPr>
          <w:color w:val="231F20"/>
          <w:position w:val="7"/>
          <w:sz w:val="11"/>
        </w:rPr>
        <w:t>10 </w:t>
      </w:r>
      <w:r>
        <w:rPr>
          <w:color w:val="231F20"/>
        </w:rPr>
        <w:t>Los resultados completos de dichas regresiones se encuentran en los</w:t>
      </w:r>
      <w:r>
        <w:rPr>
          <w:color w:val="231F20"/>
          <w:spacing w:val="-4"/>
        </w:rPr>
        <w:t> </w:t>
      </w:r>
      <w:r>
        <w:rPr>
          <w:color w:val="231F20"/>
        </w:rPr>
        <w:t>cuadros</w:t>
      </w:r>
      <w:r>
        <w:rPr>
          <w:color w:val="231F20"/>
          <w:spacing w:val="-16"/>
        </w:rPr>
        <w:t> </w:t>
      </w:r>
      <w:r>
        <w:rPr>
          <w:color w:val="231F20"/>
        </w:rPr>
        <w:t>A.2</w:t>
      </w:r>
      <w:r>
        <w:rPr>
          <w:color w:val="231F20"/>
          <w:spacing w:val="-4"/>
        </w:rPr>
        <w:t> </w:t>
      </w:r>
      <w:r>
        <w:rPr>
          <w:color w:val="231F20"/>
        </w:rPr>
        <w:t>del</w:t>
      </w:r>
      <w:r>
        <w:rPr>
          <w:color w:val="231F20"/>
          <w:spacing w:val="-4"/>
        </w:rPr>
        <w:t> </w:t>
      </w:r>
      <w:r>
        <w:rPr>
          <w:color w:val="231F20"/>
        </w:rPr>
        <w:t>anexo</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resumen</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Cuadro</w:t>
      </w:r>
      <w:r>
        <w:rPr>
          <w:color w:val="231F20"/>
          <w:spacing w:val="-4"/>
        </w:rPr>
        <w:t> </w:t>
      </w:r>
      <w:r>
        <w:rPr>
          <w:color w:val="231F20"/>
        </w:rPr>
        <w:t>2.</w:t>
      </w:r>
      <w:r>
        <w:rPr>
          <w:color w:val="231F20"/>
          <w:spacing w:val="-4"/>
        </w:rPr>
        <w:t> </w:t>
      </w:r>
      <w:r>
        <w:rPr>
          <w:color w:val="231F20"/>
        </w:rPr>
        <w:t>Los</w:t>
      </w:r>
      <w:r>
        <w:rPr>
          <w:color w:val="231F20"/>
          <w:spacing w:val="-4"/>
        </w:rPr>
        <w:t> </w:t>
      </w:r>
      <w:r>
        <w:rPr>
          <w:color w:val="231F20"/>
        </w:rPr>
        <w:t>aspectos</w:t>
      </w:r>
      <w:r>
        <w:rPr>
          <w:color w:val="231F20"/>
          <w:spacing w:val="-5"/>
        </w:rPr>
        <w:t> </w:t>
      </w:r>
      <w:r>
        <w:rPr>
          <w:color w:val="231F20"/>
        </w:rPr>
        <w:t>que tenemos en cuenta en estas regresiones (además de la pertenencia a los sectores</w:t>
      </w:r>
      <w:r>
        <w:rPr>
          <w:color w:val="231F20"/>
          <w:spacing w:val="-10"/>
        </w:rPr>
        <w:t> </w:t>
      </w:r>
      <w:r>
        <w:rPr>
          <w:color w:val="231F20"/>
        </w:rPr>
        <w:t>de</w:t>
      </w:r>
      <w:r>
        <w:rPr>
          <w:color w:val="231F20"/>
          <w:spacing w:val="-11"/>
        </w:rPr>
        <w:t> </w:t>
      </w:r>
      <w:r>
        <w:rPr>
          <w:color w:val="231F20"/>
        </w:rPr>
        <w:t>interés),</w:t>
      </w:r>
      <w:r>
        <w:rPr>
          <w:color w:val="231F20"/>
          <w:spacing w:val="-11"/>
        </w:rPr>
        <w:t> </w:t>
      </w:r>
      <w:r>
        <w:rPr>
          <w:color w:val="231F20"/>
        </w:rPr>
        <w:t>son</w:t>
      </w:r>
      <w:r>
        <w:rPr>
          <w:color w:val="231F20"/>
          <w:spacing w:val="-11"/>
        </w:rPr>
        <w:t> </w:t>
      </w:r>
      <w:r>
        <w:rPr>
          <w:color w:val="231F20"/>
        </w:rPr>
        <w:t>la</w:t>
      </w:r>
      <w:r>
        <w:rPr>
          <w:color w:val="231F20"/>
          <w:spacing w:val="-11"/>
        </w:rPr>
        <w:t> </w:t>
      </w:r>
      <w:r>
        <w:rPr>
          <w:color w:val="231F20"/>
        </w:rPr>
        <w:t>condición</w:t>
      </w:r>
      <w:r>
        <w:rPr>
          <w:color w:val="231F20"/>
          <w:spacing w:val="-11"/>
        </w:rPr>
        <w:t> </w:t>
      </w:r>
      <w:r>
        <w:rPr>
          <w:color w:val="231F20"/>
        </w:rPr>
        <w:t>de</w:t>
      </w:r>
      <w:r>
        <w:rPr>
          <w:color w:val="231F20"/>
          <w:spacing w:val="-11"/>
        </w:rPr>
        <w:t> </w:t>
      </w:r>
      <w:r>
        <w:rPr>
          <w:color w:val="231F20"/>
        </w:rPr>
        <w:t>hombre</w:t>
      </w:r>
      <w:r>
        <w:rPr>
          <w:color w:val="231F20"/>
          <w:spacing w:val="-11"/>
        </w:rPr>
        <w:t> </w:t>
      </w:r>
      <w:r>
        <w:rPr>
          <w:color w:val="231F20"/>
        </w:rPr>
        <w:t>o</w:t>
      </w:r>
      <w:r>
        <w:rPr>
          <w:color w:val="231F20"/>
          <w:spacing w:val="-11"/>
        </w:rPr>
        <w:t> </w:t>
      </w:r>
      <w:r>
        <w:rPr>
          <w:color w:val="231F20"/>
        </w:rPr>
        <w:t>mujer,</w:t>
      </w:r>
      <w:r>
        <w:rPr>
          <w:color w:val="231F20"/>
          <w:spacing w:val="-11"/>
        </w:rPr>
        <w:t> </w:t>
      </w:r>
      <w:r>
        <w:rPr>
          <w:color w:val="231F20"/>
        </w:rPr>
        <w:t>la</w:t>
      </w:r>
      <w:r>
        <w:rPr>
          <w:color w:val="231F20"/>
          <w:spacing w:val="-11"/>
        </w:rPr>
        <w:t> </w:t>
      </w:r>
      <w:r>
        <w:rPr>
          <w:color w:val="231F20"/>
        </w:rPr>
        <w:t>edad,</w:t>
      </w:r>
      <w:r>
        <w:rPr>
          <w:color w:val="231F20"/>
          <w:spacing w:val="-11"/>
        </w:rPr>
        <w:t> </w:t>
      </w:r>
      <w:r>
        <w:rPr>
          <w:color w:val="231F20"/>
        </w:rPr>
        <w:t>la</w:t>
      </w:r>
      <w:r>
        <w:rPr>
          <w:color w:val="231F20"/>
          <w:spacing w:val="-11"/>
        </w:rPr>
        <w:t> </w:t>
      </w:r>
      <w:r>
        <w:rPr>
          <w:color w:val="231F20"/>
        </w:rPr>
        <w:t>esco- laridad,</w:t>
      </w:r>
      <w:r>
        <w:rPr>
          <w:color w:val="231F20"/>
          <w:spacing w:val="-9"/>
        </w:rPr>
        <w:t> </w:t>
      </w:r>
      <w:r>
        <w:rPr>
          <w:color w:val="231F20"/>
        </w:rPr>
        <w:t>la</w:t>
      </w:r>
      <w:r>
        <w:rPr>
          <w:color w:val="231F20"/>
          <w:spacing w:val="-8"/>
        </w:rPr>
        <w:t> </w:t>
      </w:r>
      <w:r>
        <w:rPr>
          <w:color w:val="231F20"/>
        </w:rPr>
        <w:t>residencia</w:t>
      </w:r>
      <w:r>
        <w:rPr>
          <w:color w:val="231F20"/>
          <w:spacing w:val="-8"/>
        </w:rPr>
        <w:t> </w:t>
      </w:r>
      <w:r>
        <w:rPr>
          <w:color w:val="231F20"/>
        </w:rPr>
        <w:t>urbana</w:t>
      </w:r>
      <w:r>
        <w:rPr>
          <w:color w:val="231F20"/>
          <w:spacing w:val="-8"/>
        </w:rPr>
        <w:t> </w:t>
      </w:r>
      <w:r>
        <w:rPr>
          <w:color w:val="231F20"/>
        </w:rPr>
        <w:t>y</w:t>
      </w:r>
      <w:r>
        <w:rPr>
          <w:color w:val="231F20"/>
          <w:spacing w:val="-8"/>
        </w:rPr>
        <w:t> </w:t>
      </w:r>
      <w:r>
        <w:rPr>
          <w:color w:val="231F20"/>
        </w:rPr>
        <w:t>en</w:t>
      </w:r>
      <w:r>
        <w:rPr>
          <w:color w:val="231F20"/>
          <w:spacing w:val="-9"/>
        </w:rPr>
        <w:t> </w:t>
      </w:r>
      <w:r>
        <w:rPr>
          <w:color w:val="231F20"/>
        </w:rPr>
        <w:t>distintas</w:t>
      </w:r>
      <w:r>
        <w:rPr>
          <w:color w:val="231F20"/>
          <w:spacing w:val="-8"/>
        </w:rPr>
        <w:t> </w:t>
      </w:r>
      <w:r>
        <w:rPr>
          <w:color w:val="231F20"/>
        </w:rPr>
        <w:t>regiones</w:t>
      </w:r>
      <w:r>
        <w:rPr>
          <w:color w:val="231F20"/>
          <w:spacing w:val="-8"/>
        </w:rPr>
        <w:t> </w:t>
      </w:r>
      <w:r>
        <w:rPr>
          <w:color w:val="231F20"/>
        </w:rPr>
        <w:t>del</w:t>
      </w:r>
      <w:r>
        <w:rPr>
          <w:color w:val="231F20"/>
          <w:spacing w:val="-8"/>
        </w:rPr>
        <w:t> </w:t>
      </w:r>
      <w:r>
        <w:rPr>
          <w:color w:val="231F20"/>
        </w:rPr>
        <w:t>país,</w:t>
      </w:r>
      <w:r>
        <w:rPr>
          <w:color w:val="231F20"/>
          <w:spacing w:val="-8"/>
        </w:rPr>
        <w:t> </w:t>
      </w:r>
      <w:r>
        <w:rPr>
          <w:color w:val="231F20"/>
        </w:rPr>
        <w:t>la</w:t>
      </w:r>
      <w:r>
        <w:rPr>
          <w:color w:val="231F20"/>
          <w:spacing w:val="-8"/>
        </w:rPr>
        <w:t> </w:t>
      </w:r>
      <w:r>
        <w:rPr>
          <w:color w:val="231F20"/>
        </w:rPr>
        <w:t>ocupación (cuadros A.4 del anexo para detalles sobre esta clasificaicón), el tamaño del establecimiento y la pertenencia a la industria petrolera. Además </w:t>
      </w:r>
      <w:r>
        <w:rPr>
          <w:color w:val="231F20"/>
          <w:spacing w:val="19"/>
        </w:rPr>
        <w:t> </w:t>
      </w:r>
      <w:r>
        <w:rPr>
          <w:color w:val="231F20"/>
        </w:rPr>
        <w:t>de</w:t>
      </w:r>
    </w:p>
    <w:p>
      <w:pPr>
        <w:pStyle w:val="BodyText"/>
        <w:spacing w:before="3"/>
        <w:rPr>
          <w:sz w:val="22"/>
        </w:rPr>
      </w:pPr>
    </w:p>
    <w:p>
      <w:pPr>
        <w:spacing w:before="0"/>
        <w:ind w:left="110" w:right="111" w:firstLine="0"/>
        <w:jc w:val="both"/>
        <w:rPr>
          <w:sz w:val="14"/>
        </w:rPr>
      </w:pPr>
      <w:r>
        <w:rPr>
          <w:color w:val="231F20"/>
          <w:position w:val="5"/>
          <w:sz w:val="8"/>
        </w:rPr>
        <w:t>10 </w:t>
      </w:r>
      <w:r>
        <w:rPr>
          <w:color w:val="231F20"/>
          <w:sz w:val="14"/>
        </w:rPr>
        <w:t>La regresión cuantílica o mediana, es una técnica semiparamétrica que forma estimados iniciales a partir de mínimos cuadrados ponderados de los residuos absolutos. Luego se estima el cuantil (en este caso la mediana), dividiendo la suma bruta de las desviaciones entre la media condicional. De esta ma- nera,</w:t>
      </w:r>
      <w:r>
        <w:rPr>
          <w:color w:val="231F20"/>
          <w:spacing w:val="-3"/>
          <w:sz w:val="14"/>
        </w:rPr>
        <w:t> </w:t>
      </w:r>
      <w:r>
        <w:rPr>
          <w:color w:val="231F20"/>
          <w:sz w:val="14"/>
        </w:rPr>
        <w:t>se</w:t>
      </w:r>
      <w:r>
        <w:rPr>
          <w:color w:val="231F20"/>
          <w:spacing w:val="-3"/>
          <w:sz w:val="14"/>
        </w:rPr>
        <w:t> </w:t>
      </w:r>
      <w:r>
        <w:rPr>
          <w:color w:val="231F20"/>
          <w:sz w:val="14"/>
        </w:rPr>
        <w:t>encuentran</w:t>
      </w:r>
      <w:r>
        <w:rPr>
          <w:color w:val="231F20"/>
          <w:spacing w:val="-3"/>
          <w:sz w:val="14"/>
        </w:rPr>
        <w:t> </w:t>
      </w:r>
      <w:r>
        <w:rPr>
          <w:color w:val="231F20"/>
          <w:sz w:val="14"/>
        </w:rPr>
        <w:t>los</w:t>
      </w:r>
      <w:r>
        <w:rPr>
          <w:color w:val="231F20"/>
          <w:spacing w:val="-3"/>
          <w:sz w:val="14"/>
        </w:rPr>
        <w:t> </w:t>
      </w:r>
      <w:r>
        <w:rPr>
          <w:color w:val="231F20"/>
          <w:sz w:val="14"/>
        </w:rPr>
        <w:t>coeficientes</w:t>
      </w:r>
      <w:r>
        <w:rPr>
          <w:color w:val="231F20"/>
          <w:spacing w:val="-3"/>
          <w:sz w:val="14"/>
        </w:rPr>
        <w:t> </w:t>
      </w:r>
      <w:r>
        <w:rPr>
          <w:color w:val="231F20"/>
          <w:sz w:val="14"/>
        </w:rPr>
        <w:t>que</w:t>
      </w:r>
      <w:r>
        <w:rPr>
          <w:color w:val="231F20"/>
          <w:spacing w:val="-3"/>
          <w:sz w:val="14"/>
        </w:rPr>
        <w:t> </w:t>
      </w:r>
      <w:r>
        <w:rPr>
          <w:color w:val="231F20"/>
          <w:sz w:val="14"/>
        </w:rPr>
        <w:t>minimizan</w:t>
      </w:r>
      <w:r>
        <w:rPr>
          <w:color w:val="231F20"/>
          <w:spacing w:val="-3"/>
          <w:sz w:val="14"/>
        </w:rPr>
        <w:t> </w:t>
      </w:r>
      <w:r>
        <w:rPr>
          <w:color w:val="231F20"/>
          <w:sz w:val="14"/>
        </w:rPr>
        <w:t>esta</w:t>
      </w:r>
      <w:r>
        <w:rPr>
          <w:color w:val="231F20"/>
          <w:spacing w:val="-3"/>
          <w:sz w:val="14"/>
        </w:rPr>
        <w:t> </w:t>
      </w:r>
      <w:r>
        <w:rPr>
          <w:color w:val="231F20"/>
          <w:sz w:val="14"/>
        </w:rPr>
        <w:t>función.</w:t>
      </w:r>
      <w:r>
        <w:rPr>
          <w:color w:val="231F20"/>
          <w:spacing w:val="-3"/>
          <w:sz w:val="14"/>
        </w:rPr>
        <w:t> </w:t>
      </w:r>
      <w:r>
        <w:rPr>
          <w:color w:val="231F20"/>
          <w:sz w:val="14"/>
        </w:rPr>
        <w:t>El</w:t>
      </w:r>
      <w:r>
        <w:rPr>
          <w:color w:val="231F20"/>
          <w:spacing w:val="-3"/>
          <w:sz w:val="14"/>
        </w:rPr>
        <w:t> </w:t>
      </w:r>
      <w:r>
        <w:rPr>
          <w:color w:val="231F20"/>
          <w:sz w:val="14"/>
        </w:rPr>
        <w:t>procedimiento</w:t>
      </w:r>
      <w:r>
        <w:rPr>
          <w:color w:val="231F20"/>
          <w:spacing w:val="-3"/>
          <w:sz w:val="14"/>
        </w:rPr>
        <w:t> </w:t>
      </w:r>
      <w:r>
        <w:rPr>
          <w:color w:val="231F20"/>
          <w:sz w:val="14"/>
        </w:rPr>
        <w:t>estima</w:t>
      </w:r>
      <w:r>
        <w:rPr>
          <w:color w:val="231F20"/>
          <w:spacing w:val="-3"/>
          <w:sz w:val="14"/>
        </w:rPr>
        <w:t> </w:t>
      </w:r>
      <w:r>
        <w:rPr>
          <w:color w:val="231F20"/>
          <w:sz w:val="14"/>
        </w:rPr>
        <w:t>una</w:t>
      </w:r>
      <w:r>
        <w:rPr>
          <w:color w:val="231F20"/>
          <w:spacing w:val="-3"/>
          <w:sz w:val="14"/>
        </w:rPr>
        <w:t> </w:t>
      </w:r>
      <w:r>
        <w:rPr>
          <w:color w:val="231F20"/>
          <w:sz w:val="14"/>
        </w:rPr>
        <w:t>constante y parámetros que predicen la “mediana” y por ello se conoce como regresión mediana </w:t>
      </w:r>
      <w:r>
        <w:rPr>
          <w:color w:val="231F20"/>
          <w:spacing w:val="-3"/>
          <w:sz w:val="14"/>
        </w:rPr>
        <w:t>(Yaffee, </w:t>
      </w:r>
      <w:r>
        <w:rPr>
          <w:color w:val="231F20"/>
          <w:sz w:val="14"/>
        </w:rPr>
        <w:t>2002). Se recomienda este procedimiento si los </w:t>
      </w:r>
      <w:r>
        <w:rPr>
          <w:i/>
          <w:color w:val="231F20"/>
          <w:sz w:val="14"/>
        </w:rPr>
        <w:t>outliers </w:t>
      </w:r>
      <w:r>
        <w:rPr>
          <w:color w:val="231F20"/>
          <w:sz w:val="14"/>
        </w:rPr>
        <w:t>influyentes no son un serio problema y los datos están sesgados</w:t>
      </w:r>
      <w:r>
        <w:rPr>
          <w:color w:val="231F20"/>
          <w:spacing w:val="-6"/>
          <w:sz w:val="14"/>
        </w:rPr>
        <w:t> </w:t>
      </w:r>
      <w:r>
        <w:rPr>
          <w:color w:val="231F20"/>
          <w:sz w:val="14"/>
        </w:rPr>
        <w:t>y</w:t>
      </w:r>
      <w:r>
        <w:rPr>
          <w:color w:val="231F20"/>
          <w:spacing w:val="-7"/>
          <w:sz w:val="14"/>
        </w:rPr>
        <w:t> </w:t>
      </w:r>
      <w:r>
        <w:rPr>
          <w:color w:val="231F20"/>
          <w:sz w:val="14"/>
        </w:rPr>
        <w:t>no</w:t>
      </w:r>
      <w:r>
        <w:rPr>
          <w:color w:val="231F20"/>
          <w:spacing w:val="-7"/>
          <w:sz w:val="14"/>
        </w:rPr>
        <w:t> </w:t>
      </w:r>
      <w:r>
        <w:rPr>
          <w:color w:val="231F20"/>
          <w:sz w:val="14"/>
        </w:rPr>
        <w:t>se</w:t>
      </w:r>
      <w:r>
        <w:rPr>
          <w:color w:val="231F20"/>
          <w:spacing w:val="-6"/>
          <w:sz w:val="14"/>
        </w:rPr>
        <w:t> </w:t>
      </w:r>
      <w:r>
        <w:rPr>
          <w:color w:val="231F20"/>
          <w:sz w:val="14"/>
        </w:rPr>
        <w:t>comportan</w:t>
      </w:r>
      <w:r>
        <w:rPr>
          <w:color w:val="231F20"/>
          <w:spacing w:val="-7"/>
          <w:sz w:val="14"/>
        </w:rPr>
        <w:t> </w:t>
      </w:r>
      <w:r>
        <w:rPr>
          <w:color w:val="231F20"/>
          <w:sz w:val="14"/>
        </w:rPr>
        <w:t>como</w:t>
      </w:r>
      <w:r>
        <w:rPr>
          <w:color w:val="231F20"/>
          <w:spacing w:val="-7"/>
          <w:sz w:val="14"/>
        </w:rPr>
        <w:t> </w:t>
      </w:r>
      <w:r>
        <w:rPr>
          <w:color w:val="231F20"/>
          <w:sz w:val="14"/>
        </w:rPr>
        <w:t>una</w:t>
      </w:r>
      <w:r>
        <w:rPr>
          <w:color w:val="231F20"/>
          <w:spacing w:val="-6"/>
          <w:sz w:val="14"/>
        </w:rPr>
        <w:t> </w:t>
      </w:r>
      <w:r>
        <w:rPr>
          <w:color w:val="231F20"/>
          <w:sz w:val="14"/>
        </w:rPr>
        <w:t>normal,</w:t>
      </w:r>
      <w:r>
        <w:rPr>
          <w:color w:val="231F20"/>
          <w:spacing w:val="-6"/>
          <w:sz w:val="14"/>
        </w:rPr>
        <w:t> </w:t>
      </w:r>
      <w:r>
        <w:rPr>
          <w:color w:val="231F20"/>
          <w:sz w:val="14"/>
        </w:rPr>
        <w:t>tal</w:t>
      </w:r>
      <w:r>
        <w:rPr>
          <w:color w:val="231F20"/>
          <w:spacing w:val="-7"/>
          <w:sz w:val="14"/>
        </w:rPr>
        <w:t> </w:t>
      </w:r>
      <w:r>
        <w:rPr>
          <w:color w:val="231F20"/>
          <w:sz w:val="14"/>
        </w:rPr>
        <w:t>es</w:t>
      </w:r>
      <w:r>
        <w:rPr>
          <w:color w:val="231F20"/>
          <w:spacing w:val="-7"/>
          <w:sz w:val="14"/>
        </w:rPr>
        <w:t> </w:t>
      </w:r>
      <w:r>
        <w:rPr>
          <w:color w:val="231F20"/>
          <w:sz w:val="14"/>
        </w:rPr>
        <w:t>el</w:t>
      </w:r>
      <w:r>
        <w:rPr>
          <w:color w:val="231F20"/>
          <w:spacing w:val="-7"/>
          <w:sz w:val="14"/>
        </w:rPr>
        <w:t> </w:t>
      </w:r>
      <w:r>
        <w:rPr>
          <w:color w:val="231F20"/>
          <w:sz w:val="14"/>
        </w:rPr>
        <w:t>caso</w:t>
      </w:r>
      <w:r>
        <w:rPr>
          <w:color w:val="231F20"/>
          <w:spacing w:val="-7"/>
          <w:sz w:val="14"/>
        </w:rPr>
        <w:t> </w:t>
      </w:r>
      <w:r>
        <w:rPr>
          <w:color w:val="231F20"/>
          <w:sz w:val="14"/>
        </w:rPr>
        <w:t>de</w:t>
      </w:r>
      <w:r>
        <w:rPr>
          <w:color w:val="231F20"/>
          <w:spacing w:val="-6"/>
          <w:sz w:val="14"/>
        </w:rPr>
        <w:t> </w:t>
      </w:r>
      <w:r>
        <w:rPr>
          <w:color w:val="231F20"/>
          <w:sz w:val="14"/>
        </w:rPr>
        <w:t>la</w:t>
      </w:r>
      <w:r>
        <w:rPr>
          <w:color w:val="231F20"/>
          <w:spacing w:val="-7"/>
          <w:sz w:val="14"/>
        </w:rPr>
        <w:t> </w:t>
      </w:r>
      <w:r>
        <w:rPr>
          <w:color w:val="231F20"/>
          <w:sz w:val="14"/>
        </w:rPr>
        <w:t>variable</w:t>
      </w:r>
      <w:r>
        <w:rPr>
          <w:color w:val="231F20"/>
          <w:spacing w:val="-6"/>
          <w:sz w:val="14"/>
        </w:rPr>
        <w:t> </w:t>
      </w:r>
      <w:r>
        <w:rPr>
          <w:color w:val="231F20"/>
          <w:sz w:val="14"/>
        </w:rPr>
        <w:t>de</w:t>
      </w:r>
      <w:r>
        <w:rPr>
          <w:color w:val="231F20"/>
          <w:spacing w:val="-6"/>
          <w:sz w:val="14"/>
        </w:rPr>
        <w:t> </w:t>
      </w:r>
      <w:r>
        <w:rPr>
          <w:color w:val="231F20"/>
          <w:sz w:val="14"/>
        </w:rPr>
        <w:t>los</w:t>
      </w:r>
      <w:r>
        <w:rPr>
          <w:color w:val="231F20"/>
          <w:spacing w:val="-7"/>
          <w:sz w:val="14"/>
        </w:rPr>
        <w:t> </w:t>
      </w:r>
      <w:r>
        <w:rPr>
          <w:color w:val="231F20"/>
          <w:sz w:val="14"/>
        </w:rPr>
        <w:t>logaritmos</w:t>
      </w:r>
      <w:r>
        <w:rPr>
          <w:color w:val="231F20"/>
          <w:spacing w:val="-7"/>
          <w:sz w:val="14"/>
        </w:rPr>
        <w:t> </w:t>
      </w:r>
      <w:r>
        <w:rPr>
          <w:color w:val="231F20"/>
          <w:sz w:val="14"/>
        </w:rPr>
        <w:t>de</w:t>
      </w:r>
      <w:r>
        <w:rPr>
          <w:color w:val="231F20"/>
          <w:spacing w:val="-6"/>
          <w:sz w:val="14"/>
        </w:rPr>
        <w:t> </w:t>
      </w:r>
      <w:r>
        <w:rPr>
          <w:color w:val="231F20"/>
          <w:sz w:val="14"/>
        </w:rPr>
        <w:t>los</w:t>
      </w:r>
      <w:r>
        <w:rPr>
          <w:color w:val="231F20"/>
          <w:spacing w:val="-7"/>
          <w:sz w:val="14"/>
        </w:rPr>
        <w:t> </w:t>
      </w:r>
      <w:r>
        <w:rPr>
          <w:color w:val="231F20"/>
          <w:sz w:val="14"/>
        </w:rPr>
        <w:t>ingre- sos laborales por hora. Se toma el logaritmo pues mantiene una relación más simétrica de los datos que los valores absolutos, por lo que modelar la mediana es más adecuado a este</w:t>
      </w:r>
      <w:r>
        <w:rPr>
          <w:color w:val="231F20"/>
          <w:spacing w:val="-9"/>
          <w:sz w:val="14"/>
        </w:rPr>
        <w:t> </w:t>
      </w:r>
      <w:r>
        <w:rPr>
          <w:color w:val="231F20"/>
          <w:sz w:val="14"/>
        </w:rPr>
        <w:t>nivel.</w:t>
      </w:r>
    </w:p>
    <w:p>
      <w:pPr>
        <w:spacing w:after="0"/>
        <w:jc w:val="both"/>
        <w:rPr>
          <w:sz w:val="14"/>
        </w:rPr>
        <w:sectPr>
          <w:footerReference w:type="default" r:id="rId141"/>
          <w:pgSz w:w="7770" w:h="11740"/>
          <w:pgMar w:footer="474" w:header="0" w:top="840" w:bottom="660" w:left="740" w:right="1020"/>
          <w:pgNumType w:start="104"/>
        </w:sectPr>
      </w:pPr>
    </w:p>
    <w:p>
      <w:pPr>
        <w:pStyle w:val="BodyText"/>
        <w:spacing w:line="249" w:lineRule="auto" w:before="60"/>
        <w:ind w:left="113" w:right="107"/>
        <w:jc w:val="both"/>
      </w:pPr>
      <w:r>
        <w:rPr>
          <w:color w:val="231F20"/>
        </w:rPr>
        <w:t>lo anterior, se introdujeron expresiones al cuadrado de la edad y la esco- laridad, pues es probable que el efecto de dichas variables no mantenga una relación lineal con el ingreso. La estrategia seguida para observar   el efecto de las distintas variables, fue introducirlas de manera secuen- cial en las diferentes regresiones, y analizar si estas mejoraban el ajuste (véanse los indicadores seudo R</w:t>
      </w:r>
      <w:r>
        <w:rPr>
          <w:color w:val="231F20"/>
          <w:position w:val="7"/>
          <w:sz w:val="11"/>
        </w:rPr>
        <w:t>2 </w:t>
      </w:r>
      <w:r>
        <w:rPr>
          <w:color w:val="231F20"/>
        </w:rPr>
        <w:t>en los cuadros</w:t>
      </w:r>
      <w:r>
        <w:rPr>
          <w:color w:val="231F20"/>
          <w:spacing w:val="-35"/>
        </w:rPr>
        <w:t> </w:t>
      </w:r>
      <w:r>
        <w:rPr>
          <w:color w:val="231F20"/>
        </w:rPr>
        <w:t>A.2 del anexo). En total, estimamos nueve modelos</w:t>
      </w:r>
      <w:r>
        <w:rPr>
          <w:color w:val="231F20"/>
          <w:spacing w:val="-2"/>
        </w:rPr>
        <w:t> </w:t>
      </w:r>
      <w:r>
        <w:rPr>
          <w:color w:val="231F20"/>
        </w:rPr>
        <w:t>estadísticos.</w:t>
      </w:r>
    </w:p>
    <w:p>
      <w:pPr>
        <w:pStyle w:val="BodyText"/>
        <w:spacing w:line="249" w:lineRule="auto" w:before="1"/>
        <w:ind w:left="113" w:right="107" w:firstLine="283"/>
        <w:jc w:val="both"/>
      </w:pPr>
      <w:r>
        <w:rPr>
          <w:color w:val="231F20"/>
        </w:rPr>
        <w:t>El modelo 1 (véase el resumen en el Cuadro 2) es el modelo más simple, donde las variables explicativas corresponden a los sectores económicos (manteniendo el sector de transables concentrados como la categoría de referencia); en los modelos subsecuentes se introducen las demás</w:t>
      </w:r>
      <w:r>
        <w:rPr>
          <w:color w:val="231F20"/>
          <w:spacing w:val="-4"/>
        </w:rPr>
        <w:t> </w:t>
      </w:r>
      <w:r>
        <w:rPr>
          <w:color w:val="231F20"/>
        </w:rPr>
        <w:t>variables.</w:t>
      </w:r>
      <w:r>
        <w:rPr>
          <w:color w:val="231F20"/>
          <w:spacing w:val="-4"/>
        </w:rPr>
        <w:t> </w:t>
      </w:r>
      <w:r>
        <w:rPr>
          <w:color w:val="231F20"/>
        </w:rPr>
        <w:t>Utilizamos</w:t>
      </w:r>
      <w:r>
        <w:rPr>
          <w:color w:val="231F20"/>
          <w:spacing w:val="-4"/>
        </w:rPr>
        <w:t> </w:t>
      </w:r>
      <w:r>
        <w:rPr>
          <w:color w:val="231F20"/>
        </w:rPr>
        <w:t>el</w:t>
      </w:r>
      <w:r>
        <w:rPr>
          <w:color w:val="231F20"/>
          <w:spacing w:val="-4"/>
        </w:rPr>
        <w:t> </w:t>
      </w:r>
      <w:r>
        <w:rPr>
          <w:color w:val="231F20"/>
        </w:rPr>
        <w:t>signo</w:t>
      </w:r>
      <w:r>
        <w:rPr>
          <w:color w:val="231F20"/>
          <w:spacing w:val="-4"/>
        </w:rPr>
        <w:t> </w:t>
      </w:r>
      <w:r>
        <w:rPr>
          <w:color w:val="231F20"/>
        </w:rPr>
        <w:t>de</w:t>
      </w:r>
      <w:r>
        <w:rPr>
          <w:color w:val="231F20"/>
          <w:spacing w:val="-4"/>
        </w:rPr>
        <w:t> </w:t>
      </w:r>
      <w:r>
        <w:rPr>
          <w:color w:val="231F20"/>
        </w:rPr>
        <w:t>(+)</w:t>
      </w:r>
      <w:r>
        <w:rPr>
          <w:color w:val="231F20"/>
          <w:spacing w:val="-4"/>
        </w:rPr>
        <w:t> </w:t>
      </w:r>
      <w:r>
        <w:rPr>
          <w:color w:val="231F20"/>
        </w:rPr>
        <w:t>cuando</w:t>
      </w:r>
      <w:r>
        <w:rPr>
          <w:color w:val="231F20"/>
          <w:spacing w:val="-4"/>
        </w:rPr>
        <w:t> </w:t>
      </w:r>
      <w:r>
        <w:rPr>
          <w:color w:val="231F20"/>
        </w:rPr>
        <w:t>el</w:t>
      </w:r>
      <w:r>
        <w:rPr>
          <w:color w:val="231F20"/>
          <w:spacing w:val="-4"/>
        </w:rPr>
        <w:t> </w:t>
      </w:r>
      <w:r>
        <w:rPr>
          <w:color w:val="231F20"/>
        </w:rPr>
        <w:t>efecto</w:t>
      </w:r>
      <w:r>
        <w:rPr>
          <w:color w:val="231F20"/>
          <w:spacing w:val="-4"/>
        </w:rPr>
        <w:t> </w:t>
      </w:r>
      <w:r>
        <w:rPr>
          <w:color w:val="231F20"/>
        </w:rPr>
        <w:t>es</w:t>
      </w:r>
      <w:r>
        <w:rPr>
          <w:color w:val="231F20"/>
          <w:spacing w:val="-4"/>
        </w:rPr>
        <w:t> </w:t>
      </w:r>
      <w:r>
        <w:rPr>
          <w:color w:val="231F20"/>
        </w:rPr>
        <w:t>positivo; el signo de (-) cuando la relación es negativa, y 0 cuando ésta no es sig- nificativa. Si se trata de variables con más de dos categorías, el número de</w:t>
      </w:r>
      <w:r>
        <w:rPr>
          <w:color w:val="231F20"/>
          <w:spacing w:val="-4"/>
        </w:rPr>
        <w:t> </w:t>
      </w:r>
      <w:r>
        <w:rPr>
          <w:color w:val="231F20"/>
        </w:rPr>
        <w:t>signos</w:t>
      </w:r>
      <w:r>
        <w:rPr>
          <w:color w:val="231F20"/>
          <w:spacing w:val="-3"/>
        </w:rPr>
        <w:t> </w:t>
      </w:r>
      <w:r>
        <w:rPr>
          <w:color w:val="231F20"/>
        </w:rPr>
        <w:t>indicará</w:t>
      </w:r>
      <w:r>
        <w:rPr>
          <w:color w:val="231F20"/>
          <w:spacing w:val="-4"/>
        </w:rPr>
        <w:t> </w:t>
      </w:r>
      <w:r>
        <w:rPr>
          <w:color w:val="231F20"/>
        </w:rPr>
        <w:t>el</w:t>
      </w:r>
      <w:r>
        <w:rPr>
          <w:color w:val="231F20"/>
          <w:spacing w:val="-4"/>
        </w:rPr>
        <w:t> </w:t>
      </w:r>
      <w:r>
        <w:rPr>
          <w:color w:val="231F20"/>
        </w:rPr>
        <w:t>efecto</w:t>
      </w:r>
      <w:r>
        <w:rPr>
          <w:color w:val="231F20"/>
          <w:spacing w:val="-4"/>
        </w:rPr>
        <w:t> </w:t>
      </w:r>
      <w:r>
        <w:rPr>
          <w:color w:val="231F20"/>
        </w:rPr>
        <w:t>de</w:t>
      </w:r>
      <w:r>
        <w:rPr>
          <w:color w:val="231F20"/>
          <w:spacing w:val="-4"/>
        </w:rPr>
        <w:t> </w:t>
      </w:r>
      <w:r>
        <w:rPr>
          <w:color w:val="231F20"/>
        </w:rPr>
        <w:t>cada</w:t>
      </w:r>
      <w:r>
        <w:rPr>
          <w:color w:val="231F20"/>
          <w:spacing w:val="-4"/>
        </w:rPr>
        <w:t> </w:t>
      </w:r>
      <w:r>
        <w:rPr>
          <w:color w:val="231F20"/>
        </w:rPr>
        <w:t>categoría</w:t>
      </w:r>
      <w:r>
        <w:rPr>
          <w:color w:val="231F20"/>
          <w:spacing w:val="-4"/>
        </w:rPr>
        <w:t> </w:t>
      </w:r>
      <w:r>
        <w:rPr>
          <w:color w:val="231F20"/>
        </w:rPr>
        <w:t>y</w:t>
      </w:r>
      <w:r>
        <w:rPr>
          <w:color w:val="231F20"/>
          <w:spacing w:val="-4"/>
        </w:rPr>
        <w:t> </w:t>
      </w:r>
      <w:r>
        <w:rPr>
          <w:color w:val="231F20"/>
        </w:rPr>
        <w:t>su</w:t>
      </w:r>
      <w:r>
        <w:rPr>
          <w:color w:val="231F20"/>
          <w:spacing w:val="-4"/>
        </w:rPr>
        <w:t> </w:t>
      </w:r>
      <w:r>
        <w:rPr>
          <w:color w:val="231F20"/>
        </w:rPr>
        <w:t>jerarquía</w:t>
      </w:r>
      <w:r>
        <w:rPr>
          <w:color w:val="231F20"/>
          <w:spacing w:val="-4"/>
        </w:rPr>
        <w:t> </w:t>
      </w:r>
      <w:r>
        <w:rPr>
          <w:color w:val="231F20"/>
        </w:rPr>
        <w:t>con</w:t>
      </w:r>
      <w:r>
        <w:rPr>
          <w:color w:val="231F20"/>
          <w:spacing w:val="-4"/>
        </w:rPr>
        <w:t> </w:t>
      </w:r>
      <w:r>
        <w:rPr>
          <w:color w:val="231F20"/>
        </w:rPr>
        <w:t>respecto a la de referencia.</w:t>
      </w:r>
    </w:p>
    <w:p>
      <w:pPr>
        <w:pStyle w:val="BodyText"/>
        <w:spacing w:line="249" w:lineRule="auto" w:before="1"/>
        <w:ind w:left="113" w:right="107" w:firstLine="283"/>
        <w:jc w:val="both"/>
      </w:pPr>
      <w:r>
        <w:rPr>
          <w:color w:val="231F20"/>
        </w:rPr>
        <w:t>En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respecta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pertenencia</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sectores</w:t>
      </w:r>
      <w:r>
        <w:rPr>
          <w:color w:val="231F20"/>
          <w:spacing w:val="-8"/>
        </w:rPr>
        <w:t> </w:t>
      </w:r>
      <w:r>
        <w:rPr>
          <w:color w:val="231F20"/>
        </w:rPr>
        <w:t>clasificados</w:t>
      </w:r>
      <w:r>
        <w:rPr>
          <w:color w:val="231F20"/>
          <w:spacing w:val="-8"/>
        </w:rPr>
        <w:t> </w:t>
      </w:r>
      <w:r>
        <w:rPr>
          <w:color w:val="231F20"/>
        </w:rPr>
        <w:t>desde</w:t>
      </w:r>
      <w:r>
        <w:rPr>
          <w:color w:val="231F20"/>
          <w:spacing w:val="-8"/>
        </w:rPr>
        <w:t> </w:t>
      </w:r>
      <w:r>
        <w:rPr>
          <w:color w:val="231F20"/>
        </w:rPr>
        <w:t>el comercio internacional, tenemos dos resultados principales (Cuadro 2). El</w:t>
      </w:r>
      <w:r>
        <w:rPr>
          <w:color w:val="231F20"/>
          <w:spacing w:val="-8"/>
        </w:rPr>
        <w:t> </w:t>
      </w:r>
      <w:r>
        <w:rPr>
          <w:color w:val="231F20"/>
        </w:rPr>
        <w:t>primero</w:t>
      </w:r>
      <w:r>
        <w:rPr>
          <w:color w:val="231F20"/>
          <w:spacing w:val="-8"/>
        </w:rPr>
        <w:t> </w:t>
      </w:r>
      <w:r>
        <w:rPr>
          <w:color w:val="231F20"/>
        </w:rPr>
        <w:t>se</w:t>
      </w:r>
      <w:r>
        <w:rPr>
          <w:color w:val="231F20"/>
          <w:spacing w:val="-8"/>
        </w:rPr>
        <w:t> </w:t>
      </w:r>
      <w:r>
        <w:rPr>
          <w:color w:val="231F20"/>
        </w:rPr>
        <w:t>refiere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ventaja</w:t>
      </w:r>
      <w:r>
        <w:rPr>
          <w:color w:val="231F20"/>
          <w:spacing w:val="-8"/>
        </w:rPr>
        <w:t> </w:t>
      </w:r>
      <w:r>
        <w:rPr>
          <w:color w:val="231F20"/>
        </w:rPr>
        <w:t>significativa</w:t>
      </w:r>
      <w:r>
        <w:rPr>
          <w:color w:val="231F20"/>
          <w:spacing w:val="-8"/>
        </w:rPr>
        <w:t> </w:t>
      </w:r>
      <w:r>
        <w:rPr>
          <w:color w:val="231F20"/>
        </w:rPr>
        <w:t>que</w:t>
      </w:r>
      <w:r>
        <w:rPr>
          <w:color w:val="231F20"/>
          <w:spacing w:val="-8"/>
        </w:rPr>
        <w:t> </w:t>
      </w:r>
      <w:r>
        <w:rPr>
          <w:color w:val="231F20"/>
        </w:rPr>
        <w:t>presenta</w:t>
      </w:r>
      <w:r>
        <w:rPr>
          <w:color w:val="231F20"/>
          <w:spacing w:val="-8"/>
        </w:rPr>
        <w:t> </w:t>
      </w:r>
      <w:r>
        <w:rPr>
          <w:color w:val="231F20"/>
        </w:rPr>
        <w:t>la</w:t>
      </w:r>
      <w:r>
        <w:rPr>
          <w:color w:val="231F20"/>
          <w:spacing w:val="-8"/>
        </w:rPr>
        <w:t> </w:t>
      </w:r>
      <w:r>
        <w:rPr>
          <w:color w:val="231F20"/>
        </w:rPr>
        <w:t>pertenencia a los sectores no transables en todas las regresiones. Es decir que, te- niendo</w:t>
      </w:r>
      <w:r>
        <w:rPr>
          <w:color w:val="231F20"/>
          <w:spacing w:val="-6"/>
        </w:rPr>
        <w:t> </w:t>
      </w:r>
      <w:r>
        <w:rPr>
          <w:color w:val="231F20"/>
        </w:rPr>
        <w:t>en</w:t>
      </w:r>
      <w:r>
        <w:rPr>
          <w:color w:val="231F20"/>
          <w:spacing w:val="-6"/>
        </w:rPr>
        <w:t> </w:t>
      </w:r>
      <w:r>
        <w:rPr>
          <w:color w:val="231F20"/>
        </w:rPr>
        <w:t>cuenta</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distintos</w:t>
      </w:r>
      <w:r>
        <w:rPr>
          <w:color w:val="231F20"/>
          <w:spacing w:val="-6"/>
        </w:rPr>
        <w:t> </w:t>
      </w:r>
      <w:r>
        <w:rPr>
          <w:color w:val="231F20"/>
        </w:rPr>
        <w:t>factores</w:t>
      </w:r>
      <w:r>
        <w:rPr>
          <w:color w:val="231F20"/>
          <w:spacing w:val="-6"/>
        </w:rPr>
        <w:t> </w:t>
      </w:r>
      <w:r>
        <w:rPr>
          <w:color w:val="231F20"/>
        </w:rPr>
        <w:t>intervinientes,</w:t>
      </w:r>
      <w:r>
        <w:rPr>
          <w:color w:val="231F20"/>
          <w:spacing w:val="-7"/>
        </w:rPr>
        <w:t> </w:t>
      </w:r>
      <w:r>
        <w:rPr>
          <w:color w:val="231F20"/>
        </w:rPr>
        <w:t>un</w:t>
      </w:r>
      <w:r>
        <w:rPr>
          <w:color w:val="231F20"/>
          <w:spacing w:val="-6"/>
        </w:rPr>
        <w:t> </w:t>
      </w:r>
      <w:r>
        <w:rPr>
          <w:color w:val="231F20"/>
        </w:rPr>
        <w:t>trabajador gana más en la industria de la construcción, alrededor de 19 por ciento más (cuadros</w:t>
      </w:r>
      <w:r>
        <w:rPr>
          <w:color w:val="231F20"/>
          <w:spacing w:val="-35"/>
        </w:rPr>
        <w:t> </w:t>
      </w:r>
      <w:r>
        <w:rPr>
          <w:color w:val="231F20"/>
        </w:rPr>
        <w:t>A.2 del anexo) que en los sectores considerados en la agri- cultura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industria</w:t>
      </w:r>
      <w:r>
        <w:rPr>
          <w:color w:val="231F20"/>
          <w:spacing w:val="-6"/>
        </w:rPr>
        <w:t> </w:t>
      </w:r>
      <w:r>
        <w:rPr>
          <w:color w:val="231F20"/>
        </w:rPr>
        <w:t>de</w:t>
      </w:r>
      <w:r>
        <w:rPr>
          <w:color w:val="231F20"/>
          <w:spacing w:val="-5"/>
        </w:rPr>
        <w:t> </w:t>
      </w:r>
      <w:r>
        <w:rPr>
          <w:color w:val="231F20"/>
        </w:rPr>
        <w:t>transformación</w:t>
      </w:r>
      <w:r>
        <w:rPr>
          <w:color w:val="231F20"/>
          <w:spacing w:val="-6"/>
        </w:rPr>
        <w:t> </w:t>
      </w:r>
      <w:r>
        <w:rPr>
          <w:color w:val="231F20"/>
        </w:rPr>
        <w:t>(ya</w:t>
      </w:r>
      <w:r>
        <w:rPr>
          <w:color w:val="231F20"/>
          <w:spacing w:val="-5"/>
        </w:rPr>
        <w:t> </w:t>
      </w:r>
      <w:r>
        <w:rPr>
          <w:color w:val="231F20"/>
        </w:rPr>
        <w:t>sean</w:t>
      </w:r>
      <w:r>
        <w:rPr>
          <w:color w:val="231F20"/>
          <w:spacing w:val="-5"/>
        </w:rPr>
        <w:t> </w:t>
      </w:r>
      <w:r>
        <w:rPr>
          <w:color w:val="231F20"/>
        </w:rPr>
        <w:t>transables</w:t>
      </w:r>
      <w:r>
        <w:rPr>
          <w:color w:val="231F20"/>
          <w:spacing w:val="-6"/>
        </w:rPr>
        <w:t> </w:t>
      </w:r>
      <w:r>
        <w:rPr>
          <w:color w:val="231F20"/>
        </w:rPr>
        <w:t>concentrados u</w:t>
      </w:r>
      <w:r>
        <w:rPr>
          <w:color w:val="231F20"/>
          <w:spacing w:val="-8"/>
        </w:rPr>
        <w:t> </w:t>
      </w:r>
      <w:r>
        <w:rPr>
          <w:color w:val="231F20"/>
        </w:rPr>
        <w:t>otros</w:t>
      </w:r>
      <w:r>
        <w:rPr>
          <w:color w:val="231F20"/>
          <w:spacing w:val="-8"/>
        </w:rPr>
        <w:t> </w:t>
      </w:r>
      <w:r>
        <w:rPr>
          <w:color w:val="231F20"/>
        </w:rPr>
        <w:t>transables).</w:t>
      </w:r>
      <w:r>
        <w:rPr>
          <w:color w:val="231F20"/>
          <w:position w:val="7"/>
          <w:sz w:val="11"/>
        </w:rPr>
        <w:t>11</w:t>
      </w:r>
      <w:r>
        <w:rPr>
          <w:color w:val="231F20"/>
          <w:spacing w:val="15"/>
          <w:position w:val="7"/>
          <w:sz w:val="11"/>
        </w:rPr>
        <w:t> </w:t>
      </w:r>
      <w:r>
        <w:rPr>
          <w:color w:val="231F20"/>
        </w:rPr>
        <w:t>Discutimos</w:t>
      </w:r>
      <w:r>
        <w:rPr>
          <w:color w:val="231F20"/>
          <w:spacing w:val="-7"/>
        </w:rPr>
        <w:t> </w:t>
      </w:r>
      <w:r>
        <w:rPr>
          <w:color w:val="231F20"/>
        </w:rPr>
        <w:t>más</w:t>
      </w:r>
      <w:r>
        <w:rPr>
          <w:color w:val="231F20"/>
          <w:spacing w:val="-8"/>
        </w:rPr>
        <w:t> </w:t>
      </w:r>
      <w:r>
        <w:rPr>
          <w:color w:val="231F20"/>
        </w:rPr>
        <w:t>adelante</w:t>
      </w:r>
      <w:r>
        <w:rPr>
          <w:color w:val="231F20"/>
          <w:spacing w:val="-9"/>
        </w:rPr>
        <w:t> </w:t>
      </w:r>
      <w:r>
        <w:rPr>
          <w:color w:val="231F20"/>
        </w:rPr>
        <w:t>sobre</w:t>
      </w:r>
      <w:r>
        <w:rPr>
          <w:color w:val="231F20"/>
          <w:spacing w:val="-8"/>
        </w:rPr>
        <w:t> </w:t>
      </w:r>
      <w:r>
        <w:rPr>
          <w:color w:val="231F20"/>
        </w:rPr>
        <w:t>las</w:t>
      </w:r>
      <w:r>
        <w:rPr>
          <w:color w:val="231F20"/>
          <w:spacing w:val="-8"/>
        </w:rPr>
        <w:t> </w:t>
      </w:r>
      <w:r>
        <w:rPr>
          <w:color w:val="231F20"/>
        </w:rPr>
        <w:t>implicaciones</w:t>
      </w:r>
      <w:r>
        <w:rPr>
          <w:color w:val="231F20"/>
          <w:spacing w:val="-8"/>
        </w:rPr>
        <w:t> </w:t>
      </w:r>
      <w:r>
        <w:rPr>
          <w:color w:val="231F20"/>
        </w:rPr>
        <w:t>de este</w:t>
      </w:r>
      <w:r>
        <w:rPr>
          <w:color w:val="231F20"/>
          <w:spacing w:val="-1"/>
        </w:rPr>
        <w:t> </w:t>
      </w:r>
      <w:r>
        <w:rPr>
          <w:color w:val="231F20"/>
        </w:rPr>
        <w:t>resultado.</w:t>
      </w:r>
    </w:p>
    <w:p>
      <w:pPr>
        <w:pStyle w:val="BodyText"/>
        <w:spacing w:line="249" w:lineRule="auto" w:before="1"/>
        <w:ind w:left="113" w:right="107" w:firstLine="283"/>
        <w:jc w:val="both"/>
      </w:pPr>
      <w:r>
        <w:rPr>
          <w:color w:val="231F20"/>
        </w:rPr>
        <w:t>El segundo tiene que ver con la reducida diferencia que muestra el modelo final en términos de ingreso percibido entre los sectores tran- sables. Al inicio, a igualdad de circunstancias en cuanto a género, edad, escolaridad</w:t>
      </w:r>
      <w:r>
        <w:rPr>
          <w:color w:val="231F20"/>
          <w:spacing w:val="-10"/>
        </w:rPr>
        <w:t> </w:t>
      </w:r>
      <w:r>
        <w:rPr>
          <w:color w:val="231F20"/>
        </w:rPr>
        <w:t>y</w:t>
      </w:r>
      <w:r>
        <w:rPr>
          <w:color w:val="231F20"/>
          <w:spacing w:val="-9"/>
        </w:rPr>
        <w:t> </w:t>
      </w:r>
      <w:r>
        <w:rPr>
          <w:color w:val="231F20"/>
        </w:rPr>
        <w:t>residencia</w:t>
      </w:r>
      <w:r>
        <w:rPr>
          <w:color w:val="231F20"/>
          <w:spacing w:val="-9"/>
        </w:rPr>
        <w:t> </w:t>
      </w:r>
      <w:r>
        <w:rPr>
          <w:color w:val="231F20"/>
        </w:rPr>
        <w:t>regional</w:t>
      </w:r>
      <w:r>
        <w:rPr>
          <w:color w:val="231F20"/>
          <w:spacing w:val="-9"/>
        </w:rPr>
        <w:t> </w:t>
      </w:r>
      <w:r>
        <w:rPr>
          <w:color w:val="231F20"/>
        </w:rPr>
        <w:t>(modelos</w:t>
      </w:r>
      <w:r>
        <w:rPr>
          <w:color w:val="231F20"/>
          <w:spacing w:val="-9"/>
        </w:rPr>
        <w:t> </w:t>
      </w:r>
      <w:r>
        <w:rPr>
          <w:color w:val="231F20"/>
        </w:rPr>
        <w:t>1</w:t>
      </w:r>
      <w:r>
        <w:rPr>
          <w:color w:val="231F20"/>
          <w:spacing w:val="-9"/>
        </w:rPr>
        <w:t> </w:t>
      </w:r>
      <w:r>
        <w:rPr>
          <w:color w:val="231F20"/>
        </w:rPr>
        <w:t>al</w:t>
      </w:r>
      <w:r>
        <w:rPr>
          <w:color w:val="231F20"/>
          <w:spacing w:val="-9"/>
        </w:rPr>
        <w:t> </w:t>
      </w:r>
      <w:r>
        <w:rPr>
          <w:color w:val="231F20"/>
        </w:rPr>
        <w:t>5),</w:t>
      </w:r>
      <w:r>
        <w:rPr>
          <w:color w:val="231F20"/>
          <w:spacing w:val="-9"/>
        </w:rPr>
        <w:t> </w:t>
      </w:r>
      <w:r>
        <w:rPr>
          <w:color w:val="231F20"/>
        </w:rPr>
        <w:t>los</w:t>
      </w:r>
      <w:r>
        <w:rPr>
          <w:color w:val="231F20"/>
          <w:spacing w:val="-9"/>
        </w:rPr>
        <w:t> </w:t>
      </w:r>
      <w:r>
        <w:rPr>
          <w:color w:val="231F20"/>
        </w:rPr>
        <w:t>sectores</w:t>
      </w:r>
      <w:r>
        <w:rPr>
          <w:color w:val="231F20"/>
          <w:spacing w:val="-9"/>
        </w:rPr>
        <w:t> </w:t>
      </w:r>
      <w:r>
        <w:rPr>
          <w:color w:val="231F20"/>
        </w:rPr>
        <w:t>transables concentrados (categoría de referencia, donde se comercia con menos so- cios) se presentan en desventaja de ingreso frente a los otros transables. Sin</w:t>
      </w:r>
      <w:r>
        <w:rPr>
          <w:color w:val="231F20"/>
          <w:spacing w:val="-9"/>
        </w:rPr>
        <w:t> </w:t>
      </w:r>
      <w:r>
        <w:rPr>
          <w:color w:val="231F20"/>
        </w:rPr>
        <w:t>embargo,</w:t>
      </w:r>
      <w:r>
        <w:rPr>
          <w:color w:val="231F20"/>
          <w:spacing w:val="-9"/>
        </w:rPr>
        <w:t> </w:t>
      </w:r>
      <w:r>
        <w:rPr>
          <w:color w:val="231F20"/>
        </w:rPr>
        <w:t>cuando</w:t>
      </w:r>
      <w:r>
        <w:rPr>
          <w:color w:val="231F20"/>
          <w:spacing w:val="-9"/>
        </w:rPr>
        <w:t> </w:t>
      </w:r>
      <w:r>
        <w:rPr>
          <w:color w:val="231F20"/>
        </w:rPr>
        <w:t>se</w:t>
      </w:r>
      <w:r>
        <w:rPr>
          <w:color w:val="231F20"/>
          <w:spacing w:val="-9"/>
        </w:rPr>
        <w:t> </w:t>
      </w:r>
      <w:r>
        <w:rPr>
          <w:color w:val="231F20"/>
        </w:rPr>
        <w:t>introduce</w:t>
      </w:r>
      <w:r>
        <w:rPr>
          <w:color w:val="231F20"/>
          <w:spacing w:val="-9"/>
        </w:rPr>
        <w:t> </w:t>
      </w:r>
      <w:r>
        <w:rPr>
          <w:color w:val="231F20"/>
        </w:rPr>
        <w:t>el</w:t>
      </w:r>
      <w:r>
        <w:rPr>
          <w:color w:val="231F20"/>
          <w:spacing w:val="-9"/>
        </w:rPr>
        <w:t> </w:t>
      </w:r>
      <w:r>
        <w:rPr>
          <w:color w:val="231F20"/>
        </w:rPr>
        <w:t>control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residencia</w:t>
      </w:r>
      <w:r>
        <w:rPr>
          <w:color w:val="231F20"/>
          <w:spacing w:val="-9"/>
        </w:rPr>
        <w:t> </w:t>
      </w:r>
      <w:r>
        <w:rPr>
          <w:color w:val="231F20"/>
        </w:rPr>
        <w:t>rural-urbana y de las demás variables referidas a la ocupación y el tamaño del es- tablecimiento (modelos 6 al 8) esta desventaja desaparece e incluso se revierte.</w:t>
      </w:r>
    </w:p>
    <w:p>
      <w:pPr>
        <w:pStyle w:val="BodyText"/>
      </w:pPr>
    </w:p>
    <w:p>
      <w:pPr>
        <w:pStyle w:val="BodyText"/>
        <w:spacing w:before="10"/>
        <w:rPr>
          <w:sz w:val="17"/>
        </w:rPr>
      </w:pPr>
    </w:p>
    <w:p>
      <w:pPr>
        <w:spacing w:before="1"/>
        <w:ind w:left="113" w:right="108" w:firstLine="0"/>
        <w:jc w:val="both"/>
        <w:rPr>
          <w:sz w:val="14"/>
        </w:rPr>
      </w:pPr>
      <w:r>
        <w:rPr>
          <w:color w:val="231F20"/>
          <w:position w:val="5"/>
          <w:sz w:val="8"/>
        </w:rPr>
        <w:t>11 </w:t>
      </w:r>
      <w:r>
        <w:rPr>
          <w:color w:val="231F20"/>
          <w:sz w:val="14"/>
        </w:rPr>
        <w:t>Los logaritmos en los cuadro A.2 del anexo pueden interpretarse de manera aproximada como un cambio porcentual. Para contextualizar estos resultados hay que recordar que en algunos servicios y el gobierno</w:t>
      </w:r>
      <w:r>
        <w:rPr>
          <w:color w:val="231F20"/>
          <w:spacing w:val="-6"/>
          <w:sz w:val="14"/>
        </w:rPr>
        <w:t> </w:t>
      </w:r>
      <w:r>
        <w:rPr>
          <w:color w:val="231F20"/>
          <w:sz w:val="14"/>
        </w:rPr>
        <w:t>(sectores</w:t>
      </w:r>
      <w:r>
        <w:rPr>
          <w:color w:val="231F20"/>
          <w:spacing w:val="-6"/>
          <w:sz w:val="14"/>
        </w:rPr>
        <w:t> </w:t>
      </w:r>
      <w:r>
        <w:rPr>
          <w:color w:val="231F20"/>
          <w:sz w:val="14"/>
        </w:rPr>
        <w:t>no</w:t>
      </w:r>
      <w:r>
        <w:rPr>
          <w:color w:val="231F20"/>
          <w:spacing w:val="-7"/>
          <w:sz w:val="14"/>
        </w:rPr>
        <w:t> </w:t>
      </w:r>
      <w:r>
        <w:rPr>
          <w:color w:val="231F20"/>
          <w:sz w:val="14"/>
        </w:rPr>
        <w:t>incluidos</w:t>
      </w:r>
      <w:r>
        <w:rPr>
          <w:color w:val="231F20"/>
          <w:spacing w:val="-7"/>
          <w:sz w:val="14"/>
        </w:rPr>
        <w:t> </w:t>
      </w:r>
      <w:r>
        <w:rPr>
          <w:color w:val="231F20"/>
          <w:sz w:val="14"/>
        </w:rPr>
        <w:t>en</w:t>
      </w:r>
      <w:r>
        <w:rPr>
          <w:color w:val="231F20"/>
          <w:spacing w:val="-7"/>
          <w:sz w:val="14"/>
        </w:rPr>
        <w:t> </w:t>
      </w:r>
      <w:r>
        <w:rPr>
          <w:color w:val="231F20"/>
          <w:sz w:val="14"/>
        </w:rPr>
        <w:t>este</w:t>
      </w:r>
      <w:r>
        <w:rPr>
          <w:color w:val="231F20"/>
          <w:spacing w:val="-7"/>
          <w:sz w:val="14"/>
        </w:rPr>
        <w:t> </w:t>
      </w:r>
      <w:r>
        <w:rPr>
          <w:color w:val="231F20"/>
          <w:sz w:val="14"/>
        </w:rPr>
        <w:t>estudio)</w:t>
      </w:r>
      <w:r>
        <w:rPr>
          <w:color w:val="231F20"/>
          <w:spacing w:val="-7"/>
          <w:sz w:val="14"/>
        </w:rPr>
        <w:t> </w:t>
      </w:r>
      <w:r>
        <w:rPr>
          <w:color w:val="231F20"/>
          <w:sz w:val="14"/>
        </w:rPr>
        <w:t>se</w:t>
      </w:r>
      <w:r>
        <w:rPr>
          <w:color w:val="231F20"/>
          <w:spacing w:val="-6"/>
          <w:sz w:val="14"/>
        </w:rPr>
        <w:t> </w:t>
      </w:r>
      <w:r>
        <w:rPr>
          <w:color w:val="231F20"/>
          <w:sz w:val="14"/>
        </w:rPr>
        <w:t>suelen</w:t>
      </w:r>
      <w:r>
        <w:rPr>
          <w:color w:val="231F20"/>
          <w:spacing w:val="-6"/>
          <w:sz w:val="14"/>
        </w:rPr>
        <w:t> </w:t>
      </w:r>
      <w:r>
        <w:rPr>
          <w:color w:val="231F20"/>
          <w:sz w:val="14"/>
        </w:rPr>
        <w:t>registrar</w:t>
      </w:r>
      <w:r>
        <w:rPr>
          <w:color w:val="231F20"/>
          <w:spacing w:val="-6"/>
          <w:sz w:val="14"/>
        </w:rPr>
        <w:t> </w:t>
      </w:r>
      <w:r>
        <w:rPr>
          <w:color w:val="231F20"/>
          <w:sz w:val="14"/>
        </w:rPr>
        <w:t>los</w:t>
      </w:r>
      <w:r>
        <w:rPr>
          <w:color w:val="231F20"/>
          <w:spacing w:val="-7"/>
          <w:sz w:val="14"/>
        </w:rPr>
        <w:t> </w:t>
      </w:r>
      <w:r>
        <w:rPr>
          <w:color w:val="231F20"/>
          <w:sz w:val="14"/>
        </w:rPr>
        <w:t>salarios</w:t>
      </w:r>
      <w:r>
        <w:rPr>
          <w:color w:val="231F20"/>
          <w:spacing w:val="-6"/>
          <w:sz w:val="14"/>
        </w:rPr>
        <w:t> </w:t>
      </w:r>
      <w:r>
        <w:rPr>
          <w:color w:val="231F20"/>
          <w:sz w:val="14"/>
        </w:rPr>
        <w:t>mayores</w:t>
      </w:r>
      <w:r>
        <w:rPr>
          <w:color w:val="231F20"/>
          <w:spacing w:val="-7"/>
          <w:sz w:val="14"/>
        </w:rPr>
        <w:t> </w:t>
      </w:r>
      <w:r>
        <w:rPr>
          <w:color w:val="231F20"/>
          <w:sz w:val="14"/>
        </w:rPr>
        <w:t>en</w:t>
      </w:r>
      <w:r>
        <w:rPr>
          <w:color w:val="231F20"/>
          <w:spacing w:val="-7"/>
          <w:sz w:val="14"/>
        </w:rPr>
        <w:t> </w:t>
      </w:r>
      <w:r>
        <w:rPr>
          <w:color w:val="231F20"/>
          <w:sz w:val="14"/>
        </w:rPr>
        <w:t>el</w:t>
      </w:r>
      <w:r>
        <w:rPr>
          <w:color w:val="231F20"/>
          <w:spacing w:val="-7"/>
          <w:sz w:val="14"/>
        </w:rPr>
        <w:t> </w:t>
      </w:r>
      <w:r>
        <w:rPr>
          <w:color w:val="231F20"/>
          <w:sz w:val="14"/>
        </w:rPr>
        <w:t>mercado</w:t>
      </w:r>
      <w:r>
        <w:rPr>
          <w:color w:val="231F20"/>
          <w:spacing w:val="-7"/>
          <w:sz w:val="14"/>
        </w:rPr>
        <w:t> </w:t>
      </w:r>
      <w:r>
        <w:rPr>
          <w:color w:val="231F20"/>
          <w:sz w:val="14"/>
        </w:rPr>
        <w:t>de trabajo mexicano (Pacheco </w:t>
      </w:r>
      <w:r>
        <w:rPr>
          <w:i/>
          <w:color w:val="231F20"/>
          <w:sz w:val="14"/>
        </w:rPr>
        <w:t>et al</w:t>
      </w:r>
      <w:r>
        <w:rPr>
          <w:color w:val="231F20"/>
          <w:sz w:val="14"/>
        </w:rPr>
        <w:t>., 2011; García,</w:t>
      </w:r>
      <w:r>
        <w:rPr>
          <w:color w:val="231F20"/>
          <w:spacing w:val="-16"/>
          <w:sz w:val="14"/>
        </w:rPr>
        <w:t> </w:t>
      </w:r>
      <w:r>
        <w:rPr>
          <w:color w:val="231F20"/>
          <w:sz w:val="14"/>
        </w:rPr>
        <w:t>2013).</w:t>
      </w:r>
    </w:p>
    <w:p>
      <w:pPr>
        <w:spacing w:after="0"/>
        <w:jc w:val="both"/>
        <w:rPr>
          <w:sz w:val="14"/>
        </w:rPr>
        <w:sectPr>
          <w:pgSz w:w="7770" w:h="11740"/>
          <w:pgMar w:header="0" w:footer="474" w:top="840" w:bottom="660" w:left="1020" w:right="740"/>
        </w:sectPr>
      </w:pPr>
    </w:p>
    <w:p>
      <w:pPr>
        <w:spacing w:before="45"/>
        <w:ind w:left="184" w:right="948" w:firstLine="0"/>
        <w:jc w:val="left"/>
        <w:rPr>
          <w:sz w:val="19"/>
        </w:rPr>
      </w:pPr>
      <w:r>
        <w:rPr/>
        <w:pict>
          <v:group style="position:absolute;margin-left:44.266373pt;margin-top:27.384518pt;width:287.3pt;height:.5pt;mso-position-horizontal-relative:page;mso-position-vertical-relative:paragraph;z-index:3448;mso-wrap-distance-left:0;mso-wrap-distance-right:0" coordorigin="885,548" coordsize="5746,10">
            <v:line style="position:absolute" from="890,553" to="3228,553" stroked="true" strokeweight=".458694pt" strokecolor="#000000"/>
            <v:line style="position:absolute" from="3228,553" to="3235,553" stroked="true" strokeweight=".458694pt" strokecolor="#000000"/>
            <v:line style="position:absolute" from="3235,553" to="3544,553" stroked="true" strokeweight=".458694pt" strokecolor="#000000"/>
            <v:line style="position:absolute" from="3544,553" to="3551,553" stroked="true" strokeweight=".458694pt" strokecolor="#000000"/>
            <v:line style="position:absolute" from="3551,553" to="3864,553" stroked="true" strokeweight=".458694pt" strokecolor="#000000"/>
            <v:line style="position:absolute" from="3864,553" to="3872,553" stroked="true" strokeweight=".458694pt" strokecolor="#000000"/>
            <v:line style="position:absolute" from="3872,553" to="4184,553" stroked="true" strokeweight=".458694pt" strokecolor="#000000"/>
            <v:line style="position:absolute" from="4184,553" to="4192,553" stroked="true" strokeweight=".458694pt" strokecolor="#000000"/>
            <v:line style="position:absolute" from="4192,553" to="4501,553" stroked="true" strokeweight=".458694pt" strokecolor="#000000"/>
            <v:line style="position:absolute" from="4501,553" to="4508,553" stroked="true" strokeweight=".458694pt" strokecolor="#000000"/>
            <v:line style="position:absolute" from="4508,553" to="5033,553" stroked="true" strokeweight=".458694pt" strokecolor="#000000"/>
            <v:line style="position:absolute" from="5033,553" to="5040,553" stroked="true" strokeweight=".458694pt" strokecolor="#000000"/>
            <v:line style="position:absolute" from="5040,553" to="5562,553" stroked="true" strokeweight=".458694pt" strokecolor="#000000"/>
            <v:line style="position:absolute" from="5562,553" to="5569,553" stroked="true" strokeweight=".458694pt" strokecolor="#000000"/>
            <v:line style="position:absolute" from="5569,553" to="5990,553" stroked="true" strokeweight=".458694pt" strokecolor="#000000"/>
            <v:line style="position:absolute" from="5990,553" to="5997,553" stroked="true" strokeweight=".458694pt" strokecolor="#000000"/>
            <v:line style="position:absolute" from="5997,553" to="6306,553" stroked="true" strokeweight=".458694pt" strokecolor="#000000"/>
            <v:line style="position:absolute" from="6306,553" to="6313,553" stroked="true" strokeweight=".458694pt" strokecolor="#000000"/>
            <v:line style="position:absolute" from="6313,553" to="6626,553" stroked="true" strokeweight=".458694pt" strokecolor="#000000"/>
            <w10:wrap type="topAndBottom"/>
          </v:group>
        </w:pict>
      </w:r>
      <w:r>
        <w:rPr>
          <w:w w:val="80"/>
          <w:sz w:val="19"/>
        </w:rPr>
        <w:t>Cuadro 2. Resumen de los resultados de las regresiones medianas del logaritmo de los ingresos laborales por hora (PPA USD). México, 2012</w:t>
      </w:r>
    </w:p>
    <w:p>
      <w:pPr>
        <w:tabs>
          <w:tab w:pos="4046" w:val="left" w:leader="none"/>
          <w:tab w:pos="4577" w:val="left" w:leader="none"/>
          <w:tab w:pos="5000" w:val="left" w:leader="none"/>
        </w:tabs>
        <w:spacing w:before="0" w:after="4"/>
        <w:ind w:left="2560" w:right="0" w:firstLine="0"/>
        <w:jc w:val="left"/>
        <w:rPr>
          <w:sz w:val="19"/>
        </w:rPr>
      </w:pPr>
      <w:r>
        <w:rPr>
          <w:w w:val="90"/>
          <w:sz w:val="19"/>
        </w:rPr>
        <w:t>(1)   (2) </w:t>
      </w:r>
      <w:r>
        <w:rPr>
          <w:spacing w:val="18"/>
          <w:w w:val="90"/>
          <w:sz w:val="19"/>
        </w:rPr>
        <w:t> </w:t>
      </w:r>
      <w:r>
        <w:rPr>
          <w:w w:val="90"/>
          <w:sz w:val="19"/>
        </w:rPr>
        <w:t>(3) </w:t>
      </w:r>
      <w:r>
        <w:rPr>
          <w:spacing w:val="30"/>
          <w:w w:val="90"/>
          <w:sz w:val="19"/>
        </w:rPr>
        <w:t> </w:t>
      </w:r>
      <w:r>
        <w:rPr>
          <w:w w:val="90"/>
          <w:sz w:val="19"/>
        </w:rPr>
        <w:t>(4)</w:t>
        <w:tab/>
        <w:t>(5)</w:t>
        <w:tab/>
        <w:t>(6)</w:t>
        <w:tab/>
        <w:t>(7)  (8) </w:t>
      </w:r>
      <w:r>
        <w:rPr>
          <w:spacing w:val="38"/>
          <w:w w:val="90"/>
          <w:sz w:val="19"/>
        </w:rPr>
        <w:t> </w:t>
      </w:r>
      <w:r>
        <w:rPr>
          <w:w w:val="90"/>
          <w:sz w:val="19"/>
        </w:rPr>
        <w:t>(9)</w:t>
      </w:r>
    </w:p>
    <w:p>
      <w:pPr>
        <w:pStyle w:val="BodyText"/>
        <w:spacing w:line="20" w:lineRule="exact"/>
        <w:ind w:left="125"/>
        <w:rPr>
          <w:sz w:val="2"/>
        </w:rPr>
      </w:pPr>
      <w:r>
        <w:rPr>
          <w:sz w:val="2"/>
        </w:rPr>
        <w:pict>
          <v:group style="width:287.3pt;height:.5pt;mso-position-horizontal-relative:char;mso-position-vertical-relative:line" coordorigin="0,0" coordsize="5746,10">
            <v:line style="position:absolute" from="5,5" to="2342,5" stroked="true" strokeweight=".458694pt" strokecolor="#000000"/>
            <v:line style="position:absolute" from="2342,5" to="2350,5" stroked="true" strokeweight=".458694pt" strokecolor="#000000"/>
            <v:line style="position:absolute" from="2350,5" to="2659,5" stroked="true" strokeweight=".458694pt" strokecolor="#000000"/>
            <v:line style="position:absolute" from="2659,5" to="2666,5" stroked="true" strokeweight=".458694pt" strokecolor="#000000"/>
            <v:line style="position:absolute" from="2666,5" to="2979,5" stroked="true" strokeweight=".458694pt" strokecolor="#000000"/>
            <v:line style="position:absolute" from="2979,5" to="2986,5" stroked="true" strokeweight=".458694pt" strokecolor="#000000"/>
            <v:line style="position:absolute" from="2986,5" to="3299,5" stroked="true" strokeweight=".458694pt" strokecolor="#000000"/>
            <v:line style="position:absolute" from="3299,5" to="3306,5" stroked="true" strokeweight=".458694pt" strokecolor="#000000"/>
            <v:line style="position:absolute" from="3306,5" to="3616,5" stroked="true" strokeweight=".458694pt" strokecolor="#000000"/>
            <v:line style="position:absolute" from="3616,5" to="3623,5" stroked="true" strokeweight=".458694pt" strokecolor="#000000"/>
            <v:line style="position:absolute" from="3623,5" to="4148,5" stroked="true" strokeweight=".458694pt" strokecolor="#000000"/>
            <v:line style="position:absolute" from="4148,5" to="4155,5" stroked="true" strokeweight=".458694pt" strokecolor="#000000"/>
            <v:line style="position:absolute" from="4155,5" to="4676,5" stroked="true" strokeweight=".458694pt" strokecolor="#000000"/>
            <v:line style="position:absolute" from="4676,5" to="4684,5" stroked="true" strokeweight=".458694pt" strokecolor="#000000"/>
            <v:line style="position:absolute" from="4684,5" to="5104,5" stroked="true" strokeweight=".458694pt" strokecolor="#000000"/>
            <v:line style="position:absolute" from="5104,5" to="5112,5" stroked="true" strokeweight=".458694pt" strokecolor="#000000"/>
            <v:line style="position:absolute" from="5111,5" to="5421,5" stroked="true" strokeweight=".458694pt" strokecolor="#000000"/>
            <v:line style="position:absolute" from="5421,5" to="5428,5" stroked="true" strokeweight=".458694pt" strokecolor="#000000"/>
            <v:line style="position:absolute" from="5428,5" to="5741,5" stroked="true" strokeweight=".458694pt" strokecolor="#000000"/>
          </v:group>
        </w:pict>
      </w:r>
      <w:r>
        <w:rPr>
          <w:sz w:val="2"/>
        </w:rPr>
      </w:r>
    </w:p>
    <w:p>
      <w:pPr>
        <w:spacing w:before="0"/>
        <w:ind w:left="184" w:right="0" w:firstLine="0"/>
        <w:jc w:val="both"/>
        <w:rPr>
          <w:i/>
          <w:sz w:val="19"/>
        </w:rPr>
      </w:pPr>
      <w:r>
        <w:rPr>
          <w:i/>
          <w:w w:val="80"/>
          <w:sz w:val="19"/>
        </w:rPr>
        <w:t>Sector económico</w:t>
      </w:r>
    </w:p>
    <w:p>
      <w:pPr>
        <w:spacing w:line="217" w:lineRule="exact" w:before="1"/>
        <w:ind w:left="184" w:right="0" w:firstLine="0"/>
        <w:jc w:val="both"/>
        <w:rPr>
          <w:sz w:val="19"/>
        </w:rPr>
      </w:pPr>
      <w:r>
        <w:rPr>
          <w:w w:val="80"/>
          <w:sz w:val="19"/>
        </w:rPr>
        <w:t>Transable concentrado (r)</w:t>
      </w:r>
    </w:p>
    <w:p>
      <w:pPr>
        <w:tabs>
          <w:tab w:pos="2650" w:val="left" w:leader="none"/>
        </w:tabs>
        <w:spacing w:line="217" w:lineRule="exact" w:before="0"/>
        <w:ind w:left="184" w:right="0" w:firstLine="0"/>
        <w:jc w:val="both"/>
        <w:rPr>
          <w:sz w:val="19"/>
        </w:rPr>
      </w:pPr>
      <w:r>
        <w:rPr>
          <w:w w:val="85"/>
          <w:sz w:val="19"/>
        </w:rPr>
        <w:t>Otros</w:t>
      </w:r>
      <w:r>
        <w:rPr>
          <w:spacing w:val="-24"/>
          <w:w w:val="85"/>
          <w:sz w:val="19"/>
        </w:rPr>
        <w:t> </w:t>
      </w:r>
      <w:r>
        <w:rPr>
          <w:w w:val="85"/>
          <w:sz w:val="19"/>
        </w:rPr>
        <w:t>transables</w:t>
        <w:tab/>
      </w:r>
      <w:r>
        <w:rPr>
          <w:w w:val="90"/>
          <w:sz w:val="19"/>
        </w:rPr>
        <w:t>+     +     +     +          +          0        -      -      </w:t>
      </w:r>
      <w:r>
        <w:rPr>
          <w:spacing w:val="25"/>
          <w:w w:val="90"/>
          <w:sz w:val="19"/>
        </w:rPr>
        <w:t> </w:t>
      </w:r>
      <w:r>
        <w:rPr>
          <w:w w:val="90"/>
          <w:sz w:val="19"/>
        </w:rPr>
        <w:t>-</w:t>
      </w:r>
    </w:p>
    <w:p>
      <w:pPr>
        <w:tabs>
          <w:tab w:pos="2566" w:val="left" w:leader="none"/>
        </w:tabs>
        <w:spacing w:before="1"/>
        <w:ind w:left="184" w:right="0" w:firstLine="0"/>
        <w:jc w:val="both"/>
        <w:rPr>
          <w:sz w:val="19"/>
        </w:rPr>
      </w:pPr>
      <w:r>
        <w:rPr>
          <w:w w:val="85"/>
          <w:sz w:val="19"/>
        </w:rPr>
        <w:t>No</w:t>
      </w:r>
      <w:r>
        <w:rPr>
          <w:spacing w:val="-20"/>
          <w:w w:val="85"/>
          <w:sz w:val="19"/>
        </w:rPr>
        <w:t> </w:t>
      </w:r>
      <w:r>
        <w:rPr>
          <w:w w:val="85"/>
          <w:sz w:val="19"/>
        </w:rPr>
        <w:t>transables</w:t>
        <w:tab/>
      </w:r>
      <w:r>
        <w:rPr>
          <w:w w:val="90"/>
          <w:sz w:val="19"/>
        </w:rPr>
        <w:t>++   ++   ++   ++        ++          +       +     +    </w:t>
      </w:r>
      <w:r>
        <w:rPr>
          <w:spacing w:val="9"/>
          <w:w w:val="90"/>
          <w:sz w:val="19"/>
        </w:rPr>
        <w:t> </w:t>
      </w:r>
      <w:r>
        <w:rPr>
          <w:w w:val="90"/>
          <w:sz w:val="19"/>
        </w:rPr>
        <w:t>+</w:t>
      </w:r>
    </w:p>
    <w:p>
      <w:pPr>
        <w:spacing w:before="1"/>
        <w:ind w:left="184" w:right="0" w:firstLine="0"/>
        <w:jc w:val="both"/>
        <w:rPr>
          <w:i/>
          <w:sz w:val="19"/>
        </w:rPr>
      </w:pPr>
      <w:r>
        <w:rPr>
          <w:i/>
          <w:w w:val="80"/>
          <w:sz w:val="19"/>
        </w:rPr>
        <w:t>Condición hombre o mujer</w:t>
      </w:r>
    </w:p>
    <w:p>
      <w:pPr>
        <w:spacing w:before="1"/>
        <w:ind w:left="184" w:right="0" w:firstLine="0"/>
        <w:jc w:val="both"/>
        <w:rPr>
          <w:sz w:val="19"/>
        </w:rPr>
      </w:pPr>
      <w:r>
        <w:rPr>
          <w:w w:val="80"/>
          <w:sz w:val="19"/>
        </w:rPr>
        <w:t>Hombre (r)</w:t>
      </w:r>
    </w:p>
    <w:p>
      <w:pPr>
        <w:tabs>
          <w:tab w:pos="3001" w:val="left" w:leader="none"/>
          <w:tab w:pos="3271" w:val="left" w:leader="none"/>
          <w:tab w:pos="3590" w:val="left" w:leader="none"/>
        </w:tabs>
        <w:spacing w:before="1"/>
        <w:ind w:left="184" w:right="172" w:firstLine="0"/>
        <w:jc w:val="both"/>
        <w:rPr>
          <w:i/>
          <w:sz w:val="19"/>
        </w:rPr>
      </w:pPr>
      <w:r>
        <w:rPr>
          <w:w w:val="90"/>
          <w:sz w:val="19"/>
        </w:rPr>
        <w:t>Mujer</w:t>
        <w:tab/>
        <w:t>-      -      -           -           -        -     </w:t>
      </w:r>
      <w:r>
        <w:rPr>
          <w:spacing w:val="37"/>
          <w:w w:val="90"/>
          <w:sz w:val="19"/>
        </w:rPr>
        <w:t> </w:t>
      </w:r>
      <w:r>
        <w:rPr>
          <w:w w:val="90"/>
          <w:sz w:val="19"/>
        </w:rPr>
        <w:t>-     </w:t>
      </w:r>
      <w:r>
        <w:rPr>
          <w:spacing w:val="6"/>
          <w:w w:val="90"/>
          <w:sz w:val="19"/>
        </w:rPr>
        <w:t> </w:t>
      </w:r>
      <w:r>
        <w:rPr>
          <w:w w:val="90"/>
          <w:sz w:val="19"/>
        </w:rPr>
        <w:t>-</w:t>
      </w:r>
      <w:r>
        <w:rPr>
          <w:w w:val="77"/>
          <w:sz w:val="19"/>
        </w:rPr>
        <w:t> </w:t>
      </w:r>
      <w:r>
        <w:rPr>
          <w:i/>
          <w:w w:val="85"/>
          <w:sz w:val="19"/>
        </w:rPr>
        <w:t>Edad</w:t>
      </w:r>
      <w:r>
        <w:rPr>
          <w:i/>
          <w:spacing w:val="-25"/>
          <w:w w:val="85"/>
          <w:sz w:val="19"/>
        </w:rPr>
        <w:t> </w:t>
      </w:r>
      <w:r>
        <w:rPr>
          <w:i/>
          <w:w w:val="85"/>
          <w:sz w:val="19"/>
        </w:rPr>
        <w:t>(cóncava</w:t>
      </w:r>
      <w:r>
        <w:rPr>
          <w:i/>
          <w:spacing w:val="-25"/>
          <w:w w:val="85"/>
          <w:sz w:val="19"/>
        </w:rPr>
        <w:t> </w:t>
      </w:r>
      <w:r>
        <w:rPr>
          <w:i/>
          <w:w w:val="85"/>
          <w:sz w:val="19"/>
        </w:rPr>
        <w:t>hacia</w:t>
      </w:r>
      <w:r>
        <w:rPr>
          <w:i/>
          <w:spacing w:val="-25"/>
          <w:w w:val="85"/>
          <w:sz w:val="19"/>
        </w:rPr>
        <w:t> </w:t>
      </w:r>
      <w:r>
        <w:rPr>
          <w:i/>
          <w:w w:val="85"/>
          <w:sz w:val="19"/>
        </w:rPr>
        <w:t>abajo)</w:t>
        <w:tab/>
        <w:tab/>
      </w:r>
      <w:r>
        <w:rPr>
          <w:i/>
          <w:w w:val="90"/>
          <w:sz w:val="19"/>
        </w:rPr>
        <w:t>+     +         +         +       +    </w:t>
      </w:r>
      <w:r>
        <w:rPr>
          <w:i/>
          <w:spacing w:val="28"/>
          <w:w w:val="90"/>
          <w:sz w:val="19"/>
        </w:rPr>
        <w:t> </w:t>
      </w:r>
      <w:r>
        <w:rPr>
          <w:i/>
          <w:w w:val="90"/>
          <w:sz w:val="19"/>
        </w:rPr>
        <w:t>+   </w:t>
      </w:r>
      <w:r>
        <w:rPr>
          <w:i/>
          <w:spacing w:val="35"/>
          <w:w w:val="90"/>
          <w:sz w:val="19"/>
        </w:rPr>
        <w:t> </w:t>
      </w:r>
      <w:r>
        <w:rPr>
          <w:i/>
          <w:w w:val="90"/>
          <w:sz w:val="19"/>
        </w:rPr>
        <w:t>+</w:t>
      </w:r>
      <w:r>
        <w:rPr>
          <w:i/>
          <w:w w:val="77"/>
          <w:sz w:val="19"/>
        </w:rPr>
        <w:t> </w:t>
      </w:r>
      <w:r>
        <w:rPr>
          <w:i/>
          <w:w w:val="80"/>
          <w:sz w:val="19"/>
        </w:rPr>
        <w:t>Escolaridad (cóncava</w:t>
      </w:r>
      <w:r>
        <w:rPr>
          <w:i/>
          <w:spacing w:val="-13"/>
          <w:w w:val="80"/>
          <w:sz w:val="19"/>
        </w:rPr>
        <w:t> </w:t>
      </w:r>
      <w:r>
        <w:rPr>
          <w:i/>
          <w:w w:val="80"/>
          <w:sz w:val="19"/>
        </w:rPr>
        <w:t>hacia</w:t>
      </w:r>
      <w:r>
        <w:rPr>
          <w:i/>
          <w:spacing w:val="-7"/>
          <w:w w:val="80"/>
          <w:sz w:val="19"/>
        </w:rPr>
        <w:t> </w:t>
      </w:r>
      <w:r>
        <w:rPr>
          <w:i/>
          <w:w w:val="80"/>
          <w:sz w:val="19"/>
        </w:rPr>
        <w:t>arriba)</w:t>
        <w:tab/>
        <w:tab/>
        <w:tab/>
      </w:r>
      <w:r>
        <w:rPr>
          <w:i/>
          <w:w w:val="90"/>
          <w:sz w:val="19"/>
        </w:rPr>
        <w:t>+         +         +       +    </w:t>
      </w:r>
      <w:r>
        <w:rPr>
          <w:i/>
          <w:spacing w:val="38"/>
          <w:w w:val="90"/>
          <w:sz w:val="19"/>
        </w:rPr>
        <w:t> </w:t>
      </w:r>
      <w:r>
        <w:rPr>
          <w:i/>
          <w:w w:val="90"/>
          <w:sz w:val="19"/>
        </w:rPr>
        <w:t>+   </w:t>
      </w:r>
      <w:r>
        <w:rPr>
          <w:i/>
          <w:spacing w:val="35"/>
          <w:w w:val="90"/>
          <w:sz w:val="19"/>
        </w:rPr>
        <w:t> </w:t>
      </w:r>
      <w:r>
        <w:rPr>
          <w:i/>
          <w:w w:val="90"/>
          <w:sz w:val="19"/>
        </w:rPr>
        <w:t>+</w:t>
      </w:r>
      <w:r>
        <w:rPr>
          <w:i/>
          <w:w w:val="77"/>
          <w:sz w:val="19"/>
        </w:rPr>
        <w:t> </w:t>
      </w:r>
      <w:r>
        <w:rPr>
          <w:i/>
          <w:w w:val="75"/>
          <w:sz w:val="19"/>
        </w:rPr>
        <w:t>Región </w:t>
      </w:r>
      <w:r>
        <w:rPr>
          <w:i/>
          <w:spacing w:val="28"/>
          <w:w w:val="75"/>
          <w:sz w:val="19"/>
        </w:rPr>
        <w:t> </w:t>
      </w:r>
      <w:r>
        <w:rPr>
          <w:i/>
          <w:w w:val="75"/>
          <w:sz w:val="19"/>
        </w:rPr>
        <w:t>socioeconómica</w:t>
      </w:r>
    </w:p>
    <w:p>
      <w:pPr>
        <w:spacing w:before="1"/>
        <w:ind w:left="184" w:right="0" w:firstLine="0"/>
        <w:jc w:val="both"/>
        <w:rPr>
          <w:sz w:val="19"/>
        </w:rPr>
      </w:pPr>
      <w:r>
        <w:rPr>
          <w:w w:val="80"/>
          <w:sz w:val="19"/>
        </w:rPr>
        <w:t>Noreste (r)</w:t>
      </w:r>
    </w:p>
    <w:p>
      <w:pPr>
        <w:tabs>
          <w:tab w:pos="4171" w:val="left" w:leader="none"/>
        </w:tabs>
        <w:spacing w:before="1"/>
        <w:ind w:left="184" w:right="0" w:firstLine="0"/>
        <w:jc w:val="both"/>
        <w:rPr>
          <w:sz w:val="19"/>
        </w:rPr>
      </w:pPr>
      <w:r>
        <w:rPr>
          <w:w w:val="85"/>
          <w:sz w:val="19"/>
        </w:rPr>
        <w:t>Noroeste</w:t>
        <w:tab/>
      </w:r>
      <w:r>
        <w:rPr>
          <w:w w:val="90"/>
          <w:sz w:val="19"/>
        </w:rPr>
        <w:t>-           -        0     0    </w:t>
      </w:r>
      <w:r>
        <w:rPr>
          <w:spacing w:val="29"/>
          <w:w w:val="90"/>
          <w:sz w:val="19"/>
        </w:rPr>
        <w:t> </w:t>
      </w:r>
      <w:r>
        <w:rPr>
          <w:w w:val="90"/>
          <w:sz w:val="19"/>
        </w:rPr>
        <w:t>0</w:t>
      </w:r>
    </w:p>
    <w:p>
      <w:pPr>
        <w:tabs>
          <w:tab w:pos="4121" w:val="left" w:leader="none"/>
        </w:tabs>
        <w:spacing w:line="217" w:lineRule="exact" w:before="1"/>
        <w:ind w:left="184" w:right="0" w:firstLine="0"/>
        <w:jc w:val="both"/>
        <w:rPr>
          <w:sz w:val="19"/>
        </w:rPr>
      </w:pPr>
      <w:r>
        <w:rPr>
          <w:w w:val="85"/>
          <w:sz w:val="19"/>
        </w:rPr>
        <w:t>Occidente</w:t>
        <w:tab/>
      </w:r>
      <w:r>
        <w:rPr>
          <w:w w:val="90"/>
          <w:sz w:val="19"/>
        </w:rPr>
        <w:t>--          --        -     0    </w:t>
      </w:r>
      <w:r>
        <w:rPr>
          <w:spacing w:val="35"/>
          <w:w w:val="90"/>
          <w:sz w:val="19"/>
        </w:rPr>
        <w:t> </w:t>
      </w:r>
      <w:r>
        <w:rPr>
          <w:w w:val="90"/>
          <w:sz w:val="19"/>
        </w:rPr>
        <w:t>0</w:t>
      </w:r>
    </w:p>
    <w:p>
      <w:pPr>
        <w:tabs>
          <w:tab w:pos="3871" w:val="left" w:leader="none"/>
        </w:tabs>
        <w:spacing w:line="217" w:lineRule="exact" w:before="0"/>
        <w:ind w:left="184" w:right="0" w:firstLine="0"/>
        <w:jc w:val="both"/>
        <w:rPr>
          <w:sz w:val="19"/>
        </w:rPr>
      </w:pPr>
      <w:r>
        <w:rPr>
          <w:w w:val="90"/>
          <w:sz w:val="19"/>
        </w:rPr>
        <w:t>Oriente</w:t>
        <w:tab/>
        <w:t>-------    ------  ------   --- </w:t>
      </w:r>
      <w:r>
        <w:rPr>
          <w:spacing w:val="31"/>
          <w:w w:val="90"/>
          <w:sz w:val="19"/>
        </w:rPr>
        <w:t> </w:t>
      </w:r>
      <w:r>
        <w:rPr>
          <w:w w:val="90"/>
          <w:sz w:val="19"/>
        </w:rPr>
        <w:t>---</w:t>
      </w:r>
    </w:p>
    <w:p>
      <w:pPr>
        <w:tabs>
          <w:tab w:pos="4071" w:val="left" w:leader="none"/>
        </w:tabs>
        <w:spacing w:before="1"/>
        <w:ind w:left="184" w:right="0" w:firstLine="0"/>
        <w:jc w:val="both"/>
        <w:rPr>
          <w:sz w:val="19"/>
        </w:rPr>
      </w:pPr>
      <w:r>
        <w:rPr>
          <w:w w:val="85"/>
          <w:sz w:val="19"/>
        </w:rPr>
        <w:t>Centro</w:t>
      </w:r>
      <w:r>
        <w:rPr>
          <w:spacing w:val="-19"/>
          <w:w w:val="85"/>
          <w:sz w:val="19"/>
        </w:rPr>
        <w:t> </w:t>
      </w:r>
      <w:r>
        <w:rPr>
          <w:w w:val="85"/>
          <w:sz w:val="19"/>
        </w:rPr>
        <w:t>norte</w:t>
        <w:tab/>
      </w:r>
      <w:r>
        <w:rPr>
          <w:w w:val="90"/>
          <w:sz w:val="19"/>
        </w:rPr>
        <w:t>---        ---       --      -     </w:t>
      </w:r>
      <w:r>
        <w:rPr>
          <w:spacing w:val="11"/>
          <w:w w:val="90"/>
          <w:sz w:val="19"/>
        </w:rPr>
        <w:t> </w:t>
      </w:r>
      <w:r>
        <w:rPr>
          <w:w w:val="90"/>
          <w:sz w:val="19"/>
        </w:rPr>
        <w:t>-</w:t>
      </w:r>
    </w:p>
    <w:p>
      <w:pPr>
        <w:tabs>
          <w:tab w:pos="4021" w:val="left" w:leader="none"/>
        </w:tabs>
        <w:spacing w:before="1"/>
        <w:ind w:left="184" w:right="0" w:firstLine="0"/>
        <w:jc w:val="both"/>
        <w:rPr>
          <w:sz w:val="19"/>
        </w:rPr>
      </w:pPr>
      <w:r>
        <w:rPr>
          <w:w w:val="90"/>
          <w:sz w:val="19"/>
        </w:rPr>
        <w:t>Centro</w:t>
      </w:r>
      <w:r>
        <w:rPr>
          <w:spacing w:val="-28"/>
          <w:w w:val="90"/>
          <w:sz w:val="19"/>
        </w:rPr>
        <w:t> </w:t>
      </w:r>
      <w:r>
        <w:rPr>
          <w:w w:val="90"/>
          <w:sz w:val="19"/>
        </w:rPr>
        <w:t>sur</w:t>
        <w:tab/>
        <w:t>----       ----      ---      -    </w:t>
      </w:r>
      <w:r>
        <w:rPr>
          <w:spacing w:val="17"/>
          <w:w w:val="90"/>
          <w:sz w:val="19"/>
        </w:rPr>
        <w:t> </w:t>
      </w:r>
      <w:r>
        <w:rPr>
          <w:w w:val="90"/>
          <w:sz w:val="19"/>
        </w:rPr>
        <w:t>-</w:t>
      </w:r>
    </w:p>
    <w:p>
      <w:pPr>
        <w:tabs>
          <w:tab w:pos="3971" w:val="left" w:leader="none"/>
        </w:tabs>
        <w:spacing w:before="1"/>
        <w:ind w:left="184" w:right="0" w:firstLine="0"/>
        <w:jc w:val="both"/>
        <w:rPr>
          <w:sz w:val="19"/>
        </w:rPr>
      </w:pPr>
      <w:r>
        <w:rPr>
          <w:w w:val="90"/>
          <w:sz w:val="19"/>
        </w:rPr>
        <w:t>Sureste</w:t>
        <w:tab/>
        <w:t>-----      -----    ----    --   </w:t>
      </w:r>
      <w:r>
        <w:rPr>
          <w:spacing w:val="34"/>
          <w:w w:val="90"/>
          <w:sz w:val="19"/>
        </w:rPr>
        <w:t> </w:t>
      </w:r>
      <w:r>
        <w:rPr>
          <w:w w:val="90"/>
          <w:sz w:val="19"/>
        </w:rPr>
        <w:t>--</w:t>
      </w:r>
    </w:p>
    <w:p>
      <w:pPr>
        <w:tabs>
          <w:tab w:pos="3921" w:val="left" w:leader="none"/>
        </w:tabs>
        <w:spacing w:before="1"/>
        <w:ind w:left="184" w:right="0" w:firstLine="0"/>
        <w:jc w:val="both"/>
        <w:rPr>
          <w:sz w:val="19"/>
        </w:rPr>
      </w:pPr>
      <w:r>
        <w:rPr>
          <w:w w:val="85"/>
          <w:sz w:val="19"/>
        </w:rPr>
        <w:t>Suroeste</w:t>
        <w:tab/>
      </w:r>
      <w:r>
        <w:rPr>
          <w:w w:val="90"/>
          <w:sz w:val="19"/>
        </w:rPr>
        <w:t>------   -------  ------  ----</w:t>
      </w:r>
      <w:r>
        <w:rPr>
          <w:spacing w:val="-5"/>
          <w:w w:val="90"/>
          <w:sz w:val="19"/>
        </w:rPr>
        <w:t> </w:t>
      </w:r>
      <w:r>
        <w:rPr>
          <w:w w:val="90"/>
          <w:sz w:val="19"/>
        </w:rPr>
        <w:t>----</w:t>
      </w:r>
    </w:p>
    <w:p>
      <w:pPr>
        <w:spacing w:before="1"/>
        <w:ind w:left="184" w:right="0" w:firstLine="0"/>
        <w:jc w:val="both"/>
        <w:rPr>
          <w:i/>
          <w:sz w:val="19"/>
        </w:rPr>
      </w:pPr>
      <w:r>
        <w:rPr>
          <w:i/>
          <w:w w:val="80"/>
          <w:sz w:val="19"/>
        </w:rPr>
        <w:t>Área de residencia</w:t>
      </w:r>
    </w:p>
    <w:p>
      <w:pPr>
        <w:spacing w:before="1"/>
        <w:ind w:left="184" w:right="0" w:firstLine="0"/>
        <w:jc w:val="both"/>
        <w:rPr>
          <w:sz w:val="19"/>
        </w:rPr>
      </w:pPr>
      <w:r>
        <w:rPr>
          <w:w w:val="80"/>
          <w:sz w:val="19"/>
        </w:rPr>
        <w:t>Urbano (r)</w:t>
      </w:r>
    </w:p>
    <w:p>
      <w:pPr>
        <w:tabs>
          <w:tab w:pos="4702" w:val="left" w:leader="none"/>
        </w:tabs>
        <w:spacing w:before="1"/>
        <w:ind w:left="184" w:right="0" w:firstLine="0"/>
        <w:jc w:val="both"/>
        <w:rPr>
          <w:sz w:val="19"/>
        </w:rPr>
      </w:pPr>
      <w:r>
        <w:rPr>
          <w:w w:val="90"/>
          <w:sz w:val="19"/>
        </w:rPr>
        <w:t>Rural</w:t>
        <w:tab/>
        <w:t>-        -      -     </w:t>
      </w:r>
      <w:r>
        <w:rPr>
          <w:spacing w:val="25"/>
          <w:w w:val="90"/>
          <w:sz w:val="19"/>
        </w:rPr>
        <w:t> </w:t>
      </w:r>
      <w:r>
        <w:rPr>
          <w:w w:val="90"/>
          <w:sz w:val="19"/>
        </w:rPr>
        <w:t>-</w:t>
      </w:r>
    </w:p>
    <w:p>
      <w:pPr>
        <w:spacing w:before="1"/>
        <w:ind w:left="184" w:right="0" w:firstLine="0"/>
        <w:jc w:val="both"/>
        <w:rPr>
          <w:i/>
          <w:sz w:val="19"/>
        </w:rPr>
      </w:pPr>
      <w:r>
        <w:rPr>
          <w:i/>
          <w:w w:val="90"/>
          <w:sz w:val="19"/>
        </w:rPr>
        <w:t>Ocupación</w:t>
      </w:r>
    </w:p>
    <w:p>
      <w:pPr>
        <w:spacing w:before="1"/>
        <w:ind w:left="184" w:right="0" w:firstLine="0"/>
        <w:jc w:val="both"/>
        <w:rPr>
          <w:sz w:val="19"/>
        </w:rPr>
      </w:pPr>
      <w:r>
        <w:rPr>
          <w:w w:val="80"/>
          <w:sz w:val="19"/>
        </w:rPr>
        <w:t>Funcionarios y prof., oficina (r)</w:t>
      </w:r>
    </w:p>
    <w:p>
      <w:pPr>
        <w:tabs>
          <w:tab w:pos="5125" w:val="left" w:leader="none"/>
        </w:tabs>
        <w:spacing w:before="1"/>
        <w:ind w:left="184" w:right="0" w:firstLine="0"/>
        <w:jc w:val="both"/>
        <w:rPr>
          <w:sz w:val="19"/>
        </w:rPr>
      </w:pPr>
      <w:r>
        <w:rPr>
          <w:w w:val="85"/>
          <w:sz w:val="19"/>
        </w:rPr>
        <w:t>Vendedores</w:t>
      </w:r>
      <w:r>
        <w:rPr>
          <w:spacing w:val="-26"/>
          <w:w w:val="85"/>
          <w:sz w:val="19"/>
        </w:rPr>
        <w:t> </w:t>
      </w:r>
      <w:r>
        <w:rPr>
          <w:w w:val="85"/>
          <w:sz w:val="19"/>
        </w:rPr>
        <w:t>y</w:t>
      </w:r>
      <w:r>
        <w:rPr>
          <w:spacing w:val="-25"/>
          <w:w w:val="85"/>
          <w:sz w:val="19"/>
        </w:rPr>
        <w:t> </w:t>
      </w:r>
      <w:r>
        <w:rPr>
          <w:w w:val="85"/>
          <w:sz w:val="19"/>
        </w:rPr>
        <w:t>servicios</w:t>
        <w:tab/>
      </w:r>
      <w:r>
        <w:rPr>
          <w:w w:val="90"/>
          <w:sz w:val="19"/>
        </w:rPr>
        <w:t>-      -     </w:t>
      </w:r>
      <w:r>
        <w:rPr>
          <w:spacing w:val="2"/>
          <w:w w:val="90"/>
          <w:sz w:val="19"/>
        </w:rPr>
        <w:t> </w:t>
      </w:r>
      <w:r>
        <w:rPr>
          <w:w w:val="90"/>
          <w:sz w:val="19"/>
        </w:rPr>
        <w:t>-</w:t>
      </w:r>
    </w:p>
    <w:p>
      <w:pPr>
        <w:tabs>
          <w:tab w:pos="5075" w:val="left" w:leader="none"/>
        </w:tabs>
        <w:spacing w:line="217" w:lineRule="exact" w:before="1"/>
        <w:ind w:left="184" w:right="0" w:firstLine="0"/>
        <w:jc w:val="both"/>
        <w:rPr>
          <w:sz w:val="19"/>
        </w:rPr>
      </w:pPr>
      <w:r>
        <w:rPr>
          <w:w w:val="80"/>
          <w:sz w:val="19"/>
        </w:rPr>
        <w:t>Operadores,</w:t>
      </w:r>
      <w:r>
        <w:rPr>
          <w:spacing w:val="-8"/>
          <w:w w:val="80"/>
          <w:sz w:val="19"/>
        </w:rPr>
        <w:t> </w:t>
      </w:r>
      <w:r>
        <w:rPr>
          <w:w w:val="80"/>
          <w:sz w:val="19"/>
        </w:rPr>
        <w:t>operarios</w:t>
        <w:tab/>
      </w:r>
      <w:r>
        <w:rPr>
          <w:w w:val="90"/>
          <w:sz w:val="19"/>
        </w:rPr>
        <w:t>--     --   </w:t>
      </w:r>
      <w:r>
        <w:rPr>
          <w:spacing w:val="7"/>
          <w:w w:val="90"/>
          <w:sz w:val="19"/>
        </w:rPr>
        <w:t> </w:t>
      </w:r>
      <w:r>
        <w:rPr>
          <w:w w:val="90"/>
          <w:sz w:val="19"/>
        </w:rPr>
        <w:t>--</w:t>
      </w:r>
    </w:p>
    <w:p>
      <w:pPr>
        <w:tabs>
          <w:tab w:pos="5025" w:val="left" w:leader="none"/>
        </w:tabs>
        <w:spacing w:line="217" w:lineRule="exact" w:before="0"/>
        <w:ind w:left="184" w:right="0" w:firstLine="0"/>
        <w:jc w:val="both"/>
        <w:rPr>
          <w:sz w:val="19"/>
        </w:rPr>
      </w:pPr>
      <w:r>
        <w:rPr>
          <w:w w:val="85"/>
          <w:sz w:val="19"/>
        </w:rPr>
        <w:t>Peones</w:t>
      </w:r>
      <w:r>
        <w:rPr>
          <w:spacing w:val="-23"/>
          <w:w w:val="85"/>
          <w:sz w:val="19"/>
        </w:rPr>
        <w:t> </w:t>
      </w:r>
      <w:r>
        <w:rPr>
          <w:w w:val="85"/>
          <w:sz w:val="19"/>
        </w:rPr>
        <w:t>y</w:t>
      </w:r>
      <w:r>
        <w:rPr>
          <w:spacing w:val="-22"/>
          <w:w w:val="85"/>
          <w:sz w:val="19"/>
        </w:rPr>
        <w:t> </w:t>
      </w:r>
      <w:r>
        <w:rPr>
          <w:w w:val="85"/>
          <w:sz w:val="19"/>
        </w:rPr>
        <w:t>otros</w:t>
      </w:r>
      <w:r>
        <w:rPr>
          <w:spacing w:val="-23"/>
          <w:w w:val="85"/>
          <w:sz w:val="19"/>
        </w:rPr>
        <w:t> </w:t>
      </w:r>
      <w:r>
        <w:rPr>
          <w:w w:val="85"/>
          <w:sz w:val="19"/>
        </w:rPr>
        <w:t>no</w:t>
      </w:r>
      <w:r>
        <w:rPr>
          <w:spacing w:val="-22"/>
          <w:w w:val="85"/>
          <w:sz w:val="19"/>
        </w:rPr>
        <w:t> </w:t>
      </w:r>
      <w:r>
        <w:rPr>
          <w:w w:val="85"/>
          <w:sz w:val="19"/>
        </w:rPr>
        <w:t>calificados</w:t>
        <w:tab/>
      </w:r>
      <w:r>
        <w:rPr>
          <w:w w:val="90"/>
          <w:sz w:val="19"/>
        </w:rPr>
        <w:t>---   ---  </w:t>
      </w:r>
      <w:r>
        <w:rPr>
          <w:spacing w:val="11"/>
          <w:w w:val="90"/>
          <w:sz w:val="19"/>
        </w:rPr>
        <w:t> </w:t>
      </w:r>
      <w:r>
        <w:rPr>
          <w:w w:val="90"/>
          <w:sz w:val="19"/>
        </w:rPr>
        <w:t>---</w:t>
      </w:r>
    </w:p>
    <w:p>
      <w:pPr>
        <w:spacing w:before="1"/>
        <w:ind w:left="184" w:right="0" w:firstLine="0"/>
        <w:jc w:val="both"/>
        <w:rPr>
          <w:sz w:val="19"/>
        </w:rPr>
      </w:pPr>
      <w:r>
        <w:rPr>
          <w:w w:val="80"/>
          <w:sz w:val="19"/>
        </w:rPr>
        <w:t>Ests medianos y grandes (r)</w:t>
      </w:r>
    </w:p>
    <w:p>
      <w:pPr>
        <w:tabs>
          <w:tab w:pos="5444" w:val="left" w:leader="none"/>
        </w:tabs>
        <w:spacing w:before="1"/>
        <w:ind w:left="184" w:right="0" w:firstLine="0"/>
        <w:jc w:val="both"/>
        <w:rPr>
          <w:sz w:val="19"/>
        </w:rPr>
      </w:pPr>
      <w:r>
        <w:rPr>
          <w:w w:val="80"/>
          <w:sz w:val="19"/>
        </w:rPr>
        <w:t>Micronegocios</w:t>
      </w:r>
      <w:r>
        <w:rPr>
          <w:spacing w:val="-8"/>
          <w:w w:val="80"/>
          <w:sz w:val="19"/>
        </w:rPr>
        <w:t> </w:t>
      </w:r>
      <w:r>
        <w:rPr>
          <w:w w:val="80"/>
          <w:sz w:val="19"/>
        </w:rPr>
        <w:t>no</w:t>
      </w:r>
      <w:r>
        <w:rPr>
          <w:spacing w:val="-7"/>
          <w:w w:val="80"/>
          <w:sz w:val="19"/>
        </w:rPr>
        <w:t> </w:t>
      </w:r>
      <w:r>
        <w:rPr>
          <w:w w:val="80"/>
          <w:sz w:val="19"/>
        </w:rPr>
        <w:t>agrícolas</w:t>
        <w:tab/>
      </w:r>
      <w:r>
        <w:rPr>
          <w:w w:val="90"/>
          <w:sz w:val="19"/>
        </w:rPr>
        <w:t>-    </w:t>
      </w:r>
      <w:r>
        <w:rPr>
          <w:spacing w:val="40"/>
          <w:w w:val="90"/>
          <w:sz w:val="19"/>
        </w:rPr>
        <w:t> </w:t>
      </w:r>
      <w:r>
        <w:rPr>
          <w:w w:val="90"/>
          <w:sz w:val="19"/>
        </w:rPr>
        <w:t>-</w:t>
      </w:r>
    </w:p>
    <w:p>
      <w:pPr>
        <w:spacing w:before="1"/>
        <w:ind w:left="184" w:right="0" w:firstLine="0"/>
        <w:jc w:val="both"/>
        <w:rPr>
          <w:sz w:val="19"/>
        </w:rPr>
      </w:pPr>
      <w:r>
        <w:rPr>
          <w:w w:val="80"/>
          <w:sz w:val="19"/>
        </w:rPr>
        <w:t>No industria petrolera (r)</w:t>
      </w:r>
    </w:p>
    <w:p>
      <w:pPr>
        <w:tabs>
          <w:tab w:pos="5728" w:val="left" w:leader="none"/>
        </w:tabs>
        <w:spacing w:before="1" w:after="4"/>
        <w:ind w:left="184" w:right="0" w:firstLine="0"/>
        <w:jc w:val="both"/>
        <w:rPr>
          <w:sz w:val="19"/>
        </w:rPr>
      </w:pPr>
      <w:r>
        <w:rPr>
          <w:w w:val="85"/>
          <w:sz w:val="19"/>
        </w:rPr>
        <w:t>Industria</w:t>
      </w:r>
      <w:r>
        <w:rPr>
          <w:spacing w:val="-27"/>
          <w:w w:val="85"/>
          <w:sz w:val="19"/>
        </w:rPr>
        <w:t> </w:t>
      </w:r>
      <w:r>
        <w:rPr>
          <w:w w:val="85"/>
          <w:sz w:val="19"/>
        </w:rPr>
        <w:t>petrolera</w:t>
        <w:tab/>
      </w:r>
      <w:r>
        <w:rPr>
          <w:w w:val="90"/>
          <w:sz w:val="19"/>
        </w:rPr>
        <w:t>+</w:t>
      </w:r>
    </w:p>
    <w:p>
      <w:pPr>
        <w:pStyle w:val="BodyText"/>
        <w:spacing w:line="20" w:lineRule="exact"/>
        <w:ind w:left="125"/>
        <w:rPr>
          <w:sz w:val="2"/>
        </w:rPr>
      </w:pPr>
      <w:r>
        <w:rPr>
          <w:sz w:val="2"/>
        </w:rPr>
        <w:pict>
          <v:group style="width:287.3pt;height:.5pt;mso-position-horizontal-relative:char;mso-position-vertical-relative:line" coordorigin="0,0" coordsize="5746,10">
            <v:line style="position:absolute" from="5,5" to="2342,5" stroked="true" strokeweight=".459649pt" strokecolor="#000000"/>
            <v:line style="position:absolute" from="2342,5" to="2350,5" stroked="true" strokeweight=".459649pt" strokecolor="#000000"/>
            <v:line style="position:absolute" from="2350,5" to="2659,5" stroked="true" strokeweight=".459649pt" strokecolor="#000000"/>
            <v:line style="position:absolute" from="2659,5" to="2666,5" stroked="true" strokeweight=".459649pt" strokecolor="#000000"/>
            <v:line style="position:absolute" from="2666,5" to="2979,5" stroked="true" strokeweight=".459649pt" strokecolor="#000000"/>
            <v:line style="position:absolute" from="2979,5" to="2986,5" stroked="true" strokeweight=".459649pt" strokecolor="#000000"/>
            <v:line style="position:absolute" from="2986,5" to="3299,5" stroked="true" strokeweight=".459649pt" strokecolor="#000000"/>
            <v:line style="position:absolute" from="3299,5" to="3306,5" stroked="true" strokeweight=".459649pt" strokecolor="#000000"/>
            <v:line style="position:absolute" from="3306,5" to="3616,5" stroked="true" strokeweight=".459649pt" strokecolor="#000000"/>
            <v:line style="position:absolute" from="3616,5" to="3623,5" stroked="true" strokeweight=".459649pt" strokecolor="#000000"/>
            <v:line style="position:absolute" from="3623,5" to="4148,5" stroked="true" strokeweight=".459649pt" strokecolor="#000000"/>
            <v:line style="position:absolute" from="4148,5" to="4155,5" stroked="true" strokeweight=".459649pt" strokecolor="#000000"/>
            <v:line style="position:absolute" from="4155,5" to="4676,5" stroked="true" strokeweight=".459649pt" strokecolor="#000000"/>
            <v:line style="position:absolute" from="4676,5" to="4684,5" stroked="true" strokeweight=".459649pt" strokecolor="#000000"/>
            <v:line style="position:absolute" from="4684,5" to="5104,5" stroked="true" strokeweight=".459649pt" strokecolor="#000000"/>
            <v:line style="position:absolute" from="5104,5" to="5112,5" stroked="true" strokeweight=".459649pt" strokecolor="#000000"/>
            <v:line style="position:absolute" from="5111,5" to="5421,5" stroked="true" strokeweight=".459649pt" strokecolor="#000000"/>
            <v:line style="position:absolute" from="5421,5" to="5428,5" stroked="true" strokeweight=".459649pt" strokecolor="#000000"/>
            <v:line style="position:absolute" from="5428,5" to="5741,5" stroked="true" strokeweight=".459649pt" strokecolor="#000000"/>
          </v:group>
        </w:pict>
      </w:r>
      <w:r>
        <w:rPr>
          <w:sz w:val="2"/>
        </w:rPr>
      </w:r>
    </w:p>
    <w:p>
      <w:pPr>
        <w:spacing w:before="0"/>
        <w:ind w:left="184" w:right="0" w:firstLine="0"/>
        <w:jc w:val="both"/>
        <w:rPr>
          <w:sz w:val="15"/>
        </w:rPr>
      </w:pPr>
      <w:r>
        <w:rPr>
          <w:w w:val="85"/>
          <w:sz w:val="15"/>
        </w:rPr>
        <w:t>Fuente: elaboración propia con base en los modelos del cuadro A.2. (r) es la categoría de referencia.</w:t>
      </w:r>
    </w:p>
    <w:p>
      <w:pPr>
        <w:pStyle w:val="BodyText"/>
        <w:spacing w:before="10"/>
        <w:rPr>
          <w:sz w:val="11"/>
        </w:rPr>
      </w:pPr>
    </w:p>
    <w:p>
      <w:pPr>
        <w:pStyle w:val="BodyText"/>
        <w:spacing w:line="249" w:lineRule="auto"/>
        <w:ind w:left="104" w:right="111" w:firstLine="283"/>
        <w:jc w:val="both"/>
      </w:pPr>
      <w:r>
        <w:rPr>
          <w:color w:val="231F20"/>
        </w:rPr>
        <w:t>Es</w:t>
      </w:r>
      <w:r>
        <w:rPr>
          <w:color w:val="231F20"/>
          <w:spacing w:val="-3"/>
        </w:rPr>
        <w:t> </w:t>
      </w:r>
      <w:r>
        <w:rPr>
          <w:color w:val="231F20"/>
        </w:rPr>
        <w:t>decir,</w:t>
      </w:r>
      <w:r>
        <w:rPr>
          <w:color w:val="231F20"/>
          <w:spacing w:val="-3"/>
        </w:rPr>
        <w:t> </w:t>
      </w:r>
      <w:r>
        <w:rPr>
          <w:color w:val="231F20"/>
        </w:rPr>
        <w:t>que</w:t>
      </w:r>
      <w:r>
        <w:rPr>
          <w:color w:val="231F20"/>
          <w:spacing w:val="-3"/>
        </w:rPr>
        <w:t> </w:t>
      </w:r>
      <w:r>
        <w:rPr>
          <w:color w:val="231F20"/>
        </w:rPr>
        <w:t>el</w:t>
      </w:r>
      <w:r>
        <w:rPr>
          <w:color w:val="231F20"/>
          <w:spacing w:val="-3"/>
        </w:rPr>
        <w:t> </w:t>
      </w:r>
      <w:r>
        <w:rPr>
          <w:color w:val="231F20"/>
        </w:rPr>
        <w:t>menor</w:t>
      </w:r>
      <w:r>
        <w:rPr>
          <w:color w:val="231F20"/>
          <w:spacing w:val="-3"/>
        </w:rPr>
        <w:t> </w:t>
      </w:r>
      <w:r>
        <w:rPr>
          <w:color w:val="231F20"/>
        </w:rPr>
        <w:t>ingreso</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obtiene</w:t>
      </w:r>
      <w:r>
        <w:rPr>
          <w:color w:val="231F20"/>
          <w:spacing w:val="-3"/>
        </w:rPr>
        <w:t> </w:t>
      </w:r>
      <w:r>
        <w:rPr>
          <w:color w:val="231F20"/>
        </w:rPr>
        <w:t>en</w:t>
      </w:r>
      <w:r>
        <w:rPr>
          <w:color w:val="231F20"/>
          <w:spacing w:val="-3"/>
        </w:rPr>
        <w:t> </w:t>
      </w:r>
      <w:r>
        <w:rPr>
          <w:color w:val="231F20"/>
        </w:rPr>
        <w:t>las</w:t>
      </w:r>
      <w:r>
        <w:rPr>
          <w:color w:val="231F20"/>
          <w:spacing w:val="-3"/>
        </w:rPr>
        <w:t> </w:t>
      </w:r>
      <w:r>
        <w:rPr>
          <w:color w:val="231F20"/>
        </w:rPr>
        <w:t>áreas</w:t>
      </w:r>
      <w:r>
        <w:rPr>
          <w:color w:val="231F20"/>
          <w:spacing w:val="-3"/>
        </w:rPr>
        <w:t> </w:t>
      </w:r>
      <w:r>
        <w:rPr>
          <w:color w:val="231F20"/>
        </w:rPr>
        <w:t>rurales,</w:t>
      </w:r>
      <w:r>
        <w:rPr>
          <w:color w:val="231F20"/>
          <w:spacing w:val="-3"/>
        </w:rPr>
        <w:t> </w:t>
      </w:r>
      <w:r>
        <w:rPr>
          <w:color w:val="231F20"/>
        </w:rPr>
        <w:t>así como</w:t>
      </w:r>
      <w:r>
        <w:rPr>
          <w:color w:val="231F20"/>
          <w:spacing w:val="-7"/>
        </w:rPr>
        <w:t> </w:t>
      </w:r>
      <w:r>
        <w:rPr>
          <w:color w:val="231F20"/>
        </w:rPr>
        <w:t>el</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ocupación</w:t>
      </w:r>
      <w:r>
        <w:rPr>
          <w:color w:val="231F20"/>
          <w:spacing w:val="-7"/>
        </w:rPr>
        <w:t> </w:t>
      </w:r>
      <w:r>
        <w:rPr>
          <w:color w:val="231F20"/>
        </w:rPr>
        <w:t>que</w:t>
      </w:r>
      <w:r>
        <w:rPr>
          <w:color w:val="231F20"/>
          <w:spacing w:val="-7"/>
        </w:rPr>
        <w:t> </w:t>
      </w:r>
      <w:r>
        <w:rPr>
          <w:color w:val="231F20"/>
        </w:rPr>
        <w:t>allí</w:t>
      </w:r>
      <w:r>
        <w:rPr>
          <w:color w:val="231F20"/>
          <w:spacing w:val="-7"/>
        </w:rPr>
        <w:t> </w:t>
      </w:r>
      <w:r>
        <w:rPr>
          <w:color w:val="231F20"/>
        </w:rPr>
        <w:t>se</w:t>
      </w:r>
      <w:r>
        <w:rPr>
          <w:color w:val="231F20"/>
          <w:spacing w:val="-7"/>
        </w:rPr>
        <w:t> </w:t>
      </w:r>
      <w:r>
        <w:rPr>
          <w:color w:val="231F20"/>
        </w:rPr>
        <w:t>desempeña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tamaño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esta- blecimientos, son fundamentales para explicar la desventaja encontrada en el conjunto de los concentrados, en el caso mexicano. Cuanto esto se tiene</w:t>
      </w:r>
      <w:r>
        <w:rPr>
          <w:color w:val="231F20"/>
          <w:spacing w:val="-4"/>
        </w:rPr>
        <w:t> </w:t>
      </w:r>
      <w:r>
        <w:rPr>
          <w:color w:val="231F20"/>
        </w:rPr>
        <w:t>en</w:t>
      </w:r>
      <w:r>
        <w:rPr>
          <w:color w:val="231F20"/>
          <w:spacing w:val="-3"/>
        </w:rPr>
        <w:t> </w:t>
      </w:r>
      <w:r>
        <w:rPr>
          <w:color w:val="231F20"/>
        </w:rPr>
        <w:t>cuenta</w:t>
      </w:r>
      <w:r>
        <w:rPr>
          <w:color w:val="231F20"/>
          <w:spacing w:val="-4"/>
        </w:rPr>
        <w:t> </w:t>
      </w:r>
      <w:r>
        <w:rPr>
          <w:color w:val="231F20"/>
        </w:rPr>
        <w:t>en</w:t>
      </w:r>
      <w:r>
        <w:rPr>
          <w:color w:val="231F20"/>
          <w:spacing w:val="-3"/>
        </w:rPr>
        <w:t> </w:t>
      </w:r>
      <w:r>
        <w:rPr>
          <w:color w:val="231F20"/>
        </w:rPr>
        <w:t>el</w:t>
      </w:r>
      <w:r>
        <w:rPr>
          <w:color w:val="231F20"/>
          <w:spacing w:val="-3"/>
        </w:rPr>
        <w:t> </w:t>
      </w:r>
      <w:r>
        <w:rPr>
          <w:color w:val="231F20"/>
        </w:rPr>
        <w:t>modelo</w:t>
      </w:r>
      <w:r>
        <w:rPr>
          <w:color w:val="231F20"/>
          <w:spacing w:val="-4"/>
        </w:rPr>
        <w:t> </w:t>
      </w:r>
      <w:r>
        <w:rPr>
          <w:color w:val="231F20"/>
        </w:rPr>
        <w:t>final,</w:t>
      </w:r>
      <w:r>
        <w:rPr>
          <w:color w:val="231F20"/>
          <w:spacing w:val="-3"/>
        </w:rPr>
        <w:t> </w:t>
      </w:r>
      <w:r>
        <w:rPr>
          <w:color w:val="231F20"/>
        </w:rPr>
        <w:t>los</w:t>
      </w:r>
      <w:r>
        <w:rPr>
          <w:color w:val="231F20"/>
          <w:spacing w:val="-3"/>
        </w:rPr>
        <w:t> </w:t>
      </w:r>
      <w:r>
        <w:rPr>
          <w:color w:val="231F20"/>
        </w:rPr>
        <w:t>sectores</w:t>
      </w:r>
      <w:r>
        <w:rPr>
          <w:color w:val="231F20"/>
          <w:spacing w:val="-3"/>
        </w:rPr>
        <w:t> </w:t>
      </w:r>
      <w:r>
        <w:rPr>
          <w:color w:val="231F20"/>
        </w:rPr>
        <w:t>de</w:t>
      </w:r>
      <w:r>
        <w:rPr>
          <w:color w:val="231F20"/>
          <w:spacing w:val="-3"/>
        </w:rPr>
        <w:t> </w:t>
      </w:r>
      <w:r>
        <w:rPr>
          <w:color w:val="231F20"/>
        </w:rPr>
        <w:t>otros</w:t>
      </w:r>
      <w:r>
        <w:rPr>
          <w:color w:val="231F20"/>
          <w:spacing w:val="-3"/>
        </w:rPr>
        <w:t> </w:t>
      </w:r>
      <w:r>
        <w:rPr>
          <w:color w:val="231F20"/>
        </w:rPr>
        <w:t>transables</w:t>
      </w:r>
      <w:r>
        <w:rPr>
          <w:color w:val="231F20"/>
          <w:spacing w:val="-4"/>
        </w:rPr>
        <w:t> </w:t>
      </w:r>
      <w:r>
        <w:rPr>
          <w:color w:val="231F20"/>
        </w:rPr>
        <w:t>mues- tran una ligera desventaja de ingresos estimada en alrededor de cuatro por ciento (cuadros A.2 del</w:t>
      </w:r>
      <w:r>
        <w:rPr>
          <w:color w:val="231F20"/>
          <w:spacing w:val="-15"/>
        </w:rPr>
        <w:t> </w:t>
      </w:r>
      <w:r>
        <w:rPr>
          <w:color w:val="231F20"/>
        </w:rPr>
        <w:t>anexo).</w:t>
      </w:r>
    </w:p>
    <w:p>
      <w:pPr>
        <w:pStyle w:val="BodyText"/>
        <w:spacing w:before="1"/>
        <w:ind w:left="388"/>
      </w:pPr>
      <w:r>
        <w:rPr>
          <w:color w:val="231F20"/>
        </w:rPr>
        <w:t>En cuanto a las variables de control, éstas muestran los resultados</w:t>
      </w:r>
    </w:p>
    <w:p>
      <w:pPr>
        <w:spacing w:after="0"/>
        <w:sectPr>
          <w:footerReference w:type="default" r:id="rId142"/>
          <w:pgSz w:w="7770" w:h="11740"/>
          <w:pgMar w:footer="474" w:header="0" w:top="940" w:bottom="660" w:left="760" w:right="1020"/>
          <w:pgNumType w:start="106"/>
        </w:sectPr>
      </w:pPr>
    </w:p>
    <w:p>
      <w:pPr>
        <w:pStyle w:val="BodyText"/>
        <w:spacing w:line="249" w:lineRule="auto" w:before="46"/>
        <w:ind w:left="113" w:right="108"/>
        <w:jc w:val="both"/>
      </w:pPr>
      <w:r>
        <w:rPr>
          <w:color w:val="231F20"/>
        </w:rPr>
        <w:t>esperados</w:t>
      </w:r>
      <w:r>
        <w:rPr>
          <w:color w:val="231F20"/>
          <w:spacing w:val="-9"/>
        </w:rPr>
        <w:t> </w:t>
      </w:r>
      <w:r>
        <w:rPr>
          <w:color w:val="231F20"/>
        </w:rPr>
        <w:t>y</w:t>
      </w:r>
      <w:r>
        <w:rPr>
          <w:color w:val="231F20"/>
          <w:spacing w:val="-8"/>
        </w:rPr>
        <w:t> </w:t>
      </w:r>
      <w:r>
        <w:rPr>
          <w:color w:val="231F20"/>
        </w:rPr>
        <w:t>ya</w:t>
      </w:r>
      <w:r>
        <w:rPr>
          <w:color w:val="231F20"/>
          <w:spacing w:val="-8"/>
        </w:rPr>
        <w:t> </w:t>
      </w:r>
      <w:r>
        <w:rPr>
          <w:color w:val="231F20"/>
        </w:rPr>
        <w:t>vistos</w:t>
      </w:r>
      <w:r>
        <w:rPr>
          <w:color w:val="231F20"/>
          <w:spacing w:val="-8"/>
        </w:rPr>
        <w:t> </w:t>
      </w:r>
      <w:r>
        <w:rPr>
          <w:color w:val="231F20"/>
        </w:rPr>
        <w:t>en</w:t>
      </w:r>
      <w:r>
        <w:rPr>
          <w:color w:val="231F20"/>
          <w:spacing w:val="-8"/>
        </w:rPr>
        <w:t> </w:t>
      </w:r>
      <w:r>
        <w:rPr>
          <w:color w:val="231F20"/>
        </w:rPr>
        <w:t>otras</w:t>
      </w:r>
      <w:r>
        <w:rPr>
          <w:color w:val="231F20"/>
          <w:spacing w:val="-8"/>
        </w:rPr>
        <w:t> </w:t>
      </w:r>
      <w:r>
        <w:rPr>
          <w:color w:val="231F20"/>
        </w:rPr>
        <w:t>investigaciones.</w:t>
      </w:r>
      <w:r>
        <w:rPr>
          <w:color w:val="231F20"/>
          <w:spacing w:val="-9"/>
        </w:rPr>
        <w:t> </w:t>
      </w:r>
      <w:r>
        <w:rPr>
          <w:color w:val="231F20"/>
        </w:rPr>
        <w:t>El</w:t>
      </w:r>
      <w:r>
        <w:rPr>
          <w:color w:val="231F20"/>
          <w:spacing w:val="-8"/>
        </w:rPr>
        <w:t> </w:t>
      </w:r>
      <w:r>
        <w:rPr>
          <w:color w:val="231F20"/>
        </w:rPr>
        <w:t>ingreso</w:t>
      </w:r>
      <w:r>
        <w:rPr>
          <w:color w:val="231F20"/>
          <w:spacing w:val="-8"/>
        </w:rPr>
        <w:t> </w:t>
      </w:r>
      <w:r>
        <w:rPr>
          <w:color w:val="231F20"/>
        </w:rPr>
        <w:t>es</w:t>
      </w:r>
      <w:r>
        <w:rPr>
          <w:color w:val="231F20"/>
          <w:spacing w:val="-8"/>
        </w:rPr>
        <w:t> </w:t>
      </w:r>
      <w:r>
        <w:rPr>
          <w:color w:val="231F20"/>
        </w:rPr>
        <w:t>más</w:t>
      </w:r>
      <w:r>
        <w:rPr>
          <w:color w:val="231F20"/>
          <w:spacing w:val="-8"/>
        </w:rPr>
        <w:t> </w:t>
      </w:r>
      <w:r>
        <w:rPr>
          <w:color w:val="231F20"/>
        </w:rPr>
        <w:t>precario para las mujeres; aumenta más aceleradamente en los primeros años de edad y luego crece más lentamente (función cóncava hacia</w:t>
      </w:r>
      <w:r>
        <w:rPr>
          <w:color w:val="231F20"/>
          <w:spacing w:val="-6"/>
        </w:rPr>
        <w:t> </w:t>
      </w:r>
      <w:r>
        <w:rPr>
          <w:color w:val="231F20"/>
        </w:rPr>
        <w:t>abajo).</w:t>
      </w:r>
    </w:p>
    <w:p>
      <w:pPr>
        <w:pStyle w:val="BodyText"/>
        <w:spacing w:line="249" w:lineRule="auto" w:before="1"/>
        <w:ind w:left="113" w:right="107" w:firstLine="283"/>
        <w:jc w:val="both"/>
      </w:pPr>
      <w:r>
        <w:rPr>
          <w:color w:val="231F20"/>
        </w:rPr>
        <w:t>Presenta un aumento lento en los primeros niveles de escolaridad, pero luego se acelera en los más altos (función cóncava hacia arriba).</w:t>
      </w:r>
    </w:p>
    <w:p>
      <w:pPr>
        <w:pStyle w:val="BodyText"/>
        <w:spacing w:line="249" w:lineRule="auto" w:before="1"/>
        <w:ind w:left="113" w:right="108" w:firstLine="283"/>
        <w:jc w:val="both"/>
      </w:pPr>
      <w:r>
        <w:rPr>
          <w:color w:val="231F20"/>
        </w:rPr>
        <w:t>Asimismo, destacan las mejores condiciones de ingreso en las regio- nes del norte en comparación con el suroeste, sureste y oriente del país; en las áreas urbanas con respecto a las rurales; en las ocupaciones de funcionarios,</w:t>
      </w:r>
      <w:r>
        <w:rPr>
          <w:color w:val="231F20"/>
          <w:spacing w:val="-9"/>
        </w:rPr>
        <w:t> </w:t>
      </w:r>
      <w:r>
        <w:rPr>
          <w:color w:val="231F20"/>
        </w:rPr>
        <w:t>profesionistas</w:t>
      </w:r>
      <w:r>
        <w:rPr>
          <w:color w:val="231F20"/>
          <w:spacing w:val="-9"/>
        </w:rPr>
        <w:t> </w:t>
      </w:r>
      <w:r>
        <w:rPr>
          <w:color w:val="231F20"/>
        </w:rPr>
        <w:t>y</w:t>
      </w:r>
      <w:r>
        <w:rPr>
          <w:color w:val="231F20"/>
          <w:spacing w:val="-9"/>
        </w:rPr>
        <w:t> </w:t>
      </w:r>
      <w:r>
        <w:rPr>
          <w:color w:val="231F20"/>
        </w:rPr>
        <w:t>técnicos</w:t>
      </w:r>
      <w:r>
        <w:rPr>
          <w:color w:val="231F20"/>
          <w:spacing w:val="-10"/>
        </w:rPr>
        <w:t> </w:t>
      </w:r>
      <w:r>
        <w:rPr>
          <w:color w:val="231F20"/>
        </w:rPr>
        <w:t>en</w:t>
      </w:r>
      <w:r>
        <w:rPr>
          <w:color w:val="231F20"/>
          <w:spacing w:val="-9"/>
        </w:rPr>
        <w:t> </w:t>
      </w:r>
      <w:r>
        <w:rPr>
          <w:color w:val="231F20"/>
        </w:rPr>
        <w:t>comparación</w:t>
      </w:r>
      <w:r>
        <w:rPr>
          <w:color w:val="231F20"/>
          <w:spacing w:val="-10"/>
        </w:rPr>
        <w:t> </w:t>
      </w:r>
      <w:r>
        <w:rPr>
          <w:color w:val="231F20"/>
        </w:rPr>
        <w:t>con</w:t>
      </w:r>
      <w:r>
        <w:rPr>
          <w:color w:val="231F20"/>
          <w:spacing w:val="-9"/>
        </w:rPr>
        <w:t> </w:t>
      </w:r>
      <w:r>
        <w:rPr>
          <w:color w:val="231F20"/>
        </w:rPr>
        <w:t>el</w:t>
      </w:r>
      <w:r>
        <w:rPr>
          <w:color w:val="231F20"/>
          <w:spacing w:val="-9"/>
        </w:rPr>
        <w:t> </w:t>
      </w:r>
      <w:r>
        <w:rPr>
          <w:color w:val="231F20"/>
        </w:rPr>
        <w:t>resto</w:t>
      </w:r>
      <w:r>
        <w:rPr>
          <w:color w:val="231F20"/>
          <w:spacing w:val="-9"/>
        </w:rPr>
        <w:t> </w:t>
      </w:r>
      <w:r>
        <w:rPr>
          <w:color w:val="231F20"/>
        </w:rPr>
        <w:t>de</w:t>
      </w:r>
      <w:r>
        <w:rPr>
          <w:color w:val="231F20"/>
          <w:spacing w:val="-9"/>
        </w:rPr>
        <w:t> </w:t>
      </w:r>
      <w:r>
        <w:rPr>
          <w:color w:val="231F20"/>
        </w:rPr>
        <w:t>las ocupaciones; en los medianos y grandes establecimientos con respecto a los</w:t>
      </w:r>
      <w:r>
        <w:rPr>
          <w:color w:val="231F20"/>
          <w:spacing w:val="-1"/>
        </w:rPr>
        <w:t> </w:t>
      </w:r>
      <w:r>
        <w:rPr>
          <w:color w:val="231F20"/>
        </w:rPr>
        <w:t>micronegocios.</w:t>
      </w:r>
    </w:p>
    <w:p>
      <w:pPr>
        <w:pStyle w:val="BodyText"/>
        <w:spacing w:line="249" w:lineRule="auto" w:before="1"/>
        <w:ind w:left="113" w:right="107" w:firstLine="283"/>
        <w:jc w:val="both"/>
      </w:pPr>
      <w:r>
        <w:rPr>
          <w:color w:val="231F20"/>
        </w:rPr>
        <w:t>Finalmente, nos gustaría llamar la atención al último control estadís- tico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introdujo,</w:t>
      </w:r>
      <w:r>
        <w:rPr>
          <w:color w:val="231F20"/>
          <w:spacing w:val="-11"/>
        </w:rPr>
        <w:t> </w:t>
      </w:r>
      <w:r>
        <w:rPr>
          <w:color w:val="231F20"/>
        </w:rPr>
        <w:t>el</w:t>
      </w:r>
      <w:r>
        <w:rPr>
          <w:color w:val="231F20"/>
          <w:spacing w:val="-11"/>
        </w:rPr>
        <w:t> </w:t>
      </w:r>
      <w:r>
        <w:rPr>
          <w:color w:val="231F20"/>
        </w:rPr>
        <w:t>cual</w:t>
      </w:r>
      <w:r>
        <w:rPr>
          <w:color w:val="231F20"/>
          <w:spacing w:val="-11"/>
        </w:rPr>
        <w:t> </w:t>
      </w:r>
      <w:r>
        <w:rPr>
          <w:color w:val="231F20"/>
        </w:rPr>
        <w:t>reúne</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tres</w:t>
      </w:r>
      <w:r>
        <w:rPr>
          <w:color w:val="231F20"/>
          <w:spacing w:val="-11"/>
        </w:rPr>
        <w:t> </w:t>
      </w:r>
      <w:r>
        <w:rPr>
          <w:color w:val="231F20"/>
        </w:rPr>
        <w:t>ramas</w:t>
      </w:r>
      <w:r>
        <w:rPr>
          <w:color w:val="231F20"/>
          <w:spacing w:val="-11"/>
        </w:rPr>
        <w:t> </w:t>
      </w:r>
      <w:r>
        <w:rPr>
          <w:color w:val="231F20"/>
        </w:rPr>
        <w:t>económicas</w:t>
      </w:r>
      <w:r>
        <w:rPr>
          <w:color w:val="231F20"/>
          <w:spacing w:val="-11"/>
        </w:rPr>
        <w:t> </w:t>
      </w:r>
      <w:r>
        <w:rPr>
          <w:color w:val="231F20"/>
        </w:rPr>
        <w:t>relacionas con</w:t>
      </w:r>
      <w:r>
        <w:rPr>
          <w:color w:val="231F20"/>
          <w:spacing w:val="-5"/>
        </w:rPr>
        <w:t> </w:t>
      </w:r>
      <w:r>
        <w:rPr>
          <w:color w:val="231F20"/>
        </w:rPr>
        <w:t>la</w:t>
      </w:r>
      <w:r>
        <w:rPr>
          <w:color w:val="231F20"/>
          <w:spacing w:val="-5"/>
        </w:rPr>
        <w:t> </w:t>
      </w:r>
      <w:r>
        <w:rPr>
          <w:color w:val="231F20"/>
        </w:rPr>
        <w:t>extracción</w:t>
      </w:r>
      <w:r>
        <w:rPr>
          <w:color w:val="231F20"/>
          <w:spacing w:val="-5"/>
        </w:rPr>
        <w:t> </w:t>
      </w:r>
      <w:r>
        <w:rPr>
          <w:color w:val="231F20"/>
        </w:rPr>
        <w:t>del</w:t>
      </w:r>
      <w:r>
        <w:rPr>
          <w:color w:val="231F20"/>
          <w:spacing w:val="-5"/>
        </w:rPr>
        <w:t> </w:t>
      </w:r>
      <w:r>
        <w:rPr>
          <w:color w:val="231F20"/>
        </w:rPr>
        <w:t>petróleo,</w:t>
      </w:r>
      <w:r>
        <w:rPr>
          <w:color w:val="231F20"/>
          <w:spacing w:val="-5"/>
        </w:rPr>
        <w:t> </w:t>
      </w:r>
      <w:r>
        <w:rPr>
          <w:color w:val="231F20"/>
        </w:rPr>
        <w:t>dada</w:t>
      </w:r>
      <w:r>
        <w:rPr>
          <w:color w:val="231F20"/>
          <w:spacing w:val="-5"/>
        </w:rPr>
        <w:t> </w:t>
      </w:r>
      <w:r>
        <w:rPr>
          <w:color w:val="231F20"/>
        </w:rPr>
        <w:t>la</w:t>
      </w:r>
      <w:r>
        <w:rPr>
          <w:color w:val="231F20"/>
          <w:spacing w:val="-5"/>
        </w:rPr>
        <w:t> </w:t>
      </w:r>
      <w:r>
        <w:rPr>
          <w:color w:val="231F20"/>
        </w:rPr>
        <w:t>gran</w:t>
      </w:r>
      <w:r>
        <w:rPr>
          <w:color w:val="231F20"/>
          <w:spacing w:val="-5"/>
        </w:rPr>
        <w:t> </w:t>
      </w:r>
      <w:r>
        <w:rPr>
          <w:color w:val="231F20"/>
        </w:rPr>
        <w:t>importancia</w:t>
      </w:r>
      <w:r>
        <w:rPr>
          <w:color w:val="231F20"/>
          <w:spacing w:val="-6"/>
        </w:rPr>
        <w:t> </w:t>
      </w:r>
      <w:r>
        <w:rPr>
          <w:color w:val="231F20"/>
        </w:rPr>
        <w:t>de</w:t>
      </w:r>
      <w:r>
        <w:rPr>
          <w:color w:val="231F20"/>
          <w:spacing w:val="-5"/>
        </w:rPr>
        <w:t> </w:t>
      </w:r>
      <w:r>
        <w:rPr>
          <w:color w:val="231F20"/>
        </w:rPr>
        <w:t>esta</w:t>
      </w:r>
      <w:r>
        <w:rPr>
          <w:color w:val="231F20"/>
          <w:spacing w:val="-5"/>
        </w:rPr>
        <w:t> </w:t>
      </w:r>
      <w:r>
        <w:rPr>
          <w:color w:val="231F20"/>
        </w:rPr>
        <w:t>actividad productiva en el caso del país (modelo 9).</w:t>
      </w:r>
      <w:r>
        <w:rPr>
          <w:color w:val="231F20"/>
          <w:position w:val="7"/>
          <w:sz w:val="11"/>
        </w:rPr>
        <w:t>12 </w:t>
      </w:r>
      <w:r>
        <w:rPr>
          <w:color w:val="231F20"/>
        </w:rPr>
        <w:t>Nuevamente en este caso, el resultado es el esperado: en estas ramas se perciben ingresos superiores a la media. Con este control no se revierten los resultados anteriores, pero sí contribuye también a reducir la brecha al interior de los sectores transables (cuadros A.2 del</w:t>
      </w:r>
      <w:r>
        <w:rPr>
          <w:color w:val="231F20"/>
          <w:spacing w:val="-15"/>
        </w:rPr>
        <w:t> </w:t>
      </w:r>
      <w:r>
        <w:rPr>
          <w:color w:val="231F20"/>
        </w:rPr>
        <w:t>anexo).</w:t>
      </w:r>
    </w:p>
    <w:p>
      <w:pPr>
        <w:pStyle w:val="BodyText"/>
        <w:spacing w:line="249" w:lineRule="auto" w:before="1"/>
        <w:ind w:left="113" w:right="109" w:firstLine="283"/>
        <w:jc w:val="both"/>
      </w:pPr>
      <w:r>
        <w:rPr>
          <w:color w:val="231F20"/>
        </w:rPr>
        <w:t>El conjunto de estos resultados reflejan la complejidad del mercado de trabajo y las diferencias en la composición de los sectores, que están asociados a distintos niveles de ingreso laboral. Perfilado este escenario en torno al ingreso, ¿qué nos puede agregar la consideración del acceso a la seguridad social? Es necesario ahondar nuestro análisis sobre las condiciones laborales, estableciendo un análisis análogo para el acceso</w:t>
      </w:r>
      <w:r>
        <w:rPr>
          <w:color w:val="231F20"/>
          <w:spacing w:val="-33"/>
        </w:rPr>
        <w:t> </w:t>
      </w:r>
      <w:r>
        <w:rPr>
          <w:color w:val="231F20"/>
        </w:rPr>
        <w:t>a esta prestación</w:t>
      </w:r>
      <w:r>
        <w:rPr>
          <w:color w:val="231F20"/>
          <w:spacing w:val="-8"/>
        </w:rPr>
        <w:t> </w:t>
      </w:r>
      <w:r>
        <w:rPr>
          <w:color w:val="231F20"/>
        </w:rPr>
        <w:t>social.</w:t>
      </w:r>
    </w:p>
    <w:p>
      <w:pPr>
        <w:pStyle w:val="Heading5"/>
        <w:rPr>
          <w:i/>
        </w:rPr>
      </w:pPr>
      <w:r>
        <w:rPr>
          <w:i/>
          <w:w w:val="75"/>
        </w:rPr>
        <w:t>La seguridad social y las diferentes formas de comerciar</w:t>
      </w:r>
    </w:p>
    <w:p>
      <w:pPr>
        <w:pStyle w:val="BodyText"/>
        <w:spacing w:line="249" w:lineRule="auto" w:before="171"/>
        <w:ind w:left="113" w:right="107"/>
        <w:jc w:val="right"/>
      </w:pPr>
      <w:r>
        <w:rPr>
          <w:color w:val="231F20"/>
        </w:rPr>
        <w:t>El acceso a seguridad social ofrece una perspectiva </w:t>
      </w:r>
      <w:r>
        <w:rPr>
          <w:color w:val="231F20"/>
          <w:spacing w:val="23"/>
        </w:rPr>
        <w:t> </w:t>
      </w:r>
      <w:r>
        <w:rPr>
          <w:color w:val="231F20"/>
        </w:rPr>
        <w:t>complementaria</w:t>
      </w:r>
      <w:r>
        <w:rPr>
          <w:color w:val="231F20"/>
          <w:spacing w:val="21"/>
        </w:rPr>
        <w:t> </w:t>
      </w:r>
      <w:r>
        <w:rPr>
          <w:color w:val="231F20"/>
        </w:rPr>
        <w:t>a la</w:t>
      </w:r>
      <w:r>
        <w:rPr>
          <w:color w:val="231F20"/>
          <w:spacing w:val="19"/>
        </w:rPr>
        <w:t> </w:t>
      </w:r>
      <w:r>
        <w:rPr>
          <w:color w:val="231F20"/>
        </w:rPr>
        <w:t>del</w:t>
      </w:r>
      <w:r>
        <w:rPr>
          <w:color w:val="231F20"/>
          <w:spacing w:val="19"/>
        </w:rPr>
        <w:t> </w:t>
      </w:r>
      <w:r>
        <w:rPr>
          <w:color w:val="231F20"/>
        </w:rPr>
        <w:t>ingreso,</w:t>
      </w:r>
      <w:r>
        <w:rPr>
          <w:color w:val="231F20"/>
          <w:spacing w:val="19"/>
        </w:rPr>
        <w:t> </w:t>
      </w:r>
      <w:r>
        <w:rPr>
          <w:color w:val="231F20"/>
        </w:rPr>
        <w:t>ya</w:t>
      </w:r>
      <w:r>
        <w:rPr>
          <w:color w:val="231F20"/>
          <w:spacing w:val="19"/>
        </w:rPr>
        <w:t> </w:t>
      </w:r>
      <w:r>
        <w:rPr>
          <w:color w:val="231F20"/>
        </w:rPr>
        <w:t>que</w:t>
      </w:r>
      <w:r>
        <w:rPr>
          <w:color w:val="231F20"/>
          <w:spacing w:val="19"/>
        </w:rPr>
        <w:t> </w:t>
      </w:r>
      <w:r>
        <w:rPr>
          <w:color w:val="231F20"/>
        </w:rPr>
        <w:t>—como</w:t>
      </w:r>
      <w:r>
        <w:rPr>
          <w:color w:val="231F20"/>
          <w:spacing w:val="19"/>
        </w:rPr>
        <w:t> </w:t>
      </w:r>
      <w:r>
        <w:rPr>
          <w:color w:val="231F20"/>
        </w:rPr>
        <w:t>se</w:t>
      </w:r>
      <w:r>
        <w:rPr>
          <w:color w:val="231F20"/>
          <w:spacing w:val="19"/>
        </w:rPr>
        <w:t> </w:t>
      </w:r>
      <w:r>
        <w:rPr>
          <w:color w:val="231F20"/>
        </w:rPr>
        <w:t>mencionó</w:t>
      </w:r>
      <w:r>
        <w:rPr>
          <w:color w:val="231F20"/>
          <w:spacing w:val="19"/>
        </w:rPr>
        <w:t> </w:t>
      </w:r>
      <w:r>
        <w:rPr>
          <w:color w:val="231F20"/>
        </w:rPr>
        <w:t>y</w:t>
      </w:r>
      <w:r>
        <w:rPr>
          <w:color w:val="231F20"/>
          <w:spacing w:val="19"/>
        </w:rPr>
        <w:t> </w:t>
      </w:r>
      <w:r>
        <w:rPr>
          <w:color w:val="231F20"/>
        </w:rPr>
        <w:t>es</w:t>
      </w:r>
      <w:r>
        <w:rPr>
          <w:color w:val="231F20"/>
          <w:spacing w:val="19"/>
        </w:rPr>
        <w:t> </w:t>
      </w:r>
      <w:r>
        <w:rPr>
          <w:color w:val="231F20"/>
        </w:rPr>
        <w:t>ampliamente</w:t>
      </w:r>
      <w:r>
        <w:rPr>
          <w:color w:val="231F20"/>
          <w:spacing w:val="19"/>
        </w:rPr>
        <w:t> </w:t>
      </w:r>
      <w:r>
        <w:rPr>
          <w:color w:val="231F20"/>
        </w:rPr>
        <w:t>conoci- do— el respaldo (o la falta) de la seguridad social es</w:t>
      </w:r>
      <w:r>
        <w:rPr>
          <w:color w:val="231F20"/>
          <w:spacing w:val="21"/>
        </w:rPr>
        <w:t> </w:t>
      </w:r>
      <w:r>
        <w:rPr>
          <w:color w:val="231F20"/>
        </w:rPr>
        <w:t>importante</w:t>
      </w:r>
      <w:r>
        <w:rPr>
          <w:color w:val="231F20"/>
          <w:spacing w:val="1"/>
        </w:rPr>
        <w:t> </w:t>
      </w:r>
      <w:r>
        <w:rPr>
          <w:color w:val="231F20"/>
        </w:rPr>
        <w:t>cuando se presentan enfermedades, discapacidad o cuando se llega a la</w:t>
      </w:r>
      <w:r>
        <w:rPr>
          <w:color w:val="231F20"/>
          <w:spacing w:val="8"/>
        </w:rPr>
        <w:t> </w:t>
      </w:r>
      <w:r>
        <w:rPr>
          <w:color w:val="231F20"/>
        </w:rPr>
        <w:t>edad</w:t>
      </w:r>
      <w:r>
        <w:rPr>
          <w:color w:val="231F20"/>
          <w:spacing w:val="5"/>
        </w:rPr>
        <w:t> </w:t>
      </w:r>
      <w:r>
        <w:rPr>
          <w:color w:val="231F20"/>
        </w:rPr>
        <w:t>de jubilación,</w:t>
      </w:r>
      <w:r>
        <w:rPr>
          <w:color w:val="231F20"/>
          <w:spacing w:val="-10"/>
        </w:rPr>
        <w:t> </w:t>
      </w:r>
      <w:r>
        <w:rPr>
          <w:color w:val="231F20"/>
        </w:rPr>
        <w:t>sobre</w:t>
      </w:r>
      <w:r>
        <w:rPr>
          <w:color w:val="231F20"/>
          <w:spacing w:val="-9"/>
        </w:rPr>
        <w:t> </w:t>
      </w:r>
      <w:r>
        <w:rPr>
          <w:color w:val="231F20"/>
        </w:rPr>
        <w:t>todo</w:t>
      </w:r>
      <w:r>
        <w:rPr>
          <w:color w:val="231F20"/>
          <w:spacing w:val="-9"/>
        </w:rPr>
        <w:t> </w:t>
      </w:r>
      <w:r>
        <w:rPr>
          <w:color w:val="231F20"/>
        </w:rPr>
        <w:t>en</w:t>
      </w:r>
      <w:r>
        <w:rPr>
          <w:color w:val="231F20"/>
          <w:spacing w:val="-9"/>
        </w:rPr>
        <w:t> </w:t>
      </w:r>
      <w:r>
        <w:rPr>
          <w:color w:val="231F20"/>
        </w:rPr>
        <w:t>sociedades</w:t>
      </w:r>
      <w:r>
        <w:rPr>
          <w:color w:val="231F20"/>
          <w:spacing w:val="-9"/>
        </w:rPr>
        <w:t> </w:t>
      </w:r>
      <w:r>
        <w:rPr>
          <w:color w:val="231F20"/>
        </w:rPr>
        <w:t>caracterizadas</w:t>
      </w:r>
      <w:r>
        <w:rPr>
          <w:color w:val="231F20"/>
          <w:spacing w:val="-10"/>
        </w:rPr>
        <w:t> </w:t>
      </w:r>
      <w:r>
        <w:rPr>
          <w:color w:val="231F20"/>
        </w:rPr>
        <w:t>por</w:t>
      </w:r>
      <w:r>
        <w:rPr>
          <w:color w:val="231F20"/>
          <w:spacing w:val="-9"/>
        </w:rPr>
        <w:t> </w:t>
      </w:r>
      <w:r>
        <w:rPr>
          <w:color w:val="231F20"/>
        </w:rPr>
        <w:t>muy</w:t>
      </w:r>
      <w:r>
        <w:rPr>
          <w:color w:val="231F20"/>
          <w:spacing w:val="-9"/>
        </w:rPr>
        <w:t> </w:t>
      </w:r>
      <w:r>
        <w:rPr>
          <w:color w:val="231F20"/>
        </w:rPr>
        <w:t>deteriorados niveles</w:t>
      </w:r>
      <w:r>
        <w:rPr>
          <w:color w:val="231F20"/>
          <w:spacing w:val="-10"/>
        </w:rPr>
        <w:t> </w:t>
      </w:r>
      <w:r>
        <w:rPr>
          <w:color w:val="231F20"/>
        </w:rPr>
        <w:t>salariales</w:t>
      </w:r>
      <w:r>
        <w:rPr>
          <w:color w:val="231F20"/>
          <w:spacing w:val="-9"/>
        </w:rPr>
        <w:t> </w:t>
      </w:r>
      <w:r>
        <w:rPr>
          <w:color w:val="231F20"/>
        </w:rPr>
        <w:t>y</w:t>
      </w:r>
      <w:r>
        <w:rPr>
          <w:color w:val="231F20"/>
          <w:spacing w:val="-10"/>
        </w:rPr>
        <w:t> </w:t>
      </w:r>
      <w:r>
        <w:rPr>
          <w:color w:val="231F20"/>
        </w:rPr>
        <w:t>entradas</w:t>
      </w:r>
      <w:r>
        <w:rPr>
          <w:color w:val="231F20"/>
          <w:spacing w:val="-10"/>
        </w:rPr>
        <w:t> </w:t>
      </w:r>
      <w:r>
        <w:rPr>
          <w:color w:val="231F20"/>
        </w:rPr>
        <w:t>irregulares</w:t>
      </w:r>
      <w:r>
        <w:rPr>
          <w:color w:val="231F20"/>
          <w:spacing w:val="-10"/>
        </w:rPr>
        <w:t> </w:t>
      </w:r>
      <w:r>
        <w:rPr>
          <w:color w:val="231F20"/>
        </w:rPr>
        <w:t>de</w:t>
      </w:r>
      <w:r>
        <w:rPr>
          <w:color w:val="231F20"/>
          <w:spacing w:val="-10"/>
        </w:rPr>
        <w:t> </w:t>
      </w:r>
      <w:r>
        <w:rPr>
          <w:color w:val="231F20"/>
        </w:rPr>
        <w:t>ingreso,</w:t>
      </w:r>
      <w:r>
        <w:rPr>
          <w:color w:val="231F20"/>
          <w:spacing w:val="-10"/>
        </w:rPr>
        <w:t> </w:t>
      </w:r>
      <w:r>
        <w:rPr>
          <w:color w:val="231F20"/>
        </w:rPr>
        <w:t>tal</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mexicana.</w:t>
      </w:r>
    </w:p>
    <w:p>
      <w:pPr>
        <w:pStyle w:val="BodyText"/>
        <w:spacing w:line="249" w:lineRule="auto" w:before="1"/>
        <w:ind w:left="113" w:right="107" w:firstLine="283"/>
        <w:jc w:val="both"/>
      </w:pPr>
      <w:r>
        <w:rPr>
          <w:color w:val="231F20"/>
        </w:rPr>
        <w:t>Se debe recordar que en el Cuadro 1 se detalló que 37.51 por ciento de la población analizada tiene acceso a seguridad social, lo cual es una proporción</w:t>
      </w:r>
      <w:r>
        <w:rPr>
          <w:color w:val="231F20"/>
          <w:spacing w:val="-11"/>
        </w:rPr>
        <w:t> </w:t>
      </w:r>
      <w:r>
        <w:rPr>
          <w:color w:val="231F20"/>
        </w:rPr>
        <w:t>aún</w:t>
      </w:r>
      <w:r>
        <w:rPr>
          <w:color w:val="231F20"/>
          <w:spacing w:val="-11"/>
        </w:rPr>
        <w:t> </w:t>
      </w:r>
      <w:r>
        <w:rPr>
          <w:color w:val="231F20"/>
        </w:rPr>
        <w:t>muy</w:t>
      </w:r>
      <w:r>
        <w:rPr>
          <w:color w:val="231F20"/>
          <w:spacing w:val="-11"/>
        </w:rPr>
        <w:t> </w:t>
      </w:r>
      <w:r>
        <w:rPr>
          <w:color w:val="231F20"/>
        </w:rPr>
        <w:t>baja.</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advierte</w:t>
      </w:r>
      <w:r>
        <w:rPr>
          <w:color w:val="231F20"/>
          <w:spacing w:val="-11"/>
        </w:rPr>
        <w:t> </w:t>
      </w:r>
      <w:r>
        <w:rPr>
          <w:color w:val="231F20"/>
        </w:rPr>
        <w:t>al</w:t>
      </w:r>
      <w:r>
        <w:rPr>
          <w:color w:val="231F20"/>
          <w:spacing w:val="-11"/>
        </w:rPr>
        <w:t> </w:t>
      </w:r>
      <w:r>
        <w:rPr>
          <w:color w:val="231F20"/>
        </w:rPr>
        <w:t>lector</w:t>
      </w:r>
      <w:r>
        <w:rPr>
          <w:color w:val="231F20"/>
          <w:spacing w:val="-11"/>
        </w:rPr>
        <w:t> </w:t>
      </w:r>
      <w:r>
        <w:rPr>
          <w:color w:val="231F20"/>
        </w:rPr>
        <w:t>el</w:t>
      </w:r>
      <w:r>
        <w:rPr>
          <w:color w:val="231F20"/>
          <w:spacing w:val="-11"/>
        </w:rPr>
        <w:t> </w:t>
      </w:r>
      <w:r>
        <w:rPr>
          <w:color w:val="231F20"/>
        </w:rPr>
        <w:t>tener</w:t>
      </w:r>
      <w:r>
        <w:rPr>
          <w:color w:val="231F20"/>
          <w:spacing w:val="-11"/>
        </w:rPr>
        <w:t> </w:t>
      </w:r>
      <w:r>
        <w:rPr>
          <w:color w:val="231F20"/>
        </w:rPr>
        <w:t>en</w:t>
      </w:r>
      <w:r>
        <w:rPr>
          <w:color w:val="231F20"/>
          <w:spacing w:val="-11"/>
        </w:rPr>
        <w:t> </w:t>
      </w:r>
      <w:r>
        <w:rPr>
          <w:color w:val="231F20"/>
        </w:rPr>
        <w:t>cuen- ta este resultado global cuando analicemos el Cuadro 3. En dicho   </w:t>
      </w:r>
      <w:r>
        <w:rPr>
          <w:color w:val="231F20"/>
          <w:spacing w:val="15"/>
        </w:rPr>
        <w:t> </w:t>
      </w:r>
      <w:r>
        <w:rPr>
          <w:color w:val="231F20"/>
        </w:rPr>
        <w:t>cua-</w:t>
      </w:r>
    </w:p>
    <w:p>
      <w:pPr>
        <w:pStyle w:val="BodyText"/>
        <w:spacing w:before="6"/>
        <w:rPr>
          <w:sz w:val="16"/>
        </w:rPr>
      </w:pPr>
    </w:p>
    <w:p>
      <w:pPr>
        <w:spacing w:before="0"/>
        <w:ind w:left="113" w:right="108" w:firstLine="0"/>
        <w:jc w:val="both"/>
        <w:rPr>
          <w:sz w:val="14"/>
        </w:rPr>
      </w:pPr>
      <w:r>
        <w:rPr>
          <w:color w:val="231F20"/>
          <w:position w:val="5"/>
          <w:sz w:val="8"/>
        </w:rPr>
        <w:t>12 </w:t>
      </w:r>
      <w:r>
        <w:rPr>
          <w:color w:val="231F20"/>
          <w:sz w:val="14"/>
        </w:rPr>
        <w:t>Las tres ramas corresponden a los códigos 2110; 3240 y 2132. Agrupan a 147,980 trabajadores, que representan uno por ciento de la muestra de la ENOE, en el segundo trimestre de 2012.</w:t>
      </w:r>
    </w:p>
    <w:p>
      <w:pPr>
        <w:spacing w:after="0"/>
        <w:jc w:val="both"/>
        <w:rPr>
          <w:sz w:val="14"/>
        </w:rPr>
        <w:sectPr>
          <w:pgSz w:w="7770" w:h="11740"/>
          <w:pgMar w:header="0" w:footer="474" w:top="840" w:bottom="660" w:left="1020" w:right="740"/>
        </w:sectPr>
      </w:pPr>
    </w:p>
    <w:p>
      <w:pPr>
        <w:pStyle w:val="BodyText"/>
        <w:spacing w:line="249" w:lineRule="auto" w:before="60"/>
        <w:ind w:left="110" w:right="111"/>
        <w:jc w:val="both"/>
      </w:pPr>
      <w:r>
        <w:rPr>
          <w:color w:val="231F20"/>
        </w:rPr>
        <w:t>dro presentamos los resultados de nueve modelos </w:t>
      </w:r>
      <w:r>
        <w:rPr>
          <w:i/>
          <w:color w:val="231F20"/>
        </w:rPr>
        <w:t>logit </w:t>
      </w:r>
      <w:r>
        <w:rPr>
          <w:color w:val="231F20"/>
        </w:rPr>
        <w:t>para la seguridad social, análogos en sus variables independientes a los que se plantearon para el ingreso laboral por hora (en el Cuadro 2, del apartado anterior).</w:t>
      </w:r>
    </w:p>
    <w:p>
      <w:pPr>
        <w:pStyle w:val="BodyText"/>
        <w:spacing w:line="249" w:lineRule="auto" w:before="1"/>
        <w:ind w:left="110" w:right="111" w:firstLine="283"/>
        <w:jc w:val="right"/>
      </w:pPr>
      <w:r>
        <w:rPr>
          <w:color w:val="231F20"/>
        </w:rPr>
        <w:t>En</w:t>
      </w:r>
      <w:r>
        <w:rPr>
          <w:color w:val="231F20"/>
          <w:spacing w:val="-11"/>
        </w:rPr>
        <w:t> </w:t>
      </w:r>
      <w:r>
        <w:rPr>
          <w:color w:val="231F20"/>
        </w:rPr>
        <w:t>el</w:t>
      </w:r>
      <w:r>
        <w:rPr>
          <w:color w:val="231F20"/>
          <w:spacing w:val="-11"/>
        </w:rPr>
        <w:t> </w:t>
      </w:r>
      <w:r>
        <w:rPr>
          <w:color w:val="231F20"/>
        </w:rPr>
        <w:t>caso</w:t>
      </w:r>
      <w:r>
        <w:rPr>
          <w:color w:val="231F20"/>
          <w:spacing w:val="-11"/>
        </w:rPr>
        <w:t> </w:t>
      </w:r>
      <w:r>
        <w:rPr>
          <w:color w:val="231F20"/>
        </w:rPr>
        <w:t>del</w:t>
      </w:r>
      <w:r>
        <w:rPr>
          <w:color w:val="231F20"/>
          <w:spacing w:val="-11"/>
        </w:rPr>
        <w:t> </w:t>
      </w:r>
      <w:r>
        <w:rPr>
          <w:color w:val="231F20"/>
        </w:rPr>
        <w:t>acceso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seguridad</w:t>
      </w:r>
      <w:r>
        <w:rPr>
          <w:color w:val="231F20"/>
          <w:spacing w:val="-10"/>
        </w:rPr>
        <w:t> </w:t>
      </w:r>
      <w:r>
        <w:rPr>
          <w:color w:val="231F20"/>
        </w:rPr>
        <w:t>social</w:t>
      </w:r>
      <w:r>
        <w:rPr>
          <w:color w:val="231F20"/>
          <w:spacing w:val="-10"/>
        </w:rPr>
        <w:t> </w:t>
      </w:r>
      <w:r>
        <w:rPr>
          <w:color w:val="231F20"/>
        </w:rPr>
        <w:t>nos</w:t>
      </w:r>
      <w:r>
        <w:rPr>
          <w:color w:val="231F20"/>
          <w:spacing w:val="-11"/>
        </w:rPr>
        <w:t> </w:t>
      </w:r>
      <w:r>
        <w:rPr>
          <w:color w:val="231F20"/>
        </w:rPr>
        <w:t>gustaría</w:t>
      </w:r>
      <w:r>
        <w:rPr>
          <w:color w:val="231F20"/>
          <w:spacing w:val="-11"/>
        </w:rPr>
        <w:t> </w:t>
      </w:r>
      <w:r>
        <w:rPr>
          <w:color w:val="231F20"/>
        </w:rPr>
        <w:t>hacer</w:t>
      </w:r>
      <w:r>
        <w:rPr>
          <w:color w:val="231F20"/>
          <w:spacing w:val="-11"/>
        </w:rPr>
        <w:t> </w:t>
      </w:r>
      <w:r>
        <w:rPr>
          <w:color w:val="231F20"/>
        </w:rPr>
        <w:t>hincapié en un resultado principal en lo que concierne a los</w:t>
      </w:r>
      <w:r>
        <w:rPr>
          <w:color w:val="231F20"/>
          <w:spacing w:val="20"/>
        </w:rPr>
        <w:t> </w:t>
      </w:r>
      <w:r>
        <w:rPr>
          <w:color w:val="231F20"/>
        </w:rPr>
        <w:t>sectores</w:t>
      </w:r>
      <w:r>
        <w:rPr>
          <w:color w:val="231F20"/>
          <w:spacing w:val="7"/>
        </w:rPr>
        <w:t> </w:t>
      </w:r>
      <w:r>
        <w:rPr>
          <w:color w:val="231F20"/>
        </w:rPr>
        <w:t>clasificados</w:t>
      </w:r>
      <w:r>
        <w:rPr>
          <w:color w:val="231F20"/>
          <w:w w:val="98"/>
        </w:rPr>
        <w:t> </w:t>
      </w:r>
      <w:r>
        <w:rPr>
          <w:color w:val="231F20"/>
        </w:rPr>
        <w:t>desde</w:t>
      </w:r>
      <w:r>
        <w:rPr>
          <w:color w:val="231F20"/>
          <w:spacing w:val="27"/>
        </w:rPr>
        <w:t> </w:t>
      </w:r>
      <w:r>
        <w:rPr>
          <w:color w:val="231F20"/>
        </w:rPr>
        <w:t>su</w:t>
      </w:r>
      <w:r>
        <w:rPr>
          <w:color w:val="231F20"/>
          <w:spacing w:val="27"/>
        </w:rPr>
        <w:t> </w:t>
      </w:r>
      <w:r>
        <w:rPr>
          <w:color w:val="231F20"/>
        </w:rPr>
        <w:t>vínculo</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comercio</w:t>
      </w:r>
      <w:r>
        <w:rPr>
          <w:color w:val="231F20"/>
          <w:spacing w:val="27"/>
        </w:rPr>
        <w:t> </w:t>
      </w:r>
      <w:r>
        <w:rPr>
          <w:color w:val="231F20"/>
        </w:rPr>
        <w:t>internacional:</w:t>
      </w:r>
      <w:r>
        <w:rPr>
          <w:color w:val="231F20"/>
          <w:spacing w:val="26"/>
        </w:rPr>
        <w:t> </w:t>
      </w:r>
      <w:r>
        <w:rPr>
          <w:color w:val="231F20"/>
        </w:rPr>
        <w:t>las</w:t>
      </w:r>
      <w:r>
        <w:rPr>
          <w:color w:val="231F20"/>
          <w:spacing w:val="27"/>
        </w:rPr>
        <w:t> </w:t>
      </w:r>
      <w:r>
        <w:rPr>
          <w:color w:val="231F20"/>
        </w:rPr>
        <w:t>ventajas</w:t>
      </w:r>
      <w:r>
        <w:rPr>
          <w:color w:val="231F20"/>
          <w:spacing w:val="27"/>
        </w:rPr>
        <w:t> </w:t>
      </w:r>
      <w:r>
        <w:rPr>
          <w:color w:val="231F20"/>
        </w:rPr>
        <w:t>que</w:t>
      </w:r>
      <w:r>
        <w:rPr>
          <w:color w:val="231F20"/>
          <w:spacing w:val="27"/>
        </w:rPr>
        <w:t> </w:t>
      </w:r>
      <w:r>
        <w:rPr>
          <w:color w:val="231F20"/>
        </w:rPr>
        <w:t>pre- sentan</w:t>
      </w:r>
      <w:r>
        <w:rPr>
          <w:color w:val="231F20"/>
          <w:spacing w:val="18"/>
        </w:rPr>
        <w:t> </w:t>
      </w:r>
      <w:r>
        <w:rPr>
          <w:color w:val="231F20"/>
        </w:rPr>
        <w:t>los</w:t>
      </w:r>
      <w:r>
        <w:rPr>
          <w:color w:val="231F20"/>
          <w:spacing w:val="18"/>
        </w:rPr>
        <w:t> </w:t>
      </w:r>
      <w:r>
        <w:rPr>
          <w:color w:val="231F20"/>
        </w:rPr>
        <w:t>sectores</w:t>
      </w:r>
      <w:r>
        <w:rPr>
          <w:color w:val="231F20"/>
          <w:spacing w:val="18"/>
        </w:rPr>
        <w:t> </w:t>
      </w:r>
      <w:r>
        <w:rPr>
          <w:color w:val="231F20"/>
        </w:rPr>
        <w:t>de</w:t>
      </w:r>
      <w:r>
        <w:rPr>
          <w:color w:val="231F20"/>
          <w:spacing w:val="18"/>
        </w:rPr>
        <w:t> </w:t>
      </w:r>
      <w:r>
        <w:rPr>
          <w:color w:val="231F20"/>
        </w:rPr>
        <w:t>otros</w:t>
      </w:r>
      <w:r>
        <w:rPr>
          <w:color w:val="231F20"/>
          <w:spacing w:val="18"/>
        </w:rPr>
        <w:t> </w:t>
      </w:r>
      <w:r>
        <w:rPr>
          <w:color w:val="231F20"/>
        </w:rPr>
        <w:t>transables</w:t>
      </w:r>
      <w:r>
        <w:rPr>
          <w:color w:val="231F20"/>
          <w:spacing w:val="17"/>
        </w:rPr>
        <w:t> </w:t>
      </w:r>
      <w:r>
        <w:rPr>
          <w:color w:val="231F20"/>
        </w:rPr>
        <w:t>y</w:t>
      </w:r>
      <w:r>
        <w:rPr>
          <w:color w:val="231F20"/>
          <w:spacing w:val="18"/>
        </w:rPr>
        <w:t> </w:t>
      </w:r>
      <w:r>
        <w:rPr>
          <w:color w:val="231F20"/>
        </w:rPr>
        <w:t>los</w:t>
      </w:r>
      <w:r>
        <w:rPr>
          <w:color w:val="231F20"/>
          <w:spacing w:val="18"/>
        </w:rPr>
        <w:t> </w:t>
      </w:r>
      <w:r>
        <w:rPr>
          <w:color w:val="231F20"/>
        </w:rPr>
        <w:t>no</w:t>
      </w:r>
      <w:r>
        <w:rPr>
          <w:color w:val="231F20"/>
          <w:spacing w:val="18"/>
        </w:rPr>
        <w:t> </w:t>
      </w:r>
      <w:r>
        <w:rPr>
          <w:color w:val="231F20"/>
        </w:rPr>
        <w:t>transables,</w:t>
      </w:r>
      <w:r>
        <w:rPr>
          <w:color w:val="231F20"/>
          <w:spacing w:val="17"/>
        </w:rPr>
        <w:t> </w:t>
      </w:r>
      <w:r>
        <w:rPr>
          <w:color w:val="231F20"/>
        </w:rPr>
        <w:t>frente</w:t>
      </w:r>
      <w:r>
        <w:rPr>
          <w:color w:val="231F20"/>
          <w:spacing w:val="18"/>
        </w:rPr>
        <w:t> </w:t>
      </w:r>
      <w:r>
        <w:rPr>
          <w:color w:val="231F20"/>
        </w:rPr>
        <w:t>a</w:t>
      </w:r>
      <w:r>
        <w:rPr>
          <w:color w:val="231F20"/>
          <w:spacing w:val="18"/>
        </w:rPr>
        <w:t> </w:t>
      </w:r>
      <w:r>
        <w:rPr>
          <w:color w:val="231F20"/>
        </w:rPr>
        <w:t>los transables</w:t>
      </w:r>
      <w:r>
        <w:rPr>
          <w:color w:val="231F20"/>
          <w:spacing w:val="-5"/>
        </w:rPr>
        <w:t> </w:t>
      </w:r>
      <w:r>
        <w:rPr>
          <w:color w:val="231F20"/>
        </w:rPr>
        <w:t>concentrados.</w:t>
      </w:r>
      <w:r>
        <w:rPr>
          <w:color w:val="231F20"/>
          <w:spacing w:val="-5"/>
        </w:rPr>
        <w:t> </w:t>
      </w:r>
      <w:r>
        <w:rPr>
          <w:color w:val="231F20"/>
        </w:rPr>
        <w:t>Esto</w:t>
      </w:r>
      <w:r>
        <w:rPr>
          <w:color w:val="231F20"/>
          <w:spacing w:val="-5"/>
        </w:rPr>
        <w:t> </w:t>
      </w:r>
      <w:r>
        <w:rPr>
          <w:color w:val="231F20"/>
        </w:rPr>
        <w:t>se</w:t>
      </w:r>
      <w:r>
        <w:rPr>
          <w:color w:val="231F20"/>
          <w:spacing w:val="-4"/>
        </w:rPr>
        <w:t> </w:t>
      </w:r>
      <w:r>
        <w:rPr>
          <w:color w:val="231F20"/>
        </w:rPr>
        <w:t>puede</w:t>
      </w:r>
      <w:r>
        <w:rPr>
          <w:color w:val="231F20"/>
          <w:spacing w:val="-5"/>
        </w:rPr>
        <w:t> </w:t>
      </w:r>
      <w:r>
        <w:rPr>
          <w:color w:val="231F20"/>
        </w:rPr>
        <w:t>apreciar</w:t>
      </w:r>
      <w:r>
        <w:rPr>
          <w:color w:val="231F20"/>
          <w:spacing w:val="-5"/>
        </w:rPr>
        <w:t> </w:t>
      </w:r>
      <w:r>
        <w:rPr>
          <w:color w:val="231F20"/>
        </w:rPr>
        <w:t>mejor</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modelo</w:t>
      </w:r>
      <w:r>
        <w:rPr>
          <w:color w:val="231F20"/>
          <w:spacing w:val="-5"/>
        </w:rPr>
        <w:t> </w:t>
      </w:r>
      <w:r>
        <w:rPr>
          <w:color w:val="231F20"/>
        </w:rPr>
        <w:t>final</w:t>
      </w:r>
      <w:r>
        <w:rPr>
          <w:color w:val="231F20"/>
          <w:w w:val="97"/>
        </w:rPr>
        <w:t> </w:t>
      </w:r>
      <w:r>
        <w:rPr>
          <w:color w:val="231F20"/>
        </w:rPr>
        <w:t>que incluye todos los controles. En un inicio las ventajas que</w:t>
      </w:r>
      <w:r>
        <w:rPr>
          <w:color w:val="231F20"/>
          <w:spacing w:val="-26"/>
        </w:rPr>
        <w:t> </w:t>
      </w:r>
      <w:r>
        <w:rPr>
          <w:color w:val="231F20"/>
        </w:rPr>
        <w:t>ofrecen</w:t>
      </w:r>
      <w:r>
        <w:rPr>
          <w:color w:val="231F20"/>
          <w:spacing w:val="-2"/>
        </w:rPr>
        <w:t> </w:t>
      </w:r>
      <w:r>
        <w:rPr>
          <w:color w:val="231F20"/>
        </w:rPr>
        <w:t>los sectores</w:t>
      </w:r>
      <w:r>
        <w:rPr>
          <w:color w:val="231F20"/>
          <w:spacing w:val="-7"/>
        </w:rPr>
        <w:t> </w:t>
      </w:r>
      <w:r>
        <w:rPr>
          <w:color w:val="231F20"/>
        </w:rPr>
        <w:t>no</w:t>
      </w:r>
      <w:r>
        <w:rPr>
          <w:color w:val="231F20"/>
          <w:spacing w:val="-8"/>
        </w:rPr>
        <w:t> </w:t>
      </w:r>
      <w:r>
        <w:rPr>
          <w:color w:val="231F20"/>
        </w:rPr>
        <w:t>transables</w:t>
      </w:r>
      <w:r>
        <w:rPr>
          <w:color w:val="231F20"/>
          <w:spacing w:val="-8"/>
        </w:rPr>
        <w:t> </w:t>
      </w:r>
      <w:r>
        <w:rPr>
          <w:color w:val="231F20"/>
        </w:rPr>
        <w:t>no</w:t>
      </w:r>
      <w:r>
        <w:rPr>
          <w:color w:val="231F20"/>
          <w:spacing w:val="-8"/>
        </w:rPr>
        <w:t> </w:t>
      </w:r>
      <w:r>
        <w:rPr>
          <w:color w:val="231F20"/>
        </w:rPr>
        <w:t>era</w:t>
      </w:r>
      <w:r>
        <w:rPr>
          <w:color w:val="231F20"/>
          <w:spacing w:val="-8"/>
        </w:rPr>
        <w:t> </w:t>
      </w:r>
      <w:r>
        <w:rPr>
          <w:color w:val="231F20"/>
        </w:rPr>
        <w:t>evidente,</w:t>
      </w:r>
      <w:r>
        <w:rPr>
          <w:color w:val="231F20"/>
          <w:spacing w:val="-8"/>
        </w:rPr>
        <w:t> </w:t>
      </w:r>
      <w:r>
        <w:rPr>
          <w:color w:val="231F20"/>
        </w:rPr>
        <w:t>pero</w:t>
      </w:r>
      <w:r>
        <w:rPr>
          <w:color w:val="231F20"/>
          <w:spacing w:val="-8"/>
        </w:rPr>
        <w:t> </w:t>
      </w:r>
      <w:r>
        <w:rPr>
          <w:color w:val="231F20"/>
        </w:rPr>
        <w:t>cuando</w:t>
      </w:r>
      <w:r>
        <w:rPr>
          <w:color w:val="231F20"/>
          <w:spacing w:val="-8"/>
        </w:rPr>
        <w:t> </w:t>
      </w:r>
      <w:r>
        <w:rPr>
          <w:color w:val="231F20"/>
        </w:rPr>
        <w:t>se</w:t>
      </w:r>
      <w:r>
        <w:rPr>
          <w:color w:val="231F20"/>
          <w:spacing w:val="-8"/>
        </w:rPr>
        <w:t> </w:t>
      </w:r>
      <w:r>
        <w:rPr>
          <w:color w:val="231F20"/>
        </w:rPr>
        <w:t>introduce</w:t>
      </w:r>
      <w:r>
        <w:rPr>
          <w:color w:val="231F20"/>
          <w:spacing w:val="-8"/>
        </w:rPr>
        <w:t> </w:t>
      </w:r>
      <w:r>
        <w:rPr>
          <w:color w:val="231F20"/>
        </w:rPr>
        <w:t>el</w:t>
      </w:r>
      <w:r>
        <w:rPr>
          <w:color w:val="231F20"/>
          <w:spacing w:val="-8"/>
        </w:rPr>
        <w:t> </w:t>
      </w:r>
      <w:r>
        <w:rPr>
          <w:color w:val="231F20"/>
        </w:rPr>
        <w:t>efecto del</w:t>
      </w:r>
      <w:r>
        <w:rPr>
          <w:color w:val="231F20"/>
          <w:spacing w:val="-9"/>
        </w:rPr>
        <w:t> </w:t>
      </w:r>
      <w:r>
        <w:rPr>
          <w:color w:val="231F20"/>
        </w:rPr>
        <w:t>tamaño</w:t>
      </w:r>
      <w:r>
        <w:rPr>
          <w:color w:val="231F20"/>
          <w:spacing w:val="-9"/>
        </w:rPr>
        <w:t> </w:t>
      </w:r>
      <w:r>
        <w:rPr>
          <w:color w:val="231F20"/>
        </w:rPr>
        <w:t>de</w:t>
      </w:r>
      <w:r>
        <w:rPr>
          <w:color w:val="231F20"/>
          <w:spacing w:val="-9"/>
        </w:rPr>
        <w:t> </w:t>
      </w:r>
      <w:r>
        <w:rPr>
          <w:color w:val="231F20"/>
        </w:rPr>
        <w:t>establecimiento,</w:t>
      </w:r>
      <w:r>
        <w:rPr>
          <w:color w:val="231F20"/>
          <w:spacing w:val="-9"/>
        </w:rPr>
        <w:t> </w:t>
      </w:r>
      <w:r>
        <w:rPr>
          <w:color w:val="231F20"/>
        </w:rPr>
        <w:t>el</w:t>
      </w:r>
      <w:r>
        <w:rPr>
          <w:color w:val="231F20"/>
          <w:spacing w:val="-9"/>
        </w:rPr>
        <w:t> </w:t>
      </w:r>
      <w:r>
        <w:rPr>
          <w:color w:val="231F20"/>
        </w:rPr>
        <w:t>sentido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coeficientes</w:t>
      </w:r>
      <w:r>
        <w:rPr>
          <w:color w:val="231F20"/>
          <w:spacing w:val="-9"/>
        </w:rPr>
        <w:t> </w:t>
      </w:r>
      <w:r>
        <w:rPr>
          <w:color w:val="231F20"/>
        </w:rPr>
        <w:t>se</w:t>
      </w:r>
      <w:r>
        <w:rPr>
          <w:color w:val="231F20"/>
          <w:spacing w:val="-9"/>
        </w:rPr>
        <w:t> </w:t>
      </w:r>
      <w:r>
        <w:rPr>
          <w:color w:val="231F20"/>
        </w:rPr>
        <w:t>revierte.</w:t>
      </w:r>
      <w:r>
        <w:rPr>
          <w:color w:val="231F20"/>
          <w:position w:val="7"/>
          <w:sz w:val="11"/>
        </w:rPr>
        <w:t>13</w:t>
      </w:r>
      <w:r>
        <w:rPr>
          <w:color w:val="231F20"/>
          <w:w w:val="106"/>
          <w:position w:val="7"/>
          <w:sz w:val="11"/>
        </w:rPr>
        <w:t> </w:t>
      </w:r>
      <w:r>
        <w:rPr>
          <w:color w:val="231F20"/>
        </w:rPr>
        <w:t>Nos</w:t>
      </w:r>
      <w:r>
        <w:rPr>
          <w:color w:val="231F20"/>
          <w:spacing w:val="-4"/>
        </w:rPr>
        <w:t> </w:t>
      </w:r>
      <w:r>
        <w:rPr>
          <w:color w:val="231F20"/>
        </w:rPr>
        <w:t>detendremos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discusión</w:t>
      </w:r>
      <w:r>
        <w:rPr>
          <w:color w:val="231F20"/>
          <w:spacing w:val="-4"/>
        </w:rPr>
        <w:t> </w:t>
      </w:r>
      <w:r>
        <w:rPr>
          <w:color w:val="231F20"/>
        </w:rPr>
        <w:t>que</w:t>
      </w:r>
      <w:r>
        <w:rPr>
          <w:color w:val="231F20"/>
          <w:spacing w:val="-4"/>
        </w:rPr>
        <w:t> </w:t>
      </w:r>
      <w:r>
        <w:rPr>
          <w:color w:val="231F20"/>
        </w:rPr>
        <w:t>sigue</w:t>
      </w:r>
      <w:r>
        <w:rPr>
          <w:color w:val="231F20"/>
          <w:spacing w:val="-4"/>
        </w:rPr>
        <w:t> </w:t>
      </w:r>
      <w:r>
        <w:rPr>
          <w:color w:val="231F20"/>
        </w:rPr>
        <w:t>en</w:t>
      </w:r>
      <w:r>
        <w:rPr>
          <w:color w:val="231F20"/>
          <w:spacing w:val="-4"/>
        </w:rPr>
        <w:t> </w:t>
      </w:r>
      <w:r>
        <w:rPr>
          <w:color w:val="231F20"/>
        </w:rPr>
        <w:t>estos</w:t>
      </w:r>
      <w:r>
        <w:rPr>
          <w:color w:val="231F20"/>
          <w:spacing w:val="-5"/>
        </w:rPr>
        <w:t> </w:t>
      </w:r>
      <w:r>
        <w:rPr>
          <w:color w:val="231F20"/>
        </w:rPr>
        <w:t>resultados,</w:t>
      </w:r>
      <w:r>
        <w:rPr>
          <w:color w:val="231F20"/>
          <w:spacing w:val="-4"/>
        </w:rPr>
        <w:t> </w:t>
      </w:r>
      <w:r>
        <w:rPr>
          <w:color w:val="231F20"/>
        </w:rPr>
        <w:t>pues-</w:t>
      </w:r>
    </w:p>
    <w:p>
      <w:pPr>
        <w:pStyle w:val="BodyText"/>
        <w:spacing w:line="249" w:lineRule="auto" w:before="1"/>
        <w:ind w:left="110" w:right="111"/>
        <w:jc w:val="both"/>
      </w:pPr>
      <w:r>
        <w:rPr>
          <w:color w:val="231F20"/>
        </w:rPr>
        <w:t>to</w:t>
      </w:r>
      <w:r>
        <w:rPr>
          <w:color w:val="231F20"/>
          <w:spacing w:val="-12"/>
        </w:rPr>
        <w:t> </w:t>
      </w:r>
      <w:r>
        <w:rPr>
          <w:color w:val="231F20"/>
        </w:rPr>
        <w:t>que</w:t>
      </w:r>
      <w:r>
        <w:rPr>
          <w:color w:val="231F20"/>
          <w:spacing w:val="-12"/>
        </w:rPr>
        <w:t> </w:t>
      </w:r>
      <w:r>
        <w:rPr>
          <w:color w:val="231F20"/>
        </w:rPr>
        <w:t>precisan</w:t>
      </w:r>
      <w:r>
        <w:rPr>
          <w:color w:val="231F20"/>
          <w:spacing w:val="-12"/>
        </w:rPr>
        <w:t> </w:t>
      </w:r>
      <w:r>
        <w:rPr>
          <w:color w:val="231F20"/>
        </w:rPr>
        <w:t>las</w:t>
      </w:r>
      <w:r>
        <w:rPr>
          <w:color w:val="231F20"/>
          <w:spacing w:val="-12"/>
        </w:rPr>
        <w:t> </w:t>
      </w:r>
      <w:r>
        <w:rPr>
          <w:color w:val="231F20"/>
        </w:rPr>
        <w:t>peores</w:t>
      </w:r>
      <w:r>
        <w:rPr>
          <w:color w:val="231F20"/>
          <w:spacing w:val="-12"/>
        </w:rPr>
        <w:t> </w:t>
      </w:r>
      <w:r>
        <w:rPr>
          <w:color w:val="231F20"/>
        </w:rPr>
        <w:t>condiciones</w:t>
      </w:r>
      <w:r>
        <w:rPr>
          <w:color w:val="231F20"/>
          <w:spacing w:val="-12"/>
        </w:rPr>
        <w:t> </w:t>
      </w:r>
      <w:r>
        <w:rPr>
          <w:color w:val="231F20"/>
        </w:rPr>
        <w:t>de</w:t>
      </w:r>
      <w:r>
        <w:rPr>
          <w:color w:val="231F20"/>
          <w:spacing w:val="-12"/>
        </w:rPr>
        <w:t> </w:t>
      </w:r>
      <w:r>
        <w:rPr>
          <w:color w:val="231F20"/>
        </w:rPr>
        <w:t>acceso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seguridad</w:t>
      </w:r>
      <w:r>
        <w:rPr>
          <w:color w:val="231F20"/>
          <w:spacing w:val="-12"/>
        </w:rPr>
        <w:t> </w:t>
      </w:r>
      <w:r>
        <w:rPr>
          <w:color w:val="231F20"/>
        </w:rPr>
        <w:t>social</w:t>
      </w:r>
      <w:r>
        <w:rPr>
          <w:color w:val="231F20"/>
          <w:spacing w:val="-12"/>
        </w:rPr>
        <w:t> </w:t>
      </w:r>
      <w:r>
        <w:rPr>
          <w:color w:val="231F20"/>
        </w:rPr>
        <w:t>que prevalecen en los sectores que comercian con pocos socios (principal- mente la agricultura, la fabricación de prendas de vestir y la fabricación de</w:t>
      </w:r>
      <w:r>
        <w:rPr>
          <w:color w:val="231F20"/>
          <w:spacing w:val="-5"/>
        </w:rPr>
        <w:t> </w:t>
      </w:r>
      <w:r>
        <w:rPr>
          <w:color w:val="231F20"/>
        </w:rPr>
        <w:t>productos</w:t>
      </w:r>
      <w:r>
        <w:rPr>
          <w:color w:val="231F20"/>
          <w:spacing w:val="-5"/>
        </w:rPr>
        <w:t> </w:t>
      </w:r>
      <w:r>
        <w:rPr>
          <w:color w:val="231F20"/>
        </w:rPr>
        <w:t>metálicos,</w:t>
      </w:r>
      <w:r>
        <w:rPr>
          <w:color w:val="231F20"/>
          <w:spacing w:val="-6"/>
        </w:rPr>
        <w:t> </w:t>
      </w:r>
      <w:r>
        <w:rPr>
          <w:color w:val="231F20"/>
        </w:rPr>
        <w:t>véase</w:t>
      </w:r>
      <w:r>
        <w:rPr>
          <w:color w:val="231F20"/>
          <w:spacing w:val="-5"/>
        </w:rPr>
        <w:t> </w:t>
      </w:r>
      <w:r>
        <w:rPr>
          <w:color w:val="231F20"/>
        </w:rPr>
        <w:t>el</w:t>
      </w:r>
      <w:r>
        <w:rPr>
          <w:color w:val="231F20"/>
          <w:spacing w:val="-5"/>
        </w:rPr>
        <w:t> </w:t>
      </w:r>
      <w:r>
        <w:rPr>
          <w:color w:val="231F20"/>
        </w:rPr>
        <w:t>Esquema</w:t>
      </w:r>
      <w:r>
        <w:rPr>
          <w:color w:val="231F20"/>
          <w:spacing w:val="-6"/>
        </w:rPr>
        <w:t> </w:t>
      </w:r>
      <w:r>
        <w:rPr>
          <w:color w:val="231F20"/>
        </w:rPr>
        <w:t>3),</w:t>
      </w:r>
      <w:r>
        <w:rPr>
          <w:color w:val="231F20"/>
          <w:spacing w:val="-5"/>
        </w:rPr>
        <w:t> </w:t>
      </w:r>
      <w:r>
        <w:rPr>
          <w:color w:val="231F20"/>
        </w:rPr>
        <w:t>frente</w:t>
      </w:r>
      <w:r>
        <w:rPr>
          <w:color w:val="231F20"/>
          <w:spacing w:val="-5"/>
        </w:rPr>
        <w:t> </w:t>
      </w:r>
      <w:r>
        <w:rPr>
          <w:color w:val="231F20"/>
        </w:rPr>
        <w:t>a</w:t>
      </w:r>
      <w:r>
        <w:rPr>
          <w:color w:val="231F20"/>
          <w:spacing w:val="-5"/>
        </w:rPr>
        <w:t> </w:t>
      </w:r>
      <w:r>
        <w:rPr>
          <w:color w:val="231F20"/>
        </w:rPr>
        <w:t>los</w:t>
      </w:r>
      <w:r>
        <w:rPr>
          <w:color w:val="231F20"/>
          <w:spacing w:val="-6"/>
        </w:rPr>
        <w:t> </w:t>
      </w:r>
      <w:r>
        <w:rPr>
          <w:color w:val="231F20"/>
        </w:rPr>
        <w:t>demás</w:t>
      </w:r>
      <w:r>
        <w:rPr>
          <w:color w:val="231F20"/>
          <w:spacing w:val="-5"/>
        </w:rPr>
        <w:t> </w:t>
      </w:r>
      <w:r>
        <w:rPr>
          <w:color w:val="231F20"/>
        </w:rPr>
        <w:t>sectores abiertos</w:t>
      </w:r>
      <w:r>
        <w:rPr>
          <w:color w:val="231F20"/>
          <w:spacing w:val="-4"/>
        </w:rPr>
        <w:t> </w:t>
      </w:r>
      <w:r>
        <w:rPr>
          <w:color w:val="231F20"/>
        </w:rPr>
        <w:t>al</w:t>
      </w:r>
      <w:r>
        <w:rPr>
          <w:color w:val="231F20"/>
          <w:spacing w:val="-4"/>
        </w:rPr>
        <w:t> </w:t>
      </w:r>
      <w:r>
        <w:rPr>
          <w:color w:val="231F20"/>
        </w:rPr>
        <w:t>comercio</w:t>
      </w:r>
      <w:r>
        <w:rPr>
          <w:color w:val="231F20"/>
          <w:spacing w:val="-4"/>
        </w:rPr>
        <w:t> </w:t>
      </w:r>
      <w:r>
        <w:rPr>
          <w:color w:val="231F20"/>
        </w:rPr>
        <w:t>exterior</w:t>
      </w:r>
      <w:r>
        <w:rPr>
          <w:color w:val="231F20"/>
          <w:spacing w:val="-4"/>
        </w:rPr>
        <w:t> </w:t>
      </w:r>
      <w:r>
        <w:rPr>
          <w:color w:val="231F20"/>
        </w:rPr>
        <w:t>con</w:t>
      </w:r>
      <w:r>
        <w:rPr>
          <w:color w:val="231F20"/>
          <w:spacing w:val="-4"/>
        </w:rPr>
        <w:t> </w:t>
      </w:r>
      <w:r>
        <w:rPr>
          <w:color w:val="231F20"/>
        </w:rPr>
        <w:t>mayor</w:t>
      </w:r>
      <w:r>
        <w:rPr>
          <w:color w:val="231F20"/>
          <w:spacing w:val="-4"/>
        </w:rPr>
        <w:t> </w:t>
      </w:r>
      <w:r>
        <w:rPr>
          <w:color w:val="231F20"/>
        </w:rPr>
        <w:t>cantidad</w:t>
      </w:r>
      <w:r>
        <w:rPr>
          <w:color w:val="231F20"/>
          <w:spacing w:val="-4"/>
        </w:rPr>
        <w:t> </w:t>
      </w:r>
      <w:r>
        <w:rPr>
          <w:color w:val="231F20"/>
        </w:rPr>
        <w:t>de</w:t>
      </w:r>
      <w:r>
        <w:rPr>
          <w:color w:val="231F20"/>
          <w:spacing w:val="-4"/>
        </w:rPr>
        <w:t> </w:t>
      </w:r>
      <w:r>
        <w:rPr>
          <w:color w:val="231F20"/>
        </w:rPr>
        <w:t>socios</w:t>
      </w:r>
      <w:r>
        <w:rPr>
          <w:color w:val="231F20"/>
          <w:spacing w:val="-3"/>
        </w:rPr>
        <w:t> </w:t>
      </w:r>
      <w:r>
        <w:rPr>
          <w:color w:val="231F20"/>
        </w:rPr>
        <w:t>y</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secto- res no transables.</w:t>
      </w:r>
    </w:p>
    <w:p>
      <w:pPr>
        <w:pStyle w:val="BodyText"/>
        <w:spacing w:line="249" w:lineRule="auto" w:before="1"/>
        <w:ind w:left="110" w:right="111" w:firstLine="283"/>
        <w:jc w:val="both"/>
      </w:pPr>
      <w:r>
        <w:rPr>
          <w:color w:val="231F20"/>
        </w:rPr>
        <w:t>En lo que toca a las variables de control, varios resultados llaman la atención,</w:t>
      </w:r>
      <w:r>
        <w:rPr>
          <w:color w:val="231F20"/>
          <w:spacing w:val="-6"/>
        </w:rPr>
        <w:t> </w:t>
      </w:r>
      <w:r>
        <w:rPr>
          <w:color w:val="231F20"/>
        </w:rPr>
        <w:t>y</w:t>
      </w:r>
      <w:r>
        <w:rPr>
          <w:color w:val="231F20"/>
          <w:spacing w:val="-5"/>
        </w:rPr>
        <w:t> </w:t>
      </w:r>
      <w:r>
        <w:rPr>
          <w:color w:val="231F20"/>
        </w:rPr>
        <w:t>algunos</w:t>
      </w:r>
      <w:r>
        <w:rPr>
          <w:color w:val="231F20"/>
          <w:spacing w:val="-5"/>
        </w:rPr>
        <w:t> </w:t>
      </w:r>
      <w:r>
        <w:rPr>
          <w:color w:val="231F20"/>
        </w:rPr>
        <w:t>difieren</w:t>
      </w:r>
      <w:r>
        <w:rPr>
          <w:color w:val="231F20"/>
          <w:spacing w:val="-5"/>
        </w:rPr>
        <w:t> </w:t>
      </w:r>
      <w:r>
        <w:rPr>
          <w:color w:val="231F20"/>
        </w:rPr>
        <w:t>de</w:t>
      </w:r>
      <w:r>
        <w:rPr>
          <w:color w:val="231F20"/>
          <w:spacing w:val="-5"/>
        </w:rPr>
        <w:t> </w:t>
      </w:r>
      <w:r>
        <w:rPr>
          <w:color w:val="231F20"/>
        </w:rPr>
        <w:t>lo</w:t>
      </w:r>
      <w:r>
        <w:rPr>
          <w:color w:val="231F20"/>
          <w:spacing w:val="-5"/>
        </w:rPr>
        <w:t> </w:t>
      </w:r>
      <w:r>
        <w:rPr>
          <w:color w:val="231F20"/>
        </w:rPr>
        <w:t>encontrado</w:t>
      </w:r>
      <w:r>
        <w:rPr>
          <w:color w:val="231F20"/>
          <w:spacing w:val="-5"/>
        </w:rPr>
        <w:t> </w:t>
      </w:r>
      <w:r>
        <w:rPr>
          <w:color w:val="231F20"/>
        </w:rPr>
        <w:t>para</w:t>
      </w:r>
      <w:r>
        <w:rPr>
          <w:color w:val="231F20"/>
          <w:spacing w:val="-5"/>
        </w:rPr>
        <w:t> </w:t>
      </w:r>
      <w:r>
        <w:rPr>
          <w:color w:val="231F20"/>
        </w:rPr>
        <w:t>los</w:t>
      </w:r>
      <w:r>
        <w:rPr>
          <w:color w:val="231F20"/>
          <w:spacing w:val="-5"/>
        </w:rPr>
        <w:t> </w:t>
      </w:r>
      <w:r>
        <w:rPr>
          <w:color w:val="231F20"/>
        </w:rPr>
        <w:t>ingresos.</w:t>
      </w:r>
      <w:r>
        <w:rPr>
          <w:color w:val="231F20"/>
          <w:spacing w:val="-5"/>
        </w:rPr>
        <w:t> </w:t>
      </w:r>
      <w:r>
        <w:rPr>
          <w:color w:val="231F20"/>
        </w:rPr>
        <w:t>Se</w:t>
      </w:r>
      <w:r>
        <w:rPr>
          <w:color w:val="231F20"/>
          <w:spacing w:val="-5"/>
        </w:rPr>
        <w:t> </w:t>
      </w:r>
      <w:r>
        <w:rPr>
          <w:color w:val="231F20"/>
        </w:rPr>
        <w:t>corro- bora que las mujeres que participan en el mercado laboral mexicano tie- nen</w:t>
      </w:r>
      <w:r>
        <w:rPr>
          <w:color w:val="231F20"/>
          <w:spacing w:val="-8"/>
        </w:rPr>
        <w:t> </w:t>
      </w:r>
      <w:r>
        <w:rPr>
          <w:color w:val="231F20"/>
        </w:rPr>
        <w:t>mayor</w:t>
      </w:r>
      <w:r>
        <w:rPr>
          <w:color w:val="231F20"/>
          <w:spacing w:val="-9"/>
        </w:rPr>
        <w:t> </w:t>
      </w:r>
      <w:r>
        <w:rPr>
          <w:color w:val="231F20"/>
        </w:rPr>
        <w:t>probabilidad</w:t>
      </w:r>
      <w:r>
        <w:rPr>
          <w:color w:val="231F20"/>
          <w:spacing w:val="-8"/>
        </w:rPr>
        <w:t> </w:t>
      </w:r>
      <w:r>
        <w:rPr>
          <w:color w:val="231F20"/>
        </w:rPr>
        <w:t>de</w:t>
      </w:r>
      <w:r>
        <w:rPr>
          <w:color w:val="231F20"/>
          <w:spacing w:val="-8"/>
        </w:rPr>
        <w:t> </w:t>
      </w:r>
      <w:r>
        <w:rPr>
          <w:color w:val="231F20"/>
        </w:rPr>
        <w:t>acceder</w:t>
      </w:r>
      <w:r>
        <w:rPr>
          <w:color w:val="231F20"/>
          <w:spacing w:val="-9"/>
        </w:rPr>
        <w:t> </w:t>
      </w:r>
      <w:r>
        <w:rPr>
          <w:color w:val="231F20"/>
        </w:rPr>
        <w:t>a</w:t>
      </w:r>
      <w:r>
        <w:rPr>
          <w:color w:val="231F20"/>
          <w:spacing w:val="-8"/>
        </w:rPr>
        <w:t> </w:t>
      </w:r>
      <w:r>
        <w:rPr>
          <w:color w:val="231F20"/>
        </w:rPr>
        <w:t>la</w:t>
      </w:r>
      <w:r>
        <w:rPr>
          <w:color w:val="231F20"/>
          <w:spacing w:val="-8"/>
        </w:rPr>
        <w:t> </w:t>
      </w:r>
      <w:r>
        <w:rPr>
          <w:color w:val="231F20"/>
        </w:rPr>
        <w:t>seguridad</w:t>
      </w:r>
      <w:r>
        <w:rPr>
          <w:color w:val="231F20"/>
          <w:spacing w:val="-8"/>
        </w:rPr>
        <w:t> </w:t>
      </w:r>
      <w:r>
        <w:rPr>
          <w:color w:val="231F20"/>
        </w:rPr>
        <w:t>social</w:t>
      </w:r>
      <w:r>
        <w:rPr>
          <w:color w:val="231F20"/>
          <w:spacing w:val="-8"/>
        </w:rPr>
        <w:t> </w:t>
      </w:r>
      <w:r>
        <w:rPr>
          <w:color w:val="231F20"/>
        </w:rPr>
        <w:t>que</w:t>
      </w:r>
      <w:r>
        <w:rPr>
          <w:color w:val="231F20"/>
          <w:spacing w:val="-8"/>
        </w:rPr>
        <w:t> </w:t>
      </w:r>
      <w:r>
        <w:rPr>
          <w:color w:val="231F20"/>
        </w:rPr>
        <w:t>los</w:t>
      </w:r>
      <w:r>
        <w:rPr>
          <w:color w:val="231F20"/>
          <w:spacing w:val="-9"/>
        </w:rPr>
        <w:t> </w:t>
      </w:r>
      <w:r>
        <w:rPr>
          <w:color w:val="231F20"/>
        </w:rPr>
        <w:t>hombres (Pacheco </w:t>
      </w:r>
      <w:r>
        <w:rPr>
          <w:i/>
          <w:color w:val="231F20"/>
        </w:rPr>
        <w:t>et al</w:t>
      </w:r>
      <w:r>
        <w:rPr>
          <w:color w:val="231F20"/>
        </w:rPr>
        <w:t>., 2011). La edad mantiene un efecto positivo, pero en las primeras edades es nulo y luego se acelera (es decir cóncavo hacía arri- ba),</w:t>
      </w:r>
      <w:r>
        <w:rPr>
          <w:color w:val="231F20"/>
          <w:spacing w:val="-4"/>
        </w:rPr>
        <w:t> </w:t>
      </w:r>
      <w:r>
        <w:rPr>
          <w:color w:val="231F20"/>
        </w:rPr>
        <w:t>a</w:t>
      </w:r>
      <w:r>
        <w:rPr>
          <w:color w:val="231F20"/>
          <w:spacing w:val="-4"/>
        </w:rPr>
        <w:t> </w:t>
      </w:r>
      <w:r>
        <w:rPr>
          <w:color w:val="231F20"/>
        </w:rPr>
        <w:t>diferencia</w:t>
      </w:r>
      <w:r>
        <w:rPr>
          <w:color w:val="231F20"/>
          <w:spacing w:val="-4"/>
        </w:rPr>
        <w:t> </w:t>
      </w:r>
      <w:r>
        <w:rPr>
          <w:color w:val="231F20"/>
        </w:rPr>
        <w:t>del</w:t>
      </w:r>
      <w:r>
        <w:rPr>
          <w:color w:val="231F20"/>
          <w:spacing w:val="-4"/>
        </w:rPr>
        <w:t> </w:t>
      </w:r>
      <w:r>
        <w:rPr>
          <w:color w:val="231F20"/>
        </w:rPr>
        <w:t>patrón</w:t>
      </w:r>
      <w:r>
        <w:rPr>
          <w:color w:val="231F20"/>
          <w:spacing w:val="-4"/>
        </w:rPr>
        <w:t> </w:t>
      </w:r>
      <w:r>
        <w:rPr>
          <w:color w:val="231F20"/>
        </w:rPr>
        <w:t>cuadrático</w:t>
      </w:r>
      <w:r>
        <w:rPr>
          <w:color w:val="231F20"/>
          <w:spacing w:val="-5"/>
        </w:rPr>
        <w:t> </w:t>
      </w:r>
      <w:r>
        <w:rPr>
          <w:color w:val="231F20"/>
        </w:rPr>
        <w:t>del</w:t>
      </w:r>
      <w:r>
        <w:rPr>
          <w:color w:val="231F20"/>
          <w:spacing w:val="-4"/>
        </w:rPr>
        <w:t> </w:t>
      </w:r>
      <w:r>
        <w:rPr>
          <w:color w:val="231F20"/>
        </w:rPr>
        <w:t>ingreso</w:t>
      </w:r>
      <w:r>
        <w:rPr>
          <w:color w:val="231F20"/>
          <w:spacing w:val="-5"/>
        </w:rPr>
        <w:t> </w:t>
      </w:r>
      <w:r>
        <w:rPr>
          <w:color w:val="231F20"/>
        </w:rPr>
        <w:t>(cóncavo</w:t>
      </w:r>
      <w:r>
        <w:rPr>
          <w:color w:val="231F20"/>
          <w:spacing w:val="-4"/>
        </w:rPr>
        <w:t> </w:t>
      </w:r>
      <w:r>
        <w:rPr>
          <w:color w:val="231F20"/>
        </w:rPr>
        <w:t>hacia</w:t>
      </w:r>
      <w:r>
        <w:rPr>
          <w:color w:val="231F20"/>
          <w:spacing w:val="-4"/>
        </w:rPr>
        <w:t> </w:t>
      </w:r>
      <w:r>
        <w:rPr>
          <w:color w:val="231F20"/>
        </w:rPr>
        <w:t>abajo). La</w:t>
      </w:r>
      <w:r>
        <w:rPr>
          <w:color w:val="231F20"/>
          <w:spacing w:val="-6"/>
        </w:rPr>
        <w:t> </w:t>
      </w:r>
      <w:r>
        <w:rPr>
          <w:color w:val="231F20"/>
        </w:rPr>
        <w:t>escolaridad</w:t>
      </w:r>
      <w:r>
        <w:rPr>
          <w:color w:val="231F20"/>
          <w:spacing w:val="-6"/>
        </w:rPr>
        <w:t> </w:t>
      </w:r>
      <w:r>
        <w:rPr>
          <w:color w:val="231F20"/>
        </w:rPr>
        <w:t>mantiene</w:t>
      </w:r>
      <w:r>
        <w:rPr>
          <w:color w:val="231F20"/>
          <w:spacing w:val="-6"/>
        </w:rPr>
        <w:t> </w:t>
      </w:r>
      <w:r>
        <w:rPr>
          <w:color w:val="231F20"/>
        </w:rPr>
        <w:t>en</w:t>
      </w:r>
      <w:r>
        <w:rPr>
          <w:color w:val="231F20"/>
          <w:spacing w:val="-6"/>
        </w:rPr>
        <w:t> </w:t>
      </w:r>
      <w:r>
        <w:rPr>
          <w:color w:val="231F20"/>
        </w:rPr>
        <w:t>ambas</w:t>
      </w:r>
      <w:r>
        <w:rPr>
          <w:color w:val="231F20"/>
          <w:spacing w:val="-6"/>
        </w:rPr>
        <w:t> </w:t>
      </w:r>
      <w:r>
        <w:rPr>
          <w:color w:val="231F20"/>
        </w:rPr>
        <w:t>condiciones</w:t>
      </w:r>
      <w:r>
        <w:rPr>
          <w:color w:val="231F20"/>
          <w:spacing w:val="-6"/>
        </w:rPr>
        <w:t> </w:t>
      </w:r>
      <w:r>
        <w:rPr>
          <w:color w:val="231F20"/>
        </w:rPr>
        <w:t>un</w:t>
      </w:r>
      <w:r>
        <w:rPr>
          <w:color w:val="231F20"/>
          <w:spacing w:val="-6"/>
        </w:rPr>
        <w:t> </w:t>
      </w:r>
      <w:r>
        <w:rPr>
          <w:color w:val="231F20"/>
        </w:rPr>
        <w:t>efecto</w:t>
      </w:r>
      <w:r>
        <w:rPr>
          <w:color w:val="231F20"/>
          <w:spacing w:val="-6"/>
        </w:rPr>
        <w:t> </w:t>
      </w:r>
      <w:r>
        <w:rPr>
          <w:color w:val="231F20"/>
        </w:rPr>
        <w:t>positivo,</w:t>
      </w:r>
      <w:r>
        <w:rPr>
          <w:color w:val="231F20"/>
          <w:spacing w:val="-6"/>
        </w:rPr>
        <w:t> </w:t>
      </w:r>
      <w:r>
        <w:rPr>
          <w:color w:val="231F20"/>
        </w:rPr>
        <w:t>acele- rado después de las primeras</w:t>
      </w:r>
      <w:r>
        <w:rPr>
          <w:color w:val="231F20"/>
          <w:spacing w:val="-1"/>
        </w:rPr>
        <w:t> </w:t>
      </w:r>
      <w:r>
        <w:rPr>
          <w:color w:val="231F20"/>
        </w:rPr>
        <w:t>edades.</w:t>
      </w:r>
    </w:p>
    <w:p>
      <w:pPr>
        <w:pStyle w:val="BodyText"/>
        <w:spacing w:line="249" w:lineRule="auto" w:before="1"/>
        <w:ind w:left="110" w:right="111" w:firstLine="283"/>
        <w:jc w:val="both"/>
      </w:pPr>
      <w:r>
        <w:rPr>
          <w:color w:val="231F20"/>
        </w:rPr>
        <w:t>Con respecto a los controles de regiones socioeconómicas y área de residencia, los resultados coinciden en cuanto a dirección con los ob- tenidos en los modelos análogos del ingreso laboral por hora; es decir, existe menor protección en las zonas del suroeste, sureste y oriente del país, y los trabajadores rurales presentan menor probabilidad de acceder a</w:t>
      </w:r>
      <w:r>
        <w:rPr>
          <w:color w:val="231F20"/>
          <w:spacing w:val="-5"/>
        </w:rPr>
        <w:t> </w:t>
      </w:r>
      <w:r>
        <w:rPr>
          <w:color w:val="231F20"/>
        </w:rPr>
        <w:t>la</w:t>
      </w:r>
      <w:r>
        <w:rPr>
          <w:color w:val="231F20"/>
          <w:spacing w:val="-5"/>
        </w:rPr>
        <w:t> </w:t>
      </w:r>
      <w:r>
        <w:rPr>
          <w:color w:val="231F20"/>
        </w:rPr>
        <w:t>seguridad</w:t>
      </w:r>
      <w:r>
        <w:rPr>
          <w:color w:val="231F20"/>
          <w:spacing w:val="-5"/>
        </w:rPr>
        <w:t> </w:t>
      </w:r>
      <w:r>
        <w:rPr>
          <w:color w:val="231F20"/>
        </w:rPr>
        <w:t>social</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trabajadores</w:t>
      </w:r>
      <w:r>
        <w:rPr>
          <w:color w:val="231F20"/>
          <w:spacing w:val="-6"/>
        </w:rPr>
        <w:t> </w:t>
      </w:r>
      <w:r>
        <w:rPr>
          <w:color w:val="231F20"/>
        </w:rPr>
        <w:t>urbanos.</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la</w:t>
      </w:r>
      <w:r>
        <w:rPr>
          <w:color w:val="231F20"/>
          <w:spacing w:val="-5"/>
        </w:rPr>
        <w:t> </w:t>
      </w:r>
      <w:r>
        <w:rPr>
          <w:color w:val="231F20"/>
        </w:rPr>
        <w:t>intro- ducción</w:t>
      </w:r>
      <w:r>
        <w:rPr>
          <w:color w:val="231F20"/>
          <w:spacing w:val="-7"/>
        </w:rPr>
        <w:t> </w:t>
      </w:r>
      <w:r>
        <w:rPr>
          <w:color w:val="231F20"/>
        </w:rPr>
        <w:t>de</w:t>
      </w:r>
      <w:r>
        <w:rPr>
          <w:color w:val="231F20"/>
          <w:spacing w:val="-7"/>
        </w:rPr>
        <w:t> </w:t>
      </w:r>
      <w:r>
        <w:rPr>
          <w:color w:val="231F20"/>
        </w:rPr>
        <w:t>estas</w:t>
      </w:r>
      <w:r>
        <w:rPr>
          <w:color w:val="231F20"/>
          <w:spacing w:val="-8"/>
        </w:rPr>
        <w:t> </w:t>
      </w:r>
      <w:r>
        <w:rPr>
          <w:color w:val="231F20"/>
        </w:rPr>
        <w:t>variables</w:t>
      </w:r>
      <w:r>
        <w:rPr>
          <w:color w:val="231F20"/>
          <w:spacing w:val="-7"/>
        </w:rPr>
        <w:t> </w:t>
      </w:r>
      <w:r>
        <w:rPr>
          <w:color w:val="231F20"/>
        </w:rPr>
        <w:t>no</w:t>
      </w:r>
      <w:r>
        <w:rPr>
          <w:color w:val="231F20"/>
          <w:spacing w:val="-7"/>
        </w:rPr>
        <w:t> </w:t>
      </w:r>
      <w:r>
        <w:rPr>
          <w:color w:val="231F20"/>
        </w:rPr>
        <w:t>cambia</w:t>
      </w:r>
      <w:r>
        <w:rPr>
          <w:color w:val="231F20"/>
          <w:spacing w:val="-7"/>
        </w:rPr>
        <w:t> </w:t>
      </w:r>
      <w:r>
        <w:rPr>
          <w:color w:val="231F20"/>
        </w:rPr>
        <w:t>la</w:t>
      </w:r>
      <w:r>
        <w:rPr>
          <w:color w:val="231F20"/>
          <w:spacing w:val="-7"/>
        </w:rPr>
        <w:t> </w:t>
      </w:r>
      <w:r>
        <w:rPr>
          <w:color w:val="231F20"/>
        </w:rPr>
        <w:t>dirección</w:t>
      </w:r>
      <w:r>
        <w:rPr>
          <w:color w:val="231F20"/>
          <w:spacing w:val="-7"/>
        </w:rPr>
        <w:t> </w:t>
      </w:r>
      <w:r>
        <w:rPr>
          <w:color w:val="231F20"/>
        </w:rPr>
        <w:t>de</w:t>
      </w:r>
      <w:r>
        <w:rPr>
          <w:color w:val="231F20"/>
          <w:spacing w:val="-7"/>
        </w:rPr>
        <w:t> </w:t>
      </w:r>
      <w:r>
        <w:rPr>
          <w:color w:val="231F20"/>
        </w:rPr>
        <w:t>los</w:t>
      </w:r>
      <w:r>
        <w:rPr>
          <w:color w:val="231F20"/>
          <w:spacing w:val="-8"/>
        </w:rPr>
        <w:t> </w:t>
      </w:r>
      <w:r>
        <w:rPr>
          <w:color w:val="231F20"/>
        </w:rPr>
        <w:t>resultados</w:t>
      </w:r>
      <w:r>
        <w:rPr>
          <w:color w:val="231F20"/>
          <w:spacing w:val="-7"/>
        </w:rPr>
        <w:t> </w:t>
      </w:r>
      <w:r>
        <w:rPr>
          <w:color w:val="231F20"/>
        </w:rPr>
        <w:t>de</w:t>
      </w:r>
      <w:r>
        <w:rPr>
          <w:color w:val="231F20"/>
          <w:spacing w:val="-7"/>
        </w:rPr>
        <w:t> </w:t>
      </w:r>
      <w:r>
        <w:rPr>
          <w:color w:val="231F20"/>
        </w:rPr>
        <w:t>los sectores económicos, como sí ocurría con el</w:t>
      </w:r>
      <w:r>
        <w:rPr>
          <w:color w:val="231F20"/>
          <w:spacing w:val="-11"/>
        </w:rPr>
        <w:t> </w:t>
      </w:r>
      <w:r>
        <w:rPr>
          <w:color w:val="231F20"/>
        </w:rPr>
        <w:t>ingreso.</w:t>
      </w:r>
    </w:p>
    <w:p>
      <w:pPr>
        <w:pStyle w:val="BodyText"/>
      </w:pPr>
    </w:p>
    <w:p>
      <w:pPr>
        <w:pStyle w:val="BodyText"/>
      </w:pPr>
    </w:p>
    <w:p>
      <w:pPr>
        <w:pStyle w:val="BodyText"/>
        <w:spacing w:before="9"/>
        <w:rPr>
          <w:sz w:val="18"/>
        </w:rPr>
      </w:pPr>
    </w:p>
    <w:p>
      <w:pPr>
        <w:spacing w:before="0"/>
        <w:ind w:left="110" w:right="111" w:firstLine="0"/>
        <w:jc w:val="both"/>
        <w:rPr>
          <w:sz w:val="14"/>
        </w:rPr>
      </w:pPr>
      <w:r>
        <w:rPr>
          <w:color w:val="231F20"/>
          <w:position w:val="5"/>
          <w:sz w:val="8"/>
        </w:rPr>
        <w:t>13 </w:t>
      </w:r>
      <w:r>
        <w:rPr>
          <w:color w:val="231F20"/>
          <w:sz w:val="14"/>
        </w:rPr>
        <w:t>Esto sucede por el importante peso que tienen en estos </w:t>
      </w:r>
      <w:r>
        <w:rPr>
          <w:i/>
          <w:color w:val="231F20"/>
          <w:sz w:val="14"/>
        </w:rPr>
        <w:t>sectores no transables </w:t>
      </w:r>
      <w:r>
        <w:rPr>
          <w:color w:val="231F20"/>
          <w:sz w:val="14"/>
        </w:rPr>
        <w:t>las unidades pequeñas, para las cuales se reducen los momios de probabilidad de acceso a la seguridad social en 99 por ciento; agradecemos</w:t>
      </w:r>
      <w:r>
        <w:rPr>
          <w:color w:val="231F20"/>
          <w:spacing w:val="-3"/>
          <w:sz w:val="14"/>
        </w:rPr>
        <w:t> </w:t>
      </w:r>
      <w:r>
        <w:rPr>
          <w:color w:val="231F20"/>
          <w:sz w:val="14"/>
        </w:rPr>
        <w:t>el</w:t>
      </w:r>
      <w:r>
        <w:rPr>
          <w:color w:val="231F20"/>
          <w:spacing w:val="-3"/>
          <w:sz w:val="14"/>
        </w:rPr>
        <w:t> </w:t>
      </w:r>
      <w:r>
        <w:rPr>
          <w:color w:val="231F20"/>
          <w:sz w:val="14"/>
        </w:rPr>
        <w:t>comentario</w:t>
      </w:r>
      <w:r>
        <w:rPr>
          <w:color w:val="231F20"/>
          <w:spacing w:val="-3"/>
          <w:sz w:val="14"/>
        </w:rPr>
        <w:t> </w:t>
      </w:r>
      <w:r>
        <w:rPr>
          <w:color w:val="231F20"/>
          <w:sz w:val="14"/>
        </w:rPr>
        <w:t>de</w:t>
      </w:r>
      <w:r>
        <w:rPr>
          <w:color w:val="231F20"/>
          <w:spacing w:val="-3"/>
          <w:sz w:val="14"/>
        </w:rPr>
        <w:t> </w:t>
      </w:r>
      <w:r>
        <w:rPr>
          <w:color w:val="231F20"/>
          <w:sz w:val="14"/>
        </w:rPr>
        <w:t>Minor</w:t>
      </w:r>
      <w:r>
        <w:rPr>
          <w:color w:val="231F20"/>
          <w:spacing w:val="-3"/>
          <w:sz w:val="14"/>
        </w:rPr>
        <w:t> </w:t>
      </w:r>
      <w:r>
        <w:rPr>
          <w:color w:val="231F20"/>
          <w:sz w:val="14"/>
        </w:rPr>
        <w:t>Mora</w:t>
      </w:r>
      <w:r>
        <w:rPr>
          <w:color w:val="231F20"/>
          <w:spacing w:val="-3"/>
          <w:sz w:val="14"/>
        </w:rPr>
        <w:t> </w:t>
      </w:r>
      <w:r>
        <w:rPr>
          <w:color w:val="231F20"/>
          <w:sz w:val="14"/>
        </w:rPr>
        <w:t>Salas</w:t>
      </w:r>
      <w:r>
        <w:rPr>
          <w:color w:val="231F20"/>
          <w:spacing w:val="-3"/>
          <w:sz w:val="14"/>
        </w:rPr>
        <w:t> </w:t>
      </w:r>
      <w:r>
        <w:rPr>
          <w:color w:val="231F20"/>
          <w:sz w:val="14"/>
        </w:rPr>
        <w:t>sobre</w:t>
      </w:r>
      <w:r>
        <w:rPr>
          <w:color w:val="231F20"/>
          <w:spacing w:val="-3"/>
          <w:sz w:val="14"/>
        </w:rPr>
        <w:t> </w:t>
      </w:r>
      <w:r>
        <w:rPr>
          <w:color w:val="231F20"/>
          <w:sz w:val="14"/>
        </w:rPr>
        <w:t>la</w:t>
      </w:r>
      <w:r>
        <w:rPr>
          <w:color w:val="231F20"/>
          <w:spacing w:val="-3"/>
          <w:sz w:val="14"/>
        </w:rPr>
        <w:t> </w:t>
      </w:r>
      <w:r>
        <w:rPr>
          <w:color w:val="231F20"/>
          <w:sz w:val="14"/>
        </w:rPr>
        <w:t>pertinencia</w:t>
      </w:r>
      <w:r>
        <w:rPr>
          <w:color w:val="231F20"/>
          <w:spacing w:val="-3"/>
          <w:sz w:val="14"/>
        </w:rPr>
        <w:t> </w:t>
      </w:r>
      <w:r>
        <w:rPr>
          <w:color w:val="231F20"/>
          <w:sz w:val="14"/>
        </w:rPr>
        <w:t>de</w:t>
      </w:r>
      <w:r>
        <w:rPr>
          <w:color w:val="231F20"/>
          <w:spacing w:val="-3"/>
          <w:sz w:val="14"/>
        </w:rPr>
        <w:t> </w:t>
      </w:r>
      <w:r>
        <w:rPr>
          <w:color w:val="231F20"/>
          <w:sz w:val="14"/>
        </w:rPr>
        <w:t>incluir</w:t>
      </w:r>
      <w:r>
        <w:rPr>
          <w:color w:val="231F20"/>
          <w:spacing w:val="-3"/>
          <w:sz w:val="14"/>
        </w:rPr>
        <w:t> </w:t>
      </w:r>
      <w:r>
        <w:rPr>
          <w:color w:val="231F20"/>
          <w:sz w:val="14"/>
        </w:rPr>
        <w:t>esta</w:t>
      </w:r>
      <w:r>
        <w:rPr>
          <w:color w:val="231F20"/>
          <w:spacing w:val="-3"/>
          <w:sz w:val="14"/>
        </w:rPr>
        <w:t> </w:t>
      </w:r>
      <w:r>
        <w:rPr>
          <w:color w:val="231F20"/>
          <w:sz w:val="14"/>
        </w:rPr>
        <w:t>variable</w:t>
      </w:r>
      <w:r>
        <w:rPr>
          <w:color w:val="231F20"/>
          <w:spacing w:val="-3"/>
          <w:sz w:val="14"/>
        </w:rPr>
        <w:t> </w:t>
      </w:r>
      <w:r>
        <w:rPr>
          <w:color w:val="231F20"/>
          <w:sz w:val="14"/>
        </w:rPr>
        <w:t>de</w:t>
      </w:r>
      <w:r>
        <w:rPr>
          <w:color w:val="231F20"/>
          <w:spacing w:val="-3"/>
          <w:sz w:val="14"/>
        </w:rPr>
        <w:t> </w:t>
      </w:r>
      <w:r>
        <w:rPr>
          <w:color w:val="231F20"/>
          <w:sz w:val="14"/>
        </w:rPr>
        <w:t>tamaño del establecimiento (cuadros A.3 del</w:t>
      </w:r>
      <w:r>
        <w:rPr>
          <w:color w:val="231F20"/>
          <w:spacing w:val="-11"/>
          <w:sz w:val="14"/>
        </w:rPr>
        <w:t> </w:t>
      </w:r>
      <w:r>
        <w:rPr>
          <w:color w:val="231F20"/>
          <w:sz w:val="14"/>
        </w:rPr>
        <w:t>anexo).</w:t>
      </w:r>
    </w:p>
    <w:p>
      <w:pPr>
        <w:spacing w:after="0"/>
        <w:jc w:val="both"/>
        <w:rPr>
          <w:sz w:val="14"/>
        </w:rPr>
        <w:sectPr>
          <w:footerReference w:type="default" r:id="rId143"/>
          <w:pgSz w:w="7770" w:h="11740"/>
          <w:pgMar w:footer="474" w:header="0" w:top="840" w:bottom="660" w:left="740" w:right="1020"/>
          <w:pgNumType w:start="108"/>
        </w:sectPr>
      </w:pPr>
    </w:p>
    <w:p>
      <w:pPr>
        <w:spacing w:line="247" w:lineRule="auto" w:before="64"/>
        <w:ind w:left="154" w:right="792" w:firstLine="0"/>
        <w:jc w:val="left"/>
        <w:rPr>
          <w:sz w:val="18"/>
        </w:rPr>
      </w:pPr>
      <w:r>
        <w:rPr/>
        <w:pict>
          <v:group style="position:absolute;margin-left:56.469921pt;margin-top:27.289894pt;width:288.9pt;height:.45pt;mso-position-horizontal-relative:page;mso-position-vertical-relative:paragraph;z-index:3520;mso-wrap-distance-left:0;mso-wrap-distance-right:0" coordorigin="1129,546" coordsize="5778,9">
            <v:line style="position:absolute" from="1134,550" to="3316,550" stroked="true" strokeweight=".441943pt" strokecolor="#000000"/>
            <v:line style="position:absolute" from="3316,550" to="3323,550" stroked="true" strokeweight=".441943pt" strokecolor="#000000"/>
            <v:line style="position:absolute" from="3323,550" to="3613,550" stroked="true" strokeweight=".441943pt" strokecolor="#000000"/>
            <v:line style="position:absolute" from="3613,550" to="3620,550" stroked="true" strokeweight=".441943pt" strokecolor="#000000"/>
            <v:line style="position:absolute" from="3620,550" to="3914,550" stroked="true" strokeweight=".441943pt" strokecolor="#000000"/>
            <v:line style="position:absolute" from="3914,550" to="3920,550" stroked="true" strokeweight=".441943pt" strokecolor="#000000"/>
            <v:line style="position:absolute" from="3920,550" to="4214,550" stroked="true" strokeweight=".441943pt" strokecolor="#000000"/>
            <v:line style="position:absolute" from="4214,550" to="4221,550" stroked="true" strokeweight=".441943pt" strokecolor="#000000"/>
            <v:line style="position:absolute" from="4221,550" to="4511,550" stroked="true" strokeweight=".441943pt" strokecolor="#000000"/>
            <v:line style="position:absolute" from="4511,550" to="4517,550" stroked="true" strokeweight=".441943pt" strokecolor="#000000"/>
            <v:line style="position:absolute" from="4517,550" to="4997,550" stroked="true" strokeweight=".441943pt" strokecolor="#000000"/>
            <v:line style="position:absolute" from="4997,550" to="5003,550" stroked="true" strokeweight=".441943pt" strokecolor="#000000"/>
            <v:line style="position:absolute" from="5003,550" to="5506,550" stroked="true" strokeweight=".441943pt" strokecolor="#000000"/>
            <v:line style="position:absolute" from="5506,550" to="5513,550" stroked="true" strokeweight=".441943pt" strokecolor="#000000"/>
            <v:line style="position:absolute" from="5513,550" to="6005,550" stroked="true" strokeweight=".441943pt" strokecolor="#000000"/>
            <v:line style="position:absolute" from="6005,550" to="6012,550" stroked="true" strokeweight=".441943pt" strokecolor="#000000"/>
            <v:line style="position:absolute" from="6012,550" to="6505,550" stroked="true" strokeweight=".441943pt" strokecolor="#000000"/>
            <v:line style="position:absolute" from="6505,550" to="6511,550" stroked="true" strokeweight=".441943pt" strokecolor="#000000"/>
            <v:line style="position:absolute" from="6511,550" to="6903,550" stroked="true" strokeweight=".441943pt" strokecolor="#000000"/>
            <w10:wrap type="topAndBottom"/>
          </v:group>
        </w:pict>
      </w:r>
      <w:r>
        <w:rPr>
          <w:w w:val="80"/>
          <w:sz w:val="18"/>
        </w:rPr>
        <w:t>Cuadro</w:t>
      </w:r>
      <w:r>
        <w:rPr>
          <w:spacing w:val="-10"/>
          <w:w w:val="80"/>
          <w:sz w:val="18"/>
        </w:rPr>
        <w:t> </w:t>
      </w:r>
      <w:r>
        <w:rPr>
          <w:w w:val="80"/>
          <w:sz w:val="18"/>
        </w:rPr>
        <w:t>3.</w:t>
      </w:r>
      <w:r>
        <w:rPr>
          <w:spacing w:val="-11"/>
          <w:w w:val="80"/>
          <w:sz w:val="18"/>
        </w:rPr>
        <w:t> </w:t>
      </w:r>
      <w:r>
        <w:rPr>
          <w:w w:val="80"/>
          <w:sz w:val="18"/>
        </w:rPr>
        <w:t>Resumen</w:t>
      </w:r>
      <w:r>
        <w:rPr>
          <w:spacing w:val="-10"/>
          <w:w w:val="80"/>
          <w:sz w:val="18"/>
        </w:rPr>
        <w:t> </w:t>
      </w:r>
      <w:r>
        <w:rPr>
          <w:w w:val="80"/>
          <w:sz w:val="18"/>
        </w:rPr>
        <w:t>de</w:t>
      </w:r>
      <w:r>
        <w:rPr>
          <w:spacing w:val="-10"/>
          <w:w w:val="80"/>
          <w:sz w:val="18"/>
        </w:rPr>
        <w:t> </w:t>
      </w:r>
      <w:r>
        <w:rPr>
          <w:w w:val="80"/>
          <w:sz w:val="18"/>
        </w:rPr>
        <w:t>los</w:t>
      </w:r>
      <w:r>
        <w:rPr>
          <w:spacing w:val="-11"/>
          <w:w w:val="80"/>
          <w:sz w:val="18"/>
        </w:rPr>
        <w:t> </w:t>
      </w:r>
      <w:r>
        <w:rPr>
          <w:w w:val="80"/>
          <w:sz w:val="18"/>
        </w:rPr>
        <w:t>resultados</w:t>
      </w:r>
      <w:r>
        <w:rPr>
          <w:spacing w:val="-11"/>
          <w:w w:val="80"/>
          <w:sz w:val="18"/>
        </w:rPr>
        <w:t> </w:t>
      </w:r>
      <w:r>
        <w:rPr>
          <w:w w:val="80"/>
          <w:sz w:val="18"/>
        </w:rPr>
        <w:t>de</w:t>
      </w:r>
      <w:r>
        <w:rPr>
          <w:spacing w:val="-10"/>
          <w:w w:val="80"/>
          <w:sz w:val="18"/>
        </w:rPr>
        <w:t> </w:t>
      </w:r>
      <w:r>
        <w:rPr>
          <w:w w:val="80"/>
          <w:sz w:val="18"/>
        </w:rPr>
        <w:t>los</w:t>
      </w:r>
      <w:r>
        <w:rPr>
          <w:spacing w:val="-11"/>
          <w:w w:val="80"/>
          <w:sz w:val="18"/>
        </w:rPr>
        <w:t> </w:t>
      </w:r>
      <w:r>
        <w:rPr>
          <w:w w:val="80"/>
          <w:sz w:val="18"/>
        </w:rPr>
        <w:t>modelos</w:t>
      </w:r>
      <w:r>
        <w:rPr>
          <w:spacing w:val="-11"/>
          <w:w w:val="80"/>
          <w:sz w:val="18"/>
        </w:rPr>
        <w:t> </w:t>
      </w:r>
      <w:r>
        <w:rPr>
          <w:w w:val="80"/>
          <w:sz w:val="18"/>
        </w:rPr>
        <w:t>logit</w:t>
      </w:r>
      <w:r>
        <w:rPr>
          <w:spacing w:val="-11"/>
          <w:w w:val="80"/>
          <w:sz w:val="18"/>
        </w:rPr>
        <w:t> </w:t>
      </w:r>
      <w:r>
        <w:rPr>
          <w:w w:val="80"/>
          <w:sz w:val="18"/>
        </w:rPr>
        <w:t>de</w:t>
      </w:r>
      <w:r>
        <w:rPr>
          <w:spacing w:val="-10"/>
          <w:w w:val="80"/>
          <w:sz w:val="18"/>
        </w:rPr>
        <w:t> </w:t>
      </w:r>
      <w:r>
        <w:rPr>
          <w:w w:val="80"/>
          <w:sz w:val="18"/>
        </w:rPr>
        <w:t>acceso</w:t>
      </w:r>
      <w:r>
        <w:rPr>
          <w:spacing w:val="-10"/>
          <w:w w:val="80"/>
          <w:sz w:val="18"/>
        </w:rPr>
        <w:t> </w:t>
      </w:r>
      <w:r>
        <w:rPr>
          <w:w w:val="80"/>
          <w:sz w:val="18"/>
        </w:rPr>
        <w:t>a</w:t>
      </w:r>
      <w:r>
        <w:rPr>
          <w:spacing w:val="-10"/>
          <w:w w:val="80"/>
          <w:sz w:val="18"/>
        </w:rPr>
        <w:t> </w:t>
      </w:r>
      <w:r>
        <w:rPr>
          <w:w w:val="80"/>
          <w:sz w:val="18"/>
        </w:rPr>
        <w:t>seguridad</w:t>
      </w:r>
      <w:r>
        <w:rPr>
          <w:spacing w:val="-10"/>
          <w:w w:val="80"/>
          <w:sz w:val="18"/>
        </w:rPr>
        <w:t> </w:t>
      </w:r>
      <w:r>
        <w:rPr>
          <w:w w:val="80"/>
          <w:sz w:val="18"/>
        </w:rPr>
        <w:t>social (IMSS</w:t>
      </w:r>
      <w:r>
        <w:rPr>
          <w:spacing w:val="-14"/>
          <w:w w:val="80"/>
          <w:sz w:val="18"/>
        </w:rPr>
        <w:t> </w:t>
      </w:r>
      <w:r>
        <w:rPr>
          <w:w w:val="80"/>
          <w:sz w:val="18"/>
        </w:rPr>
        <w:t>o</w:t>
      </w:r>
      <w:r>
        <w:rPr>
          <w:spacing w:val="-14"/>
          <w:w w:val="80"/>
          <w:sz w:val="18"/>
        </w:rPr>
        <w:t> </w:t>
      </w:r>
      <w:r>
        <w:rPr>
          <w:w w:val="80"/>
          <w:sz w:val="18"/>
        </w:rPr>
        <w:t>ISSSTE).</w:t>
      </w:r>
      <w:r>
        <w:rPr>
          <w:spacing w:val="-15"/>
          <w:w w:val="80"/>
          <w:sz w:val="18"/>
        </w:rPr>
        <w:t> </w:t>
      </w:r>
      <w:r>
        <w:rPr>
          <w:w w:val="80"/>
          <w:sz w:val="18"/>
        </w:rPr>
        <w:t>México,</w:t>
      </w:r>
      <w:r>
        <w:rPr>
          <w:spacing w:val="-15"/>
          <w:w w:val="80"/>
          <w:sz w:val="18"/>
        </w:rPr>
        <w:t> </w:t>
      </w:r>
      <w:r>
        <w:rPr>
          <w:w w:val="80"/>
          <w:sz w:val="18"/>
        </w:rPr>
        <w:t>2012</w:t>
      </w:r>
    </w:p>
    <w:p>
      <w:pPr>
        <w:tabs>
          <w:tab w:pos="3763" w:val="left" w:leader="none"/>
          <w:tab w:pos="4275" w:val="left" w:leader="none"/>
          <w:tab w:pos="4772" w:val="left" w:leader="none"/>
          <w:tab w:pos="5271" w:val="left" w:leader="none"/>
          <w:tab w:pos="5671" w:val="left" w:leader="none"/>
        </w:tabs>
        <w:spacing w:before="0" w:after="5"/>
        <w:ind w:left="2383" w:right="0" w:firstLine="0"/>
        <w:jc w:val="left"/>
        <w:rPr>
          <w:sz w:val="18"/>
        </w:rPr>
      </w:pPr>
      <w:r>
        <w:rPr>
          <w:w w:val="85"/>
          <w:sz w:val="18"/>
        </w:rPr>
        <w:t>(1)   (2)  </w:t>
      </w:r>
      <w:r>
        <w:rPr>
          <w:spacing w:val="6"/>
          <w:w w:val="85"/>
          <w:sz w:val="18"/>
        </w:rPr>
        <w:t> </w:t>
      </w:r>
      <w:r>
        <w:rPr>
          <w:w w:val="85"/>
          <w:sz w:val="18"/>
        </w:rPr>
        <w:t>(3)  </w:t>
      </w:r>
      <w:r>
        <w:rPr>
          <w:spacing w:val="4"/>
          <w:w w:val="85"/>
          <w:sz w:val="18"/>
        </w:rPr>
        <w:t> </w:t>
      </w:r>
      <w:r>
        <w:rPr>
          <w:w w:val="85"/>
          <w:sz w:val="18"/>
        </w:rPr>
        <w:t>(4)</w:t>
        <w:tab/>
        <w:t>(5)</w:t>
        <w:tab/>
        <w:t>(6)</w:t>
        <w:tab/>
        <w:t>(7)</w:t>
        <w:tab/>
        <w:t>(8)</w:t>
        <w:tab/>
        <w:t>(9)</w:t>
      </w:r>
    </w:p>
    <w:p>
      <w:pPr>
        <w:pStyle w:val="BodyText"/>
        <w:spacing w:line="20" w:lineRule="exact"/>
        <w:ind w:left="109"/>
        <w:rPr>
          <w:sz w:val="2"/>
        </w:rPr>
      </w:pPr>
      <w:r>
        <w:rPr>
          <w:sz w:val="2"/>
        </w:rPr>
        <w:pict>
          <v:group style="width:288.9pt;height:.45pt;mso-position-horizontal-relative:char;mso-position-vertical-relative:line" coordorigin="0,0" coordsize="5778,9">
            <v:line style="position:absolute" from="4,4" to="2187,4" stroked="true" strokeweight=".441943pt" strokecolor="#000000"/>
            <v:line style="position:absolute" from="2187,4" to="2194,4" stroked="true" strokeweight=".441943pt" strokecolor="#000000"/>
            <v:line style="position:absolute" from="2194,4" to="2484,4" stroked="true" strokeweight=".441943pt" strokecolor="#000000"/>
            <v:line style="position:absolute" from="2484,4" to="2491,4" stroked="true" strokeweight=".441943pt" strokecolor="#000000"/>
            <v:line style="position:absolute" from="2491,4" to="2784,4" stroked="true" strokeweight=".441943pt" strokecolor="#000000"/>
            <v:line style="position:absolute" from="2784,4" to="2791,4" stroked="true" strokeweight=".441943pt" strokecolor="#000000"/>
            <v:line style="position:absolute" from="2791,4" to="3084,4" stroked="true" strokeweight=".441943pt" strokecolor="#000000"/>
            <v:line style="position:absolute" from="3084,4" to="3091,4" stroked="true" strokeweight=".441943pt" strokecolor="#000000"/>
            <v:line style="position:absolute" from="3091,4" to="3381,4" stroked="true" strokeweight=".441943pt" strokecolor="#000000"/>
            <v:line style="position:absolute" from="3381,4" to="3388,4" stroked="true" strokeweight=".441943pt" strokecolor="#000000"/>
            <v:line style="position:absolute" from="3388,4" to="3867,4" stroked="true" strokeweight=".441943pt" strokecolor="#000000"/>
            <v:line style="position:absolute" from="3867,4" to="3874,4" stroked="true" strokeweight=".441943pt" strokecolor="#000000"/>
            <v:line style="position:absolute" from="3874,4" to="4377,4" stroked="true" strokeweight=".441943pt" strokecolor="#000000"/>
            <v:line style="position:absolute" from="4377,4" to="4383,4" stroked="true" strokeweight=".441943pt" strokecolor="#000000"/>
            <v:line style="position:absolute" from="4383,4" to="4876,4" stroked="true" strokeweight=".441943pt" strokecolor="#000000"/>
            <v:line style="position:absolute" from="4876,4" to="4883,4" stroked="true" strokeweight=".441943pt" strokecolor="#000000"/>
            <v:line style="position:absolute" from="4883,4" to="5375,4" stroked="true" strokeweight=".441943pt" strokecolor="#000000"/>
            <v:line style="position:absolute" from="5375,4" to="5382,4" stroked="true" strokeweight=".441943pt" strokecolor="#000000"/>
            <v:line style="position:absolute" from="5382,4" to="5773,4" stroked="true" strokeweight=".441943pt" strokecolor="#000000"/>
          </v:group>
        </w:pict>
      </w:r>
      <w:r>
        <w:rPr>
          <w:sz w:val="2"/>
        </w:rPr>
      </w:r>
    </w:p>
    <w:p>
      <w:pPr>
        <w:spacing w:before="0"/>
        <w:ind w:left="154" w:right="792" w:firstLine="0"/>
        <w:jc w:val="left"/>
        <w:rPr>
          <w:i/>
          <w:sz w:val="18"/>
        </w:rPr>
      </w:pPr>
      <w:r>
        <w:rPr>
          <w:i/>
          <w:w w:val="75"/>
          <w:sz w:val="18"/>
        </w:rPr>
        <w:t>Sector  económico</w:t>
      </w:r>
    </w:p>
    <w:p>
      <w:pPr>
        <w:spacing w:before="5"/>
        <w:ind w:left="154" w:right="792" w:firstLine="0"/>
        <w:jc w:val="left"/>
        <w:rPr>
          <w:sz w:val="18"/>
        </w:rPr>
      </w:pPr>
      <w:r>
        <w:rPr>
          <w:w w:val="80"/>
          <w:sz w:val="18"/>
        </w:rPr>
        <w:t>Transable concentrado (r)</w:t>
      </w:r>
    </w:p>
    <w:p>
      <w:pPr>
        <w:tabs>
          <w:tab w:pos="2467" w:val="left" w:leader="none"/>
        </w:tabs>
        <w:spacing w:before="0"/>
        <w:ind w:left="154" w:right="0" w:firstLine="0"/>
        <w:jc w:val="both"/>
        <w:rPr>
          <w:sz w:val="18"/>
        </w:rPr>
      </w:pPr>
      <w:r>
        <w:rPr>
          <w:w w:val="85"/>
          <w:sz w:val="18"/>
        </w:rPr>
        <w:t>Otros</w:t>
      </w:r>
      <w:r>
        <w:rPr>
          <w:spacing w:val="-25"/>
          <w:w w:val="85"/>
          <w:sz w:val="18"/>
        </w:rPr>
        <w:t> </w:t>
      </w:r>
      <w:r>
        <w:rPr>
          <w:w w:val="85"/>
          <w:sz w:val="18"/>
        </w:rPr>
        <w:t>transables</w:t>
        <w:tab/>
        <w:t>+     +      +      +          +           +           +         ++    </w:t>
      </w:r>
      <w:r>
        <w:rPr>
          <w:spacing w:val="3"/>
          <w:w w:val="85"/>
          <w:sz w:val="18"/>
        </w:rPr>
        <w:t> </w:t>
      </w:r>
      <w:r>
        <w:rPr>
          <w:w w:val="85"/>
          <w:sz w:val="18"/>
        </w:rPr>
        <w:t>++</w:t>
      </w:r>
    </w:p>
    <w:p>
      <w:pPr>
        <w:tabs>
          <w:tab w:pos="2500" w:val="left" w:leader="none"/>
        </w:tabs>
        <w:spacing w:before="5"/>
        <w:ind w:left="154" w:right="0" w:firstLine="0"/>
        <w:jc w:val="both"/>
        <w:rPr>
          <w:sz w:val="18"/>
        </w:rPr>
      </w:pPr>
      <w:r>
        <w:rPr>
          <w:w w:val="85"/>
          <w:sz w:val="18"/>
        </w:rPr>
        <w:t>No</w:t>
      </w:r>
      <w:r>
        <w:rPr>
          <w:spacing w:val="-21"/>
          <w:w w:val="85"/>
          <w:sz w:val="18"/>
        </w:rPr>
        <w:t> </w:t>
      </w:r>
      <w:r>
        <w:rPr>
          <w:w w:val="85"/>
          <w:sz w:val="18"/>
        </w:rPr>
        <w:t>transables</w:t>
        <w:tab/>
        <w:t>-      -       -      -           -            -            -           +       </w:t>
      </w:r>
      <w:r>
        <w:rPr>
          <w:spacing w:val="7"/>
          <w:w w:val="85"/>
          <w:sz w:val="18"/>
        </w:rPr>
        <w:t> </w:t>
      </w:r>
      <w:r>
        <w:rPr>
          <w:w w:val="85"/>
          <w:sz w:val="18"/>
        </w:rPr>
        <w:t>+</w:t>
      </w:r>
    </w:p>
    <w:p>
      <w:pPr>
        <w:spacing w:before="5"/>
        <w:ind w:left="154" w:right="0" w:firstLine="0"/>
        <w:jc w:val="both"/>
        <w:rPr>
          <w:i/>
          <w:sz w:val="18"/>
        </w:rPr>
      </w:pPr>
      <w:r>
        <w:rPr>
          <w:i/>
          <w:w w:val="80"/>
          <w:sz w:val="18"/>
        </w:rPr>
        <w:t>Condición hombre o mujer</w:t>
      </w:r>
    </w:p>
    <w:p>
      <w:pPr>
        <w:spacing w:before="5"/>
        <w:ind w:left="154" w:right="0" w:firstLine="0"/>
        <w:jc w:val="both"/>
        <w:rPr>
          <w:sz w:val="18"/>
        </w:rPr>
      </w:pPr>
      <w:r>
        <w:rPr>
          <w:w w:val="80"/>
          <w:sz w:val="18"/>
        </w:rPr>
        <w:t>Hombre (r)</w:t>
      </w:r>
    </w:p>
    <w:p>
      <w:pPr>
        <w:tabs>
          <w:tab w:pos="2764" w:val="left" w:leader="none"/>
          <w:tab w:pos="3065" w:val="left" w:leader="none"/>
          <w:tab w:pos="3365" w:val="left" w:leader="none"/>
        </w:tabs>
        <w:spacing w:line="244" w:lineRule="auto" w:before="5"/>
        <w:ind w:left="154" w:right="170" w:firstLine="0"/>
        <w:jc w:val="both"/>
        <w:rPr>
          <w:i/>
          <w:sz w:val="18"/>
        </w:rPr>
      </w:pPr>
      <w:r>
        <w:rPr>
          <w:w w:val="85"/>
          <w:sz w:val="18"/>
        </w:rPr>
        <w:t>Mujer</w:t>
        <w:tab/>
        <w:t>+      +      +          +           +           -         </w:t>
      </w:r>
      <w:r>
        <w:rPr>
          <w:spacing w:val="31"/>
          <w:w w:val="85"/>
          <w:sz w:val="18"/>
        </w:rPr>
        <w:t> </w:t>
      </w:r>
      <w:r>
        <w:rPr>
          <w:w w:val="85"/>
          <w:sz w:val="18"/>
        </w:rPr>
        <w:t>+       </w:t>
      </w:r>
      <w:r>
        <w:rPr>
          <w:spacing w:val="6"/>
          <w:w w:val="85"/>
          <w:sz w:val="18"/>
        </w:rPr>
        <w:t> </w:t>
      </w:r>
      <w:r>
        <w:rPr>
          <w:w w:val="85"/>
          <w:sz w:val="18"/>
        </w:rPr>
        <w:t>+</w:t>
      </w:r>
      <w:r>
        <w:rPr>
          <w:w w:val="76"/>
          <w:sz w:val="18"/>
        </w:rPr>
        <w:t> </w:t>
      </w:r>
      <w:r>
        <w:rPr>
          <w:i/>
          <w:w w:val="80"/>
          <w:sz w:val="18"/>
        </w:rPr>
        <w:t>Edad (cóncava</w:t>
      </w:r>
      <w:r>
        <w:rPr>
          <w:i/>
          <w:spacing w:val="-16"/>
          <w:w w:val="80"/>
          <w:sz w:val="18"/>
        </w:rPr>
        <w:t> </w:t>
      </w:r>
      <w:r>
        <w:rPr>
          <w:i/>
          <w:w w:val="80"/>
          <w:sz w:val="18"/>
        </w:rPr>
        <w:t>hacia</w:t>
      </w:r>
      <w:r>
        <w:rPr>
          <w:i/>
          <w:spacing w:val="-8"/>
          <w:w w:val="80"/>
          <w:sz w:val="18"/>
        </w:rPr>
        <w:t> </w:t>
      </w:r>
      <w:r>
        <w:rPr>
          <w:i/>
          <w:w w:val="80"/>
          <w:sz w:val="18"/>
        </w:rPr>
        <w:t>arriba)</w:t>
        <w:tab/>
        <w:tab/>
      </w:r>
      <w:r>
        <w:rPr>
          <w:w w:val="85"/>
          <w:sz w:val="18"/>
        </w:rPr>
        <w:t>+      +          +           +           +         </w:t>
      </w:r>
      <w:r>
        <w:rPr>
          <w:spacing w:val="12"/>
          <w:w w:val="85"/>
          <w:sz w:val="18"/>
        </w:rPr>
        <w:t> </w:t>
      </w:r>
      <w:r>
        <w:rPr>
          <w:w w:val="85"/>
          <w:sz w:val="18"/>
        </w:rPr>
        <w:t>+       </w:t>
      </w:r>
      <w:r>
        <w:rPr>
          <w:spacing w:val="6"/>
          <w:w w:val="85"/>
          <w:sz w:val="18"/>
        </w:rPr>
        <w:t> </w:t>
      </w:r>
      <w:r>
        <w:rPr>
          <w:w w:val="85"/>
          <w:sz w:val="18"/>
        </w:rPr>
        <w:t>+</w:t>
      </w:r>
      <w:r>
        <w:rPr>
          <w:w w:val="76"/>
          <w:sz w:val="18"/>
        </w:rPr>
        <w:t> </w:t>
      </w:r>
      <w:r>
        <w:rPr>
          <w:i/>
          <w:w w:val="80"/>
          <w:sz w:val="18"/>
        </w:rPr>
        <w:t>Escolaridad (cóncava</w:t>
      </w:r>
      <w:r>
        <w:rPr>
          <w:i/>
          <w:spacing w:val="-21"/>
          <w:w w:val="80"/>
          <w:sz w:val="18"/>
        </w:rPr>
        <w:t> </w:t>
      </w:r>
      <w:r>
        <w:rPr>
          <w:i/>
          <w:w w:val="80"/>
          <w:sz w:val="18"/>
        </w:rPr>
        <w:t>hacia</w:t>
      </w:r>
      <w:r>
        <w:rPr>
          <w:i/>
          <w:spacing w:val="-11"/>
          <w:w w:val="80"/>
          <w:sz w:val="18"/>
        </w:rPr>
        <w:t> </w:t>
      </w:r>
      <w:r>
        <w:rPr>
          <w:i/>
          <w:w w:val="80"/>
          <w:sz w:val="18"/>
        </w:rPr>
        <w:t>arriba)</w:t>
        <w:tab/>
        <w:tab/>
        <w:tab/>
      </w:r>
      <w:r>
        <w:rPr>
          <w:w w:val="85"/>
          <w:sz w:val="18"/>
        </w:rPr>
        <w:t>+          +           +           +         </w:t>
      </w:r>
      <w:r>
        <w:rPr>
          <w:spacing w:val="28"/>
          <w:w w:val="85"/>
          <w:sz w:val="18"/>
        </w:rPr>
        <w:t> </w:t>
      </w:r>
      <w:r>
        <w:rPr>
          <w:w w:val="85"/>
          <w:sz w:val="18"/>
        </w:rPr>
        <w:t>+       </w:t>
      </w:r>
      <w:r>
        <w:rPr>
          <w:spacing w:val="7"/>
          <w:w w:val="85"/>
          <w:sz w:val="18"/>
        </w:rPr>
        <w:t> </w:t>
      </w:r>
      <w:r>
        <w:rPr>
          <w:w w:val="85"/>
          <w:sz w:val="18"/>
        </w:rPr>
        <w:t>+</w:t>
      </w:r>
      <w:r>
        <w:rPr>
          <w:w w:val="76"/>
          <w:sz w:val="18"/>
        </w:rPr>
        <w:t> </w:t>
      </w:r>
      <w:r>
        <w:rPr>
          <w:i/>
          <w:w w:val="75"/>
          <w:sz w:val="18"/>
        </w:rPr>
        <w:t>Región </w:t>
      </w:r>
      <w:r>
        <w:rPr>
          <w:i/>
          <w:spacing w:val="13"/>
          <w:w w:val="75"/>
          <w:sz w:val="18"/>
        </w:rPr>
        <w:t> </w:t>
      </w:r>
      <w:r>
        <w:rPr>
          <w:i/>
          <w:w w:val="75"/>
          <w:sz w:val="18"/>
        </w:rPr>
        <w:t>socioeconómica</w:t>
      </w:r>
    </w:p>
    <w:p>
      <w:pPr>
        <w:spacing w:before="1"/>
        <w:ind w:left="154" w:right="0" w:firstLine="0"/>
        <w:jc w:val="both"/>
        <w:rPr>
          <w:sz w:val="18"/>
        </w:rPr>
      </w:pPr>
      <w:r>
        <w:rPr>
          <w:w w:val="80"/>
          <w:sz w:val="18"/>
        </w:rPr>
        <w:t>Noreste (r)</w:t>
      </w:r>
    </w:p>
    <w:p>
      <w:pPr>
        <w:tabs>
          <w:tab w:pos="3881" w:val="left" w:leader="none"/>
        </w:tabs>
        <w:spacing w:before="5"/>
        <w:ind w:left="154" w:right="0" w:firstLine="0"/>
        <w:jc w:val="both"/>
        <w:rPr>
          <w:sz w:val="18"/>
        </w:rPr>
      </w:pPr>
      <w:r>
        <w:rPr>
          <w:w w:val="85"/>
          <w:sz w:val="18"/>
        </w:rPr>
        <w:t>Noroeste</w:t>
        <w:tab/>
        <w:t>-            -            -            -       </w:t>
      </w:r>
      <w:r>
        <w:rPr>
          <w:spacing w:val="13"/>
          <w:w w:val="85"/>
          <w:sz w:val="18"/>
        </w:rPr>
        <w:t> </w:t>
      </w:r>
      <w:r>
        <w:rPr>
          <w:w w:val="85"/>
          <w:sz w:val="18"/>
        </w:rPr>
        <w:t>-</w:t>
      </w:r>
    </w:p>
    <w:p>
      <w:pPr>
        <w:tabs>
          <w:tab w:pos="3693" w:val="left" w:leader="none"/>
        </w:tabs>
        <w:spacing w:before="5"/>
        <w:ind w:left="154" w:right="0" w:firstLine="0"/>
        <w:jc w:val="both"/>
        <w:rPr>
          <w:sz w:val="18"/>
        </w:rPr>
      </w:pPr>
      <w:r>
        <w:rPr>
          <w:w w:val="85"/>
          <w:sz w:val="18"/>
        </w:rPr>
        <w:t>Occidente</w:t>
        <w:tab/>
        <w:t>-----     ------     ------       ----    </w:t>
      </w:r>
      <w:r>
        <w:rPr>
          <w:spacing w:val="8"/>
          <w:w w:val="85"/>
          <w:sz w:val="18"/>
        </w:rPr>
        <w:t> </w:t>
      </w:r>
      <w:r>
        <w:rPr>
          <w:w w:val="85"/>
          <w:sz w:val="18"/>
        </w:rPr>
        <w:t>----</w:t>
      </w:r>
    </w:p>
    <w:p>
      <w:pPr>
        <w:tabs>
          <w:tab w:pos="3693" w:val="left" w:leader="none"/>
        </w:tabs>
        <w:spacing w:before="0"/>
        <w:ind w:left="154" w:right="0" w:firstLine="0"/>
        <w:jc w:val="both"/>
        <w:rPr>
          <w:sz w:val="18"/>
        </w:rPr>
      </w:pPr>
      <w:r>
        <w:rPr>
          <w:w w:val="85"/>
          <w:sz w:val="18"/>
        </w:rPr>
        <w:t>Oriente</w:t>
        <w:tab/>
        <w:t>-----       -----      -----       ----   </w:t>
      </w:r>
      <w:r>
        <w:rPr>
          <w:spacing w:val="36"/>
          <w:w w:val="85"/>
          <w:sz w:val="18"/>
        </w:rPr>
        <w:t> </w:t>
      </w:r>
      <w:r>
        <w:rPr>
          <w:w w:val="85"/>
          <w:sz w:val="18"/>
        </w:rPr>
        <w:t>----</w:t>
      </w:r>
    </w:p>
    <w:p>
      <w:pPr>
        <w:tabs>
          <w:tab w:pos="3834" w:val="left" w:leader="none"/>
        </w:tabs>
        <w:spacing w:before="5"/>
        <w:ind w:left="154" w:right="0" w:firstLine="0"/>
        <w:jc w:val="both"/>
        <w:rPr>
          <w:sz w:val="18"/>
        </w:rPr>
      </w:pPr>
      <w:r>
        <w:rPr>
          <w:w w:val="85"/>
          <w:sz w:val="18"/>
        </w:rPr>
        <w:t>Centro</w:t>
      </w:r>
      <w:r>
        <w:rPr>
          <w:spacing w:val="-20"/>
          <w:w w:val="85"/>
          <w:sz w:val="18"/>
        </w:rPr>
        <w:t> </w:t>
      </w:r>
      <w:r>
        <w:rPr>
          <w:w w:val="85"/>
          <w:sz w:val="18"/>
        </w:rPr>
        <w:t>norte</w:t>
        <w:tab/>
        <w:t>--           --          --          --      </w:t>
      </w:r>
      <w:r>
        <w:rPr>
          <w:spacing w:val="31"/>
          <w:w w:val="85"/>
          <w:sz w:val="18"/>
        </w:rPr>
        <w:t> </w:t>
      </w:r>
      <w:r>
        <w:rPr>
          <w:w w:val="85"/>
          <w:sz w:val="18"/>
        </w:rPr>
        <w:t>--</w:t>
      </w:r>
    </w:p>
    <w:p>
      <w:pPr>
        <w:tabs>
          <w:tab w:pos="3787" w:val="left" w:leader="none"/>
        </w:tabs>
        <w:spacing w:before="5"/>
        <w:ind w:left="154" w:right="0" w:firstLine="0"/>
        <w:jc w:val="both"/>
        <w:rPr>
          <w:sz w:val="18"/>
        </w:rPr>
      </w:pPr>
      <w:r>
        <w:rPr>
          <w:w w:val="85"/>
          <w:sz w:val="18"/>
        </w:rPr>
        <w:t>Centro</w:t>
      </w:r>
      <w:r>
        <w:rPr>
          <w:spacing w:val="-16"/>
          <w:w w:val="85"/>
          <w:sz w:val="18"/>
        </w:rPr>
        <w:t> </w:t>
      </w:r>
      <w:r>
        <w:rPr>
          <w:w w:val="85"/>
          <w:sz w:val="18"/>
        </w:rPr>
        <w:t>sur</w:t>
        <w:tab/>
        <w:t>---         ---         ---         ---     </w:t>
      </w:r>
      <w:r>
        <w:rPr>
          <w:spacing w:val="11"/>
          <w:w w:val="85"/>
          <w:sz w:val="18"/>
        </w:rPr>
        <w:t> </w:t>
      </w:r>
      <w:r>
        <w:rPr>
          <w:w w:val="85"/>
          <w:sz w:val="18"/>
        </w:rPr>
        <w:t>---</w:t>
      </w:r>
    </w:p>
    <w:p>
      <w:pPr>
        <w:tabs>
          <w:tab w:pos="3740" w:val="left" w:leader="none"/>
        </w:tabs>
        <w:spacing w:before="5"/>
        <w:ind w:left="154" w:right="0" w:firstLine="0"/>
        <w:jc w:val="both"/>
        <w:rPr>
          <w:sz w:val="18"/>
        </w:rPr>
      </w:pPr>
      <w:r>
        <w:rPr>
          <w:w w:val="85"/>
          <w:sz w:val="18"/>
        </w:rPr>
        <w:t>Sureste</w:t>
        <w:tab/>
        <w:t>----        ----        ----         ---    </w:t>
      </w:r>
      <w:r>
        <w:rPr>
          <w:spacing w:val="17"/>
          <w:w w:val="85"/>
          <w:sz w:val="18"/>
        </w:rPr>
        <w:t> </w:t>
      </w:r>
      <w:r>
        <w:rPr>
          <w:w w:val="85"/>
          <w:sz w:val="18"/>
        </w:rPr>
        <w:t>---</w:t>
      </w:r>
    </w:p>
    <w:p>
      <w:pPr>
        <w:tabs>
          <w:tab w:pos="3600" w:val="left" w:leader="none"/>
        </w:tabs>
        <w:spacing w:before="5"/>
        <w:ind w:left="154" w:right="0" w:firstLine="0"/>
        <w:jc w:val="both"/>
        <w:rPr>
          <w:sz w:val="18"/>
        </w:rPr>
      </w:pPr>
      <w:r>
        <w:rPr>
          <w:w w:val="85"/>
          <w:sz w:val="18"/>
        </w:rPr>
        <w:t>Suroeste</w:t>
        <w:tab/>
        <w:t>-------   --------  --------     -----  </w:t>
      </w:r>
      <w:r>
        <w:rPr>
          <w:spacing w:val="37"/>
          <w:w w:val="85"/>
          <w:sz w:val="18"/>
        </w:rPr>
        <w:t> </w:t>
      </w:r>
      <w:r>
        <w:rPr>
          <w:w w:val="85"/>
          <w:sz w:val="18"/>
        </w:rPr>
        <w:t>-----</w:t>
      </w:r>
    </w:p>
    <w:p>
      <w:pPr>
        <w:spacing w:before="5"/>
        <w:ind w:left="154" w:right="0" w:firstLine="0"/>
        <w:jc w:val="both"/>
        <w:rPr>
          <w:i/>
          <w:sz w:val="18"/>
        </w:rPr>
      </w:pPr>
      <w:r>
        <w:rPr>
          <w:i/>
          <w:w w:val="80"/>
          <w:sz w:val="18"/>
        </w:rPr>
        <w:t>Área de residencia</w:t>
      </w:r>
    </w:p>
    <w:p>
      <w:pPr>
        <w:spacing w:before="5"/>
        <w:ind w:left="154" w:right="0" w:firstLine="0"/>
        <w:jc w:val="both"/>
        <w:rPr>
          <w:sz w:val="18"/>
        </w:rPr>
      </w:pPr>
      <w:r>
        <w:rPr>
          <w:w w:val="80"/>
          <w:sz w:val="18"/>
        </w:rPr>
        <w:t>Urbano (r)</w:t>
      </w:r>
    </w:p>
    <w:p>
      <w:pPr>
        <w:tabs>
          <w:tab w:pos="4392" w:val="left" w:leader="none"/>
        </w:tabs>
        <w:spacing w:before="5"/>
        <w:ind w:left="154" w:right="0" w:firstLine="0"/>
        <w:jc w:val="both"/>
        <w:rPr>
          <w:sz w:val="18"/>
        </w:rPr>
      </w:pPr>
      <w:r>
        <w:rPr>
          <w:w w:val="85"/>
          <w:sz w:val="18"/>
        </w:rPr>
        <w:t>Rural</w:t>
        <w:tab/>
        <w:t>-            -            -       </w:t>
      </w:r>
      <w:r>
        <w:rPr>
          <w:spacing w:val="12"/>
          <w:w w:val="85"/>
          <w:sz w:val="18"/>
        </w:rPr>
        <w:t> </w:t>
      </w:r>
      <w:r>
        <w:rPr>
          <w:w w:val="85"/>
          <w:sz w:val="18"/>
        </w:rPr>
        <w:t>-</w:t>
      </w:r>
    </w:p>
    <w:p>
      <w:pPr>
        <w:spacing w:before="5"/>
        <w:ind w:left="154" w:right="0" w:firstLine="0"/>
        <w:jc w:val="both"/>
        <w:rPr>
          <w:i/>
          <w:sz w:val="18"/>
        </w:rPr>
      </w:pPr>
      <w:r>
        <w:rPr>
          <w:i/>
          <w:w w:val="85"/>
          <w:sz w:val="18"/>
        </w:rPr>
        <w:t>Ocupación</w:t>
      </w:r>
    </w:p>
    <w:p>
      <w:pPr>
        <w:spacing w:before="5"/>
        <w:ind w:left="154" w:right="0" w:firstLine="0"/>
        <w:jc w:val="both"/>
        <w:rPr>
          <w:sz w:val="18"/>
        </w:rPr>
      </w:pPr>
      <w:r>
        <w:rPr>
          <w:w w:val="80"/>
          <w:sz w:val="18"/>
        </w:rPr>
        <w:t>Funcionarios y prof., oficina (r)</w:t>
      </w:r>
    </w:p>
    <w:p>
      <w:pPr>
        <w:tabs>
          <w:tab w:pos="4842" w:val="left" w:leader="none"/>
        </w:tabs>
        <w:spacing w:before="5"/>
        <w:ind w:left="154" w:right="0" w:firstLine="0"/>
        <w:jc w:val="both"/>
        <w:rPr>
          <w:sz w:val="18"/>
        </w:rPr>
      </w:pPr>
      <w:r>
        <w:rPr>
          <w:w w:val="80"/>
          <w:sz w:val="18"/>
        </w:rPr>
        <w:t>Vendedores</w:t>
      </w:r>
      <w:r>
        <w:rPr>
          <w:spacing w:val="-8"/>
          <w:w w:val="80"/>
          <w:sz w:val="18"/>
        </w:rPr>
        <w:t> </w:t>
      </w:r>
      <w:r>
        <w:rPr>
          <w:w w:val="80"/>
          <w:sz w:val="18"/>
        </w:rPr>
        <w:t>y</w:t>
      </w:r>
      <w:r>
        <w:rPr>
          <w:spacing w:val="-8"/>
          <w:w w:val="80"/>
          <w:sz w:val="18"/>
        </w:rPr>
        <w:t> </w:t>
      </w:r>
      <w:r>
        <w:rPr>
          <w:w w:val="80"/>
          <w:sz w:val="18"/>
        </w:rPr>
        <w:t>servicios</w:t>
        <w:tab/>
      </w:r>
      <w:r>
        <w:rPr>
          <w:w w:val="85"/>
          <w:sz w:val="18"/>
        </w:rPr>
        <w:t>--          --        </w:t>
      </w:r>
      <w:r>
        <w:rPr>
          <w:spacing w:val="7"/>
          <w:w w:val="85"/>
          <w:sz w:val="18"/>
        </w:rPr>
        <w:t> </w:t>
      </w:r>
      <w:r>
        <w:rPr>
          <w:w w:val="85"/>
          <w:sz w:val="18"/>
        </w:rPr>
        <w:t>-</w:t>
      </w:r>
    </w:p>
    <w:p>
      <w:pPr>
        <w:tabs>
          <w:tab w:pos="4889" w:val="left" w:leader="none"/>
        </w:tabs>
        <w:spacing w:before="5"/>
        <w:ind w:left="154" w:right="0" w:firstLine="0"/>
        <w:jc w:val="both"/>
        <w:rPr>
          <w:sz w:val="18"/>
        </w:rPr>
      </w:pPr>
      <w:r>
        <w:rPr>
          <w:w w:val="80"/>
          <w:sz w:val="18"/>
        </w:rPr>
        <w:t>Operadores,</w:t>
      </w:r>
      <w:r>
        <w:rPr>
          <w:spacing w:val="-11"/>
          <w:w w:val="80"/>
          <w:sz w:val="18"/>
        </w:rPr>
        <w:t> </w:t>
      </w:r>
      <w:r>
        <w:rPr>
          <w:w w:val="80"/>
          <w:sz w:val="18"/>
        </w:rPr>
        <w:t>operarios</w:t>
        <w:tab/>
      </w:r>
      <w:r>
        <w:rPr>
          <w:w w:val="85"/>
          <w:sz w:val="18"/>
        </w:rPr>
        <w:t>-            -       </w:t>
      </w:r>
      <w:r>
        <w:rPr>
          <w:spacing w:val="26"/>
          <w:w w:val="85"/>
          <w:sz w:val="18"/>
        </w:rPr>
        <w:t> </w:t>
      </w:r>
      <w:r>
        <w:rPr>
          <w:w w:val="85"/>
          <w:sz w:val="18"/>
        </w:rPr>
        <w:t>-</w:t>
      </w:r>
    </w:p>
    <w:p>
      <w:pPr>
        <w:tabs>
          <w:tab w:pos="4889" w:val="left" w:leader="none"/>
        </w:tabs>
        <w:spacing w:before="0"/>
        <w:ind w:left="154" w:right="0" w:firstLine="0"/>
        <w:jc w:val="both"/>
        <w:rPr>
          <w:sz w:val="18"/>
        </w:rPr>
      </w:pPr>
      <w:r>
        <w:rPr>
          <w:w w:val="85"/>
          <w:sz w:val="18"/>
        </w:rPr>
        <w:t>Peones</w:t>
      </w:r>
      <w:r>
        <w:rPr>
          <w:spacing w:val="-24"/>
          <w:w w:val="85"/>
          <w:sz w:val="18"/>
        </w:rPr>
        <w:t> </w:t>
      </w:r>
      <w:r>
        <w:rPr>
          <w:w w:val="85"/>
          <w:sz w:val="18"/>
        </w:rPr>
        <w:t>y</w:t>
      </w:r>
      <w:r>
        <w:rPr>
          <w:spacing w:val="-24"/>
          <w:w w:val="85"/>
          <w:sz w:val="18"/>
        </w:rPr>
        <w:t> </w:t>
      </w:r>
      <w:r>
        <w:rPr>
          <w:w w:val="85"/>
          <w:sz w:val="18"/>
        </w:rPr>
        <w:t>otros</w:t>
      </w:r>
      <w:r>
        <w:rPr>
          <w:spacing w:val="-24"/>
          <w:w w:val="85"/>
          <w:sz w:val="18"/>
        </w:rPr>
        <w:t> </w:t>
      </w:r>
      <w:r>
        <w:rPr>
          <w:w w:val="85"/>
          <w:sz w:val="18"/>
        </w:rPr>
        <w:t>no</w:t>
      </w:r>
      <w:r>
        <w:rPr>
          <w:spacing w:val="-24"/>
          <w:w w:val="85"/>
          <w:sz w:val="18"/>
        </w:rPr>
        <w:t> </w:t>
      </w:r>
      <w:r>
        <w:rPr>
          <w:w w:val="85"/>
          <w:sz w:val="18"/>
        </w:rPr>
        <w:t>calificados</w:t>
        <w:tab/>
        <w:t>-            -       </w:t>
      </w:r>
      <w:r>
        <w:rPr>
          <w:spacing w:val="26"/>
          <w:w w:val="85"/>
          <w:sz w:val="18"/>
        </w:rPr>
        <w:t> </w:t>
      </w:r>
      <w:r>
        <w:rPr>
          <w:w w:val="85"/>
          <w:sz w:val="18"/>
        </w:rPr>
        <w:t>-</w:t>
      </w:r>
    </w:p>
    <w:p>
      <w:pPr>
        <w:spacing w:before="5"/>
        <w:ind w:left="154" w:right="0" w:firstLine="0"/>
        <w:jc w:val="both"/>
        <w:rPr>
          <w:sz w:val="18"/>
        </w:rPr>
      </w:pPr>
      <w:r>
        <w:rPr>
          <w:w w:val="80"/>
          <w:sz w:val="18"/>
        </w:rPr>
        <w:t>Ests medianos y grandes (r)</w:t>
      </w:r>
    </w:p>
    <w:p>
      <w:pPr>
        <w:tabs>
          <w:tab w:pos="5388" w:val="left" w:leader="none"/>
        </w:tabs>
        <w:spacing w:before="5"/>
        <w:ind w:left="154" w:right="0" w:firstLine="0"/>
        <w:jc w:val="both"/>
        <w:rPr>
          <w:sz w:val="18"/>
        </w:rPr>
      </w:pPr>
      <w:r>
        <w:rPr>
          <w:w w:val="80"/>
          <w:sz w:val="18"/>
        </w:rPr>
        <w:t>Micronegocios</w:t>
      </w:r>
      <w:r>
        <w:rPr>
          <w:spacing w:val="-10"/>
          <w:w w:val="80"/>
          <w:sz w:val="18"/>
        </w:rPr>
        <w:t> </w:t>
      </w:r>
      <w:r>
        <w:rPr>
          <w:w w:val="80"/>
          <w:sz w:val="18"/>
        </w:rPr>
        <w:t>no</w:t>
      </w:r>
      <w:r>
        <w:rPr>
          <w:spacing w:val="-10"/>
          <w:w w:val="80"/>
          <w:sz w:val="18"/>
        </w:rPr>
        <w:t> </w:t>
      </w:r>
      <w:r>
        <w:rPr>
          <w:w w:val="80"/>
          <w:sz w:val="18"/>
        </w:rPr>
        <w:t>agricolas</w:t>
        <w:tab/>
      </w:r>
      <w:r>
        <w:rPr>
          <w:w w:val="85"/>
          <w:sz w:val="18"/>
        </w:rPr>
        <w:t>-       </w:t>
      </w:r>
      <w:r>
        <w:rPr>
          <w:spacing w:val="37"/>
          <w:w w:val="85"/>
          <w:sz w:val="18"/>
        </w:rPr>
        <w:t> </w:t>
      </w:r>
      <w:r>
        <w:rPr>
          <w:w w:val="85"/>
          <w:sz w:val="18"/>
        </w:rPr>
        <w:t>-</w:t>
      </w:r>
    </w:p>
    <w:p>
      <w:pPr>
        <w:spacing w:before="5"/>
        <w:ind w:left="154" w:right="0" w:firstLine="0"/>
        <w:jc w:val="both"/>
        <w:rPr>
          <w:sz w:val="18"/>
        </w:rPr>
      </w:pPr>
      <w:r>
        <w:rPr>
          <w:w w:val="80"/>
          <w:sz w:val="18"/>
        </w:rPr>
        <w:t>No industria petrolera (r)</w:t>
      </w:r>
    </w:p>
    <w:p>
      <w:pPr>
        <w:tabs>
          <w:tab w:pos="5756" w:val="left" w:leader="none"/>
        </w:tabs>
        <w:spacing w:before="5" w:after="5"/>
        <w:ind w:left="154" w:right="0" w:firstLine="0"/>
        <w:jc w:val="both"/>
        <w:rPr>
          <w:sz w:val="18"/>
        </w:rPr>
      </w:pPr>
      <w:r>
        <w:rPr>
          <w:w w:val="80"/>
          <w:sz w:val="18"/>
        </w:rPr>
        <w:t>Industria</w:t>
      </w:r>
      <w:r>
        <w:rPr>
          <w:spacing w:val="-9"/>
          <w:w w:val="80"/>
          <w:sz w:val="18"/>
        </w:rPr>
        <w:t> </w:t>
      </w:r>
      <w:r>
        <w:rPr>
          <w:w w:val="80"/>
          <w:sz w:val="18"/>
        </w:rPr>
        <w:t>petrolera</w:t>
        <w:tab/>
      </w:r>
      <w:r>
        <w:rPr>
          <w:w w:val="85"/>
          <w:sz w:val="18"/>
        </w:rPr>
        <w:t>+</w:t>
      </w:r>
    </w:p>
    <w:p>
      <w:pPr>
        <w:pStyle w:val="BodyText"/>
        <w:spacing w:line="20" w:lineRule="exact"/>
        <w:ind w:left="109"/>
        <w:rPr>
          <w:sz w:val="2"/>
        </w:rPr>
      </w:pPr>
      <w:r>
        <w:rPr>
          <w:sz w:val="2"/>
        </w:rPr>
        <w:pict>
          <v:group style="width:288.9pt;height:.45pt;mso-position-horizontal-relative:char;mso-position-vertical-relative:line" coordorigin="0,0" coordsize="5778,9">
            <v:line style="position:absolute" from="4,4" to="2187,4" stroked="true" strokeweight=".442864pt" strokecolor="#000000"/>
            <v:line style="position:absolute" from="2187,4" to="2194,4" stroked="true" strokeweight=".442864pt" strokecolor="#000000"/>
            <v:line style="position:absolute" from="2194,4" to="2484,4" stroked="true" strokeweight=".442864pt" strokecolor="#000000"/>
            <v:line style="position:absolute" from="2484,4" to="2491,4" stroked="true" strokeweight=".442864pt" strokecolor="#000000"/>
            <v:line style="position:absolute" from="2491,4" to="2784,4" stroked="true" strokeweight=".442864pt" strokecolor="#000000"/>
            <v:line style="position:absolute" from="2784,4" to="2791,4" stroked="true" strokeweight=".442864pt" strokecolor="#000000"/>
            <v:line style="position:absolute" from="2791,4" to="3084,4" stroked="true" strokeweight=".442864pt" strokecolor="#000000"/>
            <v:line style="position:absolute" from="3084,4" to="3091,4" stroked="true" strokeweight=".442864pt" strokecolor="#000000"/>
            <v:line style="position:absolute" from="3091,4" to="3381,4" stroked="true" strokeweight=".442864pt" strokecolor="#000000"/>
            <v:line style="position:absolute" from="3381,4" to="3388,4" stroked="true" strokeweight=".442864pt" strokecolor="#000000"/>
            <v:line style="position:absolute" from="3388,4" to="3867,4" stroked="true" strokeweight=".442864pt" strokecolor="#000000"/>
            <v:line style="position:absolute" from="3867,4" to="3874,4" stroked="true" strokeweight=".442864pt" strokecolor="#000000"/>
            <v:line style="position:absolute" from="3874,4" to="4377,4" stroked="true" strokeweight=".442864pt" strokecolor="#000000"/>
            <v:line style="position:absolute" from="4377,4" to="4383,4" stroked="true" strokeweight=".442864pt" strokecolor="#000000"/>
            <v:line style="position:absolute" from="4383,4" to="4876,4" stroked="true" strokeweight=".442864pt" strokecolor="#000000"/>
            <v:line style="position:absolute" from="4876,4" to="4883,4" stroked="true" strokeweight=".442864pt" strokecolor="#000000"/>
            <v:line style="position:absolute" from="4883,4" to="5375,4" stroked="true" strokeweight=".442864pt" strokecolor="#000000"/>
            <v:line style="position:absolute" from="5375,4" to="5382,4" stroked="true" strokeweight=".442864pt" strokecolor="#000000"/>
            <v:line style="position:absolute" from="5382,4" to="5773,4" stroked="true" strokeweight=".442864pt" strokecolor="#000000"/>
          </v:group>
        </w:pict>
      </w:r>
      <w:r>
        <w:rPr>
          <w:sz w:val="2"/>
        </w:rPr>
      </w:r>
    </w:p>
    <w:p>
      <w:pPr>
        <w:spacing w:line="249" w:lineRule="auto" w:before="0"/>
        <w:ind w:left="154" w:right="0" w:hanging="1"/>
        <w:jc w:val="left"/>
        <w:rPr>
          <w:sz w:val="14"/>
        </w:rPr>
      </w:pPr>
      <w:r>
        <w:rPr>
          <w:w w:val="90"/>
          <w:sz w:val="14"/>
        </w:rPr>
        <w:t>Fuente:</w:t>
      </w:r>
      <w:r>
        <w:rPr>
          <w:spacing w:val="-15"/>
          <w:w w:val="90"/>
          <w:sz w:val="14"/>
        </w:rPr>
        <w:t> </w:t>
      </w:r>
      <w:r>
        <w:rPr>
          <w:w w:val="90"/>
          <w:sz w:val="14"/>
        </w:rPr>
        <w:t>elaboración</w:t>
      </w:r>
      <w:r>
        <w:rPr>
          <w:spacing w:val="-15"/>
          <w:w w:val="90"/>
          <w:sz w:val="14"/>
        </w:rPr>
        <w:t> </w:t>
      </w:r>
      <w:r>
        <w:rPr>
          <w:w w:val="90"/>
          <w:sz w:val="14"/>
        </w:rPr>
        <w:t>propia</w:t>
      </w:r>
      <w:r>
        <w:rPr>
          <w:spacing w:val="-15"/>
          <w:w w:val="90"/>
          <w:sz w:val="14"/>
        </w:rPr>
        <w:t> </w:t>
      </w:r>
      <w:r>
        <w:rPr>
          <w:w w:val="90"/>
          <w:sz w:val="14"/>
        </w:rPr>
        <w:t>con</w:t>
      </w:r>
      <w:r>
        <w:rPr>
          <w:spacing w:val="-15"/>
          <w:w w:val="90"/>
          <w:sz w:val="14"/>
        </w:rPr>
        <w:t> </w:t>
      </w:r>
      <w:r>
        <w:rPr>
          <w:w w:val="90"/>
          <w:sz w:val="14"/>
        </w:rPr>
        <w:t>base</w:t>
      </w:r>
      <w:r>
        <w:rPr>
          <w:spacing w:val="-15"/>
          <w:w w:val="90"/>
          <w:sz w:val="14"/>
        </w:rPr>
        <w:t> </w:t>
      </w:r>
      <w:r>
        <w:rPr>
          <w:w w:val="90"/>
          <w:sz w:val="14"/>
        </w:rPr>
        <w:t>en</w:t>
      </w:r>
      <w:r>
        <w:rPr>
          <w:spacing w:val="-15"/>
          <w:w w:val="90"/>
          <w:sz w:val="14"/>
        </w:rPr>
        <w:t> </w:t>
      </w:r>
      <w:r>
        <w:rPr>
          <w:w w:val="90"/>
          <w:sz w:val="14"/>
        </w:rPr>
        <w:t>los</w:t>
      </w:r>
      <w:r>
        <w:rPr>
          <w:spacing w:val="-15"/>
          <w:w w:val="90"/>
          <w:sz w:val="14"/>
        </w:rPr>
        <w:t> </w:t>
      </w:r>
      <w:r>
        <w:rPr>
          <w:w w:val="90"/>
          <w:sz w:val="14"/>
        </w:rPr>
        <w:t>modelos</w:t>
      </w:r>
      <w:r>
        <w:rPr>
          <w:spacing w:val="-15"/>
          <w:w w:val="90"/>
          <w:sz w:val="14"/>
        </w:rPr>
        <w:t> </w:t>
      </w:r>
      <w:r>
        <w:rPr>
          <w:w w:val="90"/>
          <w:sz w:val="14"/>
        </w:rPr>
        <w:t>del</w:t>
      </w:r>
      <w:r>
        <w:rPr>
          <w:spacing w:val="-15"/>
          <w:w w:val="90"/>
          <w:sz w:val="14"/>
        </w:rPr>
        <w:t> </w:t>
      </w:r>
      <w:r>
        <w:rPr>
          <w:w w:val="90"/>
          <w:sz w:val="14"/>
        </w:rPr>
        <w:t>cuadro</w:t>
      </w:r>
      <w:r>
        <w:rPr>
          <w:spacing w:val="-15"/>
          <w:w w:val="90"/>
          <w:sz w:val="14"/>
        </w:rPr>
        <w:t> </w:t>
      </w:r>
      <w:r>
        <w:rPr>
          <w:w w:val="90"/>
          <w:sz w:val="14"/>
        </w:rPr>
        <w:t>A.2.</w:t>
      </w:r>
      <w:r>
        <w:rPr>
          <w:spacing w:val="-15"/>
          <w:w w:val="90"/>
          <w:sz w:val="14"/>
        </w:rPr>
        <w:t> </w:t>
      </w:r>
      <w:r>
        <w:rPr>
          <w:w w:val="90"/>
          <w:sz w:val="14"/>
        </w:rPr>
        <w:t>(r)</w:t>
      </w:r>
      <w:r>
        <w:rPr>
          <w:spacing w:val="-15"/>
          <w:w w:val="90"/>
          <w:sz w:val="14"/>
        </w:rPr>
        <w:t> </w:t>
      </w:r>
      <w:r>
        <w:rPr>
          <w:w w:val="90"/>
          <w:sz w:val="14"/>
        </w:rPr>
        <w:t>es</w:t>
      </w:r>
      <w:r>
        <w:rPr>
          <w:spacing w:val="-15"/>
          <w:w w:val="90"/>
          <w:sz w:val="14"/>
        </w:rPr>
        <w:t> </w:t>
      </w:r>
      <w:r>
        <w:rPr>
          <w:w w:val="90"/>
          <w:sz w:val="14"/>
        </w:rPr>
        <w:t>la</w:t>
      </w:r>
      <w:r>
        <w:rPr>
          <w:spacing w:val="-16"/>
          <w:w w:val="90"/>
          <w:sz w:val="14"/>
        </w:rPr>
        <w:t> </w:t>
      </w:r>
      <w:r>
        <w:rPr>
          <w:w w:val="90"/>
          <w:sz w:val="14"/>
        </w:rPr>
        <w:t>categoría</w:t>
      </w:r>
      <w:r>
        <w:rPr>
          <w:spacing w:val="-15"/>
          <w:w w:val="90"/>
          <w:sz w:val="14"/>
        </w:rPr>
        <w:t> </w:t>
      </w:r>
      <w:r>
        <w:rPr>
          <w:w w:val="90"/>
          <w:sz w:val="14"/>
        </w:rPr>
        <w:t>de</w:t>
      </w:r>
      <w:r>
        <w:rPr>
          <w:spacing w:val="-15"/>
          <w:w w:val="90"/>
          <w:sz w:val="14"/>
        </w:rPr>
        <w:t> </w:t>
      </w:r>
      <w:r>
        <w:rPr>
          <w:w w:val="90"/>
          <w:sz w:val="14"/>
        </w:rPr>
        <w:t>referencia.</w:t>
      </w:r>
      <w:r>
        <w:rPr>
          <w:spacing w:val="-15"/>
          <w:w w:val="90"/>
          <w:sz w:val="14"/>
        </w:rPr>
        <w:t> </w:t>
      </w:r>
      <w:r>
        <w:rPr>
          <w:w w:val="90"/>
          <w:sz w:val="14"/>
        </w:rPr>
        <w:t>(0)</w:t>
      </w:r>
      <w:r>
        <w:rPr>
          <w:spacing w:val="-15"/>
          <w:w w:val="90"/>
          <w:sz w:val="14"/>
        </w:rPr>
        <w:t> </w:t>
      </w:r>
      <w:r>
        <w:rPr>
          <w:w w:val="90"/>
          <w:sz w:val="14"/>
        </w:rPr>
        <w:t>implica</w:t>
      </w:r>
      <w:r>
        <w:rPr>
          <w:spacing w:val="-15"/>
          <w:w w:val="90"/>
          <w:sz w:val="14"/>
        </w:rPr>
        <w:t> </w:t>
      </w:r>
      <w:r>
        <w:rPr>
          <w:w w:val="90"/>
          <w:sz w:val="14"/>
        </w:rPr>
        <w:t>que</w:t>
      </w:r>
      <w:r>
        <w:rPr>
          <w:spacing w:val="-15"/>
          <w:w w:val="90"/>
          <w:sz w:val="14"/>
        </w:rPr>
        <w:t> </w:t>
      </w:r>
      <w:r>
        <w:rPr>
          <w:w w:val="90"/>
          <w:sz w:val="14"/>
        </w:rPr>
        <w:t>la </w:t>
      </w:r>
      <w:r>
        <w:rPr>
          <w:w w:val="80"/>
          <w:sz w:val="14"/>
        </w:rPr>
        <w:t>variable o categoría no es estadísticamente</w:t>
      </w:r>
      <w:r>
        <w:rPr>
          <w:spacing w:val="-14"/>
          <w:w w:val="80"/>
          <w:sz w:val="14"/>
        </w:rPr>
        <w:t> </w:t>
      </w:r>
      <w:r>
        <w:rPr>
          <w:w w:val="80"/>
          <w:sz w:val="14"/>
        </w:rPr>
        <w:t>significativa.</w:t>
      </w:r>
    </w:p>
    <w:p>
      <w:pPr>
        <w:pStyle w:val="BodyText"/>
        <w:spacing w:line="249" w:lineRule="auto" w:before="103"/>
        <w:ind w:left="113" w:right="108" w:firstLine="283"/>
        <w:jc w:val="both"/>
      </w:pPr>
      <w:r>
        <w:rPr>
          <w:color w:val="272527"/>
        </w:rPr>
        <w:t>La diferenciación de los trabajadores conforme a las tareas que</w:t>
      </w:r>
      <w:r>
        <w:rPr>
          <w:color w:val="272527"/>
          <w:spacing w:val="-15"/>
        </w:rPr>
        <w:t> </w:t>
      </w:r>
      <w:r>
        <w:rPr>
          <w:color w:val="272527"/>
        </w:rPr>
        <w:t>reali- zan, es decir las ocupaciones, también presenta una relación con el</w:t>
      </w:r>
      <w:r>
        <w:rPr>
          <w:color w:val="272527"/>
          <w:spacing w:val="-24"/>
        </w:rPr>
        <w:t> </w:t>
      </w:r>
      <w:r>
        <w:rPr>
          <w:color w:val="272527"/>
        </w:rPr>
        <w:t>acce- so a seguridad social, a favor de los más calificados. Sin embargo, dicha relación</w:t>
      </w:r>
      <w:r>
        <w:rPr>
          <w:color w:val="272527"/>
          <w:spacing w:val="-4"/>
        </w:rPr>
        <w:t> </w:t>
      </w:r>
      <w:r>
        <w:rPr>
          <w:color w:val="272527"/>
        </w:rPr>
        <w:t>presenta</w:t>
      </w:r>
      <w:r>
        <w:rPr>
          <w:color w:val="272527"/>
          <w:spacing w:val="-4"/>
        </w:rPr>
        <w:t> </w:t>
      </w:r>
      <w:r>
        <w:rPr>
          <w:color w:val="272527"/>
        </w:rPr>
        <w:t>variaciones</w:t>
      </w:r>
      <w:r>
        <w:rPr>
          <w:color w:val="272527"/>
          <w:spacing w:val="-4"/>
        </w:rPr>
        <w:t> </w:t>
      </w:r>
      <w:r>
        <w:rPr>
          <w:color w:val="272527"/>
        </w:rPr>
        <w:t>en</w:t>
      </w:r>
      <w:r>
        <w:rPr>
          <w:color w:val="272527"/>
          <w:spacing w:val="-4"/>
        </w:rPr>
        <w:t> </w:t>
      </w:r>
      <w:r>
        <w:rPr>
          <w:color w:val="272527"/>
        </w:rPr>
        <w:t>el</w:t>
      </w:r>
      <w:r>
        <w:rPr>
          <w:color w:val="272527"/>
          <w:spacing w:val="-4"/>
        </w:rPr>
        <w:t> </w:t>
      </w:r>
      <w:r>
        <w:rPr>
          <w:color w:val="272527"/>
        </w:rPr>
        <w:t>patrón</w:t>
      </w:r>
      <w:r>
        <w:rPr>
          <w:color w:val="272527"/>
          <w:spacing w:val="-4"/>
        </w:rPr>
        <w:t> </w:t>
      </w:r>
      <w:r>
        <w:rPr>
          <w:color w:val="272527"/>
        </w:rPr>
        <w:t>entre</w:t>
      </w:r>
      <w:r>
        <w:rPr>
          <w:color w:val="272527"/>
          <w:spacing w:val="-4"/>
        </w:rPr>
        <w:t> </w:t>
      </w:r>
      <w:r>
        <w:rPr>
          <w:color w:val="272527"/>
        </w:rPr>
        <w:t>categorías</w:t>
      </w:r>
      <w:r>
        <w:rPr>
          <w:color w:val="272527"/>
          <w:spacing w:val="-5"/>
        </w:rPr>
        <w:t> </w:t>
      </w:r>
      <w:r>
        <w:rPr>
          <w:color w:val="272527"/>
        </w:rPr>
        <w:t>con</w:t>
      </w:r>
      <w:r>
        <w:rPr>
          <w:color w:val="272527"/>
          <w:spacing w:val="-4"/>
        </w:rPr>
        <w:t> </w:t>
      </w:r>
      <w:r>
        <w:rPr>
          <w:color w:val="272527"/>
        </w:rPr>
        <w:t>respecto</w:t>
      </w:r>
      <w:r>
        <w:rPr>
          <w:color w:val="272527"/>
          <w:spacing w:val="-4"/>
        </w:rPr>
        <w:t> </w:t>
      </w:r>
      <w:r>
        <w:rPr>
          <w:color w:val="272527"/>
        </w:rPr>
        <w:t>a las</w:t>
      </w:r>
      <w:r>
        <w:rPr>
          <w:color w:val="272527"/>
          <w:spacing w:val="-12"/>
        </w:rPr>
        <w:t> </w:t>
      </w:r>
      <w:r>
        <w:rPr>
          <w:color w:val="272527"/>
        </w:rPr>
        <w:t>que</w:t>
      </w:r>
      <w:r>
        <w:rPr>
          <w:color w:val="272527"/>
          <w:spacing w:val="-11"/>
        </w:rPr>
        <w:t> </w:t>
      </w:r>
      <w:r>
        <w:rPr>
          <w:color w:val="272527"/>
        </w:rPr>
        <w:t>habíamos</w:t>
      </w:r>
      <w:r>
        <w:rPr>
          <w:color w:val="272527"/>
          <w:spacing w:val="-11"/>
        </w:rPr>
        <w:t> </w:t>
      </w:r>
      <w:r>
        <w:rPr>
          <w:color w:val="272527"/>
        </w:rPr>
        <w:t>visto</w:t>
      </w:r>
      <w:r>
        <w:rPr>
          <w:color w:val="272527"/>
          <w:spacing w:val="-11"/>
        </w:rPr>
        <w:t> </w:t>
      </w:r>
      <w:r>
        <w:rPr>
          <w:color w:val="272527"/>
        </w:rPr>
        <w:t>en</w:t>
      </w:r>
      <w:r>
        <w:rPr>
          <w:color w:val="272527"/>
          <w:spacing w:val="-12"/>
        </w:rPr>
        <w:t> </w:t>
      </w:r>
      <w:r>
        <w:rPr>
          <w:color w:val="272527"/>
        </w:rPr>
        <w:t>los</w:t>
      </w:r>
      <w:r>
        <w:rPr>
          <w:color w:val="272527"/>
          <w:spacing w:val="-12"/>
        </w:rPr>
        <w:t> </w:t>
      </w:r>
      <w:r>
        <w:rPr>
          <w:color w:val="272527"/>
        </w:rPr>
        <w:t>ingresos,</w:t>
      </w:r>
      <w:r>
        <w:rPr>
          <w:color w:val="272527"/>
          <w:spacing w:val="-12"/>
        </w:rPr>
        <w:t> </w:t>
      </w:r>
      <w:r>
        <w:rPr>
          <w:color w:val="272527"/>
        </w:rPr>
        <w:t>pues</w:t>
      </w:r>
      <w:r>
        <w:rPr>
          <w:color w:val="272527"/>
          <w:spacing w:val="-11"/>
        </w:rPr>
        <w:t> </w:t>
      </w:r>
      <w:r>
        <w:rPr>
          <w:color w:val="272527"/>
        </w:rPr>
        <w:t>las</w:t>
      </w:r>
      <w:r>
        <w:rPr>
          <w:color w:val="272527"/>
          <w:spacing w:val="-12"/>
        </w:rPr>
        <w:t> </w:t>
      </w:r>
      <w:r>
        <w:rPr>
          <w:color w:val="272527"/>
        </w:rPr>
        <w:t>ocupaciones</w:t>
      </w:r>
      <w:r>
        <w:rPr>
          <w:color w:val="272527"/>
          <w:spacing w:val="-11"/>
        </w:rPr>
        <w:t> </w:t>
      </w:r>
      <w:r>
        <w:rPr>
          <w:color w:val="272527"/>
        </w:rPr>
        <w:t>relacionadas con las ventas y los servicios presentan las probabilidades más bajas de acceder a la seguridad social. Asimismo, como hemos visto arriba, la pertenencia a micronegocios reduce de manera significativa el acceso a esta importante</w:t>
      </w:r>
      <w:r>
        <w:rPr>
          <w:color w:val="272527"/>
          <w:spacing w:val="-2"/>
        </w:rPr>
        <w:t> </w:t>
      </w:r>
      <w:r>
        <w:rPr>
          <w:color w:val="272527"/>
        </w:rPr>
        <w:t>prestación.</w:t>
      </w:r>
    </w:p>
    <w:p>
      <w:pPr>
        <w:spacing w:after="0" w:line="249" w:lineRule="auto"/>
        <w:jc w:val="both"/>
        <w:sectPr>
          <w:pgSz w:w="7770" w:h="11740"/>
          <w:pgMar w:header="0" w:footer="474" w:top="860" w:bottom="660" w:left="1020" w:right="740"/>
        </w:sectPr>
      </w:pPr>
    </w:p>
    <w:p>
      <w:pPr>
        <w:pStyle w:val="BodyText"/>
        <w:spacing w:line="249" w:lineRule="auto" w:before="60"/>
        <w:ind w:left="110" w:right="111" w:firstLine="283"/>
        <w:jc w:val="both"/>
      </w:pPr>
      <w:r>
        <w:rPr>
          <w:color w:val="231F20"/>
        </w:rPr>
        <w:t>Finalmente, al igual que en los ingresos, se introdujo una variable que agrupa a las ramas de actividad relacionadas con el petróleo, por su particular importancia en el país. En este caso, la relación es positiva y sustancial: </w:t>
      </w:r>
      <w:r>
        <w:rPr>
          <w:i/>
          <w:color w:val="231F20"/>
        </w:rPr>
        <w:t>ceteris paribus</w:t>
      </w:r>
      <w:r>
        <w:rPr>
          <w:color w:val="231F20"/>
        </w:rPr>
        <w:t>, los individuos que pertenecen a este sector presentan mucha mayor probabilidad de protección social. Cuando se trabaja en las ramas petroleras, se multiplican por </w:t>
      </w:r>
      <w:r>
        <w:rPr>
          <w:color w:val="231F20"/>
          <w:spacing w:val="-4"/>
        </w:rPr>
        <w:t>11 </w:t>
      </w:r>
      <w:r>
        <w:rPr>
          <w:color w:val="231F20"/>
        </w:rPr>
        <w:t>veces los momios de</w:t>
      </w:r>
      <w:r>
        <w:rPr>
          <w:color w:val="231F20"/>
          <w:spacing w:val="-6"/>
        </w:rPr>
        <w:t> </w:t>
      </w:r>
      <w:r>
        <w:rPr>
          <w:color w:val="231F20"/>
        </w:rPr>
        <w:t>probabilidad</w:t>
      </w:r>
      <w:r>
        <w:rPr>
          <w:color w:val="231F20"/>
          <w:spacing w:val="-6"/>
        </w:rPr>
        <w:t> </w:t>
      </w:r>
      <w:r>
        <w:rPr>
          <w:color w:val="231F20"/>
        </w:rPr>
        <w:t>de</w:t>
      </w:r>
      <w:r>
        <w:rPr>
          <w:color w:val="231F20"/>
          <w:spacing w:val="-6"/>
        </w:rPr>
        <w:t> </w:t>
      </w:r>
      <w:r>
        <w:rPr>
          <w:color w:val="231F20"/>
        </w:rPr>
        <w:t>acceso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seguridad</w:t>
      </w:r>
      <w:r>
        <w:rPr>
          <w:color w:val="231F20"/>
          <w:spacing w:val="-6"/>
        </w:rPr>
        <w:t> </w:t>
      </w:r>
      <w:r>
        <w:rPr>
          <w:color w:val="231F20"/>
        </w:rPr>
        <w:t>social,</w:t>
      </w:r>
      <w:r>
        <w:rPr>
          <w:color w:val="231F20"/>
          <w:spacing w:val="-6"/>
        </w:rPr>
        <w:t> </w:t>
      </w:r>
      <w:r>
        <w:rPr>
          <w:color w:val="231F20"/>
        </w:rPr>
        <w:t>con</w:t>
      </w:r>
      <w:r>
        <w:rPr>
          <w:color w:val="231F20"/>
          <w:spacing w:val="-6"/>
        </w:rPr>
        <w:t> </w:t>
      </w:r>
      <w:r>
        <w:rPr>
          <w:color w:val="231F20"/>
        </w:rPr>
        <w:t>respecto</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demás ramas de actividad (cuadros</w:t>
      </w:r>
      <w:r>
        <w:rPr>
          <w:color w:val="231F20"/>
          <w:spacing w:val="-38"/>
        </w:rPr>
        <w:t> </w:t>
      </w:r>
      <w:r>
        <w:rPr>
          <w:color w:val="231F20"/>
        </w:rPr>
        <w:t>A.3 del anexo).</w:t>
      </w:r>
    </w:p>
    <w:p>
      <w:pPr>
        <w:pStyle w:val="Heading4"/>
        <w:ind w:left="110"/>
      </w:pPr>
      <w:r>
        <w:rPr>
          <w:color w:val="231F20"/>
          <w:w w:val="75"/>
        </w:rPr>
        <w:t>Discusión y algunas </w:t>
      </w:r>
      <w:r>
        <w:rPr>
          <w:w w:val="75"/>
        </w:rPr>
        <w:t>consideraciones finales</w:t>
      </w:r>
    </w:p>
    <w:p>
      <w:pPr>
        <w:pStyle w:val="BodyText"/>
        <w:spacing w:line="249" w:lineRule="auto" w:before="171"/>
        <w:ind w:left="110" w:right="111"/>
        <w:jc w:val="both"/>
      </w:pPr>
      <w:r>
        <w:rPr>
          <w:color w:val="231F20"/>
        </w:rPr>
        <w:t>En este trabajo hemos intentado avanzar en el estudio de la relación en- tre apertura comercial y condiciones laborales desde una perspectiva sociodemográfica.</w:t>
      </w:r>
      <w:r>
        <w:rPr>
          <w:color w:val="231F20"/>
          <w:spacing w:val="-8"/>
        </w:rPr>
        <w:t> </w:t>
      </w:r>
      <w:r>
        <w:rPr>
          <w:color w:val="231F20"/>
        </w:rPr>
        <w:t>Una</w:t>
      </w:r>
      <w:r>
        <w:rPr>
          <w:color w:val="231F20"/>
          <w:spacing w:val="-8"/>
        </w:rPr>
        <w:t> </w:t>
      </w:r>
      <w:r>
        <w:rPr>
          <w:color w:val="231F20"/>
        </w:rPr>
        <w:t>estrategia</w:t>
      </w:r>
      <w:r>
        <w:rPr>
          <w:color w:val="231F20"/>
          <w:spacing w:val="-8"/>
        </w:rPr>
        <w:t> </w:t>
      </w:r>
      <w:r>
        <w:rPr>
          <w:color w:val="231F20"/>
        </w:rPr>
        <w:t>importante</w:t>
      </w:r>
      <w:r>
        <w:rPr>
          <w:color w:val="231F20"/>
          <w:spacing w:val="-8"/>
        </w:rPr>
        <w:t> </w:t>
      </w:r>
      <w:r>
        <w:rPr>
          <w:color w:val="231F20"/>
        </w:rPr>
        <w:t>que</w:t>
      </w:r>
      <w:r>
        <w:rPr>
          <w:color w:val="231F20"/>
          <w:spacing w:val="-8"/>
        </w:rPr>
        <w:t> </w:t>
      </w:r>
      <w:r>
        <w:rPr>
          <w:color w:val="231F20"/>
        </w:rPr>
        <w:t>utilizamos</w:t>
      </w:r>
      <w:r>
        <w:rPr>
          <w:color w:val="231F20"/>
          <w:spacing w:val="-8"/>
        </w:rPr>
        <w:t> </w:t>
      </w:r>
      <w:r>
        <w:rPr>
          <w:color w:val="231F20"/>
        </w:rPr>
        <w:t>para</w:t>
      </w:r>
      <w:r>
        <w:rPr>
          <w:color w:val="231F20"/>
          <w:spacing w:val="-8"/>
        </w:rPr>
        <w:t> </w:t>
      </w:r>
      <w:r>
        <w:rPr>
          <w:color w:val="231F20"/>
        </w:rPr>
        <w:t>tal</w:t>
      </w:r>
      <w:r>
        <w:rPr>
          <w:color w:val="231F20"/>
          <w:spacing w:val="-8"/>
        </w:rPr>
        <w:t> </w:t>
      </w:r>
      <w:r>
        <w:rPr>
          <w:color w:val="231F20"/>
        </w:rPr>
        <w:t>pro- pósito fue la homologación de las estadísticas económicas de comercio exterior con las de ocupación y empleo. Hasta donde sabemos, se trata de un camino que no había sido explorado para los casos mexicano (y centroamericano). Los resultados obtenidos son sugerentes y muestran, desde</w:t>
      </w:r>
      <w:r>
        <w:rPr>
          <w:color w:val="231F20"/>
          <w:spacing w:val="-4"/>
        </w:rPr>
        <w:t> </w:t>
      </w:r>
      <w:r>
        <w:rPr>
          <w:color w:val="231F20"/>
        </w:rPr>
        <w:t>nuestra</w:t>
      </w:r>
      <w:r>
        <w:rPr>
          <w:color w:val="231F20"/>
          <w:spacing w:val="-4"/>
        </w:rPr>
        <w:t> </w:t>
      </w:r>
      <w:r>
        <w:rPr>
          <w:color w:val="231F20"/>
        </w:rPr>
        <w:t>óptica,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trata</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veta</w:t>
      </w:r>
      <w:r>
        <w:rPr>
          <w:color w:val="231F20"/>
          <w:spacing w:val="-4"/>
        </w:rPr>
        <w:t> </w:t>
      </w:r>
      <w:r>
        <w:rPr>
          <w:color w:val="231F20"/>
        </w:rPr>
        <w:t>de</w:t>
      </w:r>
      <w:r>
        <w:rPr>
          <w:color w:val="231F20"/>
          <w:spacing w:val="-4"/>
        </w:rPr>
        <w:t> </w:t>
      </w:r>
      <w:r>
        <w:rPr>
          <w:color w:val="231F20"/>
        </w:rPr>
        <w:t>investigación</w:t>
      </w:r>
      <w:r>
        <w:rPr>
          <w:color w:val="231F20"/>
          <w:spacing w:val="-5"/>
        </w:rPr>
        <w:t> </w:t>
      </w:r>
      <w:r>
        <w:rPr>
          <w:color w:val="231F20"/>
        </w:rPr>
        <w:t>que</w:t>
      </w:r>
      <w:r>
        <w:rPr>
          <w:color w:val="231F20"/>
          <w:spacing w:val="-4"/>
        </w:rPr>
        <w:t> </w:t>
      </w:r>
      <w:r>
        <w:rPr>
          <w:color w:val="231F20"/>
        </w:rPr>
        <w:t>puede ser mayormente explotada en el</w:t>
      </w:r>
      <w:r>
        <w:rPr>
          <w:color w:val="231F20"/>
          <w:spacing w:val="-5"/>
        </w:rPr>
        <w:t> </w:t>
      </w:r>
      <w:r>
        <w:rPr>
          <w:color w:val="231F20"/>
        </w:rPr>
        <w:t>futuro.</w:t>
      </w:r>
    </w:p>
    <w:p>
      <w:pPr>
        <w:pStyle w:val="BodyText"/>
        <w:spacing w:line="249" w:lineRule="auto" w:before="1"/>
        <w:ind w:left="110" w:right="110" w:firstLine="283"/>
        <w:jc w:val="both"/>
      </w:pPr>
      <w:r>
        <w:rPr>
          <w:color w:val="231F20"/>
        </w:rPr>
        <w:t>En primer lugar habría que tomar en cuenta que los resultados en- contrados ratifican los de investigaciones previas sobre los ingresos per- cibidos en los sectores que hemos agrupado como no transables (princi- palmente la industria de la construcción), frente a la industria extractiva, manufacturera y la agricultura, sectores más abiertos al comercio exte- rior en el caso mexicano (hay que recordar aquí que este estudio no in- cluyó al comercio y los servicios). En un trabajo realizado por García (2013), sobre precariedad y desempleo en México hacia fines de la pri- mera década del siglo XXI, dicha autora estimó ingresos por hora para los sectores y ramas de actividad definidos de manera tradicional en las encuestas</w:t>
      </w:r>
      <w:r>
        <w:rPr>
          <w:color w:val="231F20"/>
          <w:spacing w:val="-6"/>
        </w:rPr>
        <w:t> </w:t>
      </w:r>
      <w:r>
        <w:rPr>
          <w:color w:val="231F20"/>
        </w:rPr>
        <w:t>de</w:t>
      </w:r>
      <w:r>
        <w:rPr>
          <w:color w:val="231F20"/>
          <w:spacing w:val="-6"/>
        </w:rPr>
        <w:t> </w:t>
      </w:r>
      <w:r>
        <w:rPr>
          <w:color w:val="231F20"/>
        </w:rPr>
        <w:t>ocupación</w:t>
      </w:r>
      <w:r>
        <w:rPr>
          <w:color w:val="231F20"/>
          <w:spacing w:val="-6"/>
        </w:rPr>
        <w:t> </w:t>
      </w:r>
      <w:r>
        <w:rPr>
          <w:color w:val="231F20"/>
        </w:rPr>
        <w:t>y</w:t>
      </w:r>
      <w:r>
        <w:rPr>
          <w:color w:val="231F20"/>
          <w:spacing w:val="-6"/>
        </w:rPr>
        <w:t> </w:t>
      </w:r>
      <w:r>
        <w:rPr>
          <w:color w:val="231F20"/>
        </w:rPr>
        <w:t>empleo,</w:t>
      </w:r>
      <w:r>
        <w:rPr>
          <w:color w:val="231F20"/>
          <w:spacing w:val="-6"/>
        </w:rPr>
        <w:t> </w:t>
      </w:r>
      <w:r>
        <w:rPr>
          <w:color w:val="231F20"/>
        </w:rPr>
        <w:t>y</w:t>
      </w:r>
      <w:r>
        <w:rPr>
          <w:color w:val="231F20"/>
          <w:spacing w:val="-6"/>
        </w:rPr>
        <w:t> </w:t>
      </w:r>
      <w:r>
        <w:rPr>
          <w:color w:val="231F20"/>
        </w:rPr>
        <w:t>tomando</w:t>
      </w:r>
      <w:r>
        <w:rPr>
          <w:color w:val="231F20"/>
          <w:spacing w:val="-6"/>
        </w:rPr>
        <w:t> </w:t>
      </w:r>
      <w:r>
        <w:rPr>
          <w:color w:val="231F20"/>
        </w:rPr>
        <w:t>en</w:t>
      </w:r>
      <w:r>
        <w:rPr>
          <w:color w:val="231F20"/>
          <w:spacing w:val="-6"/>
        </w:rPr>
        <w:t> </w:t>
      </w:r>
      <w:r>
        <w:rPr>
          <w:color w:val="231F20"/>
        </w:rPr>
        <w:t>cuenta</w:t>
      </w:r>
      <w:r>
        <w:rPr>
          <w:color w:val="231F20"/>
          <w:spacing w:val="-6"/>
        </w:rPr>
        <w:t> </w:t>
      </w:r>
      <w:r>
        <w:rPr>
          <w:color w:val="231F20"/>
        </w:rPr>
        <w:t>una</w:t>
      </w:r>
      <w:r>
        <w:rPr>
          <w:color w:val="231F20"/>
          <w:spacing w:val="-6"/>
        </w:rPr>
        <w:t> </w:t>
      </w:r>
      <w:r>
        <w:rPr>
          <w:color w:val="231F20"/>
        </w:rPr>
        <w:t>serie</w:t>
      </w:r>
      <w:r>
        <w:rPr>
          <w:color w:val="231F20"/>
          <w:spacing w:val="-6"/>
        </w:rPr>
        <w:t> </w:t>
      </w:r>
      <w:r>
        <w:rPr>
          <w:color w:val="231F20"/>
        </w:rPr>
        <w:t>de</w:t>
      </w:r>
      <w:r>
        <w:rPr>
          <w:color w:val="231F20"/>
          <w:spacing w:val="-6"/>
        </w:rPr>
        <w:t> </w:t>
      </w:r>
      <w:r>
        <w:rPr>
          <w:color w:val="231F20"/>
        </w:rPr>
        <w:t>con- troles sociodemográficos de forma similar a lo llevado a cabo en este trabajo.</w:t>
      </w:r>
      <w:r>
        <w:rPr>
          <w:color w:val="231F20"/>
          <w:spacing w:val="-4"/>
        </w:rPr>
        <w:t> </w:t>
      </w:r>
      <w:r>
        <w:rPr>
          <w:color w:val="231F20"/>
        </w:rPr>
        <w:t>Encontró</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trabajadores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construcción</w:t>
      </w:r>
      <w:r>
        <w:rPr>
          <w:color w:val="231F20"/>
          <w:spacing w:val="-5"/>
        </w:rPr>
        <w:t> </w:t>
      </w:r>
      <w:r>
        <w:rPr>
          <w:color w:val="231F20"/>
        </w:rPr>
        <w:t>(así</w:t>
      </w:r>
      <w:r>
        <w:rPr>
          <w:color w:val="231F20"/>
          <w:spacing w:val="-4"/>
        </w:rPr>
        <w:t> </w:t>
      </w:r>
      <w:r>
        <w:rPr>
          <w:color w:val="231F20"/>
        </w:rPr>
        <w:t>como</w:t>
      </w:r>
      <w:r>
        <w:rPr>
          <w:color w:val="231F20"/>
          <w:spacing w:val="-4"/>
        </w:rPr>
        <w:t> </w:t>
      </w:r>
      <w:r>
        <w:rPr>
          <w:color w:val="231F20"/>
        </w:rPr>
        <w:t>en</w:t>
      </w:r>
      <w:r>
        <w:rPr>
          <w:color w:val="231F20"/>
          <w:spacing w:val="-4"/>
        </w:rPr>
        <w:t> </w:t>
      </w:r>
      <w:r>
        <w:rPr>
          <w:color w:val="231F20"/>
        </w:rPr>
        <w:t>la industria extractiva, en los servicios profesionales, sociales y diversos,  y en el gobierno) se caracterizaban por presentar mayores niveles de in- greso que en la industria de transformación tomada en su conjunto (sin considerar criterios de apertura comercial). En cambio, los trabajadores de la agricultura (y el comercio) presentaban niveles menores de</w:t>
      </w:r>
      <w:r>
        <w:rPr>
          <w:color w:val="231F20"/>
          <w:spacing w:val="-20"/>
        </w:rPr>
        <w:t> </w:t>
      </w:r>
      <w:r>
        <w:rPr>
          <w:color w:val="231F20"/>
        </w:rPr>
        <w:t>ingreso que los de la</w:t>
      </w:r>
      <w:r>
        <w:rPr>
          <w:color w:val="231F20"/>
          <w:spacing w:val="-1"/>
        </w:rPr>
        <w:t> </w:t>
      </w:r>
      <w:r>
        <w:rPr>
          <w:color w:val="231F20"/>
        </w:rPr>
        <w:t>industria.</w:t>
      </w:r>
    </w:p>
    <w:p>
      <w:pPr>
        <w:pStyle w:val="BodyText"/>
        <w:spacing w:line="249" w:lineRule="auto" w:before="1"/>
        <w:ind w:left="110" w:right="111" w:firstLine="283"/>
        <w:jc w:val="both"/>
      </w:pPr>
      <w:r>
        <w:rPr>
          <w:color w:val="231F20"/>
        </w:rPr>
        <w:t>Consideramos que este resultado sobre los ingresos relativamente mejores</w:t>
      </w:r>
      <w:r>
        <w:rPr>
          <w:color w:val="231F20"/>
          <w:spacing w:val="-6"/>
        </w:rPr>
        <w:t> </w:t>
      </w:r>
      <w:r>
        <w:rPr>
          <w:color w:val="231F20"/>
        </w:rPr>
        <w:t>que</w:t>
      </w:r>
      <w:r>
        <w:rPr>
          <w:color w:val="231F20"/>
          <w:spacing w:val="-5"/>
        </w:rPr>
        <w:t> </w:t>
      </w:r>
      <w:r>
        <w:rPr>
          <w:color w:val="231F20"/>
        </w:rPr>
        <w:t>se</w:t>
      </w:r>
      <w:r>
        <w:rPr>
          <w:color w:val="231F20"/>
          <w:spacing w:val="-5"/>
        </w:rPr>
        <w:t> </w:t>
      </w:r>
      <w:r>
        <w:rPr>
          <w:color w:val="231F20"/>
        </w:rPr>
        <w:t>obtienen</w:t>
      </w:r>
      <w:r>
        <w:rPr>
          <w:color w:val="231F20"/>
          <w:spacing w:val="-5"/>
        </w:rPr>
        <w:t> </w:t>
      </w:r>
      <w:r>
        <w:rPr>
          <w:color w:val="231F20"/>
        </w:rPr>
        <w:t>en</w:t>
      </w:r>
      <w:r>
        <w:rPr>
          <w:color w:val="231F20"/>
          <w:spacing w:val="-6"/>
        </w:rPr>
        <w:t> </w:t>
      </w:r>
      <w:r>
        <w:rPr>
          <w:color w:val="231F20"/>
        </w:rPr>
        <w:t>la</w:t>
      </w:r>
      <w:r>
        <w:rPr>
          <w:color w:val="231F20"/>
          <w:spacing w:val="-5"/>
        </w:rPr>
        <w:t> </w:t>
      </w:r>
      <w:r>
        <w:rPr>
          <w:color w:val="231F20"/>
        </w:rPr>
        <w:t>construcción</w:t>
      </w:r>
      <w:r>
        <w:rPr>
          <w:color w:val="231F20"/>
          <w:spacing w:val="-6"/>
        </w:rPr>
        <w:t> </w:t>
      </w:r>
      <w:r>
        <w:rPr>
          <w:color w:val="231F20"/>
        </w:rPr>
        <w:t>frente</w:t>
      </w:r>
      <w:r>
        <w:rPr>
          <w:color w:val="231F20"/>
          <w:spacing w:val="-5"/>
        </w:rPr>
        <w:t> </w:t>
      </w:r>
      <w:r>
        <w:rPr>
          <w:color w:val="231F20"/>
        </w:rPr>
        <w:t>a</w:t>
      </w:r>
      <w:r>
        <w:rPr>
          <w:color w:val="231F20"/>
          <w:spacing w:val="-5"/>
        </w:rPr>
        <w:t> </w:t>
      </w:r>
      <w:r>
        <w:rPr>
          <w:color w:val="231F20"/>
        </w:rPr>
        <w:t>otros</w:t>
      </w:r>
      <w:r>
        <w:rPr>
          <w:color w:val="231F20"/>
          <w:spacing w:val="-5"/>
        </w:rPr>
        <w:t> </w:t>
      </w:r>
      <w:r>
        <w:rPr>
          <w:color w:val="231F20"/>
        </w:rPr>
        <w:t>sectores</w:t>
      </w:r>
      <w:r>
        <w:rPr>
          <w:color w:val="231F20"/>
          <w:spacing w:val="-5"/>
        </w:rPr>
        <w:t> </w:t>
      </w:r>
      <w:r>
        <w:rPr>
          <w:color w:val="231F20"/>
        </w:rPr>
        <w:t>econó-</w:t>
      </w:r>
    </w:p>
    <w:p>
      <w:pPr>
        <w:spacing w:after="0" w:line="249" w:lineRule="auto"/>
        <w:jc w:val="both"/>
        <w:sectPr>
          <w:footerReference w:type="default" r:id="rId144"/>
          <w:pgSz w:w="7770" w:h="11740"/>
          <w:pgMar w:footer="474" w:header="0" w:top="840" w:bottom="660" w:left="740" w:right="1020"/>
          <w:pgNumType w:start="110"/>
        </w:sectPr>
      </w:pPr>
    </w:p>
    <w:p>
      <w:pPr>
        <w:pStyle w:val="BodyText"/>
        <w:spacing w:line="249" w:lineRule="auto" w:before="60"/>
        <w:ind w:left="113" w:right="107"/>
        <w:jc w:val="both"/>
      </w:pPr>
      <w:r>
        <w:rPr>
          <w:color w:val="231F20"/>
        </w:rPr>
        <w:t>micos,</w:t>
      </w:r>
      <w:r>
        <w:rPr>
          <w:color w:val="231F20"/>
          <w:spacing w:val="-4"/>
        </w:rPr>
        <w:t> </w:t>
      </w:r>
      <w:r>
        <w:rPr>
          <w:color w:val="231F20"/>
        </w:rPr>
        <w:t>no</w:t>
      </w:r>
      <w:r>
        <w:rPr>
          <w:color w:val="231F20"/>
          <w:spacing w:val="-4"/>
        </w:rPr>
        <w:t> </w:t>
      </w:r>
      <w:r>
        <w:rPr>
          <w:color w:val="231F20"/>
        </w:rPr>
        <w:t>ha</w:t>
      </w:r>
      <w:r>
        <w:rPr>
          <w:color w:val="231F20"/>
          <w:spacing w:val="-4"/>
        </w:rPr>
        <w:t> </w:t>
      </w:r>
      <w:r>
        <w:rPr>
          <w:color w:val="231F20"/>
        </w:rPr>
        <w:t>sido</w:t>
      </w:r>
      <w:r>
        <w:rPr>
          <w:color w:val="231F20"/>
          <w:spacing w:val="-4"/>
        </w:rPr>
        <w:t> </w:t>
      </w:r>
      <w:r>
        <w:rPr>
          <w:color w:val="231F20"/>
        </w:rPr>
        <w:t>muy</w:t>
      </w:r>
      <w:r>
        <w:rPr>
          <w:color w:val="231F20"/>
          <w:spacing w:val="-4"/>
        </w:rPr>
        <w:t> </w:t>
      </w:r>
      <w:r>
        <w:rPr>
          <w:color w:val="231F20"/>
        </w:rPr>
        <w:t>destacado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mexicano,</w:t>
      </w:r>
      <w:r>
        <w:rPr>
          <w:color w:val="231F20"/>
          <w:spacing w:val="-4"/>
        </w:rPr>
        <w:t> </w:t>
      </w:r>
      <w:r>
        <w:rPr>
          <w:color w:val="231F20"/>
        </w:rPr>
        <w:t>tal</w:t>
      </w:r>
      <w:r>
        <w:rPr>
          <w:color w:val="231F20"/>
          <w:spacing w:val="-4"/>
        </w:rPr>
        <w:t> </w:t>
      </w:r>
      <w:r>
        <w:rPr>
          <w:color w:val="231F20"/>
        </w:rPr>
        <w:t>vez</w:t>
      </w:r>
      <w:r>
        <w:rPr>
          <w:color w:val="231F20"/>
          <w:spacing w:val="-4"/>
        </w:rPr>
        <w:t> </w:t>
      </w:r>
      <w:r>
        <w:rPr>
          <w:color w:val="231F20"/>
        </w:rPr>
        <w:t>porque</w:t>
      </w:r>
      <w:r>
        <w:rPr>
          <w:color w:val="231F20"/>
          <w:spacing w:val="-4"/>
        </w:rPr>
        <w:t> </w:t>
      </w:r>
      <w:r>
        <w:rPr>
          <w:color w:val="231F20"/>
        </w:rPr>
        <w:t>las diferencias son pequeñas en un contexto generalizado de bajos ingresos. No obstante, queremos enfatizar que debería recibir más atención, sobre todo cuando se discuten las bondades de políticas alternativas para la generación de mejores</w:t>
      </w:r>
      <w:r>
        <w:rPr>
          <w:color w:val="231F20"/>
          <w:spacing w:val="-1"/>
        </w:rPr>
        <w:t> </w:t>
      </w:r>
      <w:r>
        <w:rPr>
          <w:color w:val="231F20"/>
        </w:rPr>
        <w:t>empleos.</w:t>
      </w:r>
    </w:p>
    <w:p>
      <w:pPr>
        <w:pStyle w:val="BodyText"/>
        <w:spacing w:line="249" w:lineRule="auto" w:before="1"/>
        <w:ind w:left="113" w:right="107" w:firstLine="283"/>
        <w:jc w:val="both"/>
      </w:pPr>
      <w:r>
        <w:rPr>
          <w:color w:val="231F20"/>
        </w:rPr>
        <w:t>Ahora bien, con respecto a las condiciones laborales existentes en los sectores más abiertos al comercio exterior, conviene recalcar que no pretendimos</w:t>
      </w:r>
      <w:r>
        <w:rPr>
          <w:color w:val="231F20"/>
          <w:spacing w:val="-9"/>
        </w:rPr>
        <w:t> </w:t>
      </w:r>
      <w:r>
        <w:rPr>
          <w:color w:val="231F20"/>
        </w:rPr>
        <w:t>establecer</w:t>
      </w:r>
      <w:r>
        <w:rPr>
          <w:color w:val="231F20"/>
          <w:spacing w:val="-10"/>
        </w:rPr>
        <w:t> </w:t>
      </w:r>
      <w:r>
        <w:rPr>
          <w:color w:val="231F20"/>
        </w:rPr>
        <w:t>relaciones</w:t>
      </w:r>
      <w:r>
        <w:rPr>
          <w:color w:val="231F20"/>
          <w:spacing w:val="-9"/>
        </w:rPr>
        <w:t> </w:t>
      </w:r>
      <w:r>
        <w:rPr>
          <w:color w:val="231F20"/>
        </w:rPr>
        <w:t>de</w:t>
      </w:r>
      <w:r>
        <w:rPr>
          <w:color w:val="231F20"/>
          <w:spacing w:val="-9"/>
        </w:rPr>
        <w:t> </w:t>
      </w:r>
      <w:r>
        <w:rPr>
          <w:color w:val="231F20"/>
        </w:rPr>
        <w:t>causalidad,</w:t>
      </w:r>
      <w:r>
        <w:rPr>
          <w:color w:val="231F20"/>
          <w:spacing w:val="-10"/>
        </w:rPr>
        <w:t> </w:t>
      </w:r>
      <w:r>
        <w:rPr>
          <w:color w:val="231F20"/>
        </w:rPr>
        <w:t>dado</w:t>
      </w:r>
      <w:r>
        <w:rPr>
          <w:color w:val="231F20"/>
          <w:spacing w:val="-9"/>
        </w:rPr>
        <w:t> </w:t>
      </w:r>
      <w:r>
        <w:rPr>
          <w:color w:val="231F20"/>
        </w:rPr>
        <w:t>el</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agrega- ción de la información con la que hemos tenido que trabajar y la natura- leza misma de los datos. Más bien hemos buscado precisar la existencia o</w:t>
      </w:r>
      <w:r>
        <w:rPr>
          <w:color w:val="231F20"/>
          <w:spacing w:val="-9"/>
        </w:rPr>
        <w:t> </w:t>
      </w:r>
      <w:r>
        <w:rPr>
          <w:color w:val="231F20"/>
        </w:rPr>
        <w:t>no</w:t>
      </w:r>
      <w:r>
        <w:rPr>
          <w:color w:val="231F20"/>
          <w:spacing w:val="-9"/>
        </w:rPr>
        <w:t> </w:t>
      </w:r>
      <w:r>
        <w:rPr>
          <w:color w:val="231F20"/>
        </w:rPr>
        <w:t>de</w:t>
      </w:r>
      <w:r>
        <w:rPr>
          <w:color w:val="231F20"/>
          <w:spacing w:val="-9"/>
        </w:rPr>
        <w:t> </w:t>
      </w:r>
      <w:r>
        <w:rPr>
          <w:color w:val="231F20"/>
        </w:rPr>
        <w:t>esta</w:t>
      </w:r>
      <w:r>
        <w:rPr>
          <w:color w:val="231F20"/>
          <w:spacing w:val="-10"/>
        </w:rPr>
        <w:t> </w:t>
      </w:r>
      <w:r>
        <w:rPr>
          <w:color w:val="231F20"/>
        </w:rPr>
        <w:t>relación</w:t>
      </w:r>
      <w:r>
        <w:rPr>
          <w:color w:val="231F20"/>
          <w:spacing w:val="-10"/>
        </w:rPr>
        <w:t> </w:t>
      </w:r>
      <w:r>
        <w:rPr>
          <w:color w:val="231F20"/>
        </w:rPr>
        <w:t>(montos,</w:t>
      </w:r>
      <w:r>
        <w:rPr>
          <w:color w:val="231F20"/>
          <w:spacing w:val="-9"/>
        </w:rPr>
        <w:t> </w:t>
      </w:r>
      <w:r>
        <w:rPr>
          <w:color w:val="231F20"/>
        </w:rPr>
        <w:t>dirección,</w:t>
      </w:r>
      <w:r>
        <w:rPr>
          <w:color w:val="231F20"/>
          <w:spacing w:val="-9"/>
        </w:rPr>
        <w:t> </w:t>
      </w:r>
      <w:r>
        <w:rPr>
          <w:color w:val="231F20"/>
        </w:rPr>
        <w:t>algunos</w:t>
      </w:r>
      <w:r>
        <w:rPr>
          <w:color w:val="231F20"/>
          <w:spacing w:val="-10"/>
        </w:rPr>
        <w:t> </w:t>
      </w:r>
      <w:r>
        <w:rPr>
          <w:color w:val="231F20"/>
        </w:rPr>
        <w:t>factores</w:t>
      </w:r>
      <w:r>
        <w:rPr>
          <w:color w:val="231F20"/>
          <w:spacing w:val="-9"/>
        </w:rPr>
        <w:t> </w:t>
      </w:r>
      <w:r>
        <w:rPr>
          <w:color w:val="231F20"/>
        </w:rPr>
        <w:t>intervinientes), y establecer regularidades. Por una parte, hemos cuantificado la inten- sidad del vínculo comercial, la dirección de los flujos y el número de socios comerciales en los distintos casos, y por la otra nos hemos dete- nido en un análisis detallado de las condiciones laborales existentes en cada agrupación, teniendo en cuenta los perfiles sociodemográficos de los</w:t>
      </w:r>
      <w:r>
        <w:rPr>
          <w:color w:val="231F20"/>
          <w:spacing w:val="-1"/>
        </w:rPr>
        <w:t> </w:t>
      </w:r>
      <w:r>
        <w:rPr>
          <w:color w:val="231F20"/>
        </w:rPr>
        <w:t>trabajadores.</w:t>
      </w:r>
    </w:p>
    <w:p>
      <w:pPr>
        <w:pStyle w:val="BodyText"/>
        <w:spacing w:line="249" w:lineRule="auto" w:before="1"/>
        <w:ind w:left="113" w:right="107" w:firstLine="283"/>
        <w:jc w:val="both"/>
      </w:pPr>
      <w:r>
        <w:rPr>
          <w:color w:val="272527"/>
        </w:rPr>
        <w:t>¿Qué nos gustaría resaltar de los resultados encontrados para los distintos sectores más abiertos al comercio exterior? En lo que se refiere al</w:t>
      </w:r>
      <w:r>
        <w:rPr>
          <w:color w:val="272527"/>
          <w:spacing w:val="-11"/>
        </w:rPr>
        <w:t> </w:t>
      </w:r>
      <w:r>
        <w:rPr>
          <w:color w:val="272527"/>
        </w:rPr>
        <w:t>ingreso</w:t>
      </w:r>
      <w:r>
        <w:rPr>
          <w:color w:val="272527"/>
          <w:spacing w:val="-11"/>
        </w:rPr>
        <w:t> </w:t>
      </w:r>
      <w:r>
        <w:rPr>
          <w:color w:val="272527"/>
        </w:rPr>
        <w:t>percibido</w:t>
      </w:r>
      <w:r>
        <w:rPr>
          <w:color w:val="272527"/>
          <w:spacing w:val="-11"/>
        </w:rPr>
        <w:t> </w:t>
      </w:r>
      <w:r>
        <w:rPr>
          <w:color w:val="272527"/>
        </w:rPr>
        <w:t>por</w:t>
      </w:r>
      <w:r>
        <w:rPr>
          <w:color w:val="272527"/>
          <w:spacing w:val="-11"/>
        </w:rPr>
        <w:t> </w:t>
      </w:r>
      <w:r>
        <w:rPr>
          <w:color w:val="272527"/>
        </w:rPr>
        <w:t>hora</w:t>
      </w:r>
      <w:r>
        <w:rPr>
          <w:color w:val="272527"/>
          <w:spacing w:val="-11"/>
        </w:rPr>
        <w:t> </w:t>
      </w:r>
      <w:r>
        <w:rPr>
          <w:color w:val="272527"/>
        </w:rPr>
        <w:t>encontramos</w:t>
      </w:r>
      <w:r>
        <w:rPr>
          <w:color w:val="272527"/>
          <w:spacing w:val="-11"/>
        </w:rPr>
        <w:t> </w:t>
      </w:r>
      <w:r>
        <w:rPr>
          <w:color w:val="272527"/>
        </w:rPr>
        <w:t>que</w:t>
      </w:r>
      <w:r>
        <w:rPr>
          <w:color w:val="272527"/>
          <w:spacing w:val="-11"/>
        </w:rPr>
        <w:t> </w:t>
      </w:r>
      <w:r>
        <w:rPr>
          <w:color w:val="272527"/>
        </w:rPr>
        <w:t>las</w:t>
      </w:r>
      <w:r>
        <w:rPr>
          <w:color w:val="272527"/>
          <w:spacing w:val="-11"/>
        </w:rPr>
        <w:t> </w:t>
      </w:r>
      <w:r>
        <w:rPr>
          <w:color w:val="272527"/>
        </w:rPr>
        <w:t>variaciones</w:t>
      </w:r>
      <w:r>
        <w:rPr>
          <w:color w:val="272527"/>
          <w:spacing w:val="-11"/>
        </w:rPr>
        <w:t> </w:t>
      </w:r>
      <w:r>
        <w:rPr>
          <w:color w:val="272527"/>
        </w:rPr>
        <w:t>son</w:t>
      </w:r>
      <w:r>
        <w:rPr>
          <w:color w:val="272527"/>
          <w:spacing w:val="-11"/>
        </w:rPr>
        <w:t> </w:t>
      </w:r>
      <w:r>
        <w:rPr>
          <w:color w:val="272527"/>
        </w:rPr>
        <w:t>peque- ñas</w:t>
      </w:r>
      <w:r>
        <w:rPr>
          <w:color w:val="272527"/>
          <w:spacing w:val="-9"/>
        </w:rPr>
        <w:t> </w:t>
      </w:r>
      <w:r>
        <w:rPr>
          <w:color w:val="272527"/>
        </w:rPr>
        <w:t>dentro</w:t>
      </w:r>
      <w:r>
        <w:rPr>
          <w:color w:val="272527"/>
          <w:spacing w:val="-9"/>
        </w:rPr>
        <w:t> </w:t>
      </w:r>
      <w:r>
        <w:rPr>
          <w:color w:val="272527"/>
        </w:rPr>
        <w:t>de</w:t>
      </w:r>
      <w:r>
        <w:rPr>
          <w:color w:val="272527"/>
          <w:spacing w:val="-9"/>
        </w:rPr>
        <w:t> </w:t>
      </w:r>
      <w:r>
        <w:rPr>
          <w:color w:val="272527"/>
        </w:rPr>
        <w:t>los</w:t>
      </w:r>
      <w:r>
        <w:rPr>
          <w:color w:val="272527"/>
          <w:spacing w:val="-9"/>
        </w:rPr>
        <w:t> </w:t>
      </w:r>
      <w:r>
        <w:rPr>
          <w:color w:val="272527"/>
        </w:rPr>
        <w:t>transables,</w:t>
      </w:r>
      <w:r>
        <w:rPr>
          <w:color w:val="272527"/>
          <w:spacing w:val="-9"/>
        </w:rPr>
        <w:t> </w:t>
      </w:r>
      <w:r>
        <w:rPr>
          <w:color w:val="272527"/>
        </w:rPr>
        <w:t>pero</w:t>
      </w:r>
      <w:r>
        <w:rPr>
          <w:color w:val="272527"/>
          <w:spacing w:val="-9"/>
        </w:rPr>
        <w:t> </w:t>
      </w:r>
      <w:r>
        <w:rPr>
          <w:color w:val="272527"/>
        </w:rPr>
        <w:t>el</w:t>
      </w:r>
      <w:r>
        <w:rPr>
          <w:color w:val="272527"/>
          <w:spacing w:val="-9"/>
        </w:rPr>
        <w:t> </w:t>
      </w:r>
      <w:r>
        <w:rPr>
          <w:color w:val="272527"/>
        </w:rPr>
        <w:t>análisis</w:t>
      </w:r>
      <w:r>
        <w:rPr>
          <w:color w:val="272527"/>
          <w:spacing w:val="-9"/>
        </w:rPr>
        <w:t> </w:t>
      </w:r>
      <w:r>
        <w:rPr>
          <w:color w:val="272527"/>
        </w:rPr>
        <w:t>referido</w:t>
      </w:r>
      <w:r>
        <w:rPr>
          <w:color w:val="272527"/>
          <w:spacing w:val="-9"/>
        </w:rPr>
        <w:t> </w:t>
      </w:r>
      <w:r>
        <w:rPr>
          <w:color w:val="272527"/>
        </w:rPr>
        <w:t>a</w:t>
      </w:r>
      <w:r>
        <w:rPr>
          <w:color w:val="272527"/>
          <w:spacing w:val="-9"/>
        </w:rPr>
        <w:t> </w:t>
      </w:r>
      <w:r>
        <w:rPr>
          <w:color w:val="272527"/>
        </w:rPr>
        <w:t>la</w:t>
      </w:r>
      <w:r>
        <w:rPr>
          <w:color w:val="272527"/>
          <w:spacing w:val="-9"/>
        </w:rPr>
        <w:t> </w:t>
      </w:r>
      <w:r>
        <w:rPr>
          <w:color w:val="272527"/>
        </w:rPr>
        <w:t>seguridad</w:t>
      </w:r>
      <w:r>
        <w:rPr>
          <w:color w:val="272527"/>
          <w:spacing w:val="-8"/>
        </w:rPr>
        <w:t> </w:t>
      </w:r>
      <w:r>
        <w:rPr>
          <w:color w:val="272527"/>
        </w:rPr>
        <w:t>social mostró</w:t>
      </w:r>
      <w:r>
        <w:rPr>
          <w:color w:val="272527"/>
          <w:spacing w:val="-7"/>
        </w:rPr>
        <w:t> </w:t>
      </w:r>
      <w:r>
        <w:rPr>
          <w:color w:val="272527"/>
        </w:rPr>
        <w:t>que</w:t>
      </w:r>
      <w:r>
        <w:rPr>
          <w:color w:val="272527"/>
          <w:spacing w:val="-6"/>
        </w:rPr>
        <w:t> </w:t>
      </w:r>
      <w:r>
        <w:rPr>
          <w:color w:val="272527"/>
        </w:rPr>
        <w:t>en</w:t>
      </w:r>
      <w:r>
        <w:rPr>
          <w:color w:val="272527"/>
          <w:spacing w:val="-7"/>
        </w:rPr>
        <w:t> </w:t>
      </w:r>
      <w:r>
        <w:rPr>
          <w:color w:val="272527"/>
        </w:rPr>
        <w:t>las</w:t>
      </w:r>
      <w:r>
        <w:rPr>
          <w:color w:val="272527"/>
          <w:spacing w:val="-7"/>
        </w:rPr>
        <w:t> </w:t>
      </w:r>
      <w:r>
        <w:rPr>
          <w:color w:val="272527"/>
        </w:rPr>
        <w:t>ramas</w:t>
      </w:r>
      <w:r>
        <w:rPr>
          <w:color w:val="272527"/>
          <w:spacing w:val="-6"/>
        </w:rPr>
        <w:t> </w:t>
      </w:r>
      <w:r>
        <w:rPr>
          <w:color w:val="272527"/>
        </w:rPr>
        <w:t>agrupadas</w:t>
      </w:r>
      <w:r>
        <w:rPr>
          <w:color w:val="272527"/>
          <w:spacing w:val="-7"/>
        </w:rPr>
        <w:t> </w:t>
      </w:r>
      <w:r>
        <w:rPr>
          <w:color w:val="272527"/>
        </w:rPr>
        <w:t>en</w:t>
      </w:r>
      <w:r>
        <w:rPr>
          <w:color w:val="272527"/>
          <w:spacing w:val="-7"/>
        </w:rPr>
        <w:t> </w:t>
      </w:r>
      <w:r>
        <w:rPr>
          <w:color w:val="272527"/>
        </w:rPr>
        <w:t>otros</w:t>
      </w:r>
      <w:r>
        <w:rPr>
          <w:color w:val="272527"/>
          <w:spacing w:val="-6"/>
        </w:rPr>
        <w:t> </w:t>
      </w:r>
      <w:r>
        <w:rPr>
          <w:color w:val="272527"/>
        </w:rPr>
        <w:t>transables</w:t>
      </w:r>
      <w:r>
        <w:rPr>
          <w:color w:val="272527"/>
          <w:spacing w:val="-7"/>
        </w:rPr>
        <w:t> </w:t>
      </w:r>
      <w:r>
        <w:rPr>
          <w:color w:val="272527"/>
        </w:rPr>
        <w:t>(principalmente</w:t>
      </w:r>
      <w:r>
        <w:rPr>
          <w:color w:val="272527"/>
          <w:spacing w:val="-7"/>
        </w:rPr>
        <w:t> </w:t>
      </w:r>
      <w:r>
        <w:rPr>
          <w:color w:val="272527"/>
        </w:rPr>
        <w:t>la industria</w:t>
      </w:r>
      <w:r>
        <w:rPr>
          <w:color w:val="272527"/>
          <w:spacing w:val="-6"/>
        </w:rPr>
        <w:t> </w:t>
      </w:r>
      <w:r>
        <w:rPr>
          <w:color w:val="272527"/>
        </w:rPr>
        <w:t>alimentaria</w:t>
      </w:r>
      <w:r>
        <w:rPr>
          <w:color w:val="272527"/>
          <w:spacing w:val="-6"/>
        </w:rPr>
        <w:t> </w:t>
      </w:r>
      <w:r>
        <w:rPr>
          <w:color w:val="272527"/>
        </w:rPr>
        <w:t>y</w:t>
      </w:r>
      <w:r>
        <w:rPr>
          <w:color w:val="272527"/>
          <w:spacing w:val="-5"/>
        </w:rPr>
        <w:t> </w:t>
      </w:r>
      <w:r>
        <w:rPr>
          <w:color w:val="272527"/>
        </w:rPr>
        <w:t>la</w:t>
      </w:r>
      <w:r>
        <w:rPr>
          <w:color w:val="272527"/>
          <w:spacing w:val="-5"/>
        </w:rPr>
        <w:t> </w:t>
      </w:r>
      <w:r>
        <w:rPr>
          <w:color w:val="272527"/>
        </w:rPr>
        <w:t>fabricación</w:t>
      </w:r>
      <w:r>
        <w:rPr>
          <w:color w:val="272527"/>
          <w:spacing w:val="-5"/>
        </w:rPr>
        <w:t> </w:t>
      </w:r>
      <w:r>
        <w:rPr>
          <w:color w:val="272527"/>
        </w:rPr>
        <w:t>de</w:t>
      </w:r>
      <w:r>
        <w:rPr>
          <w:color w:val="272527"/>
          <w:spacing w:val="-5"/>
        </w:rPr>
        <w:t> </w:t>
      </w:r>
      <w:r>
        <w:rPr>
          <w:color w:val="272527"/>
        </w:rPr>
        <w:t>equipo</w:t>
      </w:r>
      <w:r>
        <w:rPr>
          <w:color w:val="272527"/>
          <w:spacing w:val="-6"/>
        </w:rPr>
        <w:t> </w:t>
      </w:r>
      <w:r>
        <w:rPr>
          <w:color w:val="272527"/>
        </w:rPr>
        <w:t>de</w:t>
      </w:r>
      <w:r>
        <w:rPr>
          <w:color w:val="272527"/>
          <w:spacing w:val="-5"/>
        </w:rPr>
        <w:t> </w:t>
      </w:r>
      <w:r>
        <w:rPr>
          <w:color w:val="272527"/>
        </w:rPr>
        <w:t>transporte</w:t>
      </w:r>
      <w:r>
        <w:rPr>
          <w:color w:val="272527"/>
          <w:spacing w:val="-6"/>
        </w:rPr>
        <w:t> </w:t>
      </w:r>
      <w:r>
        <w:rPr>
          <w:color w:val="272527"/>
        </w:rPr>
        <w:t>y</w:t>
      </w:r>
      <w:r>
        <w:rPr>
          <w:color w:val="272527"/>
          <w:spacing w:val="-5"/>
        </w:rPr>
        <w:t> </w:t>
      </w:r>
      <w:r>
        <w:rPr>
          <w:color w:val="272527"/>
        </w:rPr>
        <w:t>partes)</w:t>
      </w:r>
      <w:r>
        <w:rPr>
          <w:color w:val="272527"/>
          <w:spacing w:val="-5"/>
        </w:rPr>
        <w:t> </w:t>
      </w:r>
      <w:r>
        <w:rPr>
          <w:color w:val="272527"/>
        </w:rPr>
        <w:t>se tiene un acceso mayor a esta prestación social. Este resultado se mantie- ne después de tomar en cuenta una serie de factores sociodemográficos intervinientes como la edad, la escolaridad, la residencia rural-urbana y en</w:t>
      </w:r>
      <w:r>
        <w:rPr>
          <w:color w:val="272527"/>
          <w:spacing w:val="-7"/>
        </w:rPr>
        <w:t> </w:t>
      </w:r>
      <w:r>
        <w:rPr>
          <w:color w:val="272527"/>
        </w:rPr>
        <w:t>diferentes</w:t>
      </w:r>
      <w:r>
        <w:rPr>
          <w:color w:val="272527"/>
          <w:spacing w:val="-7"/>
        </w:rPr>
        <w:t> </w:t>
      </w:r>
      <w:r>
        <w:rPr>
          <w:color w:val="272527"/>
        </w:rPr>
        <w:t>regiones</w:t>
      </w:r>
      <w:r>
        <w:rPr>
          <w:color w:val="272527"/>
          <w:spacing w:val="-7"/>
        </w:rPr>
        <w:t> </w:t>
      </w:r>
      <w:r>
        <w:rPr>
          <w:color w:val="272527"/>
        </w:rPr>
        <w:t>del</w:t>
      </w:r>
      <w:r>
        <w:rPr>
          <w:color w:val="272527"/>
          <w:spacing w:val="-7"/>
        </w:rPr>
        <w:t> </w:t>
      </w:r>
      <w:r>
        <w:rPr>
          <w:color w:val="272527"/>
        </w:rPr>
        <w:t>país,</w:t>
      </w:r>
      <w:r>
        <w:rPr>
          <w:color w:val="272527"/>
          <w:spacing w:val="-7"/>
        </w:rPr>
        <w:t> </w:t>
      </w:r>
      <w:r>
        <w:rPr>
          <w:color w:val="272527"/>
        </w:rPr>
        <w:t>así</w:t>
      </w:r>
      <w:r>
        <w:rPr>
          <w:color w:val="272527"/>
          <w:spacing w:val="-7"/>
        </w:rPr>
        <w:t> </w:t>
      </w:r>
      <w:r>
        <w:rPr>
          <w:color w:val="272527"/>
        </w:rPr>
        <w:t>como</w:t>
      </w:r>
      <w:r>
        <w:rPr>
          <w:color w:val="272527"/>
          <w:spacing w:val="-7"/>
        </w:rPr>
        <w:t> </w:t>
      </w:r>
      <w:r>
        <w:rPr>
          <w:color w:val="272527"/>
        </w:rPr>
        <w:t>la</w:t>
      </w:r>
      <w:r>
        <w:rPr>
          <w:color w:val="272527"/>
          <w:spacing w:val="-7"/>
        </w:rPr>
        <w:t> </w:t>
      </w:r>
      <w:r>
        <w:rPr>
          <w:color w:val="272527"/>
        </w:rPr>
        <w:t>ocupación</w:t>
      </w:r>
      <w:r>
        <w:rPr>
          <w:color w:val="272527"/>
          <w:spacing w:val="-7"/>
        </w:rPr>
        <w:t> </w:t>
      </w:r>
      <w:r>
        <w:rPr>
          <w:color w:val="272527"/>
        </w:rPr>
        <w:t>de</w:t>
      </w:r>
      <w:r>
        <w:rPr>
          <w:color w:val="272527"/>
          <w:spacing w:val="-7"/>
        </w:rPr>
        <w:t> </w:t>
      </w:r>
      <w:r>
        <w:rPr>
          <w:color w:val="272527"/>
        </w:rPr>
        <w:t>los</w:t>
      </w:r>
      <w:r>
        <w:rPr>
          <w:color w:val="272527"/>
          <w:spacing w:val="-7"/>
        </w:rPr>
        <w:t> </w:t>
      </w:r>
      <w:r>
        <w:rPr>
          <w:color w:val="272527"/>
        </w:rPr>
        <w:t>trabajadores y el tamaño del</w:t>
      </w:r>
      <w:r>
        <w:rPr>
          <w:color w:val="272527"/>
          <w:spacing w:val="-1"/>
        </w:rPr>
        <w:t> </w:t>
      </w:r>
      <w:r>
        <w:rPr>
          <w:color w:val="272527"/>
        </w:rPr>
        <w:t>establecimiento.</w:t>
      </w:r>
    </w:p>
    <w:p>
      <w:pPr>
        <w:pStyle w:val="BodyText"/>
        <w:spacing w:line="249" w:lineRule="auto" w:before="1"/>
        <w:ind w:left="113" w:right="107" w:firstLine="283"/>
        <w:jc w:val="both"/>
      </w:pPr>
      <w:r>
        <w:rPr>
          <w:color w:val="272527"/>
        </w:rPr>
        <w:t>En un trabajo anterior llevado a cabo con la misma metodología</w:t>
      </w:r>
      <w:r>
        <w:rPr>
          <w:color w:val="272527"/>
          <w:spacing w:val="-23"/>
        </w:rPr>
        <w:t> </w:t>
      </w:r>
      <w:r>
        <w:rPr>
          <w:color w:val="272527"/>
        </w:rPr>
        <w:t>para los casos de Guatemala, El Salvador y Costa Rica, alrededor de 2010, Escoto encontró que los trabajadores en los sectores agrupados como otros transables mostraban claramente mejor acceso a seguridad social  y también mejores ingresos que el resto de los sectores (Escoto, 2013 y 2014). No hay duda de que en estos sectores la mano de obra es más ca- lificada (véase el Cuadro 1 para el caso mexicano), y probablemente los requerimientos tecnológicos y la productividad sean mayores. Sin em- bargo, algunos de estos aspectos han sido controlados en cierta medida en los modelos estadísticos, de modo que habría que considerar</w:t>
      </w:r>
      <w:r>
        <w:rPr>
          <w:color w:val="272527"/>
          <w:spacing w:val="-30"/>
        </w:rPr>
        <w:t> </w:t>
      </w:r>
      <w:r>
        <w:rPr>
          <w:color w:val="272527"/>
        </w:rPr>
        <w:t>aspectos adicionales.</w:t>
      </w:r>
    </w:p>
    <w:p>
      <w:pPr>
        <w:pStyle w:val="BodyText"/>
        <w:spacing w:before="1"/>
        <w:ind w:left="397"/>
      </w:pPr>
      <w:r>
        <w:rPr>
          <w:color w:val="272527"/>
        </w:rPr>
        <w:t>Una  hipótesis  interpretativa  que  consideramos  interesante  estaría</w:t>
      </w:r>
    </w:p>
    <w:p>
      <w:pPr>
        <w:spacing w:after="0"/>
        <w:sectPr>
          <w:pgSz w:w="7770" w:h="11740"/>
          <w:pgMar w:header="0" w:footer="474" w:top="840" w:bottom="660" w:left="1020" w:right="740"/>
        </w:sectPr>
      </w:pPr>
    </w:p>
    <w:p>
      <w:pPr>
        <w:pStyle w:val="BodyText"/>
        <w:spacing w:line="249" w:lineRule="auto" w:before="60"/>
        <w:ind w:left="110" w:right="110"/>
        <w:jc w:val="both"/>
      </w:pPr>
      <w:r>
        <w:rPr>
          <w:color w:val="272527"/>
        </w:rPr>
        <w:t>dada por el logro de mejores términos de negociación entre capital y trabajo en los sectores donde se tiene mayor cantidad de socios comer- ciales y más oportunidades para colocar los productos (otros</w:t>
      </w:r>
      <w:r>
        <w:rPr>
          <w:color w:val="272527"/>
          <w:spacing w:val="-19"/>
        </w:rPr>
        <w:t> </w:t>
      </w:r>
      <w:r>
        <w:rPr>
          <w:color w:val="272527"/>
        </w:rPr>
        <w:t>transables), en comparación con aquellos sectores enfrentados con pocos socios co- merciales (transables concentrados); es decir, en estos últimos casos el comprador acapararía beneficios y presionaría para que el vendedor dis- minuyera</w:t>
      </w:r>
      <w:r>
        <w:rPr>
          <w:color w:val="272527"/>
          <w:spacing w:val="-7"/>
        </w:rPr>
        <w:t> </w:t>
      </w:r>
      <w:r>
        <w:rPr>
          <w:color w:val="272527"/>
        </w:rPr>
        <w:t>sus</w:t>
      </w:r>
      <w:r>
        <w:rPr>
          <w:color w:val="272527"/>
          <w:spacing w:val="-6"/>
        </w:rPr>
        <w:t> </w:t>
      </w:r>
      <w:r>
        <w:rPr>
          <w:color w:val="272527"/>
        </w:rPr>
        <w:t>costos,</w:t>
      </w:r>
      <w:r>
        <w:rPr>
          <w:color w:val="272527"/>
          <w:spacing w:val="-7"/>
        </w:rPr>
        <w:t> </w:t>
      </w:r>
      <w:r>
        <w:rPr>
          <w:color w:val="272527"/>
        </w:rPr>
        <w:t>entre</w:t>
      </w:r>
      <w:r>
        <w:rPr>
          <w:color w:val="272527"/>
          <w:spacing w:val="-7"/>
        </w:rPr>
        <w:t> </w:t>
      </w:r>
      <w:r>
        <w:rPr>
          <w:color w:val="272527"/>
        </w:rPr>
        <w:t>ellos</w:t>
      </w:r>
      <w:r>
        <w:rPr>
          <w:color w:val="272527"/>
          <w:spacing w:val="-7"/>
        </w:rPr>
        <w:t> </w:t>
      </w:r>
      <w:r>
        <w:rPr>
          <w:color w:val="272527"/>
        </w:rPr>
        <w:t>los</w:t>
      </w:r>
      <w:r>
        <w:rPr>
          <w:color w:val="272527"/>
          <w:spacing w:val="-6"/>
        </w:rPr>
        <w:t> </w:t>
      </w:r>
      <w:r>
        <w:rPr>
          <w:color w:val="272527"/>
        </w:rPr>
        <w:t>laborales</w:t>
      </w:r>
      <w:r>
        <w:rPr>
          <w:color w:val="272527"/>
          <w:spacing w:val="-7"/>
        </w:rPr>
        <w:t> </w:t>
      </w:r>
      <w:r>
        <w:rPr>
          <w:color w:val="272527"/>
        </w:rPr>
        <w:t>(situación</w:t>
      </w:r>
      <w:r>
        <w:rPr>
          <w:color w:val="272527"/>
          <w:spacing w:val="-6"/>
        </w:rPr>
        <w:t> </w:t>
      </w:r>
      <w:r>
        <w:rPr>
          <w:color w:val="272527"/>
        </w:rPr>
        <w:t>de</w:t>
      </w:r>
      <w:r>
        <w:rPr>
          <w:color w:val="272527"/>
          <w:spacing w:val="-6"/>
        </w:rPr>
        <w:t> </w:t>
      </w:r>
      <w:r>
        <w:rPr>
          <w:color w:val="272527"/>
        </w:rPr>
        <w:t>monopsonio). </w:t>
      </w:r>
      <w:r>
        <w:rPr>
          <w:color w:val="231F20"/>
        </w:rPr>
        <w:t>A nivel de países se ha encontrado que los costos laborales han sido un mecanismo crítico de ajuste frente a diferentes condiciones productivas y de mercado, derivadas del proceso de integración económica global (Judzik y Sala,</w:t>
      </w:r>
      <w:r>
        <w:rPr>
          <w:color w:val="231F20"/>
          <w:spacing w:val="-4"/>
        </w:rPr>
        <w:t> </w:t>
      </w:r>
      <w:r>
        <w:rPr>
          <w:color w:val="231F20"/>
        </w:rPr>
        <w:t>2013).</w:t>
      </w:r>
    </w:p>
    <w:p>
      <w:pPr>
        <w:pStyle w:val="BodyText"/>
        <w:spacing w:line="249" w:lineRule="auto" w:before="1"/>
        <w:ind w:left="110" w:right="111" w:firstLine="283"/>
        <w:jc w:val="both"/>
      </w:pPr>
      <w:r>
        <w:rPr>
          <w:color w:val="272527"/>
        </w:rPr>
        <w:t>En síntesis, consideramos que nuestros resultados apoyan la crítica al planteamiento de que el comercio exterior siempre traerá resultados positivos para las condiciones laborales de los trabajadores, por medio del derrame que se obtiene en el intercambio comercial en lo que toca a aumentos de productividad, tecnología, y la adquisición de nuevas nor- mativas y estándares (una síntesis de posturas ortodoxas y heterodoxas en este particular puede encontrarse en Escoto, 2014). En el caso mexi- cano, hay que retener de partida que la industria manufacturera —no- tablemente expuesta a la apertura comercial— ocupa una posición in- termedia en cuanto a algunas condiciones laborales, con respecto a los demás</w:t>
      </w:r>
      <w:r>
        <w:rPr>
          <w:color w:val="272527"/>
          <w:spacing w:val="-4"/>
        </w:rPr>
        <w:t> </w:t>
      </w:r>
      <w:r>
        <w:rPr>
          <w:color w:val="272527"/>
        </w:rPr>
        <w:t>sectores</w:t>
      </w:r>
      <w:r>
        <w:rPr>
          <w:color w:val="272527"/>
          <w:spacing w:val="-4"/>
        </w:rPr>
        <w:t> </w:t>
      </w:r>
      <w:r>
        <w:rPr>
          <w:color w:val="272527"/>
        </w:rPr>
        <w:t>de</w:t>
      </w:r>
      <w:r>
        <w:rPr>
          <w:color w:val="272527"/>
          <w:spacing w:val="-4"/>
        </w:rPr>
        <w:t> </w:t>
      </w:r>
      <w:r>
        <w:rPr>
          <w:color w:val="272527"/>
        </w:rPr>
        <w:t>la</w:t>
      </w:r>
      <w:r>
        <w:rPr>
          <w:color w:val="272527"/>
          <w:spacing w:val="-4"/>
        </w:rPr>
        <w:t> </w:t>
      </w:r>
      <w:r>
        <w:rPr>
          <w:color w:val="272527"/>
        </w:rPr>
        <w:t>fuerza</w:t>
      </w:r>
      <w:r>
        <w:rPr>
          <w:color w:val="272527"/>
          <w:spacing w:val="-4"/>
        </w:rPr>
        <w:t> </w:t>
      </w:r>
      <w:r>
        <w:rPr>
          <w:color w:val="272527"/>
        </w:rPr>
        <w:t>de</w:t>
      </w:r>
      <w:r>
        <w:rPr>
          <w:color w:val="272527"/>
          <w:spacing w:val="-4"/>
        </w:rPr>
        <w:t> </w:t>
      </w:r>
      <w:r>
        <w:rPr>
          <w:color w:val="272527"/>
        </w:rPr>
        <w:t>trabajo.</w:t>
      </w:r>
      <w:r>
        <w:rPr>
          <w:color w:val="272527"/>
          <w:spacing w:val="-15"/>
        </w:rPr>
        <w:t> </w:t>
      </w:r>
      <w:r>
        <w:rPr>
          <w:color w:val="272527"/>
        </w:rPr>
        <w:t>Asimismo,</w:t>
      </w:r>
      <w:r>
        <w:rPr>
          <w:color w:val="272527"/>
          <w:spacing w:val="-4"/>
        </w:rPr>
        <w:t> </w:t>
      </w:r>
      <w:r>
        <w:rPr>
          <w:color w:val="272527"/>
        </w:rPr>
        <w:t>al</w:t>
      </w:r>
      <w:r>
        <w:rPr>
          <w:color w:val="272527"/>
          <w:spacing w:val="-4"/>
        </w:rPr>
        <w:t> </w:t>
      </w:r>
      <w:r>
        <w:rPr>
          <w:color w:val="272527"/>
        </w:rPr>
        <w:t>clasificar</w:t>
      </w:r>
      <w:r>
        <w:rPr>
          <w:color w:val="272527"/>
          <w:spacing w:val="-4"/>
        </w:rPr>
        <w:t> </w:t>
      </w:r>
      <w:r>
        <w:rPr>
          <w:color w:val="272527"/>
        </w:rPr>
        <w:t>a</w:t>
      </w:r>
      <w:r>
        <w:rPr>
          <w:color w:val="272527"/>
          <w:spacing w:val="-4"/>
        </w:rPr>
        <w:t> </w:t>
      </w:r>
      <w:r>
        <w:rPr>
          <w:color w:val="272527"/>
        </w:rPr>
        <w:t>distintas sub-ramas</w:t>
      </w:r>
      <w:r>
        <w:rPr>
          <w:color w:val="272527"/>
          <w:spacing w:val="-11"/>
        </w:rPr>
        <w:t> </w:t>
      </w:r>
      <w:r>
        <w:rPr>
          <w:color w:val="272527"/>
        </w:rPr>
        <w:t>manufactureras</w:t>
      </w:r>
      <w:r>
        <w:rPr>
          <w:color w:val="272527"/>
          <w:spacing w:val="-13"/>
        </w:rPr>
        <w:t> </w:t>
      </w:r>
      <w:r>
        <w:rPr>
          <w:color w:val="272527"/>
        </w:rPr>
        <w:t>según</w:t>
      </w:r>
      <w:r>
        <w:rPr>
          <w:color w:val="272527"/>
          <w:spacing w:val="-11"/>
        </w:rPr>
        <w:t> </w:t>
      </w:r>
      <w:r>
        <w:rPr>
          <w:color w:val="272527"/>
        </w:rPr>
        <w:t>su</w:t>
      </w:r>
      <w:r>
        <w:rPr>
          <w:color w:val="272527"/>
          <w:spacing w:val="-12"/>
        </w:rPr>
        <w:t> </w:t>
      </w:r>
      <w:r>
        <w:rPr>
          <w:color w:val="272527"/>
        </w:rPr>
        <w:t>vínculo</w:t>
      </w:r>
      <w:r>
        <w:rPr>
          <w:color w:val="272527"/>
          <w:spacing w:val="-12"/>
        </w:rPr>
        <w:t> </w:t>
      </w:r>
      <w:r>
        <w:rPr>
          <w:color w:val="272527"/>
        </w:rPr>
        <w:t>con</w:t>
      </w:r>
      <w:r>
        <w:rPr>
          <w:color w:val="272527"/>
          <w:spacing w:val="-12"/>
        </w:rPr>
        <w:t> </w:t>
      </w:r>
      <w:r>
        <w:rPr>
          <w:color w:val="272527"/>
        </w:rPr>
        <w:t>el</w:t>
      </w:r>
      <w:r>
        <w:rPr>
          <w:color w:val="272527"/>
          <w:spacing w:val="-12"/>
        </w:rPr>
        <w:t> </w:t>
      </w:r>
      <w:r>
        <w:rPr>
          <w:color w:val="272527"/>
        </w:rPr>
        <w:t>comercio</w:t>
      </w:r>
      <w:r>
        <w:rPr>
          <w:color w:val="272527"/>
          <w:spacing w:val="-12"/>
        </w:rPr>
        <w:t> </w:t>
      </w:r>
      <w:r>
        <w:rPr>
          <w:color w:val="272527"/>
        </w:rPr>
        <w:t>exterior,</w:t>
      </w:r>
      <w:r>
        <w:rPr>
          <w:color w:val="272527"/>
          <w:spacing w:val="-12"/>
        </w:rPr>
        <w:t> </w:t>
      </w:r>
      <w:r>
        <w:rPr>
          <w:color w:val="272527"/>
        </w:rPr>
        <w:t>pu- dimos establecer situaciones diversas en lo que respecta a condiciones laborales, relacionadas con la dirección de dichos flujos y con el</w:t>
      </w:r>
      <w:r>
        <w:rPr>
          <w:color w:val="272527"/>
          <w:spacing w:val="-32"/>
        </w:rPr>
        <w:t> </w:t>
      </w:r>
      <w:r>
        <w:rPr>
          <w:color w:val="272527"/>
        </w:rPr>
        <w:t>número de socios comerciales. Aun teniendo en cuenta una serie de factores in- tervinientes de índole socioeconómica y demográfica, encontramos un mayor acceso a seguridad social en aquellas sub-ramas con diversifica- ción de socios. Consideramos que sería importante profundizar en este tipo</w:t>
      </w:r>
      <w:r>
        <w:rPr>
          <w:color w:val="272527"/>
          <w:spacing w:val="-6"/>
        </w:rPr>
        <w:t> </w:t>
      </w:r>
      <w:r>
        <w:rPr>
          <w:color w:val="272527"/>
        </w:rPr>
        <w:t>de</w:t>
      </w:r>
      <w:r>
        <w:rPr>
          <w:color w:val="272527"/>
          <w:spacing w:val="-6"/>
        </w:rPr>
        <w:t> </w:t>
      </w:r>
      <w:r>
        <w:rPr>
          <w:color w:val="272527"/>
        </w:rPr>
        <w:t>hallazgos</w:t>
      </w:r>
      <w:r>
        <w:rPr>
          <w:color w:val="272527"/>
          <w:spacing w:val="-6"/>
        </w:rPr>
        <w:t> </w:t>
      </w:r>
      <w:r>
        <w:rPr>
          <w:color w:val="272527"/>
        </w:rPr>
        <w:t>en</w:t>
      </w:r>
      <w:r>
        <w:rPr>
          <w:color w:val="272527"/>
          <w:spacing w:val="-6"/>
        </w:rPr>
        <w:t> </w:t>
      </w:r>
      <w:r>
        <w:rPr>
          <w:color w:val="272527"/>
        </w:rPr>
        <w:t>la</w:t>
      </w:r>
      <w:r>
        <w:rPr>
          <w:color w:val="272527"/>
          <w:spacing w:val="-6"/>
        </w:rPr>
        <w:t> </w:t>
      </w:r>
      <w:r>
        <w:rPr>
          <w:color w:val="272527"/>
        </w:rPr>
        <w:t>investigación</w:t>
      </w:r>
      <w:r>
        <w:rPr>
          <w:color w:val="272527"/>
          <w:spacing w:val="-6"/>
        </w:rPr>
        <w:t> </w:t>
      </w:r>
      <w:r>
        <w:rPr>
          <w:color w:val="272527"/>
        </w:rPr>
        <w:t>futura,</w:t>
      </w:r>
      <w:r>
        <w:rPr>
          <w:color w:val="272527"/>
          <w:spacing w:val="-6"/>
        </w:rPr>
        <w:t> </w:t>
      </w:r>
      <w:r>
        <w:rPr>
          <w:color w:val="272527"/>
        </w:rPr>
        <w:t>pues</w:t>
      </w:r>
      <w:r>
        <w:rPr>
          <w:color w:val="272527"/>
          <w:spacing w:val="-6"/>
        </w:rPr>
        <w:t> </w:t>
      </w:r>
      <w:r>
        <w:rPr>
          <w:color w:val="272527"/>
        </w:rPr>
        <w:t>contribuye</w:t>
      </w:r>
      <w:r>
        <w:rPr>
          <w:color w:val="272527"/>
          <w:spacing w:val="-6"/>
        </w:rPr>
        <w:t> </w:t>
      </w:r>
      <w:r>
        <w:rPr>
          <w:color w:val="272527"/>
        </w:rPr>
        <w:t>a</w:t>
      </w:r>
      <w:r>
        <w:rPr>
          <w:color w:val="272527"/>
          <w:spacing w:val="-6"/>
        </w:rPr>
        <w:t> </w:t>
      </w:r>
      <w:r>
        <w:rPr>
          <w:color w:val="272527"/>
        </w:rPr>
        <w:t>indicarnos la heterogeneidad de situaciones que se presentan al buscar relacionar la apertura comercial y las condiciones laborales, así como la naturaleza multifactorial de la</w:t>
      </w:r>
      <w:r>
        <w:rPr>
          <w:color w:val="272527"/>
          <w:spacing w:val="-1"/>
        </w:rPr>
        <w:t> </w:t>
      </w:r>
      <w:r>
        <w:rPr>
          <w:color w:val="272527"/>
        </w:rPr>
        <w:t>misma.</w:t>
      </w:r>
    </w:p>
    <w:p>
      <w:pPr>
        <w:spacing w:after="0" w:line="249" w:lineRule="auto"/>
        <w:jc w:val="both"/>
        <w:sectPr>
          <w:footerReference w:type="default" r:id="rId145"/>
          <w:pgSz w:w="7770" w:h="11740"/>
          <w:pgMar w:footer="474" w:header="0" w:top="840" w:bottom="660" w:left="740" w:right="1020"/>
          <w:pgNumType w:start="112"/>
        </w:sectPr>
      </w:pPr>
    </w:p>
    <w:p>
      <w:pPr>
        <w:pStyle w:val="Heading4"/>
        <w:spacing w:before="47"/>
        <w:ind w:right="314"/>
        <w:jc w:val="left"/>
      </w:pPr>
      <w:r>
        <w:rPr>
          <w:w w:val="85"/>
        </w:rPr>
        <w:t>Anexo</w:t>
      </w:r>
    </w:p>
    <w:p>
      <w:pPr>
        <w:pStyle w:val="BodyText"/>
        <w:spacing w:before="4"/>
        <w:rPr>
          <w:b/>
          <w:sz w:val="33"/>
        </w:rPr>
      </w:pPr>
    </w:p>
    <w:p>
      <w:pPr>
        <w:spacing w:line="244" w:lineRule="auto" w:before="0"/>
        <w:ind w:left="187" w:right="314" w:firstLine="0"/>
        <w:jc w:val="left"/>
        <w:rPr>
          <w:sz w:val="16"/>
        </w:rPr>
      </w:pPr>
      <w:r>
        <w:rPr>
          <w:sz w:val="16"/>
        </w:rPr>
        <w:t>Cuadro</w:t>
      </w:r>
      <w:r>
        <w:rPr>
          <w:spacing w:val="-13"/>
          <w:sz w:val="16"/>
        </w:rPr>
        <w:t> </w:t>
      </w:r>
      <w:r>
        <w:rPr>
          <w:sz w:val="16"/>
        </w:rPr>
        <w:t>A.</w:t>
      </w:r>
      <w:r>
        <w:rPr>
          <w:spacing w:val="-13"/>
          <w:sz w:val="16"/>
        </w:rPr>
        <w:t> </w:t>
      </w:r>
      <w:r>
        <w:rPr>
          <w:sz w:val="16"/>
        </w:rPr>
        <w:t>1a.</w:t>
      </w:r>
      <w:r>
        <w:rPr>
          <w:spacing w:val="-13"/>
          <w:sz w:val="16"/>
        </w:rPr>
        <w:t> </w:t>
      </w:r>
      <w:r>
        <w:rPr>
          <w:sz w:val="16"/>
        </w:rPr>
        <w:t>Detalle</w:t>
      </w:r>
      <w:r>
        <w:rPr>
          <w:spacing w:val="-13"/>
          <w:sz w:val="16"/>
        </w:rPr>
        <w:t> </w:t>
      </w:r>
      <w:r>
        <w:rPr>
          <w:sz w:val="16"/>
        </w:rPr>
        <w:t>de</w:t>
      </w:r>
      <w:r>
        <w:rPr>
          <w:spacing w:val="-13"/>
          <w:sz w:val="16"/>
        </w:rPr>
        <w:t> </w:t>
      </w:r>
      <w:r>
        <w:rPr>
          <w:sz w:val="16"/>
        </w:rPr>
        <w:t>las</w:t>
      </w:r>
      <w:r>
        <w:rPr>
          <w:spacing w:val="-13"/>
          <w:sz w:val="16"/>
        </w:rPr>
        <w:t> </w:t>
      </w:r>
      <w:r>
        <w:rPr>
          <w:sz w:val="16"/>
        </w:rPr>
        <w:t>ramas</w:t>
      </w:r>
      <w:r>
        <w:rPr>
          <w:spacing w:val="-13"/>
          <w:sz w:val="16"/>
        </w:rPr>
        <w:t> </w:t>
      </w:r>
      <w:r>
        <w:rPr>
          <w:sz w:val="16"/>
        </w:rPr>
        <w:t>de</w:t>
      </w:r>
      <w:r>
        <w:rPr>
          <w:spacing w:val="-13"/>
          <w:sz w:val="16"/>
        </w:rPr>
        <w:t> </w:t>
      </w:r>
      <w:r>
        <w:rPr>
          <w:sz w:val="16"/>
        </w:rPr>
        <w:t>actividad</w:t>
      </w:r>
      <w:r>
        <w:rPr>
          <w:spacing w:val="-13"/>
          <w:sz w:val="16"/>
        </w:rPr>
        <w:t> </w:t>
      </w:r>
      <w:r>
        <w:rPr>
          <w:sz w:val="16"/>
        </w:rPr>
        <w:t>de</w:t>
      </w:r>
      <w:r>
        <w:rPr>
          <w:spacing w:val="-13"/>
          <w:sz w:val="16"/>
        </w:rPr>
        <w:t> </w:t>
      </w:r>
      <w:r>
        <w:rPr>
          <w:sz w:val="16"/>
        </w:rPr>
        <w:t>los</w:t>
      </w:r>
      <w:r>
        <w:rPr>
          <w:spacing w:val="-13"/>
          <w:sz w:val="16"/>
        </w:rPr>
        <w:t> </w:t>
      </w:r>
      <w:r>
        <w:rPr>
          <w:sz w:val="16"/>
        </w:rPr>
        <w:t>sectores</w:t>
      </w:r>
      <w:r>
        <w:rPr>
          <w:spacing w:val="-13"/>
          <w:sz w:val="16"/>
        </w:rPr>
        <w:t> </w:t>
      </w:r>
      <w:r>
        <w:rPr>
          <w:sz w:val="16"/>
        </w:rPr>
        <w:t>económicos</w:t>
      </w:r>
      <w:r>
        <w:rPr>
          <w:spacing w:val="-13"/>
          <w:sz w:val="16"/>
        </w:rPr>
        <w:t> </w:t>
      </w:r>
      <w:r>
        <w:rPr>
          <w:sz w:val="16"/>
        </w:rPr>
        <w:t>clasificados desde</w:t>
      </w:r>
      <w:r>
        <w:rPr>
          <w:spacing w:val="-14"/>
          <w:sz w:val="16"/>
        </w:rPr>
        <w:t> </w:t>
      </w:r>
      <w:r>
        <w:rPr>
          <w:sz w:val="16"/>
        </w:rPr>
        <w:t>el</w:t>
      </w:r>
      <w:r>
        <w:rPr>
          <w:spacing w:val="-14"/>
          <w:sz w:val="16"/>
        </w:rPr>
        <w:t> </w:t>
      </w:r>
      <w:r>
        <w:rPr>
          <w:sz w:val="16"/>
        </w:rPr>
        <w:t>comercio</w:t>
      </w:r>
      <w:r>
        <w:rPr>
          <w:spacing w:val="-14"/>
          <w:sz w:val="16"/>
        </w:rPr>
        <w:t> </w:t>
      </w:r>
      <w:r>
        <w:rPr>
          <w:sz w:val="16"/>
        </w:rPr>
        <w:t>exterior</w:t>
      </w:r>
      <w:r>
        <w:rPr>
          <w:spacing w:val="-14"/>
          <w:sz w:val="16"/>
        </w:rPr>
        <w:t> </w:t>
      </w:r>
      <w:r>
        <w:rPr>
          <w:sz w:val="16"/>
        </w:rPr>
        <w:t>y</w:t>
      </w:r>
      <w:r>
        <w:rPr>
          <w:spacing w:val="-14"/>
          <w:sz w:val="16"/>
        </w:rPr>
        <w:t> </w:t>
      </w:r>
      <w:r>
        <w:rPr>
          <w:sz w:val="16"/>
        </w:rPr>
        <w:t>su</w:t>
      </w:r>
      <w:r>
        <w:rPr>
          <w:spacing w:val="-14"/>
          <w:sz w:val="16"/>
        </w:rPr>
        <w:t> </w:t>
      </w:r>
      <w:r>
        <w:rPr>
          <w:sz w:val="16"/>
        </w:rPr>
        <w:t>respectivo</w:t>
      </w:r>
      <w:r>
        <w:rPr>
          <w:spacing w:val="-14"/>
          <w:sz w:val="16"/>
        </w:rPr>
        <w:t> </w:t>
      </w:r>
      <w:r>
        <w:rPr>
          <w:sz w:val="16"/>
        </w:rPr>
        <w:t>ingreso</w:t>
      </w:r>
      <w:r>
        <w:rPr>
          <w:spacing w:val="-14"/>
          <w:sz w:val="16"/>
        </w:rPr>
        <w:t> </w:t>
      </w:r>
      <w:r>
        <w:rPr>
          <w:sz w:val="16"/>
        </w:rPr>
        <w:t>laboral</w:t>
      </w:r>
      <w:r>
        <w:rPr>
          <w:spacing w:val="-14"/>
          <w:sz w:val="16"/>
        </w:rPr>
        <w:t> </w:t>
      </w:r>
      <w:r>
        <w:rPr>
          <w:sz w:val="16"/>
        </w:rPr>
        <w:t>por</w:t>
      </w:r>
      <w:r>
        <w:rPr>
          <w:spacing w:val="-14"/>
          <w:sz w:val="16"/>
        </w:rPr>
        <w:t> </w:t>
      </w:r>
      <w:r>
        <w:rPr>
          <w:sz w:val="16"/>
        </w:rPr>
        <w:t>hora</w:t>
      </w:r>
    </w:p>
    <w:p>
      <w:pPr>
        <w:spacing w:line="174" w:lineRule="exact" w:before="0"/>
        <w:ind w:left="187" w:right="314" w:firstLine="0"/>
        <w:jc w:val="left"/>
        <w:rPr>
          <w:sz w:val="16"/>
        </w:rPr>
      </w:pPr>
      <w:r>
        <w:rPr/>
        <w:pict>
          <v:shape style="position:absolute;margin-left:56.691521pt;margin-top:12.250958pt;width:289.150pt;height:.1pt;mso-position-horizontal-relative:page;mso-position-vertical-relative:paragraph;z-index:3592" coordorigin="1134,245" coordsize="5783,0" path="m1134,245l1901,245m1901,245l1911,245m1911,245l4256,245m4256,245l4266,245m4266,245l5640,245m5640,245l5650,245m5650,245l6917,245e" filled="false" stroked="true" strokeweight=".48pt" strokecolor="#000000">
            <v:path arrowok="t"/>
            <w10:wrap type="none"/>
          </v:shape>
        </w:pict>
      </w:r>
      <w:r>
        <w:rPr>
          <w:sz w:val="16"/>
        </w:rPr>
        <w:t>y acceso a seguridad social</w:t>
      </w:r>
    </w:p>
    <w:p>
      <w:pPr>
        <w:spacing w:after="0" w:line="174" w:lineRule="exact"/>
        <w:jc w:val="left"/>
        <w:rPr>
          <w:sz w:val="16"/>
        </w:rPr>
        <w:sectPr>
          <w:pgSz w:w="7770" w:h="11740"/>
          <w:pgMar w:header="0" w:footer="474" w:top="840" w:bottom="660" w:left="1020" w:right="700"/>
        </w:sectPr>
      </w:pPr>
    </w:p>
    <w:p>
      <w:pPr>
        <w:spacing w:before="75"/>
        <w:ind w:left="3459" w:right="0" w:firstLine="0"/>
        <w:jc w:val="center"/>
        <w:rPr>
          <w:sz w:val="16"/>
        </w:rPr>
      </w:pPr>
      <w:r>
        <w:rPr>
          <w:w w:val="95"/>
          <w:sz w:val="16"/>
        </w:rPr>
        <w:t>Ingreso laboral </w:t>
      </w:r>
      <w:r>
        <w:rPr>
          <w:sz w:val="16"/>
        </w:rPr>
        <w:t>por hora</w:t>
      </w:r>
      <w:r>
        <w:rPr>
          <w:spacing w:val="-26"/>
          <w:sz w:val="16"/>
        </w:rPr>
        <w:t> </w:t>
      </w:r>
      <w:r>
        <w:rPr>
          <w:sz w:val="16"/>
        </w:rPr>
        <w:t>(USD PPA)</w:t>
      </w:r>
    </w:p>
    <w:p>
      <w:pPr>
        <w:pStyle w:val="BodyText"/>
        <w:spacing w:before="4"/>
        <w:rPr>
          <w:sz w:val="22"/>
        </w:rPr>
      </w:pPr>
      <w:r>
        <w:rPr/>
        <w:br w:type="column"/>
      </w:r>
      <w:r>
        <w:rPr>
          <w:sz w:val="22"/>
        </w:rPr>
      </w:r>
    </w:p>
    <w:p>
      <w:pPr>
        <w:spacing w:before="0"/>
        <w:ind w:left="368" w:right="0" w:firstLine="221"/>
        <w:jc w:val="left"/>
        <w:rPr>
          <w:sz w:val="16"/>
        </w:rPr>
      </w:pPr>
      <w:r>
        <w:rPr>
          <w:sz w:val="16"/>
        </w:rPr>
        <w:t>Acceso a </w:t>
      </w:r>
      <w:r>
        <w:rPr>
          <w:w w:val="95"/>
          <w:sz w:val="16"/>
        </w:rPr>
        <w:t>seguridad social</w:t>
      </w:r>
    </w:p>
    <w:p>
      <w:pPr>
        <w:spacing w:after="0"/>
        <w:jc w:val="left"/>
        <w:rPr>
          <w:sz w:val="16"/>
        </w:rPr>
        <w:sectPr>
          <w:type w:val="continuous"/>
          <w:pgSz w:w="7770" w:h="11740"/>
          <w:pgMar w:top="0" w:bottom="0" w:left="1020" w:right="700"/>
          <w:cols w:num="2" w:equalWidth="0">
            <w:col w:w="4402" w:space="40"/>
            <w:col w:w="1608"/>
          </w:cols>
        </w:sectPr>
      </w:pPr>
    </w:p>
    <w:p>
      <w:pPr>
        <w:tabs>
          <w:tab w:pos="989" w:val="left" w:leader="none"/>
          <w:tab w:pos="4155" w:val="left" w:leader="none"/>
          <w:tab w:pos="5539" w:val="left" w:leader="none"/>
        </w:tabs>
        <w:spacing w:line="249" w:lineRule="auto" w:before="3"/>
        <w:ind w:left="989" w:right="401" w:hanging="803"/>
        <w:jc w:val="left"/>
        <w:rPr>
          <w:i/>
          <w:sz w:val="16"/>
        </w:rPr>
      </w:pPr>
      <w:r>
        <w:rPr/>
        <w:pict>
          <v:shape style="position:absolute;margin-left:56.691521pt;margin-top:9.538706pt;width:289.150pt;height:.1pt;mso-position-horizontal-relative:page;mso-position-vertical-relative:paragraph;z-index:-334288" coordorigin="1134,191" coordsize="5783,0" path="m1134,191l1901,191m1901,191l1911,191m1911,191l4256,191m4256,191l4266,191m4266,191l4810,191m4810,191l4819,191m4819,191l5640,191m5640,191l5650,191m5650,191l6194,191m6194,191l6203,191m6203,191l6917,191e" filled="false" stroked="true" strokeweight=".48pt" strokecolor="#000000">
            <v:path arrowok="t"/>
            <w10:wrap type="none"/>
          </v:shape>
        </w:pict>
      </w:r>
      <w:r>
        <w:rPr>
          <w:sz w:val="16"/>
        </w:rPr>
        <w:t>Código</w:t>
        <w:tab/>
        <w:t>Detalle</w:t>
        <w:tab/>
      </w:r>
      <w:r>
        <w:rPr>
          <w:i/>
          <w:sz w:val="16"/>
        </w:rPr>
        <w:t>N</w:t>
        <w:tab/>
        <w:t>N </w:t>
      </w:r>
      <w:r>
        <w:rPr>
          <w:i/>
          <w:w w:val="95"/>
          <w:sz w:val="16"/>
        </w:rPr>
        <w:t>Transables</w:t>
      </w:r>
      <w:r>
        <w:rPr>
          <w:i/>
          <w:spacing w:val="28"/>
          <w:w w:val="95"/>
          <w:sz w:val="16"/>
        </w:rPr>
        <w:t> </w:t>
      </w:r>
      <w:r>
        <w:rPr>
          <w:i/>
          <w:w w:val="95"/>
          <w:sz w:val="16"/>
        </w:rPr>
        <w:t>concentrados</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8"/>
        <w:rPr>
          <w:i/>
          <w:sz w:val="16"/>
        </w:rPr>
      </w:pPr>
    </w:p>
    <w:p>
      <w:pPr>
        <w:spacing w:before="79"/>
        <w:ind w:left="989" w:right="314" w:firstLine="0"/>
        <w:jc w:val="left"/>
        <w:rPr>
          <w:sz w:val="16"/>
        </w:rPr>
      </w:pPr>
      <w:r>
        <w:rPr/>
        <w:pict>
          <v:shape style="position:absolute;margin-left:56.691521pt;margin-top:-165.119644pt;width:291.2pt;height:298.5pt;mso-position-horizontal-relative:page;mso-position-vertical-relative:paragraph;z-index:36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12"/>
                    <w:gridCol w:w="731"/>
                    <w:gridCol w:w="653"/>
                    <w:gridCol w:w="627"/>
                  </w:tblGrid>
                  <w:tr>
                    <w:trPr>
                      <w:trHeight w:val="262" w:hRule="exact"/>
                    </w:trPr>
                    <w:tc>
                      <w:tcPr>
                        <w:tcW w:w="3812" w:type="dxa"/>
                      </w:tcPr>
                      <w:p>
                        <w:pPr>
                          <w:pStyle w:val="TableParagraph"/>
                          <w:tabs>
                            <w:tab w:pos="875" w:val="left" w:leader="none"/>
                          </w:tabs>
                          <w:spacing w:line="70" w:lineRule="exact"/>
                          <w:ind w:left="73"/>
                          <w:jc w:val="left"/>
                          <w:rPr>
                            <w:sz w:val="16"/>
                          </w:rPr>
                        </w:pPr>
                        <w:r>
                          <w:rPr>
                            <w:position w:val="-8"/>
                            <w:sz w:val="16"/>
                          </w:rPr>
                          <w:t>1000</w:t>
                          <w:tab/>
                        </w:r>
                        <w:r>
                          <w:rPr>
                            <w:sz w:val="16"/>
                          </w:rPr>
                          <w:t>[1110</w:t>
                        </w:r>
                        <w:r>
                          <w:rPr>
                            <w:spacing w:val="-20"/>
                            <w:sz w:val="16"/>
                          </w:rPr>
                          <w:t> </w:t>
                        </w:r>
                        <w:r>
                          <w:rPr>
                            <w:sz w:val="16"/>
                          </w:rPr>
                          <w:t>Agricultura</w:t>
                        </w:r>
                        <w:r>
                          <w:rPr>
                            <w:spacing w:val="-20"/>
                            <w:sz w:val="16"/>
                          </w:rPr>
                          <w:t> </w:t>
                        </w:r>
                        <w:r>
                          <w:rPr>
                            <w:sz w:val="16"/>
                          </w:rPr>
                          <w:t>+</w:t>
                        </w:r>
                      </w:p>
                      <w:p>
                        <w:pPr>
                          <w:pStyle w:val="TableParagraph"/>
                          <w:tabs>
                            <w:tab w:pos="3573" w:val="right" w:leader="none"/>
                          </w:tabs>
                          <w:spacing w:line="183" w:lineRule="exact"/>
                          <w:ind w:left="914"/>
                          <w:jc w:val="left"/>
                          <w:rPr>
                            <w:sz w:val="16"/>
                          </w:rPr>
                        </w:pPr>
                        <w:r>
                          <w:rPr>
                            <w:sz w:val="16"/>
                          </w:rPr>
                          <w:t>1130</w:t>
                        </w:r>
                        <w:r>
                          <w:rPr>
                            <w:spacing w:val="-8"/>
                            <w:sz w:val="16"/>
                          </w:rPr>
                          <w:t> </w:t>
                        </w:r>
                        <w:r>
                          <w:rPr>
                            <w:sz w:val="16"/>
                          </w:rPr>
                          <w:t>Aprovechamiento</w:t>
                        </w:r>
                        <w:r>
                          <w:rPr>
                            <w:spacing w:val="-8"/>
                            <w:sz w:val="16"/>
                          </w:rPr>
                          <w:t> </w:t>
                        </w:r>
                        <w:r>
                          <w:rPr>
                            <w:sz w:val="16"/>
                          </w:rPr>
                          <w:t>forestal]</w:t>
                        </w:r>
                        <w:r>
                          <w:rPr>
                            <w:position w:val="9"/>
                            <w:sz w:val="16"/>
                          </w:rPr>
                          <w:tab/>
                          <w:t>1.99</w:t>
                        </w:r>
                      </w:p>
                    </w:tc>
                    <w:tc>
                      <w:tcPr>
                        <w:tcW w:w="731" w:type="dxa"/>
                      </w:tcPr>
                      <w:p>
                        <w:pPr>
                          <w:pStyle w:val="TableParagraph"/>
                          <w:spacing w:line="162" w:lineRule="exact"/>
                          <w:ind w:right="138"/>
                          <w:rPr>
                            <w:sz w:val="16"/>
                          </w:rPr>
                        </w:pPr>
                        <w:r>
                          <w:rPr>
                            <w:sz w:val="16"/>
                          </w:rPr>
                          <w:t>5 270</w:t>
                        </w:r>
                      </w:p>
                    </w:tc>
                    <w:tc>
                      <w:tcPr>
                        <w:tcW w:w="653" w:type="dxa"/>
                      </w:tcPr>
                      <w:p>
                        <w:pPr>
                          <w:pStyle w:val="TableParagraph"/>
                          <w:spacing w:line="162" w:lineRule="exact"/>
                          <w:ind w:left="140"/>
                          <w:jc w:val="left"/>
                          <w:rPr>
                            <w:sz w:val="16"/>
                          </w:rPr>
                        </w:pPr>
                        <w:r>
                          <w:rPr>
                            <w:sz w:val="16"/>
                          </w:rPr>
                          <w:t>0.07</w:t>
                        </w:r>
                      </w:p>
                    </w:tc>
                    <w:tc>
                      <w:tcPr>
                        <w:tcW w:w="627" w:type="dxa"/>
                      </w:tcPr>
                      <w:p>
                        <w:pPr>
                          <w:pStyle w:val="TableParagraph"/>
                          <w:spacing w:line="162" w:lineRule="exact"/>
                          <w:ind w:right="33"/>
                          <w:rPr>
                            <w:sz w:val="16"/>
                          </w:rPr>
                        </w:pPr>
                        <w:r>
                          <w:rPr>
                            <w:sz w:val="16"/>
                          </w:rPr>
                          <w:t>5 263</w:t>
                        </w:r>
                      </w:p>
                    </w:tc>
                  </w:tr>
                  <w:tr>
                    <w:trPr>
                      <w:trHeight w:val="322" w:hRule="exact"/>
                    </w:trPr>
                    <w:tc>
                      <w:tcPr>
                        <w:tcW w:w="3812" w:type="dxa"/>
                      </w:tcPr>
                      <w:p>
                        <w:pPr>
                          <w:pStyle w:val="TableParagraph"/>
                          <w:tabs>
                            <w:tab w:pos="875" w:val="left" w:leader="none"/>
                          </w:tabs>
                          <w:spacing w:line="171" w:lineRule="exact"/>
                          <w:ind w:left="73"/>
                          <w:jc w:val="left"/>
                          <w:rPr>
                            <w:sz w:val="16"/>
                          </w:rPr>
                        </w:pPr>
                        <w:r>
                          <w:rPr>
                            <w:position w:val="-8"/>
                            <w:sz w:val="16"/>
                          </w:rPr>
                          <w:t>1001</w:t>
                          <w:tab/>
                        </w:r>
                        <w:r>
                          <w:rPr>
                            <w:sz w:val="16"/>
                          </w:rPr>
                          <w:t>[1121</w:t>
                        </w:r>
                        <w:r>
                          <w:rPr>
                            <w:spacing w:val="-14"/>
                            <w:sz w:val="16"/>
                          </w:rPr>
                          <w:t> </w:t>
                        </w:r>
                        <w:r>
                          <w:rPr>
                            <w:sz w:val="16"/>
                          </w:rPr>
                          <w:t>Cría</w:t>
                        </w:r>
                        <w:r>
                          <w:rPr>
                            <w:spacing w:val="-14"/>
                            <w:sz w:val="16"/>
                          </w:rPr>
                          <w:t> </w:t>
                        </w:r>
                        <w:r>
                          <w:rPr>
                            <w:sz w:val="16"/>
                          </w:rPr>
                          <w:t>y</w:t>
                        </w:r>
                        <w:r>
                          <w:rPr>
                            <w:spacing w:val="-14"/>
                            <w:sz w:val="16"/>
                          </w:rPr>
                          <w:t> </w:t>
                        </w:r>
                        <w:r>
                          <w:rPr>
                            <w:sz w:val="16"/>
                          </w:rPr>
                          <w:t>explotación</w:t>
                        </w:r>
                        <w:r>
                          <w:rPr>
                            <w:spacing w:val="-14"/>
                            <w:sz w:val="16"/>
                          </w:rPr>
                          <w:t> </w:t>
                        </w:r>
                        <w:r>
                          <w:rPr>
                            <w:sz w:val="16"/>
                          </w:rPr>
                          <w:t>de</w:t>
                        </w:r>
                      </w:p>
                      <w:p>
                        <w:pPr>
                          <w:pStyle w:val="TableParagraph"/>
                          <w:tabs>
                            <w:tab w:pos="3573" w:val="right" w:leader="none"/>
                          </w:tabs>
                          <w:spacing w:line="191" w:lineRule="exact"/>
                          <w:ind w:left="875"/>
                          <w:jc w:val="left"/>
                          <w:rPr>
                            <w:sz w:val="16"/>
                          </w:rPr>
                        </w:pPr>
                        <w:r>
                          <w:rPr>
                            <w:sz w:val="16"/>
                          </w:rPr>
                          <w:t>animales +</w:t>
                        </w:r>
                        <w:r>
                          <w:rPr>
                            <w:spacing w:val="-10"/>
                            <w:sz w:val="16"/>
                          </w:rPr>
                          <w:t> </w:t>
                        </w:r>
                        <w:r>
                          <w:rPr>
                            <w:sz w:val="16"/>
                          </w:rPr>
                          <w:t>1122</w:t>
                        </w:r>
                        <w:r>
                          <w:rPr>
                            <w:spacing w:val="-4"/>
                            <w:sz w:val="16"/>
                          </w:rPr>
                          <w:t> </w:t>
                        </w:r>
                        <w:r>
                          <w:rPr>
                            <w:sz w:val="16"/>
                          </w:rPr>
                          <w:t>Acuicultura]</w:t>
                        </w:r>
                        <w:r>
                          <w:rPr>
                            <w:position w:val="10"/>
                            <w:sz w:val="16"/>
                          </w:rPr>
                          <w:tab/>
                          <w:t>2.04</w:t>
                        </w:r>
                      </w:p>
                    </w:tc>
                    <w:tc>
                      <w:tcPr>
                        <w:tcW w:w="731" w:type="dxa"/>
                      </w:tcPr>
                      <w:p>
                        <w:pPr>
                          <w:pStyle w:val="TableParagraph"/>
                          <w:spacing w:before="81"/>
                          <w:ind w:right="138"/>
                          <w:rPr>
                            <w:sz w:val="16"/>
                          </w:rPr>
                        </w:pPr>
                        <w:r>
                          <w:rPr>
                            <w:sz w:val="16"/>
                          </w:rPr>
                          <w:t>1 095</w:t>
                        </w:r>
                      </w:p>
                    </w:tc>
                    <w:tc>
                      <w:tcPr>
                        <w:tcW w:w="653" w:type="dxa"/>
                      </w:tcPr>
                      <w:p>
                        <w:pPr>
                          <w:pStyle w:val="TableParagraph"/>
                          <w:spacing w:before="81"/>
                          <w:ind w:left="140"/>
                          <w:jc w:val="left"/>
                          <w:rPr>
                            <w:sz w:val="16"/>
                          </w:rPr>
                        </w:pPr>
                        <w:r>
                          <w:rPr>
                            <w:sz w:val="16"/>
                          </w:rPr>
                          <w:t>0.27</w:t>
                        </w:r>
                      </w:p>
                    </w:tc>
                    <w:tc>
                      <w:tcPr>
                        <w:tcW w:w="627" w:type="dxa"/>
                      </w:tcPr>
                      <w:p>
                        <w:pPr>
                          <w:pStyle w:val="TableParagraph"/>
                          <w:spacing w:before="81"/>
                          <w:ind w:right="33"/>
                          <w:rPr>
                            <w:sz w:val="16"/>
                          </w:rPr>
                        </w:pPr>
                        <w:r>
                          <w:rPr>
                            <w:sz w:val="16"/>
                          </w:rPr>
                          <w:t>1 094</w:t>
                        </w:r>
                      </w:p>
                    </w:tc>
                  </w:tr>
                  <w:tr>
                    <w:trPr>
                      <w:trHeight w:val="230" w:hRule="exact"/>
                    </w:trPr>
                    <w:tc>
                      <w:tcPr>
                        <w:tcW w:w="3812" w:type="dxa"/>
                      </w:tcPr>
                      <w:p>
                        <w:pPr>
                          <w:pStyle w:val="TableParagraph"/>
                          <w:tabs>
                            <w:tab w:pos="875" w:val="left" w:leader="none"/>
                            <w:tab w:pos="3573" w:val="right" w:leader="none"/>
                          </w:tabs>
                          <w:spacing w:before="38"/>
                          <w:ind w:left="73"/>
                          <w:jc w:val="left"/>
                          <w:rPr>
                            <w:sz w:val="16"/>
                          </w:rPr>
                        </w:pPr>
                        <w:r>
                          <w:rPr>
                            <w:sz w:val="16"/>
                          </w:rPr>
                          <w:t>1141</w:t>
                          <w:tab/>
                          <w:t>Pesca</w:t>
                          <w:tab/>
                          <w:t>3.10</w:t>
                        </w:r>
                      </w:p>
                    </w:tc>
                    <w:tc>
                      <w:tcPr>
                        <w:tcW w:w="731" w:type="dxa"/>
                      </w:tcPr>
                      <w:p>
                        <w:pPr>
                          <w:pStyle w:val="TableParagraph"/>
                          <w:spacing w:before="38"/>
                          <w:ind w:right="138"/>
                          <w:rPr>
                            <w:sz w:val="16"/>
                          </w:rPr>
                        </w:pPr>
                        <w:r>
                          <w:rPr>
                            <w:w w:val="95"/>
                            <w:sz w:val="16"/>
                          </w:rPr>
                          <w:t>191</w:t>
                        </w:r>
                      </w:p>
                    </w:tc>
                    <w:tc>
                      <w:tcPr>
                        <w:tcW w:w="653" w:type="dxa"/>
                      </w:tcPr>
                      <w:p>
                        <w:pPr>
                          <w:pStyle w:val="TableParagraph"/>
                          <w:spacing w:before="38"/>
                          <w:ind w:left="140"/>
                          <w:jc w:val="left"/>
                          <w:rPr>
                            <w:sz w:val="16"/>
                          </w:rPr>
                        </w:pPr>
                        <w:r>
                          <w:rPr>
                            <w:sz w:val="16"/>
                          </w:rPr>
                          <w:t>0.12</w:t>
                        </w:r>
                      </w:p>
                    </w:tc>
                    <w:tc>
                      <w:tcPr>
                        <w:tcW w:w="627" w:type="dxa"/>
                      </w:tcPr>
                      <w:p>
                        <w:pPr>
                          <w:pStyle w:val="TableParagraph"/>
                          <w:spacing w:before="38"/>
                          <w:ind w:right="33"/>
                          <w:rPr>
                            <w:sz w:val="16"/>
                          </w:rPr>
                        </w:pPr>
                        <w:r>
                          <w:rPr>
                            <w:w w:val="95"/>
                            <w:sz w:val="16"/>
                          </w:rPr>
                          <w:t>190</w:t>
                        </w:r>
                      </w:p>
                    </w:tc>
                  </w:tr>
                  <w:tr>
                    <w:trPr>
                      <w:trHeight w:val="182" w:hRule="exact"/>
                    </w:trPr>
                    <w:tc>
                      <w:tcPr>
                        <w:tcW w:w="3812" w:type="dxa"/>
                      </w:tcPr>
                      <w:p>
                        <w:pPr>
                          <w:pStyle w:val="TableParagraph"/>
                          <w:tabs>
                            <w:tab w:pos="875" w:val="left" w:leader="none"/>
                            <w:tab w:pos="3573" w:val="right" w:leader="none"/>
                          </w:tabs>
                          <w:spacing w:line="174" w:lineRule="exact"/>
                          <w:ind w:left="73"/>
                          <w:jc w:val="left"/>
                          <w:rPr>
                            <w:sz w:val="16"/>
                          </w:rPr>
                        </w:pPr>
                        <w:r>
                          <w:rPr>
                            <w:sz w:val="16"/>
                          </w:rPr>
                          <w:t>2110</w:t>
                          <w:tab/>
                          <w:t>Extracción de petróleo</w:t>
                        </w:r>
                        <w:r>
                          <w:rPr>
                            <w:spacing w:val="-12"/>
                            <w:sz w:val="16"/>
                          </w:rPr>
                          <w:t> </w:t>
                        </w:r>
                        <w:r>
                          <w:rPr>
                            <w:sz w:val="16"/>
                          </w:rPr>
                          <w:t>y</w:t>
                        </w:r>
                        <w:r>
                          <w:rPr>
                            <w:spacing w:val="-4"/>
                            <w:sz w:val="16"/>
                          </w:rPr>
                          <w:t> </w:t>
                        </w:r>
                        <w:r>
                          <w:rPr>
                            <w:sz w:val="16"/>
                          </w:rPr>
                          <w:t>gas</w:t>
                          <w:tab/>
                          <w:t>8.80</w:t>
                        </w:r>
                      </w:p>
                    </w:tc>
                    <w:tc>
                      <w:tcPr>
                        <w:tcW w:w="731" w:type="dxa"/>
                      </w:tcPr>
                      <w:p>
                        <w:pPr>
                          <w:pStyle w:val="TableParagraph"/>
                          <w:spacing w:line="174" w:lineRule="exact"/>
                          <w:ind w:right="138"/>
                          <w:rPr>
                            <w:sz w:val="16"/>
                          </w:rPr>
                        </w:pPr>
                        <w:r>
                          <w:rPr>
                            <w:w w:val="95"/>
                            <w:sz w:val="16"/>
                          </w:rPr>
                          <w:t>205</w:t>
                        </w:r>
                      </w:p>
                    </w:tc>
                    <w:tc>
                      <w:tcPr>
                        <w:tcW w:w="653" w:type="dxa"/>
                      </w:tcPr>
                      <w:p>
                        <w:pPr>
                          <w:pStyle w:val="TableParagraph"/>
                          <w:spacing w:line="174" w:lineRule="exact"/>
                          <w:ind w:left="140"/>
                          <w:jc w:val="left"/>
                          <w:rPr>
                            <w:sz w:val="16"/>
                          </w:rPr>
                        </w:pPr>
                        <w:r>
                          <w:rPr>
                            <w:sz w:val="16"/>
                          </w:rPr>
                          <w:t>0.00</w:t>
                        </w:r>
                      </w:p>
                    </w:tc>
                    <w:tc>
                      <w:tcPr>
                        <w:tcW w:w="627" w:type="dxa"/>
                      </w:tcPr>
                      <w:p>
                        <w:pPr>
                          <w:pStyle w:val="TableParagraph"/>
                          <w:spacing w:line="174" w:lineRule="exact"/>
                          <w:ind w:right="33"/>
                          <w:rPr>
                            <w:sz w:val="16"/>
                          </w:rPr>
                        </w:pPr>
                        <w:r>
                          <w:rPr>
                            <w:w w:val="95"/>
                            <w:sz w:val="16"/>
                          </w:rPr>
                          <w:t>205</w:t>
                        </w:r>
                      </w:p>
                    </w:tc>
                  </w:tr>
                  <w:tr>
                    <w:trPr>
                      <w:trHeight w:val="185" w:hRule="exact"/>
                    </w:trPr>
                    <w:tc>
                      <w:tcPr>
                        <w:tcW w:w="3812" w:type="dxa"/>
                      </w:tcPr>
                      <w:p>
                        <w:pPr>
                          <w:pStyle w:val="TableParagraph"/>
                          <w:tabs>
                            <w:tab w:pos="875" w:val="left" w:leader="none"/>
                            <w:tab w:pos="3573" w:val="right" w:leader="none"/>
                          </w:tabs>
                          <w:spacing w:line="174" w:lineRule="exact"/>
                          <w:ind w:left="73"/>
                          <w:jc w:val="left"/>
                          <w:rPr>
                            <w:sz w:val="16"/>
                          </w:rPr>
                        </w:pPr>
                        <w:r>
                          <w:rPr>
                            <w:sz w:val="16"/>
                          </w:rPr>
                          <w:t>2121</w:t>
                          <w:tab/>
                          <w:t>Minería de</w:t>
                        </w:r>
                        <w:r>
                          <w:rPr>
                            <w:spacing w:val="-8"/>
                            <w:sz w:val="16"/>
                          </w:rPr>
                          <w:t> </w:t>
                        </w:r>
                        <w:r>
                          <w:rPr>
                            <w:sz w:val="16"/>
                          </w:rPr>
                          <w:t>carbón</w:t>
                        </w:r>
                        <w:r>
                          <w:rPr>
                            <w:spacing w:val="-4"/>
                            <w:sz w:val="16"/>
                          </w:rPr>
                          <w:t> </w:t>
                        </w:r>
                        <w:r>
                          <w:rPr>
                            <w:sz w:val="16"/>
                          </w:rPr>
                          <w:t>mineral</w:t>
                          <w:tab/>
                          <w:t>3.07</w:t>
                        </w:r>
                      </w:p>
                    </w:tc>
                    <w:tc>
                      <w:tcPr>
                        <w:tcW w:w="731" w:type="dxa"/>
                      </w:tcPr>
                      <w:p>
                        <w:pPr>
                          <w:pStyle w:val="TableParagraph"/>
                          <w:spacing w:line="174" w:lineRule="exact"/>
                          <w:ind w:right="138"/>
                          <w:rPr>
                            <w:sz w:val="16"/>
                          </w:rPr>
                        </w:pPr>
                        <w:r>
                          <w:rPr>
                            <w:w w:val="95"/>
                            <w:sz w:val="16"/>
                          </w:rPr>
                          <w:t>37</w:t>
                        </w:r>
                      </w:p>
                    </w:tc>
                    <w:tc>
                      <w:tcPr>
                        <w:tcW w:w="653" w:type="dxa"/>
                      </w:tcPr>
                      <w:p>
                        <w:pPr>
                          <w:pStyle w:val="TableParagraph"/>
                          <w:spacing w:line="174" w:lineRule="exact"/>
                          <w:ind w:left="140"/>
                          <w:jc w:val="left"/>
                          <w:rPr>
                            <w:sz w:val="16"/>
                          </w:rPr>
                        </w:pPr>
                        <w:r>
                          <w:rPr>
                            <w:sz w:val="16"/>
                          </w:rPr>
                          <w:t>0.75</w:t>
                        </w:r>
                      </w:p>
                    </w:tc>
                    <w:tc>
                      <w:tcPr>
                        <w:tcW w:w="627" w:type="dxa"/>
                      </w:tcPr>
                      <w:p>
                        <w:pPr>
                          <w:pStyle w:val="TableParagraph"/>
                          <w:spacing w:line="174" w:lineRule="exact"/>
                          <w:ind w:right="33"/>
                          <w:rPr>
                            <w:sz w:val="16"/>
                          </w:rPr>
                        </w:pPr>
                        <w:r>
                          <w:rPr>
                            <w:w w:val="95"/>
                            <w:sz w:val="16"/>
                          </w:rPr>
                          <w:t>37</w:t>
                        </w:r>
                      </w:p>
                    </w:tc>
                  </w:tr>
                  <w:tr>
                    <w:trPr>
                      <w:trHeight w:val="230" w:hRule="exact"/>
                    </w:trPr>
                    <w:tc>
                      <w:tcPr>
                        <w:tcW w:w="3812" w:type="dxa"/>
                      </w:tcPr>
                      <w:p>
                        <w:pPr>
                          <w:pStyle w:val="TableParagraph"/>
                          <w:tabs>
                            <w:tab w:pos="875" w:val="left" w:leader="none"/>
                            <w:tab w:pos="3573" w:val="right" w:leader="none"/>
                          </w:tabs>
                          <w:spacing w:line="176" w:lineRule="exact"/>
                          <w:ind w:left="73"/>
                          <w:jc w:val="left"/>
                          <w:rPr>
                            <w:sz w:val="16"/>
                          </w:rPr>
                        </w:pPr>
                        <w:r>
                          <w:rPr>
                            <w:sz w:val="16"/>
                          </w:rPr>
                          <w:t>2122</w:t>
                          <w:tab/>
                          <w:t>Minería de</w:t>
                        </w:r>
                        <w:r>
                          <w:rPr>
                            <w:spacing w:val="-11"/>
                            <w:sz w:val="16"/>
                          </w:rPr>
                          <w:t> </w:t>
                        </w:r>
                        <w:r>
                          <w:rPr>
                            <w:sz w:val="16"/>
                          </w:rPr>
                          <w:t>minerales</w:t>
                        </w:r>
                        <w:r>
                          <w:rPr>
                            <w:spacing w:val="-6"/>
                            <w:sz w:val="16"/>
                          </w:rPr>
                          <w:t> </w:t>
                        </w:r>
                        <w:r>
                          <w:rPr>
                            <w:sz w:val="16"/>
                          </w:rPr>
                          <w:t>metálicos</w:t>
                          <w:tab/>
                          <w:t>3.63</w:t>
                        </w:r>
                      </w:p>
                    </w:tc>
                    <w:tc>
                      <w:tcPr>
                        <w:tcW w:w="731" w:type="dxa"/>
                      </w:tcPr>
                      <w:p>
                        <w:pPr>
                          <w:pStyle w:val="TableParagraph"/>
                          <w:spacing w:line="176" w:lineRule="exact"/>
                          <w:ind w:right="138"/>
                          <w:rPr>
                            <w:sz w:val="16"/>
                          </w:rPr>
                        </w:pPr>
                        <w:r>
                          <w:rPr>
                            <w:w w:val="95"/>
                            <w:sz w:val="16"/>
                          </w:rPr>
                          <w:t>248</w:t>
                        </w:r>
                      </w:p>
                    </w:tc>
                    <w:tc>
                      <w:tcPr>
                        <w:tcW w:w="653" w:type="dxa"/>
                      </w:tcPr>
                      <w:p>
                        <w:pPr>
                          <w:pStyle w:val="TableParagraph"/>
                          <w:spacing w:line="176" w:lineRule="exact"/>
                          <w:ind w:left="140"/>
                          <w:jc w:val="left"/>
                          <w:rPr>
                            <w:sz w:val="16"/>
                          </w:rPr>
                        </w:pPr>
                        <w:r>
                          <w:rPr>
                            <w:sz w:val="16"/>
                          </w:rPr>
                          <w:t>0.94</w:t>
                        </w:r>
                      </w:p>
                    </w:tc>
                    <w:tc>
                      <w:tcPr>
                        <w:tcW w:w="627" w:type="dxa"/>
                      </w:tcPr>
                      <w:p>
                        <w:pPr>
                          <w:pStyle w:val="TableParagraph"/>
                          <w:spacing w:line="176" w:lineRule="exact"/>
                          <w:ind w:right="33"/>
                          <w:rPr>
                            <w:sz w:val="16"/>
                          </w:rPr>
                        </w:pPr>
                        <w:r>
                          <w:rPr>
                            <w:w w:val="95"/>
                            <w:sz w:val="16"/>
                          </w:rPr>
                          <w:t>248</w:t>
                        </w:r>
                      </w:p>
                    </w:tc>
                  </w:tr>
                  <w:tr>
                    <w:trPr>
                      <w:trHeight w:val="322" w:hRule="exact"/>
                    </w:trPr>
                    <w:tc>
                      <w:tcPr>
                        <w:tcW w:w="3812" w:type="dxa"/>
                      </w:tcPr>
                      <w:p>
                        <w:pPr>
                          <w:pStyle w:val="TableParagraph"/>
                          <w:tabs>
                            <w:tab w:pos="875" w:val="left" w:leader="none"/>
                          </w:tabs>
                          <w:spacing w:line="128" w:lineRule="exact"/>
                          <w:ind w:left="73"/>
                          <w:jc w:val="left"/>
                          <w:rPr>
                            <w:sz w:val="16"/>
                          </w:rPr>
                        </w:pPr>
                        <w:r>
                          <w:rPr>
                            <w:position w:val="-8"/>
                            <w:sz w:val="16"/>
                          </w:rPr>
                          <w:t>2123</w:t>
                          <w:tab/>
                        </w:r>
                        <w:r>
                          <w:rPr>
                            <w:sz w:val="16"/>
                          </w:rPr>
                          <w:t>Minería</w:t>
                        </w:r>
                        <w:r>
                          <w:rPr>
                            <w:spacing w:val="-16"/>
                            <w:sz w:val="16"/>
                          </w:rPr>
                          <w:t> </w:t>
                        </w:r>
                        <w:r>
                          <w:rPr>
                            <w:sz w:val="16"/>
                          </w:rPr>
                          <w:t>de</w:t>
                        </w:r>
                        <w:r>
                          <w:rPr>
                            <w:spacing w:val="-16"/>
                            <w:sz w:val="16"/>
                          </w:rPr>
                          <w:t> </w:t>
                        </w:r>
                        <w:r>
                          <w:rPr>
                            <w:sz w:val="16"/>
                          </w:rPr>
                          <w:t>minerales</w:t>
                        </w:r>
                        <w:r>
                          <w:rPr>
                            <w:spacing w:val="-16"/>
                            <w:sz w:val="16"/>
                          </w:rPr>
                          <w:t> </w:t>
                        </w:r>
                        <w:r>
                          <w:rPr>
                            <w:sz w:val="16"/>
                          </w:rPr>
                          <w:t>no</w:t>
                        </w:r>
                      </w:p>
                      <w:p>
                        <w:pPr>
                          <w:pStyle w:val="TableParagraph"/>
                          <w:tabs>
                            <w:tab w:pos="3573" w:val="right" w:leader="none"/>
                          </w:tabs>
                          <w:spacing w:line="183" w:lineRule="exact"/>
                          <w:ind w:left="875"/>
                          <w:jc w:val="left"/>
                          <w:rPr>
                            <w:sz w:val="16"/>
                          </w:rPr>
                        </w:pPr>
                        <w:r>
                          <w:rPr>
                            <w:sz w:val="16"/>
                          </w:rPr>
                          <w:t>metálicos</w:t>
                        </w:r>
                        <w:r>
                          <w:rPr>
                            <w:position w:val="9"/>
                            <w:sz w:val="16"/>
                          </w:rPr>
                          <w:tab/>
                          <w:t>3.49</w:t>
                        </w:r>
                      </w:p>
                    </w:tc>
                    <w:tc>
                      <w:tcPr>
                        <w:tcW w:w="731" w:type="dxa"/>
                      </w:tcPr>
                      <w:p>
                        <w:pPr>
                          <w:pStyle w:val="TableParagraph"/>
                          <w:spacing w:before="35"/>
                          <w:ind w:right="138"/>
                          <w:rPr>
                            <w:sz w:val="16"/>
                          </w:rPr>
                        </w:pPr>
                        <w:r>
                          <w:rPr>
                            <w:w w:val="95"/>
                            <w:sz w:val="16"/>
                          </w:rPr>
                          <w:t>125</w:t>
                        </w:r>
                      </w:p>
                    </w:tc>
                    <w:tc>
                      <w:tcPr>
                        <w:tcW w:w="653" w:type="dxa"/>
                      </w:tcPr>
                      <w:p>
                        <w:pPr>
                          <w:pStyle w:val="TableParagraph"/>
                          <w:spacing w:before="35"/>
                          <w:ind w:left="140"/>
                          <w:jc w:val="left"/>
                          <w:rPr>
                            <w:sz w:val="16"/>
                          </w:rPr>
                        </w:pPr>
                        <w:r>
                          <w:rPr>
                            <w:sz w:val="16"/>
                          </w:rPr>
                          <w:t>0.43</w:t>
                        </w:r>
                      </w:p>
                    </w:tc>
                    <w:tc>
                      <w:tcPr>
                        <w:tcW w:w="627" w:type="dxa"/>
                      </w:tcPr>
                      <w:p>
                        <w:pPr>
                          <w:pStyle w:val="TableParagraph"/>
                          <w:spacing w:before="35"/>
                          <w:ind w:right="33"/>
                          <w:rPr>
                            <w:sz w:val="16"/>
                          </w:rPr>
                        </w:pPr>
                        <w:r>
                          <w:rPr>
                            <w:w w:val="95"/>
                            <w:sz w:val="16"/>
                          </w:rPr>
                          <w:t>125</w:t>
                        </w:r>
                      </w:p>
                    </w:tc>
                  </w:tr>
                  <w:tr>
                    <w:trPr>
                      <w:trHeight w:val="370" w:hRule="exact"/>
                    </w:trPr>
                    <w:tc>
                      <w:tcPr>
                        <w:tcW w:w="3812" w:type="dxa"/>
                      </w:tcPr>
                      <w:p>
                        <w:pPr>
                          <w:pStyle w:val="TableParagraph"/>
                          <w:tabs>
                            <w:tab w:pos="875" w:val="left" w:leader="none"/>
                          </w:tabs>
                          <w:spacing w:line="176" w:lineRule="exact"/>
                          <w:ind w:left="73"/>
                          <w:jc w:val="left"/>
                          <w:rPr>
                            <w:sz w:val="16"/>
                          </w:rPr>
                        </w:pPr>
                        <w:r>
                          <w:rPr>
                            <w:position w:val="-8"/>
                            <w:sz w:val="16"/>
                          </w:rPr>
                          <w:t>2131</w:t>
                          <w:tab/>
                        </w:r>
                        <w:r>
                          <w:rPr>
                            <w:w w:val="95"/>
                            <w:sz w:val="16"/>
                          </w:rPr>
                          <w:t>Servicios</w:t>
                        </w:r>
                        <w:r>
                          <w:rPr>
                            <w:spacing w:val="25"/>
                            <w:w w:val="95"/>
                            <w:sz w:val="16"/>
                          </w:rPr>
                          <w:t> </w:t>
                        </w:r>
                        <w:r>
                          <w:rPr>
                            <w:w w:val="95"/>
                            <w:sz w:val="16"/>
                          </w:rPr>
                          <w:t>relacionados</w:t>
                        </w:r>
                      </w:p>
                      <w:p>
                        <w:pPr>
                          <w:pStyle w:val="TableParagraph"/>
                          <w:tabs>
                            <w:tab w:pos="3573" w:val="right" w:leader="none"/>
                          </w:tabs>
                          <w:spacing w:line="183" w:lineRule="exact"/>
                          <w:ind w:left="875"/>
                          <w:jc w:val="left"/>
                          <w:rPr>
                            <w:sz w:val="16"/>
                          </w:rPr>
                        </w:pPr>
                        <w:r>
                          <w:rPr>
                            <w:sz w:val="16"/>
                          </w:rPr>
                          <w:t>con</w:t>
                        </w:r>
                        <w:r>
                          <w:rPr>
                            <w:spacing w:val="-2"/>
                            <w:sz w:val="16"/>
                          </w:rPr>
                          <w:t> </w:t>
                        </w:r>
                        <w:r>
                          <w:rPr>
                            <w:sz w:val="16"/>
                          </w:rPr>
                          <w:t>la</w:t>
                        </w:r>
                        <w:r>
                          <w:rPr>
                            <w:spacing w:val="-2"/>
                            <w:sz w:val="16"/>
                          </w:rPr>
                          <w:t> </w:t>
                        </w:r>
                        <w:r>
                          <w:rPr>
                            <w:sz w:val="16"/>
                          </w:rPr>
                          <w:t>minería</w:t>
                        </w:r>
                        <w:r>
                          <w:rPr>
                            <w:position w:val="9"/>
                            <w:sz w:val="16"/>
                          </w:rPr>
                          <w:tab/>
                          <w:t>3.67</w:t>
                        </w:r>
                      </w:p>
                    </w:tc>
                    <w:tc>
                      <w:tcPr>
                        <w:tcW w:w="731" w:type="dxa"/>
                      </w:tcPr>
                      <w:p>
                        <w:pPr>
                          <w:pStyle w:val="TableParagraph"/>
                          <w:spacing w:before="83"/>
                          <w:ind w:right="138"/>
                          <w:rPr>
                            <w:sz w:val="16"/>
                          </w:rPr>
                        </w:pPr>
                        <w:r>
                          <w:rPr>
                            <w:w w:val="95"/>
                            <w:sz w:val="16"/>
                          </w:rPr>
                          <w:t>51</w:t>
                        </w:r>
                      </w:p>
                    </w:tc>
                    <w:tc>
                      <w:tcPr>
                        <w:tcW w:w="653" w:type="dxa"/>
                      </w:tcPr>
                      <w:p>
                        <w:pPr>
                          <w:pStyle w:val="TableParagraph"/>
                          <w:spacing w:before="83"/>
                          <w:ind w:left="140"/>
                          <w:jc w:val="left"/>
                          <w:rPr>
                            <w:sz w:val="16"/>
                          </w:rPr>
                        </w:pPr>
                        <w:r>
                          <w:rPr>
                            <w:sz w:val="16"/>
                          </w:rPr>
                          <w:t>0.89</w:t>
                        </w:r>
                      </w:p>
                    </w:tc>
                    <w:tc>
                      <w:tcPr>
                        <w:tcW w:w="627" w:type="dxa"/>
                      </w:tcPr>
                      <w:p>
                        <w:pPr>
                          <w:pStyle w:val="TableParagraph"/>
                          <w:spacing w:before="83"/>
                          <w:ind w:right="33"/>
                          <w:rPr>
                            <w:sz w:val="16"/>
                          </w:rPr>
                        </w:pPr>
                        <w:r>
                          <w:rPr>
                            <w:w w:val="95"/>
                            <w:sz w:val="16"/>
                          </w:rPr>
                          <w:t>51</w:t>
                        </w:r>
                      </w:p>
                    </w:tc>
                  </w:tr>
                  <w:tr>
                    <w:trPr>
                      <w:trHeight w:val="367" w:hRule="exact"/>
                    </w:trPr>
                    <w:tc>
                      <w:tcPr>
                        <w:tcW w:w="3812" w:type="dxa"/>
                      </w:tcPr>
                      <w:p>
                        <w:pPr>
                          <w:pStyle w:val="TableParagraph"/>
                          <w:tabs>
                            <w:tab w:pos="875" w:val="left" w:leader="none"/>
                          </w:tabs>
                          <w:spacing w:line="178" w:lineRule="exact"/>
                          <w:ind w:left="73"/>
                          <w:jc w:val="left"/>
                          <w:rPr>
                            <w:sz w:val="16"/>
                          </w:rPr>
                        </w:pPr>
                        <w:r>
                          <w:rPr>
                            <w:position w:val="-9"/>
                            <w:sz w:val="16"/>
                          </w:rPr>
                          <w:t>2210</w:t>
                          <w:tab/>
                        </w:r>
                        <w:r>
                          <w:rPr>
                            <w:sz w:val="16"/>
                          </w:rPr>
                          <w:t>Generación,</w:t>
                        </w:r>
                        <w:r>
                          <w:rPr>
                            <w:spacing w:val="-27"/>
                            <w:sz w:val="16"/>
                          </w:rPr>
                          <w:t> </w:t>
                        </w:r>
                        <w:r>
                          <w:rPr>
                            <w:sz w:val="16"/>
                          </w:rPr>
                          <w:t>transmisión</w:t>
                        </w:r>
                        <w:r>
                          <w:rPr>
                            <w:spacing w:val="-27"/>
                            <w:sz w:val="16"/>
                          </w:rPr>
                          <w:t> </w:t>
                        </w:r>
                        <w:r>
                          <w:rPr>
                            <w:sz w:val="16"/>
                          </w:rPr>
                          <w:t>y</w:t>
                        </w:r>
                      </w:p>
                      <w:p>
                        <w:pPr>
                          <w:pStyle w:val="TableParagraph"/>
                          <w:tabs>
                            <w:tab w:pos="3573" w:val="right" w:leader="none"/>
                          </w:tabs>
                          <w:spacing w:line="181" w:lineRule="exact"/>
                          <w:ind w:left="875"/>
                          <w:jc w:val="left"/>
                          <w:rPr>
                            <w:sz w:val="16"/>
                          </w:rPr>
                        </w:pPr>
                        <w:r>
                          <w:rPr>
                            <w:sz w:val="16"/>
                          </w:rPr>
                          <w:t>distribución de</w:t>
                        </w:r>
                        <w:r>
                          <w:rPr>
                            <w:spacing w:val="-12"/>
                            <w:sz w:val="16"/>
                          </w:rPr>
                          <w:t> </w:t>
                        </w:r>
                        <w:r>
                          <w:rPr>
                            <w:sz w:val="16"/>
                          </w:rPr>
                          <w:t>energía</w:t>
                        </w:r>
                        <w:r>
                          <w:rPr>
                            <w:spacing w:val="-6"/>
                            <w:sz w:val="16"/>
                          </w:rPr>
                          <w:t> </w:t>
                        </w:r>
                        <w:r>
                          <w:rPr>
                            <w:sz w:val="16"/>
                          </w:rPr>
                          <w:t>eléctrica</w:t>
                        </w:r>
                        <w:r>
                          <w:rPr>
                            <w:position w:val="9"/>
                            <w:sz w:val="16"/>
                          </w:rPr>
                          <w:tab/>
                          <w:t>7.05</w:t>
                        </w:r>
                      </w:p>
                    </w:tc>
                    <w:tc>
                      <w:tcPr>
                        <w:tcW w:w="731" w:type="dxa"/>
                      </w:tcPr>
                      <w:p>
                        <w:pPr>
                          <w:pStyle w:val="TableParagraph"/>
                          <w:spacing w:before="83"/>
                          <w:ind w:right="138"/>
                          <w:rPr>
                            <w:sz w:val="16"/>
                          </w:rPr>
                        </w:pPr>
                        <w:r>
                          <w:rPr>
                            <w:w w:val="95"/>
                            <w:sz w:val="16"/>
                          </w:rPr>
                          <w:t>340</w:t>
                        </w:r>
                      </w:p>
                    </w:tc>
                    <w:tc>
                      <w:tcPr>
                        <w:tcW w:w="653" w:type="dxa"/>
                      </w:tcPr>
                      <w:p>
                        <w:pPr>
                          <w:pStyle w:val="TableParagraph"/>
                          <w:spacing w:before="83"/>
                          <w:ind w:left="140"/>
                          <w:jc w:val="left"/>
                          <w:rPr>
                            <w:sz w:val="16"/>
                          </w:rPr>
                        </w:pPr>
                        <w:r>
                          <w:rPr>
                            <w:sz w:val="16"/>
                          </w:rPr>
                          <w:t>0.96</w:t>
                        </w:r>
                      </w:p>
                    </w:tc>
                    <w:tc>
                      <w:tcPr>
                        <w:tcW w:w="627" w:type="dxa"/>
                      </w:tcPr>
                      <w:p>
                        <w:pPr>
                          <w:pStyle w:val="TableParagraph"/>
                          <w:spacing w:before="83"/>
                          <w:ind w:right="33"/>
                          <w:rPr>
                            <w:sz w:val="16"/>
                          </w:rPr>
                        </w:pPr>
                        <w:r>
                          <w:rPr>
                            <w:w w:val="95"/>
                            <w:sz w:val="16"/>
                          </w:rPr>
                          <w:t>340</w:t>
                        </w:r>
                      </w:p>
                    </w:tc>
                  </w:tr>
                  <w:tr>
                    <w:trPr>
                      <w:trHeight w:val="322" w:hRule="exact"/>
                    </w:trPr>
                    <w:tc>
                      <w:tcPr>
                        <w:tcW w:w="3812" w:type="dxa"/>
                      </w:tcPr>
                      <w:p>
                        <w:pPr>
                          <w:pStyle w:val="TableParagraph"/>
                          <w:tabs>
                            <w:tab w:pos="875" w:val="left" w:leader="none"/>
                            <w:tab w:pos="3573" w:val="right" w:leader="none"/>
                          </w:tabs>
                          <w:spacing w:line="2" w:lineRule="auto" w:before="138"/>
                          <w:ind w:left="875" w:right="237" w:hanging="803"/>
                          <w:jc w:val="left"/>
                          <w:rPr>
                            <w:sz w:val="16"/>
                          </w:rPr>
                        </w:pPr>
                        <w:r>
                          <w:rPr>
                            <w:position w:val="-8"/>
                            <w:sz w:val="16"/>
                          </w:rPr>
                          <w:t>2222</w:t>
                          <w:tab/>
                        </w:r>
                        <w:r>
                          <w:rPr>
                            <w:sz w:val="16"/>
                          </w:rPr>
                          <w:t>Suministro</w:t>
                        </w:r>
                        <w:r>
                          <w:rPr>
                            <w:spacing w:val="-13"/>
                            <w:sz w:val="16"/>
                          </w:rPr>
                          <w:t> </w:t>
                        </w:r>
                        <w:r>
                          <w:rPr>
                            <w:sz w:val="16"/>
                          </w:rPr>
                          <w:t>de</w:t>
                        </w:r>
                        <w:r>
                          <w:rPr>
                            <w:spacing w:val="-13"/>
                            <w:sz w:val="16"/>
                          </w:rPr>
                          <w:t> </w:t>
                        </w:r>
                        <w:r>
                          <w:rPr>
                            <w:sz w:val="16"/>
                          </w:rPr>
                          <w:t>gas</w:t>
                        </w:r>
                        <w:r>
                          <w:rPr>
                            <w:spacing w:val="-13"/>
                            <w:sz w:val="16"/>
                          </w:rPr>
                          <w:t> </w:t>
                        </w:r>
                        <w:r>
                          <w:rPr>
                            <w:sz w:val="16"/>
                          </w:rPr>
                          <w:t>por</w:t>
                        </w:r>
                        <w:r>
                          <w:rPr>
                            <w:spacing w:val="-13"/>
                            <w:sz w:val="16"/>
                          </w:rPr>
                          <w:t> </w:t>
                        </w:r>
                        <w:r>
                          <w:rPr>
                            <w:sz w:val="16"/>
                          </w:rPr>
                          <w:t>ductos</w:t>
                        </w:r>
                        <w:r>
                          <w:rPr>
                            <w:spacing w:val="-13"/>
                            <w:sz w:val="16"/>
                          </w:rPr>
                          <w:t> </w:t>
                        </w:r>
                        <w:r>
                          <w:rPr>
                            <w:sz w:val="16"/>
                          </w:rPr>
                          <w:t>al</w:t>
                        </w:r>
                        <w:r>
                          <w:rPr>
                            <w:w w:val="96"/>
                            <w:sz w:val="16"/>
                          </w:rPr>
                          <w:t> </w:t>
                        </w:r>
                        <w:r>
                          <w:rPr>
                            <w:sz w:val="16"/>
                          </w:rPr>
                          <w:t>consumidor</w:t>
                        </w:r>
                        <w:r>
                          <w:rPr>
                            <w:spacing w:val="-3"/>
                            <w:sz w:val="16"/>
                          </w:rPr>
                          <w:t> </w:t>
                        </w:r>
                        <w:r>
                          <w:rPr>
                            <w:sz w:val="16"/>
                          </w:rPr>
                          <w:t>final</w:t>
                        </w:r>
                        <w:r>
                          <w:rPr>
                            <w:position w:val="9"/>
                            <w:sz w:val="16"/>
                          </w:rPr>
                          <w:tab/>
                          <w:t>4.08</w:t>
                        </w:r>
                      </w:p>
                    </w:tc>
                    <w:tc>
                      <w:tcPr>
                        <w:tcW w:w="731" w:type="dxa"/>
                      </w:tcPr>
                      <w:p>
                        <w:pPr>
                          <w:pStyle w:val="TableParagraph"/>
                          <w:spacing w:before="81"/>
                          <w:ind w:right="138"/>
                          <w:rPr>
                            <w:sz w:val="16"/>
                          </w:rPr>
                        </w:pPr>
                        <w:r>
                          <w:rPr>
                            <w:w w:val="96"/>
                            <w:sz w:val="16"/>
                          </w:rPr>
                          <w:t>7</w:t>
                        </w:r>
                      </w:p>
                    </w:tc>
                    <w:tc>
                      <w:tcPr>
                        <w:tcW w:w="653" w:type="dxa"/>
                      </w:tcPr>
                      <w:p>
                        <w:pPr>
                          <w:pStyle w:val="TableParagraph"/>
                          <w:spacing w:before="81"/>
                          <w:ind w:left="140"/>
                          <w:jc w:val="left"/>
                          <w:rPr>
                            <w:sz w:val="16"/>
                          </w:rPr>
                        </w:pPr>
                        <w:r>
                          <w:rPr>
                            <w:sz w:val="16"/>
                          </w:rPr>
                          <w:t>0.93</w:t>
                        </w:r>
                      </w:p>
                    </w:tc>
                    <w:tc>
                      <w:tcPr>
                        <w:tcW w:w="627" w:type="dxa"/>
                      </w:tcPr>
                      <w:p>
                        <w:pPr>
                          <w:pStyle w:val="TableParagraph"/>
                          <w:spacing w:before="81"/>
                          <w:ind w:right="33"/>
                          <w:rPr>
                            <w:sz w:val="16"/>
                          </w:rPr>
                        </w:pPr>
                        <w:r>
                          <w:rPr>
                            <w:w w:val="96"/>
                            <w:sz w:val="16"/>
                          </w:rPr>
                          <w:t>7</w:t>
                        </w:r>
                      </w:p>
                    </w:tc>
                  </w:tr>
                  <w:tr>
                    <w:trPr>
                      <w:trHeight w:val="370" w:hRule="exact"/>
                    </w:trPr>
                    <w:tc>
                      <w:tcPr>
                        <w:tcW w:w="3812" w:type="dxa"/>
                      </w:tcPr>
                      <w:p>
                        <w:pPr>
                          <w:pStyle w:val="TableParagraph"/>
                          <w:tabs>
                            <w:tab w:pos="875" w:val="left" w:leader="none"/>
                            <w:tab w:pos="3573" w:val="right" w:leader="none"/>
                          </w:tabs>
                          <w:spacing w:line="183" w:lineRule="exact" w:before="38"/>
                          <w:ind w:left="73"/>
                          <w:jc w:val="left"/>
                          <w:rPr>
                            <w:sz w:val="16"/>
                          </w:rPr>
                        </w:pPr>
                        <w:r>
                          <w:rPr>
                            <w:sz w:val="16"/>
                          </w:rPr>
                          <w:t>3150</w:t>
                          <w:tab/>
                          <w:t>Fabricación de prendas</w:t>
                        </w:r>
                        <w:r>
                          <w:rPr>
                            <w:spacing w:val="-18"/>
                            <w:sz w:val="16"/>
                          </w:rPr>
                          <w:t> </w:t>
                        </w:r>
                        <w:r>
                          <w:rPr>
                            <w:sz w:val="16"/>
                          </w:rPr>
                          <w:t>de</w:t>
                        </w:r>
                        <w:r>
                          <w:rPr>
                            <w:spacing w:val="-6"/>
                            <w:sz w:val="16"/>
                          </w:rPr>
                          <w:t> </w:t>
                        </w:r>
                        <w:r>
                          <w:rPr>
                            <w:sz w:val="16"/>
                          </w:rPr>
                          <w:t>vestir</w:t>
                          <w:tab/>
                          <w:t>2.40</w:t>
                        </w:r>
                      </w:p>
                      <w:p>
                        <w:pPr>
                          <w:pStyle w:val="TableParagraph"/>
                          <w:spacing w:line="183" w:lineRule="exact"/>
                          <w:ind w:left="835" w:right="1058"/>
                          <w:jc w:val="center"/>
                          <w:rPr>
                            <w:sz w:val="16"/>
                          </w:rPr>
                        </w:pPr>
                        <w:r>
                          <w:rPr>
                            <w:sz w:val="16"/>
                          </w:rPr>
                          <w:t>Curtido y acabado de cuero y</w:t>
                        </w:r>
                      </w:p>
                    </w:tc>
                    <w:tc>
                      <w:tcPr>
                        <w:tcW w:w="731" w:type="dxa"/>
                      </w:tcPr>
                      <w:p>
                        <w:pPr>
                          <w:pStyle w:val="TableParagraph"/>
                          <w:spacing w:before="38"/>
                          <w:ind w:right="138"/>
                          <w:rPr>
                            <w:sz w:val="16"/>
                          </w:rPr>
                        </w:pPr>
                        <w:r>
                          <w:rPr>
                            <w:sz w:val="16"/>
                          </w:rPr>
                          <w:t>2 077</w:t>
                        </w:r>
                      </w:p>
                    </w:tc>
                    <w:tc>
                      <w:tcPr>
                        <w:tcW w:w="653" w:type="dxa"/>
                      </w:tcPr>
                      <w:p>
                        <w:pPr>
                          <w:pStyle w:val="TableParagraph"/>
                          <w:spacing w:before="38"/>
                          <w:ind w:left="140"/>
                          <w:jc w:val="left"/>
                          <w:rPr>
                            <w:sz w:val="16"/>
                          </w:rPr>
                        </w:pPr>
                        <w:r>
                          <w:rPr>
                            <w:sz w:val="16"/>
                          </w:rPr>
                          <w:t>0.36</w:t>
                        </w:r>
                      </w:p>
                    </w:tc>
                    <w:tc>
                      <w:tcPr>
                        <w:tcW w:w="627" w:type="dxa"/>
                      </w:tcPr>
                      <w:p>
                        <w:pPr>
                          <w:pStyle w:val="TableParagraph"/>
                          <w:spacing w:before="38"/>
                          <w:ind w:right="33"/>
                          <w:rPr>
                            <w:sz w:val="16"/>
                          </w:rPr>
                        </w:pPr>
                        <w:r>
                          <w:rPr>
                            <w:sz w:val="16"/>
                          </w:rPr>
                          <w:t>2 075</w:t>
                        </w:r>
                      </w:p>
                    </w:tc>
                  </w:tr>
                  <w:tr>
                    <w:trPr>
                      <w:trHeight w:val="458" w:hRule="exact"/>
                    </w:trPr>
                    <w:tc>
                      <w:tcPr>
                        <w:tcW w:w="3812" w:type="dxa"/>
                      </w:tcPr>
                      <w:p>
                        <w:pPr>
                          <w:pStyle w:val="TableParagraph"/>
                          <w:tabs>
                            <w:tab w:pos="875" w:val="left" w:leader="none"/>
                            <w:tab w:pos="3573" w:val="right" w:leader="none"/>
                          </w:tabs>
                          <w:spacing w:before="33"/>
                          <w:ind w:left="73"/>
                          <w:jc w:val="left"/>
                          <w:rPr>
                            <w:sz w:val="16"/>
                          </w:rPr>
                        </w:pPr>
                        <w:r>
                          <w:rPr>
                            <w:position w:val="-9"/>
                            <w:sz w:val="16"/>
                          </w:rPr>
                          <w:t>3160</w:t>
                          <w:tab/>
                        </w:r>
                        <w:r>
                          <w:rPr>
                            <w:sz w:val="16"/>
                          </w:rPr>
                          <w:t>piel, y fabricación</w:t>
                        </w:r>
                        <w:r>
                          <w:rPr>
                            <w:spacing w:val="-16"/>
                            <w:sz w:val="16"/>
                          </w:rPr>
                          <w:t> </w:t>
                        </w:r>
                        <w:r>
                          <w:rPr>
                            <w:sz w:val="16"/>
                          </w:rPr>
                          <w:t>de</w:t>
                        </w:r>
                        <w:r>
                          <w:rPr>
                            <w:spacing w:val="-6"/>
                            <w:sz w:val="16"/>
                          </w:rPr>
                          <w:t> </w:t>
                        </w:r>
                        <w:r>
                          <w:rPr>
                            <w:sz w:val="16"/>
                          </w:rPr>
                          <w:t>productos</w:t>
                        </w:r>
                        <w:r>
                          <w:rPr>
                            <w:position w:val="-9"/>
                            <w:sz w:val="16"/>
                          </w:rPr>
                          <w:tab/>
                          <w:t>2.72</w:t>
                        </w:r>
                      </w:p>
                    </w:tc>
                    <w:tc>
                      <w:tcPr>
                        <w:tcW w:w="731" w:type="dxa"/>
                      </w:tcPr>
                      <w:p>
                        <w:pPr>
                          <w:pStyle w:val="TableParagraph"/>
                          <w:spacing w:before="129"/>
                          <w:ind w:right="138"/>
                          <w:rPr>
                            <w:sz w:val="16"/>
                          </w:rPr>
                        </w:pPr>
                        <w:r>
                          <w:rPr>
                            <w:sz w:val="16"/>
                          </w:rPr>
                          <w:t>1 094</w:t>
                        </w:r>
                      </w:p>
                    </w:tc>
                    <w:tc>
                      <w:tcPr>
                        <w:tcW w:w="653" w:type="dxa"/>
                      </w:tcPr>
                      <w:p>
                        <w:pPr>
                          <w:pStyle w:val="TableParagraph"/>
                          <w:spacing w:before="129"/>
                          <w:ind w:left="140"/>
                          <w:jc w:val="left"/>
                          <w:rPr>
                            <w:sz w:val="16"/>
                          </w:rPr>
                        </w:pPr>
                        <w:r>
                          <w:rPr>
                            <w:sz w:val="16"/>
                          </w:rPr>
                          <w:t>0.42</w:t>
                        </w:r>
                      </w:p>
                    </w:tc>
                    <w:tc>
                      <w:tcPr>
                        <w:tcW w:w="627" w:type="dxa"/>
                      </w:tcPr>
                      <w:p>
                        <w:pPr>
                          <w:pStyle w:val="TableParagraph"/>
                          <w:spacing w:before="129"/>
                          <w:ind w:right="33"/>
                          <w:rPr>
                            <w:sz w:val="16"/>
                          </w:rPr>
                        </w:pPr>
                        <w:r>
                          <w:rPr>
                            <w:sz w:val="16"/>
                          </w:rPr>
                          <w:t>1 092</w:t>
                        </w:r>
                      </w:p>
                    </w:tc>
                  </w:tr>
                  <w:tr>
                    <w:trPr>
                      <w:trHeight w:val="413" w:hRule="exact"/>
                    </w:trPr>
                    <w:tc>
                      <w:tcPr>
                        <w:tcW w:w="3812" w:type="dxa"/>
                      </w:tcPr>
                      <w:p>
                        <w:pPr>
                          <w:pStyle w:val="TableParagraph"/>
                          <w:spacing w:line="128" w:lineRule="exact"/>
                          <w:ind w:left="875"/>
                          <w:jc w:val="left"/>
                          <w:rPr>
                            <w:sz w:val="16"/>
                          </w:rPr>
                        </w:pPr>
                        <w:r>
                          <w:rPr>
                            <w:sz w:val="16"/>
                          </w:rPr>
                          <w:t>sucedáneos</w:t>
                        </w:r>
                      </w:p>
                      <w:p>
                        <w:pPr>
                          <w:pStyle w:val="TableParagraph"/>
                          <w:tabs>
                            <w:tab w:pos="875" w:val="left" w:leader="none"/>
                            <w:tab w:pos="3573" w:val="right" w:leader="none"/>
                          </w:tabs>
                          <w:spacing w:line="183" w:lineRule="exact"/>
                          <w:ind w:left="73"/>
                          <w:jc w:val="left"/>
                          <w:rPr>
                            <w:sz w:val="16"/>
                          </w:rPr>
                        </w:pPr>
                        <w:r>
                          <w:rPr>
                            <w:sz w:val="16"/>
                          </w:rPr>
                          <w:t>3230</w:t>
                          <w:tab/>
                          <w:t>Impresión e</w:t>
                        </w:r>
                        <w:r>
                          <w:rPr>
                            <w:spacing w:val="-11"/>
                            <w:sz w:val="16"/>
                          </w:rPr>
                          <w:t> </w:t>
                        </w:r>
                        <w:r>
                          <w:rPr>
                            <w:sz w:val="16"/>
                          </w:rPr>
                          <w:t>industrias</w:t>
                        </w:r>
                        <w:r>
                          <w:rPr>
                            <w:spacing w:val="-6"/>
                            <w:sz w:val="16"/>
                          </w:rPr>
                          <w:t> </w:t>
                        </w:r>
                        <w:r>
                          <w:rPr>
                            <w:sz w:val="16"/>
                          </w:rPr>
                          <w:t>conexas</w:t>
                          <w:tab/>
                          <w:t>3.88</w:t>
                        </w:r>
                      </w:p>
                    </w:tc>
                    <w:tc>
                      <w:tcPr>
                        <w:tcW w:w="731" w:type="dxa"/>
                      </w:tcPr>
                      <w:p>
                        <w:pPr>
                          <w:pStyle w:val="TableParagraph"/>
                          <w:spacing w:before="127"/>
                          <w:ind w:right="138"/>
                          <w:rPr>
                            <w:sz w:val="16"/>
                          </w:rPr>
                        </w:pPr>
                        <w:r>
                          <w:rPr>
                            <w:w w:val="95"/>
                            <w:sz w:val="16"/>
                          </w:rPr>
                          <w:t>394</w:t>
                        </w:r>
                      </w:p>
                    </w:tc>
                    <w:tc>
                      <w:tcPr>
                        <w:tcW w:w="653" w:type="dxa"/>
                      </w:tcPr>
                      <w:p>
                        <w:pPr>
                          <w:pStyle w:val="TableParagraph"/>
                          <w:spacing w:before="127"/>
                          <w:ind w:left="140"/>
                          <w:jc w:val="left"/>
                          <w:rPr>
                            <w:sz w:val="16"/>
                          </w:rPr>
                        </w:pPr>
                        <w:r>
                          <w:rPr>
                            <w:sz w:val="16"/>
                          </w:rPr>
                          <w:t>0.46</w:t>
                        </w:r>
                      </w:p>
                    </w:tc>
                    <w:tc>
                      <w:tcPr>
                        <w:tcW w:w="627" w:type="dxa"/>
                      </w:tcPr>
                      <w:p>
                        <w:pPr>
                          <w:pStyle w:val="TableParagraph"/>
                          <w:spacing w:before="127"/>
                          <w:ind w:right="33"/>
                          <w:rPr>
                            <w:sz w:val="16"/>
                          </w:rPr>
                        </w:pPr>
                        <w:r>
                          <w:rPr>
                            <w:w w:val="95"/>
                            <w:sz w:val="16"/>
                          </w:rPr>
                          <w:t>393</w:t>
                        </w:r>
                      </w:p>
                    </w:tc>
                  </w:tr>
                  <w:tr>
                    <w:trPr>
                      <w:trHeight w:val="370" w:hRule="exact"/>
                    </w:trPr>
                    <w:tc>
                      <w:tcPr>
                        <w:tcW w:w="3812" w:type="dxa"/>
                      </w:tcPr>
                      <w:p>
                        <w:pPr>
                          <w:pStyle w:val="TableParagraph"/>
                          <w:tabs>
                            <w:tab w:pos="875" w:val="left" w:leader="none"/>
                            <w:tab w:pos="3573" w:val="right" w:leader="none"/>
                          </w:tabs>
                          <w:spacing w:before="83"/>
                          <w:ind w:left="73"/>
                          <w:jc w:val="left"/>
                          <w:rPr>
                            <w:sz w:val="16"/>
                          </w:rPr>
                        </w:pPr>
                        <w:r>
                          <w:rPr>
                            <w:sz w:val="16"/>
                          </w:rPr>
                          <w:t>3240</w:t>
                          <w:tab/>
                          <w:t>derivados del petróleo</w:t>
                        </w:r>
                        <w:r>
                          <w:rPr>
                            <w:spacing w:val="-12"/>
                            <w:sz w:val="16"/>
                          </w:rPr>
                          <w:t> </w:t>
                        </w:r>
                        <w:r>
                          <w:rPr>
                            <w:sz w:val="16"/>
                          </w:rPr>
                          <w:t>y</w:t>
                        </w:r>
                        <w:r>
                          <w:rPr>
                            <w:spacing w:val="-4"/>
                            <w:sz w:val="16"/>
                          </w:rPr>
                          <w:t> </w:t>
                        </w:r>
                        <w:r>
                          <w:rPr>
                            <w:sz w:val="16"/>
                          </w:rPr>
                          <w:t>del</w:t>
                          <w:tab/>
                          <w:t>7.41</w:t>
                        </w:r>
                      </w:p>
                    </w:tc>
                    <w:tc>
                      <w:tcPr>
                        <w:tcW w:w="731" w:type="dxa"/>
                      </w:tcPr>
                      <w:p>
                        <w:pPr>
                          <w:pStyle w:val="TableParagraph"/>
                          <w:spacing w:before="83"/>
                          <w:ind w:right="138"/>
                          <w:rPr>
                            <w:sz w:val="16"/>
                          </w:rPr>
                        </w:pPr>
                        <w:r>
                          <w:rPr>
                            <w:w w:val="95"/>
                            <w:sz w:val="16"/>
                          </w:rPr>
                          <w:t>184</w:t>
                        </w:r>
                      </w:p>
                    </w:tc>
                    <w:tc>
                      <w:tcPr>
                        <w:tcW w:w="653" w:type="dxa"/>
                      </w:tcPr>
                      <w:p>
                        <w:pPr>
                          <w:pStyle w:val="TableParagraph"/>
                          <w:spacing w:before="83"/>
                          <w:ind w:left="140"/>
                          <w:jc w:val="left"/>
                          <w:rPr>
                            <w:sz w:val="16"/>
                          </w:rPr>
                        </w:pPr>
                        <w:r>
                          <w:rPr>
                            <w:sz w:val="16"/>
                          </w:rPr>
                          <w:t>0.17</w:t>
                        </w:r>
                      </w:p>
                    </w:tc>
                    <w:tc>
                      <w:tcPr>
                        <w:tcW w:w="627" w:type="dxa"/>
                      </w:tcPr>
                      <w:p>
                        <w:pPr>
                          <w:pStyle w:val="TableParagraph"/>
                          <w:spacing w:before="83"/>
                          <w:ind w:right="33"/>
                          <w:rPr>
                            <w:sz w:val="16"/>
                          </w:rPr>
                        </w:pPr>
                        <w:r>
                          <w:rPr>
                            <w:w w:val="95"/>
                            <w:sz w:val="16"/>
                          </w:rPr>
                          <w:t>184</w:t>
                        </w:r>
                      </w:p>
                    </w:tc>
                  </w:tr>
                  <w:tr>
                    <w:trPr>
                      <w:trHeight w:val="322" w:hRule="exact"/>
                    </w:trPr>
                    <w:tc>
                      <w:tcPr>
                        <w:tcW w:w="3812" w:type="dxa"/>
                      </w:tcPr>
                      <w:p>
                        <w:pPr>
                          <w:pStyle w:val="TableParagraph"/>
                          <w:tabs>
                            <w:tab w:pos="875" w:val="left" w:leader="none"/>
                            <w:tab w:pos="3573" w:val="right" w:leader="none"/>
                          </w:tabs>
                          <w:spacing w:before="83"/>
                          <w:ind w:left="73"/>
                          <w:jc w:val="left"/>
                          <w:rPr>
                            <w:sz w:val="16"/>
                          </w:rPr>
                        </w:pPr>
                        <w:r>
                          <w:rPr>
                            <w:sz w:val="16"/>
                          </w:rPr>
                          <w:t>3250</w:t>
                          <w:tab/>
                          <w:t>Industria</w:t>
                        </w:r>
                        <w:r>
                          <w:rPr>
                            <w:spacing w:val="-3"/>
                            <w:sz w:val="16"/>
                          </w:rPr>
                          <w:t> </w:t>
                        </w:r>
                        <w:r>
                          <w:rPr>
                            <w:sz w:val="16"/>
                          </w:rPr>
                          <w:t>química</w:t>
                          <w:tab/>
                          <w:t>4.92</w:t>
                        </w:r>
                      </w:p>
                    </w:tc>
                    <w:tc>
                      <w:tcPr>
                        <w:tcW w:w="731" w:type="dxa"/>
                      </w:tcPr>
                      <w:p>
                        <w:pPr>
                          <w:pStyle w:val="TableParagraph"/>
                          <w:spacing w:before="83"/>
                          <w:ind w:right="138"/>
                          <w:rPr>
                            <w:sz w:val="16"/>
                          </w:rPr>
                        </w:pPr>
                        <w:r>
                          <w:rPr>
                            <w:w w:val="95"/>
                            <w:sz w:val="16"/>
                          </w:rPr>
                          <w:t>577</w:t>
                        </w:r>
                      </w:p>
                    </w:tc>
                    <w:tc>
                      <w:tcPr>
                        <w:tcW w:w="653" w:type="dxa"/>
                      </w:tcPr>
                      <w:p>
                        <w:pPr>
                          <w:pStyle w:val="TableParagraph"/>
                          <w:spacing w:before="83"/>
                          <w:ind w:left="140"/>
                          <w:jc w:val="left"/>
                          <w:rPr>
                            <w:sz w:val="16"/>
                          </w:rPr>
                        </w:pPr>
                        <w:r>
                          <w:rPr>
                            <w:sz w:val="16"/>
                          </w:rPr>
                          <w:t>0.77</w:t>
                        </w:r>
                      </w:p>
                    </w:tc>
                    <w:tc>
                      <w:tcPr>
                        <w:tcW w:w="627" w:type="dxa"/>
                      </w:tcPr>
                      <w:p>
                        <w:pPr>
                          <w:pStyle w:val="TableParagraph"/>
                          <w:spacing w:before="83"/>
                          <w:ind w:right="33"/>
                          <w:rPr>
                            <w:sz w:val="16"/>
                          </w:rPr>
                        </w:pPr>
                        <w:r>
                          <w:rPr>
                            <w:w w:val="95"/>
                            <w:sz w:val="16"/>
                          </w:rPr>
                          <w:t>577</w:t>
                        </w:r>
                      </w:p>
                    </w:tc>
                  </w:tr>
                  <w:tr>
                    <w:trPr>
                      <w:trHeight w:val="322" w:hRule="exact"/>
                    </w:trPr>
                    <w:tc>
                      <w:tcPr>
                        <w:tcW w:w="3812" w:type="dxa"/>
                      </w:tcPr>
                      <w:p>
                        <w:pPr>
                          <w:pStyle w:val="TableParagraph"/>
                          <w:tabs>
                            <w:tab w:pos="875" w:val="left" w:leader="none"/>
                          </w:tabs>
                          <w:spacing w:line="128" w:lineRule="exact"/>
                          <w:ind w:left="73"/>
                          <w:jc w:val="left"/>
                          <w:rPr>
                            <w:sz w:val="16"/>
                          </w:rPr>
                        </w:pPr>
                        <w:r>
                          <w:rPr>
                            <w:position w:val="-8"/>
                            <w:sz w:val="16"/>
                          </w:rPr>
                          <w:t>3270</w:t>
                          <w:tab/>
                        </w:r>
                        <w:r>
                          <w:rPr>
                            <w:sz w:val="16"/>
                          </w:rPr>
                          <w:t>Fabricación</w:t>
                        </w:r>
                        <w:r>
                          <w:rPr>
                            <w:spacing w:val="-17"/>
                            <w:sz w:val="16"/>
                          </w:rPr>
                          <w:t> </w:t>
                        </w:r>
                        <w:r>
                          <w:rPr>
                            <w:sz w:val="16"/>
                          </w:rPr>
                          <w:t>de</w:t>
                        </w:r>
                        <w:r>
                          <w:rPr>
                            <w:spacing w:val="-17"/>
                            <w:sz w:val="16"/>
                          </w:rPr>
                          <w:t> </w:t>
                        </w:r>
                        <w:r>
                          <w:rPr>
                            <w:sz w:val="16"/>
                          </w:rPr>
                          <w:t>productos</w:t>
                        </w:r>
                        <w:r>
                          <w:rPr>
                            <w:spacing w:val="-17"/>
                            <w:sz w:val="16"/>
                          </w:rPr>
                          <w:t> </w:t>
                        </w:r>
                        <w:r>
                          <w:rPr>
                            <w:sz w:val="16"/>
                          </w:rPr>
                          <w:t>a</w:t>
                        </w:r>
                        <w:r>
                          <w:rPr>
                            <w:spacing w:val="-17"/>
                            <w:sz w:val="16"/>
                          </w:rPr>
                          <w:t> </w:t>
                        </w:r>
                        <w:r>
                          <w:rPr>
                            <w:sz w:val="16"/>
                          </w:rPr>
                          <w:t>base</w:t>
                        </w:r>
                      </w:p>
                      <w:p>
                        <w:pPr>
                          <w:pStyle w:val="TableParagraph"/>
                          <w:tabs>
                            <w:tab w:pos="3573" w:val="right" w:leader="none"/>
                          </w:tabs>
                          <w:spacing w:line="183" w:lineRule="exact"/>
                          <w:ind w:left="875"/>
                          <w:jc w:val="left"/>
                          <w:rPr>
                            <w:sz w:val="16"/>
                          </w:rPr>
                        </w:pPr>
                        <w:r>
                          <w:rPr>
                            <w:sz w:val="16"/>
                          </w:rPr>
                          <w:t>de minerales</w:t>
                        </w:r>
                        <w:r>
                          <w:rPr>
                            <w:spacing w:val="-7"/>
                            <w:sz w:val="16"/>
                          </w:rPr>
                          <w:t> </w:t>
                        </w:r>
                        <w:r>
                          <w:rPr>
                            <w:sz w:val="16"/>
                          </w:rPr>
                          <w:t>no</w:t>
                        </w:r>
                        <w:r>
                          <w:rPr>
                            <w:spacing w:val="-4"/>
                            <w:sz w:val="16"/>
                          </w:rPr>
                          <w:t> </w:t>
                        </w:r>
                        <w:r>
                          <w:rPr>
                            <w:sz w:val="16"/>
                          </w:rPr>
                          <w:t>metálicos</w:t>
                        </w:r>
                        <w:r>
                          <w:rPr>
                            <w:position w:val="9"/>
                            <w:sz w:val="16"/>
                          </w:rPr>
                          <w:tab/>
                          <w:t>2.65</w:t>
                        </w:r>
                      </w:p>
                    </w:tc>
                    <w:tc>
                      <w:tcPr>
                        <w:tcW w:w="731" w:type="dxa"/>
                      </w:tcPr>
                      <w:p>
                        <w:pPr>
                          <w:pStyle w:val="TableParagraph"/>
                          <w:spacing w:before="35"/>
                          <w:ind w:right="138"/>
                          <w:rPr>
                            <w:sz w:val="16"/>
                          </w:rPr>
                        </w:pPr>
                        <w:r>
                          <w:rPr>
                            <w:w w:val="95"/>
                            <w:sz w:val="16"/>
                          </w:rPr>
                          <w:t>839</w:t>
                        </w:r>
                      </w:p>
                    </w:tc>
                    <w:tc>
                      <w:tcPr>
                        <w:tcW w:w="653" w:type="dxa"/>
                      </w:tcPr>
                      <w:p>
                        <w:pPr>
                          <w:pStyle w:val="TableParagraph"/>
                          <w:spacing w:before="35"/>
                          <w:ind w:left="140"/>
                          <w:jc w:val="left"/>
                          <w:rPr>
                            <w:sz w:val="16"/>
                          </w:rPr>
                        </w:pPr>
                        <w:r>
                          <w:rPr>
                            <w:sz w:val="16"/>
                          </w:rPr>
                          <w:t>0.45</w:t>
                        </w:r>
                      </w:p>
                    </w:tc>
                    <w:tc>
                      <w:tcPr>
                        <w:tcW w:w="627" w:type="dxa"/>
                      </w:tcPr>
                      <w:p>
                        <w:pPr>
                          <w:pStyle w:val="TableParagraph"/>
                          <w:spacing w:before="35"/>
                          <w:ind w:right="33"/>
                          <w:rPr>
                            <w:sz w:val="16"/>
                          </w:rPr>
                        </w:pPr>
                        <w:r>
                          <w:rPr>
                            <w:w w:val="95"/>
                            <w:sz w:val="16"/>
                          </w:rPr>
                          <w:t>837</w:t>
                        </w:r>
                      </w:p>
                    </w:tc>
                  </w:tr>
                  <w:tr>
                    <w:trPr>
                      <w:trHeight w:val="415" w:hRule="exact"/>
                    </w:trPr>
                    <w:tc>
                      <w:tcPr>
                        <w:tcW w:w="3812" w:type="dxa"/>
                      </w:tcPr>
                      <w:p>
                        <w:pPr>
                          <w:pStyle w:val="TableParagraph"/>
                          <w:tabs>
                            <w:tab w:pos="875" w:val="left" w:leader="none"/>
                          </w:tabs>
                          <w:spacing w:line="176" w:lineRule="exact"/>
                          <w:ind w:left="73"/>
                          <w:jc w:val="left"/>
                          <w:rPr>
                            <w:sz w:val="16"/>
                          </w:rPr>
                        </w:pPr>
                        <w:r>
                          <w:rPr>
                            <w:position w:val="-8"/>
                            <w:sz w:val="16"/>
                          </w:rPr>
                          <w:t>3320</w:t>
                          <w:tab/>
                        </w:r>
                        <w:r>
                          <w:rPr>
                            <w:sz w:val="16"/>
                          </w:rPr>
                          <w:t>Fabricación</w:t>
                        </w:r>
                        <w:r>
                          <w:rPr>
                            <w:spacing w:val="-26"/>
                            <w:sz w:val="16"/>
                          </w:rPr>
                          <w:t> </w:t>
                        </w:r>
                        <w:r>
                          <w:rPr>
                            <w:sz w:val="16"/>
                          </w:rPr>
                          <w:t>de</w:t>
                        </w:r>
                        <w:r>
                          <w:rPr>
                            <w:spacing w:val="-26"/>
                            <w:sz w:val="16"/>
                          </w:rPr>
                          <w:t> </w:t>
                        </w:r>
                        <w:r>
                          <w:rPr>
                            <w:sz w:val="16"/>
                          </w:rPr>
                          <w:t>productos</w:t>
                        </w:r>
                      </w:p>
                      <w:p>
                        <w:pPr>
                          <w:pStyle w:val="TableParagraph"/>
                          <w:tabs>
                            <w:tab w:pos="3573" w:val="right" w:leader="none"/>
                          </w:tabs>
                          <w:spacing w:line="183" w:lineRule="exact"/>
                          <w:ind w:left="875"/>
                          <w:jc w:val="left"/>
                          <w:rPr>
                            <w:sz w:val="16"/>
                          </w:rPr>
                        </w:pPr>
                        <w:r>
                          <w:rPr>
                            <w:sz w:val="16"/>
                          </w:rPr>
                          <w:t>metálicos</w:t>
                        </w:r>
                        <w:r>
                          <w:rPr>
                            <w:position w:val="9"/>
                            <w:sz w:val="16"/>
                          </w:rPr>
                          <w:tab/>
                          <w:t>3.27</w:t>
                        </w:r>
                      </w:p>
                    </w:tc>
                    <w:tc>
                      <w:tcPr>
                        <w:tcW w:w="731" w:type="dxa"/>
                      </w:tcPr>
                      <w:p>
                        <w:pPr>
                          <w:pStyle w:val="TableParagraph"/>
                          <w:spacing w:before="83"/>
                          <w:ind w:right="138"/>
                          <w:rPr>
                            <w:sz w:val="16"/>
                          </w:rPr>
                        </w:pPr>
                        <w:r>
                          <w:rPr>
                            <w:sz w:val="16"/>
                          </w:rPr>
                          <w:t>1 581</w:t>
                        </w:r>
                      </w:p>
                    </w:tc>
                    <w:tc>
                      <w:tcPr>
                        <w:tcW w:w="653" w:type="dxa"/>
                      </w:tcPr>
                      <w:p>
                        <w:pPr>
                          <w:pStyle w:val="TableParagraph"/>
                          <w:spacing w:before="83"/>
                          <w:ind w:left="140"/>
                          <w:jc w:val="left"/>
                          <w:rPr>
                            <w:sz w:val="16"/>
                          </w:rPr>
                        </w:pPr>
                        <w:r>
                          <w:rPr>
                            <w:sz w:val="16"/>
                          </w:rPr>
                          <w:t>0.45</w:t>
                        </w:r>
                      </w:p>
                    </w:tc>
                    <w:tc>
                      <w:tcPr>
                        <w:tcW w:w="627" w:type="dxa"/>
                      </w:tcPr>
                      <w:p>
                        <w:pPr>
                          <w:pStyle w:val="TableParagraph"/>
                          <w:spacing w:before="83"/>
                          <w:ind w:right="33"/>
                          <w:rPr>
                            <w:sz w:val="16"/>
                          </w:rPr>
                        </w:pPr>
                        <w:r>
                          <w:rPr>
                            <w:sz w:val="16"/>
                          </w:rPr>
                          <w:t>1 576</w:t>
                        </w:r>
                      </w:p>
                    </w:tc>
                  </w:tr>
                  <w:tr>
                    <w:trPr>
                      <w:trHeight w:val="310" w:hRule="exact"/>
                    </w:trPr>
                    <w:tc>
                      <w:tcPr>
                        <w:tcW w:w="3812" w:type="dxa"/>
                      </w:tcPr>
                      <w:p>
                        <w:pPr>
                          <w:pStyle w:val="TableParagraph"/>
                          <w:spacing w:line="126" w:lineRule="exact"/>
                          <w:ind w:left="875"/>
                          <w:jc w:val="left"/>
                          <w:rPr>
                            <w:sz w:val="16"/>
                          </w:rPr>
                        </w:pPr>
                        <w:r>
                          <w:rPr>
                            <w:w w:val="95"/>
                            <w:sz w:val="16"/>
                          </w:rPr>
                          <w:t>Fabricación de accesorios,</w:t>
                        </w:r>
                      </w:p>
                      <w:p>
                        <w:pPr>
                          <w:pStyle w:val="TableParagraph"/>
                          <w:tabs>
                            <w:tab w:pos="875" w:val="left" w:leader="none"/>
                            <w:tab w:pos="3573" w:val="right" w:leader="none"/>
                          </w:tabs>
                          <w:spacing w:before="3"/>
                          <w:ind w:left="73"/>
                          <w:jc w:val="left"/>
                          <w:rPr>
                            <w:sz w:val="16"/>
                          </w:rPr>
                        </w:pPr>
                        <w:r>
                          <w:rPr>
                            <w:sz w:val="16"/>
                          </w:rPr>
                          <w:t>3350</w:t>
                          <w:tab/>
                          <w:t>aparatos eléctricos y</w:t>
                        </w:r>
                        <w:r>
                          <w:rPr>
                            <w:spacing w:val="-15"/>
                            <w:sz w:val="16"/>
                          </w:rPr>
                          <w:t> </w:t>
                        </w:r>
                        <w:r>
                          <w:rPr>
                            <w:sz w:val="16"/>
                          </w:rPr>
                          <w:t>equipo</w:t>
                        </w:r>
                        <w:r>
                          <w:rPr>
                            <w:spacing w:val="-5"/>
                            <w:sz w:val="16"/>
                          </w:rPr>
                          <w:t> </w:t>
                        </w:r>
                        <w:r>
                          <w:rPr>
                            <w:sz w:val="16"/>
                          </w:rPr>
                          <w:t>de</w:t>
                          <w:tab/>
                          <w:t>3.48</w:t>
                        </w:r>
                      </w:p>
                    </w:tc>
                    <w:tc>
                      <w:tcPr>
                        <w:tcW w:w="731" w:type="dxa"/>
                      </w:tcPr>
                      <w:p>
                        <w:pPr>
                          <w:pStyle w:val="TableParagraph"/>
                          <w:spacing w:before="129"/>
                          <w:ind w:right="138"/>
                          <w:rPr>
                            <w:sz w:val="16"/>
                          </w:rPr>
                        </w:pPr>
                        <w:r>
                          <w:rPr>
                            <w:w w:val="95"/>
                            <w:sz w:val="16"/>
                          </w:rPr>
                          <w:t>534</w:t>
                        </w:r>
                      </w:p>
                    </w:tc>
                    <w:tc>
                      <w:tcPr>
                        <w:tcW w:w="653" w:type="dxa"/>
                      </w:tcPr>
                      <w:p>
                        <w:pPr>
                          <w:pStyle w:val="TableParagraph"/>
                          <w:spacing w:before="129"/>
                          <w:ind w:left="140"/>
                          <w:jc w:val="left"/>
                          <w:rPr>
                            <w:sz w:val="16"/>
                          </w:rPr>
                        </w:pPr>
                        <w:r>
                          <w:rPr>
                            <w:sz w:val="16"/>
                          </w:rPr>
                          <w:t>0.98</w:t>
                        </w:r>
                      </w:p>
                    </w:tc>
                    <w:tc>
                      <w:tcPr>
                        <w:tcW w:w="627" w:type="dxa"/>
                      </w:tcPr>
                      <w:p>
                        <w:pPr>
                          <w:pStyle w:val="TableParagraph"/>
                          <w:spacing w:before="129"/>
                          <w:ind w:right="33"/>
                          <w:rPr>
                            <w:sz w:val="16"/>
                          </w:rPr>
                        </w:pPr>
                        <w:r>
                          <w:rPr>
                            <w:w w:val="95"/>
                            <w:sz w:val="16"/>
                          </w:rPr>
                          <w:t>534</w:t>
                        </w:r>
                      </w:p>
                    </w:tc>
                  </w:tr>
                  <w:tr>
                    <w:trPr>
                      <w:trHeight w:val="190" w:hRule="exact"/>
                    </w:trPr>
                    <w:tc>
                      <w:tcPr>
                        <w:tcW w:w="5823" w:type="dxa"/>
                        <w:gridSpan w:val="4"/>
                        <w:tcBorders>
                          <w:bottom w:val="single" w:sz="4" w:space="0" w:color="000000"/>
                        </w:tcBorders>
                      </w:tcPr>
                      <w:p>
                        <w:pPr>
                          <w:pStyle w:val="TableParagraph"/>
                          <w:spacing w:before="2"/>
                          <w:ind w:left="875"/>
                          <w:jc w:val="left"/>
                          <w:rPr>
                            <w:sz w:val="16"/>
                          </w:rPr>
                        </w:pPr>
                        <w:r>
                          <w:rPr>
                            <w:sz w:val="16"/>
                          </w:rPr>
                          <w:t>generación de energía eléctrica</w:t>
                        </w:r>
                      </w:p>
                    </w:tc>
                  </w:tr>
                </w:tbl>
                <w:p>
                  <w:pPr>
                    <w:pStyle w:val="BodyText"/>
                  </w:pPr>
                </w:p>
              </w:txbxContent>
            </v:textbox>
            <w10:wrap type="none"/>
          </v:shape>
        </w:pict>
      </w:r>
      <w:r>
        <w:rPr>
          <w:sz w:val="16"/>
        </w:rPr>
        <w:t>de cuero, piel y materiales</w:t>
      </w:r>
    </w:p>
    <w:p>
      <w:pPr>
        <w:pStyle w:val="BodyText"/>
        <w:spacing w:before="2"/>
        <w:rPr>
          <w:sz w:val="25"/>
        </w:rPr>
      </w:pPr>
    </w:p>
    <w:p>
      <w:pPr>
        <w:spacing w:before="78"/>
        <w:ind w:left="989" w:right="314" w:firstLine="0"/>
        <w:jc w:val="left"/>
        <w:rPr>
          <w:sz w:val="16"/>
        </w:rPr>
      </w:pPr>
      <w:r>
        <w:rPr>
          <w:sz w:val="16"/>
        </w:rPr>
        <w:t>Fabricación de productos</w:t>
      </w:r>
    </w:p>
    <w:p>
      <w:pPr>
        <w:pStyle w:val="BodyText"/>
        <w:spacing w:before="10"/>
        <w:rPr>
          <w:sz w:val="8"/>
        </w:rPr>
      </w:pPr>
    </w:p>
    <w:p>
      <w:pPr>
        <w:spacing w:before="79"/>
        <w:ind w:left="989" w:right="314" w:firstLine="0"/>
        <w:jc w:val="left"/>
        <w:rPr>
          <w:sz w:val="16"/>
        </w:rPr>
      </w:pPr>
      <w:r>
        <w:rPr>
          <w:sz w:val="16"/>
        </w:rPr>
        <w:t>carbón</w:t>
      </w:r>
    </w:p>
    <w:p>
      <w:pPr>
        <w:pStyle w:val="BodyText"/>
      </w:pPr>
    </w:p>
    <w:p>
      <w:pPr>
        <w:pStyle w:val="BodyText"/>
      </w:pPr>
    </w:p>
    <w:p>
      <w:pPr>
        <w:pStyle w:val="BodyText"/>
      </w:pPr>
    </w:p>
    <w:p>
      <w:pPr>
        <w:pStyle w:val="BodyText"/>
      </w:pPr>
    </w:p>
    <w:p>
      <w:pPr>
        <w:pStyle w:val="BodyText"/>
      </w:pPr>
    </w:p>
    <w:p>
      <w:pPr>
        <w:pStyle w:val="BodyText"/>
        <w:rPr>
          <w:sz w:val="22"/>
        </w:rPr>
      </w:pPr>
    </w:p>
    <w:p>
      <w:pPr>
        <w:spacing w:line="244" w:lineRule="auto" w:before="78"/>
        <w:ind w:left="187" w:right="314" w:firstLine="0"/>
        <w:jc w:val="left"/>
        <w:rPr>
          <w:sz w:val="16"/>
        </w:rPr>
      </w:pPr>
      <w:r>
        <w:rPr>
          <w:sz w:val="16"/>
        </w:rPr>
        <w:t>Fuente:</w:t>
      </w:r>
      <w:r>
        <w:rPr>
          <w:spacing w:val="-15"/>
          <w:sz w:val="16"/>
        </w:rPr>
        <w:t> </w:t>
      </w:r>
      <w:r>
        <w:rPr>
          <w:sz w:val="16"/>
        </w:rPr>
        <w:t>estimaciones</w:t>
      </w:r>
      <w:r>
        <w:rPr>
          <w:spacing w:val="-15"/>
          <w:sz w:val="16"/>
        </w:rPr>
        <w:t> </w:t>
      </w:r>
      <w:r>
        <w:rPr>
          <w:sz w:val="16"/>
        </w:rPr>
        <w:t>propias</w:t>
      </w:r>
      <w:r>
        <w:rPr>
          <w:spacing w:val="-15"/>
          <w:sz w:val="16"/>
        </w:rPr>
        <w:t> </w:t>
      </w:r>
      <w:r>
        <w:rPr>
          <w:sz w:val="16"/>
        </w:rPr>
        <w:t>con</w:t>
      </w:r>
      <w:r>
        <w:rPr>
          <w:spacing w:val="-15"/>
          <w:sz w:val="16"/>
        </w:rPr>
        <w:t> </w:t>
      </w:r>
      <w:r>
        <w:rPr>
          <w:sz w:val="16"/>
        </w:rPr>
        <w:t>información</w:t>
      </w:r>
      <w:r>
        <w:rPr>
          <w:spacing w:val="-15"/>
          <w:sz w:val="16"/>
        </w:rPr>
        <w:t> </w:t>
      </w:r>
      <w:r>
        <w:rPr>
          <w:sz w:val="16"/>
        </w:rPr>
        <w:t>de</w:t>
      </w:r>
      <w:r>
        <w:rPr>
          <w:spacing w:val="-15"/>
          <w:sz w:val="16"/>
        </w:rPr>
        <w:t> </w:t>
      </w:r>
      <w:r>
        <w:rPr>
          <w:sz w:val="16"/>
        </w:rPr>
        <w:t>la</w:t>
      </w:r>
      <w:r>
        <w:rPr>
          <w:spacing w:val="-15"/>
          <w:sz w:val="16"/>
        </w:rPr>
        <w:t> </w:t>
      </w:r>
      <w:r>
        <w:rPr>
          <w:sz w:val="16"/>
        </w:rPr>
        <w:t>ENOE,</w:t>
      </w:r>
      <w:r>
        <w:rPr>
          <w:spacing w:val="-15"/>
          <w:sz w:val="16"/>
        </w:rPr>
        <w:t> </w:t>
      </w:r>
      <w:r>
        <w:rPr>
          <w:sz w:val="16"/>
        </w:rPr>
        <w:t>2012,</w:t>
      </w:r>
      <w:r>
        <w:rPr>
          <w:spacing w:val="-15"/>
          <w:sz w:val="16"/>
        </w:rPr>
        <w:t> </w:t>
      </w:r>
      <w:r>
        <w:rPr>
          <w:sz w:val="16"/>
        </w:rPr>
        <w:t>segundo</w:t>
      </w:r>
      <w:r>
        <w:rPr>
          <w:spacing w:val="-15"/>
          <w:sz w:val="16"/>
        </w:rPr>
        <w:t> </w:t>
      </w:r>
      <w:r>
        <w:rPr>
          <w:sz w:val="16"/>
        </w:rPr>
        <w:t>trimestre. Leer</w:t>
      </w:r>
      <w:r>
        <w:rPr>
          <w:spacing w:val="-17"/>
          <w:sz w:val="16"/>
        </w:rPr>
        <w:t> </w:t>
      </w:r>
      <w:r>
        <w:rPr>
          <w:sz w:val="16"/>
        </w:rPr>
        <w:t>con</w:t>
      </w:r>
      <w:r>
        <w:rPr>
          <w:spacing w:val="-17"/>
          <w:sz w:val="16"/>
        </w:rPr>
        <w:t> </w:t>
      </w:r>
      <w:r>
        <w:rPr>
          <w:sz w:val="16"/>
        </w:rPr>
        <w:t>discreción</w:t>
      </w:r>
      <w:r>
        <w:rPr>
          <w:spacing w:val="-17"/>
          <w:sz w:val="16"/>
        </w:rPr>
        <w:t> </w:t>
      </w:r>
      <w:r>
        <w:rPr>
          <w:sz w:val="16"/>
        </w:rPr>
        <w:t>los</w:t>
      </w:r>
      <w:r>
        <w:rPr>
          <w:spacing w:val="-17"/>
          <w:sz w:val="16"/>
        </w:rPr>
        <w:t> </w:t>
      </w:r>
      <w:r>
        <w:rPr>
          <w:sz w:val="16"/>
        </w:rPr>
        <w:t>estimados</w:t>
      </w:r>
      <w:r>
        <w:rPr>
          <w:spacing w:val="-17"/>
          <w:sz w:val="16"/>
        </w:rPr>
        <w:t> </w:t>
      </w:r>
      <w:r>
        <w:rPr>
          <w:sz w:val="16"/>
        </w:rPr>
        <w:t>para</w:t>
      </w:r>
      <w:r>
        <w:rPr>
          <w:spacing w:val="-17"/>
          <w:sz w:val="16"/>
        </w:rPr>
        <w:t> </w:t>
      </w:r>
      <w:r>
        <w:rPr>
          <w:sz w:val="16"/>
        </w:rPr>
        <w:t>muestras</w:t>
      </w:r>
      <w:r>
        <w:rPr>
          <w:spacing w:val="-17"/>
          <w:sz w:val="16"/>
        </w:rPr>
        <w:t> </w:t>
      </w:r>
      <w:r>
        <w:rPr>
          <w:sz w:val="16"/>
        </w:rPr>
        <w:t>pequeñas.</w:t>
      </w:r>
    </w:p>
    <w:p>
      <w:pPr>
        <w:spacing w:after="0" w:line="244" w:lineRule="auto"/>
        <w:jc w:val="left"/>
        <w:rPr>
          <w:sz w:val="16"/>
        </w:rPr>
        <w:sectPr>
          <w:type w:val="continuous"/>
          <w:pgSz w:w="7770" w:h="11740"/>
          <w:pgMar w:top="0" w:bottom="0" w:left="1020" w:right="700"/>
        </w:sectPr>
      </w:pPr>
    </w:p>
    <w:p>
      <w:pPr>
        <w:spacing w:before="62"/>
        <w:ind w:left="144" w:right="242" w:firstLine="0"/>
        <w:jc w:val="left"/>
        <w:rPr>
          <w:sz w:val="16"/>
        </w:rPr>
      </w:pPr>
      <w:r>
        <w:rPr>
          <w:sz w:val="16"/>
        </w:rPr>
        <w:t>Cuadro</w:t>
      </w:r>
      <w:r>
        <w:rPr>
          <w:spacing w:val="-22"/>
          <w:sz w:val="16"/>
        </w:rPr>
        <w:t> </w:t>
      </w:r>
      <w:r>
        <w:rPr>
          <w:sz w:val="16"/>
        </w:rPr>
        <w:t>A.</w:t>
      </w:r>
      <w:r>
        <w:rPr>
          <w:spacing w:val="-22"/>
          <w:sz w:val="16"/>
        </w:rPr>
        <w:t> </w:t>
      </w:r>
      <w:r>
        <w:rPr>
          <w:sz w:val="16"/>
        </w:rPr>
        <w:t>1b.</w:t>
      </w:r>
      <w:r>
        <w:rPr>
          <w:spacing w:val="-22"/>
          <w:sz w:val="16"/>
        </w:rPr>
        <w:t> </w:t>
      </w:r>
      <w:r>
        <w:rPr>
          <w:sz w:val="16"/>
        </w:rPr>
        <w:t>Detalle</w:t>
      </w:r>
      <w:r>
        <w:rPr>
          <w:spacing w:val="-22"/>
          <w:sz w:val="16"/>
        </w:rPr>
        <w:t> </w:t>
      </w:r>
      <w:r>
        <w:rPr>
          <w:sz w:val="16"/>
        </w:rPr>
        <w:t>de</w:t>
      </w:r>
      <w:r>
        <w:rPr>
          <w:spacing w:val="-22"/>
          <w:sz w:val="16"/>
        </w:rPr>
        <w:t> </w:t>
      </w:r>
      <w:r>
        <w:rPr>
          <w:sz w:val="16"/>
        </w:rPr>
        <w:t>las</w:t>
      </w:r>
      <w:r>
        <w:rPr>
          <w:spacing w:val="-22"/>
          <w:sz w:val="16"/>
        </w:rPr>
        <w:t> </w:t>
      </w:r>
      <w:r>
        <w:rPr>
          <w:sz w:val="16"/>
        </w:rPr>
        <w:t>ramas</w:t>
      </w:r>
      <w:r>
        <w:rPr>
          <w:spacing w:val="-22"/>
          <w:sz w:val="16"/>
        </w:rPr>
        <w:t> </w:t>
      </w:r>
      <w:r>
        <w:rPr>
          <w:sz w:val="16"/>
        </w:rPr>
        <w:t>de</w:t>
      </w:r>
      <w:r>
        <w:rPr>
          <w:spacing w:val="-22"/>
          <w:sz w:val="16"/>
        </w:rPr>
        <w:t> </w:t>
      </w:r>
      <w:r>
        <w:rPr>
          <w:sz w:val="16"/>
        </w:rPr>
        <w:t>actividad</w:t>
      </w:r>
      <w:r>
        <w:rPr>
          <w:spacing w:val="-22"/>
          <w:sz w:val="16"/>
        </w:rPr>
        <w:t> </w:t>
      </w:r>
      <w:r>
        <w:rPr>
          <w:sz w:val="16"/>
        </w:rPr>
        <w:t>de</w:t>
      </w:r>
      <w:r>
        <w:rPr>
          <w:spacing w:val="-22"/>
          <w:sz w:val="16"/>
        </w:rPr>
        <w:t> </w:t>
      </w:r>
      <w:r>
        <w:rPr>
          <w:sz w:val="16"/>
        </w:rPr>
        <w:t>los</w:t>
      </w:r>
      <w:r>
        <w:rPr>
          <w:spacing w:val="-22"/>
          <w:sz w:val="16"/>
        </w:rPr>
        <w:t> </w:t>
      </w:r>
      <w:r>
        <w:rPr>
          <w:sz w:val="16"/>
        </w:rPr>
        <w:t>sectores</w:t>
      </w:r>
      <w:r>
        <w:rPr>
          <w:spacing w:val="-22"/>
          <w:sz w:val="16"/>
        </w:rPr>
        <w:t> </w:t>
      </w:r>
      <w:r>
        <w:rPr>
          <w:sz w:val="16"/>
        </w:rPr>
        <w:t>económicos</w:t>
      </w:r>
      <w:r>
        <w:rPr>
          <w:spacing w:val="-22"/>
          <w:sz w:val="16"/>
        </w:rPr>
        <w:t> </w:t>
      </w:r>
      <w:r>
        <w:rPr>
          <w:sz w:val="16"/>
        </w:rPr>
        <w:t>clasificados</w:t>
      </w:r>
      <w:r>
        <w:rPr>
          <w:spacing w:val="-22"/>
          <w:sz w:val="16"/>
        </w:rPr>
        <w:t> </w:t>
      </w:r>
      <w:r>
        <w:rPr>
          <w:sz w:val="16"/>
        </w:rPr>
        <w:t>desde el</w:t>
      </w:r>
      <w:r>
        <w:rPr>
          <w:spacing w:val="-23"/>
          <w:sz w:val="16"/>
        </w:rPr>
        <w:t> </w:t>
      </w:r>
      <w:r>
        <w:rPr>
          <w:sz w:val="16"/>
        </w:rPr>
        <w:t>comercio</w:t>
      </w:r>
      <w:r>
        <w:rPr>
          <w:spacing w:val="-23"/>
          <w:sz w:val="16"/>
        </w:rPr>
        <w:t> </w:t>
      </w:r>
      <w:r>
        <w:rPr>
          <w:sz w:val="16"/>
        </w:rPr>
        <w:t>exterior</w:t>
      </w:r>
      <w:r>
        <w:rPr>
          <w:spacing w:val="-23"/>
          <w:sz w:val="16"/>
        </w:rPr>
        <w:t> </w:t>
      </w:r>
      <w:r>
        <w:rPr>
          <w:sz w:val="16"/>
        </w:rPr>
        <w:t>y</w:t>
      </w:r>
      <w:r>
        <w:rPr>
          <w:spacing w:val="-23"/>
          <w:sz w:val="16"/>
        </w:rPr>
        <w:t> </w:t>
      </w:r>
      <w:r>
        <w:rPr>
          <w:sz w:val="16"/>
        </w:rPr>
        <w:t>su</w:t>
      </w:r>
      <w:r>
        <w:rPr>
          <w:spacing w:val="-23"/>
          <w:sz w:val="16"/>
        </w:rPr>
        <w:t> </w:t>
      </w:r>
      <w:r>
        <w:rPr>
          <w:sz w:val="16"/>
        </w:rPr>
        <w:t>respectivo</w:t>
      </w:r>
      <w:r>
        <w:rPr>
          <w:spacing w:val="-23"/>
          <w:sz w:val="16"/>
        </w:rPr>
        <w:t> </w:t>
      </w:r>
      <w:r>
        <w:rPr>
          <w:sz w:val="16"/>
        </w:rPr>
        <w:t>ingreso</w:t>
      </w:r>
      <w:r>
        <w:rPr>
          <w:spacing w:val="-23"/>
          <w:sz w:val="16"/>
        </w:rPr>
        <w:t> </w:t>
      </w:r>
      <w:r>
        <w:rPr>
          <w:sz w:val="16"/>
        </w:rPr>
        <w:t>laboral</w:t>
      </w:r>
      <w:r>
        <w:rPr>
          <w:spacing w:val="-23"/>
          <w:sz w:val="16"/>
        </w:rPr>
        <w:t> </w:t>
      </w:r>
      <w:r>
        <w:rPr>
          <w:sz w:val="16"/>
        </w:rPr>
        <w:t>por</w:t>
      </w:r>
      <w:r>
        <w:rPr>
          <w:spacing w:val="-23"/>
          <w:sz w:val="16"/>
        </w:rPr>
        <w:t> </w:t>
      </w:r>
      <w:r>
        <w:rPr>
          <w:sz w:val="16"/>
        </w:rPr>
        <w:t>hora</w:t>
      </w:r>
      <w:r>
        <w:rPr>
          <w:spacing w:val="-23"/>
          <w:sz w:val="16"/>
        </w:rPr>
        <w:t> </w:t>
      </w:r>
      <w:r>
        <w:rPr>
          <w:sz w:val="16"/>
        </w:rPr>
        <w:t>y</w:t>
      </w:r>
      <w:r>
        <w:rPr>
          <w:spacing w:val="-23"/>
          <w:sz w:val="16"/>
        </w:rPr>
        <w:t> </w:t>
      </w:r>
      <w:r>
        <w:rPr>
          <w:sz w:val="16"/>
        </w:rPr>
        <w:t>acceso</w:t>
      </w:r>
      <w:r>
        <w:rPr>
          <w:spacing w:val="-23"/>
          <w:sz w:val="16"/>
        </w:rPr>
        <w:t> </w:t>
      </w:r>
      <w:r>
        <w:rPr>
          <w:sz w:val="16"/>
        </w:rPr>
        <w:t>a</w:t>
      </w:r>
      <w:r>
        <w:rPr>
          <w:spacing w:val="-23"/>
          <w:sz w:val="16"/>
        </w:rPr>
        <w:t> </w:t>
      </w:r>
      <w:r>
        <w:rPr>
          <w:sz w:val="16"/>
        </w:rPr>
        <w:t>seguridad</w:t>
      </w:r>
      <w:r>
        <w:rPr>
          <w:spacing w:val="-23"/>
          <w:sz w:val="16"/>
        </w:rPr>
        <w:t> </w:t>
      </w:r>
      <w:r>
        <w:rPr>
          <w:sz w:val="16"/>
        </w:rPr>
        <w:t>social</w:t>
      </w:r>
    </w:p>
    <w:p>
      <w:pPr>
        <w:pStyle w:val="BodyText"/>
      </w:pPr>
    </w:p>
    <w:p>
      <w:pPr>
        <w:pStyle w:val="BodyText"/>
      </w:pPr>
    </w:p>
    <w:p>
      <w:pPr>
        <w:pStyle w:val="BodyText"/>
      </w:pPr>
    </w:p>
    <w:p>
      <w:pPr>
        <w:pStyle w:val="BodyText"/>
      </w:pPr>
    </w:p>
    <w:p>
      <w:pPr>
        <w:pStyle w:val="BodyText"/>
      </w:pPr>
    </w:p>
    <w:p>
      <w:pPr>
        <w:pStyle w:val="BodyText"/>
        <w:spacing w:before="4"/>
      </w:pPr>
    </w:p>
    <w:p>
      <w:pPr>
        <w:tabs>
          <w:tab w:pos="4546" w:val="left" w:leader="none"/>
          <w:tab w:pos="5050" w:val="left" w:leader="none"/>
          <w:tab w:pos="5763" w:val="left" w:leader="none"/>
        </w:tabs>
        <w:spacing w:before="78"/>
        <w:ind w:left="3832" w:right="0" w:firstLine="0"/>
        <w:jc w:val="left"/>
        <w:rPr>
          <w:sz w:val="16"/>
        </w:rPr>
      </w:pPr>
      <w:r>
        <w:rPr/>
        <w:pict>
          <v:shape style="position:absolute;margin-left:38.265945pt;margin-top:-65.911232pt;width:297.650pt;height:240.75pt;mso-position-horizontal-relative:page;mso-position-vertical-relative:paragraph;z-index:366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5"/>
                    <w:gridCol w:w="3027"/>
                    <w:gridCol w:w="479"/>
                    <w:gridCol w:w="619"/>
                    <w:gridCol w:w="598"/>
                    <w:gridCol w:w="575"/>
                  </w:tblGrid>
                  <w:tr>
                    <w:trPr>
                      <w:trHeight w:val="384" w:hRule="exact"/>
                    </w:trPr>
                    <w:tc>
                      <w:tcPr>
                        <w:tcW w:w="3681" w:type="dxa"/>
                        <w:gridSpan w:val="2"/>
                        <w:vMerge w:val="restart"/>
                        <w:tcBorders>
                          <w:left w:val="nil"/>
                          <w:right w:val="nil"/>
                        </w:tcBorders>
                      </w:tcPr>
                      <w:p>
                        <w:pPr/>
                      </w:p>
                    </w:tc>
                    <w:tc>
                      <w:tcPr>
                        <w:tcW w:w="1098" w:type="dxa"/>
                        <w:gridSpan w:val="2"/>
                        <w:tcBorders>
                          <w:left w:val="nil"/>
                          <w:bottom w:val="nil"/>
                          <w:right w:val="nil"/>
                        </w:tcBorders>
                      </w:tcPr>
                      <w:p>
                        <w:pPr>
                          <w:pStyle w:val="TableParagraph"/>
                          <w:spacing w:line="244" w:lineRule="auto"/>
                          <w:ind w:left="227" w:right="139" w:hanging="204"/>
                          <w:jc w:val="left"/>
                          <w:rPr>
                            <w:sz w:val="16"/>
                          </w:rPr>
                        </w:pPr>
                        <w:r>
                          <w:rPr>
                            <w:w w:val="95"/>
                            <w:sz w:val="16"/>
                          </w:rPr>
                          <w:t>Ingreso laboral por hora</w:t>
                        </w:r>
                      </w:p>
                    </w:tc>
                    <w:tc>
                      <w:tcPr>
                        <w:tcW w:w="1173" w:type="dxa"/>
                        <w:gridSpan w:val="2"/>
                        <w:tcBorders>
                          <w:left w:val="nil"/>
                          <w:bottom w:val="nil"/>
                          <w:right w:val="nil"/>
                        </w:tcBorders>
                      </w:tcPr>
                      <w:p>
                        <w:pPr>
                          <w:pStyle w:val="TableParagraph"/>
                          <w:spacing w:before="2"/>
                          <w:jc w:val="left"/>
                          <w:rPr>
                            <w:sz w:val="16"/>
                          </w:rPr>
                        </w:pPr>
                      </w:p>
                      <w:p>
                        <w:pPr>
                          <w:pStyle w:val="TableParagraph"/>
                          <w:ind w:left="325"/>
                          <w:jc w:val="left"/>
                          <w:rPr>
                            <w:sz w:val="16"/>
                          </w:rPr>
                        </w:pPr>
                        <w:r>
                          <w:rPr>
                            <w:w w:val="95"/>
                            <w:sz w:val="16"/>
                          </w:rPr>
                          <w:t>Acceso a</w:t>
                        </w:r>
                      </w:p>
                    </w:tc>
                  </w:tr>
                  <w:tr>
                    <w:trPr>
                      <w:trHeight w:val="182" w:hRule="exact"/>
                    </w:trPr>
                    <w:tc>
                      <w:tcPr>
                        <w:tcW w:w="3681" w:type="dxa"/>
                        <w:gridSpan w:val="2"/>
                        <w:vMerge/>
                        <w:tcBorders>
                          <w:left w:val="nil"/>
                          <w:bottom w:val="nil"/>
                          <w:right w:val="nil"/>
                        </w:tcBorders>
                      </w:tcPr>
                      <w:p>
                        <w:pPr/>
                      </w:p>
                    </w:tc>
                    <w:tc>
                      <w:tcPr>
                        <w:tcW w:w="1098" w:type="dxa"/>
                        <w:gridSpan w:val="2"/>
                        <w:tcBorders>
                          <w:top w:val="nil"/>
                          <w:left w:val="nil"/>
                          <w:bottom w:val="nil"/>
                          <w:right w:val="nil"/>
                        </w:tcBorders>
                      </w:tcPr>
                      <w:p>
                        <w:pPr>
                          <w:pStyle w:val="TableParagraph"/>
                          <w:spacing w:line="174" w:lineRule="exact"/>
                          <w:ind w:left="121" w:right="139"/>
                          <w:jc w:val="left"/>
                          <w:rPr>
                            <w:sz w:val="16"/>
                          </w:rPr>
                        </w:pPr>
                        <w:r>
                          <w:rPr>
                            <w:w w:val="95"/>
                            <w:sz w:val="16"/>
                          </w:rPr>
                          <w:t>(USD PPA)</w:t>
                        </w:r>
                      </w:p>
                    </w:tc>
                    <w:tc>
                      <w:tcPr>
                        <w:tcW w:w="1173" w:type="dxa"/>
                        <w:gridSpan w:val="2"/>
                        <w:tcBorders>
                          <w:top w:val="nil"/>
                          <w:left w:val="nil"/>
                          <w:bottom w:val="nil"/>
                          <w:right w:val="nil"/>
                        </w:tcBorders>
                      </w:tcPr>
                      <w:p>
                        <w:pPr>
                          <w:pStyle w:val="TableParagraph"/>
                          <w:spacing w:line="174" w:lineRule="exact"/>
                          <w:ind w:left="109"/>
                          <w:jc w:val="left"/>
                          <w:rPr>
                            <w:sz w:val="16"/>
                          </w:rPr>
                        </w:pPr>
                        <w:r>
                          <w:rPr>
                            <w:w w:val="95"/>
                            <w:sz w:val="16"/>
                          </w:rPr>
                          <w:t>seguridad social</w:t>
                        </w:r>
                      </w:p>
                    </w:tc>
                  </w:tr>
                  <w:tr>
                    <w:trPr>
                      <w:trHeight w:val="183" w:hRule="exact"/>
                    </w:trPr>
                    <w:tc>
                      <w:tcPr>
                        <w:tcW w:w="655" w:type="dxa"/>
                        <w:tcBorders>
                          <w:top w:val="nil"/>
                          <w:left w:val="nil"/>
                          <w:right w:val="nil"/>
                        </w:tcBorders>
                      </w:tcPr>
                      <w:p>
                        <w:pPr>
                          <w:pStyle w:val="TableParagraph"/>
                          <w:spacing w:line="174" w:lineRule="exact"/>
                          <w:ind w:left="38"/>
                          <w:jc w:val="left"/>
                          <w:rPr>
                            <w:sz w:val="16"/>
                          </w:rPr>
                        </w:pPr>
                        <w:r>
                          <w:rPr>
                            <w:sz w:val="16"/>
                          </w:rPr>
                          <w:t>Código</w:t>
                        </w:r>
                      </w:p>
                    </w:tc>
                    <w:tc>
                      <w:tcPr>
                        <w:tcW w:w="3027" w:type="dxa"/>
                        <w:tcBorders>
                          <w:top w:val="nil"/>
                          <w:left w:val="nil"/>
                          <w:right w:val="nil"/>
                        </w:tcBorders>
                      </w:tcPr>
                      <w:p>
                        <w:pPr>
                          <w:pStyle w:val="TableParagraph"/>
                          <w:spacing w:line="174" w:lineRule="exact"/>
                          <w:ind w:left="166"/>
                          <w:jc w:val="left"/>
                          <w:rPr>
                            <w:sz w:val="16"/>
                          </w:rPr>
                        </w:pPr>
                        <w:r>
                          <w:rPr>
                            <w:sz w:val="16"/>
                          </w:rPr>
                          <w:t>Detalle</w:t>
                        </w:r>
                      </w:p>
                    </w:tc>
                    <w:tc>
                      <w:tcPr>
                        <w:tcW w:w="1098" w:type="dxa"/>
                        <w:gridSpan w:val="2"/>
                        <w:tcBorders>
                          <w:top w:val="nil"/>
                          <w:left w:val="nil"/>
                          <w:right w:val="nil"/>
                        </w:tcBorders>
                      </w:tcPr>
                      <w:p>
                        <w:pPr>
                          <w:pStyle w:val="TableParagraph"/>
                          <w:spacing w:line="174" w:lineRule="exact"/>
                          <w:ind w:left="698"/>
                          <w:jc w:val="left"/>
                          <w:rPr>
                            <w:sz w:val="16"/>
                          </w:rPr>
                        </w:pPr>
                        <w:r>
                          <w:rPr>
                            <w:w w:val="94"/>
                            <w:sz w:val="16"/>
                          </w:rPr>
                          <w:t>N</w:t>
                        </w:r>
                      </w:p>
                    </w:tc>
                    <w:tc>
                      <w:tcPr>
                        <w:tcW w:w="1173" w:type="dxa"/>
                        <w:gridSpan w:val="2"/>
                        <w:tcBorders>
                          <w:top w:val="nil"/>
                          <w:left w:val="nil"/>
                          <w:right w:val="nil"/>
                        </w:tcBorders>
                      </w:tcPr>
                      <w:p>
                        <w:pPr>
                          <w:pStyle w:val="TableParagraph"/>
                          <w:spacing w:line="174" w:lineRule="exact"/>
                          <w:ind w:right="244"/>
                          <w:rPr>
                            <w:sz w:val="16"/>
                          </w:rPr>
                        </w:pPr>
                        <w:r>
                          <w:rPr>
                            <w:w w:val="94"/>
                            <w:sz w:val="16"/>
                          </w:rPr>
                          <w:t>N</w:t>
                        </w:r>
                      </w:p>
                    </w:tc>
                  </w:tr>
                  <w:tr>
                    <w:trPr>
                      <w:trHeight w:val="197" w:hRule="exact"/>
                    </w:trPr>
                    <w:tc>
                      <w:tcPr>
                        <w:tcW w:w="655" w:type="dxa"/>
                        <w:tcBorders>
                          <w:left w:val="nil"/>
                          <w:bottom w:val="nil"/>
                          <w:right w:val="nil"/>
                        </w:tcBorders>
                      </w:tcPr>
                      <w:p>
                        <w:pPr/>
                      </w:p>
                    </w:tc>
                    <w:tc>
                      <w:tcPr>
                        <w:tcW w:w="3027" w:type="dxa"/>
                        <w:tcBorders>
                          <w:left w:val="nil"/>
                          <w:bottom w:val="nil"/>
                          <w:right w:val="nil"/>
                        </w:tcBorders>
                      </w:tcPr>
                      <w:p>
                        <w:pPr>
                          <w:pStyle w:val="TableParagraph"/>
                          <w:spacing w:line="183" w:lineRule="exact"/>
                          <w:ind w:left="166"/>
                          <w:jc w:val="left"/>
                          <w:rPr>
                            <w:i/>
                            <w:sz w:val="16"/>
                          </w:rPr>
                        </w:pPr>
                        <w:r>
                          <w:rPr>
                            <w:i/>
                            <w:w w:val="95"/>
                            <w:sz w:val="16"/>
                          </w:rPr>
                          <w:t>Otros transables</w:t>
                        </w:r>
                      </w:p>
                    </w:tc>
                    <w:tc>
                      <w:tcPr>
                        <w:tcW w:w="1098" w:type="dxa"/>
                        <w:gridSpan w:val="2"/>
                        <w:tcBorders>
                          <w:left w:val="nil"/>
                          <w:bottom w:val="nil"/>
                          <w:right w:val="nil"/>
                        </w:tcBorders>
                      </w:tcPr>
                      <w:p>
                        <w:pPr/>
                      </w:p>
                    </w:tc>
                    <w:tc>
                      <w:tcPr>
                        <w:tcW w:w="1173" w:type="dxa"/>
                        <w:gridSpan w:val="2"/>
                        <w:tcBorders>
                          <w:left w:val="nil"/>
                          <w:bottom w:val="nil"/>
                          <w:right w:val="nil"/>
                        </w:tcBorders>
                      </w:tcPr>
                      <w:p>
                        <w:pPr/>
                      </w:p>
                    </w:tc>
                  </w:tr>
                  <w:tr>
                    <w:trPr>
                      <w:trHeight w:val="185" w:hRule="exact"/>
                    </w:trPr>
                    <w:tc>
                      <w:tcPr>
                        <w:tcW w:w="655" w:type="dxa"/>
                        <w:tcBorders>
                          <w:top w:val="nil"/>
                          <w:left w:val="nil"/>
                          <w:bottom w:val="nil"/>
                          <w:right w:val="nil"/>
                        </w:tcBorders>
                      </w:tcPr>
                      <w:p>
                        <w:pPr>
                          <w:pStyle w:val="TableParagraph"/>
                          <w:spacing w:line="174" w:lineRule="exact"/>
                          <w:ind w:left="38"/>
                          <w:jc w:val="left"/>
                          <w:rPr>
                            <w:sz w:val="16"/>
                          </w:rPr>
                        </w:pPr>
                        <w:r>
                          <w:rPr>
                            <w:sz w:val="16"/>
                          </w:rPr>
                          <w:t>3110</w:t>
                        </w:r>
                      </w:p>
                    </w:tc>
                    <w:tc>
                      <w:tcPr>
                        <w:tcW w:w="3027" w:type="dxa"/>
                        <w:tcBorders>
                          <w:top w:val="nil"/>
                          <w:left w:val="nil"/>
                          <w:bottom w:val="nil"/>
                          <w:right w:val="nil"/>
                        </w:tcBorders>
                      </w:tcPr>
                      <w:p>
                        <w:pPr>
                          <w:pStyle w:val="TableParagraph"/>
                          <w:spacing w:line="174" w:lineRule="exact"/>
                          <w:ind w:left="166"/>
                          <w:jc w:val="left"/>
                          <w:rPr>
                            <w:sz w:val="16"/>
                          </w:rPr>
                        </w:pPr>
                        <w:r>
                          <w:rPr>
                            <w:w w:val="95"/>
                            <w:sz w:val="16"/>
                          </w:rPr>
                          <w:t>Industria alimentaria</w:t>
                        </w:r>
                      </w:p>
                    </w:tc>
                    <w:tc>
                      <w:tcPr>
                        <w:tcW w:w="1098" w:type="dxa"/>
                        <w:gridSpan w:val="2"/>
                        <w:tcBorders>
                          <w:top w:val="nil"/>
                          <w:left w:val="nil"/>
                          <w:bottom w:val="nil"/>
                          <w:right w:val="nil"/>
                        </w:tcBorders>
                      </w:tcPr>
                      <w:p>
                        <w:pPr>
                          <w:pStyle w:val="TableParagraph"/>
                          <w:tabs>
                            <w:tab w:pos="645" w:val="left" w:leader="none"/>
                          </w:tabs>
                          <w:spacing w:line="174" w:lineRule="exact"/>
                          <w:ind w:left="45"/>
                          <w:jc w:val="left"/>
                          <w:rPr>
                            <w:sz w:val="16"/>
                          </w:rPr>
                        </w:pPr>
                        <w:r>
                          <w:rPr>
                            <w:sz w:val="16"/>
                          </w:rPr>
                          <w:t>2.75</w:t>
                          <w:tab/>
                          <w:t>4</w:t>
                        </w:r>
                        <w:r>
                          <w:rPr>
                            <w:spacing w:val="-20"/>
                            <w:sz w:val="16"/>
                          </w:rPr>
                          <w:t> </w:t>
                        </w:r>
                        <w:r>
                          <w:rPr>
                            <w:sz w:val="16"/>
                          </w:rPr>
                          <w:t>370</w:t>
                        </w:r>
                      </w:p>
                    </w:tc>
                    <w:tc>
                      <w:tcPr>
                        <w:tcW w:w="1173" w:type="dxa"/>
                        <w:gridSpan w:val="2"/>
                        <w:tcBorders>
                          <w:top w:val="nil"/>
                          <w:left w:val="nil"/>
                          <w:bottom w:val="nil"/>
                          <w:right w:val="nil"/>
                        </w:tcBorders>
                      </w:tcPr>
                      <w:p>
                        <w:pPr>
                          <w:pStyle w:val="TableParagraph"/>
                          <w:tabs>
                            <w:tab w:pos="763" w:val="left" w:leader="none"/>
                          </w:tabs>
                          <w:spacing w:line="174" w:lineRule="exact"/>
                          <w:ind w:left="165"/>
                          <w:jc w:val="left"/>
                          <w:rPr>
                            <w:sz w:val="16"/>
                          </w:rPr>
                        </w:pPr>
                        <w:r>
                          <w:rPr>
                            <w:sz w:val="16"/>
                          </w:rPr>
                          <w:t>0.40</w:t>
                          <w:tab/>
                          <w:t>4</w:t>
                        </w:r>
                        <w:r>
                          <w:rPr>
                            <w:spacing w:val="-20"/>
                            <w:sz w:val="16"/>
                          </w:rPr>
                          <w:t> </w:t>
                        </w:r>
                        <w:r>
                          <w:rPr>
                            <w:sz w:val="16"/>
                          </w:rPr>
                          <w:t>363</w:t>
                        </w:r>
                      </w:p>
                    </w:tc>
                  </w:tr>
                  <w:tr>
                    <w:trPr>
                      <w:trHeight w:val="173" w:hRule="exact"/>
                    </w:trPr>
                    <w:tc>
                      <w:tcPr>
                        <w:tcW w:w="655" w:type="dxa"/>
                        <w:tcBorders>
                          <w:top w:val="nil"/>
                          <w:left w:val="nil"/>
                          <w:bottom w:val="nil"/>
                          <w:right w:val="nil"/>
                        </w:tcBorders>
                      </w:tcPr>
                      <w:p>
                        <w:pPr>
                          <w:pStyle w:val="TableParagraph"/>
                          <w:spacing w:line="176" w:lineRule="exact"/>
                          <w:ind w:left="38"/>
                          <w:jc w:val="left"/>
                          <w:rPr>
                            <w:sz w:val="16"/>
                          </w:rPr>
                        </w:pPr>
                        <w:r>
                          <w:rPr>
                            <w:sz w:val="16"/>
                          </w:rPr>
                          <w:t>3120</w:t>
                        </w:r>
                      </w:p>
                    </w:tc>
                    <w:tc>
                      <w:tcPr>
                        <w:tcW w:w="3027" w:type="dxa"/>
                        <w:tcBorders>
                          <w:top w:val="nil"/>
                          <w:left w:val="nil"/>
                          <w:bottom w:val="nil"/>
                          <w:right w:val="nil"/>
                        </w:tcBorders>
                      </w:tcPr>
                      <w:p>
                        <w:pPr>
                          <w:pStyle w:val="TableParagraph"/>
                          <w:spacing w:line="176" w:lineRule="exact"/>
                          <w:ind w:left="166"/>
                          <w:jc w:val="left"/>
                          <w:rPr>
                            <w:sz w:val="16"/>
                          </w:rPr>
                        </w:pPr>
                        <w:r>
                          <w:rPr>
                            <w:sz w:val="16"/>
                          </w:rPr>
                          <w:t>Industria de las bebidas y del tabaco</w:t>
                        </w:r>
                      </w:p>
                    </w:tc>
                    <w:tc>
                      <w:tcPr>
                        <w:tcW w:w="1098" w:type="dxa"/>
                        <w:gridSpan w:val="2"/>
                        <w:tcBorders>
                          <w:top w:val="nil"/>
                          <w:left w:val="nil"/>
                          <w:bottom w:val="nil"/>
                          <w:right w:val="nil"/>
                        </w:tcBorders>
                      </w:tcPr>
                      <w:p>
                        <w:pPr>
                          <w:pStyle w:val="TableParagraph"/>
                          <w:tabs>
                            <w:tab w:pos="759" w:val="left" w:leader="none"/>
                          </w:tabs>
                          <w:spacing w:line="176" w:lineRule="exact"/>
                          <w:ind w:left="45"/>
                          <w:jc w:val="left"/>
                          <w:rPr>
                            <w:sz w:val="16"/>
                          </w:rPr>
                        </w:pPr>
                        <w:r>
                          <w:rPr>
                            <w:sz w:val="16"/>
                          </w:rPr>
                          <w:t>2.95</w:t>
                          <w:tab/>
                          <w:t>739</w:t>
                        </w:r>
                      </w:p>
                    </w:tc>
                    <w:tc>
                      <w:tcPr>
                        <w:tcW w:w="1173" w:type="dxa"/>
                        <w:gridSpan w:val="2"/>
                        <w:tcBorders>
                          <w:top w:val="nil"/>
                          <w:left w:val="nil"/>
                          <w:bottom w:val="nil"/>
                          <w:right w:val="nil"/>
                        </w:tcBorders>
                      </w:tcPr>
                      <w:p>
                        <w:pPr>
                          <w:pStyle w:val="TableParagraph"/>
                          <w:tabs>
                            <w:tab w:pos="878" w:val="left" w:leader="none"/>
                          </w:tabs>
                          <w:spacing w:line="176" w:lineRule="exact"/>
                          <w:ind w:left="165"/>
                          <w:jc w:val="left"/>
                          <w:rPr>
                            <w:sz w:val="16"/>
                          </w:rPr>
                        </w:pPr>
                        <w:r>
                          <w:rPr>
                            <w:sz w:val="16"/>
                          </w:rPr>
                          <w:t>0.61</w:t>
                          <w:tab/>
                          <w:t>736</w:t>
                        </w:r>
                      </w:p>
                    </w:tc>
                  </w:tr>
                  <w:tr>
                    <w:trPr>
                      <w:trHeight w:val="240" w:hRule="exact"/>
                    </w:trPr>
                    <w:tc>
                      <w:tcPr>
                        <w:tcW w:w="5953" w:type="dxa"/>
                        <w:gridSpan w:val="6"/>
                        <w:tcBorders>
                          <w:top w:val="nil"/>
                          <w:left w:val="nil"/>
                          <w:bottom w:val="nil"/>
                          <w:right w:val="nil"/>
                        </w:tcBorders>
                      </w:tcPr>
                      <w:p>
                        <w:pPr>
                          <w:pStyle w:val="TableParagraph"/>
                          <w:tabs>
                            <w:tab w:pos="821" w:val="left" w:leader="none"/>
                          </w:tabs>
                          <w:spacing w:before="2"/>
                          <w:ind w:left="38"/>
                          <w:jc w:val="left"/>
                          <w:rPr>
                            <w:sz w:val="16"/>
                          </w:rPr>
                        </w:pPr>
                        <w:r>
                          <w:rPr>
                            <w:position w:val="-8"/>
                            <w:sz w:val="16"/>
                          </w:rPr>
                          <w:t>3140</w:t>
                          <w:tab/>
                        </w:r>
                        <w:r>
                          <w:rPr>
                            <w:w w:val="95"/>
                            <w:sz w:val="16"/>
                          </w:rPr>
                          <w:t>Fabricación de productos textiles,</w:t>
                        </w:r>
                        <w:r>
                          <w:rPr>
                            <w:spacing w:val="-15"/>
                            <w:w w:val="95"/>
                            <w:sz w:val="16"/>
                          </w:rPr>
                          <w:t> </w:t>
                        </w:r>
                        <w:r>
                          <w:rPr>
                            <w:w w:val="95"/>
                            <w:sz w:val="16"/>
                          </w:rPr>
                          <w:t>excepto</w:t>
                        </w:r>
                      </w:p>
                    </w:tc>
                  </w:tr>
                  <w:tr>
                    <w:trPr>
                      <w:trHeight w:val="139" w:hRule="exact"/>
                    </w:trPr>
                    <w:tc>
                      <w:tcPr>
                        <w:tcW w:w="655" w:type="dxa"/>
                        <w:tcBorders>
                          <w:top w:val="nil"/>
                          <w:left w:val="nil"/>
                          <w:bottom w:val="nil"/>
                          <w:right w:val="nil"/>
                        </w:tcBorders>
                      </w:tcPr>
                      <w:p>
                        <w:pPr/>
                      </w:p>
                    </w:tc>
                    <w:tc>
                      <w:tcPr>
                        <w:tcW w:w="3027" w:type="dxa"/>
                        <w:tcBorders>
                          <w:top w:val="nil"/>
                          <w:left w:val="nil"/>
                          <w:bottom w:val="nil"/>
                          <w:right w:val="nil"/>
                        </w:tcBorders>
                      </w:tcPr>
                      <w:p>
                        <w:pPr>
                          <w:pStyle w:val="TableParagraph"/>
                          <w:spacing w:line="129" w:lineRule="exact"/>
                          <w:ind w:left="166"/>
                          <w:jc w:val="left"/>
                          <w:rPr>
                            <w:sz w:val="16"/>
                          </w:rPr>
                        </w:pPr>
                        <w:r>
                          <w:rPr>
                            <w:w w:val="95"/>
                            <w:sz w:val="16"/>
                          </w:rPr>
                          <w:t>prendas de vestir</w:t>
                        </w:r>
                      </w:p>
                    </w:tc>
                    <w:tc>
                      <w:tcPr>
                        <w:tcW w:w="479" w:type="dxa"/>
                        <w:tcBorders>
                          <w:top w:val="nil"/>
                          <w:left w:val="nil"/>
                          <w:bottom w:val="nil"/>
                          <w:right w:val="nil"/>
                        </w:tcBorders>
                      </w:tcPr>
                      <w:p>
                        <w:pPr/>
                      </w:p>
                    </w:tc>
                    <w:tc>
                      <w:tcPr>
                        <w:tcW w:w="619" w:type="dxa"/>
                        <w:tcBorders>
                          <w:top w:val="nil"/>
                          <w:left w:val="nil"/>
                          <w:bottom w:val="nil"/>
                          <w:right w:val="nil"/>
                        </w:tcBorders>
                      </w:tcPr>
                      <w:p>
                        <w:pPr/>
                      </w:p>
                    </w:tc>
                    <w:tc>
                      <w:tcPr>
                        <w:tcW w:w="598" w:type="dxa"/>
                        <w:tcBorders>
                          <w:top w:val="nil"/>
                          <w:left w:val="nil"/>
                          <w:bottom w:val="nil"/>
                          <w:right w:val="nil"/>
                        </w:tcBorders>
                      </w:tcPr>
                      <w:p>
                        <w:pPr/>
                      </w:p>
                    </w:tc>
                    <w:tc>
                      <w:tcPr>
                        <w:tcW w:w="575" w:type="dxa"/>
                        <w:tcBorders>
                          <w:top w:val="nil"/>
                          <w:left w:val="nil"/>
                          <w:bottom w:val="nil"/>
                          <w:right w:val="nil"/>
                        </w:tcBorders>
                      </w:tcPr>
                      <w:p>
                        <w:pPr/>
                      </w:p>
                    </w:tc>
                  </w:tr>
                  <w:tr>
                    <w:trPr>
                      <w:trHeight w:val="185" w:hRule="exact"/>
                    </w:trPr>
                    <w:tc>
                      <w:tcPr>
                        <w:tcW w:w="655" w:type="dxa"/>
                        <w:tcBorders>
                          <w:top w:val="nil"/>
                          <w:left w:val="nil"/>
                          <w:bottom w:val="nil"/>
                          <w:right w:val="nil"/>
                        </w:tcBorders>
                      </w:tcPr>
                      <w:p>
                        <w:pPr>
                          <w:pStyle w:val="TableParagraph"/>
                          <w:spacing w:line="176" w:lineRule="exact"/>
                          <w:ind w:left="38"/>
                          <w:jc w:val="left"/>
                          <w:rPr>
                            <w:sz w:val="16"/>
                          </w:rPr>
                        </w:pPr>
                        <w:r>
                          <w:rPr>
                            <w:sz w:val="16"/>
                          </w:rPr>
                          <w:t>3210</w:t>
                        </w:r>
                      </w:p>
                    </w:tc>
                    <w:tc>
                      <w:tcPr>
                        <w:tcW w:w="3027" w:type="dxa"/>
                        <w:tcBorders>
                          <w:top w:val="nil"/>
                          <w:left w:val="nil"/>
                          <w:bottom w:val="nil"/>
                          <w:right w:val="nil"/>
                        </w:tcBorders>
                      </w:tcPr>
                      <w:p>
                        <w:pPr>
                          <w:pStyle w:val="TableParagraph"/>
                          <w:spacing w:line="176" w:lineRule="exact"/>
                          <w:ind w:left="166"/>
                          <w:jc w:val="left"/>
                          <w:rPr>
                            <w:sz w:val="16"/>
                          </w:rPr>
                        </w:pPr>
                        <w:r>
                          <w:rPr>
                            <w:sz w:val="16"/>
                          </w:rPr>
                          <w:t>Industria de la madera</w:t>
                        </w:r>
                      </w:p>
                    </w:tc>
                    <w:tc>
                      <w:tcPr>
                        <w:tcW w:w="479" w:type="dxa"/>
                        <w:tcBorders>
                          <w:top w:val="nil"/>
                          <w:left w:val="nil"/>
                          <w:bottom w:val="nil"/>
                          <w:right w:val="nil"/>
                        </w:tcBorders>
                      </w:tcPr>
                      <w:p>
                        <w:pPr>
                          <w:pStyle w:val="TableParagraph"/>
                          <w:spacing w:line="176" w:lineRule="exact"/>
                          <w:ind w:left="45"/>
                          <w:jc w:val="left"/>
                          <w:rPr>
                            <w:sz w:val="16"/>
                          </w:rPr>
                        </w:pPr>
                        <w:r>
                          <w:rPr>
                            <w:sz w:val="16"/>
                          </w:rPr>
                          <w:t>2.75</w:t>
                        </w:r>
                      </w:p>
                    </w:tc>
                    <w:tc>
                      <w:tcPr>
                        <w:tcW w:w="619" w:type="dxa"/>
                        <w:tcBorders>
                          <w:top w:val="nil"/>
                          <w:left w:val="nil"/>
                          <w:bottom w:val="nil"/>
                          <w:right w:val="nil"/>
                        </w:tcBorders>
                      </w:tcPr>
                      <w:p>
                        <w:pPr>
                          <w:pStyle w:val="TableParagraph"/>
                          <w:spacing w:line="176" w:lineRule="exact"/>
                          <w:ind w:right="107"/>
                          <w:rPr>
                            <w:sz w:val="16"/>
                          </w:rPr>
                        </w:pPr>
                        <w:r>
                          <w:rPr>
                            <w:w w:val="90"/>
                            <w:sz w:val="16"/>
                          </w:rPr>
                          <w:t>438</w:t>
                        </w:r>
                      </w:p>
                    </w:tc>
                    <w:tc>
                      <w:tcPr>
                        <w:tcW w:w="598" w:type="dxa"/>
                        <w:tcBorders>
                          <w:top w:val="nil"/>
                          <w:left w:val="nil"/>
                          <w:bottom w:val="nil"/>
                          <w:right w:val="nil"/>
                        </w:tcBorders>
                      </w:tcPr>
                      <w:p>
                        <w:pPr>
                          <w:pStyle w:val="TableParagraph"/>
                          <w:spacing w:line="176" w:lineRule="exact"/>
                          <w:ind w:left="139" w:right="139"/>
                          <w:jc w:val="center"/>
                          <w:rPr>
                            <w:sz w:val="16"/>
                          </w:rPr>
                        </w:pPr>
                        <w:r>
                          <w:rPr>
                            <w:sz w:val="16"/>
                          </w:rPr>
                          <w:t>0.18</w:t>
                        </w:r>
                      </w:p>
                    </w:tc>
                    <w:tc>
                      <w:tcPr>
                        <w:tcW w:w="575" w:type="dxa"/>
                        <w:tcBorders>
                          <w:top w:val="nil"/>
                          <w:left w:val="nil"/>
                          <w:bottom w:val="nil"/>
                          <w:right w:val="nil"/>
                        </w:tcBorders>
                      </w:tcPr>
                      <w:p>
                        <w:pPr>
                          <w:pStyle w:val="TableParagraph"/>
                          <w:spacing w:line="176" w:lineRule="exact"/>
                          <w:ind w:right="64"/>
                          <w:rPr>
                            <w:sz w:val="16"/>
                          </w:rPr>
                        </w:pPr>
                        <w:r>
                          <w:rPr>
                            <w:w w:val="90"/>
                            <w:sz w:val="16"/>
                          </w:rPr>
                          <w:t>438</w:t>
                        </w:r>
                      </w:p>
                    </w:tc>
                  </w:tr>
                  <w:tr>
                    <w:trPr>
                      <w:trHeight w:val="182" w:hRule="exact"/>
                    </w:trPr>
                    <w:tc>
                      <w:tcPr>
                        <w:tcW w:w="655" w:type="dxa"/>
                        <w:tcBorders>
                          <w:top w:val="nil"/>
                          <w:left w:val="nil"/>
                          <w:bottom w:val="nil"/>
                          <w:right w:val="nil"/>
                        </w:tcBorders>
                      </w:tcPr>
                      <w:p>
                        <w:pPr>
                          <w:pStyle w:val="TableParagraph"/>
                          <w:spacing w:line="174" w:lineRule="exact"/>
                          <w:ind w:left="38"/>
                          <w:jc w:val="left"/>
                          <w:rPr>
                            <w:sz w:val="16"/>
                          </w:rPr>
                        </w:pPr>
                        <w:r>
                          <w:rPr>
                            <w:sz w:val="16"/>
                          </w:rPr>
                          <w:t>3220</w:t>
                        </w:r>
                      </w:p>
                    </w:tc>
                    <w:tc>
                      <w:tcPr>
                        <w:tcW w:w="3027" w:type="dxa"/>
                        <w:tcBorders>
                          <w:top w:val="nil"/>
                          <w:left w:val="nil"/>
                          <w:bottom w:val="nil"/>
                          <w:right w:val="nil"/>
                        </w:tcBorders>
                      </w:tcPr>
                      <w:p>
                        <w:pPr>
                          <w:pStyle w:val="TableParagraph"/>
                          <w:spacing w:line="174" w:lineRule="exact"/>
                          <w:ind w:left="166"/>
                          <w:jc w:val="left"/>
                          <w:rPr>
                            <w:sz w:val="16"/>
                          </w:rPr>
                        </w:pPr>
                        <w:r>
                          <w:rPr>
                            <w:w w:val="95"/>
                            <w:sz w:val="16"/>
                          </w:rPr>
                          <w:t>Industria del papel</w:t>
                        </w:r>
                      </w:p>
                    </w:tc>
                    <w:tc>
                      <w:tcPr>
                        <w:tcW w:w="479" w:type="dxa"/>
                        <w:tcBorders>
                          <w:top w:val="nil"/>
                          <w:left w:val="nil"/>
                          <w:bottom w:val="nil"/>
                          <w:right w:val="nil"/>
                        </w:tcBorders>
                      </w:tcPr>
                      <w:p>
                        <w:pPr>
                          <w:pStyle w:val="TableParagraph"/>
                          <w:spacing w:line="174" w:lineRule="exact"/>
                          <w:ind w:left="45"/>
                          <w:jc w:val="left"/>
                          <w:rPr>
                            <w:sz w:val="16"/>
                          </w:rPr>
                        </w:pPr>
                        <w:r>
                          <w:rPr>
                            <w:sz w:val="16"/>
                          </w:rPr>
                          <w:t>3.43</w:t>
                        </w:r>
                      </w:p>
                    </w:tc>
                    <w:tc>
                      <w:tcPr>
                        <w:tcW w:w="619" w:type="dxa"/>
                        <w:tcBorders>
                          <w:top w:val="nil"/>
                          <w:left w:val="nil"/>
                          <w:bottom w:val="nil"/>
                          <w:right w:val="nil"/>
                        </w:tcBorders>
                      </w:tcPr>
                      <w:p>
                        <w:pPr>
                          <w:pStyle w:val="TableParagraph"/>
                          <w:spacing w:line="174" w:lineRule="exact"/>
                          <w:ind w:right="107"/>
                          <w:rPr>
                            <w:sz w:val="16"/>
                          </w:rPr>
                        </w:pPr>
                        <w:r>
                          <w:rPr>
                            <w:w w:val="90"/>
                            <w:sz w:val="16"/>
                          </w:rPr>
                          <w:t>291</w:t>
                        </w:r>
                      </w:p>
                    </w:tc>
                    <w:tc>
                      <w:tcPr>
                        <w:tcW w:w="598" w:type="dxa"/>
                        <w:tcBorders>
                          <w:top w:val="nil"/>
                          <w:left w:val="nil"/>
                          <w:bottom w:val="nil"/>
                          <w:right w:val="nil"/>
                        </w:tcBorders>
                      </w:tcPr>
                      <w:p>
                        <w:pPr>
                          <w:pStyle w:val="TableParagraph"/>
                          <w:spacing w:line="174" w:lineRule="exact"/>
                          <w:ind w:left="139" w:right="139"/>
                          <w:jc w:val="center"/>
                          <w:rPr>
                            <w:sz w:val="16"/>
                          </w:rPr>
                        </w:pPr>
                        <w:r>
                          <w:rPr>
                            <w:sz w:val="16"/>
                          </w:rPr>
                          <w:t>0.80</w:t>
                        </w:r>
                      </w:p>
                    </w:tc>
                    <w:tc>
                      <w:tcPr>
                        <w:tcW w:w="575" w:type="dxa"/>
                        <w:tcBorders>
                          <w:top w:val="nil"/>
                          <w:left w:val="nil"/>
                          <w:bottom w:val="nil"/>
                          <w:right w:val="nil"/>
                        </w:tcBorders>
                      </w:tcPr>
                      <w:p>
                        <w:pPr>
                          <w:pStyle w:val="TableParagraph"/>
                          <w:spacing w:line="174" w:lineRule="exact"/>
                          <w:ind w:right="64"/>
                          <w:rPr>
                            <w:sz w:val="16"/>
                          </w:rPr>
                        </w:pPr>
                        <w:r>
                          <w:rPr>
                            <w:w w:val="90"/>
                            <w:sz w:val="16"/>
                          </w:rPr>
                          <w:t>291</w:t>
                        </w:r>
                      </w:p>
                    </w:tc>
                  </w:tr>
                  <w:tr>
                    <w:trPr>
                      <w:trHeight w:val="182" w:hRule="exact"/>
                    </w:trPr>
                    <w:tc>
                      <w:tcPr>
                        <w:tcW w:w="655" w:type="dxa"/>
                        <w:tcBorders>
                          <w:top w:val="nil"/>
                          <w:left w:val="nil"/>
                          <w:bottom w:val="nil"/>
                          <w:right w:val="nil"/>
                        </w:tcBorders>
                      </w:tcPr>
                      <w:p>
                        <w:pPr>
                          <w:pStyle w:val="TableParagraph"/>
                          <w:spacing w:line="174" w:lineRule="exact"/>
                          <w:ind w:left="38"/>
                          <w:jc w:val="left"/>
                          <w:rPr>
                            <w:sz w:val="16"/>
                          </w:rPr>
                        </w:pPr>
                        <w:r>
                          <w:rPr>
                            <w:sz w:val="16"/>
                          </w:rPr>
                          <w:t>3260</w:t>
                        </w:r>
                      </w:p>
                    </w:tc>
                    <w:tc>
                      <w:tcPr>
                        <w:tcW w:w="3027" w:type="dxa"/>
                        <w:tcBorders>
                          <w:top w:val="nil"/>
                          <w:left w:val="nil"/>
                          <w:bottom w:val="nil"/>
                          <w:right w:val="nil"/>
                        </w:tcBorders>
                      </w:tcPr>
                      <w:p>
                        <w:pPr>
                          <w:pStyle w:val="TableParagraph"/>
                          <w:spacing w:line="174" w:lineRule="exact"/>
                          <w:ind w:left="166"/>
                          <w:jc w:val="left"/>
                          <w:rPr>
                            <w:sz w:val="16"/>
                          </w:rPr>
                        </w:pPr>
                        <w:r>
                          <w:rPr>
                            <w:sz w:val="16"/>
                          </w:rPr>
                          <w:t>Industria del plástico y del hule</w:t>
                        </w:r>
                      </w:p>
                    </w:tc>
                    <w:tc>
                      <w:tcPr>
                        <w:tcW w:w="479" w:type="dxa"/>
                        <w:tcBorders>
                          <w:top w:val="nil"/>
                          <w:left w:val="nil"/>
                          <w:bottom w:val="nil"/>
                          <w:right w:val="nil"/>
                        </w:tcBorders>
                      </w:tcPr>
                      <w:p>
                        <w:pPr>
                          <w:pStyle w:val="TableParagraph"/>
                          <w:spacing w:line="174" w:lineRule="exact"/>
                          <w:ind w:left="45"/>
                          <w:jc w:val="left"/>
                          <w:rPr>
                            <w:sz w:val="16"/>
                          </w:rPr>
                        </w:pPr>
                        <w:r>
                          <w:rPr>
                            <w:sz w:val="16"/>
                          </w:rPr>
                          <w:t>3.03</w:t>
                        </w:r>
                      </w:p>
                    </w:tc>
                    <w:tc>
                      <w:tcPr>
                        <w:tcW w:w="619" w:type="dxa"/>
                        <w:tcBorders>
                          <w:top w:val="nil"/>
                          <w:left w:val="nil"/>
                          <w:bottom w:val="nil"/>
                          <w:right w:val="nil"/>
                        </w:tcBorders>
                      </w:tcPr>
                      <w:p>
                        <w:pPr>
                          <w:pStyle w:val="TableParagraph"/>
                          <w:spacing w:line="174" w:lineRule="exact"/>
                          <w:ind w:right="107"/>
                          <w:rPr>
                            <w:sz w:val="16"/>
                          </w:rPr>
                        </w:pPr>
                        <w:r>
                          <w:rPr>
                            <w:w w:val="90"/>
                            <w:sz w:val="16"/>
                          </w:rPr>
                          <w:t>694</w:t>
                        </w:r>
                      </w:p>
                    </w:tc>
                    <w:tc>
                      <w:tcPr>
                        <w:tcW w:w="598" w:type="dxa"/>
                        <w:tcBorders>
                          <w:top w:val="nil"/>
                          <w:left w:val="nil"/>
                          <w:bottom w:val="nil"/>
                          <w:right w:val="nil"/>
                        </w:tcBorders>
                      </w:tcPr>
                      <w:p>
                        <w:pPr>
                          <w:pStyle w:val="TableParagraph"/>
                          <w:spacing w:line="174" w:lineRule="exact"/>
                          <w:ind w:left="139" w:right="139"/>
                          <w:jc w:val="center"/>
                          <w:rPr>
                            <w:sz w:val="16"/>
                          </w:rPr>
                        </w:pPr>
                        <w:r>
                          <w:rPr>
                            <w:sz w:val="16"/>
                          </w:rPr>
                          <w:t>0.82</w:t>
                        </w:r>
                      </w:p>
                    </w:tc>
                    <w:tc>
                      <w:tcPr>
                        <w:tcW w:w="575" w:type="dxa"/>
                        <w:tcBorders>
                          <w:top w:val="nil"/>
                          <w:left w:val="nil"/>
                          <w:bottom w:val="nil"/>
                          <w:right w:val="nil"/>
                        </w:tcBorders>
                      </w:tcPr>
                      <w:p>
                        <w:pPr>
                          <w:pStyle w:val="TableParagraph"/>
                          <w:spacing w:line="174" w:lineRule="exact"/>
                          <w:ind w:right="64"/>
                          <w:rPr>
                            <w:sz w:val="16"/>
                          </w:rPr>
                        </w:pPr>
                        <w:r>
                          <w:rPr>
                            <w:w w:val="90"/>
                            <w:sz w:val="16"/>
                          </w:rPr>
                          <w:t>694</w:t>
                        </w:r>
                      </w:p>
                    </w:tc>
                  </w:tr>
                  <w:tr>
                    <w:trPr>
                      <w:trHeight w:val="185" w:hRule="exact"/>
                    </w:trPr>
                    <w:tc>
                      <w:tcPr>
                        <w:tcW w:w="655" w:type="dxa"/>
                        <w:tcBorders>
                          <w:top w:val="nil"/>
                          <w:left w:val="nil"/>
                          <w:bottom w:val="nil"/>
                          <w:right w:val="nil"/>
                        </w:tcBorders>
                      </w:tcPr>
                      <w:p>
                        <w:pPr>
                          <w:pStyle w:val="TableParagraph"/>
                          <w:spacing w:line="174" w:lineRule="exact"/>
                          <w:ind w:left="38"/>
                          <w:jc w:val="left"/>
                          <w:rPr>
                            <w:sz w:val="16"/>
                          </w:rPr>
                        </w:pPr>
                        <w:r>
                          <w:rPr>
                            <w:sz w:val="16"/>
                          </w:rPr>
                          <w:t>3310</w:t>
                        </w:r>
                      </w:p>
                    </w:tc>
                    <w:tc>
                      <w:tcPr>
                        <w:tcW w:w="3027" w:type="dxa"/>
                        <w:tcBorders>
                          <w:top w:val="nil"/>
                          <w:left w:val="nil"/>
                          <w:bottom w:val="nil"/>
                          <w:right w:val="nil"/>
                        </w:tcBorders>
                      </w:tcPr>
                      <w:p>
                        <w:pPr>
                          <w:pStyle w:val="TableParagraph"/>
                          <w:spacing w:line="174" w:lineRule="exact"/>
                          <w:ind w:left="166"/>
                          <w:jc w:val="left"/>
                          <w:rPr>
                            <w:sz w:val="16"/>
                          </w:rPr>
                        </w:pPr>
                        <w:r>
                          <w:rPr>
                            <w:w w:val="95"/>
                            <w:sz w:val="16"/>
                          </w:rPr>
                          <w:t>Industrias metálicas básicas</w:t>
                        </w:r>
                      </w:p>
                    </w:tc>
                    <w:tc>
                      <w:tcPr>
                        <w:tcW w:w="479" w:type="dxa"/>
                        <w:tcBorders>
                          <w:top w:val="nil"/>
                          <w:left w:val="nil"/>
                          <w:bottom w:val="nil"/>
                          <w:right w:val="nil"/>
                        </w:tcBorders>
                      </w:tcPr>
                      <w:p>
                        <w:pPr>
                          <w:pStyle w:val="TableParagraph"/>
                          <w:spacing w:line="174" w:lineRule="exact"/>
                          <w:ind w:left="45"/>
                          <w:jc w:val="left"/>
                          <w:rPr>
                            <w:sz w:val="16"/>
                          </w:rPr>
                        </w:pPr>
                        <w:r>
                          <w:rPr>
                            <w:sz w:val="16"/>
                          </w:rPr>
                          <w:t>3.92</w:t>
                        </w:r>
                      </w:p>
                    </w:tc>
                    <w:tc>
                      <w:tcPr>
                        <w:tcW w:w="619" w:type="dxa"/>
                        <w:tcBorders>
                          <w:top w:val="nil"/>
                          <w:left w:val="nil"/>
                          <w:bottom w:val="nil"/>
                          <w:right w:val="nil"/>
                        </w:tcBorders>
                      </w:tcPr>
                      <w:p>
                        <w:pPr>
                          <w:pStyle w:val="TableParagraph"/>
                          <w:spacing w:line="174" w:lineRule="exact"/>
                          <w:ind w:right="107"/>
                          <w:rPr>
                            <w:sz w:val="16"/>
                          </w:rPr>
                        </w:pPr>
                        <w:r>
                          <w:rPr>
                            <w:w w:val="90"/>
                            <w:sz w:val="16"/>
                          </w:rPr>
                          <w:t>281</w:t>
                        </w:r>
                      </w:p>
                    </w:tc>
                    <w:tc>
                      <w:tcPr>
                        <w:tcW w:w="598" w:type="dxa"/>
                        <w:tcBorders>
                          <w:top w:val="nil"/>
                          <w:left w:val="nil"/>
                          <w:bottom w:val="nil"/>
                          <w:right w:val="nil"/>
                        </w:tcBorders>
                      </w:tcPr>
                      <w:p>
                        <w:pPr>
                          <w:pStyle w:val="TableParagraph"/>
                          <w:spacing w:line="174" w:lineRule="exact"/>
                          <w:ind w:left="139" w:right="139"/>
                          <w:jc w:val="center"/>
                          <w:rPr>
                            <w:sz w:val="16"/>
                          </w:rPr>
                        </w:pPr>
                        <w:r>
                          <w:rPr>
                            <w:sz w:val="16"/>
                          </w:rPr>
                          <w:t>0.95</w:t>
                        </w:r>
                      </w:p>
                    </w:tc>
                    <w:tc>
                      <w:tcPr>
                        <w:tcW w:w="575" w:type="dxa"/>
                        <w:tcBorders>
                          <w:top w:val="nil"/>
                          <w:left w:val="nil"/>
                          <w:bottom w:val="nil"/>
                          <w:right w:val="nil"/>
                        </w:tcBorders>
                      </w:tcPr>
                      <w:p>
                        <w:pPr>
                          <w:pStyle w:val="TableParagraph"/>
                          <w:spacing w:line="174" w:lineRule="exact"/>
                          <w:ind w:right="64"/>
                          <w:rPr>
                            <w:sz w:val="16"/>
                          </w:rPr>
                        </w:pPr>
                        <w:r>
                          <w:rPr>
                            <w:w w:val="90"/>
                            <w:sz w:val="16"/>
                          </w:rPr>
                          <w:t>281</w:t>
                        </w:r>
                      </w:p>
                    </w:tc>
                  </w:tr>
                  <w:tr>
                    <w:trPr>
                      <w:trHeight w:val="185" w:hRule="exact"/>
                    </w:trPr>
                    <w:tc>
                      <w:tcPr>
                        <w:tcW w:w="655" w:type="dxa"/>
                        <w:tcBorders>
                          <w:top w:val="nil"/>
                          <w:left w:val="nil"/>
                          <w:bottom w:val="nil"/>
                          <w:right w:val="nil"/>
                        </w:tcBorders>
                      </w:tcPr>
                      <w:p>
                        <w:pPr>
                          <w:pStyle w:val="TableParagraph"/>
                          <w:spacing w:line="176" w:lineRule="exact"/>
                          <w:ind w:left="38"/>
                          <w:jc w:val="left"/>
                          <w:rPr>
                            <w:sz w:val="16"/>
                          </w:rPr>
                        </w:pPr>
                        <w:r>
                          <w:rPr>
                            <w:sz w:val="16"/>
                          </w:rPr>
                          <w:t>3330</w:t>
                        </w:r>
                      </w:p>
                    </w:tc>
                    <w:tc>
                      <w:tcPr>
                        <w:tcW w:w="3027" w:type="dxa"/>
                        <w:tcBorders>
                          <w:top w:val="nil"/>
                          <w:left w:val="nil"/>
                          <w:bottom w:val="nil"/>
                          <w:right w:val="nil"/>
                        </w:tcBorders>
                      </w:tcPr>
                      <w:p>
                        <w:pPr>
                          <w:pStyle w:val="TableParagraph"/>
                          <w:spacing w:line="176" w:lineRule="exact"/>
                          <w:ind w:left="166"/>
                          <w:jc w:val="left"/>
                          <w:rPr>
                            <w:sz w:val="16"/>
                          </w:rPr>
                        </w:pPr>
                        <w:r>
                          <w:rPr>
                            <w:w w:val="95"/>
                            <w:sz w:val="16"/>
                          </w:rPr>
                          <w:t>Fabricación de maquinaria y equipo</w:t>
                        </w:r>
                      </w:p>
                    </w:tc>
                    <w:tc>
                      <w:tcPr>
                        <w:tcW w:w="479" w:type="dxa"/>
                        <w:tcBorders>
                          <w:top w:val="nil"/>
                          <w:left w:val="nil"/>
                          <w:bottom w:val="nil"/>
                          <w:right w:val="nil"/>
                        </w:tcBorders>
                      </w:tcPr>
                      <w:p>
                        <w:pPr>
                          <w:pStyle w:val="TableParagraph"/>
                          <w:spacing w:line="176" w:lineRule="exact"/>
                          <w:ind w:left="45"/>
                          <w:jc w:val="left"/>
                          <w:rPr>
                            <w:sz w:val="16"/>
                          </w:rPr>
                        </w:pPr>
                        <w:r>
                          <w:rPr>
                            <w:sz w:val="16"/>
                          </w:rPr>
                          <w:t>3.94</w:t>
                        </w:r>
                      </w:p>
                    </w:tc>
                    <w:tc>
                      <w:tcPr>
                        <w:tcW w:w="619" w:type="dxa"/>
                        <w:tcBorders>
                          <w:top w:val="nil"/>
                          <w:left w:val="nil"/>
                          <w:bottom w:val="nil"/>
                          <w:right w:val="nil"/>
                        </w:tcBorders>
                      </w:tcPr>
                      <w:p>
                        <w:pPr>
                          <w:pStyle w:val="TableParagraph"/>
                          <w:spacing w:line="176" w:lineRule="exact"/>
                          <w:ind w:right="107"/>
                          <w:rPr>
                            <w:sz w:val="16"/>
                          </w:rPr>
                        </w:pPr>
                        <w:r>
                          <w:rPr>
                            <w:w w:val="90"/>
                            <w:sz w:val="16"/>
                          </w:rPr>
                          <w:t>285</w:t>
                        </w:r>
                      </w:p>
                    </w:tc>
                    <w:tc>
                      <w:tcPr>
                        <w:tcW w:w="598" w:type="dxa"/>
                        <w:tcBorders>
                          <w:top w:val="nil"/>
                          <w:left w:val="nil"/>
                          <w:bottom w:val="nil"/>
                          <w:right w:val="nil"/>
                        </w:tcBorders>
                      </w:tcPr>
                      <w:p>
                        <w:pPr>
                          <w:pStyle w:val="TableParagraph"/>
                          <w:spacing w:line="176" w:lineRule="exact"/>
                          <w:ind w:left="139" w:right="139"/>
                          <w:jc w:val="center"/>
                          <w:rPr>
                            <w:sz w:val="16"/>
                          </w:rPr>
                        </w:pPr>
                        <w:r>
                          <w:rPr>
                            <w:sz w:val="16"/>
                          </w:rPr>
                          <w:t>0.88</w:t>
                        </w:r>
                      </w:p>
                    </w:tc>
                    <w:tc>
                      <w:tcPr>
                        <w:tcW w:w="575" w:type="dxa"/>
                        <w:tcBorders>
                          <w:top w:val="nil"/>
                          <w:left w:val="nil"/>
                          <w:bottom w:val="nil"/>
                          <w:right w:val="nil"/>
                        </w:tcBorders>
                      </w:tcPr>
                      <w:p>
                        <w:pPr>
                          <w:pStyle w:val="TableParagraph"/>
                          <w:spacing w:line="176" w:lineRule="exact"/>
                          <w:ind w:right="64"/>
                          <w:rPr>
                            <w:sz w:val="16"/>
                          </w:rPr>
                        </w:pPr>
                        <w:r>
                          <w:rPr>
                            <w:w w:val="90"/>
                            <w:sz w:val="16"/>
                          </w:rPr>
                          <w:t>285</w:t>
                        </w:r>
                      </w:p>
                    </w:tc>
                  </w:tr>
                  <w:tr>
                    <w:trPr>
                      <w:trHeight w:val="230" w:hRule="exact"/>
                    </w:trPr>
                    <w:tc>
                      <w:tcPr>
                        <w:tcW w:w="655" w:type="dxa"/>
                        <w:tcBorders>
                          <w:top w:val="nil"/>
                          <w:left w:val="nil"/>
                          <w:bottom w:val="nil"/>
                          <w:right w:val="nil"/>
                        </w:tcBorders>
                      </w:tcPr>
                      <w:p>
                        <w:pPr/>
                      </w:p>
                    </w:tc>
                    <w:tc>
                      <w:tcPr>
                        <w:tcW w:w="3027" w:type="dxa"/>
                        <w:tcBorders>
                          <w:top w:val="nil"/>
                          <w:left w:val="nil"/>
                          <w:bottom w:val="nil"/>
                          <w:right w:val="nil"/>
                        </w:tcBorders>
                      </w:tcPr>
                      <w:p>
                        <w:pPr>
                          <w:pStyle w:val="TableParagraph"/>
                          <w:spacing w:line="174" w:lineRule="exact"/>
                          <w:ind w:left="166"/>
                          <w:jc w:val="left"/>
                          <w:rPr>
                            <w:sz w:val="16"/>
                          </w:rPr>
                        </w:pPr>
                        <w:r>
                          <w:rPr>
                            <w:w w:val="95"/>
                            <w:sz w:val="16"/>
                          </w:rPr>
                          <w:t>Fabricación de equipo de computación,</w:t>
                        </w:r>
                      </w:p>
                    </w:tc>
                    <w:tc>
                      <w:tcPr>
                        <w:tcW w:w="479" w:type="dxa"/>
                        <w:tcBorders>
                          <w:top w:val="nil"/>
                          <w:left w:val="nil"/>
                          <w:bottom w:val="nil"/>
                          <w:right w:val="nil"/>
                        </w:tcBorders>
                      </w:tcPr>
                      <w:p>
                        <w:pPr/>
                      </w:p>
                    </w:tc>
                    <w:tc>
                      <w:tcPr>
                        <w:tcW w:w="619" w:type="dxa"/>
                        <w:tcBorders>
                          <w:top w:val="nil"/>
                          <w:left w:val="nil"/>
                          <w:bottom w:val="nil"/>
                          <w:right w:val="nil"/>
                        </w:tcBorders>
                      </w:tcPr>
                      <w:p>
                        <w:pPr/>
                      </w:p>
                    </w:tc>
                    <w:tc>
                      <w:tcPr>
                        <w:tcW w:w="598" w:type="dxa"/>
                        <w:tcBorders>
                          <w:top w:val="nil"/>
                          <w:left w:val="nil"/>
                          <w:bottom w:val="nil"/>
                          <w:right w:val="nil"/>
                        </w:tcBorders>
                      </w:tcPr>
                      <w:p>
                        <w:pPr/>
                      </w:p>
                    </w:tc>
                    <w:tc>
                      <w:tcPr>
                        <w:tcW w:w="575" w:type="dxa"/>
                        <w:tcBorders>
                          <w:top w:val="nil"/>
                          <w:left w:val="nil"/>
                          <w:bottom w:val="nil"/>
                          <w:right w:val="nil"/>
                        </w:tcBorders>
                      </w:tcPr>
                      <w:p>
                        <w:pPr/>
                      </w:p>
                    </w:tc>
                  </w:tr>
                  <w:tr>
                    <w:trPr>
                      <w:trHeight w:val="415" w:hRule="exact"/>
                    </w:trPr>
                    <w:tc>
                      <w:tcPr>
                        <w:tcW w:w="4161" w:type="dxa"/>
                        <w:gridSpan w:val="3"/>
                        <w:tcBorders>
                          <w:top w:val="nil"/>
                          <w:left w:val="nil"/>
                          <w:bottom w:val="nil"/>
                          <w:right w:val="nil"/>
                        </w:tcBorders>
                      </w:tcPr>
                      <w:p>
                        <w:pPr>
                          <w:pStyle w:val="TableParagraph"/>
                          <w:tabs>
                            <w:tab w:pos="821" w:val="left" w:leader="none"/>
                            <w:tab w:pos="3994" w:val="right" w:leader="none"/>
                          </w:tabs>
                          <w:spacing w:line="226" w:lineRule="exact"/>
                          <w:ind w:left="38"/>
                          <w:jc w:val="left"/>
                          <w:rPr>
                            <w:sz w:val="16"/>
                          </w:rPr>
                        </w:pPr>
                        <w:r>
                          <w:rPr>
                            <w:position w:val="-9"/>
                            <w:sz w:val="16"/>
                          </w:rPr>
                          <w:t>3340</w:t>
                          <w:tab/>
                        </w:r>
                        <w:r>
                          <w:rPr>
                            <w:sz w:val="16"/>
                          </w:rPr>
                          <w:t>comunicación, medición y</w:t>
                        </w:r>
                        <w:r>
                          <w:rPr>
                            <w:spacing w:val="-22"/>
                            <w:sz w:val="16"/>
                          </w:rPr>
                          <w:t> </w:t>
                        </w:r>
                        <w:r>
                          <w:rPr>
                            <w:sz w:val="16"/>
                          </w:rPr>
                          <w:t>de</w:t>
                        </w:r>
                        <w:r>
                          <w:rPr>
                            <w:spacing w:val="-8"/>
                            <w:sz w:val="16"/>
                          </w:rPr>
                          <w:t> </w:t>
                        </w:r>
                        <w:r>
                          <w:rPr>
                            <w:sz w:val="16"/>
                          </w:rPr>
                          <w:t>otros</w:t>
                        </w:r>
                        <w:r>
                          <w:rPr>
                            <w:position w:val="-9"/>
                            <w:sz w:val="16"/>
                          </w:rPr>
                          <w:tab/>
                          <w:t>3.41</w:t>
                        </w:r>
                      </w:p>
                    </w:tc>
                    <w:tc>
                      <w:tcPr>
                        <w:tcW w:w="619" w:type="dxa"/>
                        <w:tcBorders>
                          <w:top w:val="nil"/>
                          <w:left w:val="nil"/>
                          <w:bottom w:val="nil"/>
                          <w:right w:val="nil"/>
                        </w:tcBorders>
                      </w:tcPr>
                      <w:p>
                        <w:pPr>
                          <w:pStyle w:val="TableParagraph"/>
                          <w:spacing w:before="38"/>
                          <w:ind w:right="107"/>
                          <w:rPr>
                            <w:sz w:val="16"/>
                          </w:rPr>
                        </w:pPr>
                        <w:r>
                          <w:rPr>
                            <w:w w:val="90"/>
                            <w:sz w:val="16"/>
                          </w:rPr>
                          <w:t>478</w:t>
                        </w:r>
                      </w:p>
                    </w:tc>
                    <w:tc>
                      <w:tcPr>
                        <w:tcW w:w="598" w:type="dxa"/>
                        <w:tcBorders>
                          <w:top w:val="nil"/>
                          <w:left w:val="nil"/>
                          <w:bottom w:val="nil"/>
                          <w:right w:val="nil"/>
                        </w:tcBorders>
                      </w:tcPr>
                      <w:p>
                        <w:pPr>
                          <w:pStyle w:val="TableParagraph"/>
                          <w:spacing w:before="38"/>
                          <w:ind w:left="139" w:right="139"/>
                          <w:jc w:val="center"/>
                          <w:rPr>
                            <w:sz w:val="16"/>
                          </w:rPr>
                        </w:pPr>
                        <w:r>
                          <w:rPr>
                            <w:sz w:val="16"/>
                          </w:rPr>
                          <w:t>0.96</w:t>
                        </w:r>
                      </w:p>
                    </w:tc>
                    <w:tc>
                      <w:tcPr>
                        <w:tcW w:w="575" w:type="dxa"/>
                        <w:tcBorders>
                          <w:top w:val="nil"/>
                          <w:left w:val="nil"/>
                          <w:bottom w:val="nil"/>
                          <w:right w:val="nil"/>
                        </w:tcBorders>
                      </w:tcPr>
                      <w:p>
                        <w:pPr>
                          <w:pStyle w:val="TableParagraph"/>
                          <w:spacing w:before="38"/>
                          <w:ind w:right="64"/>
                          <w:rPr>
                            <w:sz w:val="16"/>
                          </w:rPr>
                        </w:pPr>
                        <w:r>
                          <w:rPr>
                            <w:w w:val="90"/>
                            <w:sz w:val="16"/>
                          </w:rPr>
                          <w:t>478</w:t>
                        </w:r>
                      </w:p>
                    </w:tc>
                  </w:tr>
                  <w:tr>
                    <w:trPr>
                      <w:trHeight w:val="355" w:hRule="exact"/>
                    </w:trPr>
                    <w:tc>
                      <w:tcPr>
                        <w:tcW w:w="4161" w:type="dxa"/>
                        <w:gridSpan w:val="3"/>
                        <w:tcBorders>
                          <w:top w:val="nil"/>
                          <w:left w:val="nil"/>
                          <w:bottom w:val="nil"/>
                          <w:right w:val="nil"/>
                        </w:tcBorders>
                      </w:tcPr>
                      <w:p>
                        <w:pPr>
                          <w:pStyle w:val="TableParagraph"/>
                          <w:tabs>
                            <w:tab w:pos="821" w:val="left" w:leader="none"/>
                          </w:tabs>
                          <w:spacing w:line="191" w:lineRule="exact" w:before="79"/>
                          <w:ind w:left="38"/>
                          <w:jc w:val="left"/>
                          <w:rPr>
                            <w:sz w:val="16"/>
                          </w:rPr>
                        </w:pPr>
                        <w:r>
                          <w:rPr>
                            <w:position w:val="-9"/>
                            <w:sz w:val="16"/>
                          </w:rPr>
                          <w:t>3360</w:t>
                          <w:tab/>
                        </w:r>
                        <w:r>
                          <w:rPr>
                            <w:w w:val="95"/>
                            <w:sz w:val="16"/>
                          </w:rPr>
                          <w:t>Fabricación de equipo de</w:t>
                        </w:r>
                        <w:r>
                          <w:rPr>
                            <w:spacing w:val="-13"/>
                            <w:w w:val="95"/>
                            <w:sz w:val="16"/>
                          </w:rPr>
                          <w:t> </w:t>
                        </w:r>
                        <w:r>
                          <w:rPr>
                            <w:w w:val="95"/>
                            <w:sz w:val="16"/>
                          </w:rPr>
                          <w:t>transporte</w:t>
                        </w:r>
                      </w:p>
                      <w:p>
                        <w:pPr>
                          <w:pStyle w:val="TableParagraph"/>
                          <w:tabs>
                            <w:tab w:pos="3994" w:val="right" w:leader="none"/>
                          </w:tabs>
                          <w:spacing w:line="126" w:lineRule="exact"/>
                          <w:ind w:left="821"/>
                          <w:jc w:val="left"/>
                          <w:rPr>
                            <w:sz w:val="16"/>
                          </w:rPr>
                        </w:pPr>
                        <w:r>
                          <w:rPr>
                            <w:sz w:val="16"/>
                          </w:rPr>
                          <w:t>y partes para</w:t>
                        </w:r>
                        <w:r>
                          <w:rPr>
                            <w:spacing w:val="-24"/>
                            <w:sz w:val="16"/>
                          </w:rPr>
                          <w:t> </w:t>
                        </w:r>
                        <w:r>
                          <w:rPr>
                            <w:sz w:val="16"/>
                          </w:rPr>
                          <w:t>vehículos</w:t>
                        </w:r>
                        <w:r>
                          <w:rPr>
                            <w:spacing w:val="-8"/>
                            <w:sz w:val="16"/>
                          </w:rPr>
                          <w:t> </w:t>
                        </w:r>
                        <w:r>
                          <w:rPr>
                            <w:sz w:val="16"/>
                          </w:rPr>
                          <w:t>automotores</w:t>
                        </w:r>
                        <w:r>
                          <w:rPr>
                            <w:position w:val="9"/>
                            <w:sz w:val="16"/>
                          </w:rPr>
                          <w:tab/>
                          <w:t>3.09</w:t>
                        </w:r>
                      </w:p>
                    </w:tc>
                    <w:tc>
                      <w:tcPr>
                        <w:tcW w:w="619" w:type="dxa"/>
                        <w:tcBorders>
                          <w:top w:val="nil"/>
                          <w:left w:val="nil"/>
                          <w:bottom w:val="nil"/>
                          <w:right w:val="nil"/>
                        </w:tcBorders>
                      </w:tcPr>
                      <w:p>
                        <w:pPr>
                          <w:pStyle w:val="TableParagraph"/>
                          <w:spacing w:before="2"/>
                          <w:jc w:val="left"/>
                          <w:rPr>
                            <w:sz w:val="15"/>
                          </w:rPr>
                        </w:pPr>
                      </w:p>
                      <w:p>
                        <w:pPr>
                          <w:pStyle w:val="TableParagraph"/>
                          <w:ind w:right="107"/>
                          <w:rPr>
                            <w:sz w:val="16"/>
                          </w:rPr>
                        </w:pPr>
                        <w:r>
                          <w:rPr>
                            <w:sz w:val="16"/>
                          </w:rPr>
                          <w:t>2 601</w:t>
                        </w:r>
                      </w:p>
                    </w:tc>
                    <w:tc>
                      <w:tcPr>
                        <w:tcW w:w="598" w:type="dxa"/>
                        <w:tcBorders>
                          <w:top w:val="nil"/>
                          <w:left w:val="nil"/>
                          <w:bottom w:val="nil"/>
                          <w:right w:val="nil"/>
                        </w:tcBorders>
                      </w:tcPr>
                      <w:p>
                        <w:pPr>
                          <w:pStyle w:val="TableParagraph"/>
                          <w:spacing w:before="2"/>
                          <w:jc w:val="left"/>
                          <w:rPr>
                            <w:sz w:val="15"/>
                          </w:rPr>
                        </w:pPr>
                      </w:p>
                      <w:p>
                        <w:pPr>
                          <w:pStyle w:val="TableParagraph"/>
                          <w:ind w:left="139" w:right="139"/>
                          <w:jc w:val="center"/>
                          <w:rPr>
                            <w:sz w:val="16"/>
                          </w:rPr>
                        </w:pPr>
                        <w:r>
                          <w:rPr>
                            <w:sz w:val="16"/>
                          </w:rPr>
                          <w:t>0.97</w:t>
                        </w:r>
                      </w:p>
                    </w:tc>
                    <w:tc>
                      <w:tcPr>
                        <w:tcW w:w="575" w:type="dxa"/>
                        <w:tcBorders>
                          <w:top w:val="nil"/>
                          <w:left w:val="nil"/>
                          <w:bottom w:val="nil"/>
                          <w:right w:val="nil"/>
                        </w:tcBorders>
                      </w:tcPr>
                      <w:p>
                        <w:pPr>
                          <w:pStyle w:val="TableParagraph"/>
                          <w:spacing w:before="2"/>
                          <w:jc w:val="left"/>
                          <w:rPr>
                            <w:sz w:val="15"/>
                          </w:rPr>
                        </w:pPr>
                      </w:p>
                      <w:p>
                        <w:pPr>
                          <w:pStyle w:val="TableParagraph"/>
                          <w:ind w:right="65"/>
                          <w:rPr>
                            <w:sz w:val="16"/>
                          </w:rPr>
                        </w:pPr>
                        <w:r>
                          <w:rPr>
                            <w:sz w:val="16"/>
                          </w:rPr>
                          <w:t>2 601</w:t>
                        </w:r>
                      </w:p>
                    </w:tc>
                  </w:tr>
                  <w:tr>
                    <w:trPr>
                      <w:trHeight w:val="331" w:hRule="exact"/>
                    </w:trPr>
                    <w:tc>
                      <w:tcPr>
                        <w:tcW w:w="5953" w:type="dxa"/>
                        <w:gridSpan w:val="6"/>
                        <w:tcBorders>
                          <w:top w:val="nil"/>
                          <w:left w:val="nil"/>
                          <w:bottom w:val="nil"/>
                          <w:right w:val="nil"/>
                        </w:tcBorders>
                      </w:tcPr>
                      <w:p>
                        <w:pPr>
                          <w:pStyle w:val="TableParagraph"/>
                          <w:tabs>
                            <w:tab w:pos="821" w:val="left" w:leader="none"/>
                          </w:tabs>
                          <w:spacing w:before="93"/>
                          <w:ind w:left="38"/>
                          <w:jc w:val="left"/>
                          <w:rPr>
                            <w:sz w:val="16"/>
                          </w:rPr>
                        </w:pPr>
                        <w:r>
                          <w:rPr>
                            <w:position w:val="-8"/>
                            <w:sz w:val="16"/>
                          </w:rPr>
                          <w:t>3370</w:t>
                          <w:tab/>
                        </w:r>
                        <w:r>
                          <w:rPr>
                            <w:w w:val="95"/>
                            <w:sz w:val="16"/>
                          </w:rPr>
                          <w:t>Fabricación de muebles,</w:t>
                        </w:r>
                        <w:r>
                          <w:rPr>
                            <w:spacing w:val="-12"/>
                            <w:w w:val="95"/>
                            <w:sz w:val="16"/>
                          </w:rPr>
                          <w:t> </w:t>
                        </w:r>
                        <w:r>
                          <w:rPr>
                            <w:w w:val="95"/>
                            <w:sz w:val="16"/>
                          </w:rPr>
                          <w:t>colchones</w:t>
                        </w:r>
                      </w:p>
                    </w:tc>
                  </w:tr>
                  <w:tr>
                    <w:trPr>
                      <w:trHeight w:val="139" w:hRule="exact"/>
                    </w:trPr>
                    <w:tc>
                      <w:tcPr>
                        <w:tcW w:w="655" w:type="dxa"/>
                        <w:tcBorders>
                          <w:top w:val="nil"/>
                          <w:left w:val="nil"/>
                          <w:bottom w:val="nil"/>
                          <w:right w:val="nil"/>
                        </w:tcBorders>
                      </w:tcPr>
                      <w:p>
                        <w:pPr/>
                      </w:p>
                    </w:tc>
                    <w:tc>
                      <w:tcPr>
                        <w:tcW w:w="3027" w:type="dxa"/>
                        <w:tcBorders>
                          <w:top w:val="nil"/>
                          <w:left w:val="nil"/>
                          <w:bottom w:val="nil"/>
                          <w:right w:val="nil"/>
                        </w:tcBorders>
                      </w:tcPr>
                      <w:p>
                        <w:pPr>
                          <w:pStyle w:val="TableParagraph"/>
                          <w:spacing w:line="129" w:lineRule="exact"/>
                          <w:ind w:left="166"/>
                          <w:jc w:val="left"/>
                          <w:rPr>
                            <w:sz w:val="16"/>
                          </w:rPr>
                        </w:pPr>
                        <w:r>
                          <w:rPr>
                            <w:w w:val="95"/>
                            <w:sz w:val="16"/>
                          </w:rPr>
                          <w:t>y persianas</w:t>
                        </w:r>
                      </w:p>
                    </w:tc>
                    <w:tc>
                      <w:tcPr>
                        <w:tcW w:w="479" w:type="dxa"/>
                        <w:tcBorders>
                          <w:top w:val="nil"/>
                          <w:left w:val="nil"/>
                          <w:bottom w:val="nil"/>
                          <w:right w:val="nil"/>
                        </w:tcBorders>
                      </w:tcPr>
                      <w:p>
                        <w:pPr/>
                      </w:p>
                    </w:tc>
                    <w:tc>
                      <w:tcPr>
                        <w:tcW w:w="619" w:type="dxa"/>
                        <w:tcBorders>
                          <w:top w:val="nil"/>
                          <w:left w:val="nil"/>
                          <w:bottom w:val="nil"/>
                          <w:right w:val="nil"/>
                        </w:tcBorders>
                      </w:tcPr>
                      <w:p>
                        <w:pPr/>
                      </w:p>
                    </w:tc>
                    <w:tc>
                      <w:tcPr>
                        <w:tcW w:w="598" w:type="dxa"/>
                        <w:tcBorders>
                          <w:top w:val="nil"/>
                          <w:left w:val="nil"/>
                          <w:bottom w:val="nil"/>
                          <w:right w:val="nil"/>
                        </w:tcBorders>
                      </w:tcPr>
                      <w:p>
                        <w:pPr/>
                      </w:p>
                    </w:tc>
                    <w:tc>
                      <w:tcPr>
                        <w:tcW w:w="575" w:type="dxa"/>
                        <w:tcBorders>
                          <w:top w:val="nil"/>
                          <w:left w:val="nil"/>
                          <w:bottom w:val="nil"/>
                          <w:right w:val="nil"/>
                        </w:tcBorders>
                      </w:tcPr>
                      <w:p>
                        <w:pPr/>
                      </w:p>
                    </w:tc>
                  </w:tr>
                  <w:tr>
                    <w:trPr>
                      <w:trHeight w:val="185" w:hRule="exact"/>
                    </w:trPr>
                    <w:tc>
                      <w:tcPr>
                        <w:tcW w:w="655" w:type="dxa"/>
                        <w:tcBorders>
                          <w:top w:val="nil"/>
                          <w:left w:val="nil"/>
                          <w:bottom w:val="nil"/>
                          <w:right w:val="nil"/>
                        </w:tcBorders>
                      </w:tcPr>
                      <w:p>
                        <w:pPr>
                          <w:pStyle w:val="TableParagraph"/>
                          <w:spacing w:line="176" w:lineRule="exact"/>
                          <w:ind w:left="38"/>
                          <w:jc w:val="left"/>
                          <w:rPr>
                            <w:sz w:val="16"/>
                          </w:rPr>
                        </w:pPr>
                        <w:r>
                          <w:rPr>
                            <w:sz w:val="16"/>
                          </w:rPr>
                          <w:t>3380</w:t>
                        </w:r>
                      </w:p>
                    </w:tc>
                    <w:tc>
                      <w:tcPr>
                        <w:tcW w:w="3027" w:type="dxa"/>
                        <w:tcBorders>
                          <w:top w:val="nil"/>
                          <w:left w:val="nil"/>
                          <w:bottom w:val="nil"/>
                          <w:right w:val="nil"/>
                        </w:tcBorders>
                      </w:tcPr>
                      <w:p>
                        <w:pPr>
                          <w:pStyle w:val="TableParagraph"/>
                          <w:spacing w:line="176" w:lineRule="exact"/>
                          <w:ind w:left="166"/>
                          <w:jc w:val="left"/>
                          <w:rPr>
                            <w:sz w:val="16"/>
                          </w:rPr>
                        </w:pPr>
                        <w:r>
                          <w:rPr>
                            <w:w w:val="95"/>
                            <w:sz w:val="16"/>
                          </w:rPr>
                          <w:t>Otras industrias manufactureras</w:t>
                        </w:r>
                      </w:p>
                    </w:tc>
                    <w:tc>
                      <w:tcPr>
                        <w:tcW w:w="479" w:type="dxa"/>
                        <w:tcBorders>
                          <w:top w:val="nil"/>
                          <w:left w:val="nil"/>
                          <w:bottom w:val="nil"/>
                          <w:right w:val="nil"/>
                        </w:tcBorders>
                      </w:tcPr>
                      <w:p>
                        <w:pPr>
                          <w:pStyle w:val="TableParagraph"/>
                          <w:spacing w:line="176" w:lineRule="exact"/>
                          <w:ind w:left="45"/>
                          <w:jc w:val="left"/>
                          <w:rPr>
                            <w:sz w:val="16"/>
                          </w:rPr>
                        </w:pPr>
                        <w:r>
                          <w:rPr>
                            <w:sz w:val="16"/>
                          </w:rPr>
                          <w:t>2.91</w:t>
                        </w:r>
                      </w:p>
                    </w:tc>
                    <w:tc>
                      <w:tcPr>
                        <w:tcW w:w="619" w:type="dxa"/>
                        <w:tcBorders>
                          <w:top w:val="nil"/>
                          <w:left w:val="nil"/>
                          <w:bottom w:val="nil"/>
                          <w:right w:val="nil"/>
                        </w:tcBorders>
                      </w:tcPr>
                      <w:p>
                        <w:pPr>
                          <w:pStyle w:val="TableParagraph"/>
                          <w:spacing w:line="176" w:lineRule="exact"/>
                          <w:ind w:right="107"/>
                          <w:rPr>
                            <w:sz w:val="16"/>
                          </w:rPr>
                        </w:pPr>
                        <w:r>
                          <w:rPr>
                            <w:w w:val="90"/>
                            <w:sz w:val="16"/>
                          </w:rPr>
                          <w:t>749</w:t>
                        </w:r>
                      </w:p>
                    </w:tc>
                    <w:tc>
                      <w:tcPr>
                        <w:tcW w:w="598" w:type="dxa"/>
                        <w:tcBorders>
                          <w:top w:val="nil"/>
                          <w:left w:val="nil"/>
                          <w:bottom w:val="nil"/>
                          <w:right w:val="nil"/>
                        </w:tcBorders>
                      </w:tcPr>
                      <w:p>
                        <w:pPr>
                          <w:pStyle w:val="TableParagraph"/>
                          <w:spacing w:line="176" w:lineRule="exact"/>
                          <w:ind w:left="139" w:right="139"/>
                          <w:jc w:val="center"/>
                          <w:rPr>
                            <w:sz w:val="16"/>
                          </w:rPr>
                        </w:pPr>
                        <w:r>
                          <w:rPr>
                            <w:sz w:val="16"/>
                          </w:rPr>
                          <w:t>0.56</w:t>
                        </w:r>
                      </w:p>
                    </w:tc>
                    <w:tc>
                      <w:tcPr>
                        <w:tcW w:w="575" w:type="dxa"/>
                        <w:tcBorders>
                          <w:top w:val="nil"/>
                          <w:left w:val="nil"/>
                          <w:bottom w:val="nil"/>
                          <w:right w:val="nil"/>
                        </w:tcBorders>
                      </w:tcPr>
                      <w:p>
                        <w:pPr>
                          <w:pStyle w:val="TableParagraph"/>
                          <w:spacing w:line="176" w:lineRule="exact"/>
                          <w:ind w:right="64"/>
                          <w:rPr>
                            <w:sz w:val="16"/>
                          </w:rPr>
                        </w:pPr>
                        <w:r>
                          <w:rPr>
                            <w:w w:val="90"/>
                            <w:sz w:val="16"/>
                          </w:rPr>
                          <w:t>749</w:t>
                        </w:r>
                      </w:p>
                    </w:tc>
                  </w:tr>
                  <w:tr>
                    <w:trPr>
                      <w:trHeight w:val="182" w:hRule="exact"/>
                    </w:trPr>
                    <w:tc>
                      <w:tcPr>
                        <w:tcW w:w="655" w:type="dxa"/>
                        <w:tcBorders>
                          <w:top w:val="nil"/>
                          <w:left w:val="nil"/>
                          <w:bottom w:val="nil"/>
                          <w:right w:val="nil"/>
                        </w:tcBorders>
                      </w:tcPr>
                      <w:p>
                        <w:pPr/>
                      </w:p>
                    </w:tc>
                    <w:tc>
                      <w:tcPr>
                        <w:tcW w:w="3027" w:type="dxa"/>
                        <w:tcBorders>
                          <w:top w:val="nil"/>
                          <w:left w:val="nil"/>
                          <w:bottom w:val="nil"/>
                          <w:right w:val="nil"/>
                        </w:tcBorders>
                      </w:tcPr>
                      <w:p>
                        <w:pPr>
                          <w:pStyle w:val="TableParagraph"/>
                          <w:spacing w:line="174" w:lineRule="exact"/>
                          <w:ind w:left="166"/>
                          <w:jc w:val="left"/>
                          <w:rPr>
                            <w:sz w:val="16"/>
                          </w:rPr>
                        </w:pPr>
                        <w:r>
                          <w:rPr>
                            <w:w w:val="95"/>
                            <w:sz w:val="16"/>
                          </w:rPr>
                          <w:t>Descripciones insuficientemente</w:t>
                        </w:r>
                      </w:p>
                    </w:tc>
                    <w:tc>
                      <w:tcPr>
                        <w:tcW w:w="479" w:type="dxa"/>
                        <w:tcBorders>
                          <w:top w:val="nil"/>
                          <w:left w:val="nil"/>
                          <w:bottom w:val="nil"/>
                          <w:right w:val="nil"/>
                        </w:tcBorders>
                      </w:tcPr>
                      <w:p>
                        <w:pPr/>
                      </w:p>
                    </w:tc>
                    <w:tc>
                      <w:tcPr>
                        <w:tcW w:w="619" w:type="dxa"/>
                        <w:tcBorders>
                          <w:top w:val="nil"/>
                          <w:left w:val="nil"/>
                          <w:bottom w:val="nil"/>
                          <w:right w:val="nil"/>
                        </w:tcBorders>
                      </w:tcPr>
                      <w:p>
                        <w:pPr/>
                      </w:p>
                    </w:tc>
                    <w:tc>
                      <w:tcPr>
                        <w:tcW w:w="598" w:type="dxa"/>
                        <w:tcBorders>
                          <w:top w:val="nil"/>
                          <w:left w:val="nil"/>
                          <w:bottom w:val="nil"/>
                          <w:right w:val="nil"/>
                        </w:tcBorders>
                      </w:tcPr>
                      <w:p>
                        <w:pPr/>
                      </w:p>
                    </w:tc>
                    <w:tc>
                      <w:tcPr>
                        <w:tcW w:w="575" w:type="dxa"/>
                        <w:tcBorders>
                          <w:top w:val="nil"/>
                          <w:left w:val="nil"/>
                          <w:bottom w:val="nil"/>
                          <w:right w:val="nil"/>
                        </w:tcBorders>
                      </w:tcPr>
                      <w:p>
                        <w:pPr/>
                      </w:p>
                    </w:tc>
                  </w:tr>
                  <w:tr>
                    <w:trPr>
                      <w:trHeight w:val="185" w:hRule="exact"/>
                    </w:trPr>
                    <w:tc>
                      <w:tcPr>
                        <w:tcW w:w="655" w:type="dxa"/>
                        <w:tcBorders>
                          <w:top w:val="nil"/>
                          <w:left w:val="nil"/>
                          <w:bottom w:val="nil"/>
                          <w:right w:val="nil"/>
                        </w:tcBorders>
                      </w:tcPr>
                      <w:p>
                        <w:pPr>
                          <w:pStyle w:val="TableParagraph"/>
                          <w:spacing w:line="174" w:lineRule="exact"/>
                          <w:ind w:left="38"/>
                          <w:jc w:val="left"/>
                          <w:rPr>
                            <w:sz w:val="16"/>
                          </w:rPr>
                        </w:pPr>
                        <w:r>
                          <w:rPr>
                            <w:sz w:val="16"/>
                          </w:rPr>
                          <w:t>3399</w:t>
                        </w:r>
                      </w:p>
                    </w:tc>
                    <w:tc>
                      <w:tcPr>
                        <w:tcW w:w="3027" w:type="dxa"/>
                        <w:tcBorders>
                          <w:top w:val="nil"/>
                          <w:left w:val="nil"/>
                          <w:bottom w:val="nil"/>
                          <w:right w:val="nil"/>
                        </w:tcBorders>
                      </w:tcPr>
                      <w:p>
                        <w:pPr>
                          <w:pStyle w:val="TableParagraph"/>
                          <w:spacing w:line="174" w:lineRule="exact"/>
                          <w:ind w:left="166"/>
                          <w:jc w:val="left"/>
                          <w:rPr>
                            <w:sz w:val="16"/>
                          </w:rPr>
                        </w:pPr>
                        <w:r>
                          <w:rPr>
                            <w:w w:val="95"/>
                            <w:sz w:val="16"/>
                          </w:rPr>
                          <w:t>especificadas de subsector de actividad del</w:t>
                        </w:r>
                      </w:p>
                    </w:tc>
                    <w:tc>
                      <w:tcPr>
                        <w:tcW w:w="479" w:type="dxa"/>
                        <w:tcBorders>
                          <w:top w:val="nil"/>
                          <w:left w:val="nil"/>
                          <w:bottom w:val="nil"/>
                          <w:right w:val="nil"/>
                        </w:tcBorders>
                      </w:tcPr>
                      <w:p>
                        <w:pPr>
                          <w:pStyle w:val="TableParagraph"/>
                          <w:spacing w:line="174" w:lineRule="exact"/>
                          <w:ind w:left="45"/>
                          <w:jc w:val="left"/>
                          <w:rPr>
                            <w:sz w:val="16"/>
                          </w:rPr>
                        </w:pPr>
                        <w:r>
                          <w:rPr>
                            <w:sz w:val="16"/>
                          </w:rPr>
                          <w:t>1.65</w:t>
                        </w:r>
                      </w:p>
                    </w:tc>
                    <w:tc>
                      <w:tcPr>
                        <w:tcW w:w="619" w:type="dxa"/>
                        <w:tcBorders>
                          <w:top w:val="nil"/>
                          <w:left w:val="nil"/>
                          <w:bottom w:val="nil"/>
                          <w:right w:val="nil"/>
                        </w:tcBorders>
                      </w:tcPr>
                      <w:p>
                        <w:pPr>
                          <w:pStyle w:val="TableParagraph"/>
                          <w:spacing w:line="174" w:lineRule="exact"/>
                          <w:ind w:right="108"/>
                          <w:rPr>
                            <w:sz w:val="16"/>
                          </w:rPr>
                        </w:pPr>
                        <w:r>
                          <w:rPr>
                            <w:w w:val="94"/>
                            <w:sz w:val="16"/>
                          </w:rPr>
                          <w:t>7</w:t>
                        </w:r>
                      </w:p>
                    </w:tc>
                    <w:tc>
                      <w:tcPr>
                        <w:tcW w:w="598" w:type="dxa"/>
                        <w:tcBorders>
                          <w:top w:val="nil"/>
                          <w:left w:val="nil"/>
                          <w:bottom w:val="nil"/>
                          <w:right w:val="nil"/>
                        </w:tcBorders>
                      </w:tcPr>
                      <w:p>
                        <w:pPr>
                          <w:pStyle w:val="TableParagraph"/>
                          <w:spacing w:line="174" w:lineRule="exact"/>
                          <w:ind w:left="139" w:right="139"/>
                          <w:jc w:val="center"/>
                          <w:rPr>
                            <w:sz w:val="16"/>
                          </w:rPr>
                        </w:pPr>
                        <w:r>
                          <w:rPr>
                            <w:sz w:val="16"/>
                          </w:rPr>
                          <w:t>0.81</w:t>
                        </w:r>
                      </w:p>
                    </w:tc>
                    <w:tc>
                      <w:tcPr>
                        <w:tcW w:w="575" w:type="dxa"/>
                        <w:tcBorders>
                          <w:top w:val="nil"/>
                          <w:left w:val="nil"/>
                          <w:bottom w:val="nil"/>
                          <w:right w:val="nil"/>
                        </w:tcBorders>
                      </w:tcPr>
                      <w:p>
                        <w:pPr>
                          <w:pStyle w:val="TableParagraph"/>
                          <w:spacing w:line="174" w:lineRule="exact"/>
                          <w:ind w:right="64"/>
                          <w:rPr>
                            <w:sz w:val="16"/>
                          </w:rPr>
                        </w:pPr>
                        <w:r>
                          <w:rPr>
                            <w:w w:val="94"/>
                            <w:sz w:val="16"/>
                          </w:rPr>
                          <w:t>7</w:t>
                        </w:r>
                      </w:p>
                    </w:tc>
                  </w:tr>
                  <w:tr>
                    <w:trPr>
                      <w:trHeight w:val="180" w:hRule="exact"/>
                    </w:trPr>
                    <w:tc>
                      <w:tcPr>
                        <w:tcW w:w="655" w:type="dxa"/>
                        <w:tcBorders>
                          <w:top w:val="nil"/>
                          <w:left w:val="nil"/>
                          <w:right w:val="nil"/>
                        </w:tcBorders>
                      </w:tcPr>
                      <w:p>
                        <w:pPr/>
                      </w:p>
                    </w:tc>
                    <w:tc>
                      <w:tcPr>
                        <w:tcW w:w="3027" w:type="dxa"/>
                        <w:tcBorders>
                          <w:top w:val="nil"/>
                          <w:left w:val="nil"/>
                          <w:right w:val="nil"/>
                        </w:tcBorders>
                      </w:tcPr>
                      <w:p>
                        <w:pPr>
                          <w:pStyle w:val="TableParagraph"/>
                          <w:spacing w:line="176" w:lineRule="exact"/>
                          <w:ind w:left="166"/>
                          <w:jc w:val="left"/>
                          <w:rPr>
                            <w:sz w:val="16"/>
                          </w:rPr>
                        </w:pPr>
                        <w:r>
                          <w:rPr>
                            <w:w w:val="95"/>
                            <w:sz w:val="16"/>
                          </w:rPr>
                          <w:t>sector 31-33</w:t>
                        </w:r>
                      </w:p>
                    </w:tc>
                    <w:tc>
                      <w:tcPr>
                        <w:tcW w:w="479" w:type="dxa"/>
                        <w:tcBorders>
                          <w:top w:val="nil"/>
                          <w:left w:val="nil"/>
                          <w:right w:val="nil"/>
                        </w:tcBorders>
                      </w:tcPr>
                      <w:p>
                        <w:pPr/>
                      </w:p>
                    </w:tc>
                    <w:tc>
                      <w:tcPr>
                        <w:tcW w:w="619" w:type="dxa"/>
                        <w:tcBorders>
                          <w:top w:val="nil"/>
                          <w:left w:val="nil"/>
                          <w:right w:val="nil"/>
                        </w:tcBorders>
                      </w:tcPr>
                      <w:p>
                        <w:pPr/>
                      </w:p>
                    </w:tc>
                    <w:tc>
                      <w:tcPr>
                        <w:tcW w:w="598" w:type="dxa"/>
                        <w:tcBorders>
                          <w:top w:val="nil"/>
                          <w:left w:val="nil"/>
                          <w:right w:val="nil"/>
                        </w:tcBorders>
                      </w:tcPr>
                      <w:p>
                        <w:pPr/>
                      </w:p>
                    </w:tc>
                    <w:tc>
                      <w:tcPr>
                        <w:tcW w:w="575" w:type="dxa"/>
                        <w:tcBorders>
                          <w:top w:val="nil"/>
                          <w:left w:val="nil"/>
                          <w:right w:val="nil"/>
                        </w:tcBorders>
                      </w:tcPr>
                      <w:p>
                        <w:pPr/>
                      </w:p>
                    </w:tc>
                  </w:tr>
                </w:tbl>
                <w:p>
                  <w:pPr>
                    <w:pStyle w:val="BodyText"/>
                  </w:pPr>
                </w:p>
              </w:txbxContent>
            </v:textbox>
            <w10:wrap type="none"/>
          </v:shape>
        </w:pict>
      </w:r>
      <w:r>
        <w:rPr>
          <w:sz w:val="16"/>
        </w:rPr>
        <w:t>1.63</w:t>
        <w:tab/>
        <w:t>693</w:t>
        <w:tab/>
        <w:t>0.15</w:t>
        <w:tab/>
        <w:t>693</w:t>
      </w:r>
    </w:p>
    <w:p>
      <w:pPr>
        <w:pStyle w:val="BodyText"/>
      </w:pPr>
    </w:p>
    <w:p>
      <w:pPr>
        <w:pStyle w:val="BodyText"/>
      </w:pPr>
    </w:p>
    <w:p>
      <w:pPr>
        <w:pStyle w:val="BodyText"/>
      </w:pPr>
    </w:p>
    <w:p>
      <w:pPr>
        <w:pStyle w:val="BodyText"/>
      </w:pPr>
    </w:p>
    <w:p>
      <w:pPr>
        <w:pStyle w:val="BodyText"/>
      </w:pPr>
    </w:p>
    <w:p>
      <w:pPr>
        <w:pStyle w:val="BodyText"/>
        <w:spacing w:before="1"/>
      </w:pPr>
    </w:p>
    <w:p>
      <w:pPr>
        <w:spacing w:before="0"/>
        <w:ind w:left="926" w:right="3088" w:firstLine="0"/>
        <w:jc w:val="left"/>
        <w:rPr>
          <w:sz w:val="16"/>
        </w:rPr>
      </w:pPr>
      <w:r>
        <w:rPr>
          <w:w w:val="95"/>
          <w:sz w:val="16"/>
        </w:rPr>
        <w:t>equipos, componentes y accesorios </w:t>
      </w:r>
      <w:r>
        <w:rPr>
          <w:sz w:val="16"/>
        </w:rPr>
        <w:t>electrónicos</w:t>
      </w:r>
    </w:p>
    <w:p>
      <w:pPr>
        <w:pStyle w:val="BodyText"/>
      </w:pPr>
    </w:p>
    <w:p>
      <w:pPr>
        <w:pStyle w:val="BodyText"/>
        <w:spacing w:before="10"/>
        <w:rPr>
          <w:sz w:val="19"/>
        </w:rPr>
      </w:pPr>
    </w:p>
    <w:p>
      <w:pPr>
        <w:tabs>
          <w:tab w:pos="4431" w:val="left" w:leader="none"/>
          <w:tab w:pos="5050" w:val="left" w:leader="none"/>
          <w:tab w:pos="5648" w:val="left" w:leader="none"/>
        </w:tabs>
        <w:spacing w:before="0"/>
        <w:ind w:left="3832" w:right="0" w:firstLine="0"/>
        <w:jc w:val="left"/>
        <w:rPr>
          <w:sz w:val="16"/>
        </w:rPr>
      </w:pPr>
      <w:r>
        <w:rPr>
          <w:sz w:val="16"/>
        </w:rPr>
        <w:t>2.88</w:t>
        <w:tab/>
        <w:t>1</w:t>
      </w:r>
      <w:r>
        <w:rPr>
          <w:spacing w:val="-8"/>
          <w:sz w:val="16"/>
        </w:rPr>
        <w:t> </w:t>
      </w:r>
      <w:r>
        <w:rPr>
          <w:sz w:val="16"/>
        </w:rPr>
        <w:t>145</w:t>
        <w:tab/>
        <w:t>0.30</w:t>
        <w:tab/>
        <w:t>1</w:t>
      </w:r>
      <w:r>
        <w:rPr>
          <w:spacing w:val="-20"/>
          <w:sz w:val="16"/>
        </w:rPr>
        <w:t> </w:t>
      </w:r>
      <w:r>
        <w:rPr>
          <w:sz w:val="16"/>
        </w:rPr>
        <w:t>144</w:t>
      </w:r>
    </w:p>
    <w:p>
      <w:pPr>
        <w:pStyle w:val="BodyText"/>
      </w:pPr>
    </w:p>
    <w:p>
      <w:pPr>
        <w:pStyle w:val="BodyText"/>
      </w:pPr>
    </w:p>
    <w:p>
      <w:pPr>
        <w:pStyle w:val="BodyText"/>
        <w:spacing w:before="1"/>
        <w:rPr>
          <w:sz w:val="26"/>
        </w:rPr>
      </w:pPr>
    </w:p>
    <w:p>
      <w:pPr>
        <w:spacing w:line="244" w:lineRule="auto" w:before="78"/>
        <w:ind w:left="144" w:right="612" w:firstLine="0"/>
        <w:jc w:val="left"/>
        <w:rPr>
          <w:sz w:val="16"/>
        </w:rPr>
      </w:pPr>
      <w:r>
        <w:rPr>
          <w:sz w:val="16"/>
        </w:rPr>
        <w:t>Fuente:</w:t>
      </w:r>
      <w:r>
        <w:rPr>
          <w:spacing w:val="-27"/>
          <w:sz w:val="16"/>
        </w:rPr>
        <w:t> </w:t>
      </w:r>
      <w:r>
        <w:rPr>
          <w:sz w:val="16"/>
        </w:rPr>
        <w:t>estimaciones</w:t>
      </w:r>
      <w:r>
        <w:rPr>
          <w:spacing w:val="-27"/>
          <w:sz w:val="16"/>
        </w:rPr>
        <w:t> </w:t>
      </w:r>
      <w:r>
        <w:rPr>
          <w:sz w:val="16"/>
        </w:rPr>
        <w:t>propias</w:t>
      </w:r>
      <w:r>
        <w:rPr>
          <w:spacing w:val="-27"/>
          <w:sz w:val="16"/>
        </w:rPr>
        <w:t> </w:t>
      </w:r>
      <w:r>
        <w:rPr>
          <w:sz w:val="16"/>
        </w:rPr>
        <w:t>con</w:t>
      </w:r>
      <w:r>
        <w:rPr>
          <w:spacing w:val="-27"/>
          <w:sz w:val="16"/>
        </w:rPr>
        <w:t> </w:t>
      </w:r>
      <w:r>
        <w:rPr>
          <w:sz w:val="16"/>
        </w:rPr>
        <w:t>información</w:t>
      </w:r>
      <w:r>
        <w:rPr>
          <w:spacing w:val="-27"/>
          <w:sz w:val="16"/>
        </w:rPr>
        <w:t> </w:t>
      </w:r>
      <w:r>
        <w:rPr>
          <w:sz w:val="16"/>
        </w:rPr>
        <w:t>de</w:t>
      </w:r>
      <w:r>
        <w:rPr>
          <w:spacing w:val="-27"/>
          <w:sz w:val="16"/>
        </w:rPr>
        <w:t> </w:t>
      </w:r>
      <w:r>
        <w:rPr>
          <w:sz w:val="16"/>
        </w:rPr>
        <w:t>la</w:t>
      </w:r>
      <w:r>
        <w:rPr>
          <w:spacing w:val="-27"/>
          <w:sz w:val="16"/>
        </w:rPr>
        <w:t> </w:t>
      </w:r>
      <w:r>
        <w:rPr>
          <w:sz w:val="16"/>
        </w:rPr>
        <w:t>ENOE,</w:t>
      </w:r>
      <w:r>
        <w:rPr>
          <w:spacing w:val="-27"/>
          <w:sz w:val="16"/>
        </w:rPr>
        <w:t> </w:t>
      </w:r>
      <w:r>
        <w:rPr>
          <w:sz w:val="16"/>
        </w:rPr>
        <w:t>2012,</w:t>
      </w:r>
      <w:r>
        <w:rPr>
          <w:spacing w:val="-27"/>
          <w:sz w:val="16"/>
        </w:rPr>
        <w:t> </w:t>
      </w:r>
      <w:r>
        <w:rPr>
          <w:sz w:val="16"/>
        </w:rPr>
        <w:t>segundo</w:t>
      </w:r>
      <w:r>
        <w:rPr>
          <w:spacing w:val="-27"/>
          <w:sz w:val="16"/>
        </w:rPr>
        <w:t> </w:t>
      </w:r>
      <w:r>
        <w:rPr>
          <w:sz w:val="16"/>
        </w:rPr>
        <w:t>trimestre. </w:t>
      </w:r>
      <w:r>
        <w:rPr>
          <w:w w:val="95"/>
          <w:sz w:val="16"/>
        </w:rPr>
        <w:t>Leer con discreción los estimados para muestras</w:t>
      </w:r>
      <w:r>
        <w:rPr>
          <w:spacing w:val="-19"/>
          <w:w w:val="95"/>
          <w:sz w:val="16"/>
        </w:rPr>
        <w:t> </w:t>
      </w:r>
      <w:r>
        <w:rPr>
          <w:w w:val="95"/>
          <w:sz w:val="16"/>
        </w:rPr>
        <w:t>pequeñas.</w:t>
      </w:r>
    </w:p>
    <w:p>
      <w:pPr>
        <w:spacing w:after="0" w:line="244" w:lineRule="auto"/>
        <w:jc w:val="left"/>
        <w:rPr>
          <w:sz w:val="16"/>
        </w:rPr>
        <w:sectPr>
          <w:footerReference w:type="default" r:id="rId146"/>
          <w:pgSz w:w="7770" w:h="11740"/>
          <w:pgMar w:footer="474" w:header="0" w:top="980" w:bottom="660" w:left="660" w:right="940"/>
          <w:pgNumType w:start="114"/>
        </w:sectPr>
      </w:pPr>
    </w:p>
    <w:p>
      <w:pPr>
        <w:spacing w:line="244" w:lineRule="auto" w:before="56"/>
        <w:ind w:left="158" w:right="242" w:firstLine="0"/>
        <w:jc w:val="left"/>
        <w:rPr>
          <w:sz w:val="16"/>
        </w:rPr>
      </w:pPr>
      <w:r>
        <w:rPr>
          <w:sz w:val="16"/>
        </w:rPr>
        <w:t>Cuadro</w:t>
      </w:r>
      <w:r>
        <w:rPr>
          <w:spacing w:val="-15"/>
          <w:sz w:val="16"/>
        </w:rPr>
        <w:t> </w:t>
      </w:r>
      <w:r>
        <w:rPr>
          <w:sz w:val="16"/>
        </w:rPr>
        <w:t>A.</w:t>
      </w:r>
      <w:r>
        <w:rPr>
          <w:spacing w:val="-15"/>
          <w:sz w:val="16"/>
        </w:rPr>
        <w:t> </w:t>
      </w:r>
      <w:r>
        <w:rPr>
          <w:sz w:val="16"/>
        </w:rPr>
        <w:t>1c.</w:t>
      </w:r>
      <w:r>
        <w:rPr>
          <w:spacing w:val="-15"/>
          <w:sz w:val="16"/>
        </w:rPr>
        <w:t> </w:t>
      </w:r>
      <w:r>
        <w:rPr>
          <w:sz w:val="16"/>
        </w:rPr>
        <w:t>Detalle</w:t>
      </w:r>
      <w:r>
        <w:rPr>
          <w:spacing w:val="-15"/>
          <w:sz w:val="16"/>
        </w:rPr>
        <w:t> </w:t>
      </w:r>
      <w:r>
        <w:rPr>
          <w:sz w:val="16"/>
        </w:rPr>
        <w:t>de</w:t>
      </w:r>
      <w:r>
        <w:rPr>
          <w:spacing w:val="-15"/>
          <w:sz w:val="16"/>
        </w:rPr>
        <w:t> </w:t>
      </w:r>
      <w:r>
        <w:rPr>
          <w:sz w:val="16"/>
        </w:rPr>
        <w:t>las</w:t>
      </w:r>
      <w:r>
        <w:rPr>
          <w:spacing w:val="-15"/>
          <w:sz w:val="16"/>
        </w:rPr>
        <w:t> </w:t>
      </w:r>
      <w:r>
        <w:rPr>
          <w:sz w:val="16"/>
        </w:rPr>
        <w:t>ramas</w:t>
      </w:r>
      <w:r>
        <w:rPr>
          <w:spacing w:val="-15"/>
          <w:sz w:val="16"/>
        </w:rPr>
        <w:t> </w:t>
      </w:r>
      <w:r>
        <w:rPr>
          <w:sz w:val="16"/>
        </w:rPr>
        <w:t>de</w:t>
      </w:r>
      <w:r>
        <w:rPr>
          <w:spacing w:val="-15"/>
          <w:sz w:val="16"/>
        </w:rPr>
        <w:t> </w:t>
      </w:r>
      <w:r>
        <w:rPr>
          <w:sz w:val="16"/>
        </w:rPr>
        <w:t>actividad</w:t>
      </w:r>
      <w:r>
        <w:rPr>
          <w:spacing w:val="-15"/>
          <w:sz w:val="16"/>
        </w:rPr>
        <w:t> </w:t>
      </w:r>
      <w:r>
        <w:rPr>
          <w:sz w:val="16"/>
        </w:rPr>
        <w:t>de</w:t>
      </w:r>
      <w:r>
        <w:rPr>
          <w:spacing w:val="-15"/>
          <w:sz w:val="16"/>
        </w:rPr>
        <w:t> </w:t>
      </w:r>
      <w:r>
        <w:rPr>
          <w:sz w:val="16"/>
        </w:rPr>
        <w:t>los</w:t>
      </w:r>
      <w:r>
        <w:rPr>
          <w:spacing w:val="-15"/>
          <w:sz w:val="16"/>
        </w:rPr>
        <w:t> </w:t>
      </w:r>
      <w:r>
        <w:rPr>
          <w:sz w:val="16"/>
        </w:rPr>
        <w:t>sectores</w:t>
      </w:r>
      <w:r>
        <w:rPr>
          <w:spacing w:val="-15"/>
          <w:sz w:val="16"/>
        </w:rPr>
        <w:t> </w:t>
      </w:r>
      <w:r>
        <w:rPr>
          <w:sz w:val="16"/>
        </w:rPr>
        <w:t>económicos</w:t>
      </w:r>
      <w:r>
        <w:rPr>
          <w:spacing w:val="-15"/>
          <w:sz w:val="16"/>
        </w:rPr>
        <w:t> </w:t>
      </w:r>
      <w:r>
        <w:rPr>
          <w:sz w:val="16"/>
        </w:rPr>
        <w:t>clasificados desde</w:t>
      </w:r>
      <w:r>
        <w:rPr>
          <w:spacing w:val="-16"/>
          <w:sz w:val="16"/>
        </w:rPr>
        <w:t> </w:t>
      </w:r>
      <w:r>
        <w:rPr>
          <w:sz w:val="16"/>
        </w:rPr>
        <w:t>el</w:t>
      </w:r>
      <w:r>
        <w:rPr>
          <w:spacing w:val="-16"/>
          <w:sz w:val="16"/>
        </w:rPr>
        <w:t> </w:t>
      </w:r>
      <w:r>
        <w:rPr>
          <w:sz w:val="16"/>
        </w:rPr>
        <w:t>comercio</w:t>
      </w:r>
      <w:r>
        <w:rPr>
          <w:spacing w:val="-16"/>
          <w:sz w:val="16"/>
        </w:rPr>
        <w:t> </w:t>
      </w:r>
      <w:r>
        <w:rPr>
          <w:sz w:val="16"/>
        </w:rPr>
        <w:t>exterior</w:t>
      </w:r>
      <w:r>
        <w:rPr>
          <w:spacing w:val="-16"/>
          <w:sz w:val="16"/>
        </w:rPr>
        <w:t> </w:t>
      </w:r>
      <w:r>
        <w:rPr>
          <w:sz w:val="16"/>
        </w:rPr>
        <w:t>y</w:t>
      </w:r>
      <w:r>
        <w:rPr>
          <w:spacing w:val="-16"/>
          <w:sz w:val="16"/>
        </w:rPr>
        <w:t> </w:t>
      </w:r>
      <w:r>
        <w:rPr>
          <w:sz w:val="16"/>
        </w:rPr>
        <w:t>su</w:t>
      </w:r>
      <w:r>
        <w:rPr>
          <w:spacing w:val="-16"/>
          <w:sz w:val="16"/>
        </w:rPr>
        <w:t> </w:t>
      </w:r>
      <w:r>
        <w:rPr>
          <w:sz w:val="16"/>
        </w:rPr>
        <w:t>respectivo</w:t>
      </w:r>
      <w:r>
        <w:rPr>
          <w:spacing w:val="-16"/>
          <w:sz w:val="16"/>
        </w:rPr>
        <w:t> </w:t>
      </w:r>
      <w:r>
        <w:rPr>
          <w:sz w:val="16"/>
        </w:rPr>
        <w:t>ingreso</w:t>
      </w:r>
      <w:r>
        <w:rPr>
          <w:spacing w:val="-16"/>
          <w:sz w:val="16"/>
        </w:rPr>
        <w:t> </w:t>
      </w:r>
      <w:r>
        <w:rPr>
          <w:sz w:val="16"/>
        </w:rPr>
        <w:t>laboral</w:t>
      </w:r>
      <w:r>
        <w:rPr>
          <w:spacing w:val="-16"/>
          <w:sz w:val="16"/>
        </w:rPr>
        <w:t> </w:t>
      </w:r>
      <w:r>
        <w:rPr>
          <w:sz w:val="16"/>
        </w:rPr>
        <w:t>por</w:t>
      </w:r>
      <w:r>
        <w:rPr>
          <w:spacing w:val="-16"/>
          <w:sz w:val="16"/>
        </w:rPr>
        <w:t> </w:t>
      </w:r>
      <w:r>
        <w:rPr>
          <w:sz w:val="16"/>
        </w:rPr>
        <w:t>hora</w:t>
      </w:r>
    </w:p>
    <w:p>
      <w:pPr>
        <w:spacing w:line="174" w:lineRule="exact" w:before="0"/>
        <w:ind w:left="158" w:right="242" w:firstLine="0"/>
        <w:jc w:val="left"/>
        <w:rPr>
          <w:sz w:val="16"/>
        </w:rPr>
      </w:pPr>
      <w:r>
        <w:rPr/>
        <w:pict>
          <v:shape style="position:absolute;margin-left:52.439869pt;margin-top:12.250958pt;width:297.650pt;height:.1pt;mso-position-horizontal-relative:page;mso-position-vertical-relative:paragraph;z-index:3712" coordorigin="1049,245" coordsize="5953,0" path="m1049,245l1789,245m1789,245l1799,245m1799,245l4407,245m4407,245l4416,245m4416,245l5783,245m5783,245l5792,245m5792,245l7002,245e" filled="false" stroked="true" strokeweight=".48pt" strokecolor="#000000">
            <v:path arrowok="t"/>
            <w10:wrap type="none"/>
          </v:shape>
        </w:pict>
      </w:r>
      <w:r>
        <w:rPr>
          <w:sz w:val="16"/>
        </w:rPr>
        <w:t>y acceso a seguridad social</w:t>
      </w:r>
    </w:p>
    <w:p>
      <w:pPr>
        <w:spacing w:after="0" w:line="174" w:lineRule="exact"/>
        <w:jc w:val="left"/>
        <w:rPr>
          <w:sz w:val="16"/>
        </w:rPr>
        <w:sectPr>
          <w:pgSz w:w="7770" w:h="11740"/>
          <w:pgMar w:header="0" w:footer="474" w:top="980" w:bottom="660" w:left="940" w:right="660"/>
        </w:sectPr>
      </w:pPr>
    </w:p>
    <w:p>
      <w:pPr>
        <w:spacing w:before="75"/>
        <w:ind w:left="3764" w:right="0" w:hanging="13"/>
        <w:jc w:val="right"/>
        <w:rPr>
          <w:sz w:val="16"/>
        </w:rPr>
      </w:pPr>
      <w:r>
        <w:rPr>
          <w:w w:val="95"/>
          <w:sz w:val="16"/>
        </w:rPr>
        <w:t>Ingreso laboral</w:t>
      </w:r>
      <w:r>
        <w:rPr>
          <w:w w:val="96"/>
          <w:sz w:val="16"/>
        </w:rPr>
        <w:t> </w:t>
      </w:r>
      <w:r>
        <w:rPr>
          <w:sz w:val="16"/>
        </w:rPr>
        <w:t>por hora (USD</w:t>
      </w:r>
    </w:p>
    <w:p>
      <w:pPr>
        <w:spacing w:line="182" w:lineRule="exact" w:before="0"/>
        <w:ind w:left="0" w:right="0" w:firstLine="0"/>
        <w:jc w:val="right"/>
        <w:rPr>
          <w:sz w:val="16"/>
        </w:rPr>
      </w:pPr>
      <w:r>
        <w:rPr>
          <w:w w:val="95"/>
          <w:sz w:val="16"/>
        </w:rPr>
        <w:t>PPA)</w:t>
      </w:r>
    </w:p>
    <w:p>
      <w:pPr>
        <w:spacing w:before="75"/>
        <w:ind w:left="192" w:right="0" w:firstLine="440"/>
        <w:jc w:val="left"/>
        <w:rPr>
          <w:sz w:val="16"/>
        </w:rPr>
      </w:pPr>
      <w:r>
        <w:rPr/>
        <w:br w:type="column"/>
      </w:r>
      <w:r>
        <w:rPr>
          <w:sz w:val="16"/>
        </w:rPr>
        <w:t>Acceso a </w:t>
      </w:r>
      <w:r>
        <w:rPr>
          <w:w w:val="95"/>
          <w:sz w:val="16"/>
        </w:rPr>
        <w:t>seguridad social</w:t>
      </w:r>
    </w:p>
    <w:p>
      <w:pPr>
        <w:spacing w:after="0"/>
        <w:jc w:val="left"/>
        <w:rPr>
          <w:sz w:val="16"/>
        </w:rPr>
        <w:sectPr>
          <w:type w:val="continuous"/>
          <w:pgSz w:w="7770" w:h="11740"/>
          <w:pgMar w:top="0" w:bottom="0" w:left="940" w:right="660"/>
          <w:cols w:num="2" w:equalWidth="0">
            <w:col w:w="4742" w:space="40"/>
            <w:col w:w="1388"/>
          </w:cols>
        </w:sectPr>
      </w:pPr>
    </w:p>
    <w:p>
      <w:pPr>
        <w:tabs>
          <w:tab w:pos="956" w:val="left" w:leader="none"/>
          <w:tab w:pos="4635" w:val="left" w:leader="none"/>
          <w:tab w:pos="5876" w:val="left" w:leader="none"/>
        </w:tabs>
        <w:spacing w:before="3"/>
        <w:ind w:left="158" w:right="0" w:firstLine="0"/>
        <w:jc w:val="left"/>
        <w:rPr>
          <w:i/>
          <w:sz w:val="16"/>
        </w:rPr>
      </w:pPr>
      <w:r>
        <w:rPr>
          <w:sz w:val="16"/>
        </w:rPr>
        <w:t>Código</w:t>
        <w:tab/>
        <w:t>Detalle</w:t>
        <w:tab/>
      </w:r>
      <w:r>
        <w:rPr>
          <w:i/>
          <w:sz w:val="16"/>
        </w:rPr>
        <w:t>N</w:t>
        <w:tab/>
        <w:t>N</w:t>
      </w:r>
    </w:p>
    <w:p>
      <w:pPr>
        <w:pStyle w:val="BodyText"/>
        <w:spacing w:line="20" w:lineRule="exact"/>
        <w:ind w:left="103"/>
        <w:rPr>
          <w:sz w:val="2"/>
        </w:rPr>
      </w:pPr>
      <w:r>
        <w:rPr>
          <w:sz w:val="2"/>
        </w:rPr>
        <w:pict>
          <v:group style="width:298.150pt;height:.5pt;mso-position-horizontal-relative:char;mso-position-vertical-relative:line" coordorigin="0,0" coordsize="5963,10">
            <v:line style="position:absolute" from="5,5" to="745,5" stroked="true" strokeweight=".48pt" strokecolor="#000000"/>
            <v:line style="position:absolute" from="745,5" to="755,5" stroked="true" strokeweight=".48pt" strokecolor="#000000"/>
            <v:line style="position:absolute" from="755,5" to="3363,5" stroked="true" strokeweight=".48pt" strokecolor="#000000"/>
            <v:line style="position:absolute" from="3363,5" to="3372,5" stroked="true" strokeweight=".48pt" strokecolor="#000000"/>
            <v:line style="position:absolute" from="3372,5" to="4049,5" stroked="true" strokeweight=".48pt" strokecolor="#000000"/>
            <v:line style="position:absolute" from="4049,5" to="4058,5" stroked="true" strokeweight=".48pt" strokecolor="#000000"/>
            <v:line style="position:absolute" from="4058,5" to="4739,5" stroked="true" strokeweight=".48pt" strokecolor="#000000"/>
            <v:line style="position:absolute" from="4739,5" to="4749,5" stroked="true" strokeweight=".48pt" strokecolor="#000000"/>
            <v:line style="position:absolute" from="4749,5" to="5290,5" stroked="true" strokeweight=".48pt" strokecolor="#000000"/>
            <v:line style="position:absolute" from="5290,5" to="5299,5" stroked="true" strokeweight=".48pt" strokecolor="#000000"/>
            <v:line style="position:absolute" from="5299,5" to="5958,5" stroked="true" strokeweight=".48pt" strokecolor="#000000"/>
          </v:group>
        </w:pict>
      </w:r>
      <w:r>
        <w:rPr>
          <w:sz w:val="2"/>
        </w:rPr>
      </w:r>
    </w:p>
    <w:p>
      <w:pPr>
        <w:spacing w:before="0" w:after="25"/>
        <w:ind w:left="956" w:right="242" w:firstLine="0"/>
        <w:jc w:val="left"/>
        <w:rPr>
          <w:i/>
          <w:sz w:val="16"/>
        </w:rPr>
      </w:pPr>
      <w:r>
        <w:rPr>
          <w:i/>
          <w:w w:val="95"/>
          <w:sz w:val="16"/>
        </w:rPr>
        <w:t>No transables</w:t>
      </w: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12"/>
        <w:gridCol w:w="658"/>
        <w:gridCol w:w="582"/>
        <w:gridCol w:w="601"/>
      </w:tblGrid>
      <w:tr>
        <w:trPr>
          <w:trHeight w:val="216" w:hRule="exact"/>
        </w:trPr>
        <w:tc>
          <w:tcPr>
            <w:tcW w:w="4112" w:type="dxa"/>
          </w:tcPr>
          <w:p>
            <w:pPr>
              <w:pStyle w:val="TableParagraph"/>
              <w:tabs>
                <w:tab w:pos="847" w:val="left" w:leader="none"/>
                <w:tab w:pos="3944" w:val="right" w:leader="none"/>
              </w:tabs>
              <w:spacing w:line="162" w:lineRule="exact"/>
              <w:ind w:left="50"/>
              <w:jc w:val="left"/>
              <w:rPr>
                <w:sz w:val="16"/>
              </w:rPr>
            </w:pPr>
            <w:r>
              <w:rPr>
                <w:sz w:val="16"/>
              </w:rPr>
              <w:t>1142</w:t>
              <w:tab/>
              <w:t>Caza</w:t>
            </w:r>
            <w:r>
              <w:rPr>
                <w:spacing w:val="-2"/>
                <w:sz w:val="16"/>
              </w:rPr>
              <w:t> </w:t>
            </w:r>
            <w:r>
              <w:rPr>
                <w:sz w:val="16"/>
              </w:rPr>
              <w:t>y</w:t>
            </w:r>
            <w:r>
              <w:rPr>
                <w:spacing w:val="-2"/>
                <w:sz w:val="16"/>
              </w:rPr>
              <w:t> </w:t>
            </w:r>
            <w:r>
              <w:rPr>
                <w:sz w:val="16"/>
              </w:rPr>
              <w:t>captura</w:t>
              <w:tab/>
              <w:t>3.24</w:t>
            </w:r>
          </w:p>
        </w:tc>
        <w:tc>
          <w:tcPr>
            <w:tcW w:w="658" w:type="dxa"/>
          </w:tcPr>
          <w:p>
            <w:pPr>
              <w:pStyle w:val="TableParagraph"/>
              <w:spacing w:line="162" w:lineRule="exact"/>
              <w:ind w:right="138"/>
              <w:rPr>
                <w:sz w:val="16"/>
              </w:rPr>
            </w:pPr>
            <w:r>
              <w:rPr>
                <w:w w:val="96"/>
                <w:sz w:val="16"/>
              </w:rPr>
              <w:t>2</w:t>
            </w:r>
          </w:p>
        </w:tc>
        <w:tc>
          <w:tcPr>
            <w:tcW w:w="582" w:type="dxa"/>
          </w:tcPr>
          <w:p>
            <w:pPr>
              <w:pStyle w:val="TableParagraph"/>
              <w:spacing w:line="162" w:lineRule="exact"/>
              <w:ind w:left="140"/>
              <w:jc w:val="left"/>
              <w:rPr>
                <w:sz w:val="16"/>
              </w:rPr>
            </w:pPr>
            <w:r>
              <w:rPr>
                <w:sz w:val="16"/>
              </w:rPr>
              <w:t>0.33</w:t>
            </w:r>
          </w:p>
        </w:tc>
        <w:tc>
          <w:tcPr>
            <w:tcW w:w="601" w:type="dxa"/>
          </w:tcPr>
          <w:p>
            <w:pPr>
              <w:pStyle w:val="TableParagraph"/>
              <w:spacing w:line="162" w:lineRule="exact"/>
              <w:ind w:right="80"/>
              <w:rPr>
                <w:sz w:val="16"/>
              </w:rPr>
            </w:pPr>
            <w:r>
              <w:rPr>
                <w:w w:val="96"/>
                <w:sz w:val="16"/>
              </w:rPr>
              <w:t>2</w:t>
            </w:r>
          </w:p>
        </w:tc>
      </w:tr>
      <w:tr>
        <w:trPr>
          <w:trHeight w:val="322" w:hRule="exact"/>
        </w:trPr>
        <w:tc>
          <w:tcPr>
            <w:tcW w:w="4112" w:type="dxa"/>
          </w:tcPr>
          <w:p>
            <w:pPr>
              <w:pStyle w:val="TableParagraph"/>
              <w:tabs>
                <w:tab w:pos="847" w:val="left" w:leader="none"/>
              </w:tabs>
              <w:spacing w:line="128" w:lineRule="exact"/>
              <w:ind w:left="50"/>
              <w:jc w:val="left"/>
              <w:rPr>
                <w:sz w:val="16"/>
              </w:rPr>
            </w:pPr>
            <w:r>
              <w:rPr>
                <w:position w:val="-8"/>
                <w:sz w:val="16"/>
              </w:rPr>
              <w:t>1150</w:t>
              <w:tab/>
            </w:r>
            <w:r>
              <w:rPr>
                <w:sz w:val="16"/>
              </w:rPr>
              <w:t>Servicios</w:t>
            </w:r>
            <w:r>
              <w:rPr>
                <w:spacing w:val="-24"/>
                <w:sz w:val="16"/>
              </w:rPr>
              <w:t> </w:t>
            </w:r>
            <w:r>
              <w:rPr>
                <w:sz w:val="16"/>
              </w:rPr>
              <w:t>relacionados</w:t>
            </w:r>
            <w:r>
              <w:rPr>
                <w:spacing w:val="-24"/>
                <w:sz w:val="16"/>
              </w:rPr>
              <w:t> </w:t>
            </w:r>
            <w:r>
              <w:rPr>
                <w:sz w:val="16"/>
              </w:rPr>
              <w:t>con</w:t>
            </w:r>
            <w:r>
              <w:rPr>
                <w:spacing w:val="-24"/>
                <w:sz w:val="16"/>
              </w:rPr>
              <w:t> </w:t>
            </w:r>
            <w:r>
              <w:rPr>
                <w:sz w:val="16"/>
              </w:rPr>
              <w:t>las</w:t>
            </w:r>
          </w:p>
          <w:p>
            <w:pPr>
              <w:pStyle w:val="TableParagraph"/>
              <w:tabs>
                <w:tab w:pos="3944" w:val="right" w:leader="none"/>
              </w:tabs>
              <w:spacing w:line="183" w:lineRule="exact"/>
              <w:ind w:left="847"/>
              <w:jc w:val="left"/>
              <w:rPr>
                <w:sz w:val="16"/>
              </w:rPr>
            </w:pPr>
            <w:r>
              <w:rPr>
                <w:sz w:val="16"/>
              </w:rPr>
              <w:t>actividades agropecuarias</w:t>
            </w:r>
            <w:r>
              <w:rPr>
                <w:spacing w:val="-15"/>
                <w:sz w:val="16"/>
              </w:rPr>
              <w:t> </w:t>
            </w:r>
            <w:r>
              <w:rPr>
                <w:sz w:val="16"/>
              </w:rPr>
              <w:t>y</w:t>
            </w:r>
            <w:r>
              <w:rPr>
                <w:spacing w:val="-8"/>
                <w:sz w:val="16"/>
              </w:rPr>
              <w:t> </w:t>
            </w:r>
            <w:r>
              <w:rPr>
                <w:sz w:val="16"/>
              </w:rPr>
              <w:t>forestales</w:t>
            </w:r>
            <w:r>
              <w:rPr>
                <w:position w:val="9"/>
                <w:sz w:val="16"/>
              </w:rPr>
              <w:tab/>
              <w:t>2.43</w:t>
            </w:r>
          </w:p>
        </w:tc>
        <w:tc>
          <w:tcPr>
            <w:tcW w:w="658" w:type="dxa"/>
          </w:tcPr>
          <w:p>
            <w:pPr>
              <w:pStyle w:val="TableParagraph"/>
              <w:spacing w:before="35"/>
              <w:ind w:right="138"/>
              <w:rPr>
                <w:sz w:val="16"/>
              </w:rPr>
            </w:pPr>
            <w:r>
              <w:rPr>
                <w:w w:val="95"/>
                <w:sz w:val="16"/>
              </w:rPr>
              <w:t>50</w:t>
            </w:r>
          </w:p>
        </w:tc>
        <w:tc>
          <w:tcPr>
            <w:tcW w:w="582" w:type="dxa"/>
          </w:tcPr>
          <w:p>
            <w:pPr>
              <w:pStyle w:val="TableParagraph"/>
              <w:spacing w:before="35"/>
              <w:ind w:left="140"/>
              <w:jc w:val="left"/>
              <w:rPr>
                <w:sz w:val="16"/>
              </w:rPr>
            </w:pPr>
            <w:r>
              <w:rPr>
                <w:sz w:val="16"/>
              </w:rPr>
              <w:t>0.19</w:t>
            </w:r>
          </w:p>
        </w:tc>
        <w:tc>
          <w:tcPr>
            <w:tcW w:w="601" w:type="dxa"/>
          </w:tcPr>
          <w:p>
            <w:pPr>
              <w:pStyle w:val="TableParagraph"/>
              <w:spacing w:before="35"/>
              <w:ind w:right="79"/>
              <w:rPr>
                <w:sz w:val="16"/>
              </w:rPr>
            </w:pPr>
            <w:r>
              <w:rPr>
                <w:w w:val="95"/>
                <w:sz w:val="16"/>
              </w:rPr>
              <w:t>50</w:t>
            </w:r>
          </w:p>
        </w:tc>
      </w:tr>
      <w:tr>
        <w:trPr>
          <w:trHeight w:val="367" w:hRule="exact"/>
        </w:trPr>
        <w:tc>
          <w:tcPr>
            <w:tcW w:w="4112" w:type="dxa"/>
          </w:tcPr>
          <w:p>
            <w:pPr>
              <w:pStyle w:val="TableParagraph"/>
              <w:tabs>
                <w:tab w:pos="847" w:val="left" w:leader="none"/>
              </w:tabs>
              <w:spacing w:line="176" w:lineRule="exact"/>
              <w:ind w:left="50"/>
              <w:jc w:val="left"/>
              <w:rPr>
                <w:sz w:val="16"/>
              </w:rPr>
            </w:pPr>
            <w:r>
              <w:rPr>
                <w:position w:val="-8"/>
                <w:sz w:val="16"/>
              </w:rPr>
              <w:t>2132</w:t>
              <w:tab/>
            </w:r>
            <w:r>
              <w:rPr>
                <w:sz w:val="16"/>
              </w:rPr>
              <w:t>Perforación</w:t>
            </w:r>
            <w:r>
              <w:rPr>
                <w:spacing w:val="-26"/>
                <w:sz w:val="16"/>
              </w:rPr>
              <w:t> </w:t>
            </w:r>
            <w:r>
              <w:rPr>
                <w:sz w:val="16"/>
              </w:rPr>
              <w:t>de</w:t>
            </w:r>
            <w:r>
              <w:rPr>
                <w:spacing w:val="-26"/>
                <w:sz w:val="16"/>
              </w:rPr>
              <w:t> </w:t>
            </w:r>
            <w:r>
              <w:rPr>
                <w:sz w:val="16"/>
              </w:rPr>
              <w:t>pozos</w:t>
            </w:r>
            <w:r>
              <w:rPr>
                <w:spacing w:val="-26"/>
                <w:sz w:val="16"/>
              </w:rPr>
              <w:t> </w:t>
            </w:r>
            <w:r>
              <w:rPr>
                <w:sz w:val="16"/>
              </w:rPr>
              <w:t>petroleros</w:t>
            </w:r>
          </w:p>
          <w:p>
            <w:pPr>
              <w:pStyle w:val="TableParagraph"/>
              <w:tabs>
                <w:tab w:pos="3944" w:val="right" w:leader="none"/>
              </w:tabs>
              <w:spacing w:line="183" w:lineRule="exact"/>
              <w:ind w:left="847"/>
              <w:jc w:val="left"/>
              <w:rPr>
                <w:sz w:val="16"/>
              </w:rPr>
            </w:pPr>
            <w:r>
              <w:rPr>
                <w:sz w:val="16"/>
              </w:rPr>
              <w:t>y</w:t>
            </w:r>
            <w:r>
              <w:rPr>
                <w:spacing w:val="-2"/>
                <w:sz w:val="16"/>
              </w:rPr>
              <w:t> </w:t>
            </w:r>
            <w:r>
              <w:rPr>
                <w:sz w:val="16"/>
              </w:rPr>
              <w:t>de</w:t>
            </w:r>
            <w:r>
              <w:rPr>
                <w:spacing w:val="-2"/>
                <w:sz w:val="16"/>
              </w:rPr>
              <w:t> </w:t>
            </w:r>
            <w:r>
              <w:rPr>
                <w:sz w:val="16"/>
              </w:rPr>
              <w:t>gas</w:t>
            </w:r>
            <w:r>
              <w:rPr>
                <w:position w:val="9"/>
                <w:sz w:val="16"/>
              </w:rPr>
              <w:tab/>
              <w:t>5.60</w:t>
            </w:r>
          </w:p>
        </w:tc>
        <w:tc>
          <w:tcPr>
            <w:tcW w:w="658" w:type="dxa"/>
          </w:tcPr>
          <w:p>
            <w:pPr>
              <w:pStyle w:val="TableParagraph"/>
              <w:spacing w:before="83"/>
              <w:ind w:right="138"/>
              <w:rPr>
                <w:sz w:val="16"/>
              </w:rPr>
            </w:pPr>
            <w:r>
              <w:rPr>
                <w:w w:val="95"/>
                <w:sz w:val="16"/>
              </w:rPr>
              <w:t>121</w:t>
            </w:r>
          </w:p>
        </w:tc>
        <w:tc>
          <w:tcPr>
            <w:tcW w:w="582" w:type="dxa"/>
          </w:tcPr>
          <w:p>
            <w:pPr>
              <w:pStyle w:val="TableParagraph"/>
              <w:spacing w:before="83"/>
              <w:ind w:left="140"/>
              <w:jc w:val="left"/>
              <w:rPr>
                <w:sz w:val="16"/>
              </w:rPr>
            </w:pPr>
            <w:r>
              <w:rPr>
                <w:sz w:val="16"/>
              </w:rPr>
              <w:t>0.95</w:t>
            </w:r>
          </w:p>
        </w:tc>
        <w:tc>
          <w:tcPr>
            <w:tcW w:w="601" w:type="dxa"/>
          </w:tcPr>
          <w:p>
            <w:pPr>
              <w:pStyle w:val="TableParagraph"/>
              <w:spacing w:before="83"/>
              <w:ind w:right="79"/>
              <w:rPr>
                <w:sz w:val="16"/>
              </w:rPr>
            </w:pPr>
            <w:r>
              <w:rPr>
                <w:w w:val="95"/>
                <w:sz w:val="16"/>
              </w:rPr>
              <w:t>121</w:t>
            </w:r>
          </w:p>
        </w:tc>
      </w:tr>
      <w:tr>
        <w:trPr>
          <w:trHeight w:val="322" w:hRule="exact"/>
        </w:trPr>
        <w:tc>
          <w:tcPr>
            <w:tcW w:w="4112" w:type="dxa"/>
          </w:tcPr>
          <w:p>
            <w:pPr>
              <w:pStyle w:val="TableParagraph"/>
              <w:tabs>
                <w:tab w:pos="847" w:val="left" w:leader="none"/>
              </w:tabs>
              <w:spacing w:line="173" w:lineRule="exact"/>
              <w:ind w:left="50"/>
              <w:jc w:val="left"/>
              <w:rPr>
                <w:sz w:val="16"/>
              </w:rPr>
            </w:pPr>
            <w:r>
              <w:rPr>
                <w:position w:val="-8"/>
                <w:sz w:val="16"/>
              </w:rPr>
              <w:t>2221</w:t>
              <w:tab/>
            </w:r>
            <w:r>
              <w:rPr>
                <w:w w:val="95"/>
                <w:sz w:val="16"/>
              </w:rPr>
              <w:t>Captación, tratamiento y</w:t>
            </w:r>
            <w:r>
              <w:rPr>
                <w:spacing w:val="31"/>
                <w:w w:val="95"/>
                <w:sz w:val="16"/>
              </w:rPr>
              <w:t> </w:t>
            </w:r>
            <w:r>
              <w:rPr>
                <w:w w:val="95"/>
                <w:sz w:val="16"/>
              </w:rPr>
              <w:t>suministro</w:t>
            </w:r>
          </w:p>
          <w:p>
            <w:pPr>
              <w:pStyle w:val="TableParagraph"/>
              <w:tabs>
                <w:tab w:pos="3672" w:val="left" w:leader="none"/>
              </w:tabs>
              <w:spacing w:line="183" w:lineRule="exact"/>
              <w:ind w:left="847"/>
              <w:jc w:val="left"/>
              <w:rPr>
                <w:sz w:val="16"/>
              </w:rPr>
            </w:pPr>
            <w:r>
              <w:rPr>
                <w:sz w:val="16"/>
              </w:rPr>
              <w:t>de</w:t>
            </w:r>
            <w:r>
              <w:rPr>
                <w:spacing w:val="-5"/>
                <w:sz w:val="16"/>
              </w:rPr>
              <w:t> </w:t>
            </w:r>
            <w:r>
              <w:rPr>
                <w:sz w:val="16"/>
              </w:rPr>
              <w:t>agua</w:t>
            </w:r>
            <w:r>
              <w:rPr>
                <w:position w:val="9"/>
                <w:sz w:val="16"/>
              </w:rPr>
              <w:tab/>
              <w:t>4.00</w:t>
            </w:r>
          </w:p>
        </w:tc>
        <w:tc>
          <w:tcPr>
            <w:tcW w:w="658" w:type="dxa"/>
          </w:tcPr>
          <w:p>
            <w:pPr>
              <w:pStyle w:val="TableParagraph"/>
              <w:spacing w:before="81"/>
              <w:ind w:right="138"/>
              <w:rPr>
                <w:sz w:val="16"/>
              </w:rPr>
            </w:pPr>
            <w:r>
              <w:rPr>
                <w:w w:val="95"/>
                <w:sz w:val="16"/>
              </w:rPr>
              <w:t>257</w:t>
            </w:r>
          </w:p>
        </w:tc>
        <w:tc>
          <w:tcPr>
            <w:tcW w:w="582" w:type="dxa"/>
          </w:tcPr>
          <w:p>
            <w:pPr>
              <w:pStyle w:val="TableParagraph"/>
              <w:spacing w:before="81"/>
              <w:ind w:left="140"/>
              <w:jc w:val="left"/>
              <w:rPr>
                <w:sz w:val="16"/>
              </w:rPr>
            </w:pPr>
            <w:r>
              <w:rPr>
                <w:sz w:val="16"/>
              </w:rPr>
              <w:t>0.63</w:t>
            </w:r>
          </w:p>
        </w:tc>
        <w:tc>
          <w:tcPr>
            <w:tcW w:w="601" w:type="dxa"/>
          </w:tcPr>
          <w:p>
            <w:pPr>
              <w:pStyle w:val="TableParagraph"/>
              <w:spacing w:before="81"/>
              <w:ind w:right="79"/>
              <w:rPr>
                <w:sz w:val="16"/>
              </w:rPr>
            </w:pPr>
            <w:r>
              <w:rPr>
                <w:w w:val="95"/>
                <w:sz w:val="16"/>
              </w:rPr>
              <w:t>256</w:t>
            </w:r>
          </w:p>
        </w:tc>
      </w:tr>
      <w:tr>
        <w:trPr>
          <w:trHeight w:val="230" w:hRule="exact"/>
        </w:trPr>
        <w:tc>
          <w:tcPr>
            <w:tcW w:w="4112" w:type="dxa"/>
          </w:tcPr>
          <w:p>
            <w:pPr>
              <w:pStyle w:val="TableParagraph"/>
              <w:tabs>
                <w:tab w:pos="847" w:val="left" w:leader="none"/>
                <w:tab w:pos="3944" w:val="right" w:leader="none"/>
              </w:tabs>
              <w:spacing w:before="38"/>
              <w:ind w:left="50"/>
              <w:jc w:val="left"/>
              <w:rPr>
                <w:sz w:val="16"/>
              </w:rPr>
            </w:pPr>
            <w:r>
              <w:rPr>
                <w:sz w:val="16"/>
              </w:rPr>
              <w:t>2361</w:t>
              <w:tab/>
              <w:t>Edificación</w:t>
            </w:r>
            <w:r>
              <w:rPr>
                <w:spacing w:val="-3"/>
                <w:sz w:val="16"/>
              </w:rPr>
              <w:t> </w:t>
            </w:r>
            <w:r>
              <w:rPr>
                <w:sz w:val="16"/>
              </w:rPr>
              <w:t>residencial</w:t>
              <w:tab/>
              <w:t>3.27</w:t>
            </w:r>
          </w:p>
        </w:tc>
        <w:tc>
          <w:tcPr>
            <w:tcW w:w="658" w:type="dxa"/>
          </w:tcPr>
          <w:p>
            <w:pPr>
              <w:pStyle w:val="TableParagraph"/>
              <w:spacing w:before="38"/>
              <w:ind w:right="138"/>
              <w:rPr>
                <w:sz w:val="16"/>
              </w:rPr>
            </w:pPr>
            <w:r>
              <w:rPr>
                <w:sz w:val="16"/>
              </w:rPr>
              <w:t>4 435</w:t>
            </w:r>
          </w:p>
        </w:tc>
        <w:tc>
          <w:tcPr>
            <w:tcW w:w="582" w:type="dxa"/>
          </w:tcPr>
          <w:p>
            <w:pPr>
              <w:pStyle w:val="TableParagraph"/>
              <w:spacing w:before="38"/>
              <w:ind w:left="140"/>
              <w:jc w:val="left"/>
              <w:rPr>
                <w:sz w:val="16"/>
              </w:rPr>
            </w:pPr>
            <w:r>
              <w:rPr>
                <w:sz w:val="16"/>
              </w:rPr>
              <w:t>0.21</w:t>
            </w:r>
          </w:p>
        </w:tc>
        <w:tc>
          <w:tcPr>
            <w:tcW w:w="601" w:type="dxa"/>
          </w:tcPr>
          <w:p>
            <w:pPr>
              <w:pStyle w:val="TableParagraph"/>
              <w:spacing w:before="38"/>
              <w:ind w:right="79"/>
              <w:rPr>
                <w:sz w:val="16"/>
              </w:rPr>
            </w:pPr>
            <w:r>
              <w:rPr>
                <w:sz w:val="16"/>
              </w:rPr>
              <w:t>4 420</w:t>
            </w:r>
          </w:p>
        </w:tc>
      </w:tr>
      <w:tr>
        <w:trPr>
          <w:trHeight w:val="230" w:hRule="exact"/>
        </w:trPr>
        <w:tc>
          <w:tcPr>
            <w:tcW w:w="4112" w:type="dxa"/>
          </w:tcPr>
          <w:p>
            <w:pPr>
              <w:pStyle w:val="TableParagraph"/>
              <w:tabs>
                <w:tab w:pos="847" w:val="left" w:leader="none"/>
                <w:tab w:pos="3944" w:val="right" w:leader="none"/>
              </w:tabs>
              <w:spacing w:line="174" w:lineRule="exact"/>
              <w:ind w:left="50"/>
              <w:jc w:val="left"/>
              <w:rPr>
                <w:sz w:val="16"/>
              </w:rPr>
            </w:pPr>
            <w:r>
              <w:rPr>
                <w:sz w:val="16"/>
              </w:rPr>
              <w:t>2363</w:t>
              <w:tab/>
              <w:t>Edificación</w:t>
            </w:r>
            <w:r>
              <w:rPr>
                <w:spacing w:val="-4"/>
                <w:sz w:val="16"/>
              </w:rPr>
              <w:t> </w:t>
            </w:r>
            <w:r>
              <w:rPr>
                <w:sz w:val="16"/>
              </w:rPr>
              <w:t>no</w:t>
            </w:r>
            <w:r>
              <w:rPr>
                <w:spacing w:val="-4"/>
                <w:sz w:val="16"/>
              </w:rPr>
              <w:t> </w:t>
            </w:r>
            <w:r>
              <w:rPr>
                <w:sz w:val="16"/>
              </w:rPr>
              <w:t>residencial</w:t>
              <w:tab/>
              <w:t>4.15</w:t>
            </w:r>
          </w:p>
        </w:tc>
        <w:tc>
          <w:tcPr>
            <w:tcW w:w="658" w:type="dxa"/>
          </w:tcPr>
          <w:p>
            <w:pPr>
              <w:pStyle w:val="TableParagraph"/>
              <w:spacing w:line="174" w:lineRule="exact"/>
              <w:ind w:right="138"/>
              <w:rPr>
                <w:sz w:val="16"/>
              </w:rPr>
            </w:pPr>
            <w:r>
              <w:rPr>
                <w:w w:val="95"/>
                <w:sz w:val="16"/>
              </w:rPr>
              <w:t>482</w:t>
            </w:r>
          </w:p>
        </w:tc>
        <w:tc>
          <w:tcPr>
            <w:tcW w:w="582" w:type="dxa"/>
          </w:tcPr>
          <w:p>
            <w:pPr>
              <w:pStyle w:val="TableParagraph"/>
              <w:spacing w:line="174" w:lineRule="exact"/>
              <w:ind w:left="140"/>
              <w:jc w:val="left"/>
              <w:rPr>
                <w:sz w:val="16"/>
              </w:rPr>
            </w:pPr>
            <w:r>
              <w:rPr>
                <w:sz w:val="16"/>
              </w:rPr>
              <w:t>0.65</w:t>
            </w:r>
          </w:p>
        </w:tc>
        <w:tc>
          <w:tcPr>
            <w:tcW w:w="601" w:type="dxa"/>
          </w:tcPr>
          <w:p>
            <w:pPr>
              <w:pStyle w:val="TableParagraph"/>
              <w:spacing w:line="174" w:lineRule="exact"/>
              <w:ind w:right="79"/>
              <w:rPr>
                <w:sz w:val="16"/>
              </w:rPr>
            </w:pPr>
            <w:r>
              <w:rPr>
                <w:w w:val="95"/>
                <w:sz w:val="16"/>
              </w:rPr>
              <w:t>481</w:t>
            </w:r>
          </w:p>
        </w:tc>
      </w:tr>
      <w:tr>
        <w:trPr>
          <w:trHeight w:val="322" w:hRule="exact"/>
        </w:trPr>
        <w:tc>
          <w:tcPr>
            <w:tcW w:w="4112" w:type="dxa"/>
          </w:tcPr>
          <w:p>
            <w:pPr>
              <w:pStyle w:val="TableParagraph"/>
              <w:tabs>
                <w:tab w:pos="847" w:val="left" w:leader="none"/>
              </w:tabs>
              <w:spacing w:line="133" w:lineRule="exact"/>
              <w:ind w:left="50"/>
              <w:jc w:val="left"/>
              <w:rPr>
                <w:sz w:val="16"/>
              </w:rPr>
            </w:pPr>
            <w:r>
              <w:rPr>
                <w:position w:val="-9"/>
                <w:sz w:val="16"/>
              </w:rPr>
              <w:t>2370</w:t>
              <w:tab/>
            </w:r>
            <w:r>
              <w:rPr>
                <w:sz w:val="16"/>
              </w:rPr>
              <w:t>Construcción</w:t>
            </w:r>
            <w:r>
              <w:rPr>
                <w:spacing w:val="-26"/>
                <w:sz w:val="16"/>
              </w:rPr>
              <w:t> </w:t>
            </w:r>
            <w:r>
              <w:rPr>
                <w:sz w:val="16"/>
              </w:rPr>
              <w:t>de</w:t>
            </w:r>
            <w:r>
              <w:rPr>
                <w:spacing w:val="-26"/>
                <w:sz w:val="16"/>
              </w:rPr>
              <w:t> </w:t>
            </w:r>
            <w:r>
              <w:rPr>
                <w:sz w:val="16"/>
              </w:rPr>
              <w:t>obras</w:t>
            </w:r>
          </w:p>
          <w:p>
            <w:pPr>
              <w:pStyle w:val="TableParagraph"/>
              <w:tabs>
                <w:tab w:pos="3944" w:val="right" w:leader="none"/>
              </w:tabs>
              <w:spacing w:line="181" w:lineRule="exact"/>
              <w:ind w:left="847"/>
              <w:jc w:val="left"/>
              <w:rPr>
                <w:sz w:val="16"/>
              </w:rPr>
            </w:pPr>
            <w:r>
              <w:rPr>
                <w:sz w:val="16"/>
              </w:rPr>
              <w:t>de</w:t>
            </w:r>
            <w:r>
              <w:rPr>
                <w:spacing w:val="-3"/>
                <w:sz w:val="16"/>
              </w:rPr>
              <w:t> </w:t>
            </w:r>
            <w:r>
              <w:rPr>
                <w:sz w:val="16"/>
              </w:rPr>
              <w:t>ingeniería</w:t>
            </w:r>
            <w:r>
              <w:rPr>
                <w:spacing w:val="-3"/>
                <w:sz w:val="16"/>
              </w:rPr>
              <w:t> </w:t>
            </w:r>
            <w:r>
              <w:rPr>
                <w:sz w:val="16"/>
              </w:rPr>
              <w:t>civil</w:t>
            </w:r>
            <w:r>
              <w:rPr>
                <w:position w:val="9"/>
                <w:sz w:val="16"/>
              </w:rPr>
              <w:tab/>
              <w:t>4.30</w:t>
            </w:r>
          </w:p>
        </w:tc>
        <w:tc>
          <w:tcPr>
            <w:tcW w:w="658" w:type="dxa"/>
          </w:tcPr>
          <w:p>
            <w:pPr>
              <w:pStyle w:val="TableParagraph"/>
              <w:spacing w:before="38"/>
              <w:ind w:right="138"/>
              <w:rPr>
                <w:sz w:val="16"/>
              </w:rPr>
            </w:pPr>
            <w:r>
              <w:rPr>
                <w:sz w:val="16"/>
              </w:rPr>
              <w:t>1 046</w:t>
            </w:r>
          </w:p>
        </w:tc>
        <w:tc>
          <w:tcPr>
            <w:tcW w:w="582" w:type="dxa"/>
          </w:tcPr>
          <w:p>
            <w:pPr>
              <w:pStyle w:val="TableParagraph"/>
              <w:spacing w:before="38"/>
              <w:ind w:left="140"/>
              <w:jc w:val="left"/>
              <w:rPr>
                <w:sz w:val="16"/>
              </w:rPr>
            </w:pPr>
            <w:r>
              <w:rPr>
                <w:sz w:val="16"/>
              </w:rPr>
              <w:t>0.67</w:t>
            </w:r>
          </w:p>
        </w:tc>
        <w:tc>
          <w:tcPr>
            <w:tcW w:w="601" w:type="dxa"/>
          </w:tcPr>
          <w:p>
            <w:pPr>
              <w:pStyle w:val="TableParagraph"/>
              <w:spacing w:before="38"/>
              <w:ind w:right="79"/>
              <w:rPr>
                <w:sz w:val="16"/>
              </w:rPr>
            </w:pPr>
            <w:r>
              <w:rPr>
                <w:sz w:val="16"/>
              </w:rPr>
              <w:t>1 043</w:t>
            </w:r>
          </w:p>
        </w:tc>
      </w:tr>
      <w:tr>
        <w:trPr>
          <w:trHeight w:val="413" w:hRule="exact"/>
        </w:trPr>
        <w:tc>
          <w:tcPr>
            <w:tcW w:w="4112" w:type="dxa"/>
          </w:tcPr>
          <w:p>
            <w:pPr>
              <w:pStyle w:val="TableParagraph"/>
              <w:tabs>
                <w:tab w:pos="847" w:val="left" w:leader="none"/>
              </w:tabs>
              <w:spacing w:line="173" w:lineRule="exact"/>
              <w:ind w:left="50"/>
              <w:jc w:val="left"/>
              <w:rPr>
                <w:sz w:val="16"/>
              </w:rPr>
            </w:pPr>
            <w:r>
              <w:rPr>
                <w:position w:val="-8"/>
                <w:sz w:val="16"/>
              </w:rPr>
              <w:t>2381</w:t>
              <w:tab/>
            </w:r>
            <w:r>
              <w:rPr>
                <w:sz w:val="16"/>
              </w:rPr>
              <w:t>Trabajos</w:t>
            </w:r>
            <w:r>
              <w:rPr>
                <w:spacing w:val="-25"/>
                <w:sz w:val="16"/>
              </w:rPr>
              <w:t> </w:t>
            </w:r>
            <w:r>
              <w:rPr>
                <w:sz w:val="16"/>
              </w:rPr>
              <w:t>especializados</w:t>
            </w:r>
            <w:r>
              <w:rPr>
                <w:spacing w:val="-24"/>
                <w:sz w:val="16"/>
              </w:rPr>
              <w:t> </w:t>
            </w:r>
            <w:r>
              <w:rPr>
                <w:sz w:val="16"/>
              </w:rPr>
              <w:t>para</w:t>
            </w:r>
            <w:r>
              <w:rPr>
                <w:spacing w:val="-25"/>
                <w:sz w:val="16"/>
              </w:rPr>
              <w:t> </w:t>
            </w:r>
            <w:r>
              <w:rPr>
                <w:sz w:val="16"/>
              </w:rPr>
              <w:t>la</w:t>
            </w:r>
          </w:p>
          <w:p>
            <w:pPr>
              <w:pStyle w:val="TableParagraph"/>
              <w:tabs>
                <w:tab w:pos="3944" w:val="right" w:leader="none"/>
              </w:tabs>
              <w:spacing w:line="183" w:lineRule="exact"/>
              <w:ind w:left="847"/>
              <w:jc w:val="left"/>
              <w:rPr>
                <w:sz w:val="16"/>
              </w:rPr>
            </w:pPr>
            <w:r>
              <w:rPr>
                <w:sz w:val="16"/>
              </w:rPr>
              <w:t>construcción</w:t>
            </w:r>
            <w:r>
              <w:rPr>
                <w:position w:val="9"/>
                <w:sz w:val="16"/>
              </w:rPr>
              <w:tab/>
              <w:t>3.75</w:t>
            </w:r>
          </w:p>
        </w:tc>
        <w:tc>
          <w:tcPr>
            <w:tcW w:w="658" w:type="dxa"/>
          </w:tcPr>
          <w:p>
            <w:pPr>
              <w:pStyle w:val="TableParagraph"/>
              <w:spacing w:before="81"/>
              <w:ind w:right="138"/>
              <w:rPr>
                <w:sz w:val="16"/>
              </w:rPr>
            </w:pPr>
            <w:r>
              <w:rPr>
                <w:w w:val="95"/>
                <w:sz w:val="16"/>
              </w:rPr>
              <w:t>346</w:t>
            </w:r>
          </w:p>
        </w:tc>
        <w:tc>
          <w:tcPr>
            <w:tcW w:w="582" w:type="dxa"/>
          </w:tcPr>
          <w:p>
            <w:pPr>
              <w:pStyle w:val="TableParagraph"/>
              <w:spacing w:before="81"/>
              <w:ind w:left="140"/>
              <w:jc w:val="left"/>
              <w:rPr>
                <w:sz w:val="16"/>
              </w:rPr>
            </w:pPr>
            <w:r>
              <w:rPr>
                <w:sz w:val="16"/>
              </w:rPr>
              <w:t>0.39</w:t>
            </w:r>
          </w:p>
        </w:tc>
        <w:tc>
          <w:tcPr>
            <w:tcW w:w="601" w:type="dxa"/>
          </w:tcPr>
          <w:p>
            <w:pPr>
              <w:pStyle w:val="TableParagraph"/>
              <w:spacing w:before="81"/>
              <w:ind w:right="79"/>
              <w:rPr>
                <w:sz w:val="16"/>
              </w:rPr>
            </w:pPr>
            <w:r>
              <w:rPr>
                <w:w w:val="95"/>
                <w:sz w:val="16"/>
              </w:rPr>
              <w:t>346</w:t>
            </w:r>
          </w:p>
        </w:tc>
      </w:tr>
      <w:tr>
        <w:trPr>
          <w:trHeight w:val="506" w:hRule="exact"/>
        </w:trPr>
        <w:tc>
          <w:tcPr>
            <w:tcW w:w="4112" w:type="dxa"/>
          </w:tcPr>
          <w:p>
            <w:pPr>
              <w:pStyle w:val="TableParagraph"/>
              <w:spacing w:line="130" w:lineRule="exact"/>
              <w:ind w:left="847"/>
              <w:jc w:val="left"/>
              <w:rPr>
                <w:sz w:val="16"/>
              </w:rPr>
            </w:pPr>
            <w:r>
              <w:rPr>
                <w:sz w:val="16"/>
              </w:rPr>
              <w:t>Trabajos de albañilería de</w:t>
            </w:r>
          </w:p>
          <w:p>
            <w:pPr>
              <w:pStyle w:val="TableParagraph"/>
              <w:tabs>
                <w:tab w:pos="847" w:val="left" w:leader="none"/>
                <w:tab w:pos="3944" w:val="right" w:leader="none"/>
              </w:tabs>
              <w:spacing w:line="182" w:lineRule="exact"/>
              <w:ind w:left="50"/>
              <w:jc w:val="left"/>
              <w:rPr>
                <w:sz w:val="16"/>
              </w:rPr>
            </w:pPr>
            <w:r>
              <w:rPr>
                <w:sz w:val="16"/>
              </w:rPr>
              <w:t>2382</w:t>
              <w:tab/>
              <w:t>instalaciones</w:t>
            </w:r>
            <w:r>
              <w:rPr>
                <w:spacing w:val="-4"/>
                <w:sz w:val="16"/>
              </w:rPr>
              <w:t> </w:t>
            </w:r>
            <w:r>
              <w:rPr>
                <w:sz w:val="16"/>
              </w:rPr>
              <w:t>hidrosanitarias</w:t>
            </w:r>
            <w:r>
              <w:rPr>
                <w:spacing w:val="-4"/>
                <w:sz w:val="16"/>
              </w:rPr>
              <w:t> </w:t>
            </w:r>
            <w:r>
              <w:rPr>
                <w:sz w:val="16"/>
              </w:rPr>
              <w:t>y</w:t>
              <w:tab/>
              <w:t>3.22</w:t>
            </w:r>
          </w:p>
          <w:p>
            <w:pPr>
              <w:pStyle w:val="TableParagraph"/>
              <w:spacing w:line="183" w:lineRule="exact"/>
              <w:ind w:left="847"/>
              <w:jc w:val="left"/>
              <w:rPr>
                <w:sz w:val="16"/>
              </w:rPr>
            </w:pPr>
            <w:r>
              <w:rPr>
                <w:sz w:val="16"/>
              </w:rPr>
              <w:t>eléctricas y de trabajos en exteriores</w:t>
            </w:r>
          </w:p>
        </w:tc>
        <w:tc>
          <w:tcPr>
            <w:tcW w:w="658" w:type="dxa"/>
          </w:tcPr>
          <w:p>
            <w:pPr>
              <w:pStyle w:val="TableParagraph"/>
              <w:spacing w:before="129"/>
              <w:ind w:right="138"/>
              <w:rPr>
                <w:sz w:val="16"/>
              </w:rPr>
            </w:pPr>
            <w:r>
              <w:rPr>
                <w:sz w:val="16"/>
              </w:rPr>
              <w:t>4 863</w:t>
            </w:r>
          </w:p>
        </w:tc>
        <w:tc>
          <w:tcPr>
            <w:tcW w:w="582" w:type="dxa"/>
          </w:tcPr>
          <w:p>
            <w:pPr>
              <w:pStyle w:val="TableParagraph"/>
              <w:spacing w:before="129"/>
              <w:ind w:left="140"/>
              <w:jc w:val="left"/>
              <w:rPr>
                <w:sz w:val="16"/>
              </w:rPr>
            </w:pPr>
            <w:r>
              <w:rPr>
                <w:sz w:val="16"/>
              </w:rPr>
              <w:t>0.04</w:t>
            </w:r>
          </w:p>
        </w:tc>
        <w:tc>
          <w:tcPr>
            <w:tcW w:w="601" w:type="dxa"/>
          </w:tcPr>
          <w:p>
            <w:pPr>
              <w:pStyle w:val="TableParagraph"/>
              <w:spacing w:before="129"/>
              <w:ind w:right="79"/>
              <w:rPr>
                <w:sz w:val="16"/>
              </w:rPr>
            </w:pPr>
            <w:r>
              <w:rPr>
                <w:sz w:val="16"/>
              </w:rPr>
              <w:t>4 854</w:t>
            </w:r>
          </w:p>
        </w:tc>
      </w:tr>
      <w:tr>
        <w:trPr>
          <w:trHeight w:val="506" w:hRule="exact"/>
        </w:trPr>
        <w:tc>
          <w:tcPr>
            <w:tcW w:w="4112" w:type="dxa"/>
          </w:tcPr>
          <w:p>
            <w:pPr>
              <w:pStyle w:val="TableParagraph"/>
              <w:spacing w:line="176" w:lineRule="exact"/>
              <w:ind w:left="847"/>
              <w:jc w:val="left"/>
              <w:rPr>
                <w:sz w:val="16"/>
              </w:rPr>
            </w:pPr>
            <w:r>
              <w:rPr>
                <w:w w:val="95"/>
                <w:sz w:val="16"/>
              </w:rPr>
              <w:t>Descripciones insuficientemente</w:t>
            </w:r>
          </w:p>
          <w:p>
            <w:pPr>
              <w:pStyle w:val="TableParagraph"/>
              <w:tabs>
                <w:tab w:pos="847" w:val="left" w:leader="none"/>
                <w:tab w:pos="3944" w:val="right" w:leader="none"/>
              </w:tabs>
              <w:spacing w:line="182" w:lineRule="exact"/>
              <w:ind w:left="50"/>
              <w:jc w:val="left"/>
              <w:rPr>
                <w:sz w:val="16"/>
              </w:rPr>
            </w:pPr>
            <w:r>
              <w:rPr>
                <w:sz w:val="16"/>
              </w:rPr>
              <w:t>2399</w:t>
              <w:tab/>
              <w:t>especificadas de</w:t>
            </w:r>
            <w:r>
              <w:rPr>
                <w:spacing w:val="-8"/>
                <w:sz w:val="16"/>
              </w:rPr>
              <w:t> </w:t>
            </w:r>
            <w:r>
              <w:rPr>
                <w:sz w:val="16"/>
              </w:rPr>
              <w:t>subsector</w:t>
            </w:r>
            <w:r>
              <w:rPr>
                <w:spacing w:val="-4"/>
                <w:sz w:val="16"/>
              </w:rPr>
              <w:t> </w:t>
            </w:r>
            <w:r>
              <w:rPr>
                <w:sz w:val="16"/>
              </w:rPr>
              <w:t>de</w:t>
              <w:tab/>
              <w:t>3.90</w:t>
            </w:r>
          </w:p>
          <w:p>
            <w:pPr>
              <w:pStyle w:val="TableParagraph"/>
              <w:spacing w:line="183" w:lineRule="exact"/>
              <w:ind w:left="847"/>
              <w:jc w:val="left"/>
              <w:rPr>
                <w:sz w:val="16"/>
              </w:rPr>
            </w:pPr>
            <w:r>
              <w:rPr>
                <w:sz w:val="16"/>
              </w:rPr>
              <w:t>actividad del sector 23, Construcción</w:t>
            </w:r>
          </w:p>
        </w:tc>
        <w:tc>
          <w:tcPr>
            <w:tcW w:w="658" w:type="dxa"/>
          </w:tcPr>
          <w:p>
            <w:pPr>
              <w:pStyle w:val="TableParagraph"/>
              <w:spacing w:before="2"/>
              <w:jc w:val="left"/>
              <w:rPr>
                <w:i/>
                <w:sz w:val="15"/>
              </w:rPr>
            </w:pPr>
          </w:p>
          <w:p>
            <w:pPr>
              <w:pStyle w:val="TableParagraph"/>
              <w:ind w:right="138"/>
              <w:rPr>
                <w:sz w:val="16"/>
              </w:rPr>
            </w:pPr>
            <w:r>
              <w:rPr>
                <w:w w:val="96"/>
                <w:sz w:val="16"/>
              </w:rPr>
              <w:t>7</w:t>
            </w:r>
          </w:p>
        </w:tc>
        <w:tc>
          <w:tcPr>
            <w:tcW w:w="582" w:type="dxa"/>
          </w:tcPr>
          <w:p>
            <w:pPr>
              <w:pStyle w:val="TableParagraph"/>
              <w:spacing w:before="2"/>
              <w:jc w:val="left"/>
              <w:rPr>
                <w:i/>
                <w:sz w:val="15"/>
              </w:rPr>
            </w:pPr>
          </w:p>
          <w:p>
            <w:pPr>
              <w:pStyle w:val="TableParagraph"/>
              <w:ind w:left="140"/>
              <w:jc w:val="left"/>
              <w:rPr>
                <w:sz w:val="16"/>
              </w:rPr>
            </w:pPr>
            <w:r>
              <w:rPr>
                <w:sz w:val="16"/>
              </w:rPr>
              <w:t>0.47</w:t>
            </w:r>
          </w:p>
        </w:tc>
        <w:tc>
          <w:tcPr>
            <w:tcW w:w="601" w:type="dxa"/>
          </w:tcPr>
          <w:p>
            <w:pPr>
              <w:pStyle w:val="TableParagraph"/>
              <w:spacing w:before="2"/>
              <w:jc w:val="left"/>
              <w:rPr>
                <w:i/>
                <w:sz w:val="15"/>
              </w:rPr>
            </w:pPr>
          </w:p>
          <w:p>
            <w:pPr>
              <w:pStyle w:val="TableParagraph"/>
              <w:ind w:right="80"/>
              <w:rPr>
                <w:sz w:val="16"/>
              </w:rPr>
            </w:pPr>
            <w:r>
              <w:rPr>
                <w:w w:val="96"/>
                <w:sz w:val="16"/>
              </w:rPr>
              <w:t>7</w:t>
            </w:r>
          </w:p>
        </w:tc>
      </w:tr>
      <w:tr>
        <w:trPr>
          <w:trHeight w:val="408" w:hRule="exact"/>
        </w:trPr>
        <w:tc>
          <w:tcPr>
            <w:tcW w:w="4112" w:type="dxa"/>
            <w:tcBorders>
              <w:bottom w:val="single" w:sz="4" w:space="0" w:color="000000"/>
            </w:tcBorders>
          </w:tcPr>
          <w:p>
            <w:pPr>
              <w:pStyle w:val="TableParagraph"/>
              <w:tabs>
                <w:tab w:pos="847" w:val="left" w:leader="none"/>
              </w:tabs>
              <w:spacing w:line="183" w:lineRule="exact" w:before="38"/>
              <w:ind w:left="50"/>
              <w:jc w:val="left"/>
              <w:rPr>
                <w:sz w:val="16"/>
              </w:rPr>
            </w:pPr>
            <w:r>
              <w:rPr>
                <w:position w:val="-8"/>
                <w:sz w:val="16"/>
              </w:rPr>
              <w:t>3130</w:t>
              <w:tab/>
            </w:r>
            <w:r>
              <w:rPr>
                <w:sz w:val="16"/>
              </w:rPr>
              <w:t>Fabricación</w:t>
            </w:r>
            <w:r>
              <w:rPr>
                <w:spacing w:val="-25"/>
                <w:sz w:val="16"/>
              </w:rPr>
              <w:t> </w:t>
            </w:r>
            <w:r>
              <w:rPr>
                <w:sz w:val="16"/>
              </w:rPr>
              <w:t>de</w:t>
            </w:r>
            <w:r>
              <w:rPr>
                <w:spacing w:val="-25"/>
                <w:sz w:val="16"/>
              </w:rPr>
              <w:t> </w:t>
            </w:r>
            <w:r>
              <w:rPr>
                <w:sz w:val="16"/>
              </w:rPr>
              <w:t>insumos</w:t>
            </w:r>
            <w:r>
              <w:rPr>
                <w:spacing w:val="-25"/>
                <w:sz w:val="16"/>
              </w:rPr>
              <w:t> </w:t>
            </w:r>
            <w:r>
              <w:rPr>
                <w:sz w:val="16"/>
              </w:rPr>
              <w:t>textiles</w:t>
            </w:r>
          </w:p>
          <w:p>
            <w:pPr>
              <w:pStyle w:val="TableParagraph"/>
              <w:tabs>
                <w:tab w:pos="3944" w:val="right" w:leader="none"/>
              </w:tabs>
              <w:spacing w:line="183" w:lineRule="exact"/>
              <w:ind w:left="847"/>
              <w:jc w:val="left"/>
              <w:rPr>
                <w:sz w:val="16"/>
              </w:rPr>
            </w:pPr>
            <w:r>
              <w:rPr>
                <w:sz w:val="16"/>
              </w:rPr>
              <w:t>y acabado</w:t>
            </w:r>
            <w:r>
              <w:rPr>
                <w:spacing w:val="-5"/>
                <w:sz w:val="16"/>
              </w:rPr>
              <w:t> </w:t>
            </w:r>
            <w:r>
              <w:rPr>
                <w:sz w:val="16"/>
              </w:rPr>
              <w:t>de</w:t>
            </w:r>
            <w:r>
              <w:rPr>
                <w:spacing w:val="-3"/>
                <w:sz w:val="16"/>
              </w:rPr>
              <w:t> </w:t>
            </w:r>
            <w:r>
              <w:rPr>
                <w:sz w:val="16"/>
              </w:rPr>
              <w:t>textiles</w:t>
            </w:r>
            <w:r>
              <w:rPr>
                <w:position w:val="9"/>
                <w:sz w:val="16"/>
              </w:rPr>
              <w:tab/>
              <w:t>2.29</w:t>
            </w:r>
          </w:p>
        </w:tc>
        <w:tc>
          <w:tcPr>
            <w:tcW w:w="658" w:type="dxa"/>
            <w:tcBorders>
              <w:bottom w:val="single" w:sz="4" w:space="0" w:color="000000"/>
            </w:tcBorders>
          </w:tcPr>
          <w:p>
            <w:pPr>
              <w:pStyle w:val="TableParagraph"/>
              <w:spacing w:before="129"/>
              <w:ind w:right="138"/>
              <w:rPr>
                <w:sz w:val="16"/>
              </w:rPr>
            </w:pPr>
            <w:r>
              <w:rPr>
                <w:w w:val="95"/>
                <w:sz w:val="16"/>
              </w:rPr>
              <w:t>332</w:t>
            </w:r>
          </w:p>
        </w:tc>
        <w:tc>
          <w:tcPr>
            <w:tcW w:w="582" w:type="dxa"/>
            <w:tcBorders>
              <w:bottom w:val="single" w:sz="4" w:space="0" w:color="000000"/>
            </w:tcBorders>
          </w:tcPr>
          <w:p>
            <w:pPr>
              <w:pStyle w:val="TableParagraph"/>
              <w:spacing w:before="129"/>
              <w:ind w:left="140"/>
              <w:jc w:val="left"/>
              <w:rPr>
                <w:sz w:val="16"/>
              </w:rPr>
            </w:pPr>
            <w:r>
              <w:rPr>
                <w:sz w:val="16"/>
              </w:rPr>
              <w:t>0.63</w:t>
            </w:r>
          </w:p>
        </w:tc>
        <w:tc>
          <w:tcPr>
            <w:tcW w:w="601" w:type="dxa"/>
            <w:tcBorders>
              <w:bottom w:val="single" w:sz="4" w:space="0" w:color="000000"/>
            </w:tcBorders>
          </w:tcPr>
          <w:p>
            <w:pPr>
              <w:pStyle w:val="TableParagraph"/>
              <w:spacing w:before="129"/>
              <w:ind w:right="79"/>
              <w:rPr>
                <w:sz w:val="16"/>
              </w:rPr>
            </w:pPr>
            <w:r>
              <w:rPr>
                <w:w w:val="95"/>
                <w:sz w:val="16"/>
              </w:rPr>
              <w:t>331</w:t>
            </w:r>
          </w:p>
        </w:tc>
      </w:tr>
    </w:tbl>
    <w:p>
      <w:pPr>
        <w:spacing w:before="0"/>
        <w:ind w:left="158" w:right="612" w:firstLine="0"/>
        <w:jc w:val="left"/>
        <w:rPr>
          <w:sz w:val="16"/>
        </w:rPr>
      </w:pPr>
      <w:r>
        <w:rPr>
          <w:sz w:val="16"/>
        </w:rPr>
        <w:t>Fuente:</w:t>
      </w:r>
      <w:r>
        <w:rPr>
          <w:spacing w:val="-18"/>
          <w:sz w:val="16"/>
        </w:rPr>
        <w:t> </w:t>
      </w:r>
      <w:r>
        <w:rPr>
          <w:sz w:val="16"/>
        </w:rPr>
        <w:t>estimaciones</w:t>
      </w:r>
      <w:r>
        <w:rPr>
          <w:spacing w:val="-18"/>
          <w:sz w:val="16"/>
        </w:rPr>
        <w:t> </w:t>
      </w:r>
      <w:r>
        <w:rPr>
          <w:sz w:val="16"/>
        </w:rPr>
        <w:t>propias</w:t>
      </w:r>
      <w:r>
        <w:rPr>
          <w:spacing w:val="-18"/>
          <w:sz w:val="16"/>
        </w:rPr>
        <w:t> </w:t>
      </w:r>
      <w:r>
        <w:rPr>
          <w:sz w:val="16"/>
        </w:rPr>
        <w:t>con</w:t>
      </w:r>
      <w:r>
        <w:rPr>
          <w:spacing w:val="-18"/>
          <w:sz w:val="16"/>
        </w:rPr>
        <w:t> </w:t>
      </w:r>
      <w:r>
        <w:rPr>
          <w:sz w:val="16"/>
        </w:rPr>
        <w:t>información</w:t>
      </w:r>
      <w:r>
        <w:rPr>
          <w:spacing w:val="-18"/>
          <w:sz w:val="16"/>
        </w:rPr>
        <w:t> </w:t>
      </w:r>
      <w:r>
        <w:rPr>
          <w:sz w:val="16"/>
        </w:rPr>
        <w:t>de</w:t>
      </w:r>
      <w:r>
        <w:rPr>
          <w:spacing w:val="-18"/>
          <w:sz w:val="16"/>
        </w:rPr>
        <w:t> </w:t>
      </w:r>
      <w:r>
        <w:rPr>
          <w:sz w:val="16"/>
        </w:rPr>
        <w:t>la</w:t>
      </w:r>
      <w:r>
        <w:rPr>
          <w:spacing w:val="-18"/>
          <w:sz w:val="16"/>
        </w:rPr>
        <w:t> </w:t>
      </w:r>
      <w:r>
        <w:rPr>
          <w:sz w:val="16"/>
        </w:rPr>
        <w:t>ENOE,</w:t>
      </w:r>
      <w:r>
        <w:rPr>
          <w:spacing w:val="-18"/>
          <w:sz w:val="16"/>
        </w:rPr>
        <w:t> </w:t>
      </w:r>
      <w:r>
        <w:rPr>
          <w:sz w:val="16"/>
        </w:rPr>
        <w:t>2012,</w:t>
      </w:r>
      <w:r>
        <w:rPr>
          <w:spacing w:val="-18"/>
          <w:sz w:val="16"/>
        </w:rPr>
        <w:t> </w:t>
      </w:r>
      <w:r>
        <w:rPr>
          <w:sz w:val="16"/>
        </w:rPr>
        <w:t>segundo</w:t>
      </w:r>
      <w:r>
        <w:rPr>
          <w:spacing w:val="-18"/>
          <w:sz w:val="16"/>
        </w:rPr>
        <w:t> </w:t>
      </w:r>
      <w:r>
        <w:rPr>
          <w:sz w:val="16"/>
        </w:rPr>
        <w:t>trimestre. Leer</w:t>
      </w:r>
      <w:r>
        <w:rPr>
          <w:spacing w:val="-20"/>
          <w:sz w:val="16"/>
        </w:rPr>
        <w:t> </w:t>
      </w:r>
      <w:r>
        <w:rPr>
          <w:sz w:val="16"/>
        </w:rPr>
        <w:t>con</w:t>
      </w:r>
      <w:r>
        <w:rPr>
          <w:spacing w:val="-20"/>
          <w:sz w:val="16"/>
        </w:rPr>
        <w:t> </w:t>
      </w:r>
      <w:r>
        <w:rPr>
          <w:sz w:val="16"/>
        </w:rPr>
        <w:t>discreción</w:t>
      </w:r>
      <w:r>
        <w:rPr>
          <w:spacing w:val="-20"/>
          <w:sz w:val="16"/>
        </w:rPr>
        <w:t> </w:t>
      </w:r>
      <w:r>
        <w:rPr>
          <w:sz w:val="16"/>
        </w:rPr>
        <w:t>los</w:t>
      </w:r>
      <w:r>
        <w:rPr>
          <w:spacing w:val="-20"/>
          <w:sz w:val="16"/>
        </w:rPr>
        <w:t> </w:t>
      </w:r>
      <w:r>
        <w:rPr>
          <w:sz w:val="16"/>
        </w:rPr>
        <w:t>estimados</w:t>
      </w:r>
      <w:r>
        <w:rPr>
          <w:spacing w:val="-20"/>
          <w:sz w:val="16"/>
        </w:rPr>
        <w:t> </w:t>
      </w:r>
      <w:r>
        <w:rPr>
          <w:sz w:val="16"/>
        </w:rPr>
        <w:t>para</w:t>
      </w:r>
      <w:r>
        <w:rPr>
          <w:spacing w:val="-20"/>
          <w:sz w:val="16"/>
        </w:rPr>
        <w:t> </w:t>
      </w:r>
      <w:r>
        <w:rPr>
          <w:sz w:val="16"/>
        </w:rPr>
        <w:t>muestras</w:t>
      </w:r>
      <w:r>
        <w:rPr>
          <w:spacing w:val="-20"/>
          <w:sz w:val="16"/>
        </w:rPr>
        <w:t> </w:t>
      </w:r>
      <w:r>
        <w:rPr>
          <w:sz w:val="16"/>
        </w:rPr>
        <w:t>pequeñas.</w:t>
      </w:r>
    </w:p>
    <w:p>
      <w:pPr>
        <w:spacing w:after="0"/>
        <w:jc w:val="left"/>
        <w:rPr>
          <w:sz w:val="16"/>
        </w:rPr>
        <w:sectPr>
          <w:type w:val="continuous"/>
          <w:pgSz w:w="7770" w:h="11740"/>
          <w:pgMar w:top="0" w:bottom="0" w:left="940" w:right="660"/>
        </w:sectPr>
      </w:pPr>
    </w:p>
    <w:p>
      <w:pPr>
        <w:spacing w:line="252" w:lineRule="auto" w:before="53"/>
        <w:ind w:left="189" w:right="191" w:firstLine="0"/>
        <w:jc w:val="left"/>
        <w:rPr>
          <w:sz w:val="19"/>
        </w:rPr>
      </w:pPr>
      <w:r>
        <w:rPr/>
        <w:pict>
          <v:group style="position:absolute;margin-left:34.944786pt;margin-top:28.549183pt;width:308.05pt;height:.5pt;mso-position-horizontal-relative:page;mso-position-vertical-relative:paragraph;z-index:3736;mso-wrap-distance-left:0;mso-wrap-distance-right:0" coordorigin="699,571" coordsize="6161,10">
            <v:line style="position:absolute" from="704,576" to="1859,576" stroked="true" strokeweight=".48pt" strokecolor="#000000"/>
            <v:line style="position:absolute" from="1859,576" to="1867,576" stroked="true" strokeweight=".48pt" strokecolor="#000000"/>
            <v:line style="position:absolute" from="1867,576" to="2761,576" stroked="true" strokeweight=".48pt" strokecolor="#000000"/>
            <v:line style="position:absolute" from="2761,576" to="2769,576" stroked="true" strokeweight=".48pt" strokecolor="#000000"/>
            <v:line style="position:absolute" from="2769,576" to="3789,576" stroked="true" strokeweight=".48pt" strokecolor="#000000"/>
            <v:line style="position:absolute" from="3789,576" to="3798,576" stroked="true" strokeweight=".48pt" strokecolor="#000000"/>
            <v:line style="position:absolute" from="3798,576" to="4822,576" stroked="true" strokeweight=".48pt" strokecolor="#000000"/>
            <v:line style="position:absolute" from="4822,576" to="4830,576" stroked="true" strokeweight=".48pt" strokecolor="#000000"/>
            <v:line style="position:absolute" from="4830,576" to="5850,576" stroked="true" strokeweight=".48pt" strokecolor="#000000"/>
            <v:line style="position:absolute" from="5850,576" to="5859,576" stroked="true" strokeweight=".48pt" strokecolor="#000000"/>
            <v:line style="position:absolute" from="5859,576" to="6854,576" stroked="true" strokeweight=".48pt" strokecolor="#000000"/>
            <w10:wrap type="topAndBottom"/>
          </v:group>
        </w:pict>
      </w:r>
      <w:r>
        <w:rPr>
          <w:sz w:val="19"/>
        </w:rPr>
        <w:t>Cuadro</w:t>
      </w:r>
      <w:r>
        <w:rPr>
          <w:spacing w:val="-24"/>
          <w:sz w:val="19"/>
        </w:rPr>
        <w:t> </w:t>
      </w:r>
      <w:r>
        <w:rPr>
          <w:sz w:val="19"/>
        </w:rPr>
        <w:t>A.</w:t>
      </w:r>
      <w:r>
        <w:rPr>
          <w:spacing w:val="-25"/>
          <w:sz w:val="19"/>
        </w:rPr>
        <w:t> </w:t>
      </w:r>
      <w:r>
        <w:rPr>
          <w:sz w:val="19"/>
        </w:rPr>
        <w:t>2a.</w:t>
      </w:r>
      <w:r>
        <w:rPr>
          <w:spacing w:val="-25"/>
          <w:sz w:val="19"/>
        </w:rPr>
        <w:t> </w:t>
      </w:r>
      <w:r>
        <w:rPr>
          <w:sz w:val="19"/>
        </w:rPr>
        <w:t>Resultados</w:t>
      </w:r>
      <w:r>
        <w:rPr>
          <w:spacing w:val="-25"/>
          <w:sz w:val="19"/>
        </w:rPr>
        <w:t> </w:t>
      </w:r>
      <w:r>
        <w:rPr>
          <w:sz w:val="19"/>
        </w:rPr>
        <w:t>de</w:t>
      </w:r>
      <w:r>
        <w:rPr>
          <w:spacing w:val="-24"/>
          <w:sz w:val="19"/>
        </w:rPr>
        <w:t> </w:t>
      </w:r>
      <w:r>
        <w:rPr>
          <w:sz w:val="19"/>
        </w:rPr>
        <w:t>las</w:t>
      </w:r>
      <w:r>
        <w:rPr>
          <w:spacing w:val="-25"/>
          <w:sz w:val="19"/>
        </w:rPr>
        <w:t> </w:t>
      </w:r>
      <w:r>
        <w:rPr>
          <w:sz w:val="19"/>
        </w:rPr>
        <w:t>regresiones</w:t>
      </w:r>
      <w:r>
        <w:rPr>
          <w:spacing w:val="-25"/>
          <w:sz w:val="19"/>
        </w:rPr>
        <w:t> </w:t>
      </w:r>
      <w:r>
        <w:rPr>
          <w:sz w:val="19"/>
        </w:rPr>
        <w:t>medianas</w:t>
      </w:r>
      <w:r>
        <w:rPr>
          <w:spacing w:val="-25"/>
          <w:sz w:val="19"/>
        </w:rPr>
        <w:t> </w:t>
      </w:r>
      <w:r>
        <w:rPr>
          <w:sz w:val="19"/>
        </w:rPr>
        <w:t>del</w:t>
      </w:r>
      <w:r>
        <w:rPr>
          <w:spacing w:val="-25"/>
          <w:sz w:val="19"/>
        </w:rPr>
        <w:t> </w:t>
      </w:r>
      <w:r>
        <w:rPr>
          <w:sz w:val="19"/>
        </w:rPr>
        <w:t>logaritmo</w:t>
      </w:r>
      <w:r>
        <w:rPr>
          <w:spacing w:val="-24"/>
          <w:sz w:val="19"/>
        </w:rPr>
        <w:t> </w:t>
      </w:r>
      <w:r>
        <w:rPr>
          <w:sz w:val="19"/>
        </w:rPr>
        <w:t>de</w:t>
      </w:r>
      <w:r>
        <w:rPr>
          <w:spacing w:val="-24"/>
          <w:sz w:val="19"/>
        </w:rPr>
        <w:t> </w:t>
      </w:r>
      <w:r>
        <w:rPr>
          <w:sz w:val="19"/>
        </w:rPr>
        <w:t>los ingresos</w:t>
      </w:r>
      <w:r>
        <w:rPr>
          <w:spacing w:val="-30"/>
          <w:sz w:val="19"/>
        </w:rPr>
        <w:t> </w:t>
      </w:r>
      <w:r>
        <w:rPr>
          <w:sz w:val="19"/>
        </w:rPr>
        <w:t>laborales</w:t>
      </w:r>
      <w:r>
        <w:rPr>
          <w:spacing w:val="-30"/>
          <w:sz w:val="19"/>
        </w:rPr>
        <w:t> </w:t>
      </w:r>
      <w:r>
        <w:rPr>
          <w:sz w:val="19"/>
        </w:rPr>
        <w:t>por</w:t>
      </w:r>
      <w:r>
        <w:rPr>
          <w:spacing w:val="-30"/>
          <w:sz w:val="19"/>
        </w:rPr>
        <w:t> </w:t>
      </w:r>
      <w:r>
        <w:rPr>
          <w:sz w:val="19"/>
        </w:rPr>
        <w:t>hora</w:t>
      </w:r>
      <w:r>
        <w:rPr>
          <w:spacing w:val="-30"/>
          <w:sz w:val="19"/>
        </w:rPr>
        <w:t> </w:t>
      </w:r>
      <w:r>
        <w:rPr>
          <w:sz w:val="19"/>
        </w:rPr>
        <w:t>(PPA</w:t>
      </w:r>
      <w:r>
        <w:rPr>
          <w:spacing w:val="-30"/>
          <w:sz w:val="19"/>
        </w:rPr>
        <w:t> </w:t>
      </w:r>
      <w:r>
        <w:rPr>
          <w:sz w:val="19"/>
        </w:rPr>
        <w:t>USD).</w:t>
      </w:r>
      <w:r>
        <w:rPr>
          <w:spacing w:val="-30"/>
          <w:sz w:val="19"/>
        </w:rPr>
        <w:t> </w:t>
      </w:r>
      <w:r>
        <w:rPr>
          <w:sz w:val="19"/>
        </w:rPr>
        <w:t>México,</w:t>
      </w:r>
      <w:r>
        <w:rPr>
          <w:spacing w:val="-30"/>
          <w:sz w:val="19"/>
        </w:rPr>
        <w:t> </w:t>
      </w:r>
      <w:r>
        <w:rPr>
          <w:sz w:val="19"/>
        </w:rPr>
        <w:t>2012</w:t>
      </w:r>
    </w:p>
    <w:p>
      <w:pPr>
        <w:tabs>
          <w:tab w:pos="2095" w:val="left" w:leader="none"/>
          <w:tab w:pos="3124" w:val="left" w:leader="none"/>
          <w:tab w:pos="4156" w:val="left" w:leader="none"/>
          <w:tab w:pos="5185" w:val="left" w:leader="none"/>
        </w:tabs>
        <w:spacing w:before="0"/>
        <w:ind w:left="1129" w:right="0" w:firstLine="0"/>
        <w:jc w:val="center"/>
        <w:rPr>
          <w:sz w:val="19"/>
        </w:rPr>
      </w:pPr>
      <w:r>
        <w:rPr>
          <w:sz w:val="19"/>
        </w:rPr>
        <w:t>(1)</w:t>
        <w:tab/>
        <w:t>(2)</w:t>
        <w:tab/>
        <w:t>(3)</w:t>
        <w:tab/>
        <w:t>(4)</w:t>
        <w:tab/>
        <w:t>(5)</w:t>
      </w:r>
    </w:p>
    <w:p>
      <w:pPr>
        <w:tabs>
          <w:tab w:pos="2095" w:val="left" w:leader="none"/>
          <w:tab w:pos="3124" w:val="left" w:leader="none"/>
          <w:tab w:pos="4156" w:val="left" w:leader="none"/>
          <w:tab w:pos="5185" w:val="left" w:leader="none"/>
        </w:tabs>
        <w:spacing w:before="32"/>
        <w:ind w:left="1129" w:right="0" w:firstLine="0"/>
        <w:jc w:val="center"/>
        <w:rPr>
          <w:sz w:val="19"/>
        </w:rPr>
      </w:pPr>
      <w:r>
        <w:rPr/>
        <w:pict>
          <v:shape style="position:absolute;margin-left:106.657974pt;margin-top:1.597882pt;width:2.65pt;height:1.55pt;mso-position-horizontal-relative:page;mso-position-vertical-relative:paragraph;z-index:-334096" coordorigin="2133,32" coordsize="53,31" path="m2138,62l2133,56,2154,32,2166,32,2176,44,2159,44,2138,62xm2181,62l2160,44,2176,44,2186,56,2181,62xe" filled="true" fillcolor="#000000" stroked="false">
            <v:path arrowok="t"/>
            <v:fill type="solid"/>
            <w10:wrap type="none"/>
          </v:shape>
        </w:pict>
      </w:r>
      <w:r>
        <w:rPr/>
        <w:pict>
          <v:shape style="position:absolute;margin-left:155.026718pt;margin-top:1.597882pt;width:2.65pt;height:1.55pt;mso-position-horizontal-relative:page;mso-position-vertical-relative:paragraph;z-index:-334072" coordorigin="3101,32" coordsize="53,31" path="m3105,62l3101,56,3121,32,3133,32,3143,44,3126,44,3105,62xm3148,62l3127,44,3143,44,3153,56,3148,62xe" filled="true" fillcolor="#000000" stroked="false">
            <v:path arrowok="t"/>
            <v:fill type="solid"/>
            <w10:wrap type="none"/>
          </v:shape>
        </w:pict>
      </w:r>
      <w:r>
        <w:rPr/>
        <w:pict>
          <v:shape style="position:absolute;margin-left:206.446365pt;margin-top:1.597882pt;width:2.65pt;height:1.55pt;mso-position-horizontal-relative:page;mso-position-vertical-relative:paragraph;z-index:-334048" coordorigin="4129,32" coordsize="53,31" path="m4134,62l4129,56,4150,32,4162,32,4172,44,4155,44,4134,62xm4176,62l4156,44,4172,44,4181,56,4176,62xe" filled="true" fillcolor="#000000" stroked="false">
            <v:path arrowok="t"/>
            <v:fill type="solid"/>
            <w10:wrap type="none"/>
          </v:shape>
        </w:pict>
      </w:r>
      <w:r>
        <w:rPr/>
        <w:pict>
          <v:shape style="position:absolute;margin-left:258.083252pt;margin-top:1.597882pt;width:2.65pt;height:1.55pt;mso-position-horizontal-relative:page;mso-position-vertical-relative:paragraph;z-index:-334024" coordorigin="5162,32" coordsize="53,31" path="m5167,62l5162,56,5183,32,5194,32,5204,44,5187,44,5167,62xm5209,62l5188,44,5204,44,5214,56,5209,62xe" filled="true" fillcolor="#000000" stroked="false">
            <v:path arrowok="t"/>
            <v:fill type="solid"/>
            <w10:wrap type="none"/>
          </v:shape>
        </w:pict>
      </w:r>
      <w:r>
        <w:rPr/>
        <w:pict>
          <v:shape style="position:absolute;margin-left:309.502014pt;margin-top:1.597882pt;width:2.65pt;height:1.55pt;mso-position-horizontal-relative:page;mso-position-vertical-relative:paragraph;z-index:-334000" coordorigin="6190,32" coordsize="53,31" path="m6195,62l6190,56,6211,32,6223,32,6233,44,6216,44,6195,62xm6238,62l6217,44,6233,44,6243,56,6238,62xe" filled="true" fillcolor="#000000" stroked="false">
            <v:path arrowok="t"/>
            <v:fill type="solid"/>
            <w10:wrap type="none"/>
          </v:shape>
        </w:pict>
      </w:r>
      <w:r>
        <w:rPr>
          <w:rFonts w:ascii="Cambria Math" w:eastAsia="Cambria Math"/>
          <w:spacing w:val="-23"/>
          <w:w w:val="70"/>
          <w:sz w:val="19"/>
        </w:rPr>
        <w:t>𝛽𝛽</w:t>
      </w:r>
      <w:r>
        <w:rPr>
          <w:spacing w:val="-23"/>
          <w:w w:val="70"/>
          <w:sz w:val="19"/>
        </w:rPr>
        <w:t>/(ee)</w:t>
        <w:tab/>
      </w:r>
      <w:r>
        <w:rPr>
          <w:rFonts w:ascii="Cambria Math" w:eastAsia="Cambria Math"/>
          <w:spacing w:val="-23"/>
          <w:w w:val="70"/>
          <w:sz w:val="19"/>
        </w:rPr>
        <w:t>𝛽𝛽</w:t>
      </w:r>
      <w:r>
        <w:rPr>
          <w:spacing w:val="-23"/>
          <w:w w:val="70"/>
          <w:sz w:val="19"/>
        </w:rPr>
        <w:t>/(ee)</w:t>
        <w:tab/>
      </w:r>
      <w:r>
        <w:rPr>
          <w:rFonts w:ascii="Cambria Math" w:eastAsia="Cambria Math"/>
          <w:spacing w:val="-23"/>
          <w:w w:val="70"/>
          <w:sz w:val="19"/>
        </w:rPr>
        <w:t>𝛽𝛽</w:t>
      </w:r>
      <w:r>
        <w:rPr>
          <w:spacing w:val="-23"/>
          <w:w w:val="70"/>
          <w:sz w:val="19"/>
        </w:rPr>
        <w:t>/(ee)</w:t>
        <w:tab/>
      </w:r>
      <w:r>
        <w:rPr>
          <w:rFonts w:ascii="Cambria Math" w:eastAsia="Cambria Math"/>
          <w:spacing w:val="-23"/>
          <w:w w:val="70"/>
          <w:sz w:val="19"/>
        </w:rPr>
        <w:t>𝛽𝛽</w:t>
      </w:r>
      <w:r>
        <w:rPr>
          <w:spacing w:val="-23"/>
          <w:w w:val="70"/>
          <w:sz w:val="19"/>
        </w:rPr>
        <w:t>/(ee)</w:t>
        <w:tab/>
      </w:r>
      <w:r>
        <w:rPr>
          <w:rFonts w:ascii="Cambria Math" w:eastAsia="Cambria Math"/>
          <w:spacing w:val="-1"/>
          <w:w w:val="70"/>
          <w:sz w:val="19"/>
        </w:rPr>
        <w:t>𝛽𝛽</w:t>
      </w:r>
      <w:r>
        <w:rPr>
          <w:spacing w:val="-1"/>
          <w:w w:val="70"/>
          <w:sz w:val="19"/>
        </w:rPr>
        <w:t>/(ee)</w:t>
      </w:r>
    </w:p>
    <w:p>
      <w:pPr>
        <w:pStyle w:val="BodyText"/>
        <w:spacing w:line="20" w:lineRule="exact"/>
        <w:ind w:left="118"/>
        <w:rPr>
          <w:sz w:val="2"/>
        </w:rPr>
      </w:pPr>
      <w:r>
        <w:rPr>
          <w:sz w:val="2"/>
        </w:rPr>
        <w:pict>
          <v:group style="width:308.05pt;height:.5pt;mso-position-horizontal-relative:char;mso-position-vertical-relative:line" coordorigin="0,0" coordsize="6161,10">
            <v:line style="position:absolute" from="5,5" to="1160,5" stroked="true" strokeweight=".48pt" strokecolor="#000000"/>
            <v:line style="position:absolute" from="1160,5" to="1168,5" stroked="true" strokeweight=".48pt" strokecolor="#000000"/>
            <v:line style="position:absolute" from="1168,5" to="2062,5" stroked="true" strokeweight=".48pt" strokecolor="#000000"/>
            <v:line style="position:absolute" from="2062,5" to="2070,5" stroked="true" strokeweight=".48pt" strokecolor="#000000"/>
            <v:line style="position:absolute" from="2070,5" to="3090,5" stroked="true" strokeweight=".48pt" strokecolor="#000000"/>
            <v:line style="position:absolute" from="3090,5" to="3099,5" stroked="true" strokeweight=".48pt" strokecolor="#000000"/>
            <v:line style="position:absolute" from="3099,5" to="4123,5" stroked="true" strokeweight=".48pt" strokecolor="#000000"/>
            <v:line style="position:absolute" from="4123,5" to="4132,5" stroked="true" strokeweight=".48pt" strokecolor="#000000"/>
            <v:line style="position:absolute" from="4132,5" to="5151,5" stroked="true" strokeweight=".48pt" strokecolor="#000000"/>
            <v:line style="position:absolute" from="5151,5" to="5160,5" stroked="true" strokeweight=".48pt" strokecolor="#000000"/>
            <v:line style="position:absolute" from="5160,5" to="6155,5" stroked="true" strokeweight=".48pt" strokecolor="#000000"/>
          </v:group>
        </w:pict>
      </w:r>
      <w:r>
        <w:rPr>
          <w:sz w:val="2"/>
        </w:rPr>
      </w:r>
    </w:p>
    <w:p>
      <w:pPr>
        <w:spacing w:line="161" w:lineRule="exact" w:before="0"/>
        <w:ind w:left="189" w:right="191" w:firstLine="0"/>
        <w:jc w:val="left"/>
        <w:rPr>
          <w:sz w:val="19"/>
        </w:rPr>
      </w:pPr>
      <w:r>
        <w:rPr>
          <w:sz w:val="19"/>
        </w:rPr>
        <w:t>Otros</w:t>
      </w:r>
    </w:p>
    <w:p>
      <w:pPr>
        <w:tabs>
          <w:tab w:pos="1345" w:val="left" w:leader="none"/>
          <w:tab w:pos="2376" w:val="left" w:leader="none"/>
          <w:tab w:pos="3405" w:val="left" w:leader="none"/>
          <w:tab w:pos="4437" w:val="left" w:leader="none"/>
          <w:tab w:pos="5466" w:val="left" w:leader="none"/>
        </w:tabs>
        <w:spacing w:line="287" w:lineRule="exact" w:before="0"/>
        <w:ind w:left="1588" w:right="0" w:hanging="1399"/>
        <w:jc w:val="left"/>
        <w:rPr>
          <w:sz w:val="19"/>
        </w:rPr>
      </w:pPr>
      <w:r>
        <w:rPr>
          <w:position w:val="-11"/>
          <w:sz w:val="19"/>
        </w:rPr>
        <w:t>transables</w:t>
        <w:tab/>
      </w:r>
      <w:r>
        <w:rPr>
          <w:sz w:val="19"/>
        </w:rPr>
        <w:t>0.1054***</w:t>
        <w:tab/>
        <w:t>0.1054***</w:t>
        <w:tab/>
        <w:t>0.1102***</w:t>
        <w:tab/>
        <w:t>0.0439***</w:t>
        <w:tab/>
        <w:t>0.0266***</w:t>
      </w:r>
    </w:p>
    <w:p>
      <w:pPr>
        <w:tabs>
          <w:tab w:pos="2618" w:val="left" w:leader="none"/>
          <w:tab w:pos="3647" w:val="left" w:leader="none"/>
          <w:tab w:pos="4679" w:val="left" w:leader="none"/>
          <w:tab w:pos="5708" w:val="left" w:leader="none"/>
        </w:tabs>
        <w:spacing w:before="7"/>
        <w:ind w:left="1588" w:right="0" w:firstLine="0"/>
        <w:jc w:val="left"/>
        <w:rPr>
          <w:sz w:val="19"/>
        </w:rPr>
      </w:pPr>
      <w:r>
        <w:rPr>
          <w:sz w:val="19"/>
        </w:rPr>
        <w:t>(0.006)</w:t>
        <w:tab/>
        <w:t>(0.012)</w:t>
        <w:tab/>
        <w:t>(0.004)</w:t>
        <w:tab/>
        <w:t>(0.008)</w:t>
        <w:tab/>
        <w:t>(0.007)</w:t>
      </w:r>
    </w:p>
    <w:p>
      <w:pPr>
        <w:tabs>
          <w:tab w:pos="2376" w:val="left" w:leader="none"/>
          <w:tab w:pos="2618" w:val="left" w:leader="none"/>
          <w:tab w:pos="3405" w:val="left" w:leader="none"/>
          <w:tab w:pos="3647" w:val="left" w:leader="none"/>
          <w:tab w:pos="4437" w:val="left" w:leader="none"/>
          <w:tab w:pos="4679" w:val="left" w:leader="none"/>
          <w:tab w:pos="5466" w:val="left" w:leader="none"/>
          <w:tab w:pos="5708" w:val="left" w:leader="none"/>
        </w:tabs>
        <w:spacing w:line="252" w:lineRule="auto" w:before="12"/>
        <w:ind w:left="1588" w:right="146" w:hanging="1399"/>
        <w:jc w:val="left"/>
        <w:rPr>
          <w:sz w:val="19"/>
        </w:rPr>
      </w:pPr>
      <w:r>
        <w:rPr>
          <w:sz w:val="19"/>
        </w:rPr>
        <w:t>No</w:t>
      </w:r>
      <w:r>
        <w:rPr>
          <w:spacing w:val="-15"/>
          <w:sz w:val="19"/>
        </w:rPr>
        <w:t> </w:t>
      </w:r>
      <w:r>
        <w:rPr>
          <w:sz w:val="19"/>
        </w:rPr>
        <w:t>transables </w:t>
      </w:r>
      <w:r>
        <w:rPr>
          <w:spacing w:val="21"/>
          <w:sz w:val="19"/>
        </w:rPr>
        <w:t> </w:t>
      </w:r>
      <w:r>
        <w:rPr>
          <w:sz w:val="19"/>
        </w:rPr>
        <w:t>0.2877***</w:t>
        <w:tab/>
        <w:t>0.2546***</w:t>
        <w:tab/>
        <w:t>0.2242***</w:t>
        <w:tab/>
        <w:t>0.2135***</w:t>
        <w:tab/>
      </w:r>
      <w:r>
        <w:rPr>
          <w:w w:val="95"/>
          <w:sz w:val="19"/>
        </w:rPr>
        <w:t>0.2326*** </w:t>
      </w:r>
      <w:r>
        <w:rPr>
          <w:sz w:val="19"/>
        </w:rPr>
        <w:t>(0.007)</w:t>
        <w:tab/>
        <w:tab/>
        <w:t>(0.011)</w:t>
        <w:tab/>
        <w:tab/>
        <w:t>(0.007)</w:t>
        <w:tab/>
        <w:tab/>
        <w:t>(0.007)</w:t>
        <w:tab/>
        <w:tab/>
      </w:r>
      <w:r>
        <w:rPr>
          <w:w w:val="95"/>
          <w:sz w:val="19"/>
        </w:rPr>
        <w:t>(0.005)</w:t>
      </w:r>
    </w:p>
    <w:p>
      <w:pPr>
        <w:tabs>
          <w:tab w:pos="2316" w:val="left" w:leader="none"/>
          <w:tab w:pos="3647" w:val="left" w:leader="none"/>
          <w:tab w:pos="4377" w:val="left" w:leader="none"/>
          <w:tab w:pos="4679" w:val="left" w:leader="none"/>
          <w:tab w:pos="5708" w:val="left" w:leader="none"/>
        </w:tabs>
        <w:spacing w:line="252" w:lineRule="auto" w:before="1"/>
        <w:ind w:left="2618" w:right="146" w:hanging="2430"/>
        <w:jc w:val="left"/>
        <w:rPr>
          <w:sz w:val="19"/>
        </w:rPr>
      </w:pPr>
      <w:r>
        <w:rPr>
          <w:sz w:val="19"/>
        </w:rPr>
        <w:t>Mujer</w:t>
        <w:tab/>
        <w:t>-0.1086*** </w:t>
      </w:r>
      <w:r>
        <w:rPr>
          <w:spacing w:val="44"/>
          <w:sz w:val="19"/>
        </w:rPr>
        <w:t> </w:t>
      </w:r>
      <w:r>
        <w:rPr>
          <w:sz w:val="19"/>
        </w:rPr>
        <w:t>-0.1324***</w:t>
        <w:tab/>
        <w:t>-0.1517*** </w:t>
      </w:r>
      <w:r>
        <w:rPr>
          <w:spacing w:val="13"/>
          <w:sz w:val="19"/>
        </w:rPr>
        <w:t> </w:t>
      </w:r>
      <w:r>
        <w:rPr>
          <w:sz w:val="19"/>
        </w:rPr>
        <w:t>-0.1448***</w:t>
      </w:r>
      <w:r>
        <w:rPr>
          <w:spacing w:val="1"/>
          <w:w w:val="94"/>
          <w:sz w:val="19"/>
        </w:rPr>
        <w:t> </w:t>
      </w:r>
      <w:r>
        <w:rPr>
          <w:sz w:val="19"/>
        </w:rPr>
        <w:t>(0.009)</w:t>
        <w:tab/>
        <w:t>(0.004)</w:t>
        <w:tab/>
        <w:tab/>
        <w:t>(0.006)</w:t>
        <w:tab/>
      </w:r>
      <w:r>
        <w:rPr>
          <w:w w:val="95"/>
          <w:sz w:val="19"/>
        </w:rPr>
        <w:t>(0.005)</w:t>
      </w:r>
    </w:p>
    <w:p>
      <w:pPr>
        <w:tabs>
          <w:tab w:pos="3405" w:val="left" w:leader="none"/>
          <w:tab w:pos="4437" w:val="left" w:leader="none"/>
          <w:tab w:pos="4679" w:val="left" w:leader="none"/>
          <w:tab w:pos="5466" w:val="left" w:leader="none"/>
          <w:tab w:pos="5708" w:val="left" w:leader="none"/>
        </w:tabs>
        <w:spacing w:line="252" w:lineRule="auto" w:before="1"/>
        <w:ind w:left="3647" w:right="146" w:hanging="3459"/>
        <w:jc w:val="left"/>
        <w:rPr>
          <w:sz w:val="19"/>
        </w:rPr>
      </w:pPr>
      <w:r>
        <w:rPr>
          <w:sz w:val="19"/>
        </w:rPr>
        <w:t>Edad</w:t>
        <w:tab/>
        <w:t>0.0368***</w:t>
        <w:tab/>
        <w:t>0.0320***</w:t>
        <w:tab/>
      </w:r>
      <w:r>
        <w:rPr>
          <w:w w:val="95"/>
          <w:sz w:val="19"/>
        </w:rPr>
        <w:t>0.0314*** </w:t>
      </w:r>
      <w:r>
        <w:rPr>
          <w:sz w:val="19"/>
        </w:rPr>
        <w:t>(0.001)</w:t>
        <w:tab/>
        <w:tab/>
        <w:t>(0.001)</w:t>
        <w:tab/>
        <w:tab/>
      </w:r>
      <w:r>
        <w:rPr>
          <w:w w:val="95"/>
          <w:sz w:val="19"/>
        </w:rPr>
        <w:t>(0.001)</w:t>
      </w:r>
    </w:p>
    <w:p>
      <w:pPr>
        <w:tabs>
          <w:tab w:pos="3344" w:val="left" w:leader="none"/>
          <w:tab w:pos="4377" w:val="left" w:leader="none"/>
        </w:tabs>
        <w:spacing w:line="220" w:lineRule="exact" w:before="0"/>
        <w:ind w:left="3647" w:right="0" w:hanging="3459"/>
        <w:jc w:val="left"/>
        <w:rPr>
          <w:sz w:val="19"/>
        </w:rPr>
      </w:pPr>
      <w:r>
        <w:rPr>
          <w:sz w:val="19"/>
        </w:rPr>
        <w:t>Edad</w:t>
      </w:r>
      <w:r>
        <w:rPr>
          <w:position w:val="9"/>
          <w:sz w:val="13"/>
        </w:rPr>
        <w:t>2</w:t>
        <w:tab/>
      </w:r>
      <w:r>
        <w:rPr>
          <w:sz w:val="19"/>
        </w:rPr>
        <w:t>-0.0004***</w:t>
        <w:tab/>
        <w:t>-0.0003*** </w:t>
      </w:r>
      <w:r>
        <w:rPr>
          <w:spacing w:val="13"/>
          <w:sz w:val="19"/>
        </w:rPr>
        <w:t> </w:t>
      </w:r>
      <w:r>
        <w:rPr>
          <w:sz w:val="19"/>
        </w:rPr>
        <w:t>-0.0003***</w:t>
      </w:r>
    </w:p>
    <w:p>
      <w:pPr>
        <w:tabs>
          <w:tab w:pos="4679" w:val="left" w:leader="none"/>
          <w:tab w:pos="5708" w:val="left" w:leader="none"/>
        </w:tabs>
        <w:spacing w:before="7"/>
        <w:ind w:left="3647" w:right="0" w:firstLine="0"/>
        <w:jc w:val="left"/>
        <w:rPr>
          <w:sz w:val="19"/>
        </w:rPr>
      </w:pPr>
      <w:r>
        <w:rPr>
          <w:sz w:val="19"/>
        </w:rPr>
        <w:t>(0.000)</w:t>
        <w:tab/>
        <w:t>(0.000)</w:t>
        <w:tab/>
        <w:t>(0.000)</w:t>
      </w:r>
    </w:p>
    <w:p>
      <w:pPr>
        <w:spacing w:line="167" w:lineRule="exact" w:before="12"/>
        <w:ind w:left="189" w:right="191" w:firstLine="0"/>
        <w:jc w:val="left"/>
        <w:rPr>
          <w:sz w:val="19"/>
        </w:rPr>
      </w:pPr>
      <w:r>
        <w:rPr>
          <w:sz w:val="19"/>
        </w:rPr>
        <w:t>Años de</w:t>
      </w:r>
    </w:p>
    <w:p>
      <w:pPr>
        <w:tabs>
          <w:tab w:pos="4369" w:val="left" w:leader="none"/>
          <w:tab w:pos="5307" w:val="left" w:leader="none"/>
        </w:tabs>
        <w:spacing w:line="287" w:lineRule="exact" w:before="0"/>
        <w:ind w:left="0" w:right="147" w:firstLine="0"/>
        <w:jc w:val="right"/>
        <w:rPr>
          <w:sz w:val="19"/>
        </w:rPr>
      </w:pPr>
      <w:r>
        <w:rPr>
          <w:position w:val="-11"/>
          <w:sz w:val="19"/>
        </w:rPr>
        <w:t>escolaridad</w:t>
        <w:tab/>
      </w:r>
      <w:r>
        <w:rPr>
          <w:sz w:val="19"/>
        </w:rPr>
        <w:t>-0.0036*</w:t>
        <w:tab/>
      </w:r>
      <w:r>
        <w:rPr>
          <w:w w:val="90"/>
          <w:sz w:val="19"/>
        </w:rPr>
        <w:t>-0.0066**</w:t>
      </w:r>
    </w:p>
    <w:p>
      <w:pPr>
        <w:tabs>
          <w:tab w:pos="1028" w:val="left" w:leader="none"/>
        </w:tabs>
        <w:spacing w:before="7"/>
        <w:ind w:left="0" w:right="146" w:firstLine="0"/>
        <w:jc w:val="right"/>
        <w:rPr>
          <w:sz w:val="19"/>
        </w:rPr>
      </w:pPr>
      <w:r>
        <w:rPr>
          <w:sz w:val="19"/>
        </w:rPr>
        <w:t>(0.002)</w:t>
        <w:tab/>
      </w:r>
      <w:r>
        <w:rPr>
          <w:w w:val="90"/>
          <w:sz w:val="19"/>
        </w:rPr>
        <w:t>(0.002)</w:t>
      </w:r>
    </w:p>
    <w:p>
      <w:pPr>
        <w:spacing w:line="167" w:lineRule="exact" w:before="12"/>
        <w:ind w:left="189" w:right="191" w:firstLine="0"/>
        <w:jc w:val="left"/>
        <w:rPr>
          <w:sz w:val="19"/>
        </w:rPr>
      </w:pPr>
      <w:r>
        <w:rPr>
          <w:sz w:val="19"/>
        </w:rPr>
        <w:t>Años de</w:t>
      </w:r>
    </w:p>
    <w:p>
      <w:pPr>
        <w:tabs>
          <w:tab w:pos="4248" w:val="left" w:leader="none"/>
          <w:tab w:pos="5276" w:val="left" w:leader="none"/>
        </w:tabs>
        <w:spacing w:line="287" w:lineRule="exact" w:before="0"/>
        <w:ind w:left="0" w:right="147" w:firstLine="0"/>
        <w:jc w:val="right"/>
        <w:rPr>
          <w:sz w:val="19"/>
        </w:rPr>
      </w:pPr>
      <w:r>
        <w:rPr>
          <w:position w:val="-11"/>
          <w:sz w:val="19"/>
        </w:rPr>
        <w:t>escolaridad</w:t>
      </w:r>
      <w:r>
        <w:rPr>
          <w:position w:val="-1"/>
          <w:sz w:val="13"/>
        </w:rPr>
        <w:t>2</w:t>
        <w:tab/>
      </w:r>
      <w:r>
        <w:rPr>
          <w:sz w:val="19"/>
        </w:rPr>
        <w:t>0.0033***</w:t>
        <w:tab/>
      </w:r>
      <w:r>
        <w:rPr>
          <w:w w:val="95"/>
          <w:sz w:val="19"/>
        </w:rPr>
        <w:t>0.0034***</w:t>
      </w:r>
    </w:p>
    <w:p>
      <w:pPr>
        <w:tabs>
          <w:tab w:pos="1028" w:val="left" w:leader="none"/>
        </w:tabs>
        <w:spacing w:before="7"/>
        <w:ind w:left="0" w:right="146" w:firstLine="0"/>
        <w:jc w:val="right"/>
        <w:rPr>
          <w:sz w:val="19"/>
        </w:rPr>
      </w:pPr>
      <w:r>
        <w:rPr>
          <w:sz w:val="19"/>
        </w:rPr>
        <w:t>(0.000)</w:t>
        <w:tab/>
      </w:r>
      <w:r>
        <w:rPr>
          <w:w w:val="90"/>
          <w:sz w:val="19"/>
        </w:rPr>
        <w:t>(0.000)</w:t>
      </w:r>
    </w:p>
    <w:p>
      <w:pPr>
        <w:tabs>
          <w:tab w:pos="5307" w:val="left" w:leader="none"/>
        </w:tabs>
        <w:spacing w:before="12"/>
        <w:ind w:left="0" w:right="147" w:firstLine="0"/>
        <w:jc w:val="right"/>
        <w:rPr>
          <w:sz w:val="19"/>
        </w:rPr>
      </w:pPr>
      <w:r>
        <w:rPr>
          <w:sz w:val="19"/>
        </w:rPr>
        <w:t>Noreste</w:t>
        <w:tab/>
      </w:r>
      <w:r>
        <w:rPr>
          <w:w w:val="90"/>
          <w:sz w:val="19"/>
        </w:rPr>
        <w:t>-0.0191**</w:t>
      </w:r>
    </w:p>
    <w:p>
      <w:pPr>
        <w:spacing w:before="12"/>
        <w:ind w:left="0" w:right="146" w:firstLine="0"/>
        <w:jc w:val="right"/>
        <w:rPr>
          <w:sz w:val="19"/>
        </w:rPr>
      </w:pPr>
      <w:r>
        <w:rPr>
          <w:w w:val="90"/>
          <w:sz w:val="19"/>
        </w:rPr>
        <w:t>(0.008)</w:t>
      </w:r>
    </w:p>
    <w:p>
      <w:pPr>
        <w:tabs>
          <w:tab w:pos="5216" w:val="left" w:leader="none"/>
        </w:tabs>
        <w:spacing w:before="12"/>
        <w:ind w:left="0" w:right="147" w:firstLine="0"/>
        <w:jc w:val="right"/>
        <w:rPr>
          <w:sz w:val="19"/>
        </w:rPr>
      </w:pPr>
      <w:r>
        <w:rPr>
          <w:sz w:val="19"/>
        </w:rPr>
        <w:t>Occidente</w:t>
        <w:tab/>
      </w:r>
      <w:r>
        <w:rPr>
          <w:w w:val="90"/>
          <w:sz w:val="19"/>
        </w:rPr>
        <w:t>-0.0558***</w:t>
      </w:r>
    </w:p>
    <w:p>
      <w:pPr>
        <w:spacing w:before="12"/>
        <w:ind w:left="0" w:right="146" w:firstLine="0"/>
        <w:jc w:val="right"/>
        <w:rPr>
          <w:sz w:val="19"/>
        </w:rPr>
      </w:pPr>
      <w:r>
        <w:rPr>
          <w:w w:val="90"/>
          <w:sz w:val="19"/>
        </w:rPr>
        <w:t>(0.008)</w:t>
      </w:r>
    </w:p>
    <w:p>
      <w:pPr>
        <w:tabs>
          <w:tab w:pos="5216" w:val="left" w:leader="none"/>
        </w:tabs>
        <w:spacing w:before="12"/>
        <w:ind w:left="0" w:right="147" w:firstLine="0"/>
        <w:jc w:val="right"/>
        <w:rPr>
          <w:sz w:val="19"/>
        </w:rPr>
      </w:pPr>
      <w:r>
        <w:rPr>
          <w:sz w:val="19"/>
        </w:rPr>
        <w:t>Oriente</w:t>
        <w:tab/>
      </w:r>
      <w:r>
        <w:rPr>
          <w:w w:val="90"/>
          <w:sz w:val="19"/>
        </w:rPr>
        <w:t>-0.2514***</w:t>
      </w:r>
    </w:p>
    <w:p>
      <w:pPr>
        <w:spacing w:before="7"/>
        <w:ind w:left="0" w:right="146" w:firstLine="0"/>
        <w:jc w:val="right"/>
        <w:rPr>
          <w:sz w:val="19"/>
        </w:rPr>
      </w:pPr>
      <w:r>
        <w:rPr>
          <w:w w:val="90"/>
          <w:sz w:val="19"/>
        </w:rPr>
        <w:t>(0.009)</w:t>
      </w:r>
    </w:p>
    <w:p>
      <w:pPr>
        <w:tabs>
          <w:tab w:pos="5216" w:val="left" w:leader="none"/>
        </w:tabs>
        <w:spacing w:before="12"/>
        <w:ind w:left="0" w:right="147" w:firstLine="0"/>
        <w:jc w:val="right"/>
        <w:rPr>
          <w:sz w:val="19"/>
        </w:rPr>
      </w:pPr>
      <w:r>
        <w:rPr>
          <w:sz w:val="19"/>
        </w:rPr>
        <w:t>Centronorte</w:t>
        <w:tab/>
      </w:r>
      <w:r>
        <w:rPr>
          <w:w w:val="90"/>
          <w:sz w:val="19"/>
        </w:rPr>
        <w:t>-0.0900***</w:t>
      </w:r>
    </w:p>
    <w:p>
      <w:pPr>
        <w:spacing w:before="12"/>
        <w:ind w:left="0" w:right="146" w:firstLine="0"/>
        <w:jc w:val="right"/>
        <w:rPr>
          <w:sz w:val="19"/>
        </w:rPr>
      </w:pPr>
      <w:r>
        <w:rPr>
          <w:w w:val="90"/>
          <w:sz w:val="19"/>
        </w:rPr>
        <w:t>(0.004)</w:t>
      </w:r>
    </w:p>
    <w:p>
      <w:pPr>
        <w:tabs>
          <w:tab w:pos="5216" w:val="left" w:leader="none"/>
        </w:tabs>
        <w:spacing w:before="12"/>
        <w:ind w:left="0" w:right="147" w:firstLine="0"/>
        <w:jc w:val="right"/>
        <w:rPr>
          <w:sz w:val="19"/>
        </w:rPr>
      </w:pPr>
      <w:r>
        <w:rPr>
          <w:sz w:val="19"/>
        </w:rPr>
        <w:t>Centrosur</w:t>
        <w:tab/>
      </w:r>
      <w:r>
        <w:rPr>
          <w:w w:val="90"/>
          <w:sz w:val="19"/>
        </w:rPr>
        <w:t>-0.1380***</w:t>
      </w:r>
    </w:p>
    <w:p>
      <w:pPr>
        <w:spacing w:before="12" w:after="7"/>
        <w:ind w:left="0" w:right="146" w:firstLine="0"/>
        <w:jc w:val="right"/>
        <w:rPr>
          <w:sz w:val="19"/>
        </w:rPr>
      </w:pPr>
      <w:r>
        <w:rPr>
          <w:w w:val="90"/>
          <w:sz w:val="19"/>
        </w:rPr>
        <w:t>(0.008)</w:t>
      </w:r>
    </w:p>
    <w:p>
      <w:pPr>
        <w:pStyle w:val="BodyText"/>
        <w:spacing w:line="20" w:lineRule="exact"/>
        <w:ind w:left="118"/>
        <w:rPr>
          <w:sz w:val="2"/>
        </w:rPr>
      </w:pPr>
      <w:r>
        <w:rPr>
          <w:sz w:val="2"/>
        </w:rPr>
        <w:pict>
          <v:group style="width:308.05pt;height:.5pt;mso-position-horizontal-relative:char;mso-position-vertical-relative:line" coordorigin="0,0" coordsize="6161,10">
            <v:line style="position:absolute" from="5,5" to="1160,5" stroked="true" strokeweight=".48pt" strokecolor="#000000"/>
            <v:line style="position:absolute" from="1160,5" to="1168,5" stroked="true" strokeweight=".48pt" strokecolor="#000000"/>
            <v:line style="position:absolute" from="1168,5" to="2062,5" stroked="true" strokeweight=".48pt" strokecolor="#000000"/>
            <v:line style="position:absolute" from="2062,5" to="2070,5" stroked="true" strokeweight=".48pt" strokecolor="#000000"/>
            <v:line style="position:absolute" from="2070,5" to="3090,5" stroked="true" strokeweight=".48pt" strokecolor="#000000"/>
            <v:line style="position:absolute" from="3090,5" to="3099,5" stroked="true" strokeweight=".48pt" strokecolor="#000000"/>
            <v:line style="position:absolute" from="3099,5" to="4036,5" stroked="true" strokeweight=".48pt" strokecolor="#000000"/>
            <v:line style="position:absolute" from="4036,5" to="4044,5" stroked="true" strokeweight=".48pt" strokecolor="#000000"/>
            <v:line style="position:absolute" from="4044,5" to="5151,5" stroked="true" strokeweight=".48pt" strokecolor="#000000"/>
            <v:line style="position:absolute" from="5151,5" to="5160,5" stroked="true" strokeweight=".48pt" strokecolor="#000000"/>
            <v:line style="position:absolute" from="5160,5" to="6155,5" stroked="true" strokeweight=".48pt" strokecolor="#000000"/>
          </v:group>
        </w:pict>
      </w:r>
      <w:r>
        <w:rPr>
          <w:sz w:val="2"/>
        </w:rPr>
      </w:r>
    </w:p>
    <w:p>
      <w:pPr>
        <w:spacing w:line="172" w:lineRule="exact" w:before="0"/>
        <w:ind w:left="189" w:right="191" w:firstLine="0"/>
        <w:jc w:val="left"/>
        <w:rPr>
          <w:sz w:val="16"/>
        </w:rPr>
      </w:pPr>
      <w:r>
        <w:rPr>
          <w:w w:val="90"/>
          <w:sz w:val="16"/>
        </w:rPr>
        <w:t>Errores estándar en paréntesis (boostrap, 50).</w:t>
      </w:r>
    </w:p>
    <w:p>
      <w:pPr>
        <w:spacing w:line="183" w:lineRule="exact" w:before="0"/>
        <w:ind w:left="189" w:right="191" w:firstLine="0"/>
        <w:jc w:val="left"/>
        <w:rPr>
          <w:sz w:val="16"/>
        </w:rPr>
      </w:pPr>
      <w:r>
        <w:rPr>
          <w:w w:val="90"/>
          <w:sz w:val="16"/>
        </w:rPr>
        <w:t>Fuente: estimaciones propias con información de la ENOE, 2012, segundo. trimestre.</w:t>
      </w:r>
    </w:p>
    <w:p>
      <w:pPr>
        <w:spacing w:before="3"/>
        <w:ind w:left="189" w:right="191" w:firstLine="0"/>
        <w:jc w:val="left"/>
        <w:rPr>
          <w:sz w:val="16"/>
        </w:rPr>
      </w:pPr>
      <w:r>
        <w:rPr>
          <w:sz w:val="16"/>
        </w:rPr>
        <w:t>* p &lt; 0.10 ** p &lt; 0.05 *** p &lt; 0.001.</w:t>
      </w:r>
    </w:p>
    <w:p>
      <w:pPr>
        <w:spacing w:after="0"/>
        <w:jc w:val="left"/>
        <w:rPr>
          <w:sz w:val="16"/>
        </w:rPr>
        <w:sectPr>
          <w:footerReference w:type="default" r:id="rId147"/>
          <w:pgSz w:w="7770" w:h="11740"/>
          <w:pgMar w:footer="474" w:header="0" w:top="960" w:bottom="660" w:left="580" w:right="800"/>
          <w:pgNumType w:start="116"/>
        </w:sectPr>
      </w:pPr>
    </w:p>
    <w:p>
      <w:pPr>
        <w:spacing w:line="252" w:lineRule="auto" w:before="56"/>
        <w:ind w:left="203" w:right="240" w:firstLine="0"/>
        <w:jc w:val="left"/>
        <w:rPr>
          <w:sz w:val="19"/>
        </w:rPr>
      </w:pPr>
      <w:r>
        <w:rPr/>
        <w:pict>
          <v:group style="position:absolute;margin-left:59.312pt;margin-top:28.699327pt;width:283.95pt;height:.5pt;mso-position-horizontal-relative:page;mso-position-vertical-relative:paragraph;z-index:3928;mso-wrap-distance-left:0;mso-wrap-distance-right:0" coordorigin="1186,574" coordsize="5679,10">
            <v:line style="position:absolute" from="1191,579" to="2535,579" stroked="true" strokeweight=".48pt" strokecolor="#000000"/>
            <v:line style="position:absolute" from="2535,579" to="2545,579" stroked="true" strokeweight=".48pt" strokecolor="#000000"/>
            <v:line style="position:absolute" from="2545,579" to="3596,579" stroked="true" strokeweight=".48pt" strokecolor="#000000"/>
            <v:line style="position:absolute" from="3596,579" to="3606,579" stroked="true" strokeweight=".48pt" strokecolor="#000000"/>
            <v:line style="position:absolute" from="3606,579" to="4652,579" stroked="true" strokeweight=".48pt" strokecolor="#000000"/>
            <v:line style="position:absolute" from="4652,579" to="4662,579" stroked="true" strokeweight=".48pt" strokecolor="#000000"/>
            <v:line style="position:absolute" from="4662,579" to="5708,579" stroked="true" strokeweight=".48pt" strokecolor="#000000"/>
            <v:line style="position:absolute" from="5708,579" to="5718,579" stroked="true" strokeweight=".48pt" strokecolor="#000000"/>
            <v:line style="position:absolute" from="5718,579" to="6860,579" stroked="true" strokeweight=".48pt" strokecolor="#000000"/>
            <w10:wrap type="topAndBottom"/>
          </v:group>
        </w:pict>
      </w:r>
      <w:r>
        <w:rPr>
          <w:w w:val="105"/>
          <w:sz w:val="19"/>
        </w:rPr>
        <w:t>Cuadro A. 2b. Resultados de las regresiones medianas del logaritmo de los ingresos laborales por hora (PPA USD). México, 2012</w:t>
      </w:r>
    </w:p>
    <w:p>
      <w:pPr>
        <w:tabs>
          <w:tab w:pos="2383" w:val="left" w:leader="none"/>
          <w:tab w:pos="3439" w:val="left" w:leader="none"/>
          <w:tab w:pos="4542" w:val="left" w:leader="none"/>
        </w:tabs>
        <w:spacing w:before="0"/>
        <w:ind w:left="1323" w:right="0" w:firstLine="0"/>
        <w:jc w:val="center"/>
        <w:rPr>
          <w:sz w:val="19"/>
        </w:rPr>
      </w:pPr>
      <w:r>
        <w:rPr>
          <w:w w:val="105"/>
          <w:sz w:val="19"/>
        </w:rPr>
        <w:t>(6)</w:t>
        <w:tab/>
        <w:t>(7)</w:t>
        <w:tab/>
        <w:t>(8)</w:t>
        <w:tab/>
        <w:t>(9)</w:t>
      </w:r>
    </w:p>
    <w:p>
      <w:pPr>
        <w:tabs>
          <w:tab w:pos="2383" w:val="left" w:leader="none"/>
          <w:tab w:pos="3439" w:val="left" w:leader="none"/>
          <w:tab w:pos="4542" w:val="left" w:leader="none"/>
        </w:tabs>
        <w:spacing w:before="32"/>
        <w:ind w:left="1323" w:right="0" w:firstLine="0"/>
        <w:jc w:val="center"/>
        <w:rPr>
          <w:sz w:val="19"/>
        </w:rPr>
      </w:pPr>
      <w:r>
        <w:rPr/>
        <w:pict>
          <v:shape style="position:absolute;margin-left:143.561707pt;margin-top:1.598365pt;width:2.9pt;height:1.55pt;mso-position-horizontal-relative:page;mso-position-vertical-relative:paragraph;z-index:-333928" coordorigin="2871,32" coordsize="58,31" path="m2907,32l2894,32,2871,56,2877,62,2900,44,2918,44,2907,32xm2918,44l2901,44,2924,62,2929,56,2918,44xe" filled="true" fillcolor="#000000" stroked="false">
            <v:path arrowok="t"/>
            <v:fill type="solid"/>
            <w10:wrap type="none"/>
          </v:shape>
        </w:pict>
      </w:r>
      <w:r>
        <w:rPr/>
        <w:pict>
          <v:shape style="position:absolute;margin-left:196.6017pt;margin-top:1.598365pt;width:2.9pt;height:1.55pt;mso-position-horizontal-relative:page;mso-position-vertical-relative:paragraph;z-index:-333904" coordorigin="3932,32" coordsize="58,31" path="m3968,32l3955,32,3932,56,3937,62,3960,44,3979,44,3968,32xm3979,44l3962,44,3984,62,3990,56,3979,44xe" filled="true" fillcolor="#000000" stroked="false">
            <v:path arrowok="t"/>
            <v:fill type="solid"/>
            <w10:wrap type="none"/>
          </v:shape>
        </w:pict>
      </w:r>
      <w:r>
        <w:rPr/>
        <w:pict>
          <v:shape style="position:absolute;margin-left:249.401703pt;margin-top:1.598365pt;width:2.9pt;height:1.55pt;mso-position-horizontal-relative:page;mso-position-vertical-relative:paragraph;z-index:-333880" coordorigin="4988,32" coordsize="58,31" path="m5024,32l5011,32,4988,56,4993,62,5016,44,5035,44,5024,32xm5035,44l5018,44,5040,62,5046,56,5035,44xe" filled="true" fillcolor="#000000" stroked="false">
            <v:path arrowok="t"/>
            <v:fill type="solid"/>
            <w10:wrap type="none"/>
          </v:shape>
        </w:pict>
      </w:r>
      <w:r>
        <w:rPr/>
        <w:pict>
          <v:shape style="position:absolute;margin-left:304.601715pt;margin-top:1.598365pt;width:2.9pt;height:1.55pt;mso-position-horizontal-relative:page;mso-position-vertical-relative:paragraph;z-index:-333856" coordorigin="6092,32" coordsize="58,31" path="m6128,32l6115,32,6092,56,6097,62,6120,44,6139,44,6128,32xm6139,44l6122,44,6144,62,6150,56,6139,44xe" filled="true" fillcolor="#000000" stroked="false">
            <v:path arrowok="t"/>
            <v:fill type="solid"/>
            <w10:wrap type="none"/>
          </v:shape>
        </w:pict>
      </w:r>
      <w:r>
        <w:rPr>
          <w:rFonts w:ascii="Cambria Math" w:eastAsia="Cambria Math"/>
          <w:spacing w:val="-27"/>
          <w:w w:val="80"/>
          <w:sz w:val="19"/>
        </w:rPr>
        <w:t>𝛽𝛽</w:t>
      </w:r>
      <w:r>
        <w:rPr>
          <w:spacing w:val="-27"/>
          <w:w w:val="80"/>
          <w:sz w:val="19"/>
        </w:rPr>
        <w:t>/(ee)</w:t>
        <w:tab/>
      </w:r>
      <w:r>
        <w:rPr>
          <w:rFonts w:ascii="Cambria Math" w:eastAsia="Cambria Math"/>
          <w:spacing w:val="-27"/>
          <w:w w:val="80"/>
          <w:sz w:val="19"/>
        </w:rPr>
        <w:t>𝛽𝛽</w:t>
      </w:r>
      <w:r>
        <w:rPr>
          <w:spacing w:val="-27"/>
          <w:w w:val="80"/>
          <w:sz w:val="19"/>
        </w:rPr>
        <w:t>/(ee)</w:t>
        <w:tab/>
      </w:r>
      <w:r>
        <w:rPr>
          <w:rFonts w:ascii="Cambria Math" w:eastAsia="Cambria Math"/>
          <w:spacing w:val="-27"/>
          <w:w w:val="80"/>
          <w:sz w:val="19"/>
        </w:rPr>
        <w:t>𝛽𝛽</w:t>
      </w:r>
      <w:r>
        <w:rPr>
          <w:spacing w:val="-27"/>
          <w:w w:val="80"/>
          <w:sz w:val="19"/>
        </w:rPr>
        <w:t>/(ee)</w:t>
        <w:tab/>
      </w:r>
      <w:r>
        <w:rPr>
          <w:rFonts w:ascii="Cambria Math" w:eastAsia="Cambria Math"/>
          <w:spacing w:val="1"/>
          <w:w w:val="80"/>
          <w:sz w:val="19"/>
        </w:rPr>
        <w:t>𝛽𝛽</w:t>
      </w:r>
      <w:r>
        <w:rPr>
          <w:spacing w:val="1"/>
          <w:w w:val="80"/>
          <w:sz w:val="19"/>
        </w:rPr>
        <w:t>/(ee)</w:t>
      </w:r>
    </w:p>
    <w:p>
      <w:pPr>
        <w:pStyle w:val="BodyText"/>
        <w:spacing w:line="20" w:lineRule="exact"/>
        <w:ind w:left="126"/>
        <w:rPr>
          <w:sz w:val="2"/>
        </w:rPr>
      </w:pPr>
      <w:r>
        <w:rPr>
          <w:sz w:val="2"/>
        </w:rPr>
        <w:pict>
          <v:group style="width:283.95pt;height:.5pt;mso-position-horizontal-relative:char;mso-position-vertical-relative:line" coordorigin="0,0" coordsize="5679,10">
            <v:line style="position:absolute" from="5,5" to="1349,5" stroked="true" strokeweight=".481pt" strokecolor="#000000"/>
            <v:line style="position:absolute" from="1349,5" to="1359,5" stroked="true" strokeweight=".481pt" strokecolor="#000000"/>
            <v:line style="position:absolute" from="1359,5" to="2410,5" stroked="true" strokeweight=".481pt" strokecolor="#000000"/>
            <v:line style="position:absolute" from="2410,5" to="2419,5" stroked="true" strokeweight=".481pt" strokecolor="#000000"/>
            <v:line style="position:absolute" from="2419,5" to="3466,5" stroked="true" strokeweight=".481pt" strokecolor="#000000"/>
            <v:line style="position:absolute" from="3466,5" to="3475,5" stroked="true" strokeweight=".481pt" strokecolor="#000000"/>
            <v:line style="position:absolute" from="3475,5" to="4522,5" stroked="true" strokeweight=".481pt" strokecolor="#000000"/>
            <v:line style="position:absolute" from="4522,5" to="4531,5" stroked="true" strokeweight=".481pt" strokecolor="#000000"/>
            <v:line style="position:absolute" from="4531,5" to="5674,5" stroked="true" strokeweight=".481pt" strokecolor="#000000"/>
          </v:group>
        </w:pict>
      </w:r>
      <w:r>
        <w:rPr>
          <w:sz w:val="2"/>
        </w:rPr>
      </w:r>
    </w:p>
    <w:p>
      <w:pPr>
        <w:spacing w:line="161" w:lineRule="exact" w:before="0"/>
        <w:ind w:left="203" w:right="240" w:firstLine="0"/>
        <w:jc w:val="left"/>
        <w:rPr>
          <w:sz w:val="19"/>
        </w:rPr>
      </w:pPr>
      <w:r>
        <w:rPr>
          <w:w w:val="105"/>
          <w:sz w:val="19"/>
        </w:rPr>
        <w:t>Otros</w:t>
      </w:r>
    </w:p>
    <w:p>
      <w:pPr>
        <w:tabs>
          <w:tab w:pos="1847" w:val="left" w:leader="none"/>
          <w:tab w:pos="4813" w:val="left" w:leader="none"/>
        </w:tabs>
        <w:spacing w:line="287" w:lineRule="exact" w:before="0"/>
        <w:ind w:left="203" w:right="0" w:firstLine="0"/>
        <w:jc w:val="left"/>
        <w:rPr>
          <w:sz w:val="19"/>
        </w:rPr>
      </w:pPr>
      <w:r>
        <w:rPr>
          <w:w w:val="105"/>
          <w:position w:val="-11"/>
          <w:sz w:val="19"/>
        </w:rPr>
        <w:t>transables</w:t>
        <w:tab/>
      </w:r>
      <w:r>
        <w:rPr>
          <w:w w:val="105"/>
          <w:sz w:val="19"/>
        </w:rPr>
        <w:t>-0.0078 </w:t>
      </w:r>
      <w:r>
        <w:rPr>
          <w:spacing w:val="41"/>
          <w:w w:val="105"/>
          <w:sz w:val="19"/>
        </w:rPr>
        <w:t> </w:t>
      </w:r>
      <w:r>
        <w:rPr>
          <w:w w:val="105"/>
          <w:sz w:val="19"/>
        </w:rPr>
        <w:t>-0.0583*** </w:t>
      </w:r>
      <w:r>
        <w:rPr>
          <w:spacing w:val="37"/>
          <w:w w:val="105"/>
          <w:sz w:val="19"/>
        </w:rPr>
        <w:t> </w:t>
      </w:r>
      <w:r>
        <w:rPr>
          <w:w w:val="105"/>
          <w:sz w:val="19"/>
        </w:rPr>
        <w:t>-0.0538***</w:t>
        <w:tab/>
        <w:t>-0.0425***</w:t>
      </w:r>
    </w:p>
    <w:p>
      <w:pPr>
        <w:tabs>
          <w:tab w:pos="2941" w:val="left" w:leader="none"/>
          <w:tab w:pos="3997" w:val="left" w:leader="none"/>
          <w:tab w:pos="5147" w:val="left" w:leader="none"/>
        </w:tabs>
        <w:spacing w:before="7"/>
        <w:ind w:left="1881" w:right="0" w:firstLine="0"/>
        <w:jc w:val="left"/>
        <w:rPr>
          <w:sz w:val="19"/>
        </w:rPr>
      </w:pPr>
      <w:r>
        <w:rPr>
          <w:w w:val="105"/>
          <w:sz w:val="19"/>
        </w:rPr>
        <w:t>(0.010)</w:t>
        <w:tab/>
        <w:t>(0.008)</w:t>
        <w:tab/>
        <w:t>(0.006)</w:t>
        <w:tab/>
        <w:t>(0.008)</w:t>
      </w:r>
    </w:p>
    <w:p>
      <w:pPr>
        <w:tabs>
          <w:tab w:pos="1614" w:val="left" w:leader="none"/>
          <w:tab w:pos="2674" w:val="left" w:leader="none"/>
          <w:tab w:pos="3730" w:val="left" w:leader="none"/>
          <w:tab w:pos="4880" w:val="left" w:leader="none"/>
        </w:tabs>
        <w:spacing w:before="12"/>
        <w:ind w:left="203" w:right="0" w:firstLine="0"/>
        <w:jc w:val="left"/>
        <w:rPr>
          <w:sz w:val="19"/>
        </w:rPr>
      </w:pPr>
      <w:r>
        <w:rPr>
          <w:w w:val="105"/>
          <w:sz w:val="19"/>
        </w:rPr>
        <w:t>No</w:t>
      </w:r>
      <w:r>
        <w:rPr>
          <w:spacing w:val="-1"/>
          <w:w w:val="105"/>
          <w:sz w:val="19"/>
        </w:rPr>
        <w:t> </w:t>
      </w:r>
      <w:r>
        <w:rPr>
          <w:w w:val="105"/>
          <w:sz w:val="19"/>
        </w:rPr>
        <w:t>transables</w:t>
        <w:tab/>
        <w:t>0.1979***</w:t>
        <w:tab/>
        <w:t>0.1739***</w:t>
        <w:tab/>
        <w:t>0.1930***</w:t>
        <w:tab/>
        <w:t>0.1944***</w:t>
      </w:r>
    </w:p>
    <w:p>
      <w:pPr>
        <w:tabs>
          <w:tab w:pos="2941" w:val="left" w:leader="none"/>
          <w:tab w:pos="3997" w:val="left" w:leader="none"/>
          <w:tab w:pos="5147" w:val="left" w:leader="none"/>
        </w:tabs>
        <w:spacing w:before="12"/>
        <w:ind w:left="1881" w:right="0" w:firstLine="0"/>
        <w:jc w:val="left"/>
        <w:rPr>
          <w:sz w:val="19"/>
        </w:rPr>
      </w:pPr>
      <w:r>
        <w:rPr>
          <w:w w:val="105"/>
          <w:sz w:val="19"/>
        </w:rPr>
        <w:t>(0.007)</w:t>
        <w:tab/>
        <w:t>(0.007)</w:t>
        <w:tab/>
        <w:t>(0.007)</w:t>
        <w:tab/>
        <w:t>(0.007)</w:t>
      </w:r>
    </w:p>
    <w:p>
      <w:pPr>
        <w:tabs>
          <w:tab w:pos="1547" w:val="left" w:leader="none"/>
          <w:tab w:pos="4814" w:val="left" w:leader="none"/>
        </w:tabs>
        <w:spacing w:before="12"/>
        <w:ind w:left="203" w:right="0" w:firstLine="0"/>
        <w:jc w:val="left"/>
        <w:rPr>
          <w:sz w:val="19"/>
        </w:rPr>
      </w:pPr>
      <w:r>
        <w:rPr>
          <w:w w:val="105"/>
          <w:sz w:val="19"/>
        </w:rPr>
        <w:t>Mujer</w:t>
        <w:tab/>
        <w:t>-0.1538*** </w:t>
      </w:r>
      <w:r>
        <w:rPr>
          <w:spacing w:val="40"/>
          <w:w w:val="105"/>
          <w:sz w:val="19"/>
        </w:rPr>
        <w:t> </w:t>
      </w:r>
      <w:r>
        <w:rPr>
          <w:w w:val="105"/>
          <w:sz w:val="19"/>
        </w:rPr>
        <w:t>-0.1844*** </w:t>
      </w:r>
      <w:r>
        <w:rPr>
          <w:spacing w:val="36"/>
          <w:w w:val="105"/>
          <w:sz w:val="19"/>
        </w:rPr>
        <w:t> </w:t>
      </w:r>
      <w:r>
        <w:rPr>
          <w:w w:val="105"/>
          <w:sz w:val="19"/>
        </w:rPr>
        <w:t>-0.1855***</w:t>
        <w:tab/>
        <w:t>-0.1827***</w:t>
      </w:r>
    </w:p>
    <w:p>
      <w:pPr>
        <w:tabs>
          <w:tab w:pos="2941" w:val="left" w:leader="none"/>
          <w:tab w:pos="3997" w:val="left" w:leader="none"/>
          <w:tab w:pos="5147" w:val="left" w:leader="none"/>
        </w:tabs>
        <w:spacing w:before="12"/>
        <w:ind w:left="1881" w:right="0" w:firstLine="0"/>
        <w:jc w:val="left"/>
        <w:rPr>
          <w:sz w:val="19"/>
        </w:rPr>
      </w:pPr>
      <w:r>
        <w:rPr>
          <w:w w:val="105"/>
          <w:sz w:val="19"/>
        </w:rPr>
        <w:t>(0.006)</w:t>
        <w:tab/>
        <w:t>(0.006)</w:t>
        <w:tab/>
        <w:t>(0.009)</w:t>
        <w:tab/>
        <w:t>(0.007)</w:t>
      </w:r>
    </w:p>
    <w:p>
      <w:pPr>
        <w:tabs>
          <w:tab w:pos="1614" w:val="left" w:leader="none"/>
          <w:tab w:pos="2674" w:val="left" w:leader="none"/>
          <w:tab w:pos="3730" w:val="left" w:leader="none"/>
          <w:tab w:pos="4880" w:val="left" w:leader="none"/>
        </w:tabs>
        <w:spacing w:before="12"/>
        <w:ind w:left="203" w:right="0" w:firstLine="0"/>
        <w:jc w:val="left"/>
        <w:rPr>
          <w:sz w:val="19"/>
        </w:rPr>
      </w:pPr>
      <w:r>
        <w:rPr>
          <w:w w:val="105"/>
          <w:sz w:val="19"/>
        </w:rPr>
        <w:t>Edad</w:t>
        <w:tab/>
        <w:t>0.0301***</w:t>
        <w:tab/>
        <w:t>0.0240***</w:t>
        <w:tab/>
        <w:t>0.0234***</w:t>
        <w:tab/>
        <w:t>0.0231***</w:t>
      </w:r>
    </w:p>
    <w:p>
      <w:pPr>
        <w:tabs>
          <w:tab w:pos="2941" w:val="left" w:leader="none"/>
          <w:tab w:pos="3997" w:val="left" w:leader="none"/>
          <w:tab w:pos="5147" w:val="left" w:leader="none"/>
        </w:tabs>
        <w:spacing w:line="207" w:lineRule="exact" w:before="12"/>
        <w:ind w:left="1881" w:right="0" w:firstLine="0"/>
        <w:jc w:val="left"/>
        <w:rPr>
          <w:sz w:val="19"/>
        </w:rPr>
      </w:pPr>
      <w:r>
        <w:rPr>
          <w:w w:val="105"/>
          <w:sz w:val="19"/>
        </w:rPr>
        <w:t>(0.001)</w:t>
        <w:tab/>
        <w:t>(0.001)</w:t>
        <w:tab/>
        <w:t>(0.001)</w:t>
        <w:tab/>
        <w:t>(0.001)</w:t>
      </w:r>
    </w:p>
    <w:p>
      <w:pPr>
        <w:tabs>
          <w:tab w:pos="1547" w:val="left" w:leader="none"/>
          <w:tab w:pos="4814" w:val="left" w:leader="none"/>
        </w:tabs>
        <w:spacing w:line="241" w:lineRule="exact" w:before="0"/>
        <w:ind w:left="203" w:right="0" w:firstLine="0"/>
        <w:jc w:val="left"/>
        <w:rPr>
          <w:sz w:val="19"/>
        </w:rPr>
      </w:pPr>
      <w:r>
        <w:rPr>
          <w:w w:val="105"/>
          <w:sz w:val="19"/>
        </w:rPr>
        <w:t>Edad</w:t>
      </w:r>
      <w:r>
        <w:rPr>
          <w:w w:val="105"/>
          <w:position w:val="9"/>
          <w:sz w:val="13"/>
        </w:rPr>
        <w:t>2</w:t>
        <w:tab/>
      </w:r>
      <w:r>
        <w:rPr>
          <w:w w:val="105"/>
          <w:sz w:val="19"/>
        </w:rPr>
        <w:t>-0.0003*** </w:t>
      </w:r>
      <w:r>
        <w:rPr>
          <w:spacing w:val="41"/>
          <w:w w:val="105"/>
          <w:sz w:val="19"/>
        </w:rPr>
        <w:t> </w:t>
      </w:r>
      <w:r>
        <w:rPr>
          <w:w w:val="105"/>
          <w:sz w:val="19"/>
        </w:rPr>
        <w:t>-0.0002*** </w:t>
      </w:r>
      <w:r>
        <w:rPr>
          <w:spacing w:val="36"/>
          <w:w w:val="105"/>
          <w:sz w:val="19"/>
        </w:rPr>
        <w:t> </w:t>
      </w:r>
      <w:r>
        <w:rPr>
          <w:w w:val="105"/>
          <w:sz w:val="19"/>
        </w:rPr>
        <w:t>-0.0002***</w:t>
        <w:tab/>
        <w:t>-0.0002***</w:t>
      </w:r>
    </w:p>
    <w:p>
      <w:pPr>
        <w:tabs>
          <w:tab w:pos="2941" w:val="left" w:leader="none"/>
          <w:tab w:pos="3997" w:val="left" w:leader="none"/>
          <w:tab w:pos="5147" w:val="left" w:leader="none"/>
        </w:tabs>
        <w:spacing w:before="7"/>
        <w:ind w:left="1881" w:right="0" w:firstLine="0"/>
        <w:jc w:val="left"/>
        <w:rPr>
          <w:sz w:val="19"/>
        </w:rPr>
      </w:pPr>
      <w:r>
        <w:rPr>
          <w:w w:val="105"/>
          <w:sz w:val="19"/>
        </w:rPr>
        <w:t>(0.000)</w:t>
        <w:tab/>
        <w:t>(0.000)</w:t>
        <w:tab/>
        <w:t>(0.000)</w:t>
        <w:tab/>
        <w:t>(0.000)</w:t>
      </w:r>
    </w:p>
    <w:p>
      <w:pPr>
        <w:spacing w:line="167" w:lineRule="exact" w:before="12"/>
        <w:ind w:left="203" w:right="240" w:firstLine="0"/>
        <w:jc w:val="left"/>
        <w:rPr>
          <w:sz w:val="19"/>
        </w:rPr>
      </w:pPr>
      <w:r>
        <w:rPr>
          <w:w w:val="105"/>
          <w:sz w:val="19"/>
        </w:rPr>
        <w:t>Años de</w:t>
      </w:r>
    </w:p>
    <w:p>
      <w:pPr>
        <w:tabs>
          <w:tab w:pos="1547" w:val="left" w:leader="none"/>
          <w:tab w:pos="3764" w:val="left" w:leader="none"/>
          <w:tab w:pos="4914" w:val="left" w:leader="none"/>
        </w:tabs>
        <w:spacing w:line="287" w:lineRule="exact" w:before="0"/>
        <w:ind w:left="203" w:right="0" w:firstLine="0"/>
        <w:jc w:val="left"/>
        <w:rPr>
          <w:sz w:val="19"/>
        </w:rPr>
      </w:pPr>
      <w:r>
        <w:rPr>
          <w:w w:val="105"/>
          <w:position w:val="-11"/>
          <w:sz w:val="19"/>
        </w:rPr>
        <w:t>escolaridad</w:t>
        <w:tab/>
      </w:r>
      <w:r>
        <w:rPr>
          <w:w w:val="105"/>
          <w:sz w:val="19"/>
        </w:rPr>
        <w:t>-0.0118*** </w:t>
      </w:r>
      <w:r>
        <w:rPr>
          <w:spacing w:val="41"/>
          <w:w w:val="105"/>
          <w:sz w:val="19"/>
        </w:rPr>
        <w:t> </w:t>
      </w:r>
      <w:r>
        <w:rPr>
          <w:w w:val="105"/>
          <w:sz w:val="19"/>
        </w:rPr>
        <w:t>-0.0070***</w:t>
        <w:tab/>
        <w:t>-0.0075**</w:t>
        <w:tab/>
        <w:t>-0.0058**</w:t>
      </w:r>
    </w:p>
    <w:p>
      <w:pPr>
        <w:tabs>
          <w:tab w:pos="2941" w:val="left" w:leader="none"/>
          <w:tab w:pos="3997" w:val="left" w:leader="none"/>
          <w:tab w:pos="5147" w:val="left" w:leader="none"/>
        </w:tabs>
        <w:spacing w:before="7"/>
        <w:ind w:left="1881" w:right="0" w:firstLine="0"/>
        <w:jc w:val="left"/>
        <w:rPr>
          <w:sz w:val="19"/>
        </w:rPr>
      </w:pPr>
      <w:r>
        <w:rPr>
          <w:w w:val="105"/>
          <w:sz w:val="19"/>
        </w:rPr>
        <w:t>(0.003)</w:t>
        <w:tab/>
        <w:t>(0.002)</w:t>
        <w:tab/>
        <w:t>(0.002)</w:t>
        <w:tab/>
        <w:t>(0.003)</w:t>
      </w:r>
    </w:p>
    <w:p>
      <w:pPr>
        <w:spacing w:before="12"/>
        <w:ind w:left="203" w:right="240" w:firstLine="0"/>
        <w:jc w:val="left"/>
        <w:rPr>
          <w:sz w:val="19"/>
        </w:rPr>
      </w:pPr>
      <w:r>
        <w:rPr>
          <w:w w:val="105"/>
          <w:sz w:val="19"/>
        </w:rPr>
        <w:t>Años de</w:t>
      </w: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32"/>
        <w:gridCol w:w="1173"/>
        <w:gridCol w:w="1058"/>
        <w:gridCol w:w="1103"/>
        <w:gridCol w:w="1102"/>
      </w:tblGrid>
      <w:tr>
        <w:trPr>
          <w:trHeight w:val="251" w:hRule="exact"/>
        </w:trPr>
        <w:tc>
          <w:tcPr>
            <w:tcW w:w="1232" w:type="dxa"/>
          </w:tcPr>
          <w:p>
            <w:pPr>
              <w:pStyle w:val="TableParagraph"/>
              <w:spacing w:line="230" w:lineRule="exact"/>
              <w:ind w:left="71"/>
              <w:jc w:val="left"/>
              <w:rPr>
                <w:sz w:val="13"/>
              </w:rPr>
            </w:pPr>
            <w:r>
              <w:rPr>
                <w:w w:val="105"/>
                <w:sz w:val="19"/>
              </w:rPr>
              <w:t>escolaridad</w:t>
            </w:r>
            <w:r>
              <w:rPr>
                <w:w w:val="105"/>
                <w:position w:val="9"/>
                <w:sz w:val="13"/>
              </w:rPr>
              <w:t>2</w:t>
            </w:r>
          </w:p>
        </w:tc>
        <w:tc>
          <w:tcPr>
            <w:tcW w:w="1173" w:type="dxa"/>
          </w:tcPr>
          <w:p>
            <w:pPr>
              <w:pStyle w:val="TableParagraph"/>
              <w:spacing w:line="115" w:lineRule="exact"/>
              <w:ind w:right="70"/>
              <w:rPr>
                <w:sz w:val="19"/>
              </w:rPr>
            </w:pPr>
            <w:r>
              <w:rPr>
                <w:sz w:val="19"/>
              </w:rPr>
              <w:t>0.0034***</w:t>
            </w:r>
          </w:p>
        </w:tc>
        <w:tc>
          <w:tcPr>
            <w:tcW w:w="1058" w:type="dxa"/>
          </w:tcPr>
          <w:p>
            <w:pPr>
              <w:pStyle w:val="TableParagraph"/>
              <w:spacing w:line="115" w:lineRule="exact"/>
              <w:ind w:right="68"/>
              <w:rPr>
                <w:sz w:val="19"/>
              </w:rPr>
            </w:pPr>
            <w:r>
              <w:rPr>
                <w:sz w:val="19"/>
              </w:rPr>
              <w:t>0.0022***</w:t>
            </w:r>
          </w:p>
        </w:tc>
        <w:tc>
          <w:tcPr>
            <w:tcW w:w="1103" w:type="dxa"/>
          </w:tcPr>
          <w:p>
            <w:pPr>
              <w:pStyle w:val="TableParagraph"/>
              <w:spacing w:line="115" w:lineRule="exact"/>
              <w:ind w:right="115"/>
              <w:rPr>
                <w:sz w:val="19"/>
              </w:rPr>
            </w:pPr>
            <w:r>
              <w:rPr>
                <w:sz w:val="19"/>
              </w:rPr>
              <w:t>0.0023***</w:t>
            </w:r>
          </w:p>
        </w:tc>
        <w:tc>
          <w:tcPr>
            <w:tcW w:w="1102" w:type="dxa"/>
          </w:tcPr>
          <w:p>
            <w:pPr>
              <w:pStyle w:val="TableParagraph"/>
              <w:spacing w:line="115" w:lineRule="exact"/>
              <w:ind w:right="67"/>
              <w:rPr>
                <w:sz w:val="19"/>
              </w:rPr>
            </w:pPr>
            <w:r>
              <w:rPr>
                <w:sz w:val="19"/>
              </w:rPr>
              <w:t>0.0021***</w:t>
            </w:r>
          </w:p>
        </w:tc>
      </w:tr>
      <w:tr>
        <w:trPr>
          <w:trHeight w:val="230" w:hRule="exact"/>
        </w:trPr>
        <w:tc>
          <w:tcPr>
            <w:tcW w:w="1232" w:type="dxa"/>
          </w:tcPr>
          <w:p>
            <w:pPr/>
          </w:p>
        </w:tc>
        <w:tc>
          <w:tcPr>
            <w:tcW w:w="1173" w:type="dxa"/>
          </w:tcPr>
          <w:p>
            <w:pPr>
              <w:pStyle w:val="TableParagraph"/>
              <w:spacing w:line="210" w:lineRule="exact"/>
              <w:ind w:right="69"/>
              <w:rPr>
                <w:sz w:val="19"/>
              </w:rPr>
            </w:pPr>
            <w:r>
              <w:rPr>
                <w:sz w:val="19"/>
              </w:rPr>
              <w:t>(0.000)</w:t>
            </w:r>
          </w:p>
        </w:tc>
        <w:tc>
          <w:tcPr>
            <w:tcW w:w="1058" w:type="dxa"/>
          </w:tcPr>
          <w:p>
            <w:pPr>
              <w:pStyle w:val="TableParagraph"/>
              <w:spacing w:line="210" w:lineRule="exact"/>
              <w:ind w:right="67"/>
              <w:rPr>
                <w:sz w:val="19"/>
              </w:rPr>
            </w:pPr>
            <w:r>
              <w:rPr>
                <w:sz w:val="19"/>
              </w:rPr>
              <w:t>(0.000)</w:t>
            </w:r>
          </w:p>
        </w:tc>
        <w:tc>
          <w:tcPr>
            <w:tcW w:w="1103" w:type="dxa"/>
          </w:tcPr>
          <w:p>
            <w:pPr>
              <w:pStyle w:val="TableParagraph"/>
              <w:spacing w:line="210" w:lineRule="exact"/>
              <w:ind w:right="114"/>
              <w:rPr>
                <w:sz w:val="19"/>
              </w:rPr>
            </w:pPr>
            <w:r>
              <w:rPr>
                <w:sz w:val="19"/>
              </w:rPr>
              <w:t>(0.000)</w:t>
            </w:r>
          </w:p>
        </w:tc>
        <w:tc>
          <w:tcPr>
            <w:tcW w:w="1102" w:type="dxa"/>
          </w:tcPr>
          <w:p>
            <w:pPr>
              <w:pStyle w:val="TableParagraph"/>
              <w:spacing w:line="210" w:lineRule="exact"/>
              <w:ind w:right="66"/>
              <w:rPr>
                <w:sz w:val="19"/>
              </w:rPr>
            </w:pPr>
            <w:r>
              <w:rPr>
                <w:sz w:val="19"/>
              </w:rPr>
              <w:t>(0.000)</w:t>
            </w:r>
          </w:p>
        </w:tc>
      </w:tr>
      <w:tr>
        <w:trPr>
          <w:trHeight w:val="230" w:hRule="exact"/>
        </w:trPr>
        <w:tc>
          <w:tcPr>
            <w:tcW w:w="1232" w:type="dxa"/>
          </w:tcPr>
          <w:p>
            <w:pPr>
              <w:pStyle w:val="TableParagraph"/>
              <w:spacing w:line="210" w:lineRule="exact"/>
              <w:ind w:left="71"/>
              <w:jc w:val="left"/>
              <w:rPr>
                <w:sz w:val="19"/>
              </w:rPr>
            </w:pPr>
            <w:r>
              <w:rPr>
                <w:w w:val="105"/>
                <w:sz w:val="19"/>
              </w:rPr>
              <w:t>Noreste</w:t>
            </w:r>
          </w:p>
        </w:tc>
        <w:tc>
          <w:tcPr>
            <w:tcW w:w="1173" w:type="dxa"/>
          </w:tcPr>
          <w:p>
            <w:pPr>
              <w:pStyle w:val="TableParagraph"/>
              <w:spacing w:line="210" w:lineRule="exact"/>
              <w:ind w:right="70"/>
              <w:rPr>
                <w:sz w:val="19"/>
              </w:rPr>
            </w:pPr>
            <w:r>
              <w:rPr>
                <w:sz w:val="19"/>
              </w:rPr>
              <w:t>-0.0157**</w:t>
            </w:r>
          </w:p>
        </w:tc>
        <w:tc>
          <w:tcPr>
            <w:tcW w:w="1058" w:type="dxa"/>
          </w:tcPr>
          <w:p>
            <w:pPr>
              <w:pStyle w:val="TableParagraph"/>
              <w:spacing w:line="210" w:lineRule="exact"/>
              <w:ind w:right="69"/>
              <w:rPr>
                <w:sz w:val="19"/>
              </w:rPr>
            </w:pPr>
            <w:r>
              <w:rPr>
                <w:sz w:val="19"/>
              </w:rPr>
              <w:t>0.0036</w:t>
            </w:r>
          </w:p>
        </w:tc>
        <w:tc>
          <w:tcPr>
            <w:tcW w:w="1103" w:type="dxa"/>
          </w:tcPr>
          <w:p>
            <w:pPr>
              <w:pStyle w:val="TableParagraph"/>
              <w:spacing w:line="210" w:lineRule="exact"/>
              <w:ind w:right="116"/>
              <w:rPr>
                <w:sz w:val="19"/>
              </w:rPr>
            </w:pPr>
            <w:r>
              <w:rPr>
                <w:sz w:val="19"/>
              </w:rPr>
              <w:t>0.0050</w:t>
            </w:r>
          </w:p>
        </w:tc>
        <w:tc>
          <w:tcPr>
            <w:tcW w:w="1102" w:type="dxa"/>
          </w:tcPr>
          <w:p>
            <w:pPr>
              <w:pStyle w:val="TableParagraph"/>
              <w:spacing w:line="210" w:lineRule="exact"/>
              <w:ind w:right="67"/>
              <w:rPr>
                <w:sz w:val="19"/>
              </w:rPr>
            </w:pPr>
            <w:r>
              <w:rPr>
                <w:sz w:val="19"/>
              </w:rPr>
              <w:t>0.0100</w:t>
            </w:r>
          </w:p>
        </w:tc>
      </w:tr>
      <w:tr>
        <w:trPr>
          <w:trHeight w:val="230" w:hRule="exact"/>
        </w:trPr>
        <w:tc>
          <w:tcPr>
            <w:tcW w:w="1232" w:type="dxa"/>
          </w:tcPr>
          <w:p>
            <w:pPr/>
          </w:p>
        </w:tc>
        <w:tc>
          <w:tcPr>
            <w:tcW w:w="1173" w:type="dxa"/>
          </w:tcPr>
          <w:p>
            <w:pPr>
              <w:pStyle w:val="TableParagraph"/>
              <w:spacing w:line="210" w:lineRule="exact"/>
              <w:ind w:right="69"/>
              <w:rPr>
                <w:sz w:val="19"/>
              </w:rPr>
            </w:pPr>
            <w:r>
              <w:rPr>
                <w:sz w:val="19"/>
              </w:rPr>
              <w:t>(0.008)</w:t>
            </w:r>
          </w:p>
        </w:tc>
        <w:tc>
          <w:tcPr>
            <w:tcW w:w="1058" w:type="dxa"/>
          </w:tcPr>
          <w:p>
            <w:pPr>
              <w:pStyle w:val="TableParagraph"/>
              <w:spacing w:line="210" w:lineRule="exact"/>
              <w:ind w:right="67"/>
              <w:rPr>
                <w:sz w:val="19"/>
              </w:rPr>
            </w:pPr>
            <w:r>
              <w:rPr>
                <w:sz w:val="19"/>
              </w:rPr>
              <w:t>(0.012)</w:t>
            </w:r>
          </w:p>
        </w:tc>
        <w:tc>
          <w:tcPr>
            <w:tcW w:w="1103" w:type="dxa"/>
          </w:tcPr>
          <w:p>
            <w:pPr>
              <w:pStyle w:val="TableParagraph"/>
              <w:spacing w:line="210" w:lineRule="exact"/>
              <w:ind w:right="114"/>
              <w:rPr>
                <w:sz w:val="19"/>
              </w:rPr>
            </w:pPr>
            <w:r>
              <w:rPr>
                <w:sz w:val="19"/>
              </w:rPr>
              <w:t>(0.012)</w:t>
            </w:r>
          </w:p>
        </w:tc>
        <w:tc>
          <w:tcPr>
            <w:tcW w:w="1102" w:type="dxa"/>
          </w:tcPr>
          <w:p>
            <w:pPr>
              <w:pStyle w:val="TableParagraph"/>
              <w:spacing w:line="210" w:lineRule="exact"/>
              <w:ind w:right="68"/>
              <w:rPr>
                <w:sz w:val="19"/>
              </w:rPr>
            </w:pPr>
            <w:r>
              <w:rPr>
                <w:sz w:val="19"/>
              </w:rPr>
              <w:t>(0.008)</w:t>
            </w:r>
          </w:p>
        </w:tc>
      </w:tr>
      <w:tr>
        <w:trPr>
          <w:trHeight w:val="230" w:hRule="exact"/>
        </w:trPr>
        <w:tc>
          <w:tcPr>
            <w:tcW w:w="1232" w:type="dxa"/>
          </w:tcPr>
          <w:p>
            <w:pPr>
              <w:pStyle w:val="TableParagraph"/>
              <w:spacing w:line="210" w:lineRule="exact"/>
              <w:ind w:left="71"/>
              <w:jc w:val="left"/>
              <w:rPr>
                <w:sz w:val="19"/>
              </w:rPr>
            </w:pPr>
            <w:r>
              <w:rPr>
                <w:w w:val="105"/>
                <w:sz w:val="19"/>
              </w:rPr>
              <w:t>Occidente</w:t>
            </w:r>
          </w:p>
        </w:tc>
        <w:tc>
          <w:tcPr>
            <w:tcW w:w="1173" w:type="dxa"/>
          </w:tcPr>
          <w:p>
            <w:pPr>
              <w:pStyle w:val="TableParagraph"/>
              <w:spacing w:line="210" w:lineRule="exact"/>
              <w:ind w:right="70"/>
              <w:rPr>
                <w:sz w:val="19"/>
              </w:rPr>
            </w:pPr>
            <w:r>
              <w:rPr>
                <w:sz w:val="19"/>
              </w:rPr>
              <w:t>-0.0417***</w:t>
            </w:r>
          </w:p>
        </w:tc>
        <w:tc>
          <w:tcPr>
            <w:tcW w:w="1058" w:type="dxa"/>
          </w:tcPr>
          <w:p>
            <w:pPr>
              <w:pStyle w:val="TableParagraph"/>
              <w:spacing w:line="210" w:lineRule="exact"/>
              <w:ind w:right="68"/>
              <w:rPr>
                <w:sz w:val="19"/>
              </w:rPr>
            </w:pPr>
            <w:r>
              <w:rPr>
                <w:sz w:val="19"/>
              </w:rPr>
              <w:t>-0.0287**</w:t>
            </w:r>
          </w:p>
        </w:tc>
        <w:tc>
          <w:tcPr>
            <w:tcW w:w="1103" w:type="dxa"/>
          </w:tcPr>
          <w:p>
            <w:pPr>
              <w:pStyle w:val="TableParagraph"/>
              <w:spacing w:line="210" w:lineRule="exact"/>
              <w:ind w:right="115"/>
              <w:rPr>
                <w:sz w:val="19"/>
              </w:rPr>
            </w:pPr>
            <w:r>
              <w:rPr>
                <w:sz w:val="19"/>
              </w:rPr>
              <w:t>-0.0199</w:t>
            </w:r>
          </w:p>
        </w:tc>
        <w:tc>
          <w:tcPr>
            <w:tcW w:w="1102" w:type="dxa"/>
          </w:tcPr>
          <w:p>
            <w:pPr>
              <w:pStyle w:val="TableParagraph"/>
              <w:spacing w:line="210" w:lineRule="exact"/>
              <w:ind w:right="67"/>
              <w:rPr>
                <w:sz w:val="19"/>
              </w:rPr>
            </w:pPr>
            <w:r>
              <w:rPr>
                <w:sz w:val="19"/>
              </w:rPr>
              <w:t>-0.0129</w:t>
            </w:r>
          </w:p>
        </w:tc>
      </w:tr>
      <w:tr>
        <w:trPr>
          <w:trHeight w:val="230" w:hRule="exact"/>
        </w:trPr>
        <w:tc>
          <w:tcPr>
            <w:tcW w:w="1232" w:type="dxa"/>
          </w:tcPr>
          <w:p>
            <w:pPr/>
          </w:p>
        </w:tc>
        <w:tc>
          <w:tcPr>
            <w:tcW w:w="1173" w:type="dxa"/>
          </w:tcPr>
          <w:p>
            <w:pPr>
              <w:pStyle w:val="TableParagraph"/>
              <w:spacing w:line="210" w:lineRule="exact"/>
              <w:ind w:right="69"/>
              <w:rPr>
                <w:sz w:val="19"/>
              </w:rPr>
            </w:pPr>
            <w:r>
              <w:rPr>
                <w:sz w:val="19"/>
              </w:rPr>
              <w:t>(0.008)</w:t>
            </w:r>
          </w:p>
        </w:tc>
        <w:tc>
          <w:tcPr>
            <w:tcW w:w="1058" w:type="dxa"/>
          </w:tcPr>
          <w:p>
            <w:pPr>
              <w:pStyle w:val="TableParagraph"/>
              <w:spacing w:line="210" w:lineRule="exact"/>
              <w:ind w:right="67"/>
              <w:rPr>
                <w:sz w:val="19"/>
              </w:rPr>
            </w:pPr>
            <w:r>
              <w:rPr>
                <w:sz w:val="19"/>
              </w:rPr>
              <w:t>(0.013)</w:t>
            </w:r>
          </w:p>
        </w:tc>
        <w:tc>
          <w:tcPr>
            <w:tcW w:w="1103" w:type="dxa"/>
          </w:tcPr>
          <w:p>
            <w:pPr>
              <w:pStyle w:val="TableParagraph"/>
              <w:spacing w:line="210" w:lineRule="exact"/>
              <w:ind w:right="114"/>
              <w:rPr>
                <w:sz w:val="19"/>
              </w:rPr>
            </w:pPr>
            <w:r>
              <w:rPr>
                <w:sz w:val="19"/>
              </w:rPr>
              <w:t>(0.015)</w:t>
            </w:r>
          </w:p>
        </w:tc>
        <w:tc>
          <w:tcPr>
            <w:tcW w:w="1102" w:type="dxa"/>
          </w:tcPr>
          <w:p>
            <w:pPr>
              <w:pStyle w:val="TableParagraph"/>
              <w:spacing w:line="210" w:lineRule="exact"/>
              <w:ind w:right="68"/>
              <w:rPr>
                <w:sz w:val="19"/>
              </w:rPr>
            </w:pPr>
            <w:r>
              <w:rPr>
                <w:sz w:val="19"/>
              </w:rPr>
              <w:t>(0.013)</w:t>
            </w:r>
          </w:p>
        </w:tc>
      </w:tr>
      <w:tr>
        <w:trPr>
          <w:trHeight w:val="228" w:hRule="exact"/>
        </w:trPr>
        <w:tc>
          <w:tcPr>
            <w:tcW w:w="1232" w:type="dxa"/>
          </w:tcPr>
          <w:p>
            <w:pPr>
              <w:pStyle w:val="TableParagraph"/>
              <w:spacing w:line="210" w:lineRule="exact"/>
              <w:ind w:left="71"/>
              <w:jc w:val="left"/>
              <w:rPr>
                <w:sz w:val="19"/>
              </w:rPr>
            </w:pPr>
            <w:r>
              <w:rPr>
                <w:w w:val="105"/>
                <w:sz w:val="19"/>
              </w:rPr>
              <w:t>Oriente</w:t>
            </w:r>
          </w:p>
        </w:tc>
        <w:tc>
          <w:tcPr>
            <w:tcW w:w="1173" w:type="dxa"/>
          </w:tcPr>
          <w:p>
            <w:pPr>
              <w:pStyle w:val="TableParagraph"/>
              <w:spacing w:line="210" w:lineRule="exact"/>
              <w:ind w:right="70"/>
              <w:rPr>
                <w:sz w:val="19"/>
              </w:rPr>
            </w:pPr>
            <w:r>
              <w:rPr>
                <w:sz w:val="19"/>
              </w:rPr>
              <w:t>-0.2056***</w:t>
            </w:r>
          </w:p>
        </w:tc>
        <w:tc>
          <w:tcPr>
            <w:tcW w:w="1058" w:type="dxa"/>
          </w:tcPr>
          <w:p>
            <w:pPr>
              <w:pStyle w:val="TableParagraph"/>
              <w:spacing w:line="210" w:lineRule="exact"/>
              <w:ind w:right="68"/>
              <w:rPr>
                <w:sz w:val="19"/>
              </w:rPr>
            </w:pPr>
            <w:r>
              <w:rPr>
                <w:sz w:val="19"/>
              </w:rPr>
              <w:t>-0.1813***</w:t>
            </w:r>
          </w:p>
        </w:tc>
        <w:tc>
          <w:tcPr>
            <w:tcW w:w="1103" w:type="dxa"/>
          </w:tcPr>
          <w:p>
            <w:pPr>
              <w:pStyle w:val="TableParagraph"/>
              <w:spacing w:line="210" w:lineRule="exact"/>
              <w:ind w:right="115"/>
              <w:rPr>
                <w:sz w:val="19"/>
              </w:rPr>
            </w:pPr>
            <w:r>
              <w:rPr>
                <w:sz w:val="19"/>
              </w:rPr>
              <w:t>-0.1720***</w:t>
            </w:r>
          </w:p>
        </w:tc>
        <w:tc>
          <w:tcPr>
            <w:tcW w:w="1102" w:type="dxa"/>
          </w:tcPr>
          <w:p>
            <w:pPr>
              <w:pStyle w:val="TableParagraph"/>
              <w:spacing w:line="210" w:lineRule="exact"/>
              <w:ind w:right="67"/>
              <w:rPr>
                <w:sz w:val="19"/>
              </w:rPr>
            </w:pPr>
            <w:r>
              <w:rPr>
                <w:sz w:val="19"/>
              </w:rPr>
              <w:t>-0.1717***</w:t>
            </w:r>
          </w:p>
        </w:tc>
      </w:tr>
      <w:tr>
        <w:trPr>
          <w:trHeight w:val="228" w:hRule="exact"/>
        </w:trPr>
        <w:tc>
          <w:tcPr>
            <w:tcW w:w="1232" w:type="dxa"/>
          </w:tcPr>
          <w:p>
            <w:pPr/>
          </w:p>
        </w:tc>
        <w:tc>
          <w:tcPr>
            <w:tcW w:w="1173" w:type="dxa"/>
          </w:tcPr>
          <w:p>
            <w:pPr>
              <w:pStyle w:val="TableParagraph"/>
              <w:spacing w:line="208" w:lineRule="exact"/>
              <w:ind w:right="69"/>
              <w:rPr>
                <w:sz w:val="19"/>
              </w:rPr>
            </w:pPr>
            <w:r>
              <w:rPr>
                <w:sz w:val="19"/>
              </w:rPr>
              <w:t>(0.011)</w:t>
            </w:r>
          </w:p>
        </w:tc>
        <w:tc>
          <w:tcPr>
            <w:tcW w:w="1058" w:type="dxa"/>
          </w:tcPr>
          <w:p>
            <w:pPr>
              <w:pStyle w:val="TableParagraph"/>
              <w:spacing w:line="208" w:lineRule="exact"/>
              <w:ind w:right="67"/>
              <w:rPr>
                <w:sz w:val="19"/>
              </w:rPr>
            </w:pPr>
            <w:r>
              <w:rPr>
                <w:sz w:val="19"/>
              </w:rPr>
              <w:t>(0.014)</w:t>
            </w:r>
          </w:p>
        </w:tc>
        <w:tc>
          <w:tcPr>
            <w:tcW w:w="1103" w:type="dxa"/>
          </w:tcPr>
          <w:p>
            <w:pPr>
              <w:pStyle w:val="TableParagraph"/>
              <w:spacing w:line="208" w:lineRule="exact"/>
              <w:ind w:right="114"/>
              <w:rPr>
                <w:sz w:val="19"/>
              </w:rPr>
            </w:pPr>
            <w:r>
              <w:rPr>
                <w:sz w:val="19"/>
              </w:rPr>
              <w:t>(0.013)</w:t>
            </w:r>
          </w:p>
        </w:tc>
        <w:tc>
          <w:tcPr>
            <w:tcW w:w="1102" w:type="dxa"/>
          </w:tcPr>
          <w:p>
            <w:pPr>
              <w:pStyle w:val="TableParagraph"/>
              <w:spacing w:line="208" w:lineRule="exact"/>
              <w:ind w:right="66"/>
              <w:rPr>
                <w:sz w:val="19"/>
              </w:rPr>
            </w:pPr>
            <w:r>
              <w:rPr>
                <w:sz w:val="19"/>
              </w:rPr>
              <w:t>(0.012)</w:t>
            </w:r>
          </w:p>
        </w:tc>
      </w:tr>
      <w:tr>
        <w:trPr>
          <w:trHeight w:val="230" w:hRule="exact"/>
        </w:trPr>
        <w:tc>
          <w:tcPr>
            <w:tcW w:w="1232" w:type="dxa"/>
          </w:tcPr>
          <w:p>
            <w:pPr>
              <w:pStyle w:val="TableParagraph"/>
              <w:spacing w:line="210" w:lineRule="exact"/>
              <w:ind w:left="71"/>
              <w:jc w:val="left"/>
              <w:rPr>
                <w:sz w:val="19"/>
              </w:rPr>
            </w:pPr>
            <w:r>
              <w:rPr>
                <w:w w:val="105"/>
                <w:sz w:val="19"/>
              </w:rPr>
              <w:t>Centronorte</w:t>
            </w:r>
          </w:p>
        </w:tc>
        <w:tc>
          <w:tcPr>
            <w:tcW w:w="1173" w:type="dxa"/>
          </w:tcPr>
          <w:p>
            <w:pPr>
              <w:pStyle w:val="TableParagraph"/>
              <w:spacing w:line="210" w:lineRule="exact"/>
              <w:ind w:right="70"/>
              <w:rPr>
                <w:sz w:val="19"/>
              </w:rPr>
            </w:pPr>
            <w:r>
              <w:rPr>
                <w:sz w:val="19"/>
              </w:rPr>
              <w:t>-0.0849***</w:t>
            </w:r>
          </w:p>
        </w:tc>
        <w:tc>
          <w:tcPr>
            <w:tcW w:w="1058" w:type="dxa"/>
          </w:tcPr>
          <w:p>
            <w:pPr>
              <w:pStyle w:val="TableParagraph"/>
              <w:spacing w:line="210" w:lineRule="exact"/>
              <w:ind w:right="68"/>
              <w:rPr>
                <w:sz w:val="19"/>
              </w:rPr>
            </w:pPr>
            <w:r>
              <w:rPr>
                <w:sz w:val="19"/>
              </w:rPr>
              <w:t>-0.0870***</w:t>
            </w:r>
          </w:p>
        </w:tc>
        <w:tc>
          <w:tcPr>
            <w:tcW w:w="1103" w:type="dxa"/>
          </w:tcPr>
          <w:p>
            <w:pPr>
              <w:pStyle w:val="TableParagraph"/>
              <w:spacing w:line="210" w:lineRule="exact"/>
              <w:ind w:right="115"/>
              <w:rPr>
                <w:sz w:val="19"/>
              </w:rPr>
            </w:pPr>
            <w:r>
              <w:rPr>
                <w:sz w:val="19"/>
              </w:rPr>
              <w:t>-0.0819***</w:t>
            </w:r>
          </w:p>
        </w:tc>
        <w:tc>
          <w:tcPr>
            <w:tcW w:w="1102" w:type="dxa"/>
          </w:tcPr>
          <w:p>
            <w:pPr>
              <w:pStyle w:val="TableParagraph"/>
              <w:spacing w:line="210" w:lineRule="exact"/>
              <w:ind w:right="67"/>
              <w:rPr>
                <w:sz w:val="19"/>
              </w:rPr>
            </w:pPr>
            <w:r>
              <w:rPr>
                <w:sz w:val="19"/>
              </w:rPr>
              <w:t>-0.0770***</w:t>
            </w:r>
          </w:p>
        </w:tc>
      </w:tr>
      <w:tr>
        <w:trPr>
          <w:trHeight w:val="230" w:hRule="exact"/>
        </w:trPr>
        <w:tc>
          <w:tcPr>
            <w:tcW w:w="1232" w:type="dxa"/>
          </w:tcPr>
          <w:p>
            <w:pPr/>
          </w:p>
        </w:tc>
        <w:tc>
          <w:tcPr>
            <w:tcW w:w="1173" w:type="dxa"/>
          </w:tcPr>
          <w:p>
            <w:pPr>
              <w:pStyle w:val="TableParagraph"/>
              <w:spacing w:line="210" w:lineRule="exact"/>
              <w:ind w:right="69"/>
              <w:rPr>
                <w:sz w:val="19"/>
              </w:rPr>
            </w:pPr>
            <w:r>
              <w:rPr>
                <w:sz w:val="19"/>
              </w:rPr>
              <w:t>(0.007)</w:t>
            </w:r>
          </w:p>
        </w:tc>
        <w:tc>
          <w:tcPr>
            <w:tcW w:w="1058" w:type="dxa"/>
          </w:tcPr>
          <w:p>
            <w:pPr>
              <w:pStyle w:val="TableParagraph"/>
              <w:spacing w:line="210" w:lineRule="exact"/>
              <w:ind w:right="67"/>
              <w:rPr>
                <w:sz w:val="19"/>
              </w:rPr>
            </w:pPr>
            <w:r>
              <w:rPr>
                <w:sz w:val="19"/>
              </w:rPr>
              <w:t>(0.011)</w:t>
            </w:r>
          </w:p>
        </w:tc>
        <w:tc>
          <w:tcPr>
            <w:tcW w:w="1103" w:type="dxa"/>
          </w:tcPr>
          <w:p>
            <w:pPr>
              <w:pStyle w:val="TableParagraph"/>
              <w:spacing w:line="210" w:lineRule="exact"/>
              <w:ind w:right="114"/>
              <w:rPr>
                <w:sz w:val="19"/>
              </w:rPr>
            </w:pPr>
            <w:r>
              <w:rPr>
                <w:sz w:val="19"/>
              </w:rPr>
              <w:t>(0.012)</w:t>
            </w:r>
          </w:p>
        </w:tc>
        <w:tc>
          <w:tcPr>
            <w:tcW w:w="1102" w:type="dxa"/>
          </w:tcPr>
          <w:p>
            <w:pPr>
              <w:pStyle w:val="TableParagraph"/>
              <w:spacing w:line="210" w:lineRule="exact"/>
              <w:ind w:right="66"/>
              <w:rPr>
                <w:sz w:val="19"/>
              </w:rPr>
            </w:pPr>
            <w:r>
              <w:rPr>
                <w:sz w:val="19"/>
              </w:rPr>
              <w:t>(0.011)</w:t>
            </w:r>
          </w:p>
        </w:tc>
      </w:tr>
      <w:tr>
        <w:trPr>
          <w:trHeight w:val="230" w:hRule="exact"/>
        </w:trPr>
        <w:tc>
          <w:tcPr>
            <w:tcW w:w="1232" w:type="dxa"/>
          </w:tcPr>
          <w:p>
            <w:pPr>
              <w:pStyle w:val="TableParagraph"/>
              <w:spacing w:line="210" w:lineRule="exact"/>
              <w:ind w:left="71"/>
              <w:jc w:val="left"/>
              <w:rPr>
                <w:sz w:val="19"/>
              </w:rPr>
            </w:pPr>
            <w:r>
              <w:rPr>
                <w:w w:val="105"/>
                <w:sz w:val="19"/>
              </w:rPr>
              <w:t>Centrosur</w:t>
            </w:r>
          </w:p>
        </w:tc>
        <w:tc>
          <w:tcPr>
            <w:tcW w:w="1173" w:type="dxa"/>
          </w:tcPr>
          <w:p>
            <w:pPr>
              <w:pStyle w:val="TableParagraph"/>
              <w:spacing w:line="210" w:lineRule="exact"/>
              <w:ind w:right="70"/>
              <w:rPr>
                <w:sz w:val="19"/>
              </w:rPr>
            </w:pPr>
            <w:r>
              <w:rPr>
                <w:sz w:val="19"/>
              </w:rPr>
              <w:t>-0.1122***</w:t>
            </w:r>
          </w:p>
        </w:tc>
        <w:tc>
          <w:tcPr>
            <w:tcW w:w="1058" w:type="dxa"/>
          </w:tcPr>
          <w:p>
            <w:pPr>
              <w:pStyle w:val="TableParagraph"/>
              <w:spacing w:line="210" w:lineRule="exact"/>
              <w:ind w:right="68"/>
              <w:rPr>
                <w:sz w:val="19"/>
              </w:rPr>
            </w:pPr>
            <w:r>
              <w:rPr>
                <w:sz w:val="19"/>
              </w:rPr>
              <w:t>-0.0915***</w:t>
            </w:r>
          </w:p>
        </w:tc>
        <w:tc>
          <w:tcPr>
            <w:tcW w:w="1103" w:type="dxa"/>
          </w:tcPr>
          <w:p>
            <w:pPr>
              <w:pStyle w:val="TableParagraph"/>
              <w:spacing w:line="210" w:lineRule="exact"/>
              <w:ind w:right="115"/>
              <w:rPr>
                <w:sz w:val="19"/>
              </w:rPr>
            </w:pPr>
            <w:r>
              <w:rPr>
                <w:sz w:val="19"/>
              </w:rPr>
              <w:t>-0.0808***</w:t>
            </w:r>
          </w:p>
        </w:tc>
        <w:tc>
          <w:tcPr>
            <w:tcW w:w="1102" w:type="dxa"/>
          </w:tcPr>
          <w:p>
            <w:pPr>
              <w:pStyle w:val="TableParagraph"/>
              <w:spacing w:line="210" w:lineRule="exact"/>
              <w:ind w:right="67"/>
              <w:rPr>
                <w:sz w:val="19"/>
              </w:rPr>
            </w:pPr>
            <w:r>
              <w:rPr>
                <w:sz w:val="19"/>
              </w:rPr>
              <w:t>-0.0751***</w:t>
            </w:r>
          </w:p>
        </w:tc>
      </w:tr>
      <w:tr>
        <w:trPr>
          <w:trHeight w:val="228" w:hRule="exact"/>
        </w:trPr>
        <w:tc>
          <w:tcPr>
            <w:tcW w:w="1232" w:type="dxa"/>
            <w:tcBorders>
              <w:bottom w:val="single" w:sz="4" w:space="0" w:color="000000"/>
            </w:tcBorders>
          </w:tcPr>
          <w:p>
            <w:pPr/>
          </w:p>
        </w:tc>
        <w:tc>
          <w:tcPr>
            <w:tcW w:w="1173" w:type="dxa"/>
            <w:tcBorders>
              <w:bottom w:val="single" w:sz="4" w:space="0" w:color="000000"/>
            </w:tcBorders>
          </w:tcPr>
          <w:p>
            <w:pPr>
              <w:pStyle w:val="TableParagraph"/>
              <w:spacing w:line="210" w:lineRule="exact"/>
              <w:ind w:right="69"/>
              <w:rPr>
                <w:sz w:val="19"/>
              </w:rPr>
            </w:pPr>
            <w:r>
              <w:rPr>
                <w:sz w:val="19"/>
              </w:rPr>
              <w:t>(0.013)</w:t>
            </w:r>
          </w:p>
        </w:tc>
        <w:tc>
          <w:tcPr>
            <w:tcW w:w="1058" w:type="dxa"/>
            <w:tcBorders>
              <w:bottom w:val="single" w:sz="4" w:space="0" w:color="000000"/>
            </w:tcBorders>
          </w:tcPr>
          <w:p>
            <w:pPr>
              <w:pStyle w:val="TableParagraph"/>
              <w:spacing w:line="210" w:lineRule="exact"/>
              <w:ind w:right="67"/>
              <w:rPr>
                <w:sz w:val="19"/>
              </w:rPr>
            </w:pPr>
            <w:r>
              <w:rPr>
                <w:sz w:val="19"/>
              </w:rPr>
              <w:t>(0.012)</w:t>
            </w:r>
          </w:p>
        </w:tc>
        <w:tc>
          <w:tcPr>
            <w:tcW w:w="1103" w:type="dxa"/>
            <w:tcBorders>
              <w:bottom w:val="single" w:sz="4" w:space="0" w:color="000000"/>
            </w:tcBorders>
          </w:tcPr>
          <w:p>
            <w:pPr>
              <w:pStyle w:val="TableParagraph"/>
              <w:spacing w:line="210" w:lineRule="exact"/>
              <w:ind w:right="114"/>
              <w:rPr>
                <w:sz w:val="19"/>
              </w:rPr>
            </w:pPr>
            <w:r>
              <w:rPr>
                <w:sz w:val="19"/>
              </w:rPr>
              <w:t>(0.012)</w:t>
            </w:r>
          </w:p>
        </w:tc>
        <w:tc>
          <w:tcPr>
            <w:tcW w:w="1102" w:type="dxa"/>
            <w:tcBorders>
              <w:bottom w:val="single" w:sz="4" w:space="0" w:color="000000"/>
            </w:tcBorders>
          </w:tcPr>
          <w:p>
            <w:pPr>
              <w:pStyle w:val="TableParagraph"/>
              <w:spacing w:line="210" w:lineRule="exact"/>
              <w:ind w:right="66"/>
              <w:rPr>
                <w:sz w:val="19"/>
              </w:rPr>
            </w:pPr>
            <w:r>
              <w:rPr>
                <w:sz w:val="19"/>
              </w:rPr>
              <w:t>(0.014)</w:t>
            </w:r>
          </w:p>
        </w:tc>
      </w:tr>
    </w:tbl>
    <w:p>
      <w:pPr>
        <w:spacing w:line="172" w:lineRule="exact" w:before="0"/>
        <w:ind w:left="203" w:right="240" w:firstLine="0"/>
        <w:jc w:val="left"/>
        <w:rPr>
          <w:sz w:val="16"/>
        </w:rPr>
      </w:pPr>
      <w:r>
        <w:rPr>
          <w:sz w:val="16"/>
        </w:rPr>
        <w:t>Errores estándar en paréntesis (boostrap, 50).</w:t>
      </w:r>
    </w:p>
    <w:p>
      <w:pPr>
        <w:spacing w:line="183" w:lineRule="exact" w:before="0"/>
        <w:ind w:left="203" w:right="240" w:firstLine="0"/>
        <w:jc w:val="left"/>
        <w:rPr>
          <w:sz w:val="16"/>
        </w:rPr>
      </w:pPr>
      <w:r>
        <w:rPr>
          <w:sz w:val="16"/>
        </w:rPr>
        <w:t>Fuente: estimaciones propias con información de la ENOE, 2012, segundo trimestre.</w:t>
      </w:r>
    </w:p>
    <w:p>
      <w:pPr>
        <w:spacing w:before="3"/>
        <w:ind w:left="203" w:right="240" w:firstLine="0"/>
        <w:jc w:val="left"/>
        <w:rPr>
          <w:sz w:val="16"/>
        </w:rPr>
      </w:pPr>
      <w:r>
        <w:rPr>
          <w:sz w:val="16"/>
        </w:rPr>
        <w:t>* p &lt; 0.10 ** p &lt; 0.05 *** p &lt; 0.001.</w:t>
      </w:r>
    </w:p>
    <w:p>
      <w:pPr>
        <w:spacing w:after="0"/>
        <w:jc w:val="left"/>
        <w:rPr>
          <w:sz w:val="16"/>
        </w:rPr>
        <w:sectPr>
          <w:pgSz w:w="7770" w:h="11740"/>
          <w:pgMar w:header="0" w:footer="474" w:top="1000" w:bottom="660" w:left="1060" w:right="800"/>
        </w:sectPr>
      </w:pPr>
    </w:p>
    <w:p>
      <w:pPr>
        <w:spacing w:line="244" w:lineRule="auto" w:before="61"/>
        <w:ind w:left="153" w:right="242" w:firstLine="0"/>
        <w:jc w:val="left"/>
        <w:rPr>
          <w:sz w:val="18"/>
        </w:rPr>
      </w:pPr>
      <w:r>
        <w:rPr>
          <w:sz w:val="18"/>
        </w:rPr>
        <w:t>Cuadro</w:t>
      </w:r>
      <w:r>
        <w:rPr>
          <w:spacing w:val="-11"/>
          <w:sz w:val="18"/>
        </w:rPr>
        <w:t> </w:t>
      </w:r>
      <w:r>
        <w:rPr>
          <w:sz w:val="18"/>
        </w:rPr>
        <w:t>A.</w:t>
      </w:r>
      <w:r>
        <w:rPr>
          <w:spacing w:val="-12"/>
          <w:sz w:val="18"/>
        </w:rPr>
        <w:t> </w:t>
      </w:r>
      <w:r>
        <w:rPr>
          <w:sz w:val="18"/>
        </w:rPr>
        <w:t>2c.</w:t>
      </w:r>
      <w:r>
        <w:rPr>
          <w:spacing w:val="-12"/>
          <w:sz w:val="18"/>
        </w:rPr>
        <w:t> </w:t>
      </w:r>
      <w:r>
        <w:rPr>
          <w:sz w:val="18"/>
        </w:rPr>
        <w:t>Resultados</w:t>
      </w:r>
      <w:r>
        <w:rPr>
          <w:spacing w:val="-11"/>
          <w:sz w:val="18"/>
        </w:rPr>
        <w:t> </w:t>
      </w:r>
      <w:r>
        <w:rPr>
          <w:sz w:val="18"/>
        </w:rPr>
        <w:t>de</w:t>
      </w:r>
      <w:r>
        <w:rPr>
          <w:spacing w:val="-11"/>
          <w:sz w:val="18"/>
        </w:rPr>
        <w:t> </w:t>
      </w:r>
      <w:r>
        <w:rPr>
          <w:sz w:val="18"/>
        </w:rPr>
        <w:t>las</w:t>
      </w:r>
      <w:r>
        <w:rPr>
          <w:spacing w:val="-11"/>
          <w:sz w:val="18"/>
        </w:rPr>
        <w:t> </w:t>
      </w:r>
      <w:r>
        <w:rPr>
          <w:sz w:val="18"/>
        </w:rPr>
        <w:t>regresiones</w:t>
      </w:r>
      <w:r>
        <w:rPr>
          <w:spacing w:val="-11"/>
          <w:sz w:val="18"/>
        </w:rPr>
        <w:t> </w:t>
      </w:r>
      <w:r>
        <w:rPr>
          <w:sz w:val="18"/>
        </w:rPr>
        <w:t>medianas</w:t>
      </w:r>
      <w:r>
        <w:rPr>
          <w:spacing w:val="-11"/>
          <w:sz w:val="18"/>
        </w:rPr>
        <w:t> </w:t>
      </w:r>
      <w:r>
        <w:rPr>
          <w:sz w:val="18"/>
        </w:rPr>
        <w:t>del</w:t>
      </w:r>
      <w:r>
        <w:rPr>
          <w:spacing w:val="-12"/>
          <w:sz w:val="18"/>
        </w:rPr>
        <w:t> </w:t>
      </w:r>
      <w:r>
        <w:rPr>
          <w:sz w:val="18"/>
        </w:rPr>
        <w:t>logaritmo</w:t>
      </w:r>
      <w:r>
        <w:rPr>
          <w:spacing w:val="-11"/>
          <w:sz w:val="18"/>
        </w:rPr>
        <w:t> </w:t>
      </w:r>
      <w:r>
        <w:rPr>
          <w:sz w:val="18"/>
        </w:rPr>
        <w:t>de</w:t>
      </w:r>
      <w:r>
        <w:rPr>
          <w:spacing w:val="-11"/>
          <w:sz w:val="18"/>
        </w:rPr>
        <w:t> </w:t>
      </w:r>
      <w:r>
        <w:rPr>
          <w:sz w:val="18"/>
        </w:rPr>
        <w:t>los ingresos</w:t>
      </w:r>
      <w:r>
        <w:rPr>
          <w:spacing w:val="-14"/>
          <w:sz w:val="18"/>
        </w:rPr>
        <w:t> </w:t>
      </w:r>
      <w:r>
        <w:rPr>
          <w:sz w:val="18"/>
        </w:rPr>
        <w:t>laborales</w:t>
      </w:r>
      <w:r>
        <w:rPr>
          <w:spacing w:val="-14"/>
          <w:sz w:val="18"/>
        </w:rPr>
        <w:t> </w:t>
      </w:r>
      <w:r>
        <w:rPr>
          <w:sz w:val="18"/>
        </w:rPr>
        <w:t>por</w:t>
      </w:r>
      <w:r>
        <w:rPr>
          <w:spacing w:val="-14"/>
          <w:sz w:val="18"/>
        </w:rPr>
        <w:t> </w:t>
      </w:r>
      <w:r>
        <w:rPr>
          <w:sz w:val="18"/>
        </w:rPr>
        <w:t>hora</w:t>
      </w:r>
      <w:r>
        <w:rPr>
          <w:spacing w:val="-14"/>
          <w:sz w:val="18"/>
        </w:rPr>
        <w:t> </w:t>
      </w:r>
      <w:r>
        <w:rPr>
          <w:sz w:val="18"/>
        </w:rPr>
        <w:t>(PPA</w:t>
      </w:r>
      <w:r>
        <w:rPr>
          <w:spacing w:val="-13"/>
          <w:sz w:val="18"/>
        </w:rPr>
        <w:t> </w:t>
      </w:r>
      <w:r>
        <w:rPr>
          <w:sz w:val="18"/>
        </w:rPr>
        <w:t>USD).</w:t>
      </w:r>
      <w:r>
        <w:rPr>
          <w:spacing w:val="-14"/>
          <w:sz w:val="18"/>
        </w:rPr>
        <w:t> </w:t>
      </w:r>
      <w:r>
        <w:rPr>
          <w:sz w:val="18"/>
        </w:rPr>
        <w:t>México,</w:t>
      </w:r>
      <w:r>
        <w:rPr>
          <w:spacing w:val="-14"/>
          <w:sz w:val="18"/>
        </w:rPr>
        <w:t> </w:t>
      </w:r>
      <w:r>
        <w:rPr>
          <w:sz w:val="18"/>
        </w:rPr>
        <w:t>2012</w:t>
      </w:r>
    </w:p>
    <w:p>
      <w:pPr>
        <w:pStyle w:val="BodyText"/>
        <w:spacing w:before="8"/>
        <w:rPr>
          <w:sz w:val="22"/>
        </w:rPr>
      </w:pPr>
      <w:r>
        <w:rPr/>
        <w:pict>
          <v:shape style="position:absolute;margin-left:112.166954pt;margin-top:15.014581pt;width:2.6pt;height:1.4pt;mso-position-horizontal-relative:page;mso-position-vertical-relative:paragraph;z-index:4072;mso-wrap-distance-left:0;mso-wrap-distance-right:0" coordorigin="2243,300" coordsize="52,28" path="m2248,328l2243,323,2264,300,2275,300,2285,311,2268,311,2248,328xm2290,328l2269,311,2285,311,2294,323,2290,328xe" filled="true" fillcolor="#000000" stroked="false">
            <v:path arrowok="t"/>
            <v:fill type="solid"/>
            <w10:wrap type="topAndBottom"/>
          </v:shape>
        </w:pict>
      </w:r>
      <w:r>
        <w:rPr/>
        <w:pict>
          <v:shape style="position:absolute;margin-left:160.313904pt;margin-top:15.014581pt;width:2.6pt;height:1.4pt;mso-position-horizontal-relative:page;mso-position-vertical-relative:paragraph;z-index:4096;mso-wrap-distance-left:0;mso-wrap-distance-right:0" coordorigin="3206,300" coordsize="52,28" path="m3211,328l3206,323,3227,300,3238,300,3248,311,3231,311,3211,328xm3253,328l3232,311,3248,311,3257,323,3253,328xe" filled="true" fillcolor="#000000" stroked="false">
            <v:path arrowok="t"/>
            <v:fill type="solid"/>
            <w10:wrap type="topAndBottom"/>
          </v:shape>
        </w:pict>
      </w:r>
      <w:r>
        <w:rPr/>
        <w:pict>
          <v:shape style="position:absolute;margin-left:208.459976pt;margin-top:15.014581pt;width:2.6pt;height:1.4pt;mso-position-horizontal-relative:page;mso-position-vertical-relative:paragraph;z-index:4120;mso-wrap-distance-left:0;mso-wrap-distance-right:0" coordorigin="4169,300" coordsize="52,28" path="m4174,328l4169,323,4190,300,4201,300,4211,311,4194,311,4174,328xm4215,328l4195,311,4211,311,4220,323,4215,328xe" filled="true" fillcolor="#000000" stroked="false">
            <v:path arrowok="t"/>
            <v:fill type="solid"/>
            <w10:wrap type="topAndBottom"/>
          </v:shape>
        </w:pict>
      </w:r>
      <w:r>
        <w:rPr/>
        <w:pict>
          <v:shape style="position:absolute;margin-left:256.605957pt;margin-top:15.014581pt;width:2.6pt;height:1.4pt;mso-position-horizontal-relative:page;mso-position-vertical-relative:paragraph;z-index:4144;mso-wrap-distance-left:0;mso-wrap-distance-right:0" coordorigin="5132,300" coordsize="52,28" path="m5137,328l5132,323,5152,300,5164,300,5174,311,5157,311,5137,328xm5178,328l5158,311,5174,311,5183,323,5178,328xe" filled="true" fillcolor="#000000" stroked="false">
            <v:path arrowok="t"/>
            <v:fill type="solid"/>
            <w10:wrap type="topAndBottom"/>
          </v:shape>
        </w:pict>
      </w:r>
      <w:r>
        <w:rPr/>
        <w:pict>
          <v:shape style="position:absolute;margin-left:305.176849pt;margin-top:15.014581pt;width:2.6pt;height:1.4pt;mso-position-horizontal-relative:page;mso-position-vertical-relative:paragraph;z-index:4168;mso-wrap-distance-left:0;mso-wrap-distance-right:0" coordorigin="6104,300" coordsize="52,28" path="m6108,328l6104,323,6124,300,6135,300,6145,311,6129,311,6108,328xm6150,328l6130,311,6145,311,6155,323,6150,328xe" filled="true" fillcolor="#000000" stroked="false">
            <v:path arrowok="t"/>
            <v:fill type="solid"/>
            <w10:wrap type="topAndBottom"/>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7"/>
        </w:rPr>
      </w:pPr>
    </w:p>
    <w:p>
      <w:pPr>
        <w:spacing w:before="77"/>
        <w:ind w:left="153" w:right="242" w:firstLine="0"/>
        <w:jc w:val="left"/>
        <w:rPr>
          <w:sz w:val="18"/>
        </w:rPr>
      </w:pPr>
      <w:r>
        <w:rPr/>
        <w:pict>
          <v:shape style="position:absolute;margin-left:38.267372pt;margin-top:-134.010483pt;width:297.650pt;height:296.05pt;mso-position-horizontal-relative:page;mso-position-vertical-relative:paragraph;z-index:41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3"/>
                    <w:gridCol w:w="963"/>
                    <w:gridCol w:w="963"/>
                    <w:gridCol w:w="969"/>
                    <w:gridCol w:w="924"/>
                  </w:tblGrid>
                  <w:tr>
                    <w:trPr>
                      <w:trHeight w:val="447" w:hRule="exact"/>
                    </w:trPr>
                    <w:tc>
                      <w:tcPr>
                        <w:tcW w:w="2133" w:type="dxa"/>
                        <w:tcBorders>
                          <w:left w:val="nil"/>
                          <w:right w:val="nil"/>
                        </w:tcBorders>
                      </w:tcPr>
                      <w:p>
                        <w:pPr>
                          <w:pStyle w:val="TableParagraph"/>
                          <w:spacing w:line="205" w:lineRule="exact"/>
                          <w:ind w:right="377"/>
                          <w:rPr>
                            <w:sz w:val="18"/>
                          </w:rPr>
                        </w:pPr>
                        <w:r>
                          <w:rPr>
                            <w:w w:val="95"/>
                            <w:sz w:val="18"/>
                          </w:rPr>
                          <w:t>(1)</w:t>
                        </w:r>
                      </w:p>
                      <w:p>
                        <w:pPr>
                          <w:pStyle w:val="TableParagraph"/>
                          <w:spacing w:before="22"/>
                          <w:ind w:right="262"/>
                          <w:rPr>
                            <w:sz w:val="18"/>
                          </w:rPr>
                        </w:pPr>
                        <w:r>
                          <w:rPr>
                            <w:rFonts w:ascii="Cambria Math" w:eastAsia="Cambria Math"/>
                            <w:w w:val="75"/>
                            <w:sz w:val="18"/>
                          </w:rPr>
                          <w:t>𝛽𝛽</w:t>
                        </w:r>
                        <w:r>
                          <w:rPr>
                            <w:w w:val="75"/>
                            <w:sz w:val="18"/>
                          </w:rPr>
                          <w:t>/(ee)</w:t>
                        </w:r>
                      </w:p>
                    </w:tc>
                    <w:tc>
                      <w:tcPr>
                        <w:tcW w:w="963" w:type="dxa"/>
                        <w:tcBorders>
                          <w:left w:val="nil"/>
                          <w:right w:val="nil"/>
                        </w:tcBorders>
                      </w:tcPr>
                      <w:p>
                        <w:pPr>
                          <w:pStyle w:val="TableParagraph"/>
                          <w:spacing w:line="205" w:lineRule="exact"/>
                          <w:ind w:left="202" w:right="203"/>
                          <w:jc w:val="center"/>
                          <w:rPr>
                            <w:sz w:val="18"/>
                          </w:rPr>
                        </w:pPr>
                        <w:r>
                          <w:rPr>
                            <w:sz w:val="18"/>
                          </w:rPr>
                          <w:t>(2)</w:t>
                        </w:r>
                      </w:p>
                      <w:p>
                        <w:pPr>
                          <w:pStyle w:val="TableParagraph"/>
                          <w:spacing w:before="22"/>
                          <w:ind w:left="202" w:right="203"/>
                          <w:jc w:val="center"/>
                          <w:rPr>
                            <w:sz w:val="18"/>
                          </w:rPr>
                        </w:pPr>
                        <w:r>
                          <w:rPr>
                            <w:rFonts w:ascii="Cambria Math" w:eastAsia="Cambria Math"/>
                            <w:w w:val="75"/>
                            <w:sz w:val="18"/>
                          </w:rPr>
                          <w:t>𝛽𝛽</w:t>
                        </w:r>
                        <w:r>
                          <w:rPr>
                            <w:w w:val="75"/>
                            <w:sz w:val="18"/>
                          </w:rPr>
                          <w:t>/(ee)</w:t>
                        </w:r>
                      </w:p>
                    </w:tc>
                    <w:tc>
                      <w:tcPr>
                        <w:tcW w:w="963" w:type="dxa"/>
                        <w:tcBorders>
                          <w:left w:val="nil"/>
                          <w:right w:val="nil"/>
                        </w:tcBorders>
                      </w:tcPr>
                      <w:p>
                        <w:pPr>
                          <w:pStyle w:val="TableParagraph"/>
                          <w:spacing w:line="205" w:lineRule="exact"/>
                          <w:ind w:left="202" w:right="203"/>
                          <w:jc w:val="center"/>
                          <w:rPr>
                            <w:sz w:val="18"/>
                          </w:rPr>
                        </w:pPr>
                        <w:r>
                          <w:rPr>
                            <w:sz w:val="18"/>
                          </w:rPr>
                          <w:t>(3)</w:t>
                        </w:r>
                      </w:p>
                      <w:p>
                        <w:pPr>
                          <w:pStyle w:val="TableParagraph"/>
                          <w:spacing w:before="22"/>
                          <w:ind w:left="202" w:right="203"/>
                          <w:jc w:val="center"/>
                          <w:rPr>
                            <w:sz w:val="18"/>
                          </w:rPr>
                        </w:pPr>
                        <w:r>
                          <w:rPr>
                            <w:rFonts w:ascii="Cambria Math" w:eastAsia="Cambria Math"/>
                            <w:w w:val="75"/>
                            <w:sz w:val="18"/>
                          </w:rPr>
                          <w:t>𝛽𝛽</w:t>
                        </w:r>
                        <w:r>
                          <w:rPr>
                            <w:w w:val="75"/>
                            <w:sz w:val="18"/>
                          </w:rPr>
                          <w:t>/(ee)</w:t>
                        </w:r>
                      </w:p>
                    </w:tc>
                    <w:tc>
                      <w:tcPr>
                        <w:tcW w:w="969" w:type="dxa"/>
                        <w:tcBorders>
                          <w:left w:val="nil"/>
                          <w:right w:val="nil"/>
                        </w:tcBorders>
                      </w:tcPr>
                      <w:p>
                        <w:pPr>
                          <w:pStyle w:val="TableParagraph"/>
                          <w:spacing w:line="205" w:lineRule="exact"/>
                          <w:ind w:left="203" w:right="208"/>
                          <w:jc w:val="center"/>
                          <w:rPr>
                            <w:sz w:val="18"/>
                          </w:rPr>
                        </w:pPr>
                        <w:r>
                          <w:rPr>
                            <w:sz w:val="18"/>
                          </w:rPr>
                          <w:t>(4)</w:t>
                        </w:r>
                      </w:p>
                      <w:p>
                        <w:pPr>
                          <w:pStyle w:val="TableParagraph"/>
                          <w:spacing w:before="22"/>
                          <w:ind w:left="203" w:right="208"/>
                          <w:jc w:val="center"/>
                          <w:rPr>
                            <w:sz w:val="18"/>
                          </w:rPr>
                        </w:pPr>
                        <w:r>
                          <w:rPr>
                            <w:rFonts w:ascii="Cambria Math" w:eastAsia="Cambria Math"/>
                            <w:w w:val="75"/>
                            <w:sz w:val="18"/>
                          </w:rPr>
                          <w:t>𝛽𝛽</w:t>
                        </w:r>
                        <w:r>
                          <w:rPr>
                            <w:w w:val="75"/>
                            <w:sz w:val="18"/>
                          </w:rPr>
                          <w:t>/(ee)</w:t>
                        </w:r>
                      </w:p>
                    </w:tc>
                    <w:tc>
                      <w:tcPr>
                        <w:tcW w:w="924" w:type="dxa"/>
                        <w:tcBorders>
                          <w:left w:val="nil"/>
                          <w:right w:val="nil"/>
                        </w:tcBorders>
                      </w:tcPr>
                      <w:p>
                        <w:pPr>
                          <w:pStyle w:val="TableParagraph"/>
                          <w:spacing w:line="205" w:lineRule="exact"/>
                          <w:ind w:left="202" w:right="165"/>
                          <w:jc w:val="center"/>
                          <w:rPr>
                            <w:sz w:val="18"/>
                          </w:rPr>
                        </w:pPr>
                        <w:r>
                          <w:rPr>
                            <w:sz w:val="18"/>
                          </w:rPr>
                          <w:t>(5)</w:t>
                        </w:r>
                      </w:p>
                      <w:p>
                        <w:pPr>
                          <w:pStyle w:val="TableParagraph"/>
                          <w:spacing w:before="22"/>
                          <w:ind w:left="202" w:right="165"/>
                          <w:jc w:val="center"/>
                          <w:rPr>
                            <w:sz w:val="18"/>
                          </w:rPr>
                        </w:pPr>
                        <w:r>
                          <w:rPr>
                            <w:rFonts w:ascii="Cambria Math" w:eastAsia="Cambria Math"/>
                            <w:w w:val="75"/>
                            <w:sz w:val="18"/>
                          </w:rPr>
                          <w:t>𝛽𝛽</w:t>
                        </w:r>
                        <w:r>
                          <w:rPr>
                            <w:w w:val="75"/>
                            <w:sz w:val="18"/>
                          </w:rPr>
                          <w:t>/(ee)</w:t>
                        </w:r>
                      </w:p>
                    </w:tc>
                  </w:tr>
                  <w:tr>
                    <w:trPr>
                      <w:trHeight w:val="2426" w:hRule="exact"/>
                    </w:trPr>
                    <w:tc>
                      <w:tcPr>
                        <w:tcW w:w="2133" w:type="dxa"/>
                        <w:tcBorders>
                          <w:left w:val="nil"/>
                          <w:bottom w:val="nil"/>
                          <w:right w:val="nil"/>
                        </w:tcBorders>
                      </w:tcPr>
                      <w:p>
                        <w:pPr>
                          <w:pStyle w:val="TableParagraph"/>
                          <w:spacing w:before="1"/>
                          <w:jc w:val="left"/>
                          <w:rPr>
                            <w:sz w:val="18"/>
                          </w:rPr>
                        </w:pPr>
                      </w:p>
                      <w:p>
                        <w:pPr>
                          <w:pStyle w:val="TableParagraph"/>
                          <w:spacing w:line="487" w:lineRule="auto"/>
                          <w:ind w:left="48" w:right="1015"/>
                          <w:jc w:val="left"/>
                          <w:rPr>
                            <w:sz w:val="18"/>
                          </w:rPr>
                        </w:pPr>
                        <w:r>
                          <w:rPr>
                            <w:sz w:val="18"/>
                          </w:rPr>
                          <w:t>Sureste Suroeste</w:t>
                        </w:r>
                      </w:p>
                      <w:p>
                        <w:pPr>
                          <w:pStyle w:val="TableParagraph"/>
                          <w:spacing w:line="244" w:lineRule="auto" w:before="8"/>
                          <w:ind w:left="48" w:right="1015"/>
                          <w:jc w:val="left"/>
                          <w:rPr>
                            <w:sz w:val="18"/>
                          </w:rPr>
                        </w:pPr>
                        <w:r>
                          <w:rPr>
                            <w:sz w:val="18"/>
                          </w:rPr>
                          <w:t>Residencia no urbana Vendedores y servicios</w:t>
                        </w:r>
                      </w:p>
                      <w:p>
                        <w:pPr>
                          <w:pStyle w:val="TableParagraph"/>
                          <w:spacing w:before="9"/>
                          <w:jc w:val="left"/>
                          <w:rPr>
                            <w:sz w:val="17"/>
                          </w:rPr>
                        </w:pPr>
                      </w:p>
                      <w:p>
                        <w:pPr>
                          <w:pStyle w:val="TableParagraph"/>
                          <w:ind w:left="48" w:right="1015"/>
                          <w:jc w:val="left"/>
                          <w:rPr>
                            <w:sz w:val="18"/>
                          </w:rPr>
                        </w:pPr>
                        <w:r>
                          <w:rPr>
                            <w:sz w:val="18"/>
                          </w:rPr>
                          <w:t>Operadores,</w:t>
                        </w:r>
                      </w:p>
                    </w:tc>
                    <w:tc>
                      <w:tcPr>
                        <w:tcW w:w="963" w:type="dxa"/>
                        <w:tcBorders>
                          <w:left w:val="nil"/>
                          <w:bottom w:val="nil"/>
                          <w:right w:val="nil"/>
                        </w:tcBorders>
                      </w:tcPr>
                      <w:p>
                        <w:pPr/>
                      </w:p>
                    </w:tc>
                    <w:tc>
                      <w:tcPr>
                        <w:tcW w:w="963" w:type="dxa"/>
                        <w:tcBorders>
                          <w:left w:val="nil"/>
                          <w:bottom w:val="nil"/>
                          <w:right w:val="nil"/>
                        </w:tcBorders>
                      </w:tcPr>
                      <w:p>
                        <w:pPr/>
                      </w:p>
                    </w:tc>
                    <w:tc>
                      <w:tcPr>
                        <w:tcW w:w="969" w:type="dxa"/>
                        <w:tcBorders>
                          <w:left w:val="nil"/>
                          <w:bottom w:val="nil"/>
                          <w:right w:val="nil"/>
                        </w:tcBorders>
                      </w:tcPr>
                      <w:p>
                        <w:pPr/>
                      </w:p>
                    </w:tc>
                    <w:tc>
                      <w:tcPr>
                        <w:tcW w:w="924" w:type="dxa"/>
                        <w:tcBorders>
                          <w:left w:val="nil"/>
                          <w:bottom w:val="nil"/>
                          <w:right w:val="nil"/>
                        </w:tcBorders>
                      </w:tcPr>
                      <w:p>
                        <w:pPr>
                          <w:pStyle w:val="TableParagraph"/>
                          <w:spacing w:line="205" w:lineRule="exact"/>
                          <w:ind w:left="391" w:right="-12"/>
                          <w:jc w:val="left"/>
                          <w:rPr>
                            <w:sz w:val="18"/>
                          </w:rPr>
                        </w:pPr>
                        <w:r>
                          <w:rPr>
                            <w:sz w:val="18"/>
                          </w:rPr>
                          <w:t>(0.008)</w:t>
                        </w:r>
                      </w:p>
                      <w:p>
                        <w:pPr>
                          <w:pStyle w:val="TableParagraph"/>
                          <w:spacing w:before="3"/>
                          <w:ind w:left="97" w:right="-12"/>
                          <w:jc w:val="left"/>
                          <w:rPr>
                            <w:sz w:val="18"/>
                          </w:rPr>
                        </w:pPr>
                        <w:r>
                          <w:rPr>
                            <w:w w:val="95"/>
                            <w:sz w:val="18"/>
                          </w:rPr>
                          <w:t>-0.1873***</w:t>
                        </w:r>
                      </w:p>
                      <w:p>
                        <w:pPr>
                          <w:pStyle w:val="TableParagraph"/>
                          <w:spacing w:before="3"/>
                          <w:ind w:left="391" w:right="-12"/>
                          <w:jc w:val="left"/>
                          <w:rPr>
                            <w:sz w:val="18"/>
                          </w:rPr>
                        </w:pPr>
                        <w:r>
                          <w:rPr>
                            <w:sz w:val="18"/>
                          </w:rPr>
                          <w:t>(0.009)</w:t>
                        </w:r>
                      </w:p>
                      <w:p>
                        <w:pPr>
                          <w:pStyle w:val="TableParagraph"/>
                          <w:spacing w:before="3"/>
                          <w:ind w:left="97" w:right="-12"/>
                          <w:jc w:val="left"/>
                          <w:rPr>
                            <w:sz w:val="18"/>
                          </w:rPr>
                        </w:pPr>
                        <w:r>
                          <w:rPr>
                            <w:w w:val="95"/>
                            <w:sz w:val="18"/>
                          </w:rPr>
                          <w:t>-0.2479***</w:t>
                        </w:r>
                      </w:p>
                      <w:p>
                        <w:pPr>
                          <w:pStyle w:val="TableParagraph"/>
                          <w:spacing w:before="3"/>
                          <w:ind w:left="391" w:right="-12"/>
                          <w:jc w:val="left"/>
                          <w:rPr>
                            <w:sz w:val="18"/>
                          </w:rPr>
                        </w:pPr>
                        <w:r>
                          <w:rPr>
                            <w:sz w:val="18"/>
                          </w:rPr>
                          <w:t>(0.011)</w:t>
                        </w:r>
                      </w:p>
                    </w:tc>
                  </w:tr>
                  <w:tr>
                    <w:trPr>
                      <w:trHeight w:val="1574" w:hRule="exact"/>
                    </w:trPr>
                    <w:tc>
                      <w:tcPr>
                        <w:tcW w:w="2133" w:type="dxa"/>
                        <w:tcBorders>
                          <w:top w:val="nil"/>
                          <w:left w:val="nil"/>
                          <w:bottom w:val="nil"/>
                          <w:right w:val="nil"/>
                        </w:tcBorders>
                      </w:tcPr>
                      <w:p>
                        <w:pPr>
                          <w:pStyle w:val="TableParagraph"/>
                          <w:spacing w:before="5"/>
                          <w:jc w:val="left"/>
                          <w:rPr>
                            <w:sz w:val="26"/>
                          </w:rPr>
                        </w:pPr>
                      </w:p>
                      <w:p>
                        <w:pPr>
                          <w:pStyle w:val="TableParagraph"/>
                          <w:spacing w:line="244" w:lineRule="auto" w:before="1"/>
                          <w:ind w:left="48" w:right="1015"/>
                          <w:jc w:val="left"/>
                          <w:rPr>
                            <w:sz w:val="18"/>
                          </w:rPr>
                        </w:pPr>
                        <w:r>
                          <w:rPr>
                            <w:sz w:val="18"/>
                          </w:rPr>
                          <w:t>Peones y otros no calificados </w:t>
                        </w:r>
                        <w:r>
                          <w:rPr>
                            <w:w w:val="95"/>
                            <w:sz w:val="18"/>
                          </w:rPr>
                          <w:t>Micronegocios </w:t>
                        </w:r>
                        <w:r>
                          <w:rPr>
                            <w:sz w:val="18"/>
                          </w:rPr>
                          <w:t>no agrícolas Petróleo</w:t>
                        </w:r>
                      </w:p>
                      <w:p>
                        <w:pPr>
                          <w:pStyle w:val="TableParagraph"/>
                          <w:tabs>
                            <w:tab w:pos="1320" w:val="left" w:leader="none"/>
                          </w:tabs>
                          <w:spacing w:line="206" w:lineRule="exact"/>
                          <w:ind w:left="48"/>
                          <w:jc w:val="left"/>
                          <w:rPr>
                            <w:sz w:val="18"/>
                          </w:rPr>
                        </w:pPr>
                        <w:r>
                          <w:rPr>
                            <w:sz w:val="18"/>
                          </w:rPr>
                          <w:t>Constante</w:t>
                          <w:tab/>
                          <w:t>0.7242***</w:t>
                        </w:r>
                      </w:p>
                    </w:tc>
                    <w:tc>
                      <w:tcPr>
                        <w:tcW w:w="963" w:type="dxa"/>
                        <w:tcBorders>
                          <w:top w:val="nil"/>
                          <w:left w:val="nil"/>
                          <w:bottom w:val="nil"/>
                          <w:right w:val="nil"/>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4"/>
                          <w:ind w:right="60"/>
                          <w:rPr>
                            <w:sz w:val="18"/>
                          </w:rPr>
                        </w:pPr>
                        <w:r>
                          <w:rPr>
                            <w:w w:val="95"/>
                            <w:sz w:val="18"/>
                          </w:rPr>
                          <w:t>0.7572***</w:t>
                        </w:r>
                      </w:p>
                    </w:tc>
                    <w:tc>
                      <w:tcPr>
                        <w:tcW w:w="963" w:type="dxa"/>
                        <w:tcBorders>
                          <w:top w:val="nil"/>
                          <w:left w:val="nil"/>
                          <w:bottom w:val="nil"/>
                          <w:right w:val="nil"/>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4"/>
                          <w:ind w:right="61"/>
                          <w:rPr>
                            <w:sz w:val="18"/>
                          </w:rPr>
                        </w:pPr>
                        <w:r>
                          <w:rPr>
                            <w:w w:val="95"/>
                            <w:sz w:val="18"/>
                          </w:rPr>
                          <w:t>0.0563**</w:t>
                        </w:r>
                      </w:p>
                    </w:tc>
                    <w:tc>
                      <w:tcPr>
                        <w:tcW w:w="969" w:type="dxa"/>
                        <w:tcBorders>
                          <w:top w:val="nil"/>
                          <w:left w:val="nil"/>
                          <w:bottom w:val="nil"/>
                          <w:right w:val="nil"/>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4"/>
                          <w:ind w:right="66"/>
                          <w:rPr>
                            <w:sz w:val="18"/>
                          </w:rPr>
                        </w:pPr>
                        <w:r>
                          <w:rPr>
                            <w:w w:val="95"/>
                            <w:sz w:val="18"/>
                          </w:rPr>
                          <w:t>-0.1027***</w:t>
                        </w:r>
                      </w:p>
                    </w:tc>
                    <w:tc>
                      <w:tcPr>
                        <w:tcW w:w="924" w:type="dxa"/>
                        <w:tcBorders>
                          <w:top w:val="nil"/>
                          <w:left w:val="nil"/>
                          <w:bottom w:val="nil"/>
                          <w:right w:val="nil"/>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4"/>
                          <w:ind w:right="15"/>
                          <w:rPr>
                            <w:sz w:val="18"/>
                          </w:rPr>
                        </w:pPr>
                        <w:r>
                          <w:rPr>
                            <w:w w:val="95"/>
                            <w:sz w:val="18"/>
                          </w:rPr>
                          <w:t>0.0205</w:t>
                        </w:r>
                      </w:p>
                    </w:tc>
                  </w:tr>
                  <w:tr>
                    <w:trPr>
                      <w:trHeight w:val="210" w:hRule="exact"/>
                    </w:trPr>
                    <w:tc>
                      <w:tcPr>
                        <w:tcW w:w="2133" w:type="dxa"/>
                        <w:tcBorders>
                          <w:top w:val="nil"/>
                          <w:left w:val="nil"/>
                          <w:bottom w:val="nil"/>
                          <w:right w:val="nil"/>
                        </w:tcBorders>
                      </w:tcPr>
                      <w:p>
                        <w:pPr>
                          <w:pStyle w:val="TableParagraph"/>
                          <w:spacing w:line="199" w:lineRule="exact"/>
                          <w:ind w:right="59"/>
                          <w:rPr>
                            <w:sz w:val="18"/>
                          </w:rPr>
                        </w:pPr>
                        <w:r>
                          <w:rPr>
                            <w:w w:val="95"/>
                            <w:sz w:val="18"/>
                          </w:rPr>
                          <w:t>(0.004)</w:t>
                        </w:r>
                      </w:p>
                    </w:tc>
                    <w:tc>
                      <w:tcPr>
                        <w:tcW w:w="963" w:type="dxa"/>
                        <w:tcBorders>
                          <w:top w:val="nil"/>
                          <w:left w:val="nil"/>
                          <w:bottom w:val="nil"/>
                          <w:right w:val="nil"/>
                        </w:tcBorders>
                      </w:tcPr>
                      <w:p>
                        <w:pPr>
                          <w:pStyle w:val="TableParagraph"/>
                          <w:spacing w:line="199" w:lineRule="exact"/>
                          <w:ind w:right="59"/>
                          <w:rPr>
                            <w:sz w:val="18"/>
                          </w:rPr>
                        </w:pPr>
                        <w:r>
                          <w:rPr>
                            <w:w w:val="95"/>
                            <w:sz w:val="18"/>
                          </w:rPr>
                          <w:t>(0.011)</w:t>
                        </w:r>
                      </w:p>
                    </w:tc>
                    <w:tc>
                      <w:tcPr>
                        <w:tcW w:w="963" w:type="dxa"/>
                        <w:tcBorders>
                          <w:top w:val="nil"/>
                          <w:left w:val="nil"/>
                          <w:bottom w:val="nil"/>
                          <w:right w:val="nil"/>
                        </w:tcBorders>
                      </w:tcPr>
                      <w:p>
                        <w:pPr>
                          <w:pStyle w:val="TableParagraph"/>
                          <w:spacing w:line="199" w:lineRule="exact"/>
                          <w:ind w:right="59"/>
                          <w:rPr>
                            <w:sz w:val="18"/>
                          </w:rPr>
                        </w:pPr>
                        <w:r>
                          <w:rPr>
                            <w:w w:val="95"/>
                            <w:sz w:val="18"/>
                          </w:rPr>
                          <w:t>(0.018)</w:t>
                        </w:r>
                      </w:p>
                    </w:tc>
                    <w:tc>
                      <w:tcPr>
                        <w:tcW w:w="969" w:type="dxa"/>
                        <w:tcBorders>
                          <w:top w:val="nil"/>
                          <w:left w:val="nil"/>
                          <w:bottom w:val="nil"/>
                          <w:right w:val="nil"/>
                        </w:tcBorders>
                      </w:tcPr>
                      <w:p>
                        <w:pPr>
                          <w:pStyle w:val="TableParagraph"/>
                          <w:spacing w:line="199" w:lineRule="exact"/>
                          <w:ind w:right="65"/>
                          <w:rPr>
                            <w:sz w:val="18"/>
                          </w:rPr>
                        </w:pPr>
                        <w:r>
                          <w:rPr>
                            <w:w w:val="95"/>
                            <w:sz w:val="18"/>
                          </w:rPr>
                          <w:t>(0.023)</w:t>
                        </w:r>
                      </w:p>
                    </w:tc>
                    <w:tc>
                      <w:tcPr>
                        <w:tcW w:w="924" w:type="dxa"/>
                        <w:tcBorders>
                          <w:top w:val="nil"/>
                          <w:left w:val="nil"/>
                          <w:bottom w:val="nil"/>
                          <w:right w:val="nil"/>
                        </w:tcBorders>
                      </w:tcPr>
                      <w:p>
                        <w:pPr>
                          <w:pStyle w:val="TableParagraph"/>
                          <w:spacing w:line="199" w:lineRule="exact"/>
                          <w:ind w:right="14"/>
                          <w:rPr>
                            <w:sz w:val="18"/>
                          </w:rPr>
                        </w:pPr>
                        <w:r>
                          <w:rPr>
                            <w:w w:val="95"/>
                            <w:sz w:val="18"/>
                          </w:rPr>
                          <w:t>(0.025)</w:t>
                        </w:r>
                      </w:p>
                    </w:tc>
                  </w:tr>
                  <w:tr>
                    <w:trPr>
                      <w:trHeight w:val="261" w:hRule="exact"/>
                    </w:trPr>
                    <w:tc>
                      <w:tcPr>
                        <w:tcW w:w="2133" w:type="dxa"/>
                        <w:tcBorders>
                          <w:top w:val="nil"/>
                          <w:left w:val="nil"/>
                          <w:bottom w:val="nil"/>
                          <w:right w:val="nil"/>
                        </w:tcBorders>
                      </w:tcPr>
                      <w:p>
                        <w:pPr>
                          <w:pStyle w:val="TableParagraph"/>
                          <w:tabs>
                            <w:tab w:pos="1360" w:val="left" w:leader="none"/>
                          </w:tabs>
                          <w:spacing w:line="199" w:lineRule="exact"/>
                          <w:ind w:right="61"/>
                          <w:rPr>
                            <w:sz w:val="18"/>
                          </w:rPr>
                        </w:pPr>
                        <w:r>
                          <w:rPr>
                            <w:sz w:val="18"/>
                          </w:rPr>
                          <w:t>Seudo</w:t>
                        </w:r>
                        <w:r>
                          <w:rPr>
                            <w:spacing w:val="-5"/>
                            <w:sz w:val="18"/>
                          </w:rPr>
                          <w:t> </w:t>
                        </w:r>
                        <w:r>
                          <w:rPr>
                            <w:sz w:val="18"/>
                          </w:rPr>
                          <w:t>R</w:t>
                        </w:r>
                        <w:r>
                          <w:rPr>
                            <w:position w:val="8"/>
                            <w:sz w:val="12"/>
                          </w:rPr>
                          <w:t>2</w:t>
                          <w:tab/>
                        </w:r>
                        <w:r>
                          <w:rPr>
                            <w:w w:val="95"/>
                            <w:sz w:val="18"/>
                          </w:rPr>
                          <w:t>0.023568</w:t>
                        </w:r>
                      </w:p>
                    </w:tc>
                    <w:tc>
                      <w:tcPr>
                        <w:tcW w:w="963" w:type="dxa"/>
                        <w:tcBorders>
                          <w:top w:val="nil"/>
                          <w:left w:val="nil"/>
                          <w:bottom w:val="nil"/>
                          <w:right w:val="nil"/>
                        </w:tcBorders>
                      </w:tcPr>
                      <w:p>
                        <w:pPr>
                          <w:pStyle w:val="TableParagraph"/>
                          <w:spacing w:line="199" w:lineRule="exact"/>
                          <w:ind w:right="61"/>
                          <w:rPr>
                            <w:sz w:val="18"/>
                          </w:rPr>
                        </w:pPr>
                        <w:r>
                          <w:rPr>
                            <w:w w:val="95"/>
                            <w:sz w:val="18"/>
                          </w:rPr>
                          <w:t>0.026723</w:t>
                        </w:r>
                      </w:p>
                    </w:tc>
                    <w:tc>
                      <w:tcPr>
                        <w:tcW w:w="963" w:type="dxa"/>
                        <w:tcBorders>
                          <w:top w:val="nil"/>
                          <w:left w:val="nil"/>
                          <w:bottom w:val="nil"/>
                          <w:right w:val="nil"/>
                        </w:tcBorders>
                      </w:tcPr>
                      <w:p>
                        <w:pPr>
                          <w:pStyle w:val="TableParagraph"/>
                          <w:spacing w:line="199" w:lineRule="exact"/>
                          <w:ind w:right="61"/>
                          <w:rPr>
                            <w:sz w:val="18"/>
                          </w:rPr>
                        </w:pPr>
                        <w:r>
                          <w:rPr>
                            <w:w w:val="95"/>
                            <w:sz w:val="18"/>
                          </w:rPr>
                          <w:t>0.045364</w:t>
                        </w:r>
                      </w:p>
                    </w:tc>
                    <w:tc>
                      <w:tcPr>
                        <w:tcW w:w="969" w:type="dxa"/>
                        <w:tcBorders>
                          <w:top w:val="nil"/>
                          <w:left w:val="nil"/>
                          <w:bottom w:val="nil"/>
                          <w:right w:val="nil"/>
                        </w:tcBorders>
                      </w:tcPr>
                      <w:p>
                        <w:pPr>
                          <w:pStyle w:val="TableParagraph"/>
                          <w:spacing w:line="199" w:lineRule="exact"/>
                          <w:ind w:right="66"/>
                          <w:rPr>
                            <w:sz w:val="18"/>
                          </w:rPr>
                        </w:pPr>
                        <w:r>
                          <w:rPr>
                            <w:w w:val="95"/>
                            <w:sz w:val="18"/>
                          </w:rPr>
                          <w:t>0.111267</w:t>
                        </w:r>
                      </w:p>
                    </w:tc>
                    <w:tc>
                      <w:tcPr>
                        <w:tcW w:w="924" w:type="dxa"/>
                        <w:tcBorders>
                          <w:top w:val="nil"/>
                          <w:left w:val="nil"/>
                          <w:bottom w:val="nil"/>
                          <w:right w:val="nil"/>
                        </w:tcBorders>
                      </w:tcPr>
                      <w:p>
                        <w:pPr>
                          <w:pStyle w:val="TableParagraph"/>
                          <w:spacing w:line="199" w:lineRule="exact"/>
                          <w:ind w:right="15"/>
                          <w:rPr>
                            <w:sz w:val="18"/>
                          </w:rPr>
                        </w:pPr>
                        <w:r>
                          <w:rPr>
                            <w:w w:val="95"/>
                            <w:sz w:val="18"/>
                          </w:rPr>
                          <w:t>0.126783</w:t>
                        </w:r>
                      </w:p>
                    </w:tc>
                  </w:tr>
                  <w:tr>
                    <w:trPr>
                      <w:trHeight w:val="366" w:hRule="exact"/>
                    </w:trPr>
                    <w:tc>
                      <w:tcPr>
                        <w:tcW w:w="2133" w:type="dxa"/>
                        <w:tcBorders>
                          <w:top w:val="nil"/>
                          <w:left w:val="nil"/>
                          <w:bottom w:val="nil"/>
                          <w:right w:val="nil"/>
                        </w:tcBorders>
                      </w:tcPr>
                      <w:p>
                        <w:pPr>
                          <w:pStyle w:val="TableParagraph"/>
                          <w:spacing w:line="95" w:lineRule="exact"/>
                          <w:ind w:left="48" w:right="1015"/>
                          <w:jc w:val="left"/>
                          <w:rPr>
                            <w:sz w:val="18"/>
                          </w:rPr>
                        </w:pPr>
                        <w:r>
                          <w:rPr>
                            <w:sz w:val="18"/>
                          </w:rPr>
                          <w:t>Min sum of</w:t>
                        </w:r>
                      </w:p>
                      <w:p>
                        <w:pPr>
                          <w:pStyle w:val="TableParagraph"/>
                          <w:tabs>
                            <w:tab w:pos="1231" w:val="left" w:leader="none"/>
                          </w:tabs>
                          <w:spacing w:line="264" w:lineRule="exact"/>
                          <w:ind w:left="48"/>
                          <w:jc w:val="left"/>
                          <w:rPr>
                            <w:sz w:val="18"/>
                          </w:rPr>
                        </w:pPr>
                        <w:r>
                          <w:rPr>
                            <w:position w:val="-10"/>
                            <w:sz w:val="18"/>
                          </w:rPr>
                          <w:t>deviations</w:t>
                          <w:tab/>
                        </w:r>
                        <w:r>
                          <w:rPr>
                            <w:sz w:val="18"/>
                          </w:rPr>
                          <w:t>17697.6314</w:t>
                        </w:r>
                      </w:p>
                    </w:tc>
                    <w:tc>
                      <w:tcPr>
                        <w:tcW w:w="963" w:type="dxa"/>
                        <w:tcBorders>
                          <w:top w:val="nil"/>
                          <w:left w:val="nil"/>
                          <w:bottom w:val="nil"/>
                          <w:right w:val="nil"/>
                        </w:tcBorders>
                      </w:tcPr>
                      <w:p>
                        <w:pPr>
                          <w:pStyle w:val="TableParagraph"/>
                          <w:spacing w:before="42"/>
                          <w:ind w:right="60"/>
                          <w:rPr>
                            <w:sz w:val="18"/>
                          </w:rPr>
                        </w:pPr>
                        <w:r>
                          <w:rPr>
                            <w:w w:val="95"/>
                            <w:sz w:val="18"/>
                          </w:rPr>
                          <w:t>17640.4537</w:t>
                        </w:r>
                      </w:p>
                    </w:tc>
                    <w:tc>
                      <w:tcPr>
                        <w:tcW w:w="963" w:type="dxa"/>
                        <w:tcBorders>
                          <w:top w:val="nil"/>
                          <w:left w:val="nil"/>
                          <w:bottom w:val="nil"/>
                          <w:right w:val="nil"/>
                        </w:tcBorders>
                      </w:tcPr>
                      <w:p>
                        <w:pPr>
                          <w:pStyle w:val="TableParagraph"/>
                          <w:spacing w:before="42"/>
                          <w:ind w:right="60"/>
                          <w:rPr>
                            <w:sz w:val="18"/>
                          </w:rPr>
                        </w:pPr>
                        <w:r>
                          <w:rPr>
                            <w:w w:val="95"/>
                            <w:sz w:val="18"/>
                          </w:rPr>
                          <w:t>17302.5826</w:t>
                        </w:r>
                      </w:p>
                    </w:tc>
                    <w:tc>
                      <w:tcPr>
                        <w:tcW w:w="969" w:type="dxa"/>
                        <w:tcBorders>
                          <w:top w:val="nil"/>
                          <w:left w:val="nil"/>
                          <w:bottom w:val="nil"/>
                          <w:right w:val="nil"/>
                        </w:tcBorders>
                      </w:tcPr>
                      <w:p>
                        <w:pPr>
                          <w:pStyle w:val="TableParagraph"/>
                          <w:spacing w:before="42"/>
                          <w:ind w:right="66"/>
                          <w:rPr>
                            <w:sz w:val="18"/>
                          </w:rPr>
                        </w:pPr>
                        <w:r>
                          <w:rPr>
                            <w:w w:val="95"/>
                            <w:sz w:val="18"/>
                          </w:rPr>
                          <w:t>16108.1125</w:t>
                        </w:r>
                      </w:p>
                    </w:tc>
                    <w:tc>
                      <w:tcPr>
                        <w:tcW w:w="924" w:type="dxa"/>
                        <w:tcBorders>
                          <w:top w:val="nil"/>
                          <w:left w:val="nil"/>
                          <w:bottom w:val="nil"/>
                          <w:right w:val="nil"/>
                        </w:tcBorders>
                      </w:tcPr>
                      <w:p>
                        <w:pPr>
                          <w:pStyle w:val="TableParagraph"/>
                          <w:spacing w:before="42"/>
                          <w:ind w:right="15"/>
                          <w:rPr>
                            <w:sz w:val="18"/>
                          </w:rPr>
                        </w:pPr>
                        <w:r>
                          <w:rPr>
                            <w:w w:val="95"/>
                            <w:sz w:val="18"/>
                          </w:rPr>
                          <w:t>15826.8826</w:t>
                        </w:r>
                      </w:p>
                    </w:tc>
                  </w:tr>
                  <w:tr>
                    <w:trPr>
                      <w:trHeight w:val="368" w:hRule="exact"/>
                    </w:trPr>
                    <w:tc>
                      <w:tcPr>
                        <w:tcW w:w="2133" w:type="dxa"/>
                        <w:tcBorders>
                          <w:top w:val="nil"/>
                          <w:left w:val="nil"/>
                          <w:bottom w:val="nil"/>
                          <w:right w:val="nil"/>
                        </w:tcBorders>
                      </w:tcPr>
                      <w:p>
                        <w:pPr>
                          <w:pStyle w:val="TableParagraph"/>
                          <w:spacing w:line="148" w:lineRule="exact"/>
                          <w:ind w:left="48" w:right="1015"/>
                          <w:jc w:val="left"/>
                          <w:rPr>
                            <w:sz w:val="18"/>
                          </w:rPr>
                        </w:pPr>
                        <w:r>
                          <w:rPr>
                            <w:sz w:val="18"/>
                          </w:rPr>
                          <w:t>Raw sum of</w:t>
                        </w:r>
                      </w:p>
                      <w:p>
                        <w:pPr>
                          <w:pStyle w:val="TableParagraph"/>
                          <w:tabs>
                            <w:tab w:pos="1231" w:val="left" w:leader="none"/>
                          </w:tabs>
                          <w:spacing w:line="260" w:lineRule="exact"/>
                          <w:ind w:left="48"/>
                          <w:jc w:val="left"/>
                          <w:rPr>
                            <w:sz w:val="18"/>
                          </w:rPr>
                        </w:pPr>
                        <w:r>
                          <w:rPr>
                            <w:position w:val="-10"/>
                            <w:sz w:val="18"/>
                          </w:rPr>
                          <w:t>deviations</w:t>
                          <w:tab/>
                        </w:r>
                        <w:r>
                          <w:rPr>
                            <w:sz w:val="18"/>
                          </w:rPr>
                          <w:t>18124.8030</w:t>
                        </w:r>
                      </w:p>
                    </w:tc>
                    <w:tc>
                      <w:tcPr>
                        <w:tcW w:w="963" w:type="dxa"/>
                        <w:tcBorders>
                          <w:top w:val="nil"/>
                          <w:left w:val="nil"/>
                          <w:bottom w:val="nil"/>
                          <w:right w:val="nil"/>
                        </w:tcBorders>
                      </w:tcPr>
                      <w:p>
                        <w:pPr>
                          <w:pStyle w:val="TableParagraph"/>
                          <w:spacing w:before="97"/>
                          <w:ind w:right="60"/>
                          <w:rPr>
                            <w:sz w:val="18"/>
                          </w:rPr>
                        </w:pPr>
                        <w:r>
                          <w:rPr>
                            <w:w w:val="95"/>
                            <w:sz w:val="18"/>
                          </w:rPr>
                          <w:t>18124.8030</w:t>
                        </w:r>
                      </w:p>
                    </w:tc>
                    <w:tc>
                      <w:tcPr>
                        <w:tcW w:w="963" w:type="dxa"/>
                        <w:tcBorders>
                          <w:top w:val="nil"/>
                          <w:left w:val="nil"/>
                          <w:bottom w:val="nil"/>
                          <w:right w:val="nil"/>
                        </w:tcBorders>
                      </w:tcPr>
                      <w:p>
                        <w:pPr>
                          <w:pStyle w:val="TableParagraph"/>
                          <w:spacing w:before="97"/>
                          <w:ind w:right="60"/>
                          <w:rPr>
                            <w:sz w:val="18"/>
                          </w:rPr>
                        </w:pPr>
                        <w:r>
                          <w:rPr>
                            <w:w w:val="95"/>
                            <w:sz w:val="18"/>
                          </w:rPr>
                          <w:t>18124.8030</w:t>
                        </w:r>
                      </w:p>
                    </w:tc>
                    <w:tc>
                      <w:tcPr>
                        <w:tcW w:w="969" w:type="dxa"/>
                        <w:tcBorders>
                          <w:top w:val="nil"/>
                          <w:left w:val="nil"/>
                          <w:bottom w:val="nil"/>
                          <w:right w:val="nil"/>
                        </w:tcBorders>
                      </w:tcPr>
                      <w:p>
                        <w:pPr>
                          <w:pStyle w:val="TableParagraph"/>
                          <w:spacing w:before="97"/>
                          <w:ind w:right="66"/>
                          <w:rPr>
                            <w:sz w:val="18"/>
                          </w:rPr>
                        </w:pPr>
                        <w:r>
                          <w:rPr>
                            <w:w w:val="95"/>
                            <w:sz w:val="18"/>
                          </w:rPr>
                          <w:t>18124.8030</w:t>
                        </w:r>
                      </w:p>
                    </w:tc>
                    <w:tc>
                      <w:tcPr>
                        <w:tcW w:w="924" w:type="dxa"/>
                        <w:tcBorders>
                          <w:top w:val="nil"/>
                          <w:left w:val="nil"/>
                          <w:bottom w:val="nil"/>
                          <w:right w:val="nil"/>
                        </w:tcBorders>
                      </w:tcPr>
                      <w:p>
                        <w:pPr>
                          <w:pStyle w:val="TableParagraph"/>
                          <w:spacing w:before="97"/>
                          <w:ind w:right="15"/>
                          <w:rPr>
                            <w:sz w:val="18"/>
                          </w:rPr>
                        </w:pPr>
                        <w:r>
                          <w:rPr>
                            <w:w w:val="95"/>
                            <w:sz w:val="18"/>
                          </w:rPr>
                          <w:t>18124.8030</w:t>
                        </w:r>
                      </w:p>
                    </w:tc>
                  </w:tr>
                  <w:tr>
                    <w:trPr>
                      <w:trHeight w:val="261" w:hRule="exact"/>
                    </w:trPr>
                    <w:tc>
                      <w:tcPr>
                        <w:tcW w:w="2133" w:type="dxa"/>
                        <w:tcBorders>
                          <w:top w:val="nil"/>
                          <w:left w:val="nil"/>
                          <w:right w:val="nil"/>
                        </w:tcBorders>
                      </w:tcPr>
                      <w:p>
                        <w:pPr>
                          <w:pStyle w:val="TableParagraph"/>
                          <w:tabs>
                            <w:tab w:pos="1536" w:val="left" w:leader="none"/>
                          </w:tabs>
                          <w:spacing w:before="44"/>
                          <w:ind w:right="59"/>
                          <w:rPr>
                            <w:sz w:val="18"/>
                          </w:rPr>
                        </w:pPr>
                        <w:r>
                          <w:rPr>
                            <w:sz w:val="18"/>
                          </w:rPr>
                          <w:t>N</w:t>
                          <w:tab/>
                          <w:t>37</w:t>
                        </w:r>
                        <w:r>
                          <w:rPr>
                            <w:spacing w:val="-12"/>
                            <w:sz w:val="18"/>
                          </w:rPr>
                          <w:t> </w:t>
                        </w:r>
                        <w:r>
                          <w:rPr>
                            <w:sz w:val="18"/>
                          </w:rPr>
                          <w:t>982</w:t>
                        </w:r>
                      </w:p>
                    </w:tc>
                    <w:tc>
                      <w:tcPr>
                        <w:tcW w:w="963" w:type="dxa"/>
                        <w:tcBorders>
                          <w:top w:val="nil"/>
                          <w:left w:val="nil"/>
                          <w:right w:val="nil"/>
                        </w:tcBorders>
                      </w:tcPr>
                      <w:p>
                        <w:pPr>
                          <w:pStyle w:val="TableParagraph"/>
                          <w:spacing w:before="44"/>
                          <w:ind w:right="59"/>
                          <w:rPr>
                            <w:sz w:val="18"/>
                          </w:rPr>
                        </w:pPr>
                        <w:r>
                          <w:rPr>
                            <w:sz w:val="18"/>
                          </w:rPr>
                          <w:t>37 982</w:t>
                        </w:r>
                      </w:p>
                    </w:tc>
                    <w:tc>
                      <w:tcPr>
                        <w:tcW w:w="963" w:type="dxa"/>
                        <w:tcBorders>
                          <w:top w:val="nil"/>
                          <w:left w:val="nil"/>
                          <w:right w:val="nil"/>
                        </w:tcBorders>
                      </w:tcPr>
                      <w:p>
                        <w:pPr>
                          <w:pStyle w:val="TableParagraph"/>
                          <w:spacing w:before="44"/>
                          <w:ind w:right="59"/>
                          <w:rPr>
                            <w:sz w:val="18"/>
                          </w:rPr>
                        </w:pPr>
                        <w:r>
                          <w:rPr>
                            <w:sz w:val="18"/>
                          </w:rPr>
                          <w:t>37 982</w:t>
                        </w:r>
                      </w:p>
                    </w:tc>
                    <w:tc>
                      <w:tcPr>
                        <w:tcW w:w="969" w:type="dxa"/>
                        <w:tcBorders>
                          <w:top w:val="nil"/>
                          <w:left w:val="nil"/>
                          <w:right w:val="nil"/>
                        </w:tcBorders>
                      </w:tcPr>
                      <w:p>
                        <w:pPr>
                          <w:pStyle w:val="TableParagraph"/>
                          <w:spacing w:before="44"/>
                          <w:ind w:right="66"/>
                          <w:rPr>
                            <w:sz w:val="18"/>
                          </w:rPr>
                        </w:pPr>
                        <w:r>
                          <w:rPr>
                            <w:sz w:val="18"/>
                          </w:rPr>
                          <w:t>37 982</w:t>
                        </w:r>
                      </w:p>
                    </w:tc>
                    <w:tc>
                      <w:tcPr>
                        <w:tcW w:w="924" w:type="dxa"/>
                        <w:tcBorders>
                          <w:top w:val="nil"/>
                          <w:left w:val="nil"/>
                          <w:right w:val="nil"/>
                        </w:tcBorders>
                      </w:tcPr>
                      <w:p>
                        <w:pPr>
                          <w:pStyle w:val="TableParagraph"/>
                          <w:spacing w:before="44"/>
                          <w:ind w:right="15"/>
                          <w:rPr>
                            <w:sz w:val="18"/>
                          </w:rPr>
                        </w:pPr>
                        <w:r>
                          <w:rPr>
                            <w:sz w:val="18"/>
                          </w:rPr>
                          <w:t>37 982</w:t>
                        </w:r>
                      </w:p>
                    </w:tc>
                  </w:tr>
                </w:tbl>
                <w:p>
                  <w:pPr>
                    <w:pStyle w:val="BodyText"/>
                  </w:pPr>
                </w:p>
              </w:txbxContent>
            </v:textbox>
            <w10:wrap type="none"/>
          </v:shape>
        </w:pict>
      </w:r>
      <w:r>
        <w:rPr>
          <w:sz w:val="18"/>
        </w:rPr>
        <w:t>operarios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9"/>
        </w:rPr>
      </w:pPr>
    </w:p>
    <w:p>
      <w:pPr>
        <w:spacing w:before="85"/>
        <w:ind w:left="153" w:right="242" w:firstLine="0"/>
        <w:jc w:val="left"/>
        <w:rPr>
          <w:sz w:val="14"/>
        </w:rPr>
      </w:pPr>
      <w:r>
        <w:rPr>
          <w:sz w:val="14"/>
        </w:rPr>
        <w:t>Errores estándar en paréntesis (boostrap, 50).</w:t>
      </w:r>
    </w:p>
    <w:p>
      <w:pPr>
        <w:spacing w:before="5"/>
        <w:ind w:left="153" w:right="242" w:firstLine="0"/>
        <w:jc w:val="left"/>
        <w:rPr>
          <w:sz w:val="14"/>
        </w:rPr>
      </w:pPr>
      <w:r>
        <w:rPr>
          <w:sz w:val="14"/>
        </w:rPr>
        <w:t>Fuente: estimaciones propias con información de la ENOE, 2012, segundo trimestre.</w:t>
      </w:r>
    </w:p>
    <w:p>
      <w:pPr>
        <w:spacing w:before="10"/>
        <w:ind w:left="153" w:right="242" w:firstLine="0"/>
        <w:jc w:val="left"/>
        <w:rPr>
          <w:sz w:val="14"/>
        </w:rPr>
      </w:pPr>
      <w:r>
        <w:rPr>
          <w:sz w:val="14"/>
        </w:rPr>
        <w:t>* p &lt; 0.10 ** p &lt; 0.05 *** p &lt; 0.001.</w:t>
      </w:r>
    </w:p>
    <w:p>
      <w:pPr>
        <w:spacing w:after="0"/>
        <w:jc w:val="left"/>
        <w:rPr>
          <w:sz w:val="14"/>
        </w:rPr>
        <w:sectPr>
          <w:footerReference w:type="default" r:id="rId148"/>
          <w:pgSz w:w="7770" w:h="11740"/>
          <w:pgMar w:footer="474" w:header="0" w:top="900" w:bottom="660" w:left="660" w:right="940"/>
          <w:pgNumType w:start="118"/>
        </w:sectPr>
      </w:pPr>
    </w:p>
    <w:p>
      <w:pPr>
        <w:spacing w:line="252" w:lineRule="auto" w:before="70"/>
        <w:ind w:left="178" w:right="385" w:firstLine="0"/>
        <w:jc w:val="left"/>
        <w:rPr>
          <w:sz w:val="19"/>
        </w:rPr>
      </w:pPr>
      <w:r>
        <w:rPr/>
        <w:pict>
          <v:shape style="position:absolute;margin-left:139.789703pt;margin-top:42.700771pt;width:2.9pt;height:1.55pt;mso-position-horizontal-relative:page;mso-position-vertical-relative:paragraph;z-index:-333688" coordorigin="2796,854" coordsize="58,31" path="m2832,854l2819,854,2796,879,2801,884,2824,866,2843,866,2832,854xm2843,866l2825,866,2848,884,2854,879,2843,866xe" filled="true" fillcolor="#000000" stroked="false">
            <v:path arrowok="t"/>
            <v:fill type="solid"/>
            <w10:wrap type="none"/>
          </v:shape>
        </w:pict>
      </w:r>
      <w:r>
        <w:rPr/>
        <w:pict>
          <v:shape style="position:absolute;margin-left:194.269699pt;margin-top:42.700771pt;width:2.9pt;height:1.55pt;mso-position-horizontal-relative:page;mso-position-vertical-relative:paragraph;z-index:-333664" coordorigin="3885,854" coordsize="58,31" path="m3921,854l3908,854,3885,879,3891,884,3914,866,3932,866,3921,854xm3932,866l3915,866,3938,884,3943,879,3932,866xe" filled="true" fillcolor="#000000" stroked="false">
            <v:path arrowok="t"/>
            <v:fill type="solid"/>
            <w10:wrap type="none"/>
          </v:shape>
        </w:pict>
      </w:r>
      <w:r>
        <w:rPr/>
        <w:pict>
          <v:shape style="position:absolute;margin-left:248.749695pt;margin-top:42.700771pt;width:2.9pt;height:1.55pt;mso-position-horizontal-relative:page;mso-position-vertical-relative:paragraph;z-index:-333640" coordorigin="4975,854" coordsize="58,31" path="m5011,854l4998,854,4975,879,4980,884,5003,866,5022,866,5011,854xm5022,866l5004,866,5027,884,5033,879,5022,866xe" filled="true" fillcolor="#000000" stroked="false">
            <v:path arrowok="t"/>
            <v:fill type="solid"/>
            <w10:wrap type="none"/>
          </v:shape>
        </w:pict>
      </w:r>
      <w:r>
        <w:rPr/>
        <w:pict>
          <v:shape style="position:absolute;margin-left:306.109711pt;margin-top:42.700771pt;width:2.9pt;height:1.55pt;mso-position-horizontal-relative:page;mso-position-vertical-relative:paragraph;z-index:-333616" coordorigin="6122,854" coordsize="58,31" path="m6158,854l6145,854,6122,879,6128,884,6151,866,6169,866,6158,854xm6169,866l6152,866,6175,884,6180,879,6169,866xe" filled="true" fillcolor="#000000" stroked="false">
            <v:path arrowok="t"/>
            <v:fill type="solid"/>
            <w10:wrap type="none"/>
          </v:shape>
        </w:pict>
      </w:r>
      <w:r>
        <w:rPr>
          <w:w w:val="105"/>
          <w:sz w:val="19"/>
        </w:rPr>
        <w:t>Cuadro A. 2d. Resultados de las regresiones medianas del logaritmo de los ingresos laborales por hora (PPA USD). México, 2012</w:t>
      </w:r>
    </w:p>
    <w:p>
      <w:pPr>
        <w:pStyle w:val="BodyText"/>
        <w:spacing w:before="6"/>
        <w:rPr>
          <w:sz w:val="5"/>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0"/>
        <w:gridCol w:w="1282"/>
        <w:gridCol w:w="1090"/>
        <w:gridCol w:w="1146"/>
        <w:gridCol w:w="1142"/>
      </w:tblGrid>
      <w:tr>
        <w:trPr>
          <w:trHeight w:val="490" w:hRule="exact"/>
        </w:trPr>
        <w:tc>
          <w:tcPr>
            <w:tcW w:w="1150" w:type="dxa"/>
            <w:tcBorders>
              <w:left w:val="nil"/>
              <w:right w:val="nil"/>
            </w:tcBorders>
          </w:tcPr>
          <w:p>
            <w:pPr/>
          </w:p>
        </w:tc>
        <w:tc>
          <w:tcPr>
            <w:tcW w:w="1282" w:type="dxa"/>
            <w:tcBorders>
              <w:left w:val="nil"/>
              <w:right w:val="nil"/>
            </w:tcBorders>
          </w:tcPr>
          <w:p>
            <w:pPr>
              <w:pStyle w:val="TableParagraph"/>
              <w:spacing w:before="5"/>
              <w:ind w:left="424" w:right="234"/>
              <w:jc w:val="center"/>
              <w:rPr>
                <w:sz w:val="19"/>
              </w:rPr>
            </w:pPr>
            <w:r>
              <w:rPr>
                <w:w w:val="105"/>
                <w:sz w:val="19"/>
              </w:rPr>
              <w:t>(6)</w:t>
            </w:r>
          </w:p>
          <w:p>
            <w:pPr>
              <w:pStyle w:val="TableParagraph"/>
              <w:spacing w:before="32"/>
              <w:ind w:left="424" w:right="234"/>
              <w:jc w:val="center"/>
              <w:rPr>
                <w:sz w:val="19"/>
              </w:rPr>
            </w:pPr>
            <w:r>
              <w:rPr>
                <w:rFonts w:ascii="Cambria Math" w:eastAsia="Cambria Math"/>
                <w:w w:val="80"/>
                <w:sz w:val="19"/>
              </w:rPr>
              <w:t>𝛽𝛽</w:t>
            </w:r>
            <w:r>
              <w:rPr>
                <w:w w:val="80"/>
                <w:sz w:val="19"/>
              </w:rPr>
              <w:t>/(ee)</w:t>
            </w:r>
          </w:p>
        </w:tc>
        <w:tc>
          <w:tcPr>
            <w:tcW w:w="1090" w:type="dxa"/>
            <w:tcBorders>
              <w:left w:val="nil"/>
              <w:right w:val="nil"/>
            </w:tcBorders>
          </w:tcPr>
          <w:p>
            <w:pPr>
              <w:pStyle w:val="TableParagraph"/>
              <w:spacing w:before="5"/>
              <w:ind w:left="233" w:right="234"/>
              <w:jc w:val="center"/>
              <w:rPr>
                <w:sz w:val="19"/>
              </w:rPr>
            </w:pPr>
            <w:r>
              <w:rPr>
                <w:w w:val="105"/>
                <w:sz w:val="19"/>
              </w:rPr>
              <w:t>(7)</w:t>
            </w:r>
          </w:p>
          <w:p>
            <w:pPr>
              <w:pStyle w:val="TableParagraph"/>
              <w:spacing w:before="32"/>
              <w:ind w:left="233" w:right="234"/>
              <w:jc w:val="center"/>
              <w:rPr>
                <w:sz w:val="19"/>
              </w:rPr>
            </w:pPr>
            <w:r>
              <w:rPr>
                <w:rFonts w:ascii="Cambria Math" w:eastAsia="Cambria Math"/>
                <w:w w:val="80"/>
                <w:sz w:val="19"/>
              </w:rPr>
              <w:t>𝛽𝛽</w:t>
            </w:r>
            <w:r>
              <w:rPr>
                <w:w w:val="80"/>
                <w:sz w:val="19"/>
              </w:rPr>
              <w:t>/(ee)</w:t>
            </w:r>
          </w:p>
        </w:tc>
        <w:tc>
          <w:tcPr>
            <w:tcW w:w="1146" w:type="dxa"/>
            <w:tcBorders>
              <w:left w:val="nil"/>
              <w:right w:val="nil"/>
            </w:tcBorders>
          </w:tcPr>
          <w:p>
            <w:pPr>
              <w:pStyle w:val="TableParagraph"/>
              <w:spacing w:before="5"/>
              <w:ind w:left="234" w:right="289"/>
              <w:jc w:val="center"/>
              <w:rPr>
                <w:sz w:val="19"/>
              </w:rPr>
            </w:pPr>
            <w:r>
              <w:rPr>
                <w:w w:val="105"/>
                <w:sz w:val="19"/>
              </w:rPr>
              <w:t>(8)</w:t>
            </w:r>
          </w:p>
          <w:p>
            <w:pPr>
              <w:pStyle w:val="TableParagraph"/>
              <w:spacing w:before="32"/>
              <w:ind w:left="234" w:right="289"/>
              <w:jc w:val="center"/>
              <w:rPr>
                <w:sz w:val="19"/>
              </w:rPr>
            </w:pPr>
            <w:r>
              <w:rPr>
                <w:rFonts w:ascii="Cambria Math" w:eastAsia="Cambria Math"/>
                <w:w w:val="80"/>
                <w:sz w:val="19"/>
              </w:rPr>
              <w:t>𝛽𝛽</w:t>
            </w:r>
            <w:r>
              <w:rPr>
                <w:w w:val="80"/>
                <w:sz w:val="19"/>
              </w:rPr>
              <w:t>/(ee)</w:t>
            </w:r>
          </w:p>
        </w:tc>
        <w:tc>
          <w:tcPr>
            <w:tcW w:w="1142" w:type="dxa"/>
            <w:tcBorders>
              <w:left w:val="nil"/>
              <w:right w:val="nil"/>
            </w:tcBorders>
          </w:tcPr>
          <w:p>
            <w:pPr>
              <w:pStyle w:val="TableParagraph"/>
              <w:spacing w:before="5"/>
              <w:ind w:left="234" w:right="285"/>
              <w:jc w:val="center"/>
              <w:rPr>
                <w:sz w:val="19"/>
              </w:rPr>
            </w:pPr>
            <w:r>
              <w:rPr>
                <w:w w:val="105"/>
                <w:sz w:val="19"/>
              </w:rPr>
              <w:t>(9)</w:t>
            </w:r>
          </w:p>
          <w:p>
            <w:pPr>
              <w:pStyle w:val="TableParagraph"/>
              <w:spacing w:before="32"/>
              <w:ind w:left="234" w:right="285"/>
              <w:jc w:val="center"/>
              <w:rPr>
                <w:sz w:val="19"/>
              </w:rPr>
            </w:pPr>
            <w:r>
              <w:rPr>
                <w:rFonts w:ascii="Cambria Math" w:eastAsia="Cambria Math"/>
                <w:w w:val="80"/>
                <w:sz w:val="19"/>
              </w:rPr>
              <w:t>𝛽𝛽</w:t>
            </w:r>
            <w:r>
              <w:rPr>
                <w:w w:val="80"/>
                <w:sz w:val="19"/>
              </w:rPr>
              <w:t>/(ee)</w:t>
            </w:r>
          </w:p>
        </w:tc>
      </w:tr>
      <w:tr>
        <w:trPr>
          <w:trHeight w:val="242" w:hRule="exact"/>
        </w:trPr>
        <w:tc>
          <w:tcPr>
            <w:tcW w:w="2431" w:type="dxa"/>
            <w:gridSpan w:val="2"/>
            <w:tcBorders>
              <w:top w:val="nil"/>
              <w:left w:val="nil"/>
              <w:bottom w:val="nil"/>
              <w:right w:val="nil"/>
            </w:tcBorders>
          </w:tcPr>
          <w:p>
            <w:pPr>
              <w:pStyle w:val="TableParagraph"/>
              <w:tabs>
                <w:tab w:pos="1444" w:val="left" w:leader="none"/>
              </w:tabs>
              <w:spacing w:before="5"/>
              <w:ind w:left="72"/>
              <w:jc w:val="left"/>
              <w:rPr>
                <w:sz w:val="19"/>
              </w:rPr>
            </w:pPr>
            <w:r>
              <w:rPr>
                <w:w w:val="105"/>
                <w:sz w:val="19"/>
              </w:rPr>
              <w:t>Sureste</w:t>
              <w:tab/>
              <w:t>-0.1523***</w:t>
            </w:r>
          </w:p>
        </w:tc>
        <w:tc>
          <w:tcPr>
            <w:tcW w:w="1090" w:type="dxa"/>
            <w:tcBorders>
              <w:top w:val="nil"/>
              <w:left w:val="nil"/>
              <w:bottom w:val="nil"/>
              <w:right w:val="nil"/>
            </w:tcBorders>
          </w:tcPr>
          <w:p>
            <w:pPr>
              <w:pStyle w:val="TableParagraph"/>
              <w:spacing w:before="5"/>
              <w:ind w:right="68"/>
              <w:rPr>
                <w:sz w:val="19"/>
              </w:rPr>
            </w:pPr>
            <w:r>
              <w:rPr>
                <w:sz w:val="19"/>
              </w:rPr>
              <w:t>-0.1371***</w:t>
            </w:r>
          </w:p>
        </w:tc>
        <w:tc>
          <w:tcPr>
            <w:tcW w:w="1146" w:type="dxa"/>
            <w:tcBorders>
              <w:top w:val="nil"/>
              <w:left w:val="nil"/>
              <w:bottom w:val="nil"/>
              <w:right w:val="nil"/>
            </w:tcBorders>
          </w:tcPr>
          <w:p>
            <w:pPr>
              <w:pStyle w:val="TableParagraph"/>
              <w:spacing w:before="5"/>
              <w:ind w:right="124"/>
              <w:rPr>
                <w:sz w:val="19"/>
              </w:rPr>
            </w:pPr>
            <w:r>
              <w:rPr>
                <w:sz w:val="19"/>
              </w:rPr>
              <w:t>-0.1272***</w:t>
            </w:r>
          </w:p>
        </w:tc>
        <w:tc>
          <w:tcPr>
            <w:tcW w:w="1142" w:type="dxa"/>
            <w:tcBorders>
              <w:top w:val="nil"/>
              <w:left w:val="nil"/>
              <w:bottom w:val="nil"/>
              <w:right w:val="nil"/>
            </w:tcBorders>
          </w:tcPr>
          <w:p>
            <w:pPr>
              <w:pStyle w:val="TableParagraph"/>
              <w:spacing w:before="5"/>
              <w:ind w:right="64"/>
              <w:rPr>
                <w:sz w:val="19"/>
              </w:rPr>
            </w:pPr>
            <w:r>
              <w:rPr>
                <w:sz w:val="19"/>
              </w:rPr>
              <w:t>-0.1520***</w:t>
            </w:r>
          </w:p>
        </w:tc>
      </w:tr>
      <w:tr>
        <w:trPr>
          <w:trHeight w:val="230" w:hRule="exact"/>
        </w:trPr>
        <w:tc>
          <w:tcPr>
            <w:tcW w:w="2431" w:type="dxa"/>
            <w:gridSpan w:val="2"/>
            <w:tcBorders>
              <w:top w:val="nil"/>
              <w:left w:val="nil"/>
              <w:bottom w:val="nil"/>
              <w:right w:val="nil"/>
            </w:tcBorders>
          </w:tcPr>
          <w:p>
            <w:pPr>
              <w:pStyle w:val="TableParagraph"/>
              <w:spacing w:line="216" w:lineRule="exact"/>
              <w:ind w:right="67"/>
              <w:rPr>
                <w:sz w:val="19"/>
              </w:rPr>
            </w:pPr>
            <w:r>
              <w:rPr>
                <w:sz w:val="19"/>
              </w:rPr>
              <w:t>(0.015)</w:t>
            </w:r>
          </w:p>
        </w:tc>
        <w:tc>
          <w:tcPr>
            <w:tcW w:w="1090" w:type="dxa"/>
            <w:tcBorders>
              <w:top w:val="nil"/>
              <w:left w:val="nil"/>
              <w:bottom w:val="nil"/>
              <w:right w:val="nil"/>
            </w:tcBorders>
          </w:tcPr>
          <w:p>
            <w:pPr>
              <w:pStyle w:val="TableParagraph"/>
              <w:spacing w:line="216" w:lineRule="exact"/>
              <w:ind w:right="67"/>
              <w:rPr>
                <w:sz w:val="19"/>
              </w:rPr>
            </w:pPr>
            <w:r>
              <w:rPr>
                <w:sz w:val="19"/>
              </w:rPr>
              <w:t>(0.015)</w:t>
            </w:r>
          </w:p>
        </w:tc>
        <w:tc>
          <w:tcPr>
            <w:tcW w:w="1146" w:type="dxa"/>
            <w:tcBorders>
              <w:top w:val="nil"/>
              <w:left w:val="nil"/>
              <w:bottom w:val="nil"/>
              <w:right w:val="nil"/>
            </w:tcBorders>
          </w:tcPr>
          <w:p>
            <w:pPr>
              <w:pStyle w:val="TableParagraph"/>
              <w:spacing w:line="216" w:lineRule="exact"/>
              <w:ind w:right="123"/>
              <w:rPr>
                <w:sz w:val="19"/>
              </w:rPr>
            </w:pPr>
            <w:r>
              <w:rPr>
                <w:sz w:val="19"/>
              </w:rPr>
              <w:t>(0.016)</w:t>
            </w:r>
          </w:p>
        </w:tc>
        <w:tc>
          <w:tcPr>
            <w:tcW w:w="1142" w:type="dxa"/>
            <w:tcBorders>
              <w:top w:val="nil"/>
              <w:left w:val="nil"/>
              <w:bottom w:val="nil"/>
              <w:right w:val="nil"/>
            </w:tcBorders>
          </w:tcPr>
          <w:p>
            <w:pPr>
              <w:pStyle w:val="TableParagraph"/>
              <w:spacing w:line="216" w:lineRule="exact"/>
              <w:ind w:right="63"/>
              <w:rPr>
                <w:sz w:val="19"/>
              </w:rPr>
            </w:pPr>
            <w:r>
              <w:rPr>
                <w:sz w:val="19"/>
              </w:rPr>
              <w:t>(0.014)</w:t>
            </w:r>
          </w:p>
        </w:tc>
      </w:tr>
      <w:tr>
        <w:trPr>
          <w:trHeight w:val="230" w:hRule="exact"/>
        </w:trPr>
        <w:tc>
          <w:tcPr>
            <w:tcW w:w="2431" w:type="dxa"/>
            <w:gridSpan w:val="2"/>
            <w:tcBorders>
              <w:top w:val="nil"/>
              <w:left w:val="nil"/>
              <w:bottom w:val="nil"/>
              <w:right w:val="nil"/>
            </w:tcBorders>
          </w:tcPr>
          <w:p>
            <w:pPr>
              <w:pStyle w:val="TableParagraph"/>
              <w:tabs>
                <w:tab w:pos="1444" w:val="left" w:leader="none"/>
              </w:tabs>
              <w:spacing w:line="216" w:lineRule="exact"/>
              <w:ind w:left="72"/>
              <w:jc w:val="left"/>
              <w:rPr>
                <w:sz w:val="19"/>
              </w:rPr>
            </w:pPr>
            <w:r>
              <w:rPr>
                <w:w w:val="105"/>
                <w:sz w:val="19"/>
              </w:rPr>
              <w:t>Suroeste</w:t>
              <w:tab/>
              <w:t>-0.2301***</w:t>
            </w:r>
          </w:p>
        </w:tc>
        <w:tc>
          <w:tcPr>
            <w:tcW w:w="1090" w:type="dxa"/>
            <w:tcBorders>
              <w:top w:val="nil"/>
              <w:left w:val="nil"/>
              <w:bottom w:val="nil"/>
              <w:right w:val="nil"/>
            </w:tcBorders>
          </w:tcPr>
          <w:p>
            <w:pPr>
              <w:pStyle w:val="TableParagraph"/>
              <w:spacing w:line="216" w:lineRule="exact"/>
              <w:ind w:right="68"/>
              <w:rPr>
                <w:sz w:val="19"/>
              </w:rPr>
            </w:pPr>
            <w:r>
              <w:rPr>
                <w:sz w:val="19"/>
              </w:rPr>
              <w:t>-0.1949***</w:t>
            </w:r>
          </w:p>
        </w:tc>
        <w:tc>
          <w:tcPr>
            <w:tcW w:w="1146" w:type="dxa"/>
            <w:tcBorders>
              <w:top w:val="nil"/>
              <w:left w:val="nil"/>
              <w:bottom w:val="nil"/>
              <w:right w:val="nil"/>
            </w:tcBorders>
          </w:tcPr>
          <w:p>
            <w:pPr>
              <w:pStyle w:val="TableParagraph"/>
              <w:spacing w:line="216" w:lineRule="exact"/>
              <w:ind w:right="124"/>
              <w:rPr>
                <w:sz w:val="19"/>
              </w:rPr>
            </w:pPr>
            <w:r>
              <w:rPr>
                <w:sz w:val="19"/>
              </w:rPr>
              <w:t>-0.1839***</w:t>
            </w:r>
          </w:p>
        </w:tc>
        <w:tc>
          <w:tcPr>
            <w:tcW w:w="1142" w:type="dxa"/>
            <w:tcBorders>
              <w:top w:val="nil"/>
              <w:left w:val="nil"/>
              <w:bottom w:val="nil"/>
              <w:right w:val="nil"/>
            </w:tcBorders>
          </w:tcPr>
          <w:p>
            <w:pPr>
              <w:pStyle w:val="TableParagraph"/>
              <w:spacing w:line="216" w:lineRule="exact"/>
              <w:ind w:right="64"/>
              <w:rPr>
                <w:sz w:val="19"/>
              </w:rPr>
            </w:pPr>
            <w:r>
              <w:rPr>
                <w:sz w:val="19"/>
              </w:rPr>
              <w:t>-0.1880***</w:t>
            </w:r>
          </w:p>
        </w:tc>
      </w:tr>
      <w:tr>
        <w:trPr>
          <w:trHeight w:val="288" w:hRule="exact"/>
        </w:trPr>
        <w:tc>
          <w:tcPr>
            <w:tcW w:w="2431" w:type="dxa"/>
            <w:gridSpan w:val="2"/>
            <w:tcBorders>
              <w:top w:val="nil"/>
              <w:left w:val="nil"/>
              <w:bottom w:val="nil"/>
              <w:right w:val="nil"/>
            </w:tcBorders>
          </w:tcPr>
          <w:p>
            <w:pPr>
              <w:pStyle w:val="TableParagraph"/>
              <w:spacing w:line="216" w:lineRule="exact"/>
              <w:ind w:right="67"/>
              <w:rPr>
                <w:sz w:val="19"/>
              </w:rPr>
            </w:pPr>
            <w:r>
              <w:rPr>
                <w:sz w:val="19"/>
              </w:rPr>
              <w:t>(0.010)</w:t>
            </w:r>
          </w:p>
        </w:tc>
        <w:tc>
          <w:tcPr>
            <w:tcW w:w="1090" w:type="dxa"/>
            <w:tcBorders>
              <w:top w:val="nil"/>
              <w:left w:val="nil"/>
              <w:bottom w:val="nil"/>
              <w:right w:val="nil"/>
            </w:tcBorders>
          </w:tcPr>
          <w:p>
            <w:pPr>
              <w:pStyle w:val="TableParagraph"/>
              <w:spacing w:line="216" w:lineRule="exact"/>
              <w:ind w:right="67"/>
              <w:rPr>
                <w:sz w:val="19"/>
              </w:rPr>
            </w:pPr>
            <w:r>
              <w:rPr>
                <w:sz w:val="19"/>
              </w:rPr>
              <w:t>(0.013)</w:t>
            </w:r>
          </w:p>
        </w:tc>
        <w:tc>
          <w:tcPr>
            <w:tcW w:w="1146" w:type="dxa"/>
            <w:tcBorders>
              <w:top w:val="nil"/>
              <w:left w:val="nil"/>
              <w:bottom w:val="nil"/>
              <w:right w:val="nil"/>
            </w:tcBorders>
          </w:tcPr>
          <w:p>
            <w:pPr>
              <w:pStyle w:val="TableParagraph"/>
              <w:spacing w:line="216" w:lineRule="exact"/>
              <w:ind w:right="123"/>
              <w:rPr>
                <w:sz w:val="19"/>
              </w:rPr>
            </w:pPr>
            <w:r>
              <w:rPr>
                <w:sz w:val="19"/>
              </w:rPr>
              <w:t>(0.012)</w:t>
            </w:r>
          </w:p>
        </w:tc>
        <w:tc>
          <w:tcPr>
            <w:tcW w:w="1142" w:type="dxa"/>
            <w:tcBorders>
              <w:top w:val="nil"/>
              <w:left w:val="nil"/>
              <w:bottom w:val="nil"/>
              <w:right w:val="nil"/>
            </w:tcBorders>
          </w:tcPr>
          <w:p>
            <w:pPr>
              <w:pStyle w:val="TableParagraph"/>
              <w:spacing w:line="216" w:lineRule="exact"/>
              <w:ind w:right="63"/>
              <w:rPr>
                <w:sz w:val="19"/>
              </w:rPr>
            </w:pPr>
            <w:r>
              <w:rPr>
                <w:sz w:val="19"/>
              </w:rPr>
              <w:t>(0.011)</w:t>
            </w:r>
          </w:p>
        </w:tc>
      </w:tr>
      <w:tr>
        <w:trPr>
          <w:trHeight w:val="346" w:hRule="exact"/>
        </w:trPr>
        <w:tc>
          <w:tcPr>
            <w:tcW w:w="2431" w:type="dxa"/>
            <w:gridSpan w:val="2"/>
            <w:tcBorders>
              <w:top w:val="nil"/>
              <w:left w:val="nil"/>
              <w:bottom w:val="nil"/>
              <w:right w:val="nil"/>
            </w:tcBorders>
          </w:tcPr>
          <w:p>
            <w:pPr>
              <w:pStyle w:val="TableParagraph"/>
              <w:spacing w:line="107" w:lineRule="exact"/>
              <w:ind w:left="72"/>
              <w:jc w:val="left"/>
              <w:rPr>
                <w:sz w:val="19"/>
              </w:rPr>
            </w:pPr>
            <w:r>
              <w:rPr>
                <w:w w:val="105"/>
                <w:sz w:val="19"/>
              </w:rPr>
              <w:t>Residencia no</w:t>
            </w:r>
          </w:p>
          <w:p>
            <w:pPr>
              <w:pStyle w:val="TableParagraph"/>
              <w:tabs>
                <w:tab w:pos="1444" w:val="left" w:leader="none"/>
              </w:tabs>
              <w:spacing w:line="279" w:lineRule="exact"/>
              <w:ind w:left="72"/>
              <w:jc w:val="left"/>
              <w:rPr>
                <w:sz w:val="19"/>
              </w:rPr>
            </w:pPr>
            <w:r>
              <w:rPr>
                <w:w w:val="105"/>
                <w:position w:val="-11"/>
                <w:sz w:val="19"/>
              </w:rPr>
              <w:t>urbana</w:t>
              <w:tab/>
            </w:r>
            <w:r>
              <w:rPr>
                <w:w w:val="105"/>
                <w:sz w:val="19"/>
              </w:rPr>
              <w:t>-0.1554***</w:t>
            </w:r>
          </w:p>
        </w:tc>
        <w:tc>
          <w:tcPr>
            <w:tcW w:w="1090" w:type="dxa"/>
            <w:tcBorders>
              <w:top w:val="nil"/>
              <w:left w:val="nil"/>
              <w:bottom w:val="nil"/>
              <w:right w:val="nil"/>
            </w:tcBorders>
          </w:tcPr>
          <w:p>
            <w:pPr>
              <w:pStyle w:val="TableParagraph"/>
              <w:spacing w:before="55"/>
              <w:ind w:right="68"/>
              <w:rPr>
                <w:sz w:val="19"/>
              </w:rPr>
            </w:pPr>
            <w:r>
              <w:rPr>
                <w:sz w:val="19"/>
              </w:rPr>
              <w:t>-0.1069***</w:t>
            </w:r>
          </w:p>
        </w:tc>
        <w:tc>
          <w:tcPr>
            <w:tcW w:w="1146" w:type="dxa"/>
            <w:tcBorders>
              <w:top w:val="nil"/>
              <w:left w:val="nil"/>
              <w:bottom w:val="nil"/>
              <w:right w:val="nil"/>
            </w:tcBorders>
          </w:tcPr>
          <w:p>
            <w:pPr>
              <w:pStyle w:val="TableParagraph"/>
              <w:spacing w:before="55"/>
              <w:ind w:right="124"/>
              <w:rPr>
                <w:sz w:val="19"/>
              </w:rPr>
            </w:pPr>
            <w:r>
              <w:rPr>
                <w:sz w:val="19"/>
              </w:rPr>
              <w:t>-0.1080***</w:t>
            </w:r>
          </w:p>
        </w:tc>
        <w:tc>
          <w:tcPr>
            <w:tcW w:w="1142" w:type="dxa"/>
            <w:tcBorders>
              <w:top w:val="nil"/>
              <w:left w:val="nil"/>
              <w:bottom w:val="nil"/>
              <w:right w:val="nil"/>
            </w:tcBorders>
          </w:tcPr>
          <w:p>
            <w:pPr>
              <w:pStyle w:val="TableParagraph"/>
              <w:spacing w:before="55"/>
              <w:ind w:right="64"/>
              <w:rPr>
                <w:sz w:val="19"/>
              </w:rPr>
            </w:pPr>
            <w:r>
              <w:rPr>
                <w:sz w:val="19"/>
              </w:rPr>
              <w:t>-0.1079***</w:t>
            </w:r>
          </w:p>
        </w:tc>
      </w:tr>
      <w:tr>
        <w:trPr>
          <w:trHeight w:val="346" w:hRule="exact"/>
        </w:trPr>
        <w:tc>
          <w:tcPr>
            <w:tcW w:w="2431" w:type="dxa"/>
            <w:gridSpan w:val="2"/>
            <w:tcBorders>
              <w:top w:val="nil"/>
              <w:left w:val="nil"/>
              <w:bottom w:val="nil"/>
              <w:right w:val="nil"/>
            </w:tcBorders>
          </w:tcPr>
          <w:p>
            <w:pPr>
              <w:pStyle w:val="TableParagraph"/>
              <w:spacing w:before="55"/>
              <w:ind w:right="67"/>
              <w:rPr>
                <w:sz w:val="19"/>
              </w:rPr>
            </w:pPr>
            <w:r>
              <w:rPr>
                <w:sz w:val="19"/>
              </w:rPr>
              <w:t>(0.005)</w:t>
            </w:r>
          </w:p>
        </w:tc>
        <w:tc>
          <w:tcPr>
            <w:tcW w:w="1090" w:type="dxa"/>
            <w:tcBorders>
              <w:top w:val="nil"/>
              <w:left w:val="nil"/>
              <w:bottom w:val="nil"/>
              <w:right w:val="nil"/>
            </w:tcBorders>
          </w:tcPr>
          <w:p>
            <w:pPr>
              <w:pStyle w:val="TableParagraph"/>
              <w:spacing w:before="55"/>
              <w:ind w:right="67"/>
              <w:rPr>
                <w:sz w:val="19"/>
              </w:rPr>
            </w:pPr>
            <w:r>
              <w:rPr>
                <w:sz w:val="19"/>
              </w:rPr>
              <w:t>(0.008)</w:t>
            </w:r>
          </w:p>
        </w:tc>
        <w:tc>
          <w:tcPr>
            <w:tcW w:w="1146" w:type="dxa"/>
            <w:tcBorders>
              <w:top w:val="nil"/>
              <w:left w:val="nil"/>
              <w:bottom w:val="nil"/>
              <w:right w:val="nil"/>
            </w:tcBorders>
          </w:tcPr>
          <w:p>
            <w:pPr>
              <w:pStyle w:val="TableParagraph"/>
              <w:spacing w:before="55"/>
              <w:ind w:right="123"/>
              <w:rPr>
                <w:sz w:val="19"/>
              </w:rPr>
            </w:pPr>
            <w:r>
              <w:rPr>
                <w:sz w:val="19"/>
              </w:rPr>
              <w:t>(0.005)</w:t>
            </w:r>
          </w:p>
        </w:tc>
        <w:tc>
          <w:tcPr>
            <w:tcW w:w="1142" w:type="dxa"/>
            <w:tcBorders>
              <w:top w:val="nil"/>
              <w:left w:val="nil"/>
              <w:bottom w:val="nil"/>
              <w:right w:val="nil"/>
            </w:tcBorders>
          </w:tcPr>
          <w:p>
            <w:pPr>
              <w:pStyle w:val="TableParagraph"/>
              <w:spacing w:before="55"/>
              <w:ind w:right="63"/>
              <w:rPr>
                <w:sz w:val="19"/>
              </w:rPr>
            </w:pPr>
            <w:r>
              <w:rPr>
                <w:sz w:val="19"/>
              </w:rPr>
              <w:t>(0.006)</w:t>
            </w:r>
          </w:p>
        </w:tc>
      </w:tr>
      <w:tr>
        <w:trPr>
          <w:trHeight w:val="346" w:hRule="exact"/>
        </w:trPr>
        <w:tc>
          <w:tcPr>
            <w:tcW w:w="2431" w:type="dxa"/>
            <w:gridSpan w:val="2"/>
            <w:tcBorders>
              <w:top w:val="nil"/>
              <w:left w:val="nil"/>
              <w:bottom w:val="nil"/>
              <w:right w:val="nil"/>
            </w:tcBorders>
          </w:tcPr>
          <w:p>
            <w:pPr>
              <w:pStyle w:val="TableParagraph"/>
              <w:spacing w:line="159" w:lineRule="exact"/>
              <w:ind w:left="72"/>
              <w:jc w:val="left"/>
              <w:rPr>
                <w:sz w:val="19"/>
              </w:rPr>
            </w:pPr>
            <w:r>
              <w:rPr>
                <w:w w:val="105"/>
                <w:sz w:val="19"/>
              </w:rPr>
              <w:t>Vendedores y</w:t>
            </w:r>
          </w:p>
          <w:p>
            <w:pPr>
              <w:pStyle w:val="TableParagraph"/>
              <w:spacing w:line="215" w:lineRule="exact" w:before="12"/>
              <w:ind w:left="72"/>
              <w:jc w:val="left"/>
              <w:rPr>
                <w:sz w:val="19"/>
              </w:rPr>
            </w:pPr>
            <w:r>
              <w:rPr>
                <w:w w:val="105"/>
                <w:sz w:val="19"/>
              </w:rPr>
              <w:t>servicios</w:t>
            </w:r>
          </w:p>
        </w:tc>
        <w:tc>
          <w:tcPr>
            <w:tcW w:w="1090" w:type="dxa"/>
            <w:tcBorders>
              <w:top w:val="nil"/>
              <w:left w:val="nil"/>
              <w:bottom w:val="nil"/>
              <w:right w:val="nil"/>
            </w:tcBorders>
          </w:tcPr>
          <w:p>
            <w:pPr>
              <w:pStyle w:val="TableParagraph"/>
              <w:spacing w:before="55"/>
              <w:ind w:right="68"/>
              <w:rPr>
                <w:sz w:val="19"/>
              </w:rPr>
            </w:pPr>
            <w:r>
              <w:rPr>
                <w:sz w:val="19"/>
              </w:rPr>
              <w:t>-0.2169***</w:t>
            </w:r>
          </w:p>
        </w:tc>
        <w:tc>
          <w:tcPr>
            <w:tcW w:w="1146" w:type="dxa"/>
            <w:tcBorders>
              <w:top w:val="nil"/>
              <w:left w:val="nil"/>
              <w:bottom w:val="nil"/>
              <w:right w:val="nil"/>
            </w:tcBorders>
          </w:tcPr>
          <w:p>
            <w:pPr>
              <w:pStyle w:val="TableParagraph"/>
              <w:spacing w:before="55"/>
              <w:ind w:right="124"/>
              <w:rPr>
                <w:sz w:val="19"/>
              </w:rPr>
            </w:pPr>
            <w:r>
              <w:rPr>
                <w:sz w:val="19"/>
              </w:rPr>
              <w:t>-0.2111***</w:t>
            </w:r>
          </w:p>
        </w:tc>
        <w:tc>
          <w:tcPr>
            <w:tcW w:w="1142" w:type="dxa"/>
            <w:tcBorders>
              <w:top w:val="nil"/>
              <w:left w:val="nil"/>
              <w:bottom w:val="nil"/>
              <w:right w:val="nil"/>
            </w:tcBorders>
          </w:tcPr>
          <w:p>
            <w:pPr>
              <w:pStyle w:val="TableParagraph"/>
              <w:spacing w:before="55"/>
              <w:ind w:right="64"/>
              <w:rPr>
                <w:sz w:val="19"/>
              </w:rPr>
            </w:pPr>
            <w:r>
              <w:rPr>
                <w:sz w:val="19"/>
              </w:rPr>
              <w:t>-0.2108***</w:t>
            </w:r>
          </w:p>
        </w:tc>
      </w:tr>
      <w:tr>
        <w:trPr>
          <w:trHeight w:val="343" w:hRule="exact"/>
        </w:trPr>
        <w:tc>
          <w:tcPr>
            <w:tcW w:w="2431" w:type="dxa"/>
            <w:gridSpan w:val="2"/>
            <w:tcBorders>
              <w:top w:val="nil"/>
              <w:left w:val="nil"/>
              <w:bottom w:val="nil"/>
              <w:right w:val="nil"/>
            </w:tcBorders>
          </w:tcPr>
          <w:p>
            <w:pPr/>
          </w:p>
        </w:tc>
        <w:tc>
          <w:tcPr>
            <w:tcW w:w="1090" w:type="dxa"/>
            <w:tcBorders>
              <w:top w:val="nil"/>
              <w:left w:val="nil"/>
              <w:bottom w:val="nil"/>
              <w:right w:val="nil"/>
            </w:tcBorders>
          </w:tcPr>
          <w:p>
            <w:pPr>
              <w:pStyle w:val="TableParagraph"/>
              <w:spacing w:before="55"/>
              <w:ind w:right="67"/>
              <w:rPr>
                <w:sz w:val="19"/>
              </w:rPr>
            </w:pPr>
            <w:r>
              <w:rPr>
                <w:sz w:val="19"/>
              </w:rPr>
              <w:t>(0.016)</w:t>
            </w:r>
          </w:p>
        </w:tc>
        <w:tc>
          <w:tcPr>
            <w:tcW w:w="1146" w:type="dxa"/>
            <w:tcBorders>
              <w:top w:val="nil"/>
              <w:left w:val="nil"/>
              <w:bottom w:val="nil"/>
              <w:right w:val="nil"/>
            </w:tcBorders>
          </w:tcPr>
          <w:p>
            <w:pPr>
              <w:pStyle w:val="TableParagraph"/>
              <w:spacing w:before="55"/>
              <w:ind w:right="123"/>
              <w:rPr>
                <w:sz w:val="19"/>
              </w:rPr>
            </w:pPr>
            <w:r>
              <w:rPr>
                <w:sz w:val="19"/>
              </w:rPr>
              <w:t>(0.010)</w:t>
            </w:r>
          </w:p>
        </w:tc>
        <w:tc>
          <w:tcPr>
            <w:tcW w:w="1142" w:type="dxa"/>
            <w:tcBorders>
              <w:top w:val="nil"/>
              <w:left w:val="nil"/>
              <w:bottom w:val="nil"/>
              <w:right w:val="nil"/>
            </w:tcBorders>
          </w:tcPr>
          <w:p>
            <w:pPr>
              <w:pStyle w:val="TableParagraph"/>
              <w:spacing w:before="55"/>
              <w:ind w:right="63"/>
              <w:rPr>
                <w:sz w:val="19"/>
              </w:rPr>
            </w:pPr>
            <w:r>
              <w:rPr>
                <w:sz w:val="19"/>
              </w:rPr>
              <w:t>(0.010)</w:t>
            </w:r>
          </w:p>
        </w:tc>
      </w:tr>
      <w:tr>
        <w:trPr>
          <w:trHeight w:val="343" w:hRule="exact"/>
        </w:trPr>
        <w:tc>
          <w:tcPr>
            <w:tcW w:w="2431" w:type="dxa"/>
            <w:gridSpan w:val="2"/>
            <w:tcBorders>
              <w:top w:val="nil"/>
              <w:left w:val="nil"/>
              <w:bottom w:val="nil"/>
              <w:right w:val="nil"/>
            </w:tcBorders>
          </w:tcPr>
          <w:p>
            <w:pPr>
              <w:pStyle w:val="TableParagraph"/>
              <w:spacing w:line="156" w:lineRule="exact"/>
              <w:ind w:left="72"/>
              <w:jc w:val="left"/>
              <w:rPr>
                <w:sz w:val="19"/>
              </w:rPr>
            </w:pPr>
            <w:r>
              <w:rPr>
                <w:w w:val="105"/>
                <w:sz w:val="19"/>
              </w:rPr>
              <w:t>Operadores,</w:t>
            </w:r>
          </w:p>
          <w:p>
            <w:pPr>
              <w:pStyle w:val="TableParagraph"/>
              <w:spacing w:line="215" w:lineRule="exact" w:before="12"/>
              <w:ind w:left="72"/>
              <w:jc w:val="left"/>
              <w:rPr>
                <w:sz w:val="19"/>
              </w:rPr>
            </w:pPr>
            <w:r>
              <w:rPr>
                <w:w w:val="105"/>
                <w:sz w:val="19"/>
              </w:rPr>
              <w:t>operarios</w:t>
            </w:r>
          </w:p>
        </w:tc>
        <w:tc>
          <w:tcPr>
            <w:tcW w:w="1090" w:type="dxa"/>
            <w:tcBorders>
              <w:top w:val="nil"/>
              <w:left w:val="nil"/>
              <w:bottom w:val="nil"/>
              <w:right w:val="nil"/>
            </w:tcBorders>
          </w:tcPr>
          <w:p>
            <w:pPr>
              <w:pStyle w:val="TableParagraph"/>
              <w:spacing w:before="53"/>
              <w:ind w:right="68"/>
              <w:rPr>
                <w:sz w:val="19"/>
              </w:rPr>
            </w:pPr>
            <w:r>
              <w:rPr>
                <w:sz w:val="19"/>
              </w:rPr>
              <w:t>-0.3436***</w:t>
            </w:r>
          </w:p>
        </w:tc>
        <w:tc>
          <w:tcPr>
            <w:tcW w:w="1146" w:type="dxa"/>
            <w:tcBorders>
              <w:top w:val="nil"/>
              <w:left w:val="nil"/>
              <w:bottom w:val="nil"/>
              <w:right w:val="nil"/>
            </w:tcBorders>
          </w:tcPr>
          <w:p>
            <w:pPr>
              <w:pStyle w:val="TableParagraph"/>
              <w:spacing w:before="53"/>
              <w:ind w:right="124"/>
              <w:rPr>
                <w:sz w:val="19"/>
              </w:rPr>
            </w:pPr>
            <w:r>
              <w:rPr>
                <w:sz w:val="19"/>
              </w:rPr>
              <w:t>-0.3330***</w:t>
            </w:r>
          </w:p>
        </w:tc>
        <w:tc>
          <w:tcPr>
            <w:tcW w:w="1142" w:type="dxa"/>
            <w:tcBorders>
              <w:top w:val="nil"/>
              <w:left w:val="nil"/>
              <w:bottom w:val="nil"/>
              <w:right w:val="nil"/>
            </w:tcBorders>
          </w:tcPr>
          <w:p>
            <w:pPr>
              <w:pStyle w:val="TableParagraph"/>
              <w:spacing w:before="53"/>
              <w:ind w:right="64"/>
              <w:rPr>
                <w:sz w:val="19"/>
              </w:rPr>
            </w:pPr>
            <w:r>
              <w:rPr>
                <w:sz w:val="19"/>
              </w:rPr>
              <w:t>-0.3376***</w:t>
            </w:r>
          </w:p>
        </w:tc>
      </w:tr>
      <w:tr>
        <w:trPr>
          <w:trHeight w:val="346" w:hRule="exact"/>
        </w:trPr>
        <w:tc>
          <w:tcPr>
            <w:tcW w:w="2431" w:type="dxa"/>
            <w:gridSpan w:val="2"/>
            <w:tcBorders>
              <w:top w:val="nil"/>
              <w:left w:val="nil"/>
              <w:bottom w:val="nil"/>
              <w:right w:val="nil"/>
            </w:tcBorders>
          </w:tcPr>
          <w:p>
            <w:pPr/>
          </w:p>
        </w:tc>
        <w:tc>
          <w:tcPr>
            <w:tcW w:w="1090" w:type="dxa"/>
            <w:tcBorders>
              <w:top w:val="nil"/>
              <w:left w:val="nil"/>
              <w:bottom w:val="nil"/>
              <w:right w:val="nil"/>
            </w:tcBorders>
          </w:tcPr>
          <w:p>
            <w:pPr>
              <w:pStyle w:val="TableParagraph"/>
              <w:spacing w:before="55"/>
              <w:ind w:right="67"/>
              <w:rPr>
                <w:sz w:val="19"/>
              </w:rPr>
            </w:pPr>
            <w:r>
              <w:rPr>
                <w:sz w:val="19"/>
              </w:rPr>
              <w:t>(0.018)</w:t>
            </w:r>
          </w:p>
        </w:tc>
        <w:tc>
          <w:tcPr>
            <w:tcW w:w="1146" w:type="dxa"/>
            <w:tcBorders>
              <w:top w:val="nil"/>
              <w:left w:val="nil"/>
              <w:bottom w:val="nil"/>
              <w:right w:val="nil"/>
            </w:tcBorders>
          </w:tcPr>
          <w:p>
            <w:pPr>
              <w:pStyle w:val="TableParagraph"/>
              <w:spacing w:before="55"/>
              <w:ind w:right="123"/>
              <w:rPr>
                <w:sz w:val="19"/>
              </w:rPr>
            </w:pPr>
            <w:r>
              <w:rPr>
                <w:sz w:val="19"/>
              </w:rPr>
              <w:t>(0.017)</w:t>
            </w:r>
          </w:p>
        </w:tc>
        <w:tc>
          <w:tcPr>
            <w:tcW w:w="1142" w:type="dxa"/>
            <w:tcBorders>
              <w:top w:val="nil"/>
              <w:left w:val="nil"/>
              <w:bottom w:val="nil"/>
              <w:right w:val="nil"/>
            </w:tcBorders>
          </w:tcPr>
          <w:p>
            <w:pPr>
              <w:pStyle w:val="TableParagraph"/>
              <w:spacing w:before="55"/>
              <w:ind w:right="63"/>
              <w:rPr>
                <w:sz w:val="19"/>
              </w:rPr>
            </w:pPr>
            <w:r>
              <w:rPr>
                <w:sz w:val="19"/>
              </w:rPr>
              <w:t>(0.016)</w:t>
            </w:r>
          </w:p>
        </w:tc>
      </w:tr>
      <w:tr>
        <w:trPr>
          <w:trHeight w:val="346" w:hRule="exact"/>
        </w:trPr>
        <w:tc>
          <w:tcPr>
            <w:tcW w:w="2431" w:type="dxa"/>
            <w:gridSpan w:val="2"/>
            <w:tcBorders>
              <w:top w:val="nil"/>
              <w:left w:val="nil"/>
              <w:bottom w:val="nil"/>
              <w:right w:val="nil"/>
            </w:tcBorders>
          </w:tcPr>
          <w:p>
            <w:pPr>
              <w:pStyle w:val="TableParagraph"/>
              <w:spacing w:line="159" w:lineRule="exact"/>
              <w:ind w:left="72"/>
              <w:jc w:val="left"/>
              <w:rPr>
                <w:sz w:val="19"/>
              </w:rPr>
            </w:pPr>
            <w:r>
              <w:rPr>
                <w:w w:val="105"/>
                <w:sz w:val="19"/>
              </w:rPr>
              <w:t>Peones y otros</w:t>
            </w:r>
          </w:p>
          <w:p>
            <w:pPr>
              <w:pStyle w:val="TableParagraph"/>
              <w:spacing w:line="215" w:lineRule="exact" w:before="12"/>
              <w:ind w:left="72"/>
              <w:jc w:val="left"/>
              <w:rPr>
                <w:sz w:val="19"/>
              </w:rPr>
            </w:pPr>
            <w:r>
              <w:rPr>
                <w:w w:val="105"/>
                <w:sz w:val="19"/>
              </w:rPr>
              <w:t>no calificados</w:t>
            </w:r>
          </w:p>
        </w:tc>
        <w:tc>
          <w:tcPr>
            <w:tcW w:w="1090" w:type="dxa"/>
            <w:tcBorders>
              <w:top w:val="nil"/>
              <w:left w:val="nil"/>
              <w:bottom w:val="nil"/>
              <w:right w:val="nil"/>
            </w:tcBorders>
          </w:tcPr>
          <w:p>
            <w:pPr>
              <w:pStyle w:val="TableParagraph"/>
              <w:spacing w:before="55"/>
              <w:ind w:right="68"/>
              <w:rPr>
                <w:sz w:val="19"/>
              </w:rPr>
            </w:pPr>
            <w:r>
              <w:rPr>
                <w:sz w:val="19"/>
              </w:rPr>
              <w:t>-0.4118***</w:t>
            </w:r>
          </w:p>
        </w:tc>
        <w:tc>
          <w:tcPr>
            <w:tcW w:w="1146" w:type="dxa"/>
            <w:tcBorders>
              <w:top w:val="nil"/>
              <w:left w:val="nil"/>
              <w:bottom w:val="nil"/>
              <w:right w:val="nil"/>
            </w:tcBorders>
          </w:tcPr>
          <w:p>
            <w:pPr>
              <w:pStyle w:val="TableParagraph"/>
              <w:spacing w:before="55"/>
              <w:ind w:right="124"/>
              <w:rPr>
                <w:sz w:val="19"/>
              </w:rPr>
            </w:pPr>
            <w:r>
              <w:rPr>
                <w:sz w:val="19"/>
              </w:rPr>
              <w:t>-0.4104***</w:t>
            </w:r>
          </w:p>
        </w:tc>
        <w:tc>
          <w:tcPr>
            <w:tcW w:w="1142" w:type="dxa"/>
            <w:tcBorders>
              <w:top w:val="nil"/>
              <w:left w:val="nil"/>
              <w:bottom w:val="nil"/>
              <w:right w:val="nil"/>
            </w:tcBorders>
          </w:tcPr>
          <w:p>
            <w:pPr>
              <w:pStyle w:val="TableParagraph"/>
              <w:spacing w:before="55"/>
              <w:ind w:right="64"/>
              <w:rPr>
                <w:sz w:val="19"/>
              </w:rPr>
            </w:pPr>
            <w:r>
              <w:rPr>
                <w:sz w:val="19"/>
              </w:rPr>
              <w:t>-0.4050***</w:t>
            </w:r>
          </w:p>
        </w:tc>
      </w:tr>
      <w:tr>
        <w:trPr>
          <w:trHeight w:val="346" w:hRule="exact"/>
        </w:trPr>
        <w:tc>
          <w:tcPr>
            <w:tcW w:w="2431" w:type="dxa"/>
            <w:gridSpan w:val="2"/>
            <w:tcBorders>
              <w:top w:val="nil"/>
              <w:left w:val="nil"/>
              <w:bottom w:val="nil"/>
              <w:right w:val="nil"/>
            </w:tcBorders>
          </w:tcPr>
          <w:p>
            <w:pPr/>
          </w:p>
        </w:tc>
        <w:tc>
          <w:tcPr>
            <w:tcW w:w="1090" w:type="dxa"/>
            <w:tcBorders>
              <w:top w:val="nil"/>
              <w:left w:val="nil"/>
              <w:bottom w:val="nil"/>
              <w:right w:val="nil"/>
            </w:tcBorders>
          </w:tcPr>
          <w:p>
            <w:pPr>
              <w:pStyle w:val="TableParagraph"/>
              <w:spacing w:before="55"/>
              <w:ind w:right="67"/>
              <w:rPr>
                <w:sz w:val="19"/>
              </w:rPr>
            </w:pPr>
            <w:r>
              <w:rPr>
                <w:sz w:val="19"/>
              </w:rPr>
              <w:t>(0.018)</w:t>
            </w:r>
          </w:p>
        </w:tc>
        <w:tc>
          <w:tcPr>
            <w:tcW w:w="1146" w:type="dxa"/>
            <w:tcBorders>
              <w:top w:val="nil"/>
              <w:left w:val="nil"/>
              <w:bottom w:val="nil"/>
              <w:right w:val="nil"/>
            </w:tcBorders>
          </w:tcPr>
          <w:p>
            <w:pPr>
              <w:pStyle w:val="TableParagraph"/>
              <w:spacing w:before="55"/>
              <w:ind w:right="123"/>
              <w:rPr>
                <w:sz w:val="19"/>
              </w:rPr>
            </w:pPr>
            <w:r>
              <w:rPr>
                <w:sz w:val="19"/>
              </w:rPr>
              <w:t>(0.013)</w:t>
            </w:r>
          </w:p>
        </w:tc>
        <w:tc>
          <w:tcPr>
            <w:tcW w:w="1142" w:type="dxa"/>
            <w:tcBorders>
              <w:top w:val="nil"/>
              <w:left w:val="nil"/>
              <w:bottom w:val="nil"/>
              <w:right w:val="nil"/>
            </w:tcBorders>
          </w:tcPr>
          <w:p>
            <w:pPr>
              <w:pStyle w:val="TableParagraph"/>
              <w:spacing w:before="55"/>
              <w:ind w:right="63"/>
              <w:rPr>
                <w:sz w:val="19"/>
              </w:rPr>
            </w:pPr>
            <w:r>
              <w:rPr>
                <w:sz w:val="19"/>
              </w:rPr>
              <w:t>(0.011)</w:t>
            </w:r>
          </w:p>
        </w:tc>
      </w:tr>
      <w:tr>
        <w:trPr>
          <w:trHeight w:val="346" w:hRule="exact"/>
        </w:trPr>
        <w:tc>
          <w:tcPr>
            <w:tcW w:w="2431" w:type="dxa"/>
            <w:gridSpan w:val="2"/>
            <w:tcBorders>
              <w:top w:val="nil"/>
              <w:left w:val="nil"/>
              <w:bottom w:val="nil"/>
              <w:right w:val="nil"/>
            </w:tcBorders>
          </w:tcPr>
          <w:p>
            <w:pPr>
              <w:pStyle w:val="TableParagraph"/>
              <w:spacing w:line="159" w:lineRule="exact"/>
              <w:ind w:left="72"/>
              <w:jc w:val="left"/>
              <w:rPr>
                <w:sz w:val="19"/>
              </w:rPr>
            </w:pPr>
            <w:r>
              <w:rPr>
                <w:w w:val="105"/>
                <w:sz w:val="19"/>
              </w:rPr>
              <w:t>Micronegocios</w:t>
            </w:r>
          </w:p>
          <w:p>
            <w:pPr>
              <w:pStyle w:val="TableParagraph"/>
              <w:spacing w:line="215" w:lineRule="exact" w:before="12"/>
              <w:ind w:left="72"/>
              <w:jc w:val="left"/>
              <w:rPr>
                <w:sz w:val="19"/>
              </w:rPr>
            </w:pPr>
            <w:r>
              <w:rPr>
                <w:w w:val="105"/>
                <w:sz w:val="19"/>
              </w:rPr>
              <w:t>no agrícolas</w:t>
            </w:r>
          </w:p>
        </w:tc>
        <w:tc>
          <w:tcPr>
            <w:tcW w:w="1090" w:type="dxa"/>
            <w:tcBorders>
              <w:top w:val="nil"/>
              <w:left w:val="nil"/>
              <w:bottom w:val="nil"/>
              <w:right w:val="nil"/>
            </w:tcBorders>
          </w:tcPr>
          <w:p>
            <w:pPr/>
          </w:p>
        </w:tc>
        <w:tc>
          <w:tcPr>
            <w:tcW w:w="1146" w:type="dxa"/>
            <w:tcBorders>
              <w:top w:val="nil"/>
              <w:left w:val="nil"/>
              <w:bottom w:val="nil"/>
              <w:right w:val="nil"/>
            </w:tcBorders>
          </w:tcPr>
          <w:p>
            <w:pPr>
              <w:pStyle w:val="TableParagraph"/>
              <w:spacing w:before="55"/>
              <w:ind w:right="124"/>
              <w:rPr>
                <w:sz w:val="19"/>
              </w:rPr>
            </w:pPr>
            <w:r>
              <w:rPr>
                <w:sz w:val="19"/>
              </w:rPr>
              <w:t>-0.0337***</w:t>
            </w:r>
          </w:p>
        </w:tc>
        <w:tc>
          <w:tcPr>
            <w:tcW w:w="1142" w:type="dxa"/>
            <w:tcBorders>
              <w:top w:val="nil"/>
              <w:left w:val="nil"/>
              <w:bottom w:val="nil"/>
              <w:right w:val="nil"/>
            </w:tcBorders>
          </w:tcPr>
          <w:p>
            <w:pPr>
              <w:pStyle w:val="TableParagraph"/>
              <w:spacing w:before="55"/>
              <w:ind w:right="64"/>
              <w:rPr>
                <w:sz w:val="19"/>
              </w:rPr>
            </w:pPr>
            <w:r>
              <w:rPr>
                <w:sz w:val="19"/>
              </w:rPr>
              <w:t>-0.0269***</w:t>
            </w:r>
          </w:p>
        </w:tc>
      </w:tr>
      <w:tr>
        <w:trPr>
          <w:trHeight w:val="977" w:hRule="exact"/>
        </w:trPr>
        <w:tc>
          <w:tcPr>
            <w:tcW w:w="2431" w:type="dxa"/>
            <w:gridSpan w:val="2"/>
            <w:tcBorders>
              <w:top w:val="nil"/>
              <w:left w:val="nil"/>
              <w:bottom w:val="nil"/>
              <w:right w:val="nil"/>
            </w:tcBorders>
          </w:tcPr>
          <w:p>
            <w:pPr>
              <w:pStyle w:val="TableParagraph"/>
              <w:spacing w:before="9"/>
              <w:jc w:val="left"/>
              <w:rPr>
                <w:sz w:val="24"/>
              </w:rPr>
            </w:pPr>
          </w:p>
          <w:p>
            <w:pPr>
              <w:pStyle w:val="TableParagraph"/>
              <w:spacing w:before="1"/>
              <w:ind w:left="72"/>
              <w:jc w:val="left"/>
              <w:rPr>
                <w:sz w:val="19"/>
              </w:rPr>
            </w:pPr>
            <w:r>
              <w:rPr>
                <w:w w:val="105"/>
                <w:sz w:val="19"/>
              </w:rPr>
              <w:t>Petróleo</w:t>
            </w:r>
          </w:p>
          <w:p>
            <w:pPr>
              <w:pStyle w:val="TableParagraph"/>
              <w:jc w:val="left"/>
              <w:rPr>
                <w:sz w:val="21"/>
              </w:rPr>
            </w:pPr>
          </w:p>
          <w:p>
            <w:pPr>
              <w:pStyle w:val="TableParagraph"/>
              <w:tabs>
                <w:tab w:pos="1511" w:val="left" w:leader="none"/>
              </w:tabs>
              <w:spacing w:before="1"/>
              <w:ind w:left="72"/>
              <w:jc w:val="left"/>
              <w:rPr>
                <w:sz w:val="19"/>
              </w:rPr>
            </w:pPr>
            <w:r>
              <w:rPr>
                <w:w w:val="105"/>
                <w:sz w:val="19"/>
              </w:rPr>
              <w:t>Constante</w:t>
              <w:tab/>
              <w:t>0.1885***</w:t>
            </w:r>
          </w:p>
        </w:tc>
        <w:tc>
          <w:tcPr>
            <w:tcW w:w="1090" w:type="dxa"/>
            <w:tcBorders>
              <w:top w:val="nil"/>
              <w:left w:val="nil"/>
              <w:bottom w:val="nil"/>
              <w:right w:val="nil"/>
            </w:tcBorders>
          </w:tcPr>
          <w:p>
            <w:pPr>
              <w:pStyle w:val="TableParagraph"/>
              <w:jc w:val="left"/>
              <w:rPr>
                <w:sz w:val="20"/>
              </w:rPr>
            </w:pPr>
          </w:p>
          <w:p>
            <w:pPr>
              <w:pStyle w:val="TableParagraph"/>
              <w:jc w:val="left"/>
              <w:rPr>
                <w:sz w:val="20"/>
              </w:rPr>
            </w:pPr>
          </w:p>
          <w:p>
            <w:pPr>
              <w:pStyle w:val="TableParagraph"/>
              <w:spacing w:before="10"/>
              <w:jc w:val="left"/>
              <w:rPr>
                <w:sz w:val="24"/>
              </w:rPr>
            </w:pPr>
          </w:p>
          <w:p>
            <w:pPr>
              <w:pStyle w:val="TableParagraph"/>
              <w:ind w:right="68"/>
              <w:rPr>
                <w:sz w:val="19"/>
              </w:rPr>
            </w:pPr>
            <w:r>
              <w:rPr>
                <w:sz w:val="19"/>
              </w:rPr>
              <w:t>0.6311***</w:t>
            </w:r>
          </w:p>
        </w:tc>
        <w:tc>
          <w:tcPr>
            <w:tcW w:w="1146" w:type="dxa"/>
            <w:tcBorders>
              <w:top w:val="nil"/>
              <w:left w:val="nil"/>
              <w:bottom w:val="nil"/>
              <w:right w:val="nil"/>
            </w:tcBorders>
          </w:tcPr>
          <w:p>
            <w:pPr>
              <w:pStyle w:val="TableParagraph"/>
              <w:spacing w:before="55"/>
              <w:ind w:left="436"/>
              <w:jc w:val="left"/>
              <w:rPr>
                <w:sz w:val="19"/>
              </w:rPr>
            </w:pPr>
            <w:r>
              <w:rPr>
                <w:w w:val="105"/>
                <w:sz w:val="19"/>
              </w:rPr>
              <w:t>(0.008)</w:t>
            </w:r>
          </w:p>
          <w:p>
            <w:pPr>
              <w:pStyle w:val="TableParagraph"/>
              <w:jc w:val="left"/>
              <w:rPr>
                <w:sz w:val="20"/>
              </w:rPr>
            </w:pPr>
          </w:p>
          <w:p>
            <w:pPr>
              <w:pStyle w:val="TableParagraph"/>
              <w:spacing w:before="1"/>
              <w:jc w:val="left"/>
              <w:rPr>
                <w:sz w:val="21"/>
              </w:rPr>
            </w:pPr>
          </w:p>
          <w:p>
            <w:pPr>
              <w:pStyle w:val="TableParagraph"/>
              <w:ind w:left="169"/>
              <w:jc w:val="left"/>
              <w:rPr>
                <w:sz w:val="19"/>
              </w:rPr>
            </w:pPr>
            <w:r>
              <w:rPr>
                <w:w w:val="105"/>
                <w:sz w:val="19"/>
              </w:rPr>
              <w:t>0.6430***</w:t>
            </w:r>
          </w:p>
        </w:tc>
        <w:tc>
          <w:tcPr>
            <w:tcW w:w="1142" w:type="dxa"/>
            <w:tcBorders>
              <w:top w:val="nil"/>
              <w:left w:val="nil"/>
              <w:bottom w:val="nil"/>
              <w:right w:val="nil"/>
            </w:tcBorders>
          </w:tcPr>
          <w:p>
            <w:pPr>
              <w:pStyle w:val="TableParagraph"/>
              <w:spacing w:before="55"/>
              <w:ind w:left="492"/>
              <w:jc w:val="left"/>
              <w:rPr>
                <w:sz w:val="19"/>
              </w:rPr>
            </w:pPr>
            <w:r>
              <w:rPr>
                <w:w w:val="105"/>
                <w:sz w:val="19"/>
              </w:rPr>
              <w:t>(0.007)</w:t>
            </w:r>
          </w:p>
          <w:p>
            <w:pPr>
              <w:pStyle w:val="TableParagraph"/>
              <w:spacing w:before="12"/>
              <w:ind w:left="225"/>
              <w:jc w:val="left"/>
              <w:rPr>
                <w:sz w:val="19"/>
              </w:rPr>
            </w:pPr>
            <w:r>
              <w:rPr>
                <w:w w:val="105"/>
                <w:sz w:val="19"/>
              </w:rPr>
              <w:t>0.8190***</w:t>
            </w:r>
          </w:p>
          <w:p>
            <w:pPr>
              <w:pStyle w:val="TableParagraph"/>
              <w:spacing w:before="12"/>
              <w:ind w:left="492"/>
              <w:jc w:val="left"/>
              <w:rPr>
                <w:sz w:val="19"/>
              </w:rPr>
            </w:pPr>
            <w:r>
              <w:rPr>
                <w:w w:val="105"/>
                <w:sz w:val="19"/>
              </w:rPr>
              <w:t>(0.035)</w:t>
            </w:r>
          </w:p>
          <w:p>
            <w:pPr>
              <w:pStyle w:val="TableParagraph"/>
              <w:spacing w:before="12"/>
              <w:ind w:left="225"/>
              <w:jc w:val="left"/>
              <w:rPr>
                <w:sz w:val="19"/>
              </w:rPr>
            </w:pPr>
            <w:r>
              <w:rPr>
                <w:w w:val="105"/>
                <w:sz w:val="19"/>
              </w:rPr>
              <w:t>0.6359***</w:t>
            </w:r>
          </w:p>
        </w:tc>
      </w:tr>
      <w:tr>
        <w:trPr>
          <w:trHeight w:val="228" w:hRule="exact"/>
        </w:trPr>
        <w:tc>
          <w:tcPr>
            <w:tcW w:w="2431" w:type="dxa"/>
            <w:gridSpan w:val="2"/>
            <w:tcBorders>
              <w:top w:val="nil"/>
              <w:left w:val="nil"/>
              <w:bottom w:val="nil"/>
              <w:right w:val="nil"/>
            </w:tcBorders>
          </w:tcPr>
          <w:p>
            <w:pPr>
              <w:pStyle w:val="TableParagraph"/>
              <w:spacing w:line="214" w:lineRule="exact"/>
              <w:ind w:right="67"/>
              <w:rPr>
                <w:sz w:val="19"/>
              </w:rPr>
            </w:pPr>
            <w:r>
              <w:rPr>
                <w:sz w:val="19"/>
              </w:rPr>
              <w:t>(0.016)</w:t>
            </w:r>
          </w:p>
        </w:tc>
        <w:tc>
          <w:tcPr>
            <w:tcW w:w="1090" w:type="dxa"/>
            <w:tcBorders>
              <w:top w:val="nil"/>
              <w:left w:val="nil"/>
              <w:bottom w:val="nil"/>
              <w:right w:val="nil"/>
            </w:tcBorders>
          </w:tcPr>
          <w:p>
            <w:pPr>
              <w:pStyle w:val="TableParagraph"/>
              <w:spacing w:line="214" w:lineRule="exact"/>
              <w:ind w:right="67"/>
              <w:rPr>
                <w:sz w:val="19"/>
              </w:rPr>
            </w:pPr>
            <w:r>
              <w:rPr>
                <w:sz w:val="19"/>
              </w:rPr>
              <w:t>(0.025)</w:t>
            </w:r>
          </w:p>
        </w:tc>
        <w:tc>
          <w:tcPr>
            <w:tcW w:w="1146" w:type="dxa"/>
            <w:tcBorders>
              <w:top w:val="nil"/>
              <w:left w:val="nil"/>
              <w:bottom w:val="nil"/>
              <w:right w:val="nil"/>
            </w:tcBorders>
          </w:tcPr>
          <w:p>
            <w:pPr>
              <w:pStyle w:val="TableParagraph"/>
              <w:spacing w:line="214" w:lineRule="exact"/>
              <w:ind w:right="123"/>
              <w:rPr>
                <w:sz w:val="19"/>
              </w:rPr>
            </w:pPr>
            <w:r>
              <w:rPr>
                <w:sz w:val="19"/>
              </w:rPr>
              <w:t>(0.024)</w:t>
            </w:r>
          </w:p>
        </w:tc>
        <w:tc>
          <w:tcPr>
            <w:tcW w:w="1142" w:type="dxa"/>
            <w:tcBorders>
              <w:top w:val="nil"/>
              <w:left w:val="nil"/>
              <w:bottom w:val="nil"/>
              <w:right w:val="nil"/>
            </w:tcBorders>
          </w:tcPr>
          <w:p>
            <w:pPr>
              <w:pStyle w:val="TableParagraph"/>
              <w:spacing w:line="214" w:lineRule="exact"/>
              <w:ind w:right="63"/>
              <w:rPr>
                <w:sz w:val="19"/>
              </w:rPr>
            </w:pPr>
            <w:r>
              <w:rPr>
                <w:sz w:val="19"/>
              </w:rPr>
              <w:t>(0.027)</w:t>
            </w:r>
          </w:p>
        </w:tc>
      </w:tr>
      <w:tr>
        <w:trPr>
          <w:trHeight w:val="288" w:hRule="exact"/>
        </w:trPr>
        <w:tc>
          <w:tcPr>
            <w:tcW w:w="2431" w:type="dxa"/>
            <w:gridSpan w:val="2"/>
            <w:tcBorders>
              <w:top w:val="nil"/>
              <w:left w:val="nil"/>
              <w:bottom w:val="nil"/>
              <w:right w:val="nil"/>
            </w:tcBorders>
          </w:tcPr>
          <w:p>
            <w:pPr>
              <w:pStyle w:val="TableParagraph"/>
              <w:tabs>
                <w:tab w:pos="1611" w:val="left" w:leader="none"/>
              </w:tabs>
              <w:spacing w:line="216" w:lineRule="exact"/>
              <w:ind w:left="72"/>
              <w:jc w:val="left"/>
              <w:rPr>
                <w:sz w:val="19"/>
              </w:rPr>
            </w:pPr>
            <w:r>
              <w:rPr>
                <w:w w:val="105"/>
                <w:sz w:val="19"/>
              </w:rPr>
              <w:t>Seudo</w:t>
            </w:r>
            <w:r>
              <w:rPr>
                <w:spacing w:val="-1"/>
                <w:w w:val="105"/>
                <w:sz w:val="19"/>
              </w:rPr>
              <w:t> </w:t>
            </w:r>
            <w:r>
              <w:rPr>
                <w:w w:val="105"/>
                <w:sz w:val="19"/>
              </w:rPr>
              <w:t>R</w:t>
            </w:r>
            <w:r>
              <w:rPr>
                <w:w w:val="105"/>
                <w:position w:val="9"/>
                <w:sz w:val="13"/>
              </w:rPr>
              <w:t>2</w:t>
              <w:tab/>
            </w:r>
            <w:r>
              <w:rPr>
                <w:w w:val="105"/>
                <w:sz w:val="19"/>
              </w:rPr>
              <w:t>0.136623</w:t>
            </w:r>
          </w:p>
        </w:tc>
        <w:tc>
          <w:tcPr>
            <w:tcW w:w="1090" w:type="dxa"/>
            <w:tcBorders>
              <w:top w:val="nil"/>
              <w:left w:val="nil"/>
              <w:bottom w:val="nil"/>
              <w:right w:val="nil"/>
            </w:tcBorders>
          </w:tcPr>
          <w:p>
            <w:pPr>
              <w:pStyle w:val="TableParagraph"/>
              <w:spacing w:line="216" w:lineRule="exact"/>
              <w:ind w:right="68"/>
              <w:rPr>
                <w:sz w:val="19"/>
              </w:rPr>
            </w:pPr>
            <w:r>
              <w:rPr>
                <w:sz w:val="19"/>
              </w:rPr>
              <w:t>0.160864</w:t>
            </w:r>
          </w:p>
        </w:tc>
        <w:tc>
          <w:tcPr>
            <w:tcW w:w="1146" w:type="dxa"/>
            <w:tcBorders>
              <w:top w:val="nil"/>
              <w:left w:val="nil"/>
              <w:bottom w:val="nil"/>
              <w:right w:val="nil"/>
            </w:tcBorders>
          </w:tcPr>
          <w:p>
            <w:pPr>
              <w:pStyle w:val="TableParagraph"/>
              <w:spacing w:line="216" w:lineRule="exact"/>
              <w:ind w:right="124"/>
              <w:rPr>
                <w:sz w:val="19"/>
              </w:rPr>
            </w:pPr>
            <w:r>
              <w:rPr>
                <w:sz w:val="19"/>
              </w:rPr>
              <w:t>0.16127</w:t>
            </w:r>
          </w:p>
        </w:tc>
        <w:tc>
          <w:tcPr>
            <w:tcW w:w="1142" w:type="dxa"/>
            <w:tcBorders>
              <w:top w:val="nil"/>
              <w:left w:val="nil"/>
              <w:bottom w:val="nil"/>
              <w:right w:val="nil"/>
            </w:tcBorders>
          </w:tcPr>
          <w:p>
            <w:pPr>
              <w:pStyle w:val="TableParagraph"/>
              <w:spacing w:line="216" w:lineRule="exact"/>
              <w:ind w:right="64"/>
              <w:rPr>
                <w:sz w:val="19"/>
              </w:rPr>
            </w:pPr>
            <w:r>
              <w:rPr>
                <w:sz w:val="19"/>
              </w:rPr>
              <w:t>0.169731</w:t>
            </w:r>
          </w:p>
        </w:tc>
      </w:tr>
      <w:tr>
        <w:trPr>
          <w:trHeight w:val="403" w:hRule="exact"/>
        </w:trPr>
        <w:tc>
          <w:tcPr>
            <w:tcW w:w="2431" w:type="dxa"/>
            <w:gridSpan w:val="2"/>
            <w:tcBorders>
              <w:top w:val="nil"/>
              <w:left w:val="nil"/>
              <w:bottom w:val="nil"/>
              <w:right w:val="nil"/>
            </w:tcBorders>
          </w:tcPr>
          <w:p>
            <w:pPr>
              <w:pStyle w:val="TableParagraph"/>
              <w:spacing w:line="107" w:lineRule="exact"/>
              <w:ind w:left="72"/>
              <w:jc w:val="left"/>
              <w:rPr>
                <w:sz w:val="19"/>
              </w:rPr>
            </w:pPr>
            <w:r>
              <w:rPr>
                <w:w w:val="105"/>
                <w:sz w:val="19"/>
              </w:rPr>
              <w:t>Min sum of</w:t>
            </w:r>
          </w:p>
          <w:p>
            <w:pPr>
              <w:pStyle w:val="TableParagraph"/>
              <w:tabs>
                <w:tab w:pos="1411" w:val="left" w:leader="none"/>
              </w:tabs>
              <w:spacing w:line="287" w:lineRule="exact"/>
              <w:ind w:left="72"/>
              <w:jc w:val="left"/>
              <w:rPr>
                <w:sz w:val="19"/>
              </w:rPr>
            </w:pPr>
            <w:r>
              <w:rPr>
                <w:w w:val="105"/>
                <w:position w:val="-11"/>
                <w:sz w:val="19"/>
              </w:rPr>
              <w:t>deviations</w:t>
              <w:tab/>
            </w:r>
            <w:r>
              <w:rPr>
                <w:w w:val="105"/>
                <w:sz w:val="19"/>
              </w:rPr>
              <w:t>15648.5420</w:t>
            </w:r>
          </w:p>
        </w:tc>
        <w:tc>
          <w:tcPr>
            <w:tcW w:w="1090" w:type="dxa"/>
            <w:tcBorders>
              <w:top w:val="nil"/>
              <w:left w:val="nil"/>
              <w:bottom w:val="nil"/>
              <w:right w:val="nil"/>
            </w:tcBorders>
          </w:tcPr>
          <w:p>
            <w:pPr>
              <w:pStyle w:val="TableParagraph"/>
              <w:spacing w:before="55"/>
              <w:ind w:right="68"/>
              <w:rPr>
                <w:sz w:val="19"/>
              </w:rPr>
            </w:pPr>
            <w:r>
              <w:rPr>
                <w:sz w:val="19"/>
              </w:rPr>
              <w:t>15209.1703</w:t>
            </w:r>
          </w:p>
        </w:tc>
        <w:tc>
          <w:tcPr>
            <w:tcW w:w="1146" w:type="dxa"/>
            <w:tcBorders>
              <w:top w:val="nil"/>
              <w:left w:val="nil"/>
              <w:bottom w:val="nil"/>
              <w:right w:val="nil"/>
            </w:tcBorders>
          </w:tcPr>
          <w:p>
            <w:pPr>
              <w:pStyle w:val="TableParagraph"/>
              <w:spacing w:before="55"/>
              <w:ind w:right="124"/>
              <w:rPr>
                <w:sz w:val="19"/>
              </w:rPr>
            </w:pPr>
            <w:r>
              <w:rPr>
                <w:sz w:val="19"/>
              </w:rPr>
              <w:t>15201.8147</w:t>
            </w:r>
          </w:p>
        </w:tc>
        <w:tc>
          <w:tcPr>
            <w:tcW w:w="1142" w:type="dxa"/>
            <w:tcBorders>
              <w:top w:val="nil"/>
              <w:left w:val="nil"/>
              <w:bottom w:val="nil"/>
              <w:right w:val="nil"/>
            </w:tcBorders>
          </w:tcPr>
          <w:p>
            <w:pPr>
              <w:pStyle w:val="TableParagraph"/>
              <w:spacing w:before="55"/>
              <w:ind w:right="64"/>
              <w:rPr>
                <w:sz w:val="19"/>
              </w:rPr>
            </w:pPr>
            <w:r>
              <w:rPr>
                <w:sz w:val="19"/>
              </w:rPr>
              <w:t>15048.4608</w:t>
            </w:r>
          </w:p>
        </w:tc>
      </w:tr>
      <w:tr>
        <w:trPr>
          <w:trHeight w:val="403" w:hRule="exact"/>
        </w:trPr>
        <w:tc>
          <w:tcPr>
            <w:tcW w:w="2431" w:type="dxa"/>
            <w:gridSpan w:val="2"/>
            <w:tcBorders>
              <w:top w:val="nil"/>
              <w:left w:val="nil"/>
              <w:bottom w:val="nil"/>
              <w:right w:val="nil"/>
            </w:tcBorders>
          </w:tcPr>
          <w:p>
            <w:pPr>
              <w:pStyle w:val="TableParagraph"/>
              <w:spacing w:line="165" w:lineRule="exact"/>
              <w:ind w:left="72"/>
              <w:jc w:val="left"/>
              <w:rPr>
                <w:sz w:val="19"/>
              </w:rPr>
            </w:pPr>
            <w:r>
              <w:rPr>
                <w:w w:val="105"/>
                <w:sz w:val="19"/>
              </w:rPr>
              <w:t>Raw sum of</w:t>
            </w:r>
          </w:p>
          <w:p>
            <w:pPr>
              <w:pStyle w:val="TableParagraph"/>
              <w:tabs>
                <w:tab w:pos="1411" w:val="left" w:leader="none"/>
              </w:tabs>
              <w:spacing w:line="279" w:lineRule="exact"/>
              <w:ind w:left="72"/>
              <w:jc w:val="left"/>
              <w:rPr>
                <w:sz w:val="19"/>
              </w:rPr>
            </w:pPr>
            <w:r>
              <w:rPr>
                <w:w w:val="105"/>
                <w:position w:val="-11"/>
                <w:sz w:val="19"/>
              </w:rPr>
              <w:t>deviations</w:t>
              <w:tab/>
            </w:r>
            <w:r>
              <w:rPr>
                <w:w w:val="105"/>
                <w:sz w:val="19"/>
              </w:rPr>
              <w:t>18124.8030</w:t>
            </w:r>
          </w:p>
        </w:tc>
        <w:tc>
          <w:tcPr>
            <w:tcW w:w="1090" w:type="dxa"/>
            <w:tcBorders>
              <w:top w:val="nil"/>
              <w:left w:val="nil"/>
              <w:bottom w:val="nil"/>
              <w:right w:val="nil"/>
            </w:tcBorders>
          </w:tcPr>
          <w:p>
            <w:pPr>
              <w:pStyle w:val="TableParagraph"/>
              <w:spacing w:before="113"/>
              <w:ind w:right="68"/>
              <w:rPr>
                <w:sz w:val="19"/>
              </w:rPr>
            </w:pPr>
            <w:r>
              <w:rPr>
                <w:sz w:val="19"/>
              </w:rPr>
              <w:t>18124.8030</w:t>
            </w:r>
          </w:p>
        </w:tc>
        <w:tc>
          <w:tcPr>
            <w:tcW w:w="1146" w:type="dxa"/>
            <w:tcBorders>
              <w:top w:val="nil"/>
              <w:left w:val="nil"/>
              <w:bottom w:val="nil"/>
              <w:right w:val="nil"/>
            </w:tcBorders>
          </w:tcPr>
          <w:p>
            <w:pPr>
              <w:pStyle w:val="TableParagraph"/>
              <w:spacing w:before="113"/>
              <w:ind w:right="124"/>
              <w:rPr>
                <w:sz w:val="19"/>
              </w:rPr>
            </w:pPr>
            <w:r>
              <w:rPr>
                <w:sz w:val="19"/>
              </w:rPr>
              <w:t>18124.8030</w:t>
            </w:r>
          </w:p>
        </w:tc>
        <w:tc>
          <w:tcPr>
            <w:tcW w:w="1142" w:type="dxa"/>
            <w:tcBorders>
              <w:top w:val="nil"/>
              <w:left w:val="nil"/>
              <w:bottom w:val="nil"/>
              <w:right w:val="nil"/>
            </w:tcBorders>
          </w:tcPr>
          <w:p>
            <w:pPr>
              <w:pStyle w:val="TableParagraph"/>
              <w:spacing w:before="113"/>
              <w:ind w:right="64"/>
              <w:rPr>
                <w:sz w:val="19"/>
              </w:rPr>
            </w:pPr>
            <w:r>
              <w:rPr>
                <w:sz w:val="19"/>
              </w:rPr>
              <w:t>18124.8030</w:t>
            </w:r>
          </w:p>
        </w:tc>
      </w:tr>
      <w:tr>
        <w:trPr>
          <w:trHeight w:val="286" w:hRule="exact"/>
        </w:trPr>
        <w:tc>
          <w:tcPr>
            <w:tcW w:w="2431" w:type="dxa"/>
            <w:gridSpan w:val="2"/>
            <w:tcBorders>
              <w:top w:val="nil"/>
              <w:left w:val="nil"/>
              <w:right w:val="nil"/>
            </w:tcBorders>
          </w:tcPr>
          <w:p>
            <w:pPr>
              <w:pStyle w:val="TableParagraph"/>
              <w:tabs>
                <w:tab w:pos="1811" w:val="left" w:leader="none"/>
              </w:tabs>
              <w:spacing w:before="55"/>
              <w:ind w:left="72"/>
              <w:jc w:val="left"/>
              <w:rPr>
                <w:sz w:val="19"/>
              </w:rPr>
            </w:pPr>
            <w:r>
              <w:rPr>
                <w:w w:val="105"/>
                <w:sz w:val="19"/>
              </w:rPr>
              <w:t>N</w:t>
              <w:tab/>
              <w:t>37</w:t>
            </w:r>
            <w:r>
              <w:rPr>
                <w:spacing w:val="-2"/>
                <w:w w:val="105"/>
                <w:sz w:val="19"/>
              </w:rPr>
              <w:t> </w:t>
            </w:r>
            <w:r>
              <w:rPr>
                <w:w w:val="105"/>
                <w:sz w:val="19"/>
              </w:rPr>
              <w:t>982</w:t>
            </w:r>
          </w:p>
        </w:tc>
        <w:tc>
          <w:tcPr>
            <w:tcW w:w="1090" w:type="dxa"/>
            <w:tcBorders>
              <w:top w:val="nil"/>
              <w:left w:val="nil"/>
              <w:right w:val="nil"/>
            </w:tcBorders>
          </w:tcPr>
          <w:p>
            <w:pPr>
              <w:pStyle w:val="TableParagraph"/>
              <w:spacing w:before="55"/>
              <w:ind w:right="68"/>
              <w:rPr>
                <w:sz w:val="19"/>
              </w:rPr>
            </w:pPr>
            <w:r>
              <w:rPr>
                <w:w w:val="105"/>
                <w:sz w:val="19"/>
              </w:rPr>
              <w:t>37 982</w:t>
            </w:r>
          </w:p>
        </w:tc>
        <w:tc>
          <w:tcPr>
            <w:tcW w:w="1146" w:type="dxa"/>
            <w:tcBorders>
              <w:top w:val="nil"/>
              <w:left w:val="nil"/>
              <w:right w:val="nil"/>
            </w:tcBorders>
          </w:tcPr>
          <w:p>
            <w:pPr>
              <w:pStyle w:val="TableParagraph"/>
              <w:spacing w:before="55"/>
              <w:ind w:right="124"/>
              <w:rPr>
                <w:sz w:val="19"/>
              </w:rPr>
            </w:pPr>
            <w:r>
              <w:rPr>
                <w:w w:val="105"/>
                <w:sz w:val="19"/>
              </w:rPr>
              <w:t>37 982</w:t>
            </w:r>
          </w:p>
        </w:tc>
        <w:tc>
          <w:tcPr>
            <w:tcW w:w="1142" w:type="dxa"/>
            <w:tcBorders>
              <w:top w:val="nil"/>
              <w:left w:val="nil"/>
              <w:right w:val="nil"/>
            </w:tcBorders>
          </w:tcPr>
          <w:p>
            <w:pPr>
              <w:pStyle w:val="TableParagraph"/>
              <w:spacing w:before="55"/>
              <w:ind w:right="64"/>
              <w:rPr>
                <w:sz w:val="19"/>
              </w:rPr>
            </w:pPr>
            <w:r>
              <w:rPr>
                <w:w w:val="105"/>
                <w:sz w:val="19"/>
              </w:rPr>
              <w:t>37 982</w:t>
            </w:r>
          </w:p>
        </w:tc>
      </w:tr>
    </w:tbl>
    <w:p>
      <w:pPr>
        <w:spacing w:line="178" w:lineRule="exact" w:before="0"/>
        <w:ind w:left="178" w:right="385" w:firstLine="0"/>
        <w:jc w:val="left"/>
        <w:rPr>
          <w:sz w:val="16"/>
        </w:rPr>
      </w:pPr>
      <w:r>
        <w:rPr>
          <w:sz w:val="16"/>
        </w:rPr>
        <w:t>Errores estándar en paréntesis (boostrap, 50).</w:t>
      </w:r>
    </w:p>
    <w:p>
      <w:pPr>
        <w:spacing w:line="183" w:lineRule="exact" w:before="0"/>
        <w:ind w:left="178" w:right="385" w:firstLine="0"/>
        <w:jc w:val="left"/>
        <w:rPr>
          <w:sz w:val="16"/>
        </w:rPr>
      </w:pPr>
      <w:r>
        <w:rPr>
          <w:sz w:val="16"/>
        </w:rPr>
        <w:t>Fuente: estimaciones propias con información de la ENOE, 2012, segundo trimestre.</w:t>
      </w:r>
    </w:p>
    <w:p>
      <w:pPr>
        <w:spacing w:before="3"/>
        <w:ind w:left="178" w:right="385" w:firstLine="0"/>
        <w:jc w:val="left"/>
        <w:rPr>
          <w:sz w:val="16"/>
        </w:rPr>
      </w:pPr>
      <w:r>
        <w:rPr>
          <w:sz w:val="16"/>
        </w:rPr>
        <w:t>* p &lt; 0.10 ** p &lt; 0.05 *** p &lt; 0.001.</w:t>
      </w:r>
    </w:p>
    <w:p>
      <w:pPr>
        <w:spacing w:after="0"/>
        <w:jc w:val="left"/>
        <w:rPr>
          <w:sz w:val="16"/>
        </w:rPr>
        <w:sectPr>
          <w:pgSz w:w="7770" w:h="11740"/>
          <w:pgMar w:header="0" w:footer="474" w:top="1000" w:bottom="660" w:left="1000" w:right="740"/>
        </w:sectPr>
      </w:pPr>
    </w:p>
    <w:p>
      <w:pPr>
        <w:spacing w:line="247" w:lineRule="auto" w:before="61"/>
        <w:ind w:left="138" w:right="205" w:firstLine="0"/>
        <w:jc w:val="left"/>
        <w:rPr>
          <w:sz w:val="18"/>
        </w:rPr>
      </w:pPr>
      <w:r>
        <w:rPr/>
        <w:pict>
          <v:shape style="position:absolute;margin-left:133.148987pt;margin-top:39.853004pt;width:3.1pt;height:1pt;mso-position-horizontal-relative:page;mso-position-vertical-relative:paragraph;z-index:-333592" coordorigin="2663,797" coordsize="62,20" path="m2665,817l2663,813,2690,797,2697,797,2711,805,2694,805,2665,817xm2723,817l2694,805,2711,805,2725,813,2723,817xe" filled="true" fillcolor="#000000" stroked="false">
            <v:path arrowok="t"/>
            <v:fill type="solid"/>
            <w10:wrap type="none"/>
          </v:shape>
        </w:pict>
      </w:r>
      <w:r>
        <w:rPr/>
        <w:pict>
          <v:shape style="position:absolute;margin-left:177.469864pt;margin-top:39.853004pt;width:3.1pt;height:1pt;mso-position-horizontal-relative:page;mso-position-vertical-relative:paragraph;z-index:-333568" coordorigin="3549,797" coordsize="62,20" path="m3551,817l3549,813,3576,797,3584,797,3598,805,3580,805,3551,817xm3610,817l3581,805,3598,805,3611,813,3610,817xe" filled="true" fillcolor="#000000" stroked="false">
            <v:path arrowok="t"/>
            <v:fill type="solid"/>
            <w10:wrap type="none"/>
          </v:shape>
        </w:pict>
      </w:r>
      <w:r>
        <w:rPr/>
        <w:pict>
          <v:shape style="position:absolute;margin-left:222.749817pt;margin-top:39.853004pt;width:3.1pt;height:1pt;mso-position-horizontal-relative:page;mso-position-vertical-relative:paragraph;z-index:-333544" coordorigin="4455,797" coordsize="62,20" path="m4457,817l4455,813,4482,797,4489,797,4503,805,4486,805,4457,817xm4515,817l4486,805,4503,805,4517,813,4515,817xe" filled="true" fillcolor="#000000" stroked="false">
            <v:path arrowok="t"/>
            <v:fill type="solid"/>
            <w10:wrap type="none"/>
          </v:shape>
        </w:pict>
      </w:r>
      <w:r>
        <w:rPr/>
        <w:pict>
          <v:shape style="position:absolute;margin-left:268.030487pt;margin-top:39.853004pt;width:3.1pt;height:1pt;mso-position-horizontal-relative:page;mso-position-vertical-relative:paragraph;z-index:-333520" coordorigin="5361,797" coordsize="62,20" path="m5362,817l5361,813,5388,797,5395,797,5409,805,5391,805,5362,817xm5421,817l5392,805,5409,805,5422,813,5421,817xe" filled="true" fillcolor="#000000" stroked="false">
            <v:path arrowok="t"/>
            <v:fill type="solid"/>
            <w10:wrap type="none"/>
          </v:shape>
        </w:pict>
      </w:r>
      <w:r>
        <w:rPr/>
        <w:pict>
          <v:shape style="position:absolute;margin-left:310.815948pt;margin-top:39.853004pt;width:3.1pt;height:1pt;mso-position-horizontal-relative:page;mso-position-vertical-relative:paragraph;z-index:-333496" coordorigin="6216,797" coordsize="62,20" path="m6218,817l6216,813,6243,797,6251,797,6265,805,6247,805,6218,817xm6277,817l6247,805,6265,805,6278,813,6277,817xe" filled="true" fillcolor="#000000" stroked="false">
            <v:path arrowok="t"/>
            <v:fill type="solid"/>
            <w10:wrap type="none"/>
          </v:shape>
        </w:pict>
      </w:r>
      <w:r>
        <w:rPr>
          <w:w w:val="90"/>
          <w:sz w:val="18"/>
        </w:rPr>
        <w:t>Cuadro</w:t>
      </w:r>
      <w:r>
        <w:rPr>
          <w:spacing w:val="-8"/>
          <w:w w:val="90"/>
          <w:sz w:val="18"/>
        </w:rPr>
        <w:t> </w:t>
      </w:r>
      <w:r>
        <w:rPr>
          <w:w w:val="90"/>
          <w:sz w:val="18"/>
        </w:rPr>
        <w:t>A.</w:t>
      </w:r>
      <w:r>
        <w:rPr>
          <w:spacing w:val="-8"/>
          <w:w w:val="90"/>
          <w:sz w:val="18"/>
        </w:rPr>
        <w:t> </w:t>
      </w:r>
      <w:r>
        <w:rPr>
          <w:w w:val="90"/>
          <w:sz w:val="18"/>
        </w:rPr>
        <w:t>3a.</w:t>
      </w:r>
      <w:r>
        <w:rPr>
          <w:spacing w:val="-8"/>
          <w:w w:val="90"/>
          <w:sz w:val="18"/>
        </w:rPr>
        <w:t> </w:t>
      </w:r>
      <w:r>
        <w:rPr>
          <w:w w:val="90"/>
          <w:sz w:val="18"/>
        </w:rPr>
        <w:t>Resultados</w:t>
      </w:r>
      <w:r>
        <w:rPr>
          <w:spacing w:val="-8"/>
          <w:w w:val="90"/>
          <w:sz w:val="18"/>
        </w:rPr>
        <w:t> </w:t>
      </w:r>
      <w:r>
        <w:rPr>
          <w:w w:val="90"/>
          <w:sz w:val="18"/>
        </w:rPr>
        <w:t>de</w:t>
      </w:r>
      <w:r>
        <w:rPr>
          <w:spacing w:val="-8"/>
          <w:w w:val="90"/>
          <w:sz w:val="18"/>
        </w:rPr>
        <w:t> </w:t>
      </w:r>
      <w:r>
        <w:rPr>
          <w:w w:val="90"/>
          <w:sz w:val="18"/>
        </w:rPr>
        <w:t>los</w:t>
      </w:r>
      <w:r>
        <w:rPr>
          <w:spacing w:val="-8"/>
          <w:w w:val="90"/>
          <w:sz w:val="18"/>
        </w:rPr>
        <w:t> </w:t>
      </w:r>
      <w:r>
        <w:rPr>
          <w:w w:val="90"/>
          <w:sz w:val="18"/>
        </w:rPr>
        <w:t>modelos</w:t>
      </w:r>
      <w:r>
        <w:rPr>
          <w:spacing w:val="-8"/>
          <w:w w:val="90"/>
          <w:sz w:val="18"/>
        </w:rPr>
        <w:t> </w:t>
      </w:r>
      <w:r>
        <w:rPr>
          <w:w w:val="90"/>
          <w:sz w:val="18"/>
        </w:rPr>
        <w:t>logit</w:t>
      </w:r>
      <w:r>
        <w:rPr>
          <w:spacing w:val="-8"/>
          <w:w w:val="90"/>
          <w:sz w:val="18"/>
        </w:rPr>
        <w:t> </w:t>
      </w:r>
      <w:r>
        <w:rPr>
          <w:w w:val="90"/>
          <w:sz w:val="18"/>
        </w:rPr>
        <w:t>para</w:t>
      </w:r>
      <w:r>
        <w:rPr>
          <w:spacing w:val="-8"/>
          <w:w w:val="90"/>
          <w:sz w:val="18"/>
        </w:rPr>
        <w:t> </w:t>
      </w:r>
      <w:r>
        <w:rPr>
          <w:w w:val="90"/>
          <w:sz w:val="18"/>
        </w:rPr>
        <w:t>estimar</w:t>
      </w:r>
      <w:r>
        <w:rPr>
          <w:spacing w:val="-8"/>
          <w:w w:val="90"/>
          <w:sz w:val="18"/>
        </w:rPr>
        <w:t> </w:t>
      </w:r>
      <w:r>
        <w:rPr>
          <w:w w:val="90"/>
          <w:sz w:val="18"/>
        </w:rPr>
        <w:t>la</w:t>
      </w:r>
      <w:r>
        <w:rPr>
          <w:spacing w:val="-8"/>
          <w:w w:val="90"/>
          <w:sz w:val="18"/>
        </w:rPr>
        <w:t> </w:t>
      </w:r>
      <w:r>
        <w:rPr>
          <w:w w:val="90"/>
          <w:sz w:val="18"/>
        </w:rPr>
        <w:t>probabilidad</w:t>
      </w:r>
      <w:r>
        <w:rPr>
          <w:spacing w:val="-8"/>
          <w:w w:val="90"/>
          <w:sz w:val="18"/>
        </w:rPr>
        <w:t> </w:t>
      </w:r>
      <w:r>
        <w:rPr>
          <w:w w:val="90"/>
          <w:sz w:val="18"/>
        </w:rPr>
        <w:t>de</w:t>
      </w:r>
      <w:r>
        <w:rPr>
          <w:spacing w:val="-8"/>
          <w:w w:val="90"/>
          <w:sz w:val="18"/>
        </w:rPr>
        <w:t> </w:t>
      </w:r>
      <w:r>
        <w:rPr>
          <w:w w:val="90"/>
          <w:sz w:val="18"/>
        </w:rPr>
        <w:t>tener</w:t>
      </w:r>
      <w:r>
        <w:rPr>
          <w:spacing w:val="-8"/>
          <w:w w:val="90"/>
          <w:sz w:val="18"/>
        </w:rPr>
        <w:t> </w:t>
      </w:r>
      <w:r>
        <w:rPr>
          <w:w w:val="90"/>
          <w:sz w:val="18"/>
        </w:rPr>
        <w:t>acceso a</w:t>
      </w:r>
      <w:r>
        <w:rPr>
          <w:spacing w:val="-11"/>
          <w:w w:val="90"/>
          <w:sz w:val="18"/>
        </w:rPr>
        <w:t> </w:t>
      </w:r>
      <w:r>
        <w:rPr>
          <w:w w:val="90"/>
          <w:sz w:val="18"/>
        </w:rPr>
        <w:t>seguridad</w:t>
      </w:r>
      <w:r>
        <w:rPr>
          <w:spacing w:val="-11"/>
          <w:w w:val="90"/>
          <w:sz w:val="18"/>
        </w:rPr>
        <w:t> </w:t>
      </w:r>
      <w:r>
        <w:rPr>
          <w:w w:val="90"/>
          <w:sz w:val="18"/>
        </w:rPr>
        <w:t>social</w:t>
      </w:r>
      <w:r>
        <w:rPr>
          <w:spacing w:val="-11"/>
          <w:w w:val="90"/>
          <w:sz w:val="18"/>
        </w:rPr>
        <w:t> </w:t>
      </w:r>
      <w:r>
        <w:rPr>
          <w:w w:val="90"/>
          <w:sz w:val="18"/>
        </w:rPr>
        <w:t>(IMSS</w:t>
      </w:r>
      <w:r>
        <w:rPr>
          <w:spacing w:val="-11"/>
          <w:w w:val="90"/>
          <w:sz w:val="18"/>
        </w:rPr>
        <w:t> </w:t>
      </w:r>
      <w:r>
        <w:rPr>
          <w:w w:val="90"/>
          <w:sz w:val="18"/>
        </w:rPr>
        <w:t>o</w:t>
      </w:r>
      <w:r>
        <w:rPr>
          <w:spacing w:val="-11"/>
          <w:w w:val="90"/>
          <w:sz w:val="18"/>
        </w:rPr>
        <w:t> </w:t>
      </w:r>
      <w:r>
        <w:rPr>
          <w:w w:val="90"/>
          <w:sz w:val="18"/>
        </w:rPr>
        <w:t>ISSSTE).</w:t>
      </w:r>
      <w:r>
        <w:rPr>
          <w:spacing w:val="-11"/>
          <w:w w:val="90"/>
          <w:sz w:val="18"/>
        </w:rPr>
        <w:t> </w:t>
      </w:r>
      <w:r>
        <w:rPr>
          <w:w w:val="90"/>
          <w:sz w:val="18"/>
        </w:rPr>
        <w:t>México,</w:t>
      </w:r>
      <w:r>
        <w:rPr>
          <w:spacing w:val="-11"/>
          <w:w w:val="90"/>
          <w:sz w:val="18"/>
        </w:rPr>
        <w:t> </w:t>
      </w:r>
      <w:r>
        <w:rPr>
          <w:w w:val="90"/>
          <w:sz w:val="18"/>
        </w:rPr>
        <w:t>2012.</w:t>
      </w:r>
      <w:r>
        <w:rPr>
          <w:spacing w:val="-11"/>
          <w:w w:val="90"/>
          <w:sz w:val="18"/>
        </w:rPr>
        <w:t> </w:t>
      </w:r>
      <w:r>
        <w:rPr>
          <w:w w:val="90"/>
          <w:sz w:val="18"/>
        </w:rPr>
        <w:t>Coeficientes</w:t>
      </w:r>
      <w:r>
        <w:rPr>
          <w:spacing w:val="-11"/>
          <w:w w:val="90"/>
          <w:sz w:val="18"/>
        </w:rPr>
        <w:t> </w:t>
      </w:r>
      <w:r>
        <w:rPr>
          <w:w w:val="90"/>
          <w:sz w:val="18"/>
        </w:rPr>
        <w:t>exponenciados</w:t>
      </w:r>
    </w:p>
    <w:p>
      <w:pPr>
        <w:pStyle w:val="BodyText"/>
        <w:spacing w:before="4"/>
        <w:rPr>
          <w:sz w:val="5"/>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8"/>
        <w:gridCol w:w="970"/>
        <w:gridCol w:w="906"/>
        <w:gridCol w:w="906"/>
        <w:gridCol w:w="851"/>
        <w:gridCol w:w="762"/>
      </w:tblGrid>
      <w:tr>
        <w:trPr>
          <w:trHeight w:val="477" w:hRule="exact"/>
        </w:trPr>
        <w:tc>
          <w:tcPr>
            <w:tcW w:w="1558" w:type="dxa"/>
            <w:tcBorders>
              <w:left w:val="nil"/>
              <w:right w:val="nil"/>
            </w:tcBorders>
          </w:tcPr>
          <w:p>
            <w:pPr/>
          </w:p>
        </w:tc>
        <w:tc>
          <w:tcPr>
            <w:tcW w:w="970" w:type="dxa"/>
            <w:tcBorders>
              <w:left w:val="nil"/>
              <w:right w:val="nil"/>
            </w:tcBorders>
          </w:tcPr>
          <w:p>
            <w:pPr>
              <w:pStyle w:val="TableParagraph"/>
              <w:spacing w:before="1"/>
              <w:ind w:left="186" w:right="200"/>
              <w:jc w:val="center"/>
              <w:rPr>
                <w:sz w:val="18"/>
              </w:rPr>
            </w:pPr>
            <w:r>
              <w:rPr>
                <w:w w:val="95"/>
                <w:sz w:val="18"/>
              </w:rPr>
              <w:t>(1)</w:t>
            </w:r>
          </w:p>
          <w:p>
            <w:pPr>
              <w:pStyle w:val="TableParagraph"/>
              <w:spacing w:before="26"/>
              <w:ind w:left="186" w:right="200"/>
              <w:jc w:val="center"/>
              <w:rPr>
                <w:sz w:val="18"/>
              </w:rPr>
            </w:pPr>
            <w:r>
              <w:rPr>
                <w:rFonts w:ascii="Cambria Math" w:eastAsia="Cambria Math"/>
                <w:w w:val="43"/>
                <w:sz w:val="18"/>
              </w:rPr>
              <w:t>𝑒</w:t>
            </w:r>
            <w:r>
              <w:rPr>
                <w:rFonts w:ascii="Cambria Math" w:eastAsia="Cambria Math"/>
                <w:spacing w:val="9"/>
                <w:w w:val="43"/>
                <w:sz w:val="18"/>
              </w:rPr>
              <w:t>𝑒</w:t>
            </w:r>
            <w:r>
              <w:rPr>
                <w:rFonts w:ascii="Cambria Math" w:eastAsia="Cambria Math"/>
                <w:spacing w:val="10"/>
                <w:w w:val="205"/>
                <w:position w:val="7"/>
                <w:sz w:val="13"/>
              </w:rPr>
              <w:t>!</w:t>
            </w:r>
            <w:r>
              <w:rPr>
                <w:w w:val="87"/>
                <w:sz w:val="18"/>
              </w:rPr>
              <w:t>/(</w:t>
            </w:r>
            <w:r>
              <w:rPr>
                <w:spacing w:val="1"/>
                <w:w w:val="87"/>
                <w:sz w:val="18"/>
              </w:rPr>
              <w:t>ee</w:t>
            </w:r>
            <w:r>
              <w:rPr>
                <w:w w:val="87"/>
                <w:sz w:val="18"/>
              </w:rPr>
              <w:t>)</w:t>
            </w:r>
          </w:p>
        </w:tc>
        <w:tc>
          <w:tcPr>
            <w:tcW w:w="906" w:type="dxa"/>
            <w:tcBorders>
              <w:left w:val="nil"/>
              <w:right w:val="nil"/>
            </w:tcBorders>
          </w:tcPr>
          <w:p>
            <w:pPr>
              <w:pStyle w:val="TableParagraph"/>
              <w:spacing w:before="1"/>
              <w:ind w:left="103" w:right="218"/>
              <w:jc w:val="center"/>
              <w:rPr>
                <w:sz w:val="18"/>
              </w:rPr>
            </w:pPr>
            <w:r>
              <w:rPr>
                <w:w w:val="95"/>
                <w:sz w:val="18"/>
              </w:rPr>
              <w:t>(2)</w:t>
            </w:r>
          </w:p>
          <w:p>
            <w:pPr>
              <w:pStyle w:val="TableParagraph"/>
              <w:spacing w:before="26"/>
              <w:ind w:left="104" w:right="218"/>
              <w:jc w:val="center"/>
              <w:rPr>
                <w:sz w:val="18"/>
              </w:rPr>
            </w:pPr>
            <w:r>
              <w:rPr>
                <w:rFonts w:ascii="Cambria Math" w:eastAsia="Cambria Math"/>
                <w:w w:val="43"/>
                <w:sz w:val="18"/>
              </w:rPr>
              <w:t>𝑒</w:t>
            </w:r>
            <w:r>
              <w:rPr>
                <w:rFonts w:ascii="Cambria Math" w:eastAsia="Cambria Math"/>
                <w:spacing w:val="9"/>
                <w:w w:val="43"/>
                <w:sz w:val="18"/>
              </w:rPr>
              <w:t>𝑒</w:t>
            </w:r>
            <w:r>
              <w:rPr>
                <w:rFonts w:ascii="Cambria Math" w:eastAsia="Cambria Math"/>
                <w:spacing w:val="10"/>
                <w:w w:val="205"/>
                <w:position w:val="7"/>
                <w:sz w:val="13"/>
              </w:rPr>
              <w:t>!</w:t>
            </w:r>
            <w:r>
              <w:rPr>
                <w:w w:val="87"/>
                <w:sz w:val="18"/>
              </w:rPr>
              <w:t>/(</w:t>
            </w:r>
            <w:r>
              <w:rPr>
                <w:spacing w:val="1"/>
                <w:w w:val="87"/>
                <w:sz w:val="18"/>
              </w:rPr>
              <w:t>ee</w:t>
            </w:r>
            <w:r>
              <w:rPr>
                <w:w w:val="87"/>
                <w:sz w:val="18"/>
              </w:rPr>
              <w:t>)</w:t>
            </w:r>
          </w:p>
        </w:tc>
        <w:tc>
          <w:tcPr>
            <w:tcW w:w="906" w:type="dxa"/>
            <w:tcBorders>
              <w:left w:val="nil"/>
              <w:right w:val="nil"/>
            </w:tcBorders>
          </w:tcPr>
          <w:p>
            <w:pPr>
              <w:pStyle w:val="TableParagraph"/>
              <w:spacing w:before="1"/>
              <w:ind w:left="104" w:right="218"/>
              <w:jc w:val="center"/>
              <w:rPr>
                <w:sz w:val="18"/>
              </w:rPr>
            </w:pPr>
            <w:r>
              <w:rPr>
                <w:w w:val="95"/>
                <w:sz w:val="18"/>
              </w:rPr>
              <w:t>(3)</w:t>
            </w:r>
          </w:p>
          <w:p>
            <w:pPr>
              <w:pStyle w:val="TableParagraph"/>
              <w:spacing w:before="26"/>
              <w:ind w:left="104" w:right="218"/>
              <w:jc w:val="center"/>
              <w:rPr>
                <w:sz w:val="18"/>
              </w:rPr>
            </w:pPr>
            <w:r>
              <w:rPr>
                <w:rFonts w:ascii="Cambria Math" w:eastAsia="Cambria Math"/>
                <w:w w:val="43"/>
                <w:sz w:val="18"/>
              </w:rPr>
              <w:t>𝑒</w:t>
            </w:r>
            <w:r>
              <w:rPr>
                <w:rFonts w:ascii="Cambria Math" w:eastAsia="Cambria Math"/>
                <w:spacing w:val="9"/>
                <w:w w:val="43"/>
                <w:sz w:val="18"/>
              </w:rPr>
              <w:t>𝑒</w:t>
            </w:r>
            <w:r>
              <w:rPr>
                <w:rFonts w:ascii="Cambria Math" w:eastAsia="Cambria Math"/>
                <w:spacing w:val="10"/>
                <w:w w:val="205"/>
                <w:position w:val="7"/>
                <w:sz w:val="13"/>
              </w:rPr>
              <w:t>!</w:t>
            </w:r>
            <w:r>
              <w:rPr>
                <w:w w:val="87"/>
                <w:sz w:val="18"/>
              </w:rPr>
              <w:t>/(</w:t>
            </w:r>
            <w:r>
              <w:rPr>
                <w:spacing w:val="1"/>
                <w:w w:val="87"/>
                <w:sz w:val="18"/>
              </w:rPr>
              <w:t>ee</w:t>
            </w:r>
            <w:r>
              <w:rPr>
                <w:w w:val="87"/>
                <w:sz w:val="18"/>
              </w:rPr>
              <w:t>)</w:t>
            </w:r>
          </w:p>
        </w:tc>
        <w:tc>
          <w:tcPr>
            <w:tcW w:w="851" w:type="dxa"/>
            <w:tcBorders>
              <w:left w:val="nil"/>
              <w:right w:val="nil"/>
            </w:tcBorders>
          </w:tcPr>
          <w:p>
            <w:pPr>
              <w:pStyle w:val="TableParagraph"/>
              <w:spacing w:before="1"/>
              <w:ind w:left="104" w:right="163"/>
              <w:jc w:val="center"/>
              <w:rPr>
                <w:sz w:val="18"/>
              </w:rPr>
            </w:pPr>
            <w:r>
              <w:rPr>
                <w:w w:val="95"/>
                <w:sz w:val="18"/>
              </w:rPr>
              <w:t>(4)</w:t>
            </w:r>
          </w:p>
          <w:p>
            <w:pPr>
              <w:pStyle w:val="TableParagraph"/>
              <w:spacing w:before="26"/>
              <w:ind w:left="104" w:right="163"/>
              <w:jc w:val="center"/>
              <w:rPr>
                <w:sz w:val="18"/>
              </w:rPr>
            </w:pPr>
            <w:r>
              <w:rPr>
                <w:rFonts w:ascii="Cambria Math" w:eastAsia="Cambria Math"/>
                <w:w w:val="43"/>
                <w:sz w:val="18"/>
              </w:rPr>
              <w:t>𝑒</w:t>
            </w:r>
            <w:r>
              <w:rPr>
                <w:rFonts w:ascii="Cambria Math" w:eastAsia="Cambria Math"/>
                <w:spacing w:val="9"/>
                <w:w w:val="43"/>
                <w:sz w:val="18"/>
              </w:rPr>
              <w:t>𝑒</w:t>
            </w:r>
            <w:r>
              <w:rPr>
                <w:rFonts w:ascii="Cambria Math" w:eastAsia="Cambria Math"/>
                <w:spacing w:val="10"/>
                <w:w w:val="205"/>
                <w:position w:val="7"/>
                <w:sz w:val="13"/>
              </w:rPr>
              <w:t>!</w:t>
            </w:r>
            <w:r>
              <w:rPr>
                <w:w w:val="87"/>
                <w:sz w:val="18"/>
              </w:rPr>
              <w:t>/(</w:t>
            </w:r>
            <w:r>
              <w:rPr>
                <w:spacing w:val="1"/>
                <w:w w:val="87"/>
                <w:sz w:val="18"/>
              </w:rPr>
              <w:t>ee</w:t>
            </w:r>
            <w:r>
              <w:rPr>
                <w:w w:val="87"/>
                <w:sz w:val="18"/>
              </w:rPr>
              <w:t>)</w:t>
            </w:r>
          </w:p>
        </w:tc>
        <w:tc>
          <w:tcPr>
            <w:tcW w:w="762" w:type="dxa"/>
            <w:tcBorders>
              <w:left w:val="nil"/>
              <w:right w:val="nil"/>
            </w:tcBorders>
          </w:tcPr>
          <w:p>
            <w:pPr>
              <w:pStyle w:val="TableParagraph"/>
              <w:spacing w:before="1"/>
              <w:ind w:left="104" w:right="73"/>
              <w:jc w:val="center"/>
              <w:rPr>
                <w:sz w:val="18"/>
              </w:rPr>
            </w:pPr>
            <w:r>
              <w:rPr>
                <w:w w:val="95"/>
                <w:sz w:val="18"/>
              </w:rPr>
              <w:t>(5)</w:t>
            </w:r>
          </w:p>
          <w:p>
            <w:pPr>
              <w:pStyle w:val="TableParagraph"/>
              <w:spacing w:before="26"/>
              <w:ind w:left="104" w:right="73"/>
              <w:jc w:val="center"/>
              <w:rPr>
                <w:sz w:val="18"/>
              </w:rPr>
            </w:pPr>
            <w:r>
              <w:rPr>
                <w:rFonts w:ascii="Cambria Math" w:eastAsia="Cambria Math"/>
                <w:w w:val="43"/>
                <w:sz w:val="18"/>
              </w:rPr>
              <w:t>𝑒</w:t>
            </w:r>
            <w:r>
              <w:rPr>
                <w:rFonts w:ascii="Cambria Math" w:eastAsia="Cambria Math"/>
                <w:spacing w:val="9"/>
                <w:w w:val="43"/>
                <w:sz w:val="18"/>
              </w:rPr>
              <w:t>𝑒</w:t>
            </w:r>
            <w:r>
              <w:rPr>
                <w:rFonts w:ascii="Cambria Math" w:eastAsia="Cambria Math"/>
                <w:spacing w:val="10"/>
                <w:w w:val="205"/>
                <w:position w:val="7"/>
                <w:sz w:val="13"/>
              </w:rPr>
              <w:t>!</w:t>
            </w:r>
            <w:r>
              <w:rPr>
                <w:w w:val="87"/>
                <w:sz w:val="18"/>
              </w:rPr>
              <w:t>/(</w:t>
            </w:r>
            <w:r>
              <w:rPr>
                <w:spacing w:val="1"/>
                <w:w w:val="87"/>
                <w:sz w:val="18"/>
              </w:rPr>
              <w:t>ee</w:t>
            </w:r>
            <w:r>
              <w:rPr>
                <w:w w:val="87"/>
                <w:sz w:val="18"/>
              </w:rPr>
              <w:t>)</w:t>
            </w:r>
          </w:p>
        </w:tc>
      </w:tr>
      <w:tr>
        <w:trPr>
          <w:trHeight w:val="225" w:hRule="exact"/>
        </w:trPr>
        <w:tc>
          <w:tcPr>
            <w:tcW w:w="1558" w:type="dxa"/>
            <w:tcBorders>
              <w:left w:val="nil"/>
              <w:bottom w:val="nil"/>
              <w:right w:val="nil"/>
            </w:tcBorders>
          </w:tcPr>
          <w:p>
            <w:pPr>
              <w:pStyle w:val="TableParagraph"/>
              <w:spacing w:before="1"/>
              <w:ind w:left="32"/>
              <w:jc w:val="left"/>
              <w:rPr>
                <w:sz w:val="18"/>
              </w:rPr>
            </w:pPr>
            <w:r>
              <w:rPr>
                <w:w w:val="90"/>
                <w:sz w:val="18"/>
              </w:rPr>
              <w:t>Otros transables</w:t>
            </w:r>
          </w:p>
        </w:tc>
        <w:tc>
          <w:tcPr>
            <w:tcW w:w="970" w:type="dxa"/>
            <w:tcBorders>
              <w:left w:val="nil"/>
              <w:bottom w:val="nil"/>
              <w:right w:val="nil"/>
            </w:tcBorders>
          </w:tcPr>
          <w:p>
            <w:pPr>
              <w:pStyle w:val="TableParagraph"/>
              <w:spacing w:before="1"/>
              <w:ind w:right="111"/>
              <w:rPr>
                <w:sz w:val="18"/>
              </w:rPr>
            </w:pPr>
            <w:r>
              <w:rPr>
                <w:w w:val="85"/>
                <w:sz w:val="18"/>
              </w:rPr>
              <w:t>2.3392***</w:t>
            </w:r>
          </w:p>
        </w:tc>
        <w:tc>
          <w:tcPr>
            <w:tcW w:w="906" w:type="dxa"/>
            <w:tcBorders>
              <w:left w:val="nil"/>
              <w:bottom w:val="nil"/>
              <w:right w:val="nil"/>
            </w:tcBorders>
          </w:tcPr>
          <w:p>
            <w:pPr>
              <w:pStyle w:val="TableParagraph"/>
              <w:spacing w:before="1"/>
              <w:ind w:right="111"/>
              <w:rPr>
                <w:sz w:val="18"/>
              </w:rPr>
            </w:pPr>
            <w:r>
              <w:rPr>
                <w:w w:val="85"/>
                <w:sz w:val="18"/>
              </w:rPr>
              <w:t>2.3016***</w:t>
            </w:r>
          </w:p>
        </w:tc>
        <w:tc>
          <w:tcPr>
            <w:tcW w:w="906" w:type="dxa"/>
            <w:tcBorders>
              <w:left w:val="nil"/>
              <w:bottom w:val="nil"/>
              <w:right w:val="nil"/>
            </w:tcBorders>
          </w:tcPr>
          <w:p>
            <w:pPr>
              <w:pStyle w:val="TableParagraph"/>
              <w:spacing w:before="1"/>
              <w:ind w:right="111"/>
              <w:rPr>
                <w:sz w:val="18"/>
              </w:rPr>
            </w:pPr>
            <w:r>
              <w:rPr>
                <w:w w:val="85"/>
                <w:sz w:val="18"/>
              </w:rPr>
              <w:t>2.3510***</w:t>
            </w:r>
          </w:p>
        </w:tc>
        <w:tc>
          <w:tcPr>
            <w:tcW w:w="851" w:type="dxa"/>
            <w:tcBorders>
              <w:left w:val="nil"/>
              <w:bottom w:val="nil"/>
              <w:right w:val="nil"/>
            </w:tcBorders>
          </w:tcPr>
          <w:p>
            <w:pPr>
              <w:pStyle w:val="TableParagraph"/>
              <w:spacing w:before="1"/>
              <w:ind w:right="56"/>
              <w:rPr>
                <w:sz w:val="18"/>
              </w:rPr>
            </w:pPr>
            <w:r>
              <w:rPr>
                <w:w w:val="85"/>
                <w:sz w:val="18"/>
              </w:rPr>
              <w:t>2.0942***</w:t>
            </w:r>
          </w:p>
        </w:tc>
        <w:tc>
          <w:tcPr>
            <w:tcW w:w="762" w:type="dxa"/>
            <w:tcBorders>
              <w:left w:val="nil"/>
              <w:bottom w:val="nil"/>
              <w:right w:val="nil"/>
            </w:tcBorders>
          </w:tcPr>
          <w:p>
            <w:pPr>
              <w:pStyle w:val="TableParagraph"/>
              <w:spacing w:before="1"/>
              <w:ind w:right="22"/>
              <w:rPr>
                <w:sz w:val="18"/>
              </w:rPr>
            </w:pPr>
            <w:r>
              <w:rPr>
                <w:w w:val="85"/>
                <w:sz w:val="18"/>
              </w:rPr>
              <w:t>2.0493***</w:t>
            </w:r>
          </w:p>
        </w:tc>
      </w:tr>
      <w:tr>
        <w:trPr>
          <w:trHeight w:val="214" w:hRule="exact"/>
        </w:trPr>
        <w:tc>
          <w:tcPr>
            <w:tcW w:w="1558" w:type="dxa"/>
            <w:tcBorders>
              <w:top w:val="nil"/>
              <w:left w:val="nil"/>
              <w:bottom w:val="nil"/>
              <w:right w:val="nil"/>
            </w:tcBorders>
          </w:tcPr>
          <w:p>
            <w:pPr/>
          </w:p>
        </w:tc>
        <w:tc>
          <w:tcPr>
            <w:tcW w:w="970" w:type="dxa"/>
            <w:tcBorders>
              <w:top w:val="nil"/>
              <w:left w:val="nil"/>
              <w:bottom w:val="nil"/>
              <w:right w:val="nil"/>
            </w:tcBorders>
          </w:tcPr>
          <w:p>
            <w:pPr>
              <w:pStyle w:val="TableParagraph"/>
              <w:spacing w:line="202" w:lineRule="exact"/>
              <w:ind w:right="111"/>
              <w:rPr>
                <w:sz w:val="18"/>
              </w:rPr>
            </w:pPr>
            <w:r>
              <w:rPr>
                <w:w w:val="85"/>
                <w:sz w:val="18"/>
              </w:rPr>
              <w:t>(0.059)</w:t>
            </w:r>
          </w:p>
        </w:tc>
        <w:tc>
          <w:tcPr>
            <w:tcW w:w="906" w:type="dxa"/>
            <w:tcBorders>
              <w:top w:val="nil"/>
              <w:left w:val="nil"/>
              <w:bottom w:val="nil"/>
              <w:right w:val="nil"/>
            </w:tcBorders>
          </w:tcPr>
          <w:p>
            <w:pPr>
              <w:pStyle w:val="TableParagraph"/>
              <w:spacing w:line="202" w:lineRule="exact"/>
              <w:ind w:right="110"/>
              <w:rPr>
                <w:sz w:val="18"/>
              </w:rPr>
            </w:pPr>
            <w:r>
              <w:rPr>
                <w:w w:val="85"/>
                <w:sz w:val="18"/>
              </w:rPr>
              <w:t>(0.059)</w:t>
            </w:r>
          </w:p>
        </w:tc>
        <w:tc>
          <w:tcPr>
            <w:tcW w:w="906" w:type="dxa"/>
            <w:tcBorders>
              <w:top w:val="nil"/>
              <w:left w:val="nil"/>
              <w:bottom w:val="nil"/>
              <w:right w:val="nil"/>
            </w:tcBorders>
          </w:tcPr>
          <w:p>
            <w:pPr>
              <w:pStyle w:val="TableParagraph"/>
              <w:spacing w:line="202" w:lineRule="exact"/>
              <w:ind w:right="110"/>
              <w:rPr>
                <w:sz w:val="18"/>
              </w:rPr>
            </w:pPr>
            <w:r>
              <w:rPr>
                <w:w w:val="85"/>
                <w:sz w:val="18"/>
              </w:rPr>
              <w:t>(0.061)</w:t>
            </w:r>
          </w:p>
        </w:tc>
        <w:tc>
          <w:tcPr>
            <w:tcW w:w="851" w:type="dxa"/>
            <w:tcBorders>
              <w:top w:val="nil"/>
              <w:left w:val="nil"/>
              <w:bottom w:val="nil"/>
              <w:right w:val="nil"/>
            </w:tcBorders>
          </w:tcPr>
          <w:p>
            <w:pPr>
              <w:pStyle w:val="TableParagraph"/>
              <w:spacing w:line="202" w:lineRule="exact"/>
              <w:ind w:right="56"/>
              <w:rPr>
                <w:sz w:val="18"/>
              </w:rPr>
            </w:pPr>
            <w:r>
              <w:rPr>
                <w:w w:val="85"/>
                <w:sz w:val="18"/>
              </w:rPr>
              <w:t>(0.057)</w:t>
            </w:r>
          </w:p>
        </w:tc>
        <w:tc>
          <w:tcPr>
            <w:tcW w:w="762" w:type="dxa"/>
            <w:tcBorders>
              <w:top w:val="nil"/>
              <w:left w:val="nil"/>
              <w:bottom w:val="nil"/>
              <w:right w:val="nil"/>
            </w:tcBorders>
          </w:tcPr>
          <w:p>
            <w:pPr>
              <w:pStyle w:val="TableParagraph"/>
              <w:spacing w:line="202" w:lineRule="exact"/>
              <w:ind w:right="21"/>
              <w:rPr>
                <w:sz w:val="18"/>
              </w:rPr>
            </w:pPr>
            <w:r>
              <w:rPr>
                <w:w w:val="85"/>
                <w:sz w:val="18"/>
              </w:rPr>
              <w:t>(0.058)</w:t>
            </w:r>
          </w:p>
        </w:tc>
      </w:tr>
      <w:tr>
        <w:trPr>
          <w:trHeight w:val="214" w:hRule="exact"/>
        </w:trPr>
        <w:tc>
          <w:tcPr>
            <w:tcW w:w="1558" w:type="dxa"/>
            <w:tcBorders>
              <w:top w:val="nil"/>
              <w:left w:val="nil"/>
              <w:bottom w:val="nil"/>
              <w:right w:val="nil"/>
            </w:tcBorders>
          </w:tcPr>
          <w:p>
            <w:pPr>
              <w:pStyle w:val="TableParagraph"/>
              <w:spacing w:line="202" w:lineRule="exact"/>
              <w:ind w:left="32"/>
              <w:jc w:val="left"/>
              <w:rPr>
                <w:sz w:val="18"/>
              </w:rPr>
            </w:pPr>
            <w:r>
              <w:rPr>
                <w:w w:val="90"/>
                <w:sz w:val="18"/>
              </w:rPr>
              <w:t>No transables</w:t>
            </w:r>
          </w:p>
        </w:tc>
        <w:tc>
          <w:tcPr>
            <w:tcW w:w="970" w:type="dxa"/>
            <w:tcBorders>
              <w:top w:val="nil"/>
              <w:left w:val="nil"/>
              <w:bottom w:val="nil"/>
              <w:right w:val="nil"/>
            </w:tcBorders>
          </w:tcPr>
          <w:p>
            <w:pPr>
              <w:pStyle w:val="TableParagraph"/>
              <w:spacing w:line="202" w:lineRule="exact"/>
              <w:ind w:right="111"/>
              <w:rPr>
                <w:sz w:val="18"/>
              </w:rPr>
            </w:pPr>
            <w:r>
              <w:rPr>
                <w:w w:val="85"/>
                <w:sz w:val="18"/>
              </w:rPr>
              <w:t>0.5459***</w:t>
            </w:r>
          </w:p>
        </w:tc>
        <w:tc>
          <w:tcPr>
            <w:tcW w:w="906" w:type="dxa"/>
            <w:tcBorders>
              <w:top w:val="nil"/>
              <w:left w:val="nil"/>
              <w:bottom w:val="nil"/>
              <w:right w:val="nil"/>
            </w:tcBorders>
          </w:tcPr>
          <w:p>
            <w:pPr>
              <w:pStyle w:val="TableParagraph"/>
              <w:spacing w:line="202" w:lineRule="exact"/>
              <w:ind w:right="111"/>
              <w:rPr>
                <w:sz w:val="18"/>
              </w:rPr>
            </w:pPr>
            <w:r>
              <w:rPr>
                <w:w w:val="85"/>
                <w:sz w:val="18"/>
              </w:rPr>
              <w:t>0.5586***</w:t>
            </w:r>
          </w:p>
        </w:tc>
        <w:tc>
          <w:tcPr>
            <w:tcW w:w="906" w:type="dxa"/>
            <w:tcBorders>
              <w:top w:val="nil"/>
              <w:left w:val="nil"/>
              <w:bottom w:val="nil"/>
              <w:right w:val="nil"/>
            </w:tcBorders>
          </w:tcPr>
          <w:p>
            <w:pPr>
              <w:pStyle w:val="TableParagraph"/>
              <w:spacing w:line="202" w:lineRule="exact"/>
              <w:ind w:right="111"/>
              <w:rPr>
                <w:sz w:val="18"/>
              </w:rPr>
            </w:pPr>
            <w:r>
              <w:rPr>
                <w:w w:val="85"/>
                <w:sz w:val="18"/>
              </w:rPr>
              <w:t>0.5442***</w:t>
            </w:r>
          </w:p>
        </w:tc>
        <w:tc>
          <w:tcPr>
            <w:tcW w:w="851" w:type="dxa"/>
            <w:tcBorders>
              <w:top w:val="nil"/>
              <w:left w:val="nil"/>
              <w:bottom w:val="nil"/>
              <w:right w:val="nil"/>
            </w:tcBorders>
          </w:tcPr>
          <w:p>
            <w:pPr>
              <w:pStyle w:val="TableParagraph"/>
              <w:spacing w:line="202" w:lineRule="exact"/>
              <w:ind w:right="56"/>
              <w:rPr>
                <w:sz w:val="18"/>
              </w:rPr>
            </w:pPr>
            <w:r>
              <w:rPr>
                <w:w w:val="85"/>
                <w:sz w:val="18"/>
              </w:rPr>
              <w:t>0.5099***</w:t>
            </w:r>
          </w:p>
        </w:tc>
        <w:tc>
          <w:tcPr>
            <w:tcW w:w="762" w:type="dxa"/>
            <w:tcBorders>
              <w:top w:val="nil"/>
              <w:left w:val="nil"/>
              <w:bottom w:val="nil"/>
              <w:right w:val="nil"/>
            </w:tcBorders>
          </w:tcPr>
          <w:p>
            <w:pPr>
              <w:pStyle w:val="TableParagraph"/>
              <w:spacing w:line="202" w:lineRule="exact"/>
              <w:ind w:right="22"/>
              <w:rPr>
                <w:sz w:val="18"/>
              </w:rPr>
            </w:pPr>
            <w:r>
              <w:rPr>
                <w:w w:val="85"/>
                <w:sz w:val="18"/>
              </w:rPr>
              <w:t>0.5265***</w:t>
            </w:r>
          </w:p>
        </w:tc>
      </w:tr>
      <w:tr>
        <w:trPr>
          <w:trHeight w:val="212" w:hRule="exact"/>
        </w:trPr>
        <w:tc>
          <w:tcPr>
            <w:tcW w:w="1558" w:type="dxa"/>
            <w:tcBorders>
              <w:top w:val="nil"/>
              <w:left w:val="nil"/>
              <w:bottom w:val="nil"/>
              <w:right w:val="nil"/>
            </w:tcBorders>
          </w:tcPr>
          <w:p>
            <w:pPr/>
          </w:p>
        </w:tc>
        <w:tc>
          <w:tcPr>
            <w:tcW w:w="970" w:type="dxa"/>
            <w:tcBorders>
              <w:top w:val="nil"/>
              <w:left w:val="nil"/>
              <w:bottom w:val="nil"/>
              <w:right w:val="nil"/>
            </w:tcBorders>
          </w:tcPr>
          <w:p>
            <w:pPr>
              <w:pStyle w:val="TableParagraph"/>
              <w:spacing w:line="202" w:lineRule="exact"/>
              <w:ind w:right="111"/>
              <w:rPr>
                <w:sz w:val="18"/>
              </w:rPr>
            </w:pPr>
            <w:r>
              <w:rPr>
                <w:w w:val="85"/>
                <w:sz w:val="18"/>
              </w:rPr>
              <w:t>(0.015)</w:t>
            </w:r>
          </w:p>
        </w:tc>
        <w:tc>
          <w:tcPr>
            <w:tcW w:w="906" w:type="dxa"/>
            <w:tcBorders>
              <w:top w:val="nil"/>
              <w:left w:val="nil"/>
              <w:bottom w:val="nil"/>
              <w:right w:val="nil"/>
            </w:tcBorders>
          </w:tcPr>
          <w:p>
            <w:pPr>
              <w:pStyle w:val="TableParagraph"/>
              <w:spacing w:line="202" w:lineRule="exact"/>
              <w:ind w:right="110"/>
              <w:rPr>
                <w:sz w:val="18"/>
              </w:rPr>
            </w:pPr>
            <w:r>
              <w:rPr>
                <w:w w:val="85"/>
                <w:sz w:val="18"/>
              </w:rPr>
              <w:t>(0.016)</w:t>
            </w:r>
          </w:p>
        </w:tc>
        <w:tc>
          <w:tcPr>
            <w:tcW w:w="906" w:type="dxa"/>
            <w:tcBorders>
              <w:top w:val="nil"/>
              <w:left w:val="nil"/>
              <w:bottom w:val="nil"/>
              <w:right w:val="nil"/>
            </w:tcBorders>
          </w:tcPr>
          <w:p>
            <w:pPr>
              <w:pStyle w:val="TableParagraph"/>
              <w:spacing w:line="202" w:lineRule="exact"/>
              <w:ind w:right="110"/>
              <w:rPr>
                <w:sz w:val="18"/>
              </w:rPr>
            </w:pPr>
            <w:r>
              <w:rPr>
                <w:w w:val="85"/>
                <w:sz w:val="18"/>
              </w:rPr>
              <w:t>(0.016)</w:t>
            </w:r>
          </w:p>
        </w:tc>
        <w:tc>
          <w:tcPr>
            <w:tcW w:w="851" w:type="dxa"/>
            <w:tcBorders>
              <w:top w:val="nil"/>
              <w:left w:val="nil"/>
              <w:bottom w:val="nil"/>
              <w:right w:val="nil"/>
            </w:tcBorders>
          </w:tcPr>
          <w:p>
            <w:pPr>
              <w:pStyle w:val="TableParagraph"/>
              <w:spacing w:line="202" w:lineRule="exact"/>
              <w:ind w:right="56"/>
              <w:rPr>
                <w:sz w:val="18"/>
              </w:rPr>
            </w:pPr>
            <w:r>
              <w:rPr>
                <w:w w:val="85"/>
                <w:sz w:val="18"/>
              </w:rPr>
              <w:t>(0.015)</w:t>
            </w:r>
          </w:p>
        </w:tc>
        <w:tc>
          <w:tcPr>
            <w:tcW w:w="762" w:type="dxa"/>
            <w:tcBorders>
              <w:top w:val="nil"/>
              <w:left w:val="nil"/>
              <w:bottom w:val="nil"/>
              <w:right w:val="nil"/>
            </w:tcBorders>
          </w:tcPr>
          <w:p>
            <w:pPr>
              <w:pStyle w:val="TableParagraph"/>
              <w:spacing w:line="202" w:lineRule="exact"/>
              <w:ind w:right="21"/>
              <w:rPr>
                <w:sz w:val="18"/>
              </w:rPr>
            </w:pPr>
            <w:r>
              <w:rPr>
                <w:w w:val="85"/>
                <w:sz w:val="18"/>
              </w:rPr>
              <w:t>(0.016)</w:t>
            </w:r>
          </w:p>
        </w:tc>
      </w:tr>
      <w:tr>
        <w:trPr>
          <w:trHeight w:val="212" w:hRule="exact"/>
        </w:trPr>
        <w:tc>
          <w:tcPr>
            <w:tcW w:w="1558" w:type="dxa"/>
            <w:tcBorders>
              <w:top w:val="nil"/>
              <w:left w:val="nil"/>
              <w:bottom w:val="nil"/>
              <w:right w:val="nil"/>
            </w:tcBorders>
          </w:tcPr>
          <w:p>
            <w:pPr>
              <w:pStyle w:val="TableParagraph"/>
              <w:spacing w:line="199" w:lineRule="exact"/>
              <w:ind w:left="32"/>
              <w:jc w:val="left"/>
              <w:rPr>
                <w:sz w:val="18"/>
              </w:rPr>
            </w:pPr>
            <w:r>
              <w:rPr>
                <w:w w:val="95"/>
                <w:sz w:val="18"/>
              </w:rPr>
              <w:t>Mujer</w:t>
            </w:r>
          </w:p>
        </w:tc>
        <w:tc>
          <w:tcPr>
            <w:tcW w:w="970" w:type="dxa"/>
            <w:tcBorders>
              <w:top w:val="nil"/>
              <w:left w:val="nil"/>
              <w:bottom w:val="nil"/>
              <w:right w:val="nil"/>
            </w:tcBorders>
          </w:tcPr>
          <w:p>
            <w:pPr/>
          </w:p>
        </w:tc>
        <w:tc>
          <w:tcPr>
            <w:tcW w:w="906" w:type="dxa"/>
            <w:tcBorders>
              <w:top w:val="nil"/>
              <w:left w:val="nil"/>
              <w:bottom w:val="nil"/>
              <w:right w:val="nil"/>
            </w:tcBorders>
          </w:tcPr>
          <w:p>
            <w:pPr>
              <w:pStyle w:val="TableParagraph"/>
              <w:spacing w:line="199" w:lineRule="exact"/>
              <w:ind w:right="111"/>
              <w:rPr>
                <w:sz w:val="18"/>
              </w:rPr>
            </w:pPr>
            <w:r>
              <w:rPr>
                <w:w w:val="85"/>
                <w:sz w:val="18"/>
              </w:rPr>
              <w:t>1.1338***</w:t>
            </w:r>
          </w:p>
        </w:tc>
        <w:tc>
          <w:tcPr>
            <w:tcW w:w="906" w:type="dxa"/>
            <w:tcBorders>
              <w:top w:val="nil"/>
              <w:left w:val="nil"/>
              <w:bottom w:val="nil"/>
              <w:right w:val="nil"/>
            </w:tcBorders>
          </w:tcPr>
          <w:p>
            <w:pPr>
              <w:pStyle w:val="TableParagraph"/>
              <w:spacing w:line="199" w:lineRule="exact"/>
              <w:ind w:right="111"/>
              <w:rPr>
                <w:sz w:val="18"/>
              </w:rPr>
            </w:pPr>
            <w:r>
              <w:rPr>
                <w:w w:val="85"/>
                <w:sz w:val="18"/>
              </w:rPr>
              <w:t>1.1216***</w:t>
            </w:r>
          </w:p>
        </w:tc>
        <w:tc>
          <w:tcPr>
            <w:tcW w:w="851" w:type="dxa"/>
            <w:tcBorders>
              <w:top w:val="nil"/>
              <w:left w:val="nil"/>
              <w:bottom w:val="nil"/>
              <w:right w:val="nil"/>
            </w:tcBorders>
          </w:tcPr>
          <w:p>
            <w:pPr>
              <w:pStyle w:val="TableParagraph"/>
              <w:spacing w:line="199" w:lineRule="exact"/>
              <w:ind w:right="56"/>
              <w:rPr>
                <w:sz w:val="18"/>
              </w:rPr>
            </w:pPr>
            <w:r>
              <w:rPr>
                <w:w w:val="85"/>
                <w:sz w:val="18"/>
              </w:rPr>
              <w:t>1.1175***</w:t>
            </w:r>
          </w:p>
        </w:tc>
        <w:tc>
          <w:tcPr>
            <w:tcW w:w="762" w:type="dxa"/>
            <w:tcBorders>
              <w:top w:val="nil"/>
              <w:left w:val="nil"/>
              <w:bottom w:val="nil"/>
              <w:right w:val="nil"/>
            </w:tcBorders>
          </w:tcPr>
          <w:p>
            <w:pPr>
              <w:pStyle w:val="TableParagraph"/>
              <w:spacing w:line="199" w:lineRule="exact"/>
              <w:ind w:right="22"/>
              <w:rPr>
                <w:sz w:val="18"/>
              </w:rPr>
            </w:pPr>
            <w:r>
              <w:rPr>
                <w:w w:val="85"/>
                <w:sz w:val="18"/>
              </w:rPr>
              <w:t>1.1651***</w:t>
            </w:r>
          </w:p>
        </w:tc>
      </w:tr>
      <w:tr>
        <w:trPr>
          <w:trHeight w:val="214" w:hRule="exact"/>
        </w:trPr>
        <w:tc>
          <w:tcPr>
            <w:tcW w:w="1558" w:type="dxa"/>
            <w:tcBorders>
              <w:top w:val="nil"/>
              <w:left w:val="nil"/>
              <w:bottom w:val="nil"/>
              <w:right w:val="nil"/>
            </w:tcBorders>
          </w:tcPr>
          <w:p>
            <w:pPr/>
          </w:p>
        </w:tc>
        <w:tc>
          <w:tcPr>
            <w:tcW w:w="970" w:type="dxa"/>
            <w:tcBorders>
              <w:top w:val="nil"/>
              <w:left w:val="nil"/>
              <w:bottom w:val="nil"/>
              <w:right w:val="nil"/>
            </w:tcBorders>
          </w:tcPr>
          <w:p>
            <w:pPr/>
          </w:p>
        </w:tc>
        <w:tc>
          <w:tcPr>
            <w:tcW w:w="906" w:type="dxa"/>
            <w:tcBorders>
              <w:top w:val="nil"/>
              <w:left w:val="nil"/>
              <w:bottom w:val="nil"/>
              <w:right w:val="nil"/>
            </w:tcBorders>
          </w:tcPr>
          <w:p>
            <w:pPr>
              <w:pStyle w:val="TableParagraph"/>
              <w:spacing w:line="202" w:lineRule="exact"/>
              <w:ind w:right="110"/>
              <w:rPr>
                <w:sz w:val="18"/>
              </w:rPr>
            </w:pPr>
            <w:r>
              <w:rPr>
                <w:w w:val="85"/>
                <w:sz w:val="18"/>
              </w:rPr>
              <w:t>(0.031)</w:t>
            </w:r>
          </w:p>
        </w:tc>
        <w:tc>
          <w:tcPr>
            <w:tcW w:w="906" w:type="dxa"/>
            <w:tcBorders>
              <w:top w:val="nil"/>
              <w:left w:val="nil"/>
              <w:bottom w:val="nil"/>
              <w:right w:val="nil"/>
            </w:tcBorders>
          </w:tcPr>
          <w:p>
            <w:pPr>
              <w:pStyle w:val="TableParagraph"/>
              <w:spacing w:line="202" w:lineRule="exact"/>
              <w:ind w:right="110"/>
              <w:rPr>
                <w:sz w:val="18"/>
              </w:rPr>
            </w:pPr>
            <w:r>
              <w:rPr>
                <w:w w:val="85"/>
                <w:sz w:val="18"/>
              </w:rPr>
              <w:t>(0.031)</w:t>
            </w:r>
          </w:p>
        </w:tc>
        <w:tc>
          <w:tcPr>
            <w:tcW w:w="851" w:type="dxa"/>
            <w:tcBorders>
              <w:top w:val="nil"/>
              <w:left w:val="nil"/>
              <w:bottom w:val="nil"/>
              <w:right w:val="nil"/>
            </w:tcBorders>
          </w:tcPr>
          <w:p>
            <w:pPr>
              <w:pStyle w:val="TableParagraph"/>
              <w:spacing w:line="202" w:lineRule="exact"/>
              <w:ind w:right="56"/>
              <w:rPr>
                <w:sz w:val="18"/>
              </w:rPr>
            </w:pPr>
            <w:r>
              <w:rPr>
                <w:w w:val="85"/>
                <w:sz w:val="18"/>
              </w:rPr>
              <w:t>(0.032)</w:t>
            </w:r>
          </w:p>
        </w:tc>
        <w:tc>
          <w:tcPr>
            <w:tcW w:w="762" w:type="dxa"/>
            <w:tcBorders>
              <w:top w:val="nil"/>
              <w:left w:val="nil"/>
              <w:bottom w:val="nil"/>
              <w:right w:val="nil"/>
            </w:tcBorders>
          </w:tcPr>
          <w:p>
            <w:pPr>
              <w:pStyle w:val="TableParagraph"/>
              <w:spacing w:line="202" w:lineRule="exact"/>
              <w:ind w:right="21"/>
              <w:rPr>
                <w:sz w:val="18"/>
              </w:rPr>
            </w:pPr>
            <w:r>
              <w:rPr>
                <w:w w:val="85"/>
                <w:sz w:val="18"/>
              </w:rPr>
              <w:t>(0.035)</w:t>
            </w:r>
          </w:p>
        </w:tc>
      </w:tr>
      <w:tr>
        <w:trPr>
          <w:trHeight w:val="214" w:hRule="exact"/>
        </w:trPr>
        <w:tc>
          <w:tcPr>
            <w:tcW w:w="1558" w:type="dxa"/>
            <w:tcBorders>
              <w:top w:val="nil"/>
              <w:left w:val="nil"/>
              <w:bottom w:val="nil"/>
              <w:right w:val="nil"/>
            </w:tcBorders>
          </w:tcPr>
          <w:p>
            <w:pPr>
              <w:pStyle w:val="TableParagraph"/>
              <w:spacing w:line="202" w:lineRule="exact"/>
              <w:ind w:left="32"/>
              <w:jc w:val="left"/>
              <w:rPr>
                <w:sz w:val="18"/>
              </w:rPr>
            </w:pPr>
            <w:r>
              <w:rPr>
                <w:w w:val="95"/>
                <w:sz w:val="18"/>
              </w:rPr>
              <w:t>Edad</w:t>
            </w: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Style w:val="TableParagraph"/>
              <w:spacing w:line="202" w:lineRule="exact"/>
              <w:ind w:right="111"/>
              <w:rPr>
                <w:sz w:val="18"/>
              </w:rPr>
            </w:pPr>
            <w:r>
              <w:rPr>
                <w:w w:val="85"/>
                <w:sz w:val="18"/>
              </w:rPr>
              <w:t>1.1526***</w:t>
            </w:r>
          </w:p>
        </w:tc>
        <w:tc>
          <w:tcPr>
            <w:tcW w:w="851" w:type="dxa"/>
            <w:tcBorders>
              <w:top w:val="nil"/>
              <w:left w:val="nil"/>
              <w:bottom w:val="nil"/>
              <w:right w:val="nil"/>
            </w:tcBorders>
          </w:tcPr>
          <w:p>
            <w:pPr>
              <w:pStyle w:val="TableParagraph"/>
              <w:spacing w:line="202" w:lineRule="exact"/>
              <w:ind w:right="56"/>
              <w:rPr>
                <w:sz w:val="18"/>
              </w:rPr>
            </w:pPr>
            <w:r>
              <w:rPr>
                <w:w w:val="85"/>
                <w:sz w:val="18"/>
              </w:rPr>
              <w:t>1.1255***</w:t>
            </w:r>
          </w:p>
        </w:tc>
        <w:tc>
          <w:tcPr>
            <w:tcW w:w="762" w:type="dxa"/>
            <w:tcBorders>
              <w:top w:val="nil"/>
              <w:left w:val="nil"/>
              <w:bottom w:val="nil"/>
              <w:right w:val="nil"/>
            </w:tcBorders>
          </w:tcPr>
          <w:p>
            <w:pPr>
              <w:pStyle w:val="TableParagraph"/>
              <w:spacing w:line="202" w:lineRule="exact"/>
              <w:ind w:right="22"/>
              <w:rPr>
                <w:sz w:val="18"/>
              </w:rPr>
            </w:pPr>
            <w:r>
              <w:rPr>
                <w:w w:val="85"/>
                <w:sz w:val="18"/>
              </w:rPr>
              <w:t>1.1290***</w:t>
            </w:r>
          </w:p>
        </w:tc>
      </w:tr>
      <w:tr>
        <w:trPr>
          <w:trHeight w:val="197" w:hRule="exact"/>
        </w:trPr>
        <w:tc>
          <w:tcPr>
            <w:tcW w:w="1558" w:type="dxa"/>
            <w:tcBorders>
              <w:top w:val="nil"/>
              <w:left w:val="nil"/>
              <w:bottom w:val="nil"/>
              <w:right w:val="nil"/>
            </w:tcBorders>
          </w:tcPr>
          <w:p>
            <w:pP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Style w:val="TableParagraph"/>
              <w:spacing w:line="202" w:lineRule="exact"/>
              <w:ind w:right="110"/>
              <w:rPr>
                <w:sz w:val="18"/>
              </w:rPr>
            </w:pPr>
            <w:r>
              <w:rPr>
                <w:w w:val="85"/>
                <w:sz w:val="18"/>
              </w:rPr>
              <w:t>(0.006)</w:t>
            </w:r>
          </w:p>
        </w:tc>
        <w:tc>
          <w:tcPr>
            <w:tcW w:w="851" w:type="dxa"/>
            <w:tcBorders>
              <w:top w:val="nil"/>
              <w:left w:val="nil"/>
              <w:bottom w:val="nil"/>
              <w:right w:val="nil"/>
            </w:tcBorders>
          </w:tcPr>
          <w:p>
            <w:pPr>
              <w:pStyle w:val="TableParagraph"/>
              <w:spacing w:line="202" w:lineRule="exact"/>
              <w:ind w:right="56"/>
              <w:rPr>
                <w:sz w:val="18"/>
              </w:rPr>
            </w:pPr>
            <w:r>
              <w:rPr>
                <w:w w:val="85"/>
                <w:sz w:val="18"/>
              </w:rPr>
              <w:t>(0.006)</w:t>
            </w:r>
          </w:p>
        </w:tc>
        <w:tc>
          <w:tcPr>
            <w:tcW w:w="762" w:type="dxa"/>
            <w:tcBorders>
              <w:top w:val="nil"/>
              <w:left w:val="nil"/>
              <w:bottom w:val="nil"/>
              <w:right w:val="nil"/>
            </w:tcBorders>
          </w:tcPr>
          <w:p>
            <w:pPr>
              <w:pStyle w:val="TableParagraph"/>
              <w:spacing w:line="202" w:lineRule="exact"/>
              <w:ind w:right="21"/>
              <w:rPr>
                <w:sz w:val="18"/>
              </w:rPr>
            </w:pPr>
            <w:r>
              <w:rPr>
                <w:w w:val="85"/>
                <w:sz w:val="18"/>
              </w:rPr>
              <w:t>(0.006)</w:t>
            </w:r>
          </w:p>
        </w:tc>
      </w:tr>
      <w:tr>
        <w:trPr>
          <w:trHeight w:val="231" w:hRule="exact"/>
        </w:trPr>
        <w:tc>
          <w:tcPr>
            <w:tcW w:w="1558" w:type="dxa"/>
            <w:tcBorders>
              <w:top w:val="nil"/>
              <w:left w:val="nil"/>
              <w:bottom w:val="nil"/>
              <w:right w:val="nil"/>
            </w:tcBorders>
          </w:tcPr>
          <w:p>
            <w:pPr>
              <w:pStyle w:val="TableParagraph"/>
              <w:spacing w:line="219" w:lineRule="exact"/>
              <w:ind w:left="32"/>
              <w:jc w:val="left"/>
              <w:rPr>
                <w:sz w:val="12"/>
              </w:rPr>
            </w:pPr>
            <w:r>
              <w:rPr>
                <w:w w:val="95"/>
                <w:sz w:val="18"/>
              </w:rPr>
              <w:t>Edad</w:t>
            </w:r>
            <w:r>
              <w:rPr>
                <w:w w:val="95"/>
                <w:position w:val="8"/>
                <w:sz w:val="12"/>
              </w:rPr>
              <w:t>2</w:t>
            </w: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Style w:val="TableParagraph"/>
              <w:spacing w:before="12"/>
              <w:ind w:right="111"/>
              <w:rPr>
                <w:sz w:val="18"/>
              </w:rPr>
            </w:pPr>
            <w:r>
              <w:rPr>
                <w:w w:val="85"/>
                <w:sz w:val="18"/>
              </w:rPr>
              <w:t>0.9980***</w:t>
            </w:r>
          </w:p>
        </w:tc>
        <w:tc>
          <w:tcPr>
            <w:tcW w:w="851" w:type="dxa"/>
            <w:tcBorders>
              <w:top w:val="nil"/>
              <w:left w:val="nil"/>
              <w:bottom w:val="nil"/>
              <w:right w:val="nil"/>
            </w:tcBorders>
          </w:tcPr>
          <w:p>
            <w:pPr>
              <w:pStyle w:val="TableParagraph"/>
              <w:spacing w:before="12"/>
              <w:ind w:right="56"/>
              <w:rPr>
                <w:sz w:val="18"/>
              </w:rPr>
            </w:pPr>
            <w:r>
              <w:rPr>
                <w:w w:val="85"/>
                <w:sz w:val="18"/>
              </w:rPr>
              <w:t>0.9985***</w:t>
            </w:r>
          </w:p>
        </w:tc>
        <w:tc>
          <w:tcPr>
            <w:tcW w:w="762" w:type="dxa"/>
            <w:tcBorders>
              <w:top w:val="nil"/>
              <w:left w:val="nil"/>
              <w:bottom w:val="nil"/>
              <w:right w:val="nil"/>
            </w:tcBorders>
          </w:tcPr>
          <w:p>
            <w:pPr>
              <w:pStyle w:val="TableParagraph"/>
              <w:spacing w:before="12"/>
              <w:ind w:right="22"/>
              <w:rPr>
                <w:sz w:val="18"/>
              </w:rPr>
            </w:pPr>
            <w:r>
              <w:rPr>
                <w:w w:val="85"/>
                <w:sz w:val="18"/>
              </w:rPr>
              <w:t>0.9984***</w:t>
            </w:r>
          </w:p>
        </w:tc>
      </w:tr>
      <w:tr>
        <w:trPr>
          <w:trHeight w:val="214" w:hRule="exact"/>
        </w:trPr>
        <w:tc>
          <w:tcPr>
            <w:tcW w:w="1558" w:type="dxa"/>
            <w:tcBorders>
              <w:top w:val="nil"/>
              <w:left w:val="nil"/>
              <w:bottom w:val="nil"/>
              <w:right w:val="nil"/>
            </w:tcBorders>
          </w:tcPr>
          <w:p>
            <w:pP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Style w:val="TableParagraph"/>
              <w:spacing w:line="202" w:lineRule="exact"/>
              <w:ind w:right="110"/>
              <w:rPr>
                <w:sz w:val="18"/>
              </w:rPr>
            </w:pPr>
            <w:r>
              <w:rPr>
                <w:w w:val="85"/>
                <w:sz w:val="18"/>
              </w:rPr>
              <w:t>(0.000)</w:t>
            </w:r>
          </w:p>
        </w:tc>
        <w:tc>
          <w:tcPr>
            <w:tcW w:w="851" w:type="dxa"/>
            <w:tcBorders>
              <w:top w:val="nil"/>
              <w:left w:val="nil"/>
              <w:bottom w:val="nil"/>
              <w:right w:val="nil"/>
            </w:tcBorders>
          </w:tcPr>
          <w:p>
            <w:pPr>
              <w:pStyle w:val="TableParagraph"/>
              <w:spacing w:line="202" w:lineRule="exact"/>
              <w:ind w:right="56"/>
              <w:rPr>
                <w:sz w:val="18"/>
              </w:rPr>
            </w:pPr>
            <w:r>
              <w:rPr>
                <w:w w:val="85"/>
                <w:sz w:val="18"/>
              </w:rPr>
              <w:t>(0.000)</w:t>
            </w:r>
          </w:p>
        </w:tc>
        <w:tc>
          <w:tcPr>
            <w:tcW w:w="762" w:type="dxa"/>
            <w:tcBorders>
              <w:top w:val="nil"/>
              <w:left w:val="nil"/>
              <w:bottom w:val="nil"/>
              <w:right w:val="nil"/>
            </w:tcBorders>
          </w:tcPr>
          <w:p>
            <w:pPr>
              <w:pStyle w:val="TableParagraph"/>
              <w:spacing w:line="202" w:lineRule="exact"/>
              <w:ind w:right="21"/>
              <w:rPr>
                <w:sz w:val="18"/>
              </w:rPr>
            </w:pPr>
            <w:r>
              <w:rPr>
                <w:w w:val="85"/>
                <w:sz w:val="18"/>
              </w:rPr>
              <w:t>(0.000)</w:t>
            </w:r>
          </w:p>
        </w:tc>
      </w:tr>
      <w:tr>
        <w:trPr>
          <w:trHeight w:val="214" w:hRule="exact"/>
        </w:trPr>
        <w:tc>
          <w:tcPr>
            <w:tcW w:w="1558" w:type="dxa"/>
            <w:tcBorders>
              <w:top w:val="nil"/>
              <w:left w:val="nil"/>
              <w:bottom w:val="nil"/>
              <w:right w:val="nil"/>
            </w:tcBorders>
          </w:tcPr>
          <w:p>
            <w:pPr>
              <w:pStyle w:val="TableParagraph"/>
              <w:spacing w:line="202" w:lineRule="exact"/>
              <w:ind w:left="32"/>
              <w:jc w:val="left"/>
              <w:rPr>
                <w:sz w:val="18"/>
              </w:rPr>
            </w:pPr>
            <w:r>
              <w:rPr>
                <w:w w:val="90"/>
                <w:sz w:val="18"/>
              </w:rPr>
              <w:t>Años de escolaridad</w:t>
            </w: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Style w:val="TableParagraph"/>
              <w:spacing w:line="202" w:lineRule="exact"/>
              <w:ind w:right="56"/>
              <w:rPr>
                <w:sz w:val="18"/>
              </w:rPr>
            </w:pPr>
            <w:r>
              <w:rPr>
                <w:w w:val="85"/>
                <w:sz w:val="18"/>
              </w:rPr>
              <w:t>1.2485***</w:t>
            </w:r>
          </w:p>
        </w:tc>
        <w:tc>
          <w:tcPr>
            <w:tcW w:w="762" w:type="dxa"/>
            <w:tcBorders>
              <w:top w:val="nil"/>
              <w:left w:val="nil"/>
              <w:bottom w:val="nil"/>
              <w:right w:val="nil"/>
            </w:tcBorders>
          </w:tcPr>
          <w:p>
            <w:pPr>
              <w:pStyle w:val="TableParagraph"/>
              <w:spacing w:line="202" w:lineRule="exact"/>
              <w:ind w:right="22"/>
              <w:rPr>
                <w:sz w:val="18"/>
              </w:rPr>
            </w:pPr>
            <w:r>
              <w:rPr>
                <w:w w:val="85"/>
                <w:sz w:val="18"/>
              </w:rPr>
              <w:t>1.2031***</w:t>
            </w:r>
          </w:p>
        </w:tc>
      </w:tr>
      <w:tr>
        <w:trPr>
          <w:trHeight w:val="197" w:hRule="exact"/>
        </w:trPr>
        <w:tc>
          <w:tcPr>
            <w:tcW w:w="1558" w:type="dxa"/>
            <w:tcBorders>
              <w:top w:val="nil"/>
              <w:left w:val="nil"/>
              <w:bottom w:val="nil"/>
              <w:right w:val="nil"/>
            </w:tcBorders>
          </w:tcPr>
          <w:p>
            <w:pP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Style w:val="TableParagraph"/>
              <w:spacing w:line="202" w:lineRule="exact"/>
              <w:ind w:right="56"/>
              <w:rPr>
                <w:sz w:val="18"/>
              </w:rPr>
            </w:pPr>
            <w:r>
              <w:rPr>
                <w:w w:val="85"/>
                <w:sz w:val="18"/>
              </w:rPr>
              <w:t>(0.015)</w:t>
            </w:r>
          </w:p>
        </w:tc>
        <w:tc>
          <w:tcPr>
            <w:tcW w:w="762" w:type="dxa"/>
            <w:tcBorders>
              <w:top w:val="nil"/>
              <w:left w:val="nil"/>
              <w:bottom w:val="nil"/>
              <w:right w:val="nil"/>
            </w:tcBorders>
          </w:tcPr>
          <w:p>
            <w:pPr>
              <w:pStyle w:val="TableParagraph"/>
              <w:spacing w:line="202" w:lineRule="exact"/>
              <w:ind w:right="21"/>
              <w:rPr>
                <w:sz w:val="18"/>
              </w:rPr>
            </w:pPr>
            <w:r>
              <w:rPr>
                <w:w w:val="85"/>
                <w:sz w:val="18"/>
              </w:rPr>
              <w:t>(0.015)</w:t>
            </w:r>
          </w:p>
        </w:tc>
      </w:tr>
      <w:tr>
        <w:trPr>
          <w:trHeight w:val="231" w:hRule="exact"/>
        </w:trPr>
        <w:tc>
          <w:tcPr>
            <w:tcW w:w="1558" w:type="dxa"/>
            <w:tcBorders>
              <w:top w:val="nil"/>
              <w:left w:val="nil"/>
              <w:bottom w:val="nil"/>
              <w:right w:val="nil"/>
            </w:tcBorders>
          </w:tcPr>
          <w:p>
            <w:pPr>
              <w:pStyle w:val="TableParagraph"/>
              <w:spacing w:line="219" w:lineRule="exact"/>
              <w:ind w:left="32"/>
              <w:jc w:val="left"/>
              <w:rPr>
                <w:sz w:val="12"/>
              </w:rPr>
            </w:pPr>
            <w:r>
              <w:rPr>
                <w:w w:val="90"/>
                <w:sz w:val="18"/>
              </w:rPr>
              <w:t>Años de escolaridad</w:t>
            </w:r>
            <w:r>
              <w:rPr>
                <w:w w:val="90"/>
                <w:position w:val="8"/>
                <w:sz w:val="12"/>
              </w:rPr>
              <w:t>2</w:t>
            </w: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Style w:val="TableParagraph"/>
              <w:spacing w:before="12"/>
              <w:ind w:right="56"/>
              <w:rPr>
                <w:sz w:val="18"/>
              </w:rPr>
            </w:pPr>
            <w:r>
              <w:rPr>
                <w:w w:val="85"/>
                <w:sz w:val="18"/>
              </w:rPr>
              <w:t>0.9975***</w:t>
            </w:r>
          </w:p>
        </w:tc>
        <w:tc>
          <w:tcPr>
            <w:tcW w:w="762" w:type="dxa"/>
            <w:tcBorders>
              <w:top w:val="nil"/>
              <w:left w:val="nil"/>
              <w:bottom w:val="nil"/>
              <w:right w:val="nil"/>
            </w:tcBorders>
          </w:tcPr>
          <w:p>
            <w:pPr>
              <w:pStyle w:val="TableParagraph"/>
              <w:spacing w:before="12"/>
              <w:ind w:right="22"/>
              <w:rPr>
                <w:sz w:val="18"/>
              </w:rPr>
            </w:pPr>
            <w:r>
              <w:rPr>
                <w:w w:val="85"/>
                <w:sz w:val="18"/>
              </w:rPr>
              <w:t>0.9997</w:t>
            </w:r>
          </w:p>
        </w:tc>
      </w:tr>
      <w:tr>
        <w:trPr>
          <w:trHeight w:val="214" w:hRule="exact"/>
        </w:trPr>
        <w:tc>
          <w:tcPr>
            <w:tcW w:w="1558" w:type="dxa"/>
            <w:tcBorders>
              <w:top w:val="nil"/>
              <w:left w:val="nil"/>
              <w:bottom w:val="nil"/>
              <w:right w:val="nil"/>
            </w:tcBorders>
          </w:tcPr>
          <w:p>
            <w:pP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Style w:val="TableParagraph"/>
              <w:spacing w:line="202" w:lineRule="exact"/>
              <w:ind w:right="56"/>
              <w:rPr>
                <w:sz w:val="18"/>
              </w:rPr>
            </w:pPr>
            <w:r>
              <w:rPr>
                <w:w w:val="85"/>
                <w:sz w:val="18"/>
              </w:rPr>
              <w:t>(0.001)</w:t>
            </w:r>
          </w:p>
        </w:tc>
        <w:tc>
          <w:tcPr>
            <w:tcW w:w="762" w:type="dxa"/>
            <w:tcBorders>
              <w:top w:val="nil"/>
              <w:left w:val="nil"/>
              <w:bottom w:val="nil"/>
              <w:right w:val="nil"/>
            </w:tcBorders>
          </w:tcPr>
          <w:p>
            <w:pPr>
              <w:pStyle w:val="TableParagraph"/>
              <w:spacing w:line="202" w:lineRule="exact"/>
              <w:ind w:right="21"/>
              <w:rPr>
                <w:sz w:val="18"/>
              </w:rPr>
            </w:pPr>
            <w:r>
              <w:rPr>
                <w:w w:val="85"/>
                <w:sz w:val="18"/>
              </w:rPr>
              <w:t>(0.001)</w:t>
            </w:r>
          </w:p>
        </w:tc>
      </w:tr>
      <w:tr>
        <w:trPr>
          <w:trHeight w:val="214" w:hRule="exact"/>
        </w:trPr>
        <w:tc>
          <w:tcPr>
            <w:tcW w:w="1558" w:type="dxa"/>
            <w:tcBorders>
              <w:top w:val="nil"/>
              <w:left w:val="nil"/>
              <w:bottom w:val="nil"/>
              <w:right w:val="nil"/>
            </w:tcBorders>
          </w:tcPr>
          <w:p>
            <w:pPr>
              <w:pStyle w:val="TableParagraph"/>
              <w:spacing w:line="202" w:lineRule="exact"/>
              <w:ind w:left="32"/>
              <w:jc w:val="left"/>
              <w:rPr>
                <w:sz w:val="18"/>
              </w:rPr>
            </w:pPr>
            <w:r>
              <w:rPr>
                <w:w w:val="95"/>
                <w:sz w:val="18"/>
              </w:rPr>
              <w:t>Noreste</w:t>
            </w: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
        </w:tc>
        <w:tc>
          <w:tcPr>
            <w:tcW w:w="762" w:type="dxa"/>
            <w:tcBorders>
              <w:top w:val="nil"/>
              <w:left w:val="nil"/>
              <w:bottom w:val="nil"/>
              <w:right w:val="nil"/>
            </w:tcBorders>
          </w:tcPr>
          <w:p>
            <w:pPr>
              <w:pStyle w:val="TableParagraph"/>
              <w:spacing w:line="202" w:lineRule="exact"/>
              <w:ind w:right="22"/>
              <w:rPr>
                <w:sz w:val="18"/>
              </w:rPr>
            </w:pPr>
            <w:r>
              <w:rPr>
                <w:w w:val="85"/>
                <w:sz w:val="18"/>
              </w:rPr>
              <w:t>0.6674***</w:t>
            </w:r>
          </w:p>
        </w:tc>
      </w:tr>
      <w:tr>
        <w:trPr>
          <w:trHeight w:val="212" w:hRule="exact"/>
        </w:trPr>
        <w:tc>
          <w:tcPr>
            <w:tcW w:w="1558" w:type="dxa"/>
            <w:tcBorders>
              <w:top w:val="nil"/>
              <w:left w:val="nil"/>
              <w:bottom w:val="nil"/>
              <w:right w:val="nil"/>
            </w:tcBorders>
          </w:tcPr>
          <w:p>
            <w:pP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
        </w:tc>
        <w:tc>
          <w:tcPr>
            <w:tcW w:w="762" w:type="dxa"/>
            <w:tcBorders>
              <w:top w:val="nil"/>
              <w:left w:val="nil"/>
              <w:bottom w:val="nil"/>
              <w:right w:val="nil"/>
            </w:tcBorders>
          </w:tcPr>
          <w:p>
            <w:pPr>
              <w:pStyle w:val="TableParagraph"/>
              <w:spacing w:line="202" w:lineRule="exact"/>
              <w:ind w:right="21"/>
              <w:rPr>
                <w:sz w:val="18"/>
              </w:rPr>
            </w:pPr>
            <w:r>
              <w:rPr>
                <w:w w:val="85"/>
                <w:sz w:val="18"/>
              </w:rPr>
              <w:t>(0.029)</w:t>
            </w:r>
          </w:p>
        </w:tc>
      </w:tr>
      <w:tr>
        <w:trPr>
          <w:trHeight w:val="212" w:hRule="exact"/>
        </w:trPr>
        <w:tc>
          <w:tcPr>
            <w:tcW w:w="1558" w:type="dxa"/>
            <w:tcBorders>
              <w:top w:val="nil"/>
              <w:left w:val="nil"/>
              <w:bottom w:val="nil"/>
              <w:right w:val="nil"/>
            </w:tcBorders>
          </w:tcPr>
          <w:p>
            <w:pPr>
              <w:pStyle w:val="TableParagraph"/>
              <w:spacing w:line="199" w:lineRule="exact"/>
              <w:ind w:left="32"/>
              <w:jc w:val="left"/>
              <w:rPr>
                <w:sz w:val="18"/>
              </w:rPr>
            </w:pPr>
            <w:r>
              <w:rPr>
                <w:w w:val="95"/>
                <w:sz w:val="18"/>
              </w:rPr>
              <w:t>Occidente</w:t>
            </w: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
        </w:tc>
        <w:tc>
          <w:tcPr>
            <w:tcW w:w="762" w:type="dxa"/>
            <w:tcBorders>
              <w:top w:val="nil"/>
              <w:left w:val="nil"/>
              <w:bottom w:val="nil"/>
              <w:right w:val="nil"/>
            </w:tcBorders>
          </w:tcPr>
          <w:p>
            <w:pPr>
              <w:pStyle w:val="TableParagraph"/>
              <w:spacing w:line="199" w:lineRule="exact"/>
              <w:ind w:right="22"/>
              <w:rPr>
                <w:sz w:val="18"/>
              </w:rPr>
            </w:pPr>
            <w:r>
              <w:rPr>
                <w:w w:val="85"/>
                <w:sz w:val="18"/>
              </w:rPr>
              <w:t>0.2502***</w:t>
            </w:r>
          </w:p>
        </w:tc>
      </w:tr>
      <w:tr>
        <w:trPr>
          <w:trHeight w:val="214" w:hRule="exact"/>
        </w:trPr>
        <w:tc>
          <w:tcPr>
            <w:tcW w:w="1558" w:type="dxa"/>
            <w:tcBorders>
              <w:top w:val="nil"/>
              <w:left w:val="nil"/>
              <w:bottom w:val="nil"/>
              <w:right w:val="nil"/>
            </w:tcBorders>
          </w:tcPr>
          <w:p>
            <w:pP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
        </w:tc>
        <w:tc>
          <w:tcPr>
            <w:tcW w:w="762" w:type="dxa"/>
            <w:tcBorders>
              <w:top w:val="nil"/>
              <w:left w:val="nil"/>
              <w:bottom w:val="nil"/>
              <w:right w:val="nil"/>
            </w:tcBorders>
          </w:tcPr>
          <w:p>
            <w:pPr>
              <w:pStyle w:val="TableParagraph"/>
              <w:spacing w:line="202" w:lineRule="exact"/>
              <w:ind w:right="21"/>
              <w:rPr>
                <w:sz w:val="18"/>
              </w:rPr>
            </w:pPr>
            <w:r>
              <w:rPr>
                <w:w w:val="85"/>
                <w:sz w:val="18"/>
              </w:rPr>
              <w:t>(0.012)</w:t>
            </w:r>
          </w:p>
        </w:tc>
      </w:tr>
      <w:tr>
        <w:trPr>
          <w:trHeight w:val="214" w:hRule="exact"/>
        </w:trPr>
        <w:tc>
          <w:tcPr>
            <w:tcW w:w="1558" w:type="dxa"/>
            <w:tcBorders>
              <w:top w:val="nil"/>
              <w:left w:val="nil"/>
              <w:bottom w:val="nil"/>
              <w:right w:val="nil"/>
            </w:tcBorders>
          </w:tcPr>
          <w:p>
            <w:pPr>
              <w:pStyle w:val="TableParagraph"/>
              <w:spacing w:line="202" w:lineRule="exact"/>
              <w:ind w:left="32"/>
              <w:jc w:val="left"/>
              <w:rPr>
                <w:sz w:val="18"/>
              </w:rPr>
            </w:pPr>
            <w:r>
              <w:rPr>
                <w:w w:val="95"/>
                <w:sz w:val="18"/>
              </w:rPr>
              <w:t>Oriente</w:t>
            </w: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
        </w:tc>
        <w:tc>
          <w:tcPr>
            <w:tcW w:w="762" w:type="dxa"/>
            <w:tcBorders>
              <w:top w:val="nil"/>
              <w:left w:val="nil"/>
              <w:bottom w:val="nil"/>
              <w:right w:val="nil"/>
            </w:tcBorders>
          </w:tcPr>
          <w:p>
            <w:pPr>
              <w:pStyle w:val="TableParagraph"/>
              <w:spacing w:line="202" w:lineRule="exact"/>
              <w:ind w:right="22"/>
              <w:rPr>
                <w:sz w:val="18"/>
              </w:rPr>
            </w:pPr>
            <w:r>
              <w:rPr>
                <w:w w:val="85"/>
                <w:sz w:val="18"/>
              </w:rPr>
              <w:t>0.2414***</w:t>
            </w:r>
          </w:p>
        </w:tc>
      </w:tr>
      <w:tr>
        <w:trPr>
          <w:trHeight w:val="214" w:hRule="exact"/>
        </w:trPr>
        <w:tc>
          <w:tcPr>
            <w:tcW w:w="1558" w:type="dxa"/>
            <w:tcBorders>
              <w:top w:val="nil"/>
              <w:left w:val="nil"/>
              <w:bottom w:val="nil"/>
              <w:right w:val="nil"/>
            </w:tcBorders>
          </w:tcPr>
          <w:p>
            <w:pP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
        </w:tc>
        <w:tc>
          <w:tcPr>
            <w:tcW w:w="762" w:type="dxa"/>
            <w:tcBorders>
              <w:top w:val="nil"/>
              <w:left w:val="nil"/>
              <w:bottom w:val="nil"/>
              <w:right w:val="nil"/>
            </w:tcBorders>
          </w:tcPr>
          <w:p>
            <w:pPr>
              <w:pStyle w:val="TableParagraph"/>
              <w:spacing w:line="202" w:lineRule="exact"/>
              <w:ind w:right="21"/>
              <w:rPr>
                <w:sz w:val="18"/>
              </w:rPr>
            </w:pPr>
            <w:r>
              <w:rPr>
                <w:w w:val="85"/>
                <w:sz w:val="18"/>
              </w:rPr>
              <w:t>(0.012)</w:t>
            </w:r>
          </w:p>
        </w:tc>
      </w:tr>
      <w:tr>
        <w:trPr>
          <w:trHeight w:val="214" w:hRule="exact"/>
        </w:trPr>
        <w:tc>
          <w:tcPr>
            <w:tcW w:w="1558" w:type="dxa"/>
            <w:tcBorders>
              <w:top w:val="nil"/>
              <w:left w:val="nil"/>
              <w:bottom w:val="nil"/>
              <w:right w:val="nil"/>
            </w:tcBorders>
          </w:tcPr>
          <w:p>
            <w:pPr>
              <w:pStyle w:val="TableParagraph"/>
              <w:spacing w:line="202" w:lineRule="exact"/>
              <w:ind w:left="32"/>
              <w:jc w:val="left"/>
              <w:rPr>
                <w:sz w:val="18"/>
              </w:rPr>
            </w:pPr>
            <w:r>
              <w:rPr>
                <w:w w:val="95"/>
                <w:sz w:val="18"/>
              </w:rPr>
              <w:t>Centronorte</w:t>
            </w: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
        </w:tc>
        <w:tc>
          <w:tcPr>
            <w:tcW w:w="762" w:type="dxa"/>
            <w:tcBorders>
              <w:top w:val="nil"/>
              <w:left w:val="nil"/>
              <w:bottom w:val="nil"/>
              <w:right w:val="nil"/>
            </w:tcBorders>
          </w:tcPr>
          <w:p>
            <w:pPr>
              <w:pStyle w:val="TableParagraph"/>
              <w:spacing w:line="202" w:lineRule="exact"/>
              <w:ind w:right="22"/>
              <w:rPr>
                <w:sz w:val="18"/>
              </w:rPr>
            </w:pPr>
            <w:r>
              <w:rPr>
                <w:w w:val="85"/>
                <w:sz w:val="18"/>
              </w:rPr>
              <w:t>0.5675***</w:t>
            </w:r>
          </w:p>
        </w:tc>
      </w:tr>
      <w:tr>
        <w:trPr>
          <w:trHeight w:val="214" w:hRule="exact"/>
        </w:trPr>
        <w:tc>
          <w:tcPr>
            <w:tcW w:w="1558" w:type="dxa"/>
            <w:tcBorders>
              <w:top w:val="nil"/>
              <w:left w:val="nil"/>
              <w:bottom w:val="nil"/>
              <w:right w:val="nil"/>
            </w:tcBorders>
          </w:tcPr>
          <w:p>
            <w:pP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
        </w:tc>
        <w:tc>
          <w:tcPr>
            <w:tcW w:w="762" w:type="dxa"/>
            <w:tcBorders>
              <w:top w:val="nil"/>
              <w:left w:val="nil"/>
              <w:bottom w:val="nil"/>
              <w:right w:val="nil"/>
            </w:tcBorders>
          </w:tcPr>
          <w:p>
            <w:pPr>
              <w:pStyle w:val="TableParagraph"/>
              <w:spacing w:line="202" w:lineRule="exact"/>
              <w:ind w:right="21"/>
              <w:rPr>
                <w:sz w:val="18"/>
              </w:rPr>
            </w:pPr>
            <w:r>
              <w:rPr>
                <w:w w:val="85"/>
                <w:sz w:val="18"/>
              </w:rPr>
              <w:t>(0.025)</w:t>
            </w:r>
          </w:p>
        </w:tc>
      </w:tr>
      <w:tr>
        <w:trPr>
          <w:trHeight w:val="214" w:hRule="exact"/>
        </w:trPr>
        <w:tc>
          <w:tcPr>
            <w:tcW w:w="1558" w:type="dxa"/>
            <w:tcBorders>
              <w:top w:val="nil"/>
              <w:left w:val="nil"/>
              <w:bottom w:val="nil"/>
              <w:right w:val="nil"/>
            </w:tcBorders>
          </w:tcPr>
          <w:p>
            <w:pPr>
              <w:pStyle w:val="TableParagraph"/>
              <w:spacing w:line="202" w:lineRule="exact"/>
              <w:ind w:left="32"/>
              <w:jc w:val="left"/>
              <w:rPr>
                <w:sz w:val="18"/>
              </w:rPr>
            </w:pPr>
            <w:r>
              <w:rPr>
                <w:w w:val="95"/>
                <w:sz w:val="18"/>
              </w:rPr>
              <w:t>Centrosur</w:t>
            </w:r>
          </w:p>
        </w:tc>
        <w:tc>
          <w:tcPr>
            <w:tcW w:w="970" w:type="dxa"/>
            <w:tcBorders>
              <w:top w:val="nil"/>
              <w:left w:val="nil"/>
              <w:bottom w:val="nil"/>
              <w:right w:val="nil"/>
            </w:tcBorders>
          </w:tcPr>
          <w:p>
            <w:pPr/>
          </w:p>
        </w:tc>
        <w:tc>
          <w:tcPr>
            <w:tcW w:w="906" w:type="dxa"/>
            <w:tcBorders>
              <w:top w:val="nil"/>
              <w:left w:val="nil"/>
              <w:bottom w:val="nil"/>
              <w:right w:val="nil"/>
            </w:tcBorders>
          </w:tcPr>
          <w:p>
            <w:pPr/>
          </w:p>
        </w:tc>
        <w:tc>
          <w:tcPr>
            <w:tcW w:w="906" w:type="dxa"/>
            <w:tcBorders>
              <w:top w:val="nil"/>
              <w:left w:val="nil"/>
              <w:bottom w:val="nil"/>
              <w:right w:val="nil"/>
            </w:tcBorders>
          </w:tcPr>
          <w:p>
            <w:pPr/>
          </w:p>
        </w:tc>
        <w:tc>
          <w:tcPr>
            <w:tcW w:w="851" w:type="dxa"/>
            <w:tcBorders>
              <w:top w:val="nil"/>
              <w:left w:val="nil"/>
              <w:bottom w:val="nil"/>
              <w:right w:val="nil"/>
            </w:tcBorders>
          </w:tcPr>
          <w:p>
            <w:pPr/>
          </w:p>
        </w:tc>
        <w:tc>
          <w:tcPr>
            <w:tcW w:w="762" w:type="dxa"/>
            <w:tcBorders>
              <w:top w:val="nil"/>
              <w:left w:val="nil"/>
              <w:bottom w:val="nil"/>
              <w:right w:val="nil"/>
            </w:tcBorders>
          </w:tcPr>
          <w:p>
            <w:pPr>
              <w:pStyle w:val="TableParagraph"/>
              <w:spacing w:line="202" w:lineRule="exact"/>
              <w:ind w:right="22"/>
              <w:rPr>
                <w:sz w:val="18"/>
              </w:rPr>
            </w:pPr>
            <w:r>
              <w:rPr>
                <w:w w:val="85"/>
                <w:sz w:val="18"/>
              </w:rPr>
              <w:t>0.3807***</w:t>
            </w:r>
          </w:p>
        </w:tc>
      </w:tr>
      <w:tr>
        <w:trPr>
          <w:trHeight w:val="212" w:hRule="exact"/>
        </w:trPr>
        <w:tc>
          <w:tcPr>
            <w:tcW w:w="1558" w:type="dxa"/>
            <w:tcBorders>
              <w:top w:val="nil"/>
              <w:left w:val="nil"/>
              <w:right w:val="nil"/>
            </w:tcBorders>
          </w:tcPr>
          <w:p>
            <w:pPr/>
          </w:p>
        </w:tc>
        <w:tc>
          <w:tcPr>
            <w:tcW w:w="970" w:type="dxa"/>
            <w:tcBorders>
              <w:top w:val="nil"/>
              <w:left w:val="nil"/>
              <w:right w:val="nil"/>
            </w:tcBorders>
          </w:tcPr>
          <w:p>
            <w:pPr/>
          </w:p>
        </w:tc>
        <w:tc>
          <w:tcPr>
            <w:tcW w:w="906" w:type="dxa"/>
            <w:tcBorders>
              <w:top w:val="nil"/>
              <w:left w:val="nil"/>
              <w:right w:val="nil"/>
            </w:tcBorders>
          </w:tcPr>
          <w:p>
            <w:pPr/>
          </w:p>
        </w:tc>
        <w:tc>
          <w:tcPr>
            <w:tcW w:w="906" w:type="dxa"/>
            <w:tcBorders>
              <w:top w:val="nil"/>
              <w:left w:val="nil"/>
              <w:right w:val="nil"/>
            </w:tcBorders>
          </w:tcPr>
          <w:p>
            <w:pPr/>
          </w:p>
        </w:tc>
        <w:tc>
          <w:tcPr>
            <w:tcW w:w="851" w:type="dxa"/>
            <w:tcBorders>
              <w:top w:val="nil"/>
              <w:left w:val="nil"/>
              <w:right w:val="nil"/>
            </w:tcBorders>
          </w:tcPr>
          <w:p>
            <w:pPr/>
          </w:p>
        </w:tc>
        <w:tc>
          <w:tcPr>
            <w:tcW w:w="762" w:type="dxa"/>
            <w:tcBorders>
              <w:top w:val="nil"/>
              <w:left w:val="nil"/>
              <w:right w:val="nil"/>
            </w:tcBorders>
          </w:tcPr>
          <w:p>
            <w:pPr>
              <w:pStyle w:val="TableParagraph"/>
              <w:spacing w:line="202" w:lineRule="exact"/>
              <w:ind w:right="21"/>
              <w:rPr>
                <w:sz w:val="18"/>
              </w:rPr>
            </w:pPr>
            <w:r>
              <w:rPr>
                <w:w w:val="85"/>
                <w:sz w:val="18"/>
              </w:rPr>
              <w:t>(0.020)</w:t>
            </w:r>
          </w:p>
        </w:tc>
      </w:tr>
    </w:tbl>
    <w:p>
      <w:pPr>
        <w:spacing w:before="3"/>
        <w:ind w:left="138" w:right="242" w:firstLine="0"/>
        <w:jc w:val="left"/>
        <w:rPr>
          <w:sz w:val="14"/>
        </w:rPr>
      </w:pPr>
      <w:r>
        <w:rPr>
          <w:w w:val="95"/>
          <w:sz w:val="14"/>
        </w:rPr>
        <w:t>Fuente: estimaciones propias con información de la ENOE, 2012, segundo trimestre.</w:t>
      </w:r>
    </w:p>
    <w:p>
      <w:pPr>
        <w:spacing w:before="8"/>
        <w:ind w:left="138" w:right="242" w:firstLine="0"/>
        <w:jc w:val="left"/>
        <w:rPr>
          <w:sz w:val="14"/>
        </w:rPr>
      </w:pPr>
      <w:r>
        <w:rPr>
          <w:w w:val="95"/>
          <w:sz w:val="14"/>
        </w:rPr>
        <w:t>* p&lt;0.10 ** p&lt;0.05 *** p&lt;0.001.</w:t>
      </w:r>
    </w:p>
    <w:p>
      <w:pPr>
        <w:spacing w:after="0"/>
        <w:jc w:val="left"/>
        <w:rPr>
          <w:sz w:val="14"/>
        </w:rPr>
        <w:sectPr>
          <w:footerReference w:type="default" r:id="rId149"/>
          <w:pgSz w:w="7770" w:h="11740"/>
          <w:pgMar w:footer="474" w:header="0" w:top="960" w:bottom="660" w:left="660" w:right="940"/>
          <w:pgNumType w:start="120"/>
        </w:sectPr>
      </w:pPr>
    </w:p>
    <w:p>
      <w:pPr>
        <w:spacing w:line="252" w:lineRule="auto" w:before="70"/>
        <w:ind w:left="178" w:right="191" w:firstLine="0"/>
        <w:jc w:val="left"/>
        <w:rPr>
          <w:sz w:val="19"/>
        </w:rPr>
      </w:pPr>
      <w:r>
        <w:rPr>
          <w:w w:val="105"/>
          <w:sz w:val="19"/>
        </w:rPr>
        <w:t>Cuadro A. 3b. Resultados de los modelos logit para estimar la probabilidad de tener acceso a seguridad social (IMSS o ISSSTE). México, 2012.</w:t>
      </w:r>
    </w:p>
    <w:p>
      <w:pPr>
        <w:spacing w:before="1"/>
        <w:ind w:left="178" w:right="191" w:firstLine="0"/>
        <w:jc w:val="left"/>
        <w:rPr>
          <w:sz w:val="19"/>
        </w:rPr>
      </w:pPr>
      <w:r>
        <w:rPr/>
        <w:pict>
          <v:shape style="position:absolute;margin-left:175.7854pt;margin-top:27.748114pt;width:3.9pt;height:1.1pt;mso-position-horizontal-relative:page;mso-position-vertical-relative:paragraph;z-index:-333472" coordorigin="3516,555" coordsize="78,22" path="m3558,555l3549,555,3516,572,3518,576,3554,564,3576,564,3558,555xm3576,564l3555,564,3591,576,3593,572,3576,564xe" filled="true" fillcolor="#000000" stroked="false">
            <v:path arrowok="t"/>
            <v:fill type="solid"/>
            <w10:wrap type="none"/>
          </v:shape>
        </w:pict>
      </w:r>
      <w:r>
        <w:rPr/>
        <w:pict>
          <v:shape style="position:absolute;margin-left:229.7854pt;margin-top:27.748114pt;width:3.9pt;height:1.1pt;mso-position-horizontal-relative:page;mso-position-vertical-relative:paragraph;z-index:-333448" coordorigin="4596,555" coordsize="78,22" path="m4638,555l4629,555,4596,572,4598,576,4634,564,4656,564,4638,555xm4656,564l4635,564,4671,576,4673,572,4656,564xe" filled="true" fillcolor="#000000" stroked="false">
            <v:path arrowok="t"/>
            <v:fill type="solid"/>
            <w10:wrap type="none"/>
          </v:shape>
        </w:pict>
      </w:r>
      <w:r>
        <w:rPr/>
        <w:pict>
          <v:shape style="position:absolute;margin-left:279.705414pt;margin-top:27.748114pt;width:3.9pt;height:1.1pt;mso-position-horizontal-relative:page;mso-position-vertical-relative:paragraph;z-index:-333424" coordorigin="5594,555" coordsize="78,22" path="m5637,555l5628,555,5594,572,5596,576,5632,564,5655,564,5637,555xm5655,564l5633,564,5669,576,5671,572,5655,564xe" filled="true" fillcolor="#000000" stroked="false">
            <v:path arrowok="t"/>
            <v:fill type="solid"/>
            <w10:wrap type="none"/>
          </v:shape>
        </w:pict>
      </w:r>
      <w:r>
        <w:rPr/>
        <w:pict>
          <v:shape style="position:absolute;margin-left:329.385406pt;margin-top:27.748114pt;width:3.9pt;height:1.1pt;mso-position-horizontal-relative:page;mso-position-vertical-relative:paragraph;z-index:-333400" coordorigin="6588,555" coordsize="78,22" path="m6630,555l6621,555,6588,572,6590,576,6626,564,6648,564,6630,555xm6648,564l6627,564,6663,576,6665,572,6648,564xe" filled="true" fillcolor="#000000" stroked="false">
            <v:path arrowok="t"/>
            <v:fill type="solid"/>
            <w10:wrap type="none"/>
          </v:shape>
        </w:pict>
      </w:r>
      <w:r>
        <w:rPr>
          <w:w w:val="105"/>
          <w:sz w:val="19"/>
        </w:rPr>
        <w:t>Coeficientes exponenciados</w:t>
      </w:r>
    </w:p>
    <w:p>
      <w:pPr>
        <w:pStyle w:val="BodyText"/>
        <w:rPr>
          <w:sz w:val="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7"/>
        <w:gridCol w:w="1178"/>
        <w:gridCol w:w="1000"/>
        <w:gridCol w:w="991"/>
        <w:gridCol w:w="987"/>
      </w:tblGrid>
      <w:tr>
        <w:trPr>
          <w:trHeight w:val="518" w:hRule="exact"/>
        </w:trPr>
        <w:tc>
          <w:tcPr>
            <w:tcW w:w="2007" w:type="dxa"/>
            <w:tcBorders>
              <w:left w:val="nil"/>
              <w:right w:val="nil"/>
            </w:tcBorders>
          </w:tcPr>
          <w:p>
            <w:pPr/>
          </w:p>
        </w:tc>
        <w:tc>
          <w:tcPr>
            <w:tcW w:w="1178" w:type="dxa"/>
            <w:tcBorders>
              <w:left w:val="nil"/>
              <w:right w:val="nil"/>
            </w:tcBorders>
          </w:tcPr>
          <w:p>
            <w:pPr>
              <w:pStyle w:val="TableParagraph"/>
              <w:spacing w:before="10"/>
              <w:ind w:left="233" w:right="224"/>
              <w:jc w:val="center"/>
              <w:rPr>
                <w:sz w:val="19"/>
              </w:rPr>
            </w:pPr>
            <w:r>
              <w:rPr>
                <w:w w:val="105"/>
                <w:sz w:val="19"/>
              </w:rPr>
              <w:t>(6)</w:t>
            </w:r>
          </w:p>
          <w:p>
            <w:pPr>
              <w:pStyle w:val="TableParagraph"/>
              <w:spacing w:before="29"/>
              <w:ind w:left="233" w:right="224"/>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1000" w:type="dxa"/>
            <w:tcBorders>
              <w:left w:val="nil"/>
              <w:right w:val="nil"/>
            </w:tcBorders>
          </w:tcPr>
          <w:p>
            <w:pPr>
              <w:pStyle w:val="TableParagraph"/>
              <w:spacing w:before="10"/>
              <w:ind w:left="135" w:right="143"/>
              <w:jc w:val="center"/>
              <w:rPr>
                <w:sz w:val="19"/>
              </w:rPr>
            </w:pPr>
            <w:r>
              <w:rPr>
                <w:w w:val="105"/>
                <w:sz w:val="19"/>
              </w:rPr>
              <w:t>(7)</w:t>
            </w:r>
          </w:p>
          <w:p>
            <w:pPr>
              <w:pStyle w:val="TableParagraph"/>
              <w:spacing w:before="29"/>
              <w:ind w:left="135" w:right="143"/>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991" w:type="dxa"/>
            <w:tcBorders>
              <w:left w:val="nil"/>
              <w:right w:val="nil"/>
            </w:tcBorders>
          </w:tcPr>
          <w:p>
            <w:pPr>
              <w:pStyle w:val="TableParagraph"/>
              <w:spacing w:before="10"/>
              <w:ind w:left="134" w:right="136"/>
              <w:jc w:val="center"/>
              <w:rPr>
                <w:sz w:val="19"/>
              </w:rPr>
            </w:pPr>
            <w:r>
              <w:rPr>
                <w:w w:val="105"/>
                <w:sz w:val="19"/>
              </w:rPr>
              <w:t>(8)</w:t>
            </w:r>
          </w:p>
          <w:p>
            <w:pPr>
              <w:pStyle w:val="TableParagraph"/>
              <w:spacing w:before="29"/>
              <w:ind w:left="134" w:right="136"/>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987" w:type="dxa"/>
            <w:tcBorders>
              <w:left w:val="nil"/>
              <w:right w:val="nil"/>
            </w:tcBorders>
          </w:tcPr>
          <w:p>
            <w:pPr>
              <w:pStyle w:val="TableParagraph"/>
              <w:spacing w:before="10"/>
              <w:ind w:left="134" w:right="131"/>
              <w:jc w:val="center"/>
              <w:rPr>
                <w:sz w:val="19"/>
              </w:rPr>
            </w:pPr>
            <w:r>
              <w:rPr>
                <w:w w:val="105"/>
                <w:sz w:val="19"/>
              </w:rPr>
              <w:t>(9)</w:t>
            </w:r>
          </w:p>
          <w:p>
            <w:pPr>
              <w:pStyle w:val="TableParagraph"/>
              <w:spacing w:before="29"/>
              <w:ind w:left="134" w:right="131"/>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r>
      <w:tr>
        <w:trPr>
          <w:trHeight w:val="242" w:hRule="exact"/>
        </w:trPr>
        <w:tc>
          <w:tcPr>
            <w:tcW w:w="2007" w:type="dxa"/>
            <w:tcBorders>
              <w:left w:val="nil"/>
              <w:bottom w:val="nil"/>
              <w:right w:val="nil"/>
            </w:tcBorders>
          </w:tcPr>
          <w:p>
            <w:pPr>
              <w:pStyle w:val="TableParagraph"/>
              <w:spacing w:before="5"/>
              <w:ind w:left="71"/>
              <w:jc w:val="left"/>
              <w:rPr>
                <w:sz w:val="19"/>
              </w:rPr>
            </w:pPr>
            <w:r>
              <w:rPr>
                <w:w w:val="105"/>
                <w:sz w:val="19"/>
              </w:rPr>
              <w:t>Otros transables</w:t>
            </w:r>
          </w:p>
        </w:tc>
        <w:tc>
          <w:tcPr>
            <w:tcW w:w="1178" w:type="dxa"/>
            <w:tcBorders>
              <w:left w:val="nil"/>
              <w:bottom w:val="nil"/>
              <w:right w:val="nil"/>
            </w:tcBorders>
          </w:tcPr>
          <w:p>
            <w:pPr>
              <w:pStyle w:val="TableParagraph"/>
              <w:spacing w:before="5"/>
              <w:ind w:right="78"/>
              <w:rPr>
                <w:sz w:val="19"/>
              </w:rPr>
            </w:pPr>
            <w:r>
              <w:rPr>
                <w:sz w:val="19"/>
              </w:rPr>
              <w:t>1.7854***</w:t>
            </w:r>
          </w:p>
        </w:tc>
        <w:tc>
          <w:tcPr>
            <w:tcW w:w="1000" w:type="dxa"/>
            <w:tcBorders>
              <w:left w:val="nil"/>
              <w:bottom w:val="nil"/>
              <w:right w:val="nil"/>
            </w:tcBorders>
          </w:tcPr>
          <w:p>
            <w:pPr>
              <w:pStyle w:val="TableParagraph"/>
              <w:spacing w:before="5"/>
              <w:ind w:right="67"/>
              <w:rPr>
                <w:sz w:val="19"/>
              </w:rPr>
            </w:pPr>
            <w:r>
              <w:rPr>
                <w:sz w:val="19"/>
              </w:rPr>
              <w:t>1.4858***</w:t>
            </w:r>
          </w:p>
        </w:tc>
        <w:tc>
          <w:tcPr>
            <w:tcW w:w="991" w:type="dxa"/>
            <w:tcBorders>
              <w:left w:val="nil"/>
              <w:bottom w:val="nil"/>
              <w:right w:val="nil"/>
            </w:tcBorders>
          </w:tcPr>
          <w:p>
            <w:pPr>
              <w:pStyle w:val="TableParagraph"/>
              <w:spacing w:before="5"/>
              <w:ind w:right="70"/>
              <w:rPr>
                <w:sz w:val="19"/>
              </w:rPr>
            </w:pPr>
            <w:r>
              <w:rPr>
                <w:sz w:val="19"/>
              </w:rPr>
              <w:t>3.3874***</w:t>
            </w:r>
          </w:p>
        </w:tc>
        <w:tc>
          <w:tcPr>
            <w:tcW w:w="987" w:type="dxa"/>
            <w:tcBorders>
              <w:left w:val="nil"/>
              <w:bottom w:val="nil"/>
              <w:right w:val="nil"/>
            </w:tcBorders>
          </w:tcPr>
          <w:p>
            <w:pPr>
              <w:pStyle w:val="TableParagraph"/>
              <w:spacing w:before="5"/>
              <w:ind w:right="64"/>
              <w:rPr>
                <w:sz w:val="19"/>
              </w:rPr>
            </w:pPr>
            <w:r>
              <w:rPr>
                <w:sz w:val="19"/>
              </w:rPr>
              <w:t>3.5524***</w:t>
            </w:r>
          </w:p>
        </w:tc>
      </w:tr>
      <w:tr>
        <w:trPr>
          <w:trHeight w:val="230"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6" w:lineRule="exact"/>
              <w:ind w:right="77"/>
              <w:rPr>
                <w:sz w:val="19"/>
              </w:rPr>
            </w:pPr>
            <w:r>
              <w:rPr>
                <w:sz w:val="19"/>
              </w:rPr>
              <w:t>(0.052)</w:t>
            </w:r>
          </w:p>
        </w:tc>
        <w:tc>
          <w:tcPr>
            <w:tcW w:w="1000" w:type="dxa"/>
            <w:tcBorders>
              <w:top w:val="nil"/>
              <w:left w:val="nil"/>
              <w:bottom w:val="nil"/>
              <w:right w:val="nil"/>
            </w:tcBorders>
          </w:tcPr>
          <w:p>
            <w:pPr>
              <w:pStyle w:val="TableParagraph"/>
              <w:spacing w:line="216" w:lineRule="exact"/>
              <w:ind w:right="67"/>
              <w:rPr>
                <w:sz w:val="19"/>
              </w:rPr>
            </w:pPr>
            <w:r>
              <w:rPr>
                <w:sz w:val="19"/>
              </w:rPr>
              <w:t>(0.046)</w:t>
            </w:r>
          </w:p>
        </w:tc>
        <w:tc>
          <w:tcPr>
            <w:tcW w:w="991" w:type="dxa"/>
            <w:tcBorders>
              <w:top w:val="nil"/>
              <w:left w:val="nil"/>
              <w:bottom w:val="nil"/>
              <w:right w:val="nil"/>
            </w:tcBorders>
          </w:tcPr>
          <w:p>
            <w:pPr>
              <w:pStyle w:val="TableParagraph"/>
              <w:spacing w:line="216" w:lineRule="exact"/>
              <w:ind w:right="69"/>
              <w:rPr>
                <w:sz w:val="19"/>
              </w:rPr>
            </w:pPr>
            <w:r>
              <w:rPr>
                <w:sz w:val="19"/>
              </w:rPr>
              <w:t>(0.151)</w:t>
            </w:r>
          </w:p>
        </w:tc>
        <w:tc>
          <w:tcPr>
            <w:tcW w:w="987" w:type="dxa"/>
            <w:tcBorders>
              <w:top w:val="nil"/>
              <w:left w:val="nil"/>
              <w:bottom w:val="nil"/>
              <w:right w:val="nil"/>
            </w:tcBorders>
          </w:tcPr>
          <w:p>
            <w:pPr>
              <w:pStyle w:val="TableParagraph"/>
              <w:spacing w:line="216" w:lineRule="exact"/>
              <w:ind w:right="63"/>
              <w:rPr>
                <w:sz w:val="19"/>
              </w:rPr>
            </w:pPr>
            <w:r>
              <w:rPr>
                <w:sz w:val="19"/>
              </w:rPr>
              <w:t>(0.159)</w:t>
            </w:r>
          </w:p>
        </w:tc>
      </w:tr>
      <w:tr>
        <w:trPr>
          <w:trHeight w:val="228"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No transables</w:t>
            </w:r>
          </w:p>
        </w:tc>
        <w:tc>
          <w:tcPr>
            <w:tcW w:w="1178" w:type="dxa"/>
            <w:tcBorders>
              <w:top w:val="nil"/>
              <w:left w:val="nil"/>
              <w:bottom w:val="nil"/>
              <w:right w:val="nil"/>
            </w:tcBorders>
          </w:tcPr>
          <w:p>
            <w:pPr>
              <w:pStyle w:val="TableParagraph"/>
              <w:spacing w:line="216" w:lineRule="exact"/>
              <w:ind w:right="78"/>
              <w:rPr>
                <w:sz w:val="19"/>
              </w:rPr>
            </w:pPr>
            <w:r>
              <w:rPr>
                <w:sz w:val="19"/>
              </w:rPr>
              <w:t>0.4375***</w:t>
            </w:r>
          </w:p>
        </w:tc>
        <w:tc>
          <w:tcPr>
            <w:tcW w:w="1000" w:type="dxa"/>
            <w:tcBorders>
              <w:top w:val="nil"/>
              <w:left w:val="nil"/>
              <w:bottom w:val="nil"/>
              <w:right w:val="nil"/>
            </w:tcBorders>
          </w:tcPr>
          <w:p>
            <w:pPr>
              <w:pStyle w:val="TableParagraph"/>
              <w:spacing w:line="216" w:lineRule="exact"/>
              <w:ind w:right="67"/>
              <w:rPr>
                <w:sz w:val="19"/>
              </w:rPr>
            </w:pPr>
            <w:r>
              <w:rPr>
                <w:sz w:val="19"/>
              </w:rPr>
              <w:t>0.3820***</w:t>
            </w:r>
          </w:p>
        </w:tc>
        <w:tc>
          <w:tcPr>
            <w:tcW w:w="991" w:type="dxa"/>
            <w:tcBorders>
              <w:top w:val="nil"/>
              <w:left w:val="nil"/>
              <w:bottom w:val="nil"/>
              <w:right w:val="nil"/>
            </w:tcBorders>
          </w:tcPr>
          <w:p>
            <w:pPr>
              <w:pStyle w:val="TableParagraph"/>
              <w:spacing w:line="216" w:lineRule="exact"/>
              <w:ind w:right="70"/>
              <w:rPr>
                <w:sz w:val="19"/>
              </w:rPr>
            </w:pPr>
            <w:r>
              <w:rPr>
                <w:sz w:val="19"/>
              </w:rPr>
              <w:t>1.6361***</w:t>
            </w:r>
          </w:p>
        </w:tc>
        <w:tc>
          <w:tcPr>
            <w:tcW w:w="987" w:type="dxa"/>
            <w:tcBorders>
              <w:top w:val="nil"/>
              <w:left w:val="nil"/>
              <w:bottom w:val="nil"/>
              <w:right w:val="nil"/>
            </w:tcBorders>
          </w:tcPr>
          <w:p>
            <w:pPr>
              <w:pStyle w:val="TableParagraph"/>
              <w:spacing w:line="216" w:lineRule="exact"/>
              <w:ind w:right="64"/>
              <w:rPr>
                <w:sz w:val="19"/>
              </w:rPr>
            </w:pPr>
            <w:r>
              <w:rPr>
                <w:sz w:val="19"/>
              </w:rPr>
              <w:t>1.6851***</w:t>
            </w:r>
          </w:p>
        </w:tc>
      </w:tr>
      <w:tr>
        <w:trPr>
          <w:trHeight w:val="228"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4" w:lineRule="exact"/>
              <w:ind w:right="77"/>
              <w:rPr>
                <w:sz w:val="19"/>
              </w:rPr>
            </w:pPr>
            <w:r>
              <w:rPr>
                <w:sz w:val="19"/>
              </w:rPr>
              <w:t>(0.014)</w:t>
            </w:r>
          </w:p>
        </w:tc>
        <w:tc>
          <w:tcPr>
            <w:tcW w:w="1000" w:type="dxa"/>
            <w:tcBorders>
              <w:top w:val="nil"/>
              <w:left w:val="nil"/>
              <w:bottom w:val="nil"/>
              <w:right w:val="nil"/>
            </w:tcBorders>
          </w:tcPr>
          <w:p>
            <w:pPr>
              <w:pStyle w:val="TableParagraph"/>
              <w:spacing w:line="214" w:lineRule="exact"/>
              <w:ind w:right="67"/>
              <w:rPr>
                <w:sz w:val="19"/>
              </w:rPr>
            </w:pPr>
            <w:r>
              <w:rPr>
                <w:sz w:val="19"/>
              </w:rPr>
              <w:t>(0.013)</w:t>
            </w:r>
          </w:p>
        </w:tc>
        <w:tc>
          <w:tcPr>
            <w:tcW w:w="991" w:type="dxa"/>
            <w:tcBorders>
              <w:top w:val="nil"/>
              <w:left w:val="nil"/>
              <w:bottom w:val="nil"/>
              <w:right w:val="nil"/>
            </w:tcBorders>
          </w:tcPr>
          <w:p>
            <w:pPr>
              <w:pStyle w:val="TableParagraph"/>
              <w:spacing w:line="214" w:lineRule="exact"/>
              <w:ind w:right="69"/>
              <w:rPr>
                <w:sz w:val="19"/>
              </w:rPr>
            </w:pPr>
            <w:r>
              <w:rPr>
                <w:sz w:val="19"/>
              </w:rPr>
              <w:t>(0.080)</w:t>
            </w:r>
          </w:p>
        </w:tc>
        <w:tc>
          <w:tcPr>
            <w:tcW w:w="987" w:type="dxa"/>
            <w:tcBorders>
              <w:top w:val="nil"/>
              <w:left w:val="nil"/>
              <w:bottom w:val="nil"/>
              <w:right w:val="nil"/>
            </w:tcBorders>
          </w:tcPr>
          <w:p>
            <w:pPr>
              <w:pStyle w:val="TableParagraph"/>
              <w:spacing w:line="214" w:lineRule="exact"/>
              <w:ind w:right="63"/>
              <w:rPr>
                <w:sz w:val="19"/>
              </w:rPr>
            </w:pPr>
            <w:r>
              <w:rPr>
                <w:sz w:val="19"/>
              </w:rPr>
              <w:t>(0.083)</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Mujer</w:t>
            </w:r>
          </w:p>
        </w:tc>
        <w:tc>
          <w:tcPr>
            <w:tcW w:w="1178" w:type="dxa"/>
            <w:tcBorders>
              <w:top w:val="nil"/>
              <w:left w:val="nil"/>
              <w:bottom w:val="nil"/>
              <w:right w:val="nil"/>
            </w:tcBorders>
          </w:tcPr>
          <w:p>
            <w:pPr>
              <w:pStyle w:val="TableParagraph"/>
              <w:spacing w:line="216" w:lineRule="exact"/>
              <w:ind w:right="78"/>
              <w:rPr>
                <w:sz w:val="19"/>
              </w:rPr>
            </w:pPr>
            <w:r>
              <w:rPr>
                <w:sz w:val="19"/>
              </w:rPr>
              <w:t>1.1154***</w:t>
            </w:r>
          </w:p>
        </w:tc>
        <w:tc>
          <w:tcPr>
            <w:tcW w:w="1000" w:type="dxa"/>
            <w:tcBorders>
              <w:top w:val="nil"/>
              <w:left w:val="nil"/>
              <w:bottom w:val="nil"/>
              <w:right w:val="nil"/>
            </w:tcBorders>
          </w:tcPr>
          <w:p>
            <w:pPr>
              <w:pStyle w:val="TableParagraph"/>
              <w:spacing w:line="216" w:lineRule="exact"/>
              <w:ind w:right="67"/>
              <w:rPr>
                <w:sz w:val="19"/>
              </w:rPr>
            </w:pPr>
            <w:r>
              <w:rPr>
                <w:sz w:val="19"/>
              </w:rPr>
              <w:t>0.9484*</w:t>
            </w:r>
          </w:p>
        </w:tc>
        <w:tc>
          <w:tcPr>
            <w:tcW w:w="991" w:type="dxa"/>
            <w:tcBorders>
              <w:top w:val="nil"/>
              <w:left w:val="nil"/>
              <w:bottom w:val="nil"/>
              <w:right w:val="nil"/>
            </w:tcBorders>
          </w:tcPr>
          <w:p>
            <w:pPr>
              <w:pStyle w:val="TableParagraph"/>
              <w:spacing w:line="216" w:lineRule="exact"/>
              <w:ind w:right="70"/>
              <w:rPr>
                <w:sz w:val="19"/>
              </w:rPr>
            </w:pPr>
            <w:r>
              <w:rPr>
                <w:sz w:val="19"/>
              </w:rPr>
              <w:t>1.2237***</w:t>
            </w:r>
          </w:p>
        </w:tc>
        <w:tc>
          <w:tcPr>
            <w:tcW w:w="987" w:type="dxa"/>
            <w:tcBorders>
              <w:top w:val="nil"/>
              <w:left w:val="nil"/>
              <w:bottom w:val="nil"/>
              <w:right w:val="nil"/>
            </w:tcBorders>
          </w:tcPr>
          <w:p>
            <w:pPr>
              <w:pStyle w:val="TableParagraph"/>
              <w:spacing w:line="216" w:lineRule="exact"/>
              <w:ind w:right="64"/>
              <w:rPr>
                <w:sz w:val="19"/>
              </w:rPr>
            </w:pPr>
            <w:r>
              <w:rPr>
                <w:sz w:val="19"/>
              </w:rPr>
              <w:t>1.2370***</w:t>
            </w:r>
          </w:p>
        </w:tc>
      </w:tr>
      <w:tr>
        <w:trPr>
          <w:trHeight w:val="230"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6" w:lineRule="exact"/>
              <w:ind w:right="77"/>
              <w:rPr>
                <w:sz w:val="19"/>
              </w:rPr>
            </w:pPr>
            <w:r>
              <w:rPr>
                <w:sz w:val="19"/>
              </w:rPr>
              <w:t>(0.034)</w:t>
            </w:r>
          </w:p>
        </w:tc>
        <w:tc>
          <w:tcPr>
            <w:tcW w:w="1000" w:type="dxa"/>
            <w:tcBorders>
              <w:top w:val="nil"/>
              <w:left w:val="nil"/>
              <w:bottom w:val="nil"/>
              <w:right w:val="nil"/>
            </w:tcBorders>
          </w:tcPr>
          <w:p>
            <w:pPr>
              <w:pStyle w:val="TableParagraph"/>
              <w:spacing w:line="216" w:lineRule="exact"/>
              <w:ind w:right="67"/>
              <w:rPr>
                <w:sz w:val="19"/>
              </w:rPr>
            </w:pPr>
            <w:r>
              <w:rPr>
                <w:sz w:val="19"/>
              </w:rPr>
              <w:t>(0.030)</w:t>
            </w:r>
          </w:p>
        </w:tc>
        <w:tc>
          <w:tcPr>
            <w:tcW w:w="991" w:type="dxa"/>
            <w:tcBorders>
              <w:top w:val="nil"/>
              <w:left w:val="nil"/>
              <w:bottom w:val="nil"/>
              <w:right w:val="nil"/>
            </w:tcBorders>
          </w:tcPr>
          <w:p>
            <w:pPr>
              <w:pStyle w:val="TableParagraph"/>
              <w:spacing w:line="216" w:lineRule="exact"/>
              <w:ind w:right="69"/>
              <w:rPr>
                <w:sz w:val="19"/>
              </w:rPr>
            </w:pPr>
            <w:r>
              <w:rPr>
                <w:sz w:val="19"/>
              </w:rPr>
              <w:t>(0.051)</w:t>
            </w:r>
          </w:p>
        </w:tc>
        <w:tc>
          <w:tcPr>
            <w:tcW w:w="987" w:type="dxa"/>
            <w:tcBorders>
              <w:top w:val="nil"/>
              <w:left w:val="nil"/>
              <w:bottom w:val="nil"/>
              <w:right w:val="nil"/>
            </w:tcBorders>
          </w:tcPr>
          <w:p>
            <w:pPr>
              <w:pStyle w:val="TableParagraph"/>
              <w:spacing w:line="216" w:lineRule="exact"/>
              <w:ind w:right="63"/>
              <w:rPr>
                <w:sz w:val="19"/>
              </w:rPr>
            </w:pPr>
            <w:r>
              <w:rPr>
                <w:sz w:val="19"/>
              </w:rPr>
              <w:t>(0.051)</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Edad</w:t>
            </w:r>
          </w:p>
        </w:tc>
        <w:tc>
          <w:tcPr>
            <w:tcW w:w="1178" w:type="dxa"/>
            <w:tcBorders>
              <w:top w:val="nil"/>
              <w:left w:val="nil"/>
              <w:bottom w:val="nil"/>
              <w:right w:val="nil"/>
            </w:tcBorders>
          </w:tcPr>
          <w:p>
            <w:pPr>
              <w:pStyle w:val="TableParagraph"/>
              <w:spacing w:line="216" w:lineRule="exact"/>
              <w:ind w:right="78"/>
              <w:rPr>
                <w:sz w:val="19"/>
              </w:rPr>
            </w:pPr>
            <w:r>
              <w:rPr>
                <w:sz w:val="19"/>
              </w:rPr>
              <w:t>1.1282***</w:t>
            </w:r>
          </w:p>
        </w:tc>
        <w:tc>
          <w:tcPr>
            <w:tcW w:w="1000" w:type="dxa"/>
            <w:tcBorders>
              <w:top w:val="nil"/>
              <w:left w:val="nil"/>
              <w:bottom w:val="nil"/>
              <w:right w:val="nil"/>
            </w:tcBorders>
          </w:tcPr>
          <w:p>
            <w:pPr>
              <w:pStyle w:val="TableParagraph"/>
              <w:spacing w:line="216" w:lineRule="exact"/>
              <w:ind w:right="67"/>
              <w:rPr>
                <w:sz w:val="19"/>
              </w:rPr>
            </w:pPr>
            <w:r>
              <w:rPr>
                <w:sz w:val="19"/>
              </w:rPr>
              <w:t>1.1050***</w:t>
            </w:r>
          </w:p>
        </w:tc>
        <w:tc>
          <w:tcPr>
            <w:tcW w:w="991" w:type="dxa"/>
            <w:tcBorders>
              <w:top w:val="nil"/>
              <w:left w:val="nil"/>
              <w:bottom w:val="nil"/>
              <w:right w:val="nil"/>
            </w:tcBorders>
          </w:tcPr>
          <w:p>
            <w:pPr>
              <w:pStyle w:val="TableParagraph"/>
              <w:spacing w:line="216" w:lineRule="exact"/>
              <w:ind w:right="70"/>
              <w:rPr>
                <w:sz w:val="19"/>
              </w:rPr>
            </w:pPr>
            <w:r>
              <w:rPr>
                <w:sz w:val="19"/>
              </w:rPr>
              <w:t>1.1091***</w:t>
            </w:r>
          </w:p>
        </w:tc>
        <w:tc>
          <w:tcPr>
            <w:tcW w:w="987" w:type="dxa"/>
            <w:tcBorders>
              <w:top w:val="nil"/>
              <w:left w:val="nil"/>
              <w:bottom w:val="nil"/>
              <w:right w:val="nil"/>
            </w:tcBorders>
          </w:tcPr>
          <w:p>
            <w:pPr>
              <w:pStyle w:val="TableParagraph"/>
              <w:spacing w:line="216" w:lineRule="exact"/>
              <w:ind w:right="64"/>
              <w:rPr>
                <w:sz w:val="19"/>
              </w:rPr>
            </w:pPr>
            <w:r>
              <w:rPr>
                <w:sz w:val="19"/>
              </w:rPr>
              <w:t>1.1071***</w:t>
            </w:r>
          </w:p>
        </w:tc>
      </w:tr>
      <w:tr>
        <w:trPr>
          <w:trHeight w:val="212"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6" w:lineRule="exact"/>
              <w:ind w:right="77"/>
              <w:rPr>
                <w:sz w:val="19"/>
              </w:rPr>
            </w:pPr>
            <w:r>
              <w:rPr>
                <w:sz w:val="19"/>
              </w:rPr>
              <w:t>(0.006)</w:t>
            </w:r>
          </w:p>
        </w:tc>
        <w:tc>
          <w:tcPr>
            <w:tcW w:w="1000" w:type="dxa"/>
            <w:tcBorders>
              <w:top w:val="nil"/>
              <w:left w:val="nil"/>
              <w:bottom w:val="nil"/>
              <w:right w:val="nil"/>
            </w:tcBorders>
          </w:tcPr>
          <w:p>
            <w:pPr>
              <w:pStyle w:val="TableParagraph"/>
              <w:spacing w:line="216" w:lineRule="exact"/>
              <w:ind w:right="67"/>
              <w:rPr>
                <w:sz w:val="19"/>
              </w:rPr>
            </w:pPr>
            <w:r>
              <w:rPr>
                <w:sz w:val="19"/>
              </w:rPr>
              <w:t>(0.006)</w:t>
            </w:r>
          </w:p>
        </w:tc>
        <w:tc>
          <w:tcPr>
            <w:tcW w:w="991" w:type="dxa"/>
            <w:tcBorders>
              <w:top w:val="nil"/>
              <w:left w:val="nil"/>
              <w:bottom w:val="nil"/>
              <w:right w:val="nil"/>
            </w:tcBorders>
          </w:tcPr>
          <w:p>
            <w:pPr>
              <w:pStyle w:val="TableParagraph"/>
              <w:spacing w:line="216" w:lineRule="exact"/>
              <w:ind w:right="69"/>
              <w:rPr>
                <w:sz w:val="19"/>
              </w:rPr>
            </w:pPr>
            <w:r>
              <w:rPr>
                <w:sz w:val="19"/>
              </w:rPr>
              <w:t>(0.008)</w:t>
            </w:r>
          </w:p>
        </w:tc>
        <w:tc>
          <w:tcPr>
            <w:tcW w:w="987" w:type="dxa"/>
            <w:tcBorders>
              <w:top w:val="nil"/>
              <w:left w:val="nil"/>
              <w:bottom w:val="nil"/>
              <w:right w:val="nil"/>
            </w:tcBorders>
          </w:tcPr>
          <w:p>
            <w:pPr>
              <w:pStyle w:val="TableParagraph"/>
              <w:spacing w:line="216" w:lineRule="exact"/>
              <w:ind w:right="63"/>
              <w:rPr>
                <w:sz w:val="19"/>
              </w:rPr>
            </w:pPr>
            <w:r>
              <w:rPr>
                <w:sz w:val="19"/>
              </w:rPr>
              <w:t>(0.008)</w:t>
            </w:r>
          </w:p>
        </w:tc>
      </w:tr>
      <w:tr>
        <w:trPr>
          <w:trHeight w:val="249" w:hRule="exact"/>
        </w:trPr>
        <w:tc>
          <w:tcPr>
            <w:tcW w:w="2007" w:type="dxa"/>
            <w:tcBorders>
              <w:top w:val="nil"/>
              <w:left w:val="nil"/>
              <w:bottom w:val="nil"/>
              <w:right w:val="nil"/>
            </w:tcBorders>
          </w:tcPr>
          <w:p>
            <w:pPr>
              <w:pStyle w:val="TableParagraph"/>
              <w:spacing w:line="235" w:lineRule="exact"/>
              <w:ind w:left="71"/>
              <w:jc w:val="left"/>
              <w:rPr>
                <w:sz w:val="13"/>
              </w:rPr>
            </w:pPr>
            <w:r>
              <w:rPr>
                <w:w w:val="105"/>
                <w:sz w:val="19"/>
              </w:rPr>
              <w:t>Edad</w:t>
            </w:r>
            <w:r>
              <w:rPr>
                <w:w w:val="105"/>
                <w:position w:val="9"/>
                <w:sz w:val="13"/>
              </w:rPr>
              <w:t>2</w:t>
            </w:r>
          </w:p>
        </w:tc>
        <w:tc>
          <w:tcPr>
            <w:tcW w:w="1178" w:type="dxa"/>
            <w:tcBorders>
              <w:top w:val="nil"/>
              <w:left w:val="nil"/>
              <w:bottom w:val="nil"/>
              <w:right w:val="nil"/>
            </w:tcBorders>
          </w:tcPr>
          <w:p>
            <w:pPr>
              <w:pStyle w:val="TableParagraph"/>
              <w:spacing w:before="16"/>
              <w:ind w:right="78"/>
              <w:rPr>
                <w:sz w:val="19"/>
              </w:rPr>
            </w:pPr>
            <w:r>
              <w:rPr>
                <w:sz w:val="19"/>
              </w:rPr>
              <w:t>0.9984***</w:t>
            </w:r>
          </w:p>
        </w:tc>
        <w:tc>
          <w:tcPr>
            <w:tcW w:w="1000" w:type="dxa"/>
            <w:tcBorders>
              <w:top w:val="nil"/>
              <w:left w:val="nil"/>
              <w:bottom w:val="nil"/>
              <w:right w:val="nil"/>
            </w:tcBorders>
          </w:tcPr>
          <w:p>
            <w:pPr>
              <w:pStyle w:val="TableParagraph"/>
              <w:spacing w:before="16"/>
              <w:ind w:right="67"/>
              <w:rPr>
                <w:sz w:val="19"/>
              </w:rPr>
            </w:pPr>
            <w:r>
              <w:rPr>
                <w:sz w:val="19"/>
              </w:rPr>
              <w:t>0.9986***</w:t>
            </w:r>
          </w:p>
        </w:tc>
        <w:tc>
          <w:tcPr>
            <w:tcW w:w="991" w:type="dxa"/>
            <w:tcBorders>
              <w:top w:val="nil"/>
              <w:left w:val="nil"/>
              <w:bottom w:val="nil"/>
              <w:right w:val="nil"/>
            </w:tcBorders>
          </w:tcPr>
          <w:p>
            <w:pPr>
              <w:pStyle w:val="TableParagraph"/>
              <w:spacing w:before="16"/>
              <w:ind w:right="70"/>
              <w:rPr>
                <w:sz w:val="19"/>
              </w:rPr>
            </w:pPr>
            <w:r>
              <w:rPr>
                <w:sz w:val="19"/>
              </w:rPr>
              <w:t>0.9986***</w:t>
            </w:r>
          </w:p>
        </w:tc>
        <w:tc>
          <w:tcPr>
            <w:tcW w:w="987" w:type="dxa"/>
            <w:tcBorders>
              <w:top w:val="nil"/>
              <w:left w:val="nil"/>
              <w:bottom w:val="nil"/>
              <w:right w:val="nil"/>
            </w:tcBorders>
          </w:tcPr>
          <w:p>
            <w:pPr>
              <w:pStyle w:val="TableParagraph"/>
              <w:spacing w:before="16"/>
              <w:ind w:right="64"/>
              <w:rPr>
                <w:sz w:val="19"/>
              </w:rPr>
            </w:pPr>
            <w:r>
              <w:rPr>
                <w:sz w:val="19"/>
              </w:rPr>
              <w:t>0.9986***</w:t>
            </w:r>
          </w:p>
        </w:tc>
      </w:tr>
      <w:tr>
        <w:trPr>
          <w:trHeight w:val="230"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6" w:lineRule="exact"/>
              <w:ind w:right="77"/>
              <w:rPr>
                <w:sz w:val="19"/>
              </w:rPr>
            </w:pPr>
            <w:r>
              <w:rPr>
                <w:sz w:val="19"/>
              </w:rPr>
              <w:t>(0.000)</w:t>
            </w:r>
          </w:p>
        </w:tc>
        <w:tc>
          <w:tcPr>
            <w:tcW w:w="1000" w:type="dxa"/>
            <w:tcBorders>
              <w:top w:val="nil"/>
              <w:left w:val="nil"/>
              <w:bottom w:val="nil"/>
              <w:right w:val="nil"/>
            </w:tcBorders>
          </w:tcPr>
          <w:p>
            <w:pPr>
              <w:pStyle w:val="TableParagraph"/>
              <w:spacing w:line="216" w:lineRule="exact"/>
              <w:ind w:right="67"/>
              <w:rPr>
                <w:sz w:val="19"/>
              </w:rPr>
            </w:pPr>
            <w:r>
              <w:rPr>
                <w:sz w:val="19"/>
              </w:rPr>
              <w:t>(0.000)</w:t>
            </w:r>
          </w:p>
        </w:tc>
        <w:tc>
          <w:tcPr>
            <w:tcW w:w="991" w:type="dxa"/>
            <w:tcBorders>
              <w:top w:val="nil"/>
              <w:left w:val="nil"/>
              <w:bottom w:val="nil"/>
              <w:right w:val="nil"/>
            </w:tcBorders>
          </w:tcPr>
          <w:p>
            <w:pPr>
              <w:pStyle w:val="TableParagraph"/>
              <w:spacing w:line="216" w:lineRule="exact"/>
              <w:ind w:right="69"/>
              <w:rPr>
                <w:sz w:val="19"/>
              </w:rPr>
            </w:pPr>
            <w:r>
              <w:rPr>
                <w:sz w:val="19"/>
              </w:rPr>
              <w:t>(0.000)</w:t>
            </w:r>
          </w:p>
        </w:tc>
        <w:tc>
          <w:tcPr>
            <w:tcW w:w="987" w:type="dxa"/>
            <w:tcBorders>
              <w:top w:val="nil"/>
              <w:left w:val="nil"/>
              <w:bottom w:val="nil"/>
              <w:right w:val="nil"/>
            </w:tcBorders>
          </w:tcPr>
          <w:p>
            <w:pPr>
              <w:pStyle w:val="TableParagraph"/>
              <w:spacing w:line="216" w:lineRule="exact"/>
              <w:ind w:right="63"/>
              <w:rPr>
                <w:sz w:val="19"/>
              </w:rPr>
            </w:pPr>
            <w:r>
              <w:rPr>
                <w:sz w:val="19"/>
              </w:rPr>
              <w:t>(0.000)</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Años de escolaridad</w:t>
            </w:r>
          </w:p>
        </w:tc>
        <w:tc>
          <w:tcPr>
            <w:tcW w:w="1178" w:type="dxa"/>
            <w:tcBorders>
              <w:top w:val="nil"/>
              <w:left w:val="nil"/>
              <w:bottom w:val="nil"/>
              <w:right w:val="nil"/>
            </w:tcBorders>
          </w:tcPr>
          <w:p>
            <w:pPr>
              <w:pStyle w:val="TableParagraph"/>
              <w:spacing w:line="216" w:lineRule="exact"/>
              <w:ind w:right="78"/>
              <w:rPr>
                <w:sz w:val="19"/>
              </w:rPr>
            </w:pPr>
            <w:r>
              <w:rPr>
                <w:sz w:val="19"/>
              </w:rPr>
              <w:t>1.1655***</w:t>
            </w:r>
          </w:p>
        </w:tc>
        <w:tc>
          <w:tcPr>
            <w:tcW w:w="1000" w:type="dxa"/>
            <w:tcBorders>
              <w:top w:val="nil"/>
              <w:left w:val="nil"/>
              <w:bottom w:val="nil"/>
              <w:right w:val="nil"/>
            </w:tcBorders>
          </w:tcPr>
          <w:p>
            <w:pPr>
              <w:pStyle w:val="TableParagraph"/>
              <w:spacing w:line="216" w:lineRule="exact"/>
              <w:ind w:right="67"/>
              <w:rPr>
                <w:sz w:val="19"/>
              </w:rPr>
            </w:pPr>
            <w:r>
              <w:rPr>
                <w:sz w:val="19"/>
              </w:rPr>
              <w:t>1.2176***</w:t>
            </w:r>
          </w:p>
        </w:tc>
        <w:tc>
          <w:tcPr>
            <w:tcW w:w="991" w:type="dxa"/>
            <w:tcBorders>
              <w:top w:val="nil"/>
              <w:left w:val="nil"/>
              <w:bottom w:val="nil"/>
              <w:right w:val="nil"/>
            </w:tcBorders>
          </w:tcPr>
          <w:p>
            <w:pPr>
              <w:pStyle w:val="TableParagraph"/>
              <w:spacing w:line="216" w:lineRule="exact"/>
              <w:ind w:right="70"/>
              <w:rPr>
                <w:sz w:val="19"/>
              </w:rPr>
            </w:pPr>
            <w:r>
              <w:rPr>
                <w:sz w:val="19"/>
              </w:rPr>
              <w:t>1.2050***</w:t>
            </w:r>
          </w:p>
        </w:tc>
        <w:tc>
          <w:tcPr>
            <w:tcW w:w="987" w:type="dxa"/>
            <w:tcBorders>
              <w:top w:val="nil"/>
              <w:left w:val="nil"/>
              <w:bottom w:val="nil"/>
              <w:right w:val="nil"/>
            </w:tcBorders>
          </w:tcPr>
          <w:p>
            <w:pPr>
              <w:pStyle w:val="TableParagraph"/>
              <w:spacing w:line="216" w:lineRule="exact"/>
              <w:ind w:right="64"/>
              <w:rPr>
                <w:sz w:val="19"/>
              </w:rPr>
            </w:pPr>
            <w:r>
              <w:rPr>
                <w:sz w:val="19"/>
              </w:rPr>
              <w:t>1.2043***</w:t>
            </w:r>
          </w:p>
        </w:tc>
      </w:tr>
      <w:tr>
        <w:trPr>
          <w:trHeight w:val="212"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6" w:lineRule="exact"/>
              <w:ind w:right="77"/>
              <w:rPr>
                <w:sz w:val="19"/>
              </w:rPr>
            </w:pPr>
            <w:r>
              <w:rPr>
                <w:sz w:val="19"/>
              </w:rPr>
              <w:t>(0.014)</w:t>
            </w:r>
          </w:p>
        </w:tc>
        <w:tc>
          <w:tcPr>
            <w:tcW w:w="1000" w:type="dxa"/>
            <w:tcBorders>
              <w:top w:val="nil"/>
              <w:left w:val="nil"/>
              <w:bottom w:val="nil"/>
              <w:right w:val="nil"/>
            </w:tcBorders>
          </w:tcPr>
          <w:p>
            <w:pPr>
              <w:pStyle w:val="TableParagraph"/>
              <w:spacing w:line="216" w:lineRule="exact"/>
              <w:ind w:right="67"/>
              <w:rPr>
                <w:sz w:val="19"/>
              </w:rPr>
            </w:pPr>
            <w:r>
              <w:rPr>
                <w:sz w:val="19"/>
              </w:rPr>
              <w:t>(0.016)</w:t>
            </w:r>
          </w:p>
        </w:tc>
        <w:tc>
          <w:tcPr>
            <w:tcW w:w="991" w:type="dxa"/>
            <w:tcBorders>
              <w:top w:val="nil"/>
              <w:left w:val="nil"/>
              <w:bottom w:val="nil"/>
              <w:right w:val="nil"/>
            </w:tcBorders>
          </w:tcPr>
          <w:p>
            <w:pPr>
              <w:pStyle w:val="TableParagraph"/>
              <w:spacing w:line="216" w:lineRule="exact"/>
              <w:ind w:right="69"/>
              <w:rPr>
                <w:sz w:val="19"/>
              </w:rPr>
            </w:pPr>
            <w:r>
              <w:rPr>
                <w:sz w:val="19"/>
              </w:rPr>
              <w:t>(0.019)</w:t>
            </w:r>
          </w:p>
        </w:tc>
        <w:tc>
          <w:tcPr>
            <w:tcW w:w="987" w:type="dxa"/>
            <w:tcBorders>
              <w:top w:val="nil"/>
              <w:left w:val="nil"/>
              <w:bottom w:val="nil"/>
              <w:right w:val="nil"/>
            </w:tcBorders>
          </w:tcPr>
          <w:p>
            <w:pPr>
              <w:pStyle w:val="TableParagraph"/>
              <w:spacing w:line="216" w:lineRule="exact"/>
              <w:ind w:right="63"/>
              <w:rPr>
                <w:sz w:val="19"/>
              </w:rPr>
            </w:pPr>
            <w:r>
              <w:rPr>
                <w:sz w:val="19"/>
              </w:rPr>
              <w:t>(0.019)</w:t>
            </w:r>
          </w:p>
        </w:tc>
      </w:tr>
      <w:tr>
        <w:trPr>
          <w:trHeight w:val="249" w:hRule="exact"/>
        </w:trPr>
        <w:tc>
          <w:tcPr>
            <w:tcW w:w="2007" w:type="dxa"/>
            <w:tcBorders>
              <w:top w:val="nil"/>
              <w:left w:val="nil"/>
              <w:bottom w:val="nil"/>
              <w:right w:val="nil"/>
            </w:tcBorders>
          </w:tcPr>
          <w:p>
            <w:pPr>
              <w:pStyle w:val="TableParagraph"/>
              <w:spacing w:line="235" w:lineRule="exact"/>
              <w:ind w:left="71"/>
              <w:jc w:val="left"/>
              <w:rPr>
                <w:sz w:val="13"/>
              </w:rPr>
            </w:pPr>
            <w:r>
              <w:rPr>
                <w:w w:val="105"/>
                <w:sz w:val="19"/>
              </w:rPr>
              <w:t>Años de escolaridad</w:t>
            </w:r>
            <w:r>
              <w:rPr>
                <w:w w:val="105"/>
                <w:position w:val="9"/>
                <w:sz w:val="13"/>
              </w:rPr>
              <w:t>2</w:t>
            </w:r>
          </w:p>
        </w:tc>
        <w:tc>
          <w:tcPr>
            <w:tcW w:w="1178" w:type="dxa"/>
            <w:tcBorders>
              <w:top w:val="nil"/>
              <w:left w:val="nil"/>
              <w:bottom w:val="nil"/>
              <w:right w:val="nil"/>
            </w:tcBorders>
          </w:tcPr>
          <w:p>
            <w:pPr>
              <w:pStyle w:val="TableParagraph"/>
              <w:spacing w:before="16"/>
              <w:ind w:right="78"/>
              <w:rPr>
                <w:sz w:val="19"/>
              </w:rPr>
            </w:pPr>
            <w:r>
              <w:rPr>
                <w:sz w:val="19"/>
              </w:rPr>
              <w:t>1.0000</w:t>
            </w:r>
          </w:p>
        </w:tc>
        <w:tc>
          <w:tcPr>
            <w:tcW w:w="1000" w:type="dxa"/>
            <w:tcBorders>
              <w:top w:val="nil"/>
              <w:left w:val="nil"/>
              <w:bottom w:val="nil"/>
              <w:right w:val="nil"/>
            </w:tcBorders>
          </w:tcPr>
          <w:p>
            <w:pPr>
              <w:pStyle w:val="TableParagraph"/>
              <w:spacing w:before="16"/>
              <w:ind w:right="67"/>
              <w:rPr>
                <w:sz w:val="19"/>
              </w:rPr>
            </w:pPr>
            <w:r>
              <w:rPr>
                <w:sz w:val="19"/>
              </w:rPr>
              <w:t>0.9934***</w:t>
            </w:r>
          </w:p>
        </w:tc>
        <w:tc>
          <w:tcPr>
            <w:tcW w:w="991" w:type="dxa"/>
            <w:tcBorders>
              <w:top w:val="nil"/>
              <w:left w:val="nil"/>
              <w:bottom w:val="nil"/>
              <w:right w:val="nil"/>
            </w:tcBorders>
          </w:tcPr>
          <w:p>
            <w:pPr>
              <w:pStyle w:val="TableParagraph"/>
              <w:spacing w:before="16"/>
              <w:ind w:right="70"/>
              <w:rPr>
                <w:sz w:val="19"/>
              </w:rPr>
            </w:pPr>
            <w:r>
              <w:rPr>
                <w:sz w:val="19"/>
              </w:rPr>
              <w:t>0.9930***</w:t>
            </w:r>
          </w:p>
        </w:tc>
        <w:tc>
          <w:tcPr>
            <w:tcW w:w="987" w:type="dxa"/>
            <w:tcBorders>
              <w:top w:val="nil"/>
              <w:left w:val="nil"/>
              <w:bottom w:val="nil"/>
              <w:right w:val="nil"/>
            </w:tcBorders>
          </w:tcPr>
          <w:p>
            <w:pPr>
              <w:pStyle w:val="TableParagraph"/>
              <w:spacing w:before="16"/>
              <w:ind w:right="64"/>
              <w:rPr>
                <w:sz w:val="19"/>
              </w:rPr>
            </w:pPr>
            <w:r>
              <w:rPr>
                <w:sz w:val="19"/>
              </w:rPr>
              <w:t>0.9926***</w:t>
            </w:r>
          </w:p>
        </w:tc>
      </w:tr>
      <w:tr>
        <w:trPr>
          <w:trHeight w:val="230"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6" w:lineRule="exact"/>
              <w:ind w:right="77"/>
              <w:rPr>
                <w:sz w:val="19"/>
              </w:rPr>
            </w:pPr>
            <w:r>
              <w:rPr>
                <w:sz w:val="19"/>
              </w:rPr>
              <w:t>(0.001)</w:t>
            </w:r>
          </w:p>
        </w:tc>
        <w:tc>
          <w:tcPr>
            <w:tcW w:w="1000" w:type="dxa"/>
            <w:tcBorders>
              <w:top w:val="nil"/>
              <w:left w:val="nil"/>
              <w:bottom w:val="nil"/>
              <w:right w:val="nil"/>
            </w:tcBorders>
          </w:tcPr>
          <w:p>
            <w:pPr>
              <w:pStyle w:val="TableParagraph"/>
              <w:spacing w:line="216" w:lineRule="exact"/>
              <w:ind w:right="67"/>
              <w:rPr>
                <w:sz w:val="19"/>
              </w:rPr>
            </w:pPr>
            <w:r>
              <w:rPr>
                <w:sz w:val="19"/>
              </w:rPr>
              <w:t>(0.001)</w:t>
            </w:r>
          </w:p>
        </w:tc>
        <w:tc>
          <w:tcPr>
            <w:tcW w:w="991" w:type="dxa"/>
            <w:tcBorders>
              <w:top w:val="nil"/>
              <w:left w:val="nil"/>
              <w:bottom w:val="nil"/>
              <w:right w:val="nil"/>
            </w:tcBorders>
          </w:tcPr>
          <w:p>
            <w:pPr>
              <w:pStyle w:val="TableParagraph"/>
              <w:spacing w:line="216" w:lineRule="exact"/>
              <w:ind w:right="69"/>
              <w:rPr>
                <w:sz w:val="19"/>
              </w:rPr>
            </w:pPr>
            <w:r>
              <w:rPr>
                <w:sz w:val="19"/>
              </w:rPr>
              <w:t>(0.001)</w:t>
            </w:r>
          </w:p>
        </w:tc>
        <w:tc>
          <w:tcPr>
            <w:tcW w:w="987" w:type="dxa"/>
            <w:tcBorders>
              <w:top w:val="nil"/>
              <w:left w:val="nil"/>
              <w:bottom w:val="nil"/>
              <w:right w:val="nil"/>
            </w:tcBorders>
          </w:tcPr>
          <w:p>
            <w:pPr>
              <w:pStyle w:val="TableParagraph"/>
              <w:spacing w:line="216" w:lineRule="exact"/>
              <w:ind w:right="63"/>
              <w:rPr>
                <w:sz w:val="19"/>
              </w:rPr>
            </w:pPr>
            <w:r>
              <w:rPr>
                <w:sz w:val="19"/>
              </w:rPr>
              <w:t>(0.001)</w:t>
            </w:r>
          </w:p>
        </w:tc>
      </w:tr>
      <w:tr>
        <w:trPr>
          <w:trHeight w:val="228"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Noreste</w:t>
            </w:r>
          </w:p>
        </w:tc>
        <w:tc>
          <w:tcPr>
            <w:tcW w:w="1178" w:type="dxa"/>
            <w:tcBorders>
              <w:top w:val="nil"/>
              <w:left w:val="nil"/>
              <w:bottom w:val="nil"/>
              <w:right w:val="nil"/>
            </w:tcBorders>
          </w:tcPr>
          <w:p>
            <w:pPr>
              <w:pStyle w:val="TableParagraph"/>
              <w:spacing w:line="216" w:lineRule="exact"/>
              <w:ind w:right="78"/>
              <w:rPr>
                <w:sz w:val="19"/>
              </w:rPr>
            </w:pPr>
            <w:r>
              <w:rPr>
                <w:sz w:val="19"/>
              </w:rPr>
              <w:t>0.6862***</w:t>
            </w:r>
          </w:p>
        </w:tc>
        <w:tc>
          <w:tcPr>
            <w:tcW w:w="1000" w:type="dxa"/>
            <w:tcBorders>
              <w:top w:val="nil"/>
              <w:left w:val="nil"/>
              <w:bottom w:val="nil"/>
              <w:right w:val="nil"/>
            </w:tcBorders>
          </w:tcPr>
          <w:p>
            <w:pPr>
              <w:pStyle w:val="TableParagraph"/>
              <w:spacing w:line="216" w:lineRule="exact"/>
              <w:ind w:right="67"/>
              <w:rPr>
                <w:sz w:val="19"/>
              </w:rPr>
            </w:pPr>
            <w:r>
              <w:rPr>
                <w:sz w:val="19"/>
              </w:rPr>
              <w:t>0.7071***</w:t>
            </w:r>
          </w:p>
        </w:tc>
        <w:tc>
          <w:tcPr>
            <w:tcW w:w="991" w:type="dxa"/>
            <w:tcBorders>
              <w:top w:val="nil"/>
              <w:left w:val="nil"/>
              <w:bottom w:val="nil"/>
              <w:right w:val="nil"/>
            </w:tcBorders>
          </w:tcPr>
          <w:p>
            <w:pPr>
              <w:pStyle w:val="TableParagraph"/>
              <w:spacing w:line="216" w:lineRule="exact"/>
              <w:ind w:right="70"/>
              <w:rPr>
                <w:sz w:val="19"/>
              </w:rPr>
            </w:pPr>
            <w:r>
              <w:rPr>
                <w:sz w:val="19"/>
              </w:rPr>
              <w:t>0.6449***</w:t>
            </w:r>
          </w:p>
        </w:tc>
        <w:tc>
          <w:tcPr>
            <w:tcW w:w="987" w:type="dxa"/>
            <w:tcBorders>
              <w:top w:val="nil"/>
              <w:left w:val="nil"/>
              <w:bottom w:val="nil"/>
              <w:right w:val="nil"/>
            </w:tcBorders>
          </w:tcPr>
          <w:p>
            <w:pPr>
              <w:pStyle w:val="TableParagraph"/>
              <w:spacing w:line="216" w:lineRule="exact"/>
              <w:ind w:right="64"/>
              <w:rPr>
                <w:sz w:val="19"/>
              </w:rPr>
            </w:pPr>
            <w:r>
              <w:rPr>
                <w:sz w:val="19"/>
              </w:rPr>
              <w:t>0.6570***</w:t>
            </w:r>
          </w:p>
        </w:tc>
      </w:tr>
      <w:tr>
        <w:trPr>
          <w:trHeight w:val="228"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4" w:lineRule="exact"/>
              <w:ind w:right="77"/>
              <w:rPr>
                <w:sz w:val="19"/>
              </w:rPr>
            </w:pPr>
            <w:r>
              <w:rPr>
                <w:sz w:val="19"/>
              </w:rPr>
              <w:t>(0.030)</w:t>
            </w:r>
          </w:p>
        </w:tc>
        <w:tc>
          <w:tcPr>
            <w:tcW w:w="1000" w:type="dxa"/>
            <w:tcBorders>
              <w:top w:val="nil"/>
              <w:left w:val="nil"/>
              <w:bottom w:val="nil"/>
              <w:right w:val="nil"/>
            </w:tcBorders>
          </w:tcPr>
          <w:p>
            <w:pPr>
              <w:pStyle w:val="TableParagraph"/>
              <w:spacing w:line="214" w:lineRule="exact"/>
              <w:ind w:right="67"/>
              <w:rPr>
                <w:sz w:val="19"/>
              </w:rPr>
            </w:pPr>
            <w:r>
              <w:rPr>
                <w:sz w:val="19"/>
              </w:rPr>
              <w:t>(0.032)</w:t>
            </w:r>
          </w:p>
        </w:tc>
        <w:tc>
          <w:tcPr>
            <w:tcW w:w="991" w:type="dxa"/>
            <w:tcBorders>
              <w:top w:val="nil"/>
              <w:left w:val="nil"/>
              <w:bottom w:val="nil"/>
              <w:right w:val="nil"/>
            </w:tcBorders>
          </w:tcPr>
          <w:p>
            <w:pPr>
              <w:pStyle w:val="TableParagraph"/>
              <w:spacing w:line="214" w:lineRule="exact"/>
              <w:ind w:right="69"/>
              <w:rPr>
                <w:sz w:val="19"/>
              </w:rPr>
            </w:pPr>
            <w:r>
              <w:rPr>
                <w:sz w:val="19"/>
              </w:rPr>
              <w:t>(0.038)</w:t>
            </w:r>
          </w:p>
        </w:tc>
        <w:tc>
          <w:tcPr>
            <w:tcW w:w="987" w:type="dxa"/>
            <w:tcBorders>
              <w:top w:val="nil"/>
              <w:left w:val="nil"/>
              <w:bottom w:val="nil"/>
              <w:right w:val="nil"/>
            </w:tcBorders>
          </w:tcPr>
          <w:p>
            <w:pPr>
              <w:pStyle w:val="TableParagraph"/>
              <w:spacing w:line="214" w:lineRule="exact"/>
              <w:ind w:right="63"/>
              <w:rPr>
                <w:sz w:val="19"/>
              </w:rPr>
            </w:pPr>
            <w:r>
              <w:rPr>
                <w:sz w:val="19"/>
              </w:rPr>
              <w:t>(0.039)</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Occidente</w:t>
            </w:r>
          </w:p>
        </w:tc>
        <w:tc>
          <w:tcPr>
            <w:tcW w:w="1178" w:type="dxa"/>
            <w:tcBorders>
              <w:top w:val="nil"/>
              <w:left w:val="nil"/>
              <w:bottom w:val="nil"/>
              <w:right w:val="nil"/>
            </w:tcBorders>
          </w:tcPr>
          <w:p>
            <w:pPr>
              <w:pStyle w:val="TableParagraph"/>
              <w:spacing w:line="216" w:lineRule="exact"/>
              <w:ind w:right="78"/>
              <w:rPr>
                <w:sz w:val="19"/>
              </w:rPr>
            </w:pPr>
            <w:r>
              <w:rPr>
                <w:sz w:val="19"/>
              </w:rPr>
              <w:t>0.2584***</w:t>
            </w:r>
          </w:p>
        </w:tc>
        <w:tc>
          <w:tcPr>
            <w:tcW w:w="1000" w:type="dxa"/>
            <w:tcBorders>
              <w:top w:val="nil"/>
              <w:left w:val="nil"/>
              <w:bottom w:val="nil"/>
              <w:right w:val="nil"/>
            </w:tcBorders>
          </w:tcPr>
          <w:p>
            <w:pPr>
              <w:pStyle w:val="TableParagraph"/>
              <w:spacing w:line="216" w:lineRule="exact"/>
              <w:ind w:right="67"/>
              <w:rPr>
                <w:sz w:val="19"/>
              </w:rPr>
            </w:pPr>
            <w:r>
              <w:rPr>
                <w:sz w:val="19"/>
              </w:rPr>
              <w:t>0.2482***</w:t>
            </w:r>
          </w:p>
        </w:tc>
        <w:tc>
          <w:tcPr>
            <w:tcW w:w="991" w:type="dxa"/>
            <w:tcBorders>
              <w:top w:val="nil"/>
              <w:left w:val="nil"/>
              <w:bottom w:val="nil"/>
              <w:right w:val="nil"/>
            </w:tcBorders>
          </w:tcPr>
          <w:p>
            <w:pPr>
              <w:pStyle w:val="TableParagraph"/>
              <w:spacing w:line="216" w:lineRule="exact"/>
              <w:ind w:right="70"/>
              <w:rPr>
                <w:sz w:val="19"/>
              </w:rPr>
            </w:pPr>
            <w:r>
              <w:rPr>
                <w:sz w:val="19"/>
              </w:rPr>
              <w:t>0.2905***</w:t>
            </w:r>
          </w:p>
        </w:tc>
        <w:tc>
          <w:tcPr>
            <w:tcW w:w="987" w:type="dxa"/>
            <w:tcBorders>
              <w:top w:val="nil"/>
              <w:left w:val="nil"/>
              <w:bottom w:val="nil"/>
              <w:right w:val="nil"/>
            </w:tcBorders>
          </w:tcPr>
          <w:p>
            <w:pPr>
              <w:pStyle w:val="TableParagraph"/>
              <w:spacing w:line="216" w:lineRule="exact"/>
              <w:ind w:right="64"/>
              <w:rPr>
                <w:sz w:val="19"/>
              </w:rPr>
            </w:pPr>
            <w:r>
              <w:rPr>
                <w:sz w:val="19"/>
              </w:rPr>
              <w:t>0.2967***</w:t>
            </w:r>
          </w:p>
        </w:tc>
      </w:tr>
      <w:tr>
        <w:trPr>
          <w:trHeight w:val="230"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6" w:lineRule="exact"/>
              <w:ind w:right="77"/>
              <w:rPr>
                <w:sz w:val="19"/>
              </w:rPr>
            </w:pPr>
            <w:r>
              <w:rPr>
                <w:sz w:val="19"/>
              </w:rPr>
              <w:t>(0.013)</w:t>
            </w:r>
          </w:p>
        </w:tc>
        <w:tc>
          <w:tcPr>
            <w:tcW w:w="1000" w:type="dxa"/>
            <w:tcBorders>
              <w:top w:val="nil"/>
              <w:left w:val="nil"/>
              <w:bottom w:val="nil"/>
              <w:right w:val="nil"/>
            </w:tcBorders>
          </w:tcPr>
          <w:p>
            <w:pPr>
              <w:pStyle w:val="TableParagraph"/>
              <w:spacing w:line="216" w:lineRule="exact"/>
              <w:ind w:right="67"/>
              <w:rPr>
                <w:sz w:val="19"/>
              </w:rPr>
            </w:pPr>
            <w:r>
              <w:rPr>
                <w:sz w:val="19"/>
              </w:rPr>
              <w:t>(0.013)</w:t>
            </w:r>
          </w:p>
        </w:tc>
        <w:tc>
          <w:tcPr>
            <w:tcW w:w="991" w:type="dxa"/>
            <w:tcBorders>
              <w:top w:val="nil"/>
              <w:left w:val="nil"/>
              <w:bottom w:val="nil"/>
              <w:right w:val="nil"/>
            </w:tcBorders>
          </w:tcPr>
          <w:p>
            <w:pPr>
              <w:pStyle w:val="TableParagraph"/>
              <w:spacing w:line="216" w:lineRule="exact"/>
              <w:ind w:right="69"/>
              <w:rPr>
                <w:sz w:val="19"/>
              </w:rPr>
            </w:pPr>
            <w:r>
              <w:rPr>
                <w:sz w:val="19"/>
              </w:rPr>
              <w:t>(0.020)</w:t>
            </w:r>
          </w:p>
        </w:tc>
        <w:tc>
          <w:tcPr>
            <w:tcW w:w="987" w:type="dxa"/>
            <w:tcBorders>
              <w:top w:val="nil"/>
              <w:left w:val="nil"/>
              <w:bottom w:val="nil"/>
              <w:right w:val="nil"/>
            </w:tcBorders>
          </w:tcPr>
          <w:p>
            <w:pPr>
              <w:pStyle w:val="TableParagraph"/>
              <w:spacing w:line="216" w:lineRule="exact"/>
              <w:ind w:right="63"/>
              <w:rPr>
                <w:sz w:val="19"/>
              </w:rPr>
            </w:pPr>
            <w:r>
              <w:rPr>
                <w:sz w:val="19"/>
              </w:rPr>
              <w:t>(0.020)</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Oriente</w:t>
            </w:r>
          </w:p>
        </w:tc>
        <w:tc>
          <w:tcPr>
            <w:tcW w:w="1178" w:type="dxa"/>
            <w:tcBorders>
              <w:top w:val="nil"/>
              <w:left w:val="nil"/>
              <w:bottom w:val="nil"/>
              <w:right w:val="nil"/>
            </w:tcBorders>
          </w:tcPr>
          <w:p>
            <w:pPr>
              <w:pStyle w:val="TableParagraph"/>
              <w:spacing w:line="216" w:lineRule="exact"/>
              <w:ind w:right="78"/>
              <w:rPr>
                <w:sz w:val="19"/>
              </w:rPr>
            </w:pPr>
            <w:r>
              <w:rPr>
                <w:sz w:val="19"/>
              </w:rPr>
              <w:t>0.3015***</w:t>
            </w:r>
          </w:p>
        </w:tc>
        <w:tc>
          <w:tcPr>
            <w:tcW w:w="1000" w:type="dxa"/>
            <w:tcBorders>
              <w:top w:val="nil"/>
              <w:left w:val="nil"/>
              <w:bottom w:val="nil"/>
              <w:right w:val="nil"/>
            </w:tcBorders>
          </w:tcPr>
          <w:p>
            <w:pPr>
              <w:pStyle w:val="TableParagraph"/>
              <w:spacing w:line="216" w:lineRule="exact"/>
              <w:ind w:right="67"/>
              <w:rPr>
                <w:sz w:val="19"/>
              </w:rPr>
            </w:pPr>
            <w:r>
              <w:rPr>
                <w:sz w:val="19"/>
              </w:rPr>
              <w:t>0.2936***</w:t>
            </w:r>
          </w:p>
        </w:tc>
        <w:tc>
          <w:tcPr>
            <w:tcW w:w="991" w:type="dxa"/>
            <w:tcBorders>
              <w:top w:val="nil"/>
              <w:left w:val="nil"/>
              <w:bottom w:val="nil"/>
              <w:right w:val="nil"/>
            </w:tcBorders>
          </w:tcPr>
          <w:p>
            <w:pPr>
              <w:pStyle w:val="TableParagraph"/>
              <w:spacing w:line="216" w:lineRule="exact"/>
              <w:ind w:right="70"/>
              <w:rPr>
                <w:sz w:val="19"/>
              </w:rPr>
            </w:pPr>
            <w:r>
              <w:rPr>
                <w:sz w:val="19"/>
              </w:rPr>
              <w:t>0.3126***</w:t>
            </w:r>
          </w:p>
        </w:tc>
        <w:tc>
          <w:tcPr>
            <w:tcW w:w="987" w:type="dxa"/>
            <w:tcBorders>
              <w:top w:val="nil"/>
              <w:left w:val="nil"/>
              <w:bottom w:val="nil"/>
              <w:right w:val="nil"/>
            </w:tcBorders>
          </w:tcPr>
          <w:p>
            <w:pPr>
              <w:pStyle w:val="TableParagraph"/>
              <w:spacing w:line="216" w:lineRule="exact"/>
              <w:ind w:right="64"/>
              <w:rPr>
                <w:sz w:val="19"/>
              </w:rPr>
            </w:pPr>
            <w:r>
              <w:rPr>
                <w:sz w:val="19"/>
              </w:rPr>
              <w:t>0.3071***</w:t>
            </w:r>
          </w:p>
        </w:tc>
      </w:tr>
      <w:tr>
        <w:trPr>
          <w:trHeight w:val="230"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6" w:lineRule="exact"/>
              <w:ind w:right="77"/>
              <w:rPr>
                <w:sz w:val="19"/>
              </w:rPr>
            </w:pPr>
            <w:r>
              <w:rPr>
                <w:sz w:val="19"/>
              </w:rPr>
              <w:t>(0.015)</w:t>
            </w:r>
          </w:p>
        </w:tc>
        <w:tc>
          <w:tcPr>
            <w:tcW w:w="1000" w:type="dxa"/>
            <w:tcBorders>
              <w:top w:val="nil"/>
              <w:left w:val="nil"/>
              <w:bottom w:val="nil"/>
              <w:right w:val="nil"/>
            </w:tcBorders>
          </w:tcPr>
          <w:p>
            <w:pPr>
              <w:pStyle w:val="TableParagraph"/>
              <w:spacing w:line="216" w:lineRule="exact"/>
              <w:ind w:right="67"/>
              <w:rPr>
                <w:sz w:val="19"/>
              </w:rPr>
            </w:pPr>
            <w:r>
              <w:rPr>
                <w:sz w:val="19"/>
              </w:rPr>
              <w:t>(0.015)</w:t>
            </w:r>
          </w:p>
        </w:tc>
        <w:tc>
          <w:tcPr>
            <w:tcW w:w="991" w:type="dxa"/>
            <w:tcBorders>
              <w:top w:val="nil"/>
              <w:left w:val="nil"/>
              <w:bottom w:val="nil"/>
              <w:right w:val="nil"/>
            </w:tcBorders>
          </w:tcPr>
          <w:p>
            <w:pPr>
              <w:pStyle w:val="TableParagraph"/>
              <w:spacing w:line="216" w:lineRule="exact"/>
              <w:ind w:right="69"/>
              <w:rPr>
                <w:sz w:val="19"/>
              </w:rPr>
            </w:pPr>
            <w:r>
              <w:rPr>
                <w:sz w:val="19"/>
              </w:rPr>
              <w:t>(0.021)</w:t>
            </w:r>
          </w:p>
        </w:tc>
        <w:tc>
          <w:tcPr>
            <w:tcW w:w="987" w:type="dxa"/>
            <w:tcBorders>
              <w:top w:val="nil"/>
              <w:left w:val="nil"/>
              <w:bottom w:val="nil"/>
              <w:right w:val="nil"/>
            </w:tcBorders>
          </w:tcPr>
          <w:p>
            <w:pPr>
              <w:pStyle w:val="TableParagraph"/>
              <w:spacing w:line="216" w:lineRule="exact"/>
              <w:ind w:right="63"/>
              <w:rPr>
                <w:sz w:val="19"/>
              </w:rPr>
            </w:pPr>
            <w:r>
              <w:rPr>
                <w:sz w:val="19"/>
              </w:rPr>
              <w:t>(0.021)</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Centronorte</w:t>
            </w:r>
          </w:p>
        </w:tc>
        <w:tc>
          <w:tcPr>
            <w:tcW w:w="1178" w:type="dxa"/>
            <w:tcBorders>
              <w:top w:val="nil"/>
              <w:left w:val="nil"/>
              <w:bottom w:val="nil"/>
              <w:right w:val="nil"/>
            </w:tcBorders>
          </w:tcPr>
          <w:p>
            <w:pPr>
              <w:pStyle w:val="TableParagraph"/>
              <w:spacing w:line="216" w:lineRule="exact"/>
              <w:ind w:right="78"/>
              <w:rPr>
                <w:sz w:val="19"/>
              </w:rPr>
            </w:pPr>
            <w:r>
              <w:rPr>
                <w:sz w:val="19"/>
              </w:rPr>
              <w:t>0.5821***</w:t>
            </w:r>
          </w:p>
        </w:tc>
        <w:tc>
          <w:tcPr>
            <w:tcW w:w="1000" w:type="dxa"/>
            <w:tcBorders>
              <w:top w:val="nil"/>
              <w:left w:val="nil"/>
              <w:bottom w:val="nil"/>
              <w:right w:val="nil"/>
            </w:tcBorders>
          </w:tcPr>
          <w:p>
            <w:pPr>
              <w:pStyle w:val="TableParagraph"/>
              <w:spacing w:line="216" w:lineRule="exact"/>
              <w:ind w:right="67"/>
              <w:rPr>
                <w:sz w:val="19"/>
              </w:rPr>
            </w:pPr>
            <w:r>
              <w:rPr>
                <w:sz w:val="19"/>
              </w:rPr>
              <w:t>0.5501***</w:t>
            </w:r>
          </w:p>
        </w:tc>
        <w:tc>
          <w:tcPr>
            <w:tcW w:w="991" w:type="dxa"/>
            <w:tcBorders>
              <w:top w:val="nil"/>
              <w:left w:val="nil"/>
              <w:bottom w:val="nil"/>
              <w:right w:val="nil"/>
            </w:tcBorders>
          </w:tcPr>
          <w:p>
            <w:pPr>
              <w:pStyle w:val="TableParagraph"/>
              <w:spacing w:line="216" w:lineRule="exact"/>
              <w:ind w:right="70"/>
              <w:rPr>
                <w:sz w:val="19"/>
              </w:rPr>
            </w:pPr>
            <w:r>
              <w:rPr>
                <w:sz w:val="19"/>
              </w:rPr>
              <w:t>0.5101***</w:t>
            </w:r>
          </w:p>
        </w:tc>
        <w:tc>
          <w:tcPr>
            <w:tcW w:w="987" w:type="dxa"/>
            <w:tcBorders>
              <w:top w:val="nil"/>
              <w:left w:val="nil"/>
              <w:bottom w:val="nil"/>
              <w:right w:val="nil"/>
            </w:tcBorders>
          </w:tcPr>
          <w:p>
            <w:pPr>
              <w:pStyle w:val="TableParagraph"/>
              <w:spacing w:line="216" w:lineRule="exact"/>
              <w:ind w:right="64"/>
              <w:rPr>
                <w:sz w:val="19"/>
              </w:rPr>
            </w:pPr>
            <w:r>
              <w:rPr>
                <w:sz w:val="19"/>
              </w:rPr>
              <w:t>0.5201***</w:t>
            </w:r>
          </w:p>
        </w:tc>
      </w:tr>
      <w:tr>
        <w:trPr>
          <w:trHeight w:val="230" w:hRule="exact"/>
        </w:trPr>
        <w:tc>
          <w:tcPr>
            <w:tcW w:w="2007" w:type="dxa"/>
            <w:tcBorders>
              <w:top w:val="nil"/>
              <w:left w:val="nil"/>
              <w:bottom w:val="nil"/>
              <w:right w:val="nil"/>
            </w:tcBorders>
          </w:tcPr>
          <w:p>
            <w:pPr/>
          </w:p>
        </w:tc>
        <w:tc>
          <w:tcPr>
            <w:tcW w:w="1178" w:type="dxa"/>
            <w:tcBorders>
              <w:top w:val="nil"/>
              <w:left w:val="nil"/>
              <w:bottom w:val="nil"/>
              <w:right w:val="nil"/>
            </w:tcBorders>
          </w:tcPr>
          <w:p>
            <w:pPr>
              <w:pStyle w:val="TableParagraph"/>
              <w:spacing w:line="216" w:lineRule="exact"/>
              <w:ind w:right="77"/>
              <w:rPr>
                <w:sz w:val="19"/>
              </w:rPr>
            </w:pPr>
            <w:r>
              <w:rPr>
                <w:sz w:val="19"/>
              </w:rPr>
              <w:t>(0.027)</w:t>
            </w:r>
          </w:p>
        </w:tc>
        <w:tc>
          <w:tcPr>
            <w:tcW w:w="1000" w:type="dxa"/>
            <w:tcBorders>
              <w:top w:val="nil"/>
              <w:left w:val="nil"/>
              <w:bottom w:val="nil"/>
              <w:right w:val="nil"/>
            </w:tcBorders>
          </w:tcPr>
          <w:p>
            <w:pPr>
              <w:pStyle w:val="TableParagraph"/>
              <w:spacing w:line="216" w:lineRule="exact"/>
              <w:ind w:right="67"/>
              <w:rPr>
                <w:sz w:val="19"/>
              </w:rPr>
            </w:pPr>
            <w:r>
              <w:rPr>
                <w:sz w:val="19"/>
              </w:rPr>
              <w:t>(0.026)</w:t>
            </w:r>
          </w:p>
        </w:tc>
        <w:tc>
          <w:tcPr>
            <w:tcW w:w="991" w:type="dxa"/>
            <w:tcBorders>
              <w:top w:val="nil"/>
              <w:left w:val="nil"/>
              <w:bottom w:val="nil"/>
              <w:right w:val="nil"/>
            </w:tcBorders>
          </w:tcPr>
          <w:p>
            <w:pPr>
              <w:pStyle w:val="TableParagraph"/>
              <w:spacing w:line="216" w:lineRule="exact"/>
              <w:ind w:right="69"/>
              <w:rPr>
                <w:sz w:val="19"/>
              </w:rPr>
            </w:pPr>
            <w:r>
              <w:rPr>
                <w:sz w:val="19"/>
              </w:rPr>
              <w:t>(0.032)</w:t>
            </w:r>
          </w:p>
        </w:tc>
        <w:tc>
          <w:tcPr>
            <w:tcW w:w="987" w:type="dxa"/>
            <w:tcBorders>
              <w:top w:val="nil"/>
              <w:left w:val="nil"/>
              <w:bottom w:val="nil"/>
              <w:right w:val="nil"/>
            </w:tcBorders>
          </w:tcPr>
          <w:p>
            <w:pPr>
              <w:pStyle w:val="TableParagraph"/>
              <w:spacing w:line="216" w:lineRule="exact"/>
              <w:ind w:right="63"/>
              <w:rPr>
                <w:sz w:val="19"/>
              </w:rPr>
            </w:pPr>
            <w:r>
              <w:rPr>
                <w:sz w:val="19"/>
              </w:rPr>
              <w:t>(0.033)</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Centrosur</w:t>
            </w:r>
          </w:p>
        </w:tc>
        <w:tc>
          <w:tcPr>
            <w:tcW w:w="1178" w:type="dxa"/>
            <w:tcBorders>
              <w:top w:val="nil"/>
              <w:left w:val="nil"/>
              <w:bottom w:val="nil"/>
              <w:right w:val="nil"/>
            </w:tcBorders>
          </w:tcPr>
          <w:p>
            <w:pPr>
              <w:pStyle w:val="TableParagraph"/>
              <w:spacing w:line="216" w:lineRule="exact"/>
              <w:ind w:right="78"/>
              <w:rPr>
                <w:sz w:val="19"/>
              </w:rPr>
            </w:pPr>
            <w:r>
              <w:rPr>
                <w:sz w:val="19"/>
              </w:rPr>
              <w:t>0.4159***</w:t>
            </w:r>
          </w:p>
        </w:tc>
        <w:tc>
          <w:tcPr>
            <w:tcW w:w="1000" w:type="dxa"/>
            <w:tcBorders>
              <w:top w:val="nil"/>
              <w:left w:val="nil"/>
              <w:bottom w:val="nil"/>
              <w:right w:val="nil"/>
            </w:tcBorders>
          </w:tcPr>
          <w:p>
            <w:pPr>
              <w:pStyle w:val="TableParagraph"/>
              <w:spacing w:line="216" w:lineRule="exact"/>
              <w:ind w:right="67"/>
              <w:rPr>
                <w:sz w:val="19"/>
              </w:rPr>
            </w:pPr>
            <w:r>
              <w:rPr>
                <w:sz w:val="19"/>
              </w:rPr>
              <w:t>0.3985***</w:t>
            </w:r>
          </w:p>
        </w:tc>
        <w:tc>
          <w:tcPr>
            <w:tcW w:w="991" w:type="dxa"/>
            <w:tcBorders>
              <w:top w:val="nil"/>
              <w:left w:val="nil"/>
              <w:bottom w:val="nil"/>
              <w:right w:val="nil"/>
            </w:tcBorders>
          </w:tcPr>
          <w:p>
            <w:pPr>
              <w:pStyle w:val="TableParagraph"/>
              <w:spacing w:line="216" w:lineRule="exact"/>
              <w:ind w:right="70"/>
              <w:rPr>
                <w:sz w:val="19"/>
              </w:rPr>
            </w:pPr>
            <w:r>
              <w:rPr>
                <w:sz w:val="19"/>
              </w:rPr>
              <w:t>0.3838***</w:t>
            </w:r>
          </w:p>
        </w:tc>
        <w:tc>
          <w:tcPr>
            <w:tcW w:w="987" w:type="dxa"/>
            <w:tcBorders>
              <w:top w:val="nil"/>
              <w:left w:val="nil"/>
              <w:bottom w:val="nil"/>
              <w:right w:val="nil"/>
            </w:tcBorders>
          </w:tcPr>
          <w:p>
            <w:pPr>
              <w:pStyle w:val="TableParagraph"/>
              <w:spacing w:line="216" w:lineRule="exact"/>
              <w:ind w:right="64"/>
              <w:rPr>
                <w:sz w:val="19"/>
              </w:rPr>
            </w:pPr>
            <w:r>
              <w:rPr>
                <w:sz w:val="19"/>
              </w:rPr>
              <w:t>0.3921***</w:t>
            </w:r>
          </w:p>
        </w:tc>
      </w:tr>
      <w:tr>
        <w:trPr>
          <w:trHeight w:val="228" w:hRule="exact"/>
        </w:trPr>
        <w:tc>
          <w:tcPr>
            <w:tcW w:w="2007" w:type="dxa"/>
            <w:tcBorders>
              <w:top w:val="nil"/>
              <w:left w:val="nil"/>
              <w:right w:val="nil"/>
            </w:tcBorders>
          </w:tcPr>
          <w:p>
            <w:pPr/>
          </w:p>
        </w:tc>
        <w:tc>
          <w:tcPr>
            <w:tcW w:w="1178" w:type="dxa"/>
            <w:tcBorders>
              <w:top w:val="nil"/>
              <w:left w:val="nil"/>
              <w:right w:val="nil"/>
            </w:tcBorders>
          </w:tcPr>
          <w:p>
            <w:pPr>
              <w:pStyle w:val="TableParagraph"/>
              <w:spacing w:line="216" w:lineRule="exact"/>
              <w:ind w:right="77"/>
              <w:rPr>
                <w:sz w:val="19"/>
              </w:rPr>
            </w:pPr>
            <w:r>
              <w:rPr>
                <w:sz w:val="19"/>
              </w:rPr>
              <w:t>(0.022)</w:t>
            </w:r>
          </w:p>
        </w:tc>
        <w:tc>
          <w:tcPr>
            <w:tcW w:w="1000" w:type="dxa"/>
            <w:tcBorders>
              <w:top w:val="nil"/>
              <w:left w:val="nil"/>
              <w:right w:val="nil"/>
            </w:tcBorders>
          </w:tcPr>
          <w:p>
            <w:pPr>
              <w:pStyle w:val="TableParagraph"/>
              <w:spacing w:line="216" w:lineRule="exact"/>
              <w:ind w:right="67"/>
              <w:rPr>
                <w:sz w:val="19"/>
              </w:rPr>
            </w:pPr>
            <w:r>
              <w:rPr>
                <w:sz w:val="19"/>
              </w:rPr>
              <w:t>(0.022)</w:t>
            </w:r>
          </w:p>
        </w:tc>
        <w:tc>
          <w:tcPr>
            <w:tcW w:w="991" w:type="dxa"/>
            <w:tcBorders>
              <w:top w:val="nil"/>
              <w:left w:val="nil"/>
              <w:right w:val="nil"/>
            </w:tcBorders>
          </w:tcPr>
          <w:p>
            <w:pPr>
              <w:pStyle w:val="TableParagraph"/>
              <w:spacing w:line="216" w:lineRule="exact"/>
              <w:ind w:right="69"/>
              <w:rPr>
                <w:sz w:val="19"/>
              </w:rPr>
            </w:pPr>
            <w:r>
              <w:rPr>
                <w:sz w:val="19"/>
              </w:rPr>
              <w:t>(0.029)</w:t>
            </w:r>
          </w:p>
        </w:tc>
        <w:tc>
          <w:tcPr>
            <w:tcW w:w="987" w:type="dxa"/>
            <w:tcBorders>
              <w:top w:val="nil"/>
              <w:left w:val="nil"/>
              <w:right w:val="nil"/>
            </w:tcBorders>
          </w:tcPr>
          <w:p>
            <w:pPr>
              <w:pStyle w:val="TableParagraph"/>
              <w:spacing w:line="216" w:lineRule="exact"/>
              <w:ind w:right="63"/>
              <w:rPr>
                <w:sz w:val="19"/>
              </w:rPr>
            </w:pPr>
            <w:r>
              <w:rPr>
                <w:sz w:val="19"/>
              </w:rPr>
              <w:t>(0.029)</w:t>
            </w:r>
          </w:p>
        </w:tc>
      </w:tr>
    </w:tbl>
    <w:p>
      <w:pPr>
        <w:spacing w:line="178" w:lineRule="exact" w:before="0"/>
        <w:ind w:left="178" w:right="191" w:firstLine="0"/>
        <w:jc w:val="left"/>
        <w:rPr>
          <w:sz w:val="16"/>
        </w:rPr>
      </w:pPr>
      <w:r>
        <w:rPr>
          <w:sz w:val="16"/>
        </w:rPr>
        <w:t>Fuente: estimaciones propias con información de la ENOE, 2012, segundo trimestre.</w:t>
      </w:r>
    </w:p>
    <w:p>
      <w:pPr>
        <w:spacing w:line="183" w:lineRule="exact" w:before="0"/>
        <w:ind w:left="178" w:right="191" w:firstLine="0"/>
        <w:jc w:val="left"/>
        <w:rPr>
          <w:sz w:val="16"/>
        </w:rPr>
      </w:pPr>
      <w:r>
        <w:rPr>
          <w:sz w:val="16"/>
        </w:rPr>
        <w:t>* p&lt;0.10 ** p&lt;0.05 *** p&lt;0.001.</w:t>
      </w:r>
    </w:p>
    <w:p>
      <w:pPr>
        <w:spacing w:after="0" w:line="183" w:lineRule="exact"/>
        <w:jc w:val="left"/>
        <w:rPr>
          <w:sz w:val="16"/>
        </w:rPr>
        <w:sectPr>
          <w:pgSz w:w="7770" w:h="11740"/>
          <w:pgMar w:header="0" w:footer="474" w:top="1000" w:bottom="660" w:left="980" w:right="400"/>
        </w:sectPr>
      </w:pPr>
    </w:p>
    <w:p>
      <w:pPr>
        <w:pStyle w:val="BodyText"/>
        <w:spacing w:before="3"/>
        <w:rPr>
          <w:sz w:val="15"/>
        </w:rPr>
      </w:pPr>
      <w:r>
        <w:rPr/>
        <w:pict>
          <v:shape style="position:absolute;margin-left:26.963537pt;margin-top:178.527603pt;width:12pt;height:17pt;mso-position-horizontal-relative:page;mso-position-vertical-relative:page;z-index:4648" type="#_x0000_t202" filled="false" stroked="false">
            <v:textbox inset="0,0,0,0" style="layout-flow:vertical">
              <w:txbxContent>
                <w:p>
                  <w:pPr>
                    <w:pStyle w:val="BodyText"/>
                    <w:spacing w:line="224" w:lineRule="exact"/>
                    <w:ind w:left="20" w:right="-100"/>
                  </w:pPr>
                  <w:r>
                    <w:rPr>
                      <w:color w:val="231F20"/>
                    </w:rPr>
                    <w:t>122</w:t>
                  </w:r>
                </w:p>
              </w:txbxContent>
            </v:textbox>
            <w10:wrap type="none"/>
          </v:shape>
        </w:pict>
      </w:r>
    </w:p>
    <w:p>
      <w:pPr>
        <w:spacing w:line="252" w:lineRule="auto" w:before="81"/>
        <w:ind w:left="184" w:right="169" w:firstLine="0"/>
        <w:jc w:val="left"/>
        <w:rPr>
          <w:sz w:val="19"/>
        </w:rPr>
      </w:pPr>
      <w:r>
        <w:rPr/>
        <w:pict>
          <v:shape style="position:absolute;margin-left:221.525299pt;margin-top:43.51075pt;width:3.9pt;height:1.1pt;mso-position-horizontal-relative:page;mso-position-vertical-relative:paragraph;z-index:-333376" coordorigin="4431,870" coordsize="78,22" path="m4508,887l4473,870,4464,870,4431,887,4432,891,4469,879,4469,879,4506,891,4508,887xe" filled="true" fillcolor="#000000" stroked="false">
            <v:path arrowok="t"/>
            <v:fill type="solid"/>
            <w10:wrap type="none"/>
          </v:shape>
        </w:pict>
      </w:r>
      <w:r>
        <w:rPr/>
        <w:pict>
          <v:shape style="position:absolute;margin-left:283.205292pt;margin-top:43.51075pt;width:3.9pt;height:1.1pt;mso-position-horizontal-relative:page;mso-position-vertical-relative:paragraph;z-index:-333352" coordorigin="5664,870" coordsize="78,22" path="m5741,887l5707,870,5698,870,5664,887,5666,891,5702,879,5703,879,5739,891,5741,887xe" filled="true" fillcolor="#000000" stroked="false">
            <v:path arrowok="t"/>
            <v:fill type="solid"/>
            <w10:wrap type="none"/>
          </v:shape>
        </w:pict>
      </w:r>
      <w:r>
        <w:rPr/>
        <w:pict>
          <v:shape style="position:absolute;margin-left:347.045288pt;margin-top:43.51075pt;width:3.9pt;height:1.1pt;mso-position-horizontal-relative:page;mso-position-vertical-relative:paragraph;z-index:-333328" coordorigin="6941,870" coordsize="78,22" path="m7018,887l6984,870,6975,870,6941,887,6943,891,6979,879,6980,879,7016,891,7018,887xe" filled="true" fillcolor="#000000" stroked="false">
            <v:path arrowok="t"/>
            <v:fill type="solid"/>
            <w10:wrap type="none"/>
          </v:shape>
        </w:pict>
      </w:r>
      <w:r>
        <w:rPr/>
        <w:pict>
          <v:shape style="position:absolute;margin-left:410.645294pt;margin-top:43.51075pt;width:3.9pt;height:1.1pt;mso-position-horizontal-relative:page;mso-position-vertical-relative:paragraph;z-index:-333304" coordorigin="8213,870" coordsize="78,22" path="m8290,887l8256,870,8247,870,8213,887,8215,891,8251,879,8252,879,8288,891,8290,887xe" filled="true" fillcolor="#000000" stroked="false">
            <v:path arrowok="t"/>
            <v:fill type="solid"/>
            <w10:wrap type="none"/>
          </v:shape>
        </w:pict>
      </w:r>
      <w:r>
        <w:rPr/>
        <w:pict>
          <v:shape style="position:absolute;margin-left:474.485291pt;margin-top:43.51075pt;width:3.9pt;height:1.1pt;mso-position-horizontal-relative:page;mso-position-vertical-relative:paragraph;z-index:-333280" coordorigin="9490,870" coordsize="78,22" path="m9567,887l9532,870,9523,870,9490,887,9492,891,9528,879,9529,879,9565,891,9567,887xe" filled="true" fillcolor="#000000" stroked="false">
            <v:path arrowok="t"/>
            <v:fill type="solid"/>
            <w10:wrap type="none"/>
          </v:shape>
        </w:pict>
      </w:r>
      <w:r>
        <w:rPr>
          <w:w w:val="105"/>
          <w:sz w:val="19"/>
        </w:rPr>
        <w:t>Cuadro A. 3c. Resultados de los modelos logit para estimar la probabilidad de tener acceso a seguridad social (IMSS o ISSSTE). México, 2012. Coeficientes exponenciados</w:t>
      </w:r>
    </w:p>
    <w:p>
      <w:pPr>
        <w:pStyle w:val="BodyText"/>
        <w:spacing w:before="6"/>
        <w:rPr>
          <w:sz w:val="5"/>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2"/>
        <w:gridCol w:w="1245"/>
        <w:gridCol w:w="1277"/>
        <w:gridCol w:w="1274"/>
        <w:gridCol w:w="1272"/>
        <w:gridCol w:w="1213"/>
      </w:tblGrid>
      <w:tr>
        <w:trPr>
          <w:trHeight w:val="514" w:hRule="exact"/>
        </w:trPr>
        <w:tc>
          <w:tcPr>
            <w:tcW w:w="2502" w:type="dxa"/>
            <w:tcBorders>
              <w:left w:val="nil"/>
              <w:right w:val="nil"/>
            </w:tcBorders>
          </w:tcPr>
          <w:p>
            <w:pPr/>
          </w:p>
        </w:tc>
        <w:tc>
          <w:tcPr>
            <w:tcW w:w="1245" w:type="dxa"/>
            <w:tcBorders>
              <w:left w:val="nil"/>
              <w:right w:val="nil"/>
            </w:tcBorders>
          </w:tcPr>
          <w:p>
            <w:pPr>
              <w:pStyle w:val="TableParagraph"/>
              <w:spacing w:before="5"/>
              <w:ind w:left="230" w:right="293"/>
              <w:jc w:val="center"/>
              <w:rPr>
                <w:sz w:val="19"/>
              </w:rPr>
            </w:pPr>
            <w:r>
              <w:rPr>
                <w:w w:val="105"/>
                <w:sz w:val="19"/>
              </w:rPr>
              <w:t>(1)</w:t>
            </w:r>
          </w:p>
          <w:p>
            <w:pPr>
              <w:pStyle w:val="TableParagraph"/>
              <w:spacing w:before="34"/>
              <w:ind w:left="230" w:right="293"/>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1277" w:type="dxa"/>
            <w:tcBorders>
              <w:left w:val="nil"/>
              <w:right w:val="nil"/>
            </w:tcBorders>
          </w:tcPr>
          <w:p>
            <w:pPr>
              <w:pStyle w:val="TableParagraph"/>
              <w:spacing w:before="5"/>
              <w:ind w:left="219" w:right="336"/>
              <w:jc w:val="center"/>
              <w:rPr>
                <w:sz w:val="19"/>
              </w:rPr>
            </w:pPr>
            <w:r>
              <w:rPr>
                <w:w w:val="105"/>
                <w:sz w:val="19"/>
              </w:rPr>
              <w:t>(2)</w:t>
            </w:r>
          </w:p>
          <w:p>
            <w:pPr>
              <w:pStyle w:val="TableParagraph"/>
              <w:spacing w:before="34"/>
              <w:ind w:left="219" w:right="336"/>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1274" w:type="dxa"/>
            <w:tcBorders>
              <w:left w:val="nil"/>
              <w:right w:val="nil"/>
            </w:tcBorders>
          </w:tcPr>
          <w:p>
            <w:pPr>
              <w:pStyle w:val="TableParagraph"/>
              <w:spacing w:before="5"/>
              <w:ind w:left="218" w:right="334"/>
              <w:jc w:val="center"/>
              <w:rPr>
                <w:sz w:val="19"/>
              </w:rPr>
            </w:pPr>
            <w:r>
              <w:rPr>
                <w:w w:val="105"/>
                <w:sz w:val="19"/>
              </w:rPr>
              <w:t>(3)</w:t>
            </w:r>
          </w:p>
          <w:p>
            <w:pPr>
              <w:pStyle w:val="TableParagraph"/>
              <w:spacing w:before="34"/>
              <w:ind w:left="218" w:right="334"/>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1272" w:type="dxa"/>
            <w:tcBorders>
              <w:left w:val="nil"/>
              <w:right w:val="nil"/>
            </w:tcBorders>
          </w:tcPr>
          <w:p>
            <w:pPr>
              <w:pStyle w:val="TableParagraph"/>
              <w:spacing w:before="5"/>
              <w:ind w:left="217" w:right="334"/>
              <w:jc w:val="center"/>
              <w:rPr>
                <w:sz w:val="19"/>
              </w:rPr>
            </w:pPr>
            <w:r>
              <w:rPr>
                <w:w w:val="105"/>
                <w:sz w:val="19"/>
              </w:rPr>
              <w:t>(4)</w:t>
            </w:r>
          </w:p>
          <w:p>
            <w:pPr>
              <w:pStyle w:val="TableParagraph"/>
              <w:spacing w:before="34"/>
              <w:ind w:left="217" w:right="334"/>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1213" w:type="dxa"/>
            <w:tcBorders>
              <w:left w:val="nil"/>
              <w:right w:val="nil"/>
            </w:tcBorders>
          </w:tcPr>
          <w:p>
            <w:pPr>
              <w:pStyle w:val="TableParagraph"/>
              <w:spacing w:before="5"/>
              <w:ind w:left="218" w:right="272"/>
              <w:jc w:val="center"/>
              <w:rPr>
                <w:sz w:val="19"/>
              </w:rPr>
            </w:pPr>
            <w:r>
              <w:rPr>
                <w:w w:val="105"/>
                <w:sz w:val="19"/>
              </w:rPr>
              <w:t>(5)</w:t>
            </w:r>
          </w:p>
          <w:p>
            <w:pPr>
              <w:pStyle w:val="TableParagraph"/>
              <w:spacing w:before="34"/>
              <w:ind w:left="218" w:right="274"/>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r>
      <w:tr>
        <w:trPr>
          <w:trHeight w:val="242" w:hRule="exact"/>
        </w:trPr>
        <w:tc>
          <w:tcPr>
            <w:tcW w:w="2502" w:type="dxa"/>
            <w:tcBorders>
              <w:left w:val="nil"/>
              <w:bottom w:val="nil"/>
              <w:right w:val="nil"/>
            </w:tcBorders>
          </w:tcPr>
          <w:p>
            <w:pPr>
              <w:pStyle w:val="TableParagraph"/>
              <w:spacing w:before="5"/>
              <w:ind w:left="72"/>
              <w:jc w:val="left"/>
              <w:rPr>
                <w:sz w:val="19"/>
              </w:rPr>
            </w:pPr>
            <w:r>
              <w:rPr>
                <w:w w:val="105"/>
                <w:sz w:val="19"/>
              </w:rPr>
              <w:t>Sureste</w:t>
            </w:r>
          </w:p>
        </w:tc>
        <w:tc>
          <w:tcPr>
            <w:tcW w:w="1245" w:type="dxa"/>
            <w:tcBorders>
              <w:left w:val="nil"/>
              <w:bottom w:val="nil"/>
              <w:right w:val="nil"/>
            </w:tcBorders>
          </w:tcPr>
          <w:p>
            <w:pPr/>
          </w:p>
        </w:tc>
        <w:tc>
          <w:tcPr>
            <w:tcW w:w="1277" w:type="dxa"/>
            <w:tcBorders>
              <w:left w:val="nil"/>
              <w:bottom w:val="nil"/>
              <w:right w:val="nil"/>
            </w:tcBorders>
          </w:tcPr>
          <w:p>
            <w:pPr/>
          </w:p>
        </w:tc>
        <w:tc>
          <w:tcPr>
            <w:tcW w:w="1274" w:type="dxa"/>
            <w:tcBorders>
              <w:left w:val="nil"/>
              <w:bottom w:val="nil"/>
              <w:right w:val="nil"/>
            </w:tcBorders>
          </w:tcPr>
          <w:p>
            <w:pPr/>
          </w:p>
        </w:tc>
        <w:tc>
          <w:tcPr>
            <w:tcW w:w="1272" w:type="dxa"/>
            <w:tcBorders>
              <w:left w:val="nil"/>
              <w:bottom w:val="nil"/>
              <w:right w:val="nil"/>
            </w:tcBorders>
          </w:tcPr>
          <w:p>
            <w:pPr/>
          </w:p>
        </w:tc>
        <w:tc>
          <w:tcPr>
            <w:tcW w:w="1213" w:type="dxa"/>
            <w:tcBorders>
              <w:left w:val="nil"/>
              <w:bottom w:val="nil"/>
              <w:right w:val="nil"/>
            </w:tcBorders>
          </w:tcPr>
          <w:p>
            <w:pPr>
              <w:pStyle w:val="TableParagraph"/>
              <w:spacing w:before="5"/>
              <w:ind w:right="67"/>
              <w:rPr>
                <w:sz w:val="19"/>
              </w:rPr>
            </w:pPr>
            <w:r>
              <w:rPr>
                <w:sz w:val="19"/>
              </w:rPr>
              <w:t>0.2937***</w:t>
            </w:r>
          </w:p>
        </w:tc>
      </w:tr>
      <w:tr>
        <w:trPr>
          <w:trHeight w:val="230" w:hRule="exact"/>
        </w:trPr>
        <w:tc>
          <w:tcPr>
            <w:tcW w:w="2502" w:type="dxa"/>
            <w:tcBorders>
              <w:top w:val="nil"/>
              <w:left w:val="nil"/>
              <w:bottom w:val="nil"/>
              <w:right w:val="nil"/>
            </w:tcBorders>
          </w:tcPr>
          <w:p>
            <w:pPr/>
          </w:p>
        </w:tc>
        <w:tc>
          <w:tcPr>
            <w:tcW w:w="1245" w:type="dxa"/>
            <w:tcBorders>
              <w:top w:val="nil"/>
              <w:left w:val="nil"/>
              <w:bottom w:val="nil"/>
              <w:right w:val="nil"/>
            </w:tcBorders>
          </w:tcPr>
          <w:p>
            <w:pPr/>
          </w:p>
        </w:tc>
        <w:tc>
          <w:tcPr>
            <w:tcW w:w="1277" w:type="dxa"/>
            <w:tcBorders>
              <w:top w:val="nil"/>
              <w:left w:val="nil"/>
              <w:bottom w:val="nil"/>
              <w:right w:val="nil"/>
            </w:tcBorders>
          </w:tcPr>
          <w:p>
            <w:pPr/>
          </w:p>
        </w:tc>
        <w:tc>
          <w:tcPr>
            <w:tcW w:w="1274" w:type="dxa"/>
            <w:tcBorders>
              <w:top w:val="nil"/>
              <w:left w:val="nil"/>
              <w:bottom w:val="nil"/>
              <w:right w:val="nil"/>
            </w:tcBorders>
          </w:tcPr>
          <w:p>
            <w:pPr/>
          </w:p>
        </w:tc>
        <w:tc>
          <w:tcPr>
            <w:tcW w:w="1272" w:type="dxa"/>
            <w:tcBorders>
              <w:top w:val="nil"/>
              <w:left w:val="nil"/>
              <w:bottom w:val="nil"/>
              <w:right w:val="nil"/>
            </w:tcBorders>
          </w:tcPr>
          <w:p>
            <w:pPr/>
          </w:p>
        </w:tc>
        <w:tc>
          <w:tcPr>
            <w:tcW w:w="1213" w:type="dxa"/>
            <w:tcBorders>
              <w:top w:val="nil"/>
              <w:left w:val="nil"/>
              <w:bottom w:val="nil"/>
              <w:right w:val="nil"/>
            </w:tcBorders>
          </w:tcPr>
          <w:p>
            <w:pPr>
              <w:pStyle w:val="TableParagraph"/>
              <w:spacing w:line="216" w:lineRule="exact"/>
              <w:ind w:right="66"/>
              <w:rPr>
                <w:sz w:val="19"/>
              </w:rPr>
            </w:pPr>
            <w:r>
              <w:rPr>
                <w:sz w:val="19"/>
              </w:rPr>
              <w:t>(0.017)</w:t>
            </w:r>
          </w:p>
        </w:tc>
      </w:tr>
      <w:tr>
        <w:trPr>
          <w:trHeight w:val="230" w:hRule="exact"/>
        </w:trPr>
        <w:tc>
          <w:tcPr>
            <w:tcW w:w="2502" w:type="dxa"/>
            <w:tcBorders>
              <w:top w:val="nil"/>
              <w:left w:val="nil"/>
              <w:bottom w:val="nil"/>
              <w:right w:val="nil"/>
            </w:tcBorders>
          </w:tcPr>
          <w:p>
            <w:pPr>
              <w:pStyle w:val="TableParagraph"/>
              <w:spacing w:line="216" w:lineRule="exact"/>
              <w:ind w:left="72"/>
              <w:jc w:val="left"/>
              <w:rPr>
                <w:sz w:val="19"/>
              </w:rPr>
            </w:pPr>
            <w:r>
              <w:rPr>
                <w:w w:val="105"/>
                <w:sz w:val="19"/>
              </w:rPr>
              <w:t>Suroeste</w:t>
            </w:r>
          </w:p>
        </w:tc>
        <w:tc>
          <w:tcPr>
            <w:tcW w:w="1245" w:type="dxa"/>
            <w:tcBorders>
              <w:top w:val="nil"/>
              <w:left w:val="nil"/>
              <w:bottom w:val="nil"/>
              <w:right w:val="nil"/>
            </w:tcBorders>
          </w:tcPr>
          <w:p>
            <w:pPr/>
          </w:p>
        </w:tc>
        <w:tc>
          <w:tcPr>
            <w:tcW w:w="1277" w:type="dxa"/>
            <w:tcBorders>
              <w:top w:val="nil"/>
              <w:left w:val="nil"/>
              <w:bottom w:val="nil"/>
              <w:right w:val="nil"/>
            </w:tcBorders>
          </w:tcPr>
          <w:p>
            <w:pPr/>
          </w:p>
        </w:tc>
        <w:tc>
          <w:tcPr>
            <w:tcW w:w="1274" w:type="dxa"/>
            <w:tcBorders>
              <w:top w:val="nil"/>
              <w:left w:val="nil"/>
              <w:bottom w:val="nil"/>
              <w:right w:val="nil"/>
            </w:tcBorders>
          </w:tcPr>
          <w:p>
            <w:pPr/>
          </w:p>
        </w:tc>
        <w:tc>
          <w:tcPr>
            <w:tcW w:w="1272" w:type="dxa"/>
            <w:tcBorders>
              <w:top w:val="nil"/>
              <w:left w:val="nil"/>
              <w:bottom w:val="nil"/>
              <w:right w:val="nil"/>
            </w:tcBorders>
          </w:tcPr>
          <w:p>
            <w:pPr/>
          </w:p>
        </w:tc>
        <w:tc>
          <w:tcPr>
            <w:tcW w:w="1213" w:type="dxa"/>
            <w:tcBorders>
              <w:top w:val="nil"/>
              <w:left w:val="nil"/>
              <w:bottom w:val="nil"/>
              <w:right w:val="nil"/>
            </w:tcBorders>
          </w:tcPr>
          <w:p>
            <w:pPr>
              <w:pStyle w:val="TableParagraph"/>
              <w:spacing w:line="216" w:lineRule="exact"/>
              <w:ind w:right="67"/>
              <w:rPr>
                <w:sz w:val="19"/>
              </w:rPr>
            </w:pPr>
            <w:r>
              <w:rPr>
                <w:sz w:val="19"/>
              </w:rPr>
              <w:t>0.1502***</w:t>
            </w:r>
          </w:p>
        </w:tc>
      </w:tr>
      <w:tr>
        <w:trPr>
          <w:trHeight w:val="228" w:hRule="exact"/>
        </w:trPr>
        <w:tc>
          <w:tcPr>
            <w:tcW w:w="2502" w:type="dxa"/>
            <w:tcBorders>
              <w:top w:val="nil"/>
              <w:left w:val="nil"/>
              <w:bottom w:val="nil"/>
              <w:right w:val="nil"/>
            </w:tcBorders>
          </w:tcPr>
          <w:p>
            <w:pPr/>
          </w:p>
        </w:tc>
        <w:tc>
          <w:tcPr>
            <w:tcW w:w="1245" w:type="dxa"/>
            <w:tcBorders>
              <w:top w:val="nil"/>
              <w:left w:val="nil"/>
              <w:bottom w:val="nil"/>
              <w:right w:val="nil"/>
            </w:tcBorders>
          </w:tcPr>
          <w:p>
            <w:pPr/>
          </w:p>
        </w:tc>
        <w:tc>
          <w:tcPr>
            <w:tcW w:w="1277" w:type="dxa"/>
            <w:tcBorders>
              <w:top w:val="nil"/>
              <w:left w:val="nil"/>
              <w:bottom w:val="nil"/>
              <w:right w:val="nil"/>
            </w:tcBorders>
          </w:tcPr>
          <w:p>
            <w:pPr/>
          </w:p>
        </w:tc>
        <w:tc>
          <w:tcPr>
            <w:tcW w:w="1274" w:type="dxa"/>
            <w:tcBorders>
              <w:top w:val="nil"/>
              <w:left w:val="nil"/>
              <w:bottom w:val="nil"/>
              <w:right w:val="nil"/>
            </w:tcBorders>
          </w:tcPr>
          <w:p>
            <w:pPr/>
          </w:p>
        </w:tc>
        <w:tc>
          <w:tcPr>
            <w:tcW w:w="1272" w:type="dxa"/>
            <w:tcBorders>
              <w:top w:val="nil"/>
              <w:left w:val="nil"/>
              <w:bottom w:val="nil"/>
              <w:right w:val="nil"/>
            </w:tcBorders>
          </w:tcPr>
          <w:p>
            <w:pPr/>
          </w:p>
        </w:tc>
        <w:tc>
          <w:tcPr>
            <w:tcW w:w="1213" w:type="dxa"/>
            <w:tcBorders>
              <w:top w:val="nil"/>
              <w:left w:val="nil"/>
              <w:bottom w:val="nil"/>
              <w:right w:val="nil"/>
            </w:tcBorders>
          </w:tcPr>
          <w:p>
            <w:pPr>
              <w:pStyle w:val="TableParagraph"/>
              <w:spacing w:line="216" w:lineRule="exact"/>
              <w:ind w:right="66"/>
              <w:rPr>
                <w:sz w:val="19"/>
              </w:rPr>
            </w:pPr>
            <w:r>
              <w:rPr>
                <w:sz w:val="19"/>
              </w:rPr>
              <w:t>(0.009)</w:t>
            </w:r>
          </w:p>
        </w:tc>
      </w:tr>
      <w:tr>
        <w:trPr>
          <w:trHeight w:val="228" w:hRule="exact"/>
        </w:trPr>
        <w:tc>
          <w:tcPr>
            <w:tcW w:w="2502" w:type="dxa"/>
            <w:tcBorders>
              <w:top w:val="nil"/>
              <w:left w:val="nil"/>
              <w:bottom w:val="nil"/>
              <w:right w:val="nil"/>
            </w:tcBorders>
          </w:tcPr>
          <w:p>
            <w:pPr>
              <w:pStyle w:val="TableParagraph"/>
              <w:spacing w:line="214" w:lineRule="exact"/>
              <w:ind w:left="72"/>
              <w:jc w:val="left"/>
              <w:rPr>
                <w:sz w:val="19"/>
              </w:rPr>
            </w:pPr>
            <w:r>
              <w:rPr>
                <w:w w:val="105"/>
                <w:sz w:val="19"/>
              </w:rPr>
              <w:t>Residencia no urbana</w:t>
            </w:r>
          </w:p>
        </w:tc>
        <w:tc>
          <w:tcPr>
            <w:tcW w:w="1245" w:type="dxa"/>
            <w:tcBorders>
              <w:top w:val="nil"/>
              <w:left w:val="nil"/>
              <w:bottom w:val="nil"/>
              <w:right w:val="nil"/>
            </w:tcBorders>
          </w:tcPr>
          <w:p>
            <w:pPr/>
          </w:p>
        </w:tc>
        <w:tc>
          <w:tcPr>
            <w:tcW w:w="1277" w:type="dxa"/>
            <w:tcBorders>
              <w:top w:val="nil"/>
              <w:left w:val="nil"/>
              <w:bottom w:val="nil"/>
              <w:right w:val="nil"/>
            </w:tcBorders>
          </w:tcPr>
          <w:p>
            <w:pPr/>
          </w:p>
        </w:tc>
        <w:tc>
          <w:tcPr>
            <w:tcW w:w="1274" w:type="dxa"/>
            <w:tcBorders>
              <w:top w:val="nil"/>
              <w:left w:val="nil"/>
              <w:bottom w:val="nil"/>
              <w:right w:val="nil"/>
            </w:tcBorders>
          </w:tcPr>
          <w:p>
            <w:pPr/>
          </w:p>
        </w:tc>
        <w:tc>
          <w:tcPr>
            <w:tcW w:w="1272" w:type="dxa"/>
            <w:tcBorders>
              <w:top w:val="nil"/>
              <w:left w:val="nil"/>
              <w:bottom w:val="nil"/>
              <w:right w:val="nil"/>
            </w:tcBorders>
          </w:tcPr>
          <w:p>
            <w:pPr/>
          </w:p>
        </w:tc>
        <w:tc>
          <w:tcPr>
            <w:tcW w:w="1213" w:type="dxa"/>
            <w:tcBorders>
              <w:top w:val="nil"/>
              <w:left w:val="nil"/>
              <w:bottom w:val="nil"/>
              <w:right w:val="nil"/>
            </w:tcBorders>
          </w:tcPr>
          <w:p>
            <w:pPr/>
          </w:p>
        </w:tc>
      </w:tr>
      <w:tr>
        <w:trPr>
          <w:trHeight w:val="230" w:hRule="exact"/>
        </w:trPr>
        <w:tc>
          <w:tcPr>
            <w:tcW w:w="2502" w:type="dxa"/>
            <w:tcBorders>
              <w:top w:val="nil"/>
              <w:left w:val="nil"/>
              <w:bottom w:val="nil"/>
              <w:right w:val="nil"/>
            </w:tcBorders>
          </w:tcPr>
          <w:p>
            <w:pPr>
              <w:pStyle w:val="TableParagraph"/>
              <w:spacing w:line="216" w:lineRule="exact"/>
              <w:ind w:left="72"/>
              <w:jc w:val="left"/>
              <w:rPr>
                <w:sz w:val="19"/>
              </w:rPr>
            </w:pPr>
            <w:r>
              <w:rPr>
                <w:w w:val="105"/>
                <w:sz w:val="19"/>
              </w:rPr>
              <w:t>Vendedores y servicios</w:t>
            </w:r>
          </w:p>
        </w:tc>
        <w:tc>
          <w:tcPr>
            <w:tcW w:w="1245" w:type="dxa"/>
            <w:tcBorders>
              <w:top w:val="nil"/>
              <w:left w:val="nil"/>
              <w:bottom w:val="nil"/>
              <w:right w:val="nil"/>
            </w:tcBorders>
          </w:tcPr>
          <w:p>
            <w:pPr/>
          </w:p>
        </w:tc>
        <w:tc>
          <w:tcPr>
            <w:tcW w:w="1277" w:type="dxa"/>
            <w:tcBorders>
              <w:top w:val="nil"/>
              <w:left w:val="nil"/>
              <w:bottom w:val="nil"/>
              <w:right w:val="nil"/>
            </w:tcBorders>
          </w:tcPr>
          <w:p>
            <w:pPr/>
          </w:p>
        </w:tc>
        <w:tc>
          <w:tcPr>
            <w:tcW w:w="1274" w:type="dxa"/>
            <w:tcBorders>
              <w:top w:val="nil"/>
              <w:left w:val="nil"/>
              <w:bottom w:val="nil"/>
              <w:right w:val="nil"/>
            </w:tcBorders>
          </w:tcPr>
          <w:p>
            <w:pPr/>
          </w:p>
        </w:tc>
        <w:tc>
          <w:tcPr>
            <w:tcW w:w="1272" w:type="dxa"/>
            <w:tcBorders>
              <w:top w:val="nil"/>
              <w:left w:val="nil"/>
              <w:bottom w:val="nil"/>
              <w:right w:val="nil"/>
            </w:tcBorders>
          </w:tcPr>
          <w:p>
            <w:pPr/>
          </w:p>
        </w:tc>
        <w:tc>
          <w:tcPr>
            <w:tcW w:w="1213" w:type="dxa"/>
            <w:tcBorders>
              <w:top w:val="nil"/>
              <w:left w:val="nil"/>
              <w:bottom w:val="nil"/>
              <w:right w:val="nil"/>
            </w:tcBorders>
          </w:tcPr>
          <w:p>
            <w:pPr/>
          </w:p>
        </w:tc>
      </w:tr>
      <w:tr>
        <w:trPr>
          <w:trHeight w:val="230" w:hRule="exact"/>
        </w:trPr>
        <w:tc>
          <w:tcPr>
            <w:tcW w:w="2502" w:type="dxa"/>
            <w:tcBorders>
              <w:top w:val="nil"/>
              <w:left w:val="nil"/>
              <w:bottom w:val="nil"/>
              <w:right w:val="nil"/>
            </w:tcBorders>
          </w:tcPr>
          <w:p>
            <w:pPr>
              <w:pStyle w:val="TableParagraph"/>
              <w:spacing w:line="216" w:lineRule="exact"/>
              <w:ind w:left="72"/>
              <w:jc w:val="left"/>
              <w:rPr>
                <w:sz w:val="19"/>
              </w:rPr>
            </w:pPr>
            <w:r>
              <w:rPr>
                <w:w w:val="105"/>
                <w:sz w:val="19"/>
              </w:rPr>
              <w:t>Operadores, operarios</w:t>
            </w:r>
          </w:p>
        </w:tc>
        <w:tc>
          <w:tcPr>
            <w:tcW w:w="1245" w:type="dxa"/>
            <w:tcBorders>
              <w:top w:val="nil"/>
              <w:left w:val="nil"/>
              <w:bottom w:val="nil"/>
              <w:right w:val="nil"/>
            </w:tcBorders>
          </w:tcPr>
          <w:p>
            <w:pPr/>
          </w:p>
        </w:tc>
        <w:tc>
          <w:tcPr>
            <w:tcW w:w="1277" w:type="dxa"/>
            <w:tcBorders>
              <w:top w:val="nil"/>
              <w:left w:val="nil"/>
              <w:bottom w:val="nil"/>
              <w:right w:val="nil"/>
            </w:tcBorders>
          </w:tcPr>
          <w:p>
            <w:pPr/>
          </w:p>
        </w:tc>
        <w:tc>
          <w:tcPr>
            <w:tcW w:w="1274" w:type="dxa"/>
            <w:tcBorders>
              <w:top w:val="nil"/>
              <w:left w:val="nil"/>
              <w:bottom w:val="nil"/>
              <w:right w:val="nil"/>
            </w:tcBorders>
          </w:tcPr>
          <w:p>
            <w:pPr/>
          </w:p>
        </w:tc>
        <w:tc>
          <w:tcPr>
            <w:tcW w:w="1272" w:type="dxa"/>
            <w:tcBorders>
              <w:top w:val="nil"/>
              <w:left w:val="nil"/>
              <w:bottom w:val="nil"/>
              <w:right w:val="nil"/>
            </w:tcBorders>
          </w:tcPr>
          <w:p>
            <w:pPr/>
          </w:p>
        </w:tc>
        <w:tc>
          <w:tcPr>
            <w:tcW w:w="1213" w:type="dxa"/>
            <w:tcBorders>
              <w:top w:val="nil"/>
              <w:left w:val="nil"/>
              <w:bottom w:val="nil"/>
              <w:right w:val="nil"/>
            </w:tcBorders>
          </w:tcPr>
          <w:p>
            <w:pPr/>
          </w:p>
        </w:tc>
      </w:tr>
      <w:tr>
        <w:trPr>
          <w:trHeight w:val="230" w:hRule="exact"/>
        </w:trPr>
        <w:tc>
          <w:tcPr>
            <w:tcW w:w="2502" w:type="dxa"/>
            <w:tcBorders>
              <w:top w:val="nil"/>
              <w:left w:val="nil"/>
              <w:bottom w:val="nil"/>
              <w:right w:val="nil"/>
            </w:tcBorders>
          </w:tcPr>
          <w:p>
            <w:pPr>
              <w:pStyle w:val="TableParagraph"/>
              <w:spacing w:line="216" w:lineRule="exact"/>
              <w:ind w:left="72"/>
              <w:jc w:val="left"/>
              <w:rPr>
                <w:sz w:val="19"/>
              </w:rPr>
            </w:pPr>
            <w:r>
              <w:rPr>
                <w:w w:val="105"/>
                <w:sz w:val="19"/>
              </w:rPr>
              <w:t>Peones y otros no calificados</w:t>
            </w:r>
          </w:p>
        </w:tc>
        <w:tc>
          <w:tcPr>
            <w:tcW w:w="1245" w:type="dxa"/>
            <w:tcBorders>
              <w:top w:val="nil"/>
              <w:left w:val="nil"/>
              <w:bottom w:val="nil"/>
              <w:right w:val="nil"/>
            </w:tcBorders>
          </w:tcPr>
          <w:p>
            <w:pPr/>
          </w:p>
        </w:tc>
        <w:tc>
          <w:tcPr>
            <w:tcW w:w="1277" w:type="dxa"/>
            <w:tcBorders>
              <w:top w:val="nil"/>
              <w:left w:val="nil"/>
              <w:bottom w:val="nil"/>
              <w:right w:val="nil"/>
            </w:tcBorders>
          </w:tcPr>
          <w:p>
            <w:pPr/>
          </w:p>
        </w:tc>
        <w:tc>
          <w:tcPr>
            <w:tcW w:w="1274" w:type="dxa"/>
            <w:tcBorders>
              <w:top w:val="nil"/>
              <w:left w:val="nil"/>
              <w:bottom w:val="nil"/>
              <w:right w:val="nil"/>
            </w:tcBorders>
          </w:tcPr>
          <w:p>
            <w:pPr/>
          </w:p>
        </w:tc>
        <w:tc>
          <w:tcPr>
            <w:tcW w:w="1272" w:type="dxa"/>
            <w:tcBorders>
              <w:top w:val="nil"/>
              <w:left w:val="nil"/>
              <w:bottom w:val="nil"/>
              <w:right w:val="nil"/>
            </w:tcBorders>
          </w:tcPr>
          <w:p>
            <w:pPr/>
          </w:p>
        </w:tc>
        <w:tc>
          <w:tcPr>
            <w:tcW w:w="1213" w:type="dxa"/>
            <w:tcBorders>
              <w:top w:val="nil"/>
              <w:left w:val="nil"/>
              <w:bottom w:val="nil"/>
              <w:right w:val="nil"/>
            </w:tcBorders>
          </w:tcPr>
          <w:p>
            <w:pPr/>
          </w:p>
        </w:tc>
      </w:tr>
      <w:tr>
        <w:trPr>
          <w:trHeight w:val="230" w:hRule="exact"/>
        </w:trPr>
        <w:tc>
          <w:tcPr>
            <w:tcW w:w="2502" w:type="dxa"/>
            <w:tcBorders>
              <w:top w:val="nil"/>
              <w:left w:val="nil"/>
              <w:bottom w:val="nil"/>
              <w:right w:val="nil"/>
            </w:tcBorders>
          </w:tcPr>
          <w:p>
            <w:pPr>
              <w:pStyle w:val="TableParagraph"/>
              <w:spacing w:line="216" w:lineRule="exact"/>
              <w:ind w:left="72"/>
              <w:jc w:val="left"/>
              <w:rPr>
                <w:sz w:val="19"/>
              </w:rPr>
            </w:pPr>
            <w:r>
              <w:rPr>
                <w:w w:val="105"/>
                <w:sz w:val="19"/>
              </w:rPr>
              <w:t>Micronegocios no agrícolas</w:t>
            </w:r>
          </w:p>
        </w:tc>
        <w:tc>
          <w:tcPr>
            <w:tcW w:w="1245" w:type="dxa"/>
            <w:tcBorders>
              <w:top w:val="nil"/>
              <w:left w:val="nil"/>
              <w:bottom w:val="nil"/>
              <w:right w:val="nil"/>
            </w:tcBorders>
          </w:tcPr>
          <w:p>
            <w:pPr/>
          </w:p>
        </w:tc>
        <w:tc>
          <w:tcPr>
            <w:tcW w:w="1277" w:type="dxa"/>
            <w:tcBorders>
              <w:top w:val="nil"/>
              <w:left w:val="nil"/>
              <w:bottom w:val="nil"/>
              <w:right w:val="nil"/>
            </w:tcBorders>
          </w:tcPr>
          <w:p>
            <w:pPr/>
          </w:p>
        </w:tc>
        <w:tc>
          <w:tcPr>
            <w:tcW w:w="1274" w:type="dxa"/>
            <w:tcBorders>
              <w:top w:val="nil"/>
              <w:left w:val="nil"/>
              <w:bottom w:val="nil"/>
              <w:right w:val="nil"/>
            </w:tcBorders>
          </w:tcPr>
          <w:p>
            <w:pPr/>
          </w:p>
        </w:tc>
        <w:tc>
          <w:tcPr>
            <w:tcW w:w="1272" w:type="dxa"/>
            <w:tcBorders>
              <w:top w:val="nil"/>
              <w:left w:val="nil"/>
              <w:bottom w:val="nil"/>
              <w:right w:val="nil"/>
            </w:tcBorders>
          </w:tcPr>
          <w:p>
            <w:pPr/>
          </w:p>
        </w:tc>
        <w:tc>
          <w:tcPr>
            <w:tcW w:w="1213" w:type="dxa"/>
            <w:tcBorders>
              <w:top w:val="nil"/>
              <w:left w:val="nil"/>
              <w:bottom w:val="nil"/>
              <w:right w:val="nil"/>
            </w:tcBorders>
          </w:tcPr>
          <w:p>
            <w:pPr/>
          </w:p>
        </w:tc>
      </w:tr>
      <w:tr>
        <w:trPr>
          <w:trHeight w:val="212" w:hRule="exact"/>
        </w:trPr>
        <w:tc>
          <w:tcPr>
            <w:tcW w:w="2502" w:type="dxa"/>
            <w:tcBorders>
              <w:top w:val="nil"/>
              <w:left w:val="nil"/>
              <w:bottom w:val="nil"/>
              <w:right w:val="nil"/>
            </w:tcBorders>
          </w:tcPr>
          <w:p>
            <w:pPr>
              <w:pStyle w:val="TableParagraph"/>
              <w:spacing w:line="216" w:lineRule="exact"/>
              <w:ind w:left="72"/>
              <w:jc w:val="left"/>
              <w:rPr>
                <w:sz w:val="19"/>
              </w:rPr>
            </w:pPr>
            <w:r>
              <w:rPr>
                <w:w w:val="105"/>
                <w:sz w:val="19"/>
              </w:rPr>
              <w:t>Petróleo</w:t>
            </w:r>
          </w:p>
        </w:tc>
        <w:tc>
          <w:tcPr>
            <w:tcW w:w="1245" w:type="dxa"/>
            <w:tcBorders>
              <w:top w:val="nil"/>
              <w:left w:val="nil"/>
              <w:bottom w:val="nil"/>
              <w:right w:val="nil"/>
            </w:tcBorders>
          </w:tcPr>
          <w:p>
            <w:pPr/>
          </w:p>
        </w:tc>
        <w:tc>
          <w:tcPr>
            <w:tcW w:w="1277" w:type="dxa"/>
            <w:tcBorders>
              <w:top w:val="nil"/>
              <w:left w:val="nil"/>
              <w:bottom w:val="nil"/>
              <w:right w:val="nil"/>
            </w:tcBorders>
          </w:tcPr>
          <w:p>
            <w:pPr/>
          </w:p>
        </w:tc>
        <w:tc>
          <w:tcPr>
            <w:tcW w:w="1274" w:type="dxa"/>
            <w:tcBorders>
              <w:top w:val="nil"/>
              <w:left w:val="nil"/>
              <w:bottom w:val="nil"/>
              <w:right w:val="nil"/>
            </w:tcBorders>
          </w:tcPr>
          <w:p>
            <w:pPr/>
          </w:p>
        </w:tc>
        <w:tc>
          <w:tcPr>
            <w:tcW w:w="1272" w:type="dxa"/>
            <w:tcBorders>
              <w:top w:val="nil"/>
              <w:left w:val="nil"/>
              <w:bottom w:val="nil"/>
              <w:right w:val="nil"/>
            </w:tcBorders>
          </w:tcPr>
          <w:p>
            <w:pPr/>
          </w:p>
        </w:tc>
        <w:tc>
          <w:tcPr>
            <w:tcW w:w="1213" w:type="dxa"/>
            <w:tcBorders>
              <w:top w:val="nil"/>
              <w:left w:val="nil"/>
              <w:bottom w:val="nil"/>
              <w:right w:val="nil"/>
            </w:tcBorders>
          </w:tcPr>
          <w:p>
            <w:pPr/>
          </w:p>
        </w:tc>
      </w:tr>
      <w:tr>
        <w:trPr>
          <w:trHeight w:val="249" w:hRule="exact"/>
        </w:trPr>
        <w:tc>
          <w:tcPr>
            <w:tcW w:w="2502" w:type="dxa"/>
            <w:tcBorders>
              <w:top w:val="nil"/>
              <w:left w:val="nil"/>
              <w:bottom w:val="nil"/>
              <w:right w:val="nil"/>
            </w:tcBorders>
          </w:tcPr>
          <w:p>
            <w:pPr>
              <w:pStyle w:val="TableParagraph"/>
              <w:spacing w:line="235" w:lineRule="exact"/>
              <w:ind w:left="72"/>
              <w:jc w:val="left"/>
              <w:rPr>
                <w:sz w:val="13"/>
              </w:rPr>
            </w:pPr>
            <w:r>
              <w:rPr>
                <w:w w:val="105"/>
                <w:sz w:val="19"/>
              </w:rPr>
              <w:t>Seudo R</w:t>
            </w:r>
            <w:r>
              <w:rPr>
                <w:w w:val="105"/>
                <w:position w:val="9"/>
                <w:sz w:val="13"/>
              </w:rPr>
              <w:t>2</w:t>
            </w:r>
          </w:p>
        </w:tc>
        <w:tc>
          <w:tcPr>
            <w:tcW w:w="1245" w:type="dxa"/>
            <w:tcBorders>
              <w:top w:val="nil"/>
              <w:left w:val="nil"/>
              <w:bottom w:val="nil"/>
              <w:right w:val="nil"/>
            </w:tcBorders>
          </w:tcPr>
          <w:p>
            <w:pPr>
              <w:pStyle w:val="TableParagraph"/>
              <w:spacing w:before="16"/>
              <w:ind w:right="128"/>
              <w:rPr>
                <w:sz w:val="19"/>
              </w:rPr>
            </w:pPr>
            <w:r>
              <w:rPr>
                <w:sz w:val="19"/>
              </w:rPr>
              <w:t>0.0568</w:t>
            </w:r>
          </w:p>
        </w:tc>
        <w:tc>
          <w:tcPr>
            <w:tcW w:w="1277" w:type="dxa"/>
            <w:tcBorders>
              <w:top w:val="nil"/>
              <w:left w:val="nil"/>
              <w:bottom w:val="nil"/>
              <w:right w:val="nil"/>
            </w:tcBorders>
          </w:tcPr>
          <w:p>
            <w:pPr>
              <w:pStyle w:val="TableParagraph"/>
              <w:spacing w:before="16"/>
              <w:ind w:right="127"/>
              <w:rPr>
                <w:sz w:val="19"/>
              </w:rPr>
            </w:pPr>
            <w:r>
              <w:rPr>
                <w:sz w:val="19"/>
              </w:rPr>
              <w:t>0.0572</w:t>
            </w:r>
          </w:p>
        </w:tc>
        <w:tc>
          <w:tcPr>
            <w:tcW w:w="1274" w:type="dxa"/>
            <w:tcBorders>
              <w:top w:val="nil"/>
              <w:left w:val="nil"/>
              <w:bottom w:val="nil"/>
              <w:right w:val="nil"/>
            </w:tcBorders>
          </w:tcPr>
          <w:p>
            <w:pPr>
              <w:pStyle w:val="TableParagraph"/>
              <w:spacing w:before="16"/>
              <w:ind w:right="126"/>
              <w:rPr>
                <w:sz w:val="19"/>
              </w:rPr>
            </w:pPr>
            <w:r>
              <w:rPr>
                <w:sz w:val="19"/>
              </w:rPr>
              <w:t>0.0844</w:t>
            </w:r>
          </w:p>
        </w:tc>
        <w:tc>
          <w:tcPr>
            <w:tcW w:w="1272" w:type="dxa"/>
            <w:tcBorders>
              <w:top w:val="nil"/>
              <w:left w:val="nil"/>
              <w:bottom w:val="nil"/>
              <w:right w:val="nil"/>
            </w:tcBorders>
          </w:tcPr>
          <w:p>
            <w:pPr>
              <w:pStyle w:val="TableParagraph"/>
              <w:spacing w:before="16"/>
              <w:ind w:right="125"/>
              <w:rPr>
                <w:sz w:val="19"/>
              </w:rPr>
            </w:pPr>
            <w:r>
              <w:rPr>
                <w:sz w:val="19"/>
              </w:rPr>
              <w:t>0.1487</w:t>
            </w:r>
          </w:p>
        </w:tc>
        <w:tc>
          <w:tcPr>
            <w:tcW w:w="1213" w:type="dxa"/>
            <w:tcBorders>
              <w:top w:val="nil"/>
              <w:left w:val="nil"/>
              <w:bottom w:val="nil"/>
              <w:right w:val="nil"/>
            </w:tcBorders>
          </w:tcPr>
          <w:p>
            <w:pPr>
              <w:pStyle w:val="TableParagraph"/>
              <w:spacing w:before="16"/>
              <w:ind w:right="67"/>
              <w:rPr>
                <w:sz w:val="19"/>
              </w:rPr>
            </w:pPr>
            <w:r>
              <w:rPr>
                <w:sz w:val="19"/>
              </w:rPr>
              <w:t>0.1909</w:t>
            </w:r>
          </w:p>
        </w:tc>
      </w:tr>
      <w:tr>
        <w:trPr>
          <w:trHeight w:val="230" w:hRule="exact"/>
        </w:trPr>
        <w:tc>
          <w:tcPr>
            <w:tcW w:w="2502" w:type="dxa"/>
            <w:tcBorders>
              <w:top w:val="nil"/>
              <w:left w:val="nil"/>
              <w:bottom w:val="nil"/>
              <w:right w:val="nil"/>
            </w:tcBorders>
          </w:tcPr>
          <w:p>
            <w:pPr>
              <w:pStyle w:val="TableParagraph"/>
              <w:spacing w:line="216" w:lineRule="exact"/>
              <w:ind w:left="72"/>
              <w:jc w:val="left"/>
              <w:rPr>
                <w:sz w:val="19"/>
              </w:rPr>
            </w:pPr>
            <w:r>
              <w:rPr>
                <w:w w:val="105"/>
                <w:sz w:val="19"/>
              </w:rPr>
              <w:t>Log likelikhood</w:t>
            </w:r>
          </w:p>
        </w:tc>
        <w:tc>
          <w:tcPr>
            <w:tcW w:w="1245" w:type="dxa"/>
            <w:tcBorders>
              <w:top w:val="nil"/>
              <w:left w:val="nil"/>
              <w:bottom w:val="nil"/>
              <w:right w:val="nil"/>
            </w:tcBorders>
          </w:tcPr>
          <w:p>
            <w:pPr>
              <w:pStyle w:val="TableParagraph"/>
              <w:spacing w:line="216" w:lineRule="exact"/>
              <w:ind w:right="129"/>
              <w:rPr>
                <w:sz w:val="19"/>
              </w:rPr>
            </w:pPr>
            <w:r>
              <w:rPr>
                <w:sz w:val="19"/>
              </w:rPr>
              <w:t>-23998.4357</w:t>
            </w:r>
          </w:p>
        </w:tc>
        <w:tc>
          <w:tcPr>
            <w:tcW w:w="1277" w:type="dxa"/>
            <w:tcBorders>
              <w:top w:val="nil"/>
              <w:left w:val="nil"/>
              <w:bottom w:val="nil"/>
              <w:right w:val="nil"/>
            </w:tcBorders>
          </w:tcPr>
          <w:p>
            <w:pPr>
              <w:pStyle w:val="TableParagraph"/>
              <w:spacing w:line="216" w:lineRule="exact"/>
              <w:ind w:right="127"/>
              <w:rPr>
                <w:sz w:val="19"/>
              </w:rPr>
            </w:pPr>
            <w:r>
              <w:rPr>
                <w:sz w:val="19"/>
              </w:rPr>
              <w:t>-23987.6424</w:t>
            </w:r>
          </w:p>
        </w:tc>
        <w:tc>
          <w:tcPr>
            <w:tcW w:w="1274" w:type="dxa"/>
            <w:tcBorders>
              <w:top w:val="nil"/>
              <w:left w:val="nil"/>
              <w:bottom w:val="nil"/>
              <w:right w:val="nil"/>
            </w:tcBorders>
          </w:tcPr>
          <w:p>
            <w:pPr>
              <w:pStyle w:val="TableParagraph"/>
              <w:spacing w:line="216" w:lineRule="exact"/>
              <w:ind w:right="126"/>
              <w:rPr>
                <w:sz w:val="19"/>
              </w:rPr>
            </w:pPr>
            <w:r>
              <w:rPr>
                <w:sz w:val="19"/>
              </w:rPr>
              <w:t>-23296.3186</w:t>
            </w:r>
          </w:p>
        </w:tc>
        <w:tc>
          <w:tcPr>
            <w:tcW w:w="1272" w:type="dxa"/>
            <w:tcBorders>
              <w:top w:val="nil"/>
              <w:left w:val="nil"/>
              <w:bottom w:val="nil"/>
              <w:right w:val="nil"/>
            </w:tcBorders>
          </w:tcPr>
          <w:p>
            <w:pPr>
              <w:pStyle w:val="TableParagraph"/>
              <w:spacing w:line="216" w:lineRule="exact"/>
              <w:ind w:right="125"/>
              <w:rPr>
                <w:sz w:val="19"/>
              </w:rPr>
            </w:pPr>
            <w:r>
              <w:rPr>
                <w:sz w:val="19"/>
              </w:rPr>
              <w:t>-21658.9115</w:t>
            </w:r>
          </w:p>
        </w:tc>
        <w:tc>
          <w:tcPr>
            <w:tcW w:w="1213" w:type="dxa"/>
            <w:tcBorders>
              <w:top w:val="nil"/>
              <w:left w:val="nil"/>
              <w:bottom w:val="nil"/>
              <w:right w:val="nil"/>
            </w:tcBorders>
          </w:tcPr>
          <w:p>
            <w:pPr>
              <w:pStyle w:val="TableParagraph"/>
              <w:spacing w:line="216" w:lineRule="exact"/>
              <w:ind w:right="67"/>
              <w:rPr>
                <w:sz w:val="19"/>
              </w:rPr>
            </w:pPr>
            <w:r>
              <w:rPr>
                <w:sz w:val="19"/>
              </w:rPr>
              <w:t>-20584.6282</w:t>
            </w:r>
          </w:p>
        </w:tc>
      </w:tr>
      <w:tr>
        <w:trPr>
          <w:trHeight w:val="230" w:hRule="exact"/>
        </w:trPr>
        <w:tc>
          <w:tcPr>
            <w:tcW w:w="2502" w:type="dxa"/>
            <w:tcBorders>
              <w:top w:val="nil"/>
              <w:left w:val="nil"/>
              <w:bottom w:val="nil"/>
              <w:right w:val="nil"/>
            </w:tcBorders>
          </w:tcPr>
          <w:p>
            <w:pPr>
              <w:pStyle w:val="TableParagraph"/>
              <w:spacing w:line="216" w:lineRule="exact"/>
              <w:ind w:left="72"/>
              <w:jc w:val="left"/>
              <w:rPr>
                <w:sz w:val="19"/>
              </w:rPr>
            </w:pPr>
            <w:r>
              <w:rPr>
                <w:w w:val="103"/>
                <w:sz w:val="19"/>
              </w:rPr>
              <w:t>N</w:t>
            </w:r>
          </w:p>
        </w:tc>
        <w:tc>
          <w:tcPr>
            <w:tcW w:w="1245" w:type="dxa"/>
            <w:tcBorders>
              <w:top w:val="nil"/>
              <w:left w:val="nil"/>
              <w:bottom w:val="nil"/>
              <w:right w:val="nil"/>
            </w:tcBorders>
          </w:tcPr>
          <w:p>
            <w:pPr>
              <w:pStyle w:val="TableParagraph"/>
              <w:spacing w:line="216" w:lineRule="exact"/>
              <w:ind w:right="129"/>
              <w:rPr>
                <w:sz w:val="19"/>
              </w:rPr>
            </w:pPr>
            <w:r>
              <w:rPr>
                <w:sz w:val="19"/>
              </w:rPr>
              <w:t>37932.0000</w:t>
            </w:r>
          </w:p>
        </w:tc>
        <w:tc>
          <w:tcPr>
            <w:tcW w:w="1277" w:type="dxa"/>
            <w:tcBorders>
              <w:top w:val="nil"/>
              <w:left w:val="nil"/>
              <w:bottom w:val="nil"/>
              <w:right w:val="nil"/>
            </w:tcBorders>
          </w:tcPr>
          <w:p>
            <w:pPr>
              <w:pStyle w:val="TableParagraph"/>
              <w:spacing w:line="216" w:lineRule="exact"/>
              <w:ind w:right="127"/>
              <w:rPr>
                <w:sz w:val="19"/>
              </w:rPr>
            </w:pPr>
            <w:r>
              <w:rPr>
                <w:sz w:val="19"/>
              </w:rPr>
              <w:t>37932.0000</w:t>
            </w:r>
          </w:p>
        </w:tc>
        <w:tc>
          <w:tcPr>
            <w:tcW w:w="1274" w:type="dxa"/>
            <w:tcBorders>
              <w:top w:val="nil"/>
              <w:left w:val="nil"/>
              <w:bottom w:val="nil"/>
              <w:right w:val="nil"/>
            </w:tcBorders>
          </w:tcPr>
          <w:p>
            <w:pPr>
              <w:pStyle w:val="TableParagraph"/>
              <w:spacing w:line="216" w:lineRule="exact"/>
              <w:ind w:right="126"/>
              <w:rPr>
                <w:sz w:val="19"/>
              </w:rPr>
            </w:pPr>
            <w:r>
              <w:rPr>
                <w:sz w:val="19"/>
              </w:rPr>
              <w:t>37932.0000</w:t>
            </w:r>
          </w:p>
        </w:tc>
        <w:tc>
          <w:tcPr>
            <w:tcW w:w="1272" w:type="dxa"/>
            <w:tcBorders>
              <w:top w:val="nil"/>
              <w:left w:val="nil"/>
              <w:bottom w:val="nil"/>
              <w:right w:val="nil"/>
            </w:tcBorders>
          </w:tcPr>
          <w:p>
            <w:pPr>
              <w:pStyle w:val="TableParagraph"/>
              <w:spacing w:line="216" w:lineRule="exact"/>
              <w:ind w:right="125"/>
              <w:rPr>
                <w:sz w:val="19"/>
              </w:rPr>
            </w:pPr>
            <w:r>
              <w:rPr>
                <w:sz w:val="19"/>
              </w:rPr>
              <w:t>37932.0000</w:t>
            </w:r>
          </w:p>
        </w:tc>
        <w:tc>
          <w:tcPr>
            <w:tcW w:w="1213" w:type="dxa"/>
            <w:tcBorders>
              <w:top w:val="nil"/>
              <w:left w:val="nil"/>
              <w:bottom w:val="nil"/>
              <w:right w:val="nil"/>
            </w:tcBorders>
          </w:tcPr>
          <w:p>
            <w:pPr>
              <w:pStyle w:val="TableParagraph"/>
              <w:spacing w:line="216" w:lineRule="exact"/>
              <w:ind w:right="67"/>
              <w:rPr>
                <w:sz w:val="19"/>
              </w:rPr>
            </w:pPr>
            <w:r>
              <w:rPr>
                <w:sz w:val="19"/>
              </w:rPr>
              <w:t>37932.0000</w:t>
            </w:r>
          </w:p>
        </w:tc>
      </w:tr>
      <w:tr>
        <w:trPr>
          <w:trHeight w:val="228" w:hRule="exact"/>
        </w:trPr>
        <w:tc>
          <w:tcPr>
            <w:tcW w:w="2502" w:type="dxa"/>
            <w:tcBorders>
              <w:top w:val="nil"/>
              <w:left w:val="nil"/>
              <w:right w:val="nil"/>
            </w:tcBorders>
          </w:tcPr>
          <w:p>
            <w:pPr>
              <w:pStyle w:val="TableParagraph"/>
              <w:spacing w:line="216" w:lineRule="exact"/>
              <w:ind w:left="72"/>
              <w:jc w:val="left"/>
              <w:rPr>
                <w:sz w:val="19"/>
              </w:rPr>
            </w:pPr>
            <w:r>
              <w:rPr>
                <w:w w:val="105"/>
                <w:sz w:val="19"/>
              </w:rPr>
              <w:t>df_m</w:t>
            </w:r>
          </w:p>
        </w:tc>
        <w:tc>
          <w:tcPr>
            <w:tcW w:w="1245" w:type="dxa"/>
            <w:tcBorders>
              <w:top w:val="nil"/>
              <w:left w:val="nil"/>
              <w:right w:val="nil"/>
            </w:tcBorders>
          </w:tcPr>
          <w:p>
            <w:pPr>
              <w:pStyle w:val="TableParagraph"/>
              <w:spacing w:line="216" w:lineRule="exact"/>
              <w:ind w:right="128"/>
              <w:rPr>
                <w:sz w:val="19"/>
              </w:rPr>
            </w:pPr>
            <w:r>
              <w:rPr>
                <w:sz w:val="19"/>
              </w:rPr>
              <w:t>2.0000</w:t>
            </w:r>
          </w:p>
        </w:tc>
        <w:tc>
          <w:tcPr>
            <w:tcW w:w="1277" w:type="dxa"/>
            <w:tcBorders>
              <w:top w:val="nil"/>
              <w:left w:val="nil"/>
              <w:right w:val="nil"/>
            </w:tcBorders>
          </w:tcPr>
          <w:p>
            <w:pPr>
              <w:pStyle w:val="TableParagraph"/>
              <w:spacing w:line="216" w:lineRule="exact"/>
              <w:ind w:right="127"/>
              <w:rPr>
                <w:sz w:val="19"/>
              </w:rPr>
            </w:pPr>
            <w:r>
              <w:rPr>
                <w:sz w:val="19"/>
              </w:rPr>
              <w:t>3.0000</w:t>
            </w:r>
          </w:p>
        </w:tc>
        <w:tc>
          <w:tcPr>
            <w:tcW w:w="1274" w:type="dxa"/>
            <w:tcBorders>
              <w:top w:val="nil"/>
              <w:left w:val="nil"/>
              <w:right w:val="nil"/>
            </w:tcBorders>
          </w:tcPr>
          <w:p>
            <w:pPr>
              <w:pStyle w:val="TableParagraph"/>
              <w:spacing w:line="216" w:lineRule="exact"/>
              <w:ind w:right="126"/>
              <w:rPr>
                <w:sz w:val="19"/>
              </w:rPr>
            </w:pPr>
            <w:r>
              <w:rPr>
                <w:sz w:val="19"/>
              </w:rPr>
              <w:t>5.0000</w:t>
            </w:r>
          </w:p>
        </w:tc>
        <w:tc>
          <w:tcPr>
            <w:tcW w:w="1272" w:type="dxa"/>
            <w:tcBorders>
              <w:top w:val="nil"/>
              <w:left w:val="nil"/>
              <w:right w:val="nil"/>
            </w:tcBorders>
          </w:tcPr>
          <w:p>
            <w:pPr>
              <w:pStyle w:val="TableParagraph"/>
              <w:spacing w:line="216" w:lineRule="exact"/>
              <w:ind w:right="125"/>
              <w:rPr>
                <w:sz w:val="19"/>
              </w:rPr>
            </w:pPr>
            <w:r>
              <w:rPr>
                <w:sz w:val="19"/>
              </w:rPr>
              <w:t>7.0000</w:t>
            </w:r>
          </w:p>
        </w:tc>
        <w:tc>
          <w:tcPr>
            <w:tcW w:w="1213" w:type="dxa"/>
            <w:tcBorders>
              <w:top w:val="nil"/>
              <w:left w:val="nil"/>
              <w:right w:val="nil"/>
            </w:tcBorders>
          </w:tcPr>
          <w:p>
            <w:pPr>
              <w:pStyle w:val="TableParagraph"/>
              <w:spacing w:line="216" w:lineRule="exact"/>
              <w:ind w:right="67"/>
              <w:rPr>
                <w:sz w:val="19"/>
              </w:rPr>
            </w:pPr>
            <w:r>
              <w:rPr>
                <w:sz w:val="19"/>
              </w:rPr>
              <w:t>14.0000</w:t>
            </w:r>
          </w:p>
        </w:tc>
      </w:tr>
    </w:tbl>
    <w:p>
      <w:pPr>
        <w:spacing w:line="178" w:lineRule="exact" w:before="0"/>
        <w:ind w:left="184" w:right="169" w:firstLine="0"/>
        <w:jc w:val="left"/>
        <w:rPr>
          <w:sz w:val="16"/>
        </w:rPr>
      </w:pPr>
      <w:r>
        <w:rPr>
          <w:sz w:val="16"/>
        </w:rPr>
        <w:t>Fuente: estimaciones propias con información de la ENOE, 2012, segundo trimestre.</w:t>
      </w:r>
    </w:p>
    <w:p>
      <w:pPr>
        <w:spacing w:line="183" w:lineRule="exact" w:before="0"/>
        <w:ind w:left="184" w:right="169" w:firstLine="0"/>
        <w:jc w:val="left"/>
        <w:rPr>
          <w:sz w:val="16"/>
        </w:rPr>
      </w:pPr>
      <w:r>
        <w:rPr>
          <w:sz w:val="16"/>
        </w:rPr>
        <w:t>* p&lt;0.10 ** p&lt;0.05 *** p&lt;0.001.</w:t>
      </w:r>
    </w:p>
    <w:p>
      <w:pPr>
        <w:spacing w:after="0" w:line="183" w:lineRule="exact"/>
        <w:jc w:val="left"/>
        <w:rPr>
          <w:sz w:val="16"/>
        </w:rPr>
        <w:sectPr>
          <w:footerReference w:type="default" r:id="rId150"/>
          <w:pgSz w:w="11740" w:h="7770" w:orient="landscape"/>
          <w:pgMar w:footer="0" w:header="0" w:top="680" w:bottom="280" w:left="1400" w:right="1320"/>
        </w:sectPr>
      </w:pPr>
    </w:p>
    <w:p>
      <w:pPr>
        <w:pStyle w:val="BodyText"/>
        <w:spacing w:before="7"/>
        <w:rPr>
          <w:sz w:val="27"/>
        </w:rPr>
      </w:pPr>
      <w:r>
        <w:rPr/>
        <w:pict>
          <v:shape style="position:absolute;margin-left:22.711536pt;margin-top:193.173203pt;width:12pt;height:17pt;mso-position-horizontal-relative:page;mso-position-vertical-relative:page;z-index:4768" type="#_x0000_t202" filled="false" stroked="false">
            <v:textbox inset="0,0,0,0" style="layout-flow:vertical">
              <w:txbxContent>
                <w:p>
                  <w:pPr>
                    <w:pStyle w:val="BodyText"/>
                    <w:spacing w:line="224" w:lineRule="exact"/>
                    <w:ind w:left="20" w:right="-100"/>
                  </w:pPr>
                  <w:r>
                    <w:rPr>
                      <w:color w:val="231F20"/>
                    </w:rPr>
                    <w:t>123</w:t>
                  </w:r>
                </w:p>
              </w:txbxContent>
            </v:textbox>
            <w10:wrap type="none"/>
          </v:shape>
        </w:pict>
      </w:r>
    </w:p>
    <w:p>
      <w:pPr>
        <w:spacing w:line="252" w:lineRule="auto" w:before="81"/>
        <w:ind w:left="544" w:right="52" w:firstLine="0"/>
        <w:jc w:val="left"/>
        <w:rPr>
          <w:sz w:val="19"/>
        </w:rPr>
      </w:pPr>
      <w:r>
        <w:rPr/>
        <w:pict>
          <v:shape style="position:absolute;margin-left:264.324707pt;margin-top:43.510742pt;width:3.9pt;height:1.1pt;mso-position-horizontal-relative:page;mso-position-vertical-relative:paragraph;z-index:-333232" coordorigin="5286,870" coordsize="78,22" path="m5364,887l5329,870,5320,870,5286,887,5288,891,5325,879,5325,879,5362,891,5364,887xe" filled="true" fillcolor="#000000" stroked="false">
            <v:path arrowok="t"/>
            <v:fill type="solid"/>
            <w10:wrap type="none"/>
          </v:shape>
        </w:pict>
      </w:r>
      <w:r>
        <w:rPr/>
        <w:pict>
          <v:shape style="position:absolute;margin-left:328.404602pt;margin-top:43.510742pt;width:3.9pt;height:1.1pt;mso-position-horizontal-relative:page;mso-position-vertical-relative:paragraph;z-index:-333208" coordorigin="6568,870" coordsize="78,22" path="m6645,887l6611,870,6602,870,6568,887,6570,891,6606,879,6607,879,6643,891,6645,887xe" filled="true" fillcolor="#000000" stroked="false">
            <v:path arrowok="t"/>
            <v:fill type="solid"/>
            <w10:wrap type="none"/>
          </v:shape>
        </w:pict>
      </w:r>
      <w:r>
        <w:rPr/>
        <w:pict>
          <v:shape style="position:absolute;margin-left:392.24469pt;margin-top:43.510742pt;width:3.9pt;height:1.1pt;mso-position-horizontal-relative:page;mso-position-vertical-relative:paragraph;z-index:-333184" coordorigin="7845,870" coordsize="78,22" path="m7922,887l7888,870,7879,870,7845,887,7847,891,7883,879,7884,879,7920,891,7922,887xe" filled="true" fillcolor="#000000" stroked="false">
            <v:path arrowok="t"/>
            <v:fill type="solid"/>
            <w10:wrap type="none"/>
          </v:shape>
        </w:pict>
      </w:r>
      <w:r>
        <w:rPr/>
        <w:pict>
          <v:shape style="position:absolute;margin-left:456.084686pt;margin-top:43.510742pt;width:3.9pt;height:1.1pt;mso-position-horizontal-relative:page;mso-position-vertical-relative:paragraph;z-index:-333160" coordorigin="9122,870" coordsize="78,22" path="m9199,887l9164,870,9155,870,9122,887,9124,891,9160,879,9161,879,9197,891,9199,887xe" filled="true" fillcolor="#000000" stroked="false">
            <v:path arrowok="t"/>
            <v:fill type="solid"/>
            <w10:wrap type="none"/>
          </v:shape>
        </w:pict>
      </w:r>
      <w:r>
        <w:rPr>
          <w:w w:val="105"/>
          <w:sz w:val="19"/>
        </w:rPr>
        <w:t>Cuadro A. 3d. Resultados de los modelos logit para estimar la probabilidad de tener acceso a seguridad social (IMSS o ISSSTE). México, 2012. Coeficientes exponenciados</w:t>
      </w:r>
    </w:p>
    <w:p>
      <w:pPr>
        <w:pStyle w:val="BodyText"/>
        <w:spacing w:before="6"/>
        <w:rPr>
          <w:sz w:val="5"/>
        </w:rPr>
      </w:pPr>
    </w:p>
    <w:tbl>
      <w:tblPr>
        <w:tblW w:w="0" w:type="auto"/>
        <w:jc w:val="left"/>
        <w:tblInd w:w="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5"/>
        <w:gridCol w:w="1387"/>
        <w:gridCol w:w="1276"/>
        <w:gridCol w:w="1277"/>
        <w:gridCol w:w="1211"/>
      </w:tblGrid>
      <w:tr>
        <w:trPr>
          <w:trHeight w:val="514" w:hRule="exact"/>
        </w:trPr>
        <w:tc>
          <w:tcPr>
            <w:tcW w:w="2645" w:type="dxa"/>
            <w:tcBorders>
              <w:left w:val="nil"/>
              <w:right w:val="nil"/>
            </w:tcBorders>
          </w:tcPr>
          <w:p>
            <w:pPr/>
          </w:p>
        </w:tc>
        <w:tc>
          <w:tcPr>
            <w:tcW w:w="1387" w:type="dxa"/>
            <w:tcBorders>
              <w:left w:val="nil"/>
              <w:right w:val="nil"/>
            </w:tcBorders>
          </w:tcPr>
          <w:p>
            <w:pPr>
              <w:pStyle w:val="TableParagraph"/>
              <w:spacing w:before="5"/>
              <w:ind w:left="321" w:right="344"/>
              <w:jc w:val="center"/>
              <w:rPr>
                <w:sz w:val="19"/>
              </w:rPr>
            </w:pPr>
            <w:r>
              <w:rPr>
                <w:w w:val="105"/>
                <w:sz w:val="19"/>
              </w:rPr>
              <w:t>(6)</w:t>
            </w:r>
          </w:p>
          <w:p>
            <w:pPr>
              <w:pStyle w:val="TableParagraph"/>
              <w:spacing w:before="34"/>
              <w:ind w:left="321" w:right="344"/>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1276" w:type="dxa"/>
            <w:tcBorders>
              <w:left w:val="nil"/>
              <w:right w:val="nil"/>
            </w:tcBorders>
          </w:tcPr>
          <w:p>
            <w:pPr>
              <w:pStyle w:val="TableParagraph"/>
              <w:spacing w:before="5"/>
              <w:ind w:left="218" w:right="337"/>
              <w:jc w:val="center"/>
              <w:rPr>
                <w:sz w:val="19"/>
              </w:rPr>
            </w:pPr>
            <w:r>
              <w:rPr>
                <w:w w:val="105"/>
                <w:sz w:val="19"/>
              </w:rPr>
              <w:t>(7)</w:t>
            </w:r>
          </w:p>
          <w:p>
            <w:pPr>
              <w:pStyle w:val="TableParagraph"/>
              <w:spacing w:before="34"/>
              <w:ind w:left="218" w:right="337"/>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1277" w:type="dxa"/>
            <w:tcBorders>
              <w:left w:val="nil"/>
              <w:right w:val="nil"/>
            </w:tcBorders>
          </w:tcPr>
          <w:p>
            <w:pPr>
              <w:pStyle w:val="TableParagraph"/>
              <w:spacing w:before="5"/>
              <w:ind w:left="219" w:right="337"/>
              <w:jc w:val="center"/>
              <w:rPr>
                <w:sz w:val="19"/>
              </w:rPr>
            </w:pPr>
            <w:r>
              <w:rPr>
                <w:w w:val="105"/>
                <w:sz w:val="19"/>
              </w:rPr>
              <w:t>(8)</w:t>
            </w:r>
          </w:p>
          <w:p>
            <w:pPr>
              <w:pStyle w:val="TableParagraph"/>
              <w:spacing w:before="34"/>
              <w:ind w:left="219" w:right="337"/>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c>
          <w:tcPr>
            <w:tcW w:w="1211" w:type="dxa"/>
            <w:tcBorders>
              <w:left w:val="nil"/>
              <w:right w:val="nil"/>
            </w:tcBorders>
          </w:tcPr>
          <w:p>
            <w:pPr>
              <w:pStyle w:val="TableParagraph"/>
              <w:spacing w:before="5"/>
              <w:ind w:left="218" w:right="270"/>
              <w:jc w:val="center"/>
              <w:rPr>
                <w:sz w:val="19"/>
              </w:rPr>
            </w:pPr>
            <w:r>
              <w:rPr>
                <w:w w:val="105"/>
                <w:sz w:val="19"/>
              </w:rPr>
              <w:t>(9)</w:t>
            </w:r>
          </w:p>
          <w:p>
            <w:pPr>
              <w:pStyle w:val="TableParagraph"/>
              <w:spacing w:before="34"/>
              <w:ind w:left="218" w:right="270"/>
              <w:jc w:val="center"/>
              <w:rPr>
                <w:sz w:val="19"/>
              </w:rPr>
            </w:pPr>
            <w:r>
              <w:rPr>
                <w:rFonts w:ascii="Cambria Math" w:eastAsia="Cambria Math"/>
                <w:w w:val="51"/>
                <w:sz w:val="19"/>
              </w:rPr>
              <w:t>𝑒</w:t>
            </w:r>
            <w:r>
              <w:rPr>
                <w:rFonts w:ascii="Cambria Math" w:eastAsia="Cambria Math"/>
                <w:spacing w:val="12"/>
                <w:w w:val="51"/>
                <w:sz w:val="19"/>
              </w:rPr>
              <w:t>𝑒</w:t>
            </w:r>
            <w:r>
              <w:rPr>
                <w:rFonts w:ascii="Cambria Math" w:eastAsia="Cambria Math"/>
                <w:spacing w:val="13"/>
                <w:w w:val="238"/>
                <w:position w:val="7"/>
                <w:sz w:val="14"/>
              </w:rPr>
              <w:t>!</w:t>
            </w:r>
            <w:r>
              <w:rPr>
                <w:w w:val="103"/>
                <w:sz w:val="19"/>
              </w:rPr>
              <w:t>/</w:t>
            </w:r>
            <w:r>
              <w:rPr>
                <w:spacing w:val="1"/>
                <w:w w:val="103"/>
                <w:sz w:val="19"/>
              </w:rPr>
              <w:t>(ee</w:t>
            </w:r>
            <w:r>
              <w:rPr>
                <w:w w:val="103"/>
                <w:sz w:val="19"/>
              </w:rPr>
              <w:t>)</w:t>
            </w:r>
          </w:p>
        </w:tc>
      </w:tr>
      <w:tr>
        <w:trPr>
          <w:trHeight w:val="242" w:hRule="exact"/>
        </w:trPr>
        <w:tc>
          <w:tcPr>
            <w:tcW w:w="2645" w:type="dxa"/>
            <w:tcBorders>
              <w:left w:val="nil"/>
              <w:bottom w:val="nil"/>
              <w:right w:val="nil"/>
            </w:tcBorders>
          </w:tcPr>
          <w:p>
            <w:pPr>
              <w:pStyle w:val="TableParagraph"/>
              <w:spacing w:before="5"/>
              <w:ind w:left="71"/>
              <w:jc w:val="left"/>
              <w:rPr>
                <w:sz w:val="19"/>
              </w:rPr>
            </w:pPr>
            <w:r>
              <w:rPr>
                <w:w w:val="105"/>
                <w:sz w:val="19"/>
              </w:rPr>
              <w:t>Sureste</w:t>
            </w:r>
          </w:p>
        </w:tc>
        <w:tc>
          <w:tcPr>
            <w:tcW w:w="1387" w:type="dxa"/>
            <w:tcBorders>
              <w:left w:val="nil"/>
              <w:bottom w:val="nil"/>
              <w:right w:val="nil"/>
            </w:tcBorders>
          </w:tcPr>
          <w:p>
            <w:pPr>
              <w:pStyle w:val="TableParagraph"/>
              <w:spacing w:before="5"/>
              <w:ind w:right="127"/>
              <w:rPr>
                <w:sz w:val="19"/>
              </w:rPr>
            </w:pPr>
            <w:r>
              <w:rPr>
                <w:sz w:val="19"/>
              </w:rPr>
              <w:t>0.3451***</w:t>
            </w:r>
          </w:p>
        </w:tc>
        <w:tc>
          <w:tcPr>
            <w:tcW w:w="1276" w:type="dxa"/>
            <w:tcBorders>
              <w:left w:val="nil"/>
              <w:bottom w:val="nil"/>
              <w:right w:val="nil"/>
            </w:tcBorders>
          </w:tcPr>
          <w:p>
            <w:pPr>
              <w:pStyle w:val="TableParagraph"/>
              <w:spacing w:before="5"/>
              <w:ind w:right="128"/>
              <w:rPr>
                <w:sz w:val="19"/>
              </w:rPr>
            </w:pPr>
            <w:r>
              <w:rPr>
                <w:sz w:val="19"/>
              </w:rPr>
              <w:t>0.3258***</w:t>
            </w:r>
          </w:p>
        </w:tc>
        <w:tc>
          <w:tcPr>
            <w:tcW w:w="1277" w:type="dxa"/>
            <w:tcBorders>
              <w:left w:val="nil"/>
              <w:bottom w:val="nil"/>
              <w:right w:val="nil"/>
            </w:tcBorders>
          </w:tcPr>
          <w:p>
            <w:pPr>
              <w:pStyle w:val="TableParagraph"/>
              <w:spacing w:before="5"/>
              <w:ind w:right="128"/>
              <w:rPr>
                <w:sz w:val="19"/>
              </w:rPr>
            </w:pPr>
            <w:r>
              <w:rPr>
                <w:sz w:val="19"/>
              </w:rPr>
              <w:t>0.4089***</w:t>
            </w:r>
          </w:p>
        </w:tc>
        <w:tc>
          <w:tcPr>
            <w:tcW w:w="1211" w:type="dxa"/>
            <w:tcBorders>
              <w:left w:val="nil"/>
              <w:bottom w:val="nil"/>
              <w:right w:val="nil"/>
            </w:tcBorders>
          </w:tcPr>
          <w:p>
            <w:pPr>
              <w:pStyle w:val="TableParagraph"/>
              <w:spacing w:before="5"/>
              <w:ind w:right="62"/>
              <w:rPr>
                <w:sz w:val="19"/>
              </w:rPr>
            </w:pPr>
            <w:r>
              <w:rPr>
                <w:sz w:val="19"/>
              </w:rPr>
              <w:t>0.3527***</w:t>
            </w:r>
          </w:p>
        </w:tc>
      </w:tr>
      <w:tr>
        <w:trPr>
          <w:trHeight w:val="230" w:hRule="exact"/>
        </w:trPr>
        <w:tc>
          <w:tcPr>
            <w:tcW w:w="2645" w:type="dxa"/>
            <w:tcBorders>
              <w:top w:val="nil"/>
              <w:left w:val="nil"/>
              <w:bottom w:val="nil"/>
              <w:right w:val="nil"/>
            </w:tcBorders>
          </w:tcPr>
          <w:p>
            <w:pPr/>
          </w:p>
        </w:tc>
        <w:tc>
          <w:tcPr>
            <w:tcW w:w="1387" w:type="dxa"/>
            <w:tcBorders>
              <w:top w:val="nil"/>
              <w:left w:val="nil"/>
              <w:bottom w:val="nil"/>
              <w:right w:val="nil"/>
            </w:tcBorders>
          </w:tcPr>
          <w:p>
            <w:pPr>
              <w:pStyle w:val="TableParagraph"/>
              <w:spacing w:line="216" w:lineRule="exact"/>
              <w:ind w:right="127"/>
              <w:rPr>
                <w:sz w:val="19"/>
              </w:rPr>
            </w:pPr>
            <w:r>
              <w:rPr>
                <w:sz w:val="19"/>
              </w:rPr>
              <w:t>(0.020)</w:t>
            </w:r>
          </w:p>
        </w:tc>
        <w:tc>
          <w:tcPr>
            <w:tcW w:w="1276" w:type="dxa"/>
            <w:tcBorders>
              <w:top w:val="nil"/>
              <w:left w:val="nil"/>
              <w:bottom w:val="nil"/>
              <w:right w:val="nil"/>
            </w:tcBorders>
          </w:tcPr>
          <w:p>
            <w:pPr>
              <w:pStyle w:val="TableParagraph"/>
              <w:spacing w:line="216" w:lineRule="exact"/>
              <w:ind w:right="127"/>
              <w:rPr>
                <w:sz w:val="19"/>
              </w:rPr>
            </w:pPr>
            <w:r>
              <w:rPr>
                <w:sz w:val="19"/>
              </w:rPr>
              <w:t>(0.019)</w:t>
            </w:r>
          </w:p>
        </w:tc>
        <w:tc>
          <w:tcPr>
            <w:tcW w:w="1277" w:type="dxa"/>
            <w:tcBorders>
              <w:top w:val="nil"/>
              <w:left w:val="nil"/>
              <w:bottom w:val="nil"/>
              <w:right w:val="nil"/>
            </w:tcBorders>
          </w:tcPr>
          <w:p>
            <w:pPr>
              <w:pStyle w:val="TableParagraph"/>
              <w:spacing w:line="216" w:lineRule="exact"/>
              <w:ind w:right="127"/>
              <w:rPr>
                <w:sz w:val="19"/>
              </w:rPr>
            </w:pPr>
            <w:r>
              <w:rPr>
                <w:sz w:val="19"/>
              </w:rPr>
              <w:t>(0.031)</w:t>
            </w:r>
          </w:p>
        </w:tc>
        <w:tc>
          <w:tcPr>
            <w:tcW w:w="1211" w:type="dxa"/>
            <w:tcBorders>
              <w:top w:val="nil"/>
              <w:left w:val="nil"/>
              <w:bottom w:val="nil"/>
              <w:right w:val="nil"/>
            </w:tcBorders>
          </w:tcPr>
          <w:p>
            <w:pPr>
              <w:pStyle w:val="TableParagraph"/>
              <w:spacing w:line="216" w:lineRule="exact"/>
              <w:ind w:right="61"/>
              <w:rPr>
                <w:sz w:val="19"/>
              </w:rPr>
            </w:pPr>
            <w:r>
              <w:rPr>
                <w:sz w:val="19"/>
              </w:rPr>
              <w:t>(0.028)</w:t>
            </w:r>
          </w:p>
        </w:tc>
      </w:tr>
      <w:tr>
        <w:trPr>
          <w:trHeight w:val="230" w:hRule="exact"/>
        </w:trPr>
        <w:tc>
          <w:tcPr>
            <w:tcW w:w="2645" w:type="dxa"/>
            <w:tcBorders>
              <w:top w:val="nil"/>
              <w:left w:val="nil"/>
              <w:bottom w:val="nil"/>
              <w:right w:val="nil"/>
            </w:tcBorders>
          </w:tcPr>
          <w:p>
            <w:pPr>
              <w:pStyle w:val="TableParagraph"/>
              <w:spacing w:line="216" w:lineRule="exact"/>
              <w:ind w:left="71"/>
              <w:jc w:val="left"/>
              <w:rPr>
                <w:sz w:val="19"/>
              </w:rPr>
            </w:pPr>
            <w:r>
              <w:rPr>
                <w:w w:val="105"/>
                <w:sz w:val="19"/>
              </w:rPr>
              <w:t>Suroeste</w:t>
            </w:r>
          </w:p>
        </w:tc>
        <w:tc>
          <w:tcPr>
            <w:tcW w:w="1387" w:type="dxa"/>
            <w:tcBorders>
              <w:top w:val="nil"/>
              <w:left w:val="nil"/>
              <w:bottom w:val="nil"/>
              <w:right w:val="nil"/>
            </w:tcBorders>
          </w:tcPr>
          <w:p>
            <w:pPr>
              <w:pStyle w:val="TableParagraph"/>
              <w:spacing w:line="216" w:lineRule="exact"/>
              <w:ind w:right="127"/>
              <w:rPr>
                <w:sz w:val="19"/>
              </w:rPr>
            </w:pPr>
            <w:r>
              <w:rPr>
                <w:sz w:val="19"/>
              </w:rPr>
              <w:t>0.1656***</w:t>
            </w:r>
          </w:p>
        </w:tc>
        <w:tc>
          <w:tcPr>
            <w:tcW w:w="1276" w:type="dxa"/>
            <w:tcBorders>
              <w:top w:val="nil"/>
              <w:left w:val="nil"/>
              <w:bottom w:val="nil"/>
              <w:right w:val="nil"/>
            </w:tcBorders>
          </w:tcPr>
          <w:p>
            <w:pPr>
              <w:pStyle w:val="TableParagraph"/>
              <w:spacing w:line="216" w:lineRule="exact"/>
              <w:ind w:right="128"/>
              <w:rPr>
                <w:sz w:val="19"/>
              </w:rPr>
            </w:pPr>
            <w:r>
              <w:rPr>
                <w:sz w:val="19"/>
              </w:rPr>
              <w:t>0.1579***</w:t>
            </w:r>
          </w:p>
        </w:tc>
        <w:tc>
          <w:tcPr>
            <w:tcW w:w="1277" w:type="dxa"/>
            <w:tcBorders>
              <w:top w:val="nil"/>
              <w:left w:val="nil"/>
              <w:bottom w:val="nil"/>
              <w:right w:val="nil"/>
            </w:tcBorders>
          </w:tcPr>
          <w:p>
            <w:pPr>
              <w:pStyle w:val="TableParagraph"/>
              <w:spacing w:line="216" w:lineRule="exact"/>
              <w:ind w:right="128"/>
              <w:rPr>
                <w:sz w:val="19"/>
              </w:rPr>
            </w:pPr>
            <w:r>
              <w:rPr>
                <w:sz w:val="19"/>
              </w:rPr>
              <w:t>0.2351***</w:t>
            </w:r>
          </w:p>
        </w:tc>
        <w:tc>
          <w:tcPr>
            <w:tcW w:w="1211" w:type="dxa"/>
            <w:tcBorders>
              <w:top w:val="nil"/>
              <w:left w:val="nil"/>
              <w:bottom w:val="nil"/>
              <w:right w:val="nil"/>
            </w:tcBorders>
          </w:tcPr>
          <w:p>
            <w:pPr>
              <w:pStyle w:val="TableParagraph"/>
              <w:spacing w:line="216" w:lineRule="exact"/>
              <w:ind w:right="62"/>
              <w:rPr>
                <w:sz w:val="19"/>
              </w:rPr>
            </w:pPr>
            <w:r>
              <w:rPr>
                <w:sz w:val="19"/>
              </w:rPr>
              <w:t>0.2229***</w:t>
            </w:r>
          </w:p>
        </w:tc>
      </w:tr>
      <w:tr>
        <w:trPr>
          <w:trHeight w:val="228" w:hRule="exact"/>
        </w:trPr>
        <w:tc>
          <w:tcPr>
            <w:tcW w:w="2645" w:type="dxa"/>
            <w:tcBorders>
              <w:top w:val="nil"/>
              <w:left w:val="nil"/>
              <w:bottom w:val="nil"/>
              <w:right w:val="nil"/>
            </w:tcBorders>
          </w:tcPr>
          <w:p>
            <w:pPr/>
          </w:p>
        </w:tc>
        <w:tc>
          <w:tcPr>
            <w:tcW w:w="1387" w:type="dxa"/>
            <w:tcBorders>
              <w:top w:val="nil"/>
              <w:left w:val="nil"/>
              <w:bottom w:val="nil"/>
              <w:right w:val="nil"/>
            </w:tcBorders>
          </w:tcPr>
          <w:p>
            <w:pPr>
              <w:pStyle w:val="TableParagraph"/>
              <w:spacing w:line="216" w:lineRule="exact"/>
              <w:ind w:right="127"/>
              <w:rPr>
                <w:sz w:val="19"/>
              </w:rPr>
            </w:pPr>
            <w:r>
              <w:rPr>
                <w:sz w:val="19"/>
              </w:rPr>
              <w:t>(0.010)</w:t>
            </w:r>
          </w:p>
        </w:tc>
        <w:tc>
          <w:tcPr>
            <w:tcW w:w="1276" w:type="dxa"/>
            <w:tcBorders>
              <w:top w:val="nil"/>
              <w:left w:val="nil"/>
              <w:bottom w:val="nil"/>
              <w:right w:val="nil"/>
            </w:tcBorders>
          </w:tcPr>
          <w:p>
            <w:pPr>
              <w:pStyle w:val="TableParagraph"/>
              <w:spacing w:line="216" w:lineRule="exact"/>
              <w:ind w:right="127"/>
              <w:rPr>
                <w:sz w:val="19"/>
              </w:rPr>
            </w:pPr>
            <w:r>
              <w:rPr>
                <w:sz w:val="19"/>
              </w:rPr>
              <w:t>(0.010)</w:t>
            </w:r>
          </w:p>
        </w:tc>
        <w:tc>
          <w:tcPr>
            <w:tcW w:w="1277" w:type="dxa"/>
            <w:tcBorders>
              <w:top w:val="nil"/>
              <w:left w:val="nil"/>
              <w:bottom w:val="nil"/>
              <w:right w:val="nil"/>
            </w:tcBorders>
          </w:tcPr>
          <w:p>
            <w:pPr>
              <w:pStyle w:val="TableParagraph"/>
              <w:spacing w:line="216" w:lineRule="exact"/>
              <w:ind w:right="127"/>
              <w:rPr>
                <w:sz w:val="19"/>
              </w:rPr>
            </w:pPr>
            <w:r>
              <w:rPr>
                <w:sz w:val="19"/>
              </w:rPr>
              <w:t>(0.019)</w:t>
            </w:r>
          </w:p>
        </w:tc>
        <w:tc>
          <w:tcPr>
            <w:tcW w:w="1211" w:type="dxa"/>
            <w:tcBorders>
              <w:top w:val="nil"/>
              <w:left w:val="nil"/>
              <w:bottom w:val="nil"/>
              <w:right w:val="nil"/>
            </w:tcBorders>
          </w:tcPr>
          <w:p>
            <w:pPr>
              <w:pStyle w:val="TableParagraph"/>
              <w:spacing w:line="216" w:lineRule="exact"/>
              <w:ind w:right="61"/>
              <w:rPr>
                <w:sz w:val="19"/>
              </w:rPr>
            </w:pPr>
            <w:r>
              <w:rPr>
                <w:sz w:val="19"/>
              </w:rPr>
              <w:t>(0.019)</w:t>
            </w:r>
          </w:p>
        </w:tc>
      </w:tr>
      <w:tr>
        <w:trPr>
          <w:trHeight w:val="228" w:hRule="exact"/>
        </w:trPr>
        <w:tc>
          <w:tcPr>
            <w:tcW w:w="2645" w:type="dxa"/>
            <w:tcBorders>
              <w:top w:val="nil"/>
              <w:left w:val="nil"/>
              <w:bottom w:val="nil"/>
              <w:right w:val="nil"/>
            </w:tcBorders>
          </w:tcPr>
          <w:p>
            <w:pPr>
              <w:pStyle w:val="TableParagraph"/>
              <w:spacing w:line="214" w:lineRule="exact"/>
              <w:ind w:left="71"/>
              <w:jc w:val="left"/>
              <w:rPr>
                <w:sz w:val="19"/>
              </w:rPr>
            </w:pPr>
            <w:r>
              <w:rPr>
                <w:w w:val="105"/>
                <w:sz w:val="19"/>
              </w:rPr>
              <w:t>Residencia no urbana</w:t>
            </w:r>
          </w:p>
        </w:tc>
        <w:tc>
          <w:tcPr>
            <w:tcW w:w="1387" w:type="dxa"/>
            <w:tcBorders>
              <w:top w:val="nil"/>
              <w:left w:val="nil"/>
              <w:bottom w:val="nil"/>
              <w:right w:val="nil"/>
            </w:tcBorders>
          </w:tcPr>
          <w:p>
            <w:pPr>
              <w:pStyle w:val="TableParagraph"/>
              <w:spacing w:line="214" w:lineRule="exact"/>
              <w:ind w:right="127"/>
              <w:rPr>
                <w:sz w:val="19"/>
              </w:rPr>
            </w:pPr>
            <w:r>
              <w:rPr>
                <w:sz w:val="19"/>
              </w:rPr>
              <w:t>0.4389***</w:t>
            </w:r>
          </w:p>
        </w:tc>
        <w:tc>
          <w:tcPr>
            <w:tcW w:w="1276" w:type="dxa"/>
            <w:tcBorders>
              <w:top w:val="nil"/>
              <w:left w:val="nil"/>
              <w:bottom w:val="nil"/>
              <w:right w:val="nil"/>
            </w:tcBorders>
          </w:tcPr>
          <w:p>
            <w:pPr>
              <w:pStyle w:val="TableParagraph"/>
              <w:spacing w:line="214" w:lineRule="exact"/>
              <w:ind w:right="128"/>
              <w:rPr>
                <w:sz w:val="19"/>
              </w:rPr>
            </w:pPr>
            <w:r>
              <w:rPr>
                <w:sz w:val="19"/>
              </w:rPr>
              <w:t>0.5316***</w:t>
            </w:r>
          </w:p>
        </w:tc>
        <w:tc>
          <w:tcPr>
            <w:tcW w:w="1277" w:type="dxa"/>
            <w:tcBorders>
              <w:top w:val="nil"/>
              <w:left w:val="nil"/>
              <w:bottom w:val="nil"/>
              <w:right w:val="nil"/>
            </w:tcBorders>
          </w:tcPr>
          <w:p>
            <w:pPr>
              <w:pStyle w:val="TableParagraph"/>
              <w:spacing w:line="214" w:lineRule="exact"/>
              <w:ind w:right="128"/>
              <w:rPr>
                <w:sz w:val="19"/>
              </w:rPr>
            </w:pPr>
            <w:r>
              <w:rPr>
                <w:sz w:val="19"/>
              </w:rPr>
              <w:t>0.3406***</w:t>
            </w:r>
          </w:p>
        </w:tc>
        <w:tc>
          <w:tcPr>
            <w:tcW w:w="1211" w:type="dxa"/>
            <w:tcBorders>
              <w:top w:val="nil"/>
              <w:left w:val="nil"/>
              <w:bottom w:val="nil"/>
              <w:right w:val="nil"/>
            </w:tcBorders>
          </w:tcPr>
          <w:p>
            <w:pPr>
              <w:pStyle w:val="TableParagraph"/>
              <w:spacing w:line="214" w:lineRule="exact"/>
              <w:ind w:right="62"/>
              <w:rPr>
                <w:sz w:val="19"/>
              </w:rPr>
            </w:pPr>
            <w:r>
              <w:rPr>
                <w:sz w:val="19"/>
              </w:rPr>
              <w:t>0.3436***</w:t>
            </w:r>
          </w:p>
        </w:tc>
      </w:tr>
      <w:tr>
        <w:trPr>
          <w:trHeight w:val="230" w:hRule="exact"/>
        </w:trPr>
        <w:tc>
          <w:tcPr>
            <w:tcW w:w="2645" w:type="dxa"/>
            <w:tcBorders>
              <w:top w:val="nil"/>
              <w:left w:val="nil"/>
              <w:bottom w:val="nil"/>
              <w:right w:val="nil"/>
            </w:tcBorders>
          </w:tcPr>
          <w:p>
            <w:pPr/>
          </w:p>
        </w:tc>
        <w:tc>
          <w:tcPr>
            <w:tcW w:w="1387" w:type="dxa"/>
            <w:tcBorders>
              <w:top w:val="nil"/>
              <w:left w:val="nil"/>
              <w:bottom w:val="nil"/>
              <w:right w:val="nil"/>
            </w:tcBorders>
          </w:tcPr>
          <w:p>
            <w:pPr>
              <w:pStyle w:val="TableParagraph"/>
              <w:spacing w:line="216" w:lineRule="exact"/>
              <w:ind w:right="127"/>
              <w:rPr>
                <w:sz w:val="19"/>
              </w:rPr>
            </w:pPr>
            <w:r>
              <w:rPr>
                <w:sz w:val="19"/>
              </w:rPr>
              <w:t>(0.011)</w:t>
            </w:r>
          </w:p>
        </w:tc>
        <w:tc>
          <w:tcPr>
            <w:tcW w:w="1276" w:type="dxa"/>
            <w:tcBorders>
              <w:top w:val="nil"/>
              <w:left w:val="nil"/>
              <w:bottom w:val="nil"/>
              <w:right w:val="nil"/>
            </w:tcBorders>
          </w:tcPr>
          <w:p>
            <w:pPr>
              <w:pStyle w:val="TableParagraph"/>
              <w:spacing w:line="216" w:lineRule="exact"/>
              <w:ind w:right="127"/>
              <w:rPr>
                <w:sz w:val="19"/>
              </w:rPr>
            </w:pPr>
            <w:r>
              <w:rPr>
                <w:sz w:val="19"/>
              </w:rPr>
              <w:t>(0.015)</w:t>
            </w:r>
          </w:p>
        </w:tc>
        <w:tc>
          <w:tcPr>
            <w:tcW w:w="1277" w:type="dxa"/>
            <w:tcBorders>
              <w:top w:val="nil"/>
              <w:left w:val="nil"/>
              <w:bottom w:val="nil"/>
              <w:right w:val="nil"/>
            </w:tcBorders>
          </w:tcPr>
          <w:p>
            <w:pPr>
              <w:pStyle w:val="TableParagraph"/>
              <w:spacing w:line="216" w:lineRule="exact"/>
              <w:ind w:right="127"/>
              <w:rPr>
                <w:sz w:val="19"/>
              </w:rPr>
            </w:pPr>
            <w:r>
              <w:rPr>
                <w:sz w:val="19"/>
              </w:rPr>
              <w:t>(0.013)</w:t>
            </w:r>
          </w:p>
        </w:tc>
        <w:tc>
          <w:tcPr>
            <w:tcW w:w="1211" w:type="dxa"/>
            <w:tcBorders>
              <w:top w:val="nil"/>
              <w:left w:val="nil"/>
              <w:bottom w:val="nil"/>
              <w:right w:val="nil"/>
            </w:tcBorders>
          </w:tcPr>
          <w:p>
            <w:pPr>
              <w:pStyle w:val="TableParagraph"/>
              <w:spacing w:line="216" w:lineRule="exact"/>
              <w:ind w:right="61"/>
              <w:rPr>
                <w:sz w:val="19"/>
              </w:rPr>
            </w:pPr>
            <w:r>
              <w:rPr>
                <w:sz w:val="19"/>
              </w:rPr>
              <w:t>(0.013)</w:t>
            </w:r>
          </w:p>
        </w:tc>
      </w:tr>
      <w:tr>
        <w:trPr>
          <w:trHeight w:val="230" w:hRule="exact"/>
        </w:trPr>
        <w:tc>
          <w:tcPr>
            <w:tcW w:w="2645" w:type="dxa"/>
            <w:tcBorders>
              <w:top w:val="nil"/>
              <w:left w:val="nil"/>
              <w:bottom w:val="nil"/>
              <w:right w:val="nil"/>
            </w:tcBorders>
          </w:tcPr>
          <w:p>
            <w:pPr>
              <w:pStyle w:val="TableParagraph"/>
              <w:spacing w:line="216" w:lineRule="exact"/>
              <w:ind w:left="71"/>
              <w:jc w:val="left"/>
              <w:rPr>
                <w:sz w:val="19"/>
              </w:rPr>
            </w:pPr>
            <w:r>
              <w:rPr>
                <w:w w:val="105"/>
                <w:sz w:val="19"/>
              </w:rPr>
              <w:t>Vendedores y servicios</w:t>
            </w:r>
          </w:p>
        </w:tc>
        <w:tc>
          <w:tcPr>
            <w:tcW w:w="1387" w:type="dxa"/>
            <w:tcBorders>
              <w:top w:val="nil"/>
              <w:left w:val="nil"/>
              <w:bottom w:val="nil"/>
              <w:right w:val="nil"/>
            </w:tcBorders>
          </w:tcPr>
          <w:p>
            <w:pPr/>
          </w:p>
        </w:tc>
        <w:tc>
          <w:tcPr>
            <w:tcW w:w="1276" w:type="dxa"/>
            <w:tcBorders>
              <w:top w:val="nil"/>
              <w:left w:val="nil"/>
              <w:bottom w:val="nil"/>
              <w:right w:val="nil"/>
            </w:tcBorders>
          </w:tcPr>
          <w:p>
            <w:pPr>
              <w:pStyle w:val="TableParagraph"/>
              <w:spacing w:line="216" w:lineRule="exact"/>
              <w:ind w:right="128"/>
              <w:rPr>
                <w:sz w:val="19"/>
              </w:rPr>
            </w:pPr>
            <w:r>
              <w:rPr>
                <w:sz w:val="19"/>
              </w:rPr>
              <w:t>0.2282***</w:t>
            </w:r>
          </w:p>
        </w:tc>
        <w:tc>
          <w:tcPr>
            <w:tcW w:w="1277" w:type="dxa"/>
            <w:tcBorders>
              <w:top w:val="nil"/>
              <w:left w:val="nil"/>
              <w:bottom w:val="nil"/>
              <w:right w:val="nil"/>
            </w:tcBorders>
          </w:tcPr>
          <w:p>
            <w:pPr>
              <w:pStyle w:val="TableParagraph"/>
              <w:spacing w:line="216" w:lineRule="exact"/>
              <w:ind w:right="128"/>
              <w:rPr>
                <w:sz w:val="19"/>
              </w:rPr>
            </w:pPr>
            <w:r>
              <w:rPr>
                <w:sz w:val="19"/>
              </w:rPr>
              <w:t>0.5192***</w:t>
            </w:r>
          </w:p>
        </w:tc>
        <w:tc>
          <w:tcPr>
            <w:tcW w:w="1211" w:type="dxa"/>
            <w:tcBorders>
              <w:top w:val="nil"/>
              <w:left w:val="nil"/>
              <w:bottom w:val="nil"/>
              <w:right w:val="nil"/>
            </w:tcBorders>
          </w:tcPr>
          <w:p>
            <w:pPr>
              <w:pStyle w:val="TableParagraph"/>
              <w:spacing w:line="216" w:lineRule="exact"/>
              <w:ind w:right="62"/>
              <w:rPr>
                <w:sz w:val="19"/>
              </w:rPr>
            </w:pPr>
            <w:r>
              <w:rPr>
                <w:sz w:val="19"/>
              </w:rPr>
              <w:t>0.5049***</w:t>
            </w:r>
          </w:p>
        </w:tc>
      </w:tr>
      <w:tr>
        <w:trPr>
          <w:trHeight w:val="230" w:hRule="exact"/>
        </w:trPr>
        <w:tc>
          <w:tcPr>
            <w:tcW w:w="2645" w:type="dxa"/>
            <w:tcBorders>
              <w:top w:val="nil"/>
              <w:left w:val="nil"/>
              <w:bottom w:val="nil"/>
              <w:right w:val="nil"/>
            </w:tcBorders>
          </w:tcPr>
          <w:p>
            <w:pPr/>
          </w:p>
        </w:tc>
        <w:tc>
          <w:tcPr>
            <w:tcW w:w="1387" w:type="dxa"/>
            <w:tcBorders>
              <w:top w:val="nil"/>
              <w:left w:val="nil"/>
              <w:bottom w:val="nil"/>
              <w:right w:val="nil"/>
            </w:tcBorders>
          </w:tcPr>
          <w:p>
            <w:pPr/>
          </w:p>
        </w:tc>
        <w:tc>
          <w:tcPr>
            <w:tcW w:w="1276" w:type="dxa"/>
            <w:tcBorders>
              <w:top w:val="nil"/>
              <w:left w:val="nil"/>
              <w:bottom w:val="nil"/>
              <w:right w:val="nil"/>
            </w:tcBorders>
          </w:tcPr>
          <w:p>
            <w:pPr>
              <w:pStyle w:val="TableParagraph"/>
              <w:spacing w:line="216" w:lineRule="exact"/>
              <w:ind w:right="127"/>
              <w:rPr>
                <w:sz w:val="19"/>
              </w:rPr>
            </w:pPr>
            <w:r>
              <w:rPr>
                <w:sz w:val="19"/>
              </w:rPr>
              <w:t>(0.011)</w:t>
            </w:r>
          </w:p>
        </w:tc>
        <w:tc>
          <w:tcPr>
            <w:tcW w:w="1277" w:type="dxa"/>
            <w:tcBorders>
              <w:top w:val="nil"/>
              <w:left w:val="nil"/>
              <w:bottom w:val="nil"/>
              <w:right w:val="nil"/>
            </w:tcBorders>
          </w:tcPr>
          <w:p>
            <w:pPr>
              <w:pStyle w:val="TableParagraph"/>
              <w:spacing w:line="216" w:lineRule="exact"/>
              <w:ind w:right="127"/>
              <w:rPr>
                <w:sz w:val="19"/>
              </w:rPr>
            </w:pPr>
            <w:r>
              <w:rPr>
                <w:sz w:val="19"/>
              </w:rPr>
              <w:t>(0.032)</w:t>
            </w:r>
          </w:p>
        </w:tc>
        <w:tc>
          <w:tcPr>
            <w:tcW w:w="1211" w:type="dxa"/>
            <w:tcBorders>
              <w:top w:val="nil"/>
              <w:left w:val="nil"/>
              <w:bottom w:val="nil"/>
              <w:right w:val="nil"/>
            </w:tcBorders>
          </w:tcPr>
          <w:p>
            <w:pPr>
              <w:pStyle w:val="TableParagraph"/>
              <w:spacing w:line="216" w:lineRule="exact"/>
              <w:ind w:right="61"/>
              <w:rPr>
                <w:sz w:val="19"/>
              </w:rPr>
            </w:pPr>
            <w:r>
              <w:rPr>
                <w:sz w:val="19"/>
              </w:rPr>
              <w:t>(0.031)</w:t>
            </w:r>
          </w:p>
        </w:tc>
      </w:tr>
      <w:tr>
        <w:trPr>
          <w:trHeight w:val="230" w:hRule="exact"/>
        </w:trPr>
        <w:tc>
          <w:tcPr>
            <w:tcW w:w="2645" w:type="dxa"/>
            <w:tcBorders>
              <w:top w:val="nil"/>
              <w:left w:val="nil"/>
              <w:bottom w:val="nil"/>
              <w:right w:val="nil"/>
            </w:tcBorders>
          </w:tcPr>
          <w:p>
            <w:pPr>
              <w:pStyle w:val="TableParagraph"/>
              <w:spacing w:line="216" w:lineRule="exact"/>
              <w:ind w:left="71"/>
              <w:jc w:val="left"/>
              <w:rPr>
                <w:sz w:val="19"/>
              </w:rPr>
            </w:pPr>
            <w:r>
              <w:rPr>
                <w:w w:val="105"/>
                <w:sz w:val="19"/>
              </w:rPr>
              <w:t>Operadores, operarios</w:t>
            </w:r>
          </w:p>
        </w:tc>
        <w:tc>
          <w:tcPr>
            <w:tcW w:w="1387" w:type="dxa"/>
            <w:tcBorders>
              <w:top w:val="nil"/>
              <w:left w:val="nil"/>
              <w:bottom w:val="nil"/>
              <w:right w:val="nil"/>
            </w:tcBorders>
          </w:tcPr>
          <w:p>
            <w:pPr/>
          </w:p>
        </w:tc>
        <w:tc>
          <w:tcPr>
            <w:tcW w:w="1276" w:type="dxa"/>
            <w:tcBorders>
              <w:top w:val="nil"/>
              <w:left w:val="nil"/>
              <w:bottom w:val="nil"/>
              <w:right w:val="nil"/>
            </w:tcBorders>
          </w:tcPr>
          <w:p>
            <w:pPr>
              <w:pStyle w:val="TableParagraph"/>
              <w:spacing w:line="216" w:lineRule="exact"/>
              <w:ind w:right="128"/>
              <w:rPr>
                <w:sz w:val="19"/>
              </w:rPr>
            </w:pPr>
            <w:r>
              <w:rPr>
                <w:sz w:val="19"/>
              </w:rPr>
              <w:t>0.2914***</w:t>
            </w:r>
          </w:p>
        </w:tc>
        <w:tc>
          <w:tcPr>
            <w:tcW w:w="1277" w:type="dxa"/>
            <w:tcBorders>
              <w:top w:val="nil"/>
              <w:left w:val="nil"/>
              <w:bottom w:val="nil"/>
              <w:right w:val="nil"/>
            </w:tcBorders>
          </w:tcPr>
          <w:p>
            <w:pPr>
              <w:pStyle w:val="TableParagraph"/>
              <w:spacing w:line="216" w:lineRule="exact"/>
              <w:ind w:right="128"/>
              <w:rPr>
                <w:sz w:val="19"/>
              </w:rPr>
            </w:pPr>
            <w:r>
              <w:rPr>
                <w:sz w:val="19"/>
              </w:rPr>
              <w:t>0.5461***</w:t>
            </w:r>
          </w:p>
        </w:tc>
        <w:tc>
          <w:tcPr>
            <w:tcW w:w="1211" w:type="dxa"/>
            <w:tcBorders>
              <w:top w:val="nil"/>
              <w:left w:val="nil"/>
              <w:bottom w:val="nil"/>
              <w:right w:val="nil"/>
            </w:tcBorders>
          </w:tcPr>
          <w:p>
            <w:pPr>
              <w:pStyle w:val="TableParagraph"/>
              <w:spacing w:line="216" w:lineRule="exact"/>
              <w:ind w:right="62"/>
              <w:rPr>
                <w:sz w:val="19"/>
              </w:rPr>
            </w:pPr>
            <w:r>
              <w:rPr>
                <w:sz w:val="19"/>
              </w:rPr>
              <w:t>0.5130***</w:t>
            </w:r>
          </w:p>
        </w:tc>
      </w:tr>
      <w:tr>
        <w:trPr>
          <w:trHeight w:val="230" w:hRule="exact"/>
        </w:trPr>
        <w:tc>
          <w:tcPr>
            <w:tcW w:w="2645" w:type="dxa"/>
            <w:tcBorders>
              <w:top w:val="nil"/>
              <w:left w:val="nil"/>
              <w:bottom w:val="nil"/>
              <w:right w:val="nil"/>
            </w:tcBorders>
          </w:tcPr>
          <w:p>
            <w:pPr/>
          </w:p>
        </w:tc>
        <w:tc>
          <w:tcPr>
            <w:tcW w:w="1387" w:type="dxa"/>
            <w:tcBorders>
              <w:top w:val="nil"/>
              <w:left w:val="nil"/>
              <w:bottom w:val="nil"/>
              <w:right w:val="nil"/>
            </w:tcBorders>
          </w:tcPr>
          <w:p>
            <w:pPr/>
          </w:p>
        </w:tc>
        <w:tc>
          <w:tcPr>
            <w:tcW w:w="1276" w:type="dxa"/>
            <w:tcBorders>
              <w:top w:val="nil"/>
              <w:left w:val="nil"/>
              <w:bottom w:val="nil"/>
              <w:right w:val="nil"/>
            </w:tcBorders>
          </w:tcPr>
          <w:p>
            <w:pPr>
              <w:pStyle w:val="TableParagraph"/>
              <w:spacing w:line="216" w:lineRule="exact"/>
              <w:ind w:right="127"/>
              <w:rPr>
                <w:sz w:val="19"/>
              </w:rPr>
            </w:pPr>
            <w:r>
              <w:rPr>
                <w:sz w:val="19"/>
              </w:rPr>
              <w:t>(0.019)</w:t>
            </w:r>
          </w:p>
        </w:tc>
        <w:tc>
          <w:tcPr>
            <w:tcW w:w="1277" w:type="dxa"/>
            <w:tcBorders>
              <w:top w:val="nil"/>
              <w:left w:val="nil"/>
              <w:bottom w:val="nil"/>
              <w:right w:val="nil"/>
            </w:tcBorders>
          </w:tcPr>
          <w:p>
            <w:pPr>
              <w:pStyle w:val="TableParagraph"/>
              <w:spacing w:line="216" w:lineRule="exact"/>
              <w:ind w:right="128"/>
              <w:rPr>
                <w:sz w:val="19"/>
              </w:rPr>
            </w:pPr>
            <w:r>
              <w:rPr>
                <w:sz w:val="19"/>
              </w:rPr>
              <w:t>(0.046)</w:t>
            </w:r>
          </w:p>
        </w:tc>
        <w:tc>
          <w:tcPr>
            <w:tcW w:w="1211" w:type="dxa"/>
            <w:tcBorders>
              <w:top w:val="nil"/>
              <w:left w:val="nil"/>
              <w:bottom w:val="nil"/>
              <w:right w:val="nil"/>
            </w:tcBorders>
          </w:tcPr>
          <w:p>
            <w:pPr>
              <w:pStyle w:val="TableParagraph"/>
              <w:spacing w:line="216" w:lineRule="exact"/>
              <w:ind w:right="62"/>
              <w:rPr>
                <w:sz w:val="19"/>
              </w:rPr>
            </w:pPr>
            <w:r>
              <w:rPr>
                <w:sz w:val="19"/>
              </w:rPr>
              <w:t>(0.043)</w:t>
            </w:r>
          </w:p>
        </w:tc>
      </w:tr>
      <w:tr>
        <w:trPr>
          <w:trHeight w:val="230" w:hRule="exact"/>
        </w:trPr>
        <w:tc>
          <w:tcPr>
            <w:tcW w:w="2645" w:type="dxa"/>
            <w:tcBorders>
              <w:top w:val="nil"/>
              <w:left w:val="nil"/>
              <w:bottom w:val="nil"/>
              <w:right w:val="nil"/>
            </w:tcBorders>
          </w:tcPr>
          <w:p>
            <w:pPr>
              <w:pStyle w:val="TableParagraph"/>
              <w:spacing w:line="216" w:lineRule="exact"/>
              <w:ind w:left="71"/>
              <w:jc w:val="left"/>
              <w:rPr>
                <w:sz w:val="19"/>
              </w:rPr>
            </w:pPr>
            <w:r>
              <w:rPr>
                <w:w w:val="105"/>
                <w:sz w:val="19"/>
              </w:rPr>
              <w:t>Peones y otros no calificados</w:t>
            </w:r>
          </w:p>
        </w:tc>
        <w:tc>
          <w:tcPr>
            <w:tcW w:w="1387" w:type="dxa"/>
            <w:tcBorders>
              <w:top w:val="nil"/>
              <w:left w:val="nil"/>
              <w:bottom w:val="nil"/>
              <w:right w:val="nil"/>
            </w:tcBorders>
          </w:tcPr>
          <w:p>
            <w:pPr/>
          </w:p>
        </w:tc>
        <w:tc>
          <w:tcPr>
            <w:tcW w:w="1276" w:type="dxa"/>
            <w:tcBorders>
              <w:top w:val="nil"/>
              <w:left w:val="nil"/>
              <w:bottom w:val="nil"/>
              <w:right w:val="nil"/>
            </w:tcBorders>
          </w:tcPr>
          <w:p>
            <w:pPr>
              <w:pStyle w:val="TableParagraph"/>
              <w:spacing w:line="216" w:lineRule="exact"/>
              <w:ind w:right="128"/>
              <w:rPr>
                <w:sz w:val="19"/>
              </w:rPr>
            </w:pPr>
            <w:r>
              <w:rPr>
                <w:sz w:val="19"/>
              </w:rPr>
              <w:t>0.1064***</w:t>
            </w:r>
          </w:p>
        </w:tc>
        <w:tc>
          <w:tcPr>
            <w:tcW w:w="1277" w:type="dxa"/>
            <w:tcBorders>
              <w:top w:val="nil"/>
              <w:left w:val="nil"/>
              <w:bottom w:val="nil"/>
              <w:right w:val="nil"/>
            </w:tcBorders>
          </w:tcPr>
          <w:p>
            <w:pPr>
              <w:pStyle w:val="TableParagraph"/>
              <w:spacing w:line="216" w:lineRule="exact"/>
              <w:ind w:right="128"/>
              <w:rPr>
                <w:sz w:val="19"/>
              </w:rPr>
            </w:pPr>
            <w:r>
              <w:rPr>
                <w:sz w:val="19"/>
              </w:rPr>
              <w:t>0.0994***</w:t>
            </w:r>
          </w:p>
        </w:tc>
        <w:tc>
          <w:tcPr>
            <w:tcW w:w="1211" w:type="dxa"/>
            <w:tcBorders>
              <w:top w:val="nil"/>
              <w:left w:val="nil"/>
              <w:bottom w:val="nil"/>
              <w:right w:val="nil"/>
            </w:tcBorders>
          </w:tcPr>
          <w:p>
            <w:pPr>
              <w:pStyle w:val="TableParagraph"/>
              <w:spacing w:line="216" w:lineRule="exact"/>
              <w:ind w:right="62"/>
              <w:rPr>
                <w:sz w:val="19"/>
              </w:rPr>
            </w:pPr>
            <w:r>
              <w:rPr>
                <w:sz w:val="19"/>
              </w:rPr>
              <w:t>0.0988***</w:t>
            </w:r>
          </w:p>
        </w:tc>
      </w:tr>
      <w:tr>
        <w:trPr>
          <w:trHeight w:val="230" w:hRule="exact"/>
        </w:trPr>
        <w:tc>
          <w:tcPr>
            <w:tcW w:w="2645" w:type="dxa"/>
            <w:tcBorders>
              <w:top w:val="nil"/>
              <w:left w:val="nil"/>
              <w:bottom w:val="nil"/>
              <w:right w:val="nil"/>
            </w:tcBorders>
          </w:tcPr>
          <w:p>
            <w:pPr/>
          </w:p>
        </w:tc>
        <w:tc>
          <w:tcPr>
            <w:tcW w:w="1387" w:type="dxa"/>
            <w:tcBorders>
              <w:top w:val="nil"/>
              <w:left w:val="nil"/>
              <w:bottom w:val="nil"/>
              <w:right w:val="nil"/>
            </w:tcBorders>
          </w:tcPr>
          <w:p>
            <w:pPr/>
          </w:p>
        </w:tc>
        <w:tc>
          <w:tcPr>
            <w:tcW w:w="1276" w:type="dxa"/>
            <w:tcBorders>
              <w:top w:val="nil"/>
              <w:left w:val="nil"/>
              <w:bottom w:val="nil"/>
              <w:right w:val="nil"/>
            </w:tcBorders>
          </w:tcPr>
          <w:p>
            <w:pPr>
              <w:pStyle w:val="TableParagraph"/>
              <w:spacing w:line="216" w:lineRule="exact"/>
              <w:ind w:right="127"/>
              <w:rPr>
                <w:sz w:val="19"/>
              </w:rPr>
            </w:pPr>
            <w:r>
              <w:rPr>
                <w:sz w:val="19"/>
              </w:rPr>
              <w:t>(0.006)</w:t>
            </w:r>
          </w:p>
        </w:tc>
        <w:tc>
          <w:tcPr>
            <w:tcW w:w="1277" w:type="dxa"/>
            <w:tcBorders>
              <w:top w:val="nil"/>
              <w:left w:val="nil"/>
              <w:bottom w:val="nil"/>
              <w:right w:val="nil"/>
            </w:tcBorders>
          </w:tcPr>
          <w:p>
            <w:pPr>
              <w:pStyle w:val="TableParagraph"/>
              <w:spacing w:line="216" w:lineRule="exact"/>
              <w:ind w:right="128"/>
              <w:rPr>
                <w:sz w:val="19"/>
              </w:rPr>
            </w:pPr>
            <w:r>
              <w:rPr>
                <w:sz w:val="19"/>
              </w:rPr>
              <w:t>(0.007)</w:t>
            </w:r>
          </w:p>
        </w:tc>
        <w:tc>
          <w:tcPr>
            <w:tcW w:w="1211" w:type="dxa"/>
            <w:tcBorders>
              <w:top w:val="nil"/>
              <w:left w:val="nil"/>
              <w:bottom w:val="nil"/>
              <w:right w:val="nil"/>
            </w:tcBorders>
          </w:tcPr>
          <w:p>
            <w:pPr>
              <w:pStyle w:val="TableParagraph"/>
              <w:spacing w:line="216" w:lineRule="exact"/>
              <w:ind w:right="62"/>
              <w:rPr>
                <w:sz w:val="19"/>
              </w:rPr>
            </w:pPr>
            <w:r>
              <w:rPr>
                <w:sz w:val="19"/>
              </w:rPr>
              <w:t>(0.007)</w:t>
            </w:r>
          </w:p>
        </w:tc>
      </w:tr>
      <w:tr>
        <w:trPr>
          <w:trHeight w:val="230" w:hRule="exact"/>
        </w:trPr>
        <w:tc>
          <w:tcPr>
            <w:tcW w:w="2645" w:type="dxa"/>
            <w:tcBorders>
              <w:top w:val="nil"/>
              <w:left w:val="nil"/>
              <w:bottom w:val="nil"/>
              <w:right w:val="nil"/>
            </w:tcBorders>
          </w:tcPr>
          <w:p>
            <w:pPr>
              <w:pStyle w:val="TableParagraph"/>
              <w:spacing w:line="216" w:lineRule="exact"/>
              <w:ind w:left="71"/>
              <w:jc w:val="left"/>
              <w:rPr>
                <w:sz w:val="19"/>
              </w:rPr>
            </w:pPr>
            <w:r>
              <w:rPr>
                <w:w w:val="105"/>
                <w:sz w:val="19"/>
              </w:rPr>
              <w:t>Micronegocios no agrícolas</w:t>
            </w:r>
          </w:p>
        </w:tc>
        <w:tc>
          <w:tcPr>
            <w:tcW w:w="1387" w:type="dxa"/>
            <w:tcBorders>
              <w:top w:val="nil"/>
              <w:left w:val="nil"/>
              <w:bottom w:val="nil"/>
              <w:right w:val="nil"/>
            </w:tcBorders>
          </w:tcPr>
          <w:p>
            <w:pPr/>
          </w:p>
        </w:tc>
        <w:tc>
          <w:tcPr>
            <w:tcW w:w="1276" w:type="dxa"/>
            <w:tcBorders>
              <w:top w:val="nil"/>
              <w:left w:val="nil"/>
              <w:bottom w:val="nil"/>
              <w:right w:val="nil"/>
            </w:tcBorders>
          </w:tcPr>
          <w:p>
            <w:pPr/>
          </w:p>
        </w:tc>
        <w:tc>
          <w:tcPr>
            <w:tcW w:w="1277" w:type="dxa"/>
            <w:tcBorders>
              <w:top w:val="nil"/>
              <w:left w:val="nil"/>
              <w:bottom w:val="nil"/>
              <w:right w:val="nil"/>
            </w:tcBorders>
          </w:tcPr>
          <w:p>
            <w:pPr>
              <w:pStyle w:val="TableParagraph"/>
              <w:spacing w:line="216" w:lineRule="exact"/>
              <w:ind w:right="128"/>
              <w:rPr>
                <w:sz w:val="19"/>
              </w:rPr>
            </w:pPr>
            <w:r>
              <w:rPr>
                <w:sz w:val="19"/>
              </w:rPr>
              <w:t>0.0179***</w:t>
            </w:r>
          </w:p>
        </w:tc>
        <w:tc>
          <w:tcPr>
            <w:tcW w:w="1211" w:type="dxa"/>
            <w:tcBorders>
              <w:top w:val="nil"/>
              <w:left w:val="nil"/>
              <w:bottom w:val="nil"/>
              <w:right w:val="nil"/>
            </w:tcBorders>
          </w:tcPr>
          <w:p>
            <w:pPr>
              <w:pStyle w:val="TableParagraph"/>
              <w:spacing w:line="216" w:lineRule="exact"/>
              <w:ind w:right="62"/>
              <w:rPr>
                <w:sz w:val="19"/>
              </w:rPr>
            </w:pPr>
            <w:r>
              <w:rPr>
                <w:sz w:val="19"/>
              </w:rPr>
              <w:t>0.0187***</w:t>
            </w:r>
          </w:p>
        </w:tc>
      </w:tr>
      <w:tr>
        <w:trPr>
          <w:trHeight w:val="230" w:hRule="exact"/>
        </w:trPr>
        <w:tc>
          <w:tcPr>
            <w:tcW w:w="2645" w:type="dxa"/>
            <w:tcBorders>
              <w:top w:val="nil"/>
              <w:left w:val="nil"/>
              <w:bottom w:val="nil"/>
              <w:right w:val="nil"/>
            </w:tcBorders>
          </w:tcPr>
          <w:p>
            <w:pPr/>
          </w:p>
        </w:tc>
        <w:tc>
          <w:tcPr>
            <w:tcW w:w="1387" w:type="dxa"/>
            <w:tcBorders>
              <w:top w:val="nil"/>
              <w:left w:val="nil"/>
              <w:bottom w:val="nil"/>
              <w:right w:val="nil"/>
            </w:tcBorders>
          </w:tcPr>
          <w:p>
            <w:pPr/>
          </w:p>
        </w:tc>
        <w:tc>
          <w:tcPr>
            <w:tcW w:w="1276" w:type="dxa"/>
            <w:tcBorders>
              <w:top w:val="nil"/>
              <w:left w:val="nil"/>
              <w:bottom w:val="nil"/>
              <w:right w:val="nil"/>
            </w:tcBorders>
          </w:tcPr>
          <w:p>
            <w:pPr/>
          </w:p>
        </w:tc>
        <w:tc>
          <w:tcPr>
            <w:tcW w:w="1277" w:type="dxa"/>
            <w:tcBorders>
              <w:top w:val="nil"/>
              <w:left w:val="nil"/>
              <w:bottom w:val="nil"/>
              <w:right w:val="nil"/>
            </w:tcBorders>
          </w:tcPr>
          <w:p>
            <w:pPr>
              <w:pStyle w:val="TableParagraph"/>
              <w:spacing w:line="216" w:lineRule="exact"/>
              <w:ind w:right="127"/>
              <w:rPr>
                <w:sz w:val="19"/>
              </w:rPr>
            </w:pPr>
            <w:r>
              <w:rPr>
                <w:sz w:val="19"/>
              </w:rPr>
              <w:t>(0.001)</w:t>
            </w:r>
          </w:p>
        </w:tc>
        <w:tc>
          <w:tcPr>
            <w:tcW w:w="1211" w:type="dxa"/>
            <w:tcBorders>
              <w:top w:val="nil"/>
              <w:left w:val="nil"/>
              <w:bottom w:val="nil"/>
              <w:right w:val="nil"/>
            </w:tcBorders>
          </w:tcPr>
          <w:p>
            <w:pPr>
              <w:pStyle w:val="TableParagraph"/>
              <w:spacing w:line="216" w:lineRule="exact"/>
              <w:ind w:right="61"/>
              <w:rPr>
                <w:sz w:val="19"/>
              </w:rPr>
            </w:pPr>
            <w:r>
              <w:rPr>
                <w:sz w:val="19"/>
              </w:rPr>
              <w:t>(0.001)</w:t>
            </w:r>
          </w:p>
        </w:tc>
      </w:tr>
      <w:tr>
        <w:trPr>
          <w:trHeight w:val="230" w:hRule="exact"/>
        </w:trPr>
        <w:tc>
          <w:tcPr>
            <w:tcW w:w="2645" w:type="dxa"/>
            <w:tcBorders>
              <w:top w:val="nil"/>
              <w:left w:val="nil"/>
              <w:bottom w:val="nil"/>
              <w:right w:val="nil"/>
            </w:tcBorders>
          </w:tcPr>
          <w:p>
            <w:pPr>
              <w:pStyle w:val="TableParagraph"/>
              <w:spacing w:line="216" w:lineRule="exact"/>
              <w:ind w:left="71"/>
              <w:jc w:val="left"/>
              <w:rPr>
                <w:sz w:val="19"/>
              </w:rPr>
            </w:pPr>
            <w:r>
              <w:rPr>
                <w:w w:val="105"/>
                <w:sz w:val="19"/>
              </w:rPr>
              <w:t>Petróleo</w:t>
            </w:r>
          </w:p>
        </w:tc>
        <w:tc>
          <w:tcPr>
            <w:tcW w:w="1387" w:type="dxa"/>
            <w:tcBorders>
              <w:top w:val="nil"/>
              <w:left w:val="nil"/>
              <w:bottom w:val="nil"/>
              <w:right w:val="nil"/>
            </w:tcBorders>
          </w:tcPr>
          <w:p>
            <w:pPr/>
          </w:p>
        </w:tc>
        <w:tc>
          <w:tcPr>
            <w:tcW w:w="1276" w:type="dxa"/>
            <w:tcBorders>
              <w:top w:val="nil"/>
              <w:left w:val="nil"/>
              <w:bottom w:val="nil"/>
              <w:right w:val="nil"/>
            </w:tcBorders>
          </w:tcPr>
          <w:p>
            <w:pPr/>
          </w:p>
        </w:tc>
        <w:tc>
          <w:tcPr>
            <w:tcW w:w="1277" w:type="dxa"/>
            <w:tcBorders>
              <w:top w:val="nil"/>
              <w:left w:val="nil"/>
              <w:bottom w:val="nil"/>
              <w:right w:val="nil"/>
            </w:tcBorders>
          </w:tcPr>
          <w:p>
            <w:pPr/>
          </w:p>
        </w:tc>
        <w:tc>
          <w:tcPr>
            <w:tcW w:w="1211" w:type="dxa"/>
            <w:tcBorders>
              <w:top w:val="nil"/>
              <w:left w:val="nil"/>
              <w:bottom w:val="nil"/>
              <w:right w:val="nil"/>
            </w:tcBorders>
          </w:tcPr>
          <w:p>
            <w:pPr>
              <w:pStyle w:val="TableParagraph"/>
              <w:spacing w:line="216" w:lineRule="exact"/>
              <w:ind w:right="62"/>
              <w:rPr>
                <w:sz w:val="19"/>
              </w:rPr>
            </w:pPr>
            <w:r>
              <w:rPr>
                <w:sz w:val="19"/>
              </w:rPr>
              <w:t>11.9640***</w:t>
            </w:r>
          </w:p>
        </w:tc>
      </w:tr>
      <w:tr>
        <w:trPr>
          <w:trHeight w:val="209" w:hRule="exact"/>
        </w:trPr>
        <w:tc>
          <w:tcPr>
            <w:tcW w:w="2645" w:type="dxa"/>
            <w:tcBorders>
              <w:top w:val="nil"/>
              <w:left w:val="nil"/>
              <w:bottom w:val="nil"/>
              <w:right w:val="nil"/>
            </w:tcBorders>
          </w:tcPr>
          <w:p>
            <w:pPr/>
          </w:p>
        </w:tc>
        <w:tc>
          <w:tcPr>
            <w:tcW w:w="1387" w:type="dxa"/>
            <w:tcBorders>
              <w:top w:val="nil"/>
              <w:left w:val="nil"/>
              <w:bottom w:val="nil"/>
              <w:right w:val="nil"/>
            </w:tcBorders>
          </w:tcPr>
          <w:p>
            <w:pPr/>
          </w:p>
        </w:tc>
        <w:tc>
          <w:tcPr>
            <w:tcW w:w="1276" w:type="dxa"/>
            <w:tcBorders>
              <w:top w:val="nil"/>
              <w:left w:val="nil"/>
              <w:bottom w:val="nil"/>
              <w:right w:val="nil"/>
            </w:tcBorders>
          </w:tcPr>
          <w:p>
            <w:pPr/>
          </w:p>
        </w:tc>
        <w:tc>
          <w:tcPr>
            <w:tcW w:w="1277" w:type="dxa"/>
            <w:tcBorders>
              <w:top w:val="nil"/>
              <w:left w:val="nil"/>
              <w:bottom w:val="nil"/>
              <w:right w:val="nil"/>
            </w:tcBorders>
          </w:tcPr>
          <w:p>
            <w:pPr/>
          </w:p>
        </w:tc>
        <w:tc>
          <w:tcPr>
            <w:tcW w:w="1211" w:type="dxa"/>
            <w:tcBorders>
              <w:top w:val="nil"/>
              <w:left w:val="nil"/>
              <w:bottom w:val="nil"/>
              <w:right w:val="nil"/>
            </w:tcBorders>
          </w:tcPr>
          <w:p>
            <w:pPr>
              <w:pStyle w:val="TableParagraph"/>
              <w:spacing w:line="216" w:lineRule="exact"/>
              <w:ind w:right="61"/>
              <w:rPr>
                <w:sz w:val="19"/>
              </w:rPr>
            </w:pPr>
            <w:r>
              <w:rPr>
                <w:sz w:val="19"/>
              </w:rPr>
              <w:t>(2.815)</w:t>
            </w:r>
          </w:p>
        </w:tc>
      </w:tr>
      <w:tr>
        <w:trPr>
          <w:trHeight w:val="247" w:hRule="exact"/>
        </w:trPr>
        <w:tc>
          <w:tcPr>
            <w:tcW w:w="2645" w:type="dxa"/>
            <w:tcBorders>
              <w:top w:val="nil"/>
              <w:left w:val="nil"/>
              <w:bottom w:val="nil"/>
              <w:right w:val="nil"/>
            </w:tcBorders>
          </w:tcPr>
          <w:p>
            <w:pPr>
              <w:pStyle w:val="TableParagraph"/>
              <w:spacing w:line="232" w:lineRule="exact"/>
              <w:ind w:left="71"/>
              <w:jc w:val="left"/>
              <w:rPr>
                <w:sz w:val="13"/>
              </w:rPr>
            </w:pPr>
            <w:r>
              <w:rPr>
                <w:w w:val="105"/>
                <w:sz w:val="19"/>
              </w:rPr>
              <w:t>Seudo R</w:t>
            </w:r>
            <w:r>
              <w:rPr>
                <w:w w:val="105"/>
                <w:position w:val="9"/>
                <w:sz w:val="13"/>
              </w:rPr>
              <w:t>2</w:t>
            </w:r>
          </w:p>
        </w:tc>
        <w:tc>
          <w:tcPr>
            <w:tcW w:w="1387" w:type="dxa"/>
            <w:tcBorders>
              <w:top w:val="nil"/>
              <w:left w:val="nil"/>
              <w:bottom w:val="nil"/>
              <w:right w:val="nil"/>
            </w:tcBorders>
          </w:tcPr>
          <w:p>
            <w:pPr>
              <w:pStyle w:val="TableParagraph"/>
              <w:spacing w:before="14"/>
              <w:ind w:right="127"/>
              <w:rPr>
                <w:sz w:val="19"/>
              </w:rPr>
            </w:pPr>
            <w:r>
              <w:rPr>
                <w:sz w:val="19"/>
              </w:rPr>
              <w:t>0.2108</w:t>
            </w:r>
          </w:p>
        </w:tc>
        <w:tc>
          <w:tcPr>
            <w:tcW w:w="1276" w:type="dxa"/>
            <w:tcBorders>
              <w:top w:val="nil"/>
              <w:left w:val="nil"/>
              <w:bottom w:val="nil"/>
              <w:right w:val="nil"/>
            </w:tcBorders>
          </w:tcPr>
          <w:p>
            <w:pPr>
              <w:pStyle w:val="TableParagraph"/>
              <w:spacing w:before="14"/>
              <w:ind w:right="128"/>
              <w:rPr>
                <w:sz w:val="19"/>
              </w:rPr>
            </w:pPr>
            <w:r>
              <w:rPr>
                <w:sz w:val="19"/>
              </w:rPr>
              <w:t>0.2502</w:t>
            </w:r>
          </w:p>
        </w:tc>
        <w:tc>
          <w:tcPr>
            <w:tcW w:w="1277" w:type="dxa"/>
            <w:tcBorders>
              <w:top w:val="nil"/>
              <w:left w:val="nil"/>
              <w:bottom w:val="nil"/>
              <w:right w:val="nil"/>
            </w:tcBorders>
          </w:tcPr>
          <w:p>
            <w:pPr>
              <w:pStyle w:val="TableParagraph"/>
              <w:spacing w:before="14"/>
              <w:ind w:right="128"/>
              <w:rPr>
                <w:sz w:val="19"/>
              </w:rPr>
            </w:pPr>
            <w:r>
              <w:rPr>
                <w:sz w:val="19"/>
              </w:rPr>
              <w:t>0.5157</w:t>
            </w:r>
          </w:p>
        </w:tc>
        <w:tc>
          <w:tcPr>
            <w:tcW w:w="1211" w:type="dxa"/>
            <w:tcBorders>
              <w:top w:val="nil"/>
              <w:left w:val="nil"/>
              <w:bottom w:val="nil"/>
              <w:right w:val="nil"/>
            </w:tcBorders>
          </w:tcPr>
          <w:p>
            <w:pPr>
              <w:pStyle w:val="TableParagraph"/>
              <w:spacing w:before="14"/>
              <w:ind w:right="62"/>
              <w:rPr>
                <w:sz w:val="19"/>
              </w:rPr>
            </w:pPr>
            <w:r>
              <w:rPr>
                <w:sz w:val="19"/>
              </w:rPr>
              <w:t>0.5195</w:t>
            </w:r>
          </w:p>
        </w:tc>
      </w:tr>
      <w:tr>
        <w:trPr>
          <w:trHeight w:val="230" w:hRule="exact"/>
        </w:trPr>
        <w:tc>
          <w:tcPr>
            <w:tcW w:w="2645" w:type="dxa"/>
            <w:tcBorders>
              <w:top w:val="nil"/>
              <w:left w:val="nil"/>
              <w:bottom w:val="nil"/>
              <w:right w:val="nil"/>
            </w:tcBorders>
          </w:tcPr>
          <w:p>
            <w:pPr>
              <w:pStyle w:val="TableParagraph"/>
              <w:spacing w:line="216" w:lineRule="exact"/>
              <w:ind w:left="71"/>
              <w:jc w:val="left"/>
              <w:rPr>
                <w:sz w:val="19"/>
              </w:rPr>
            </w:pPr>
            <w:r>
              <w:rPr>
                <w:w w:val="105"/>
                <w:sz w:val="19"/>
              </w:rPr>
              <w:t>Log likelikhood</w:t>
            </w:r>
          </w:p>
        </w:tc>
        <w:tc>
          <w:tcPr>
            <w:tcW w:w="1387" w:type="dxa"/>
            <w:tcBorders>
              <w:top w:val="nil"/>
              <w:left w:val="nil"/>
              <w:bottom w:val="nil"/>
              <w:right w:val="nil"/>
            </w:tcBorders>
          </w:tcPr>
          <w:p>
            <w:pPr>
              <w:pStyle w:val="TableParagraph"/>
              <w:spacing w:line="216" w:lineRule="exact"/>
              <w:ind w:right="127"/>
              <w:rPr>
                <w:sz w:val="19"/>
              </w:rPr>
            </w:pPr>
            <w:r>
              <w:rPr>
                <w:sz w:val="19"/>
              </w:rPr>
              <w:t>-20080.7718</w:t>
            </w:r>
          </w:p>
        </w:tc>
        <w:tc>
          <w:tcPr>
            <w:tcW w:w="1276" w:type="dxa"/>
            <w:tcBorders>
              <w:top w:val="nil"/>
              <w:left w:val="nil"/>
              <w:bottom w:val="nil"/>
              <w:right w:val="nil"/>
            </w:tcBorders>
          </w:tcPr>
          <w:p>
            <w:pPr>
              <w:pStyle w:val="TableParagraph"/>
              <w:spacing w:line="216" w:lineRule="exact"/>
              <w:ind w:right="128"/>
              <w:rPr>
                <w:sz w:val="19"/>
              </w:rPr>
            </w:pPr>
            <w:r>
              <w:rPr>
                <w:sz w:val="19"/>
              </w:rPr>
              <w:t>-19077.5384</w:t>
            </w:r>
          </w:p>
        </w:tc>
        <w:tc>
          <w:tcPr>
            <w:tcW w:w="1277" w:type="dxa"/>
            <w:tcBorders>
              <w:top w:val="nil"/>
              <w:left w:val="nil"/>
              <w:bottom w:val="nil"/>
              <w:right w:val="nil"/>
            </w:tcBorders>
          </w:tcPr>
          <w:p>
            <w:pPr>
              <w:pStyle w:val="TableParagraph"/>
              <w:spacing w:line="216" w:lineRule="exact"/>
              <w:ind w:right="128"/>
              <w:rPr>
                <w:sz w:val="19"/>
              </w:rPr>
            </w:pPr>
            <w:r>
              <w:rPr>
                <w:sz w:val="19"/>
              </w:rPr>
              <w:t>-12321.7381</w:t>
            </w:r>
          </w:p>
        </w:tc>
        <w:tc>
          <w:tcPr>
            <w:tcW w:w="1211" w:type="dxa"/>
            <w:tcBorders>
              <w:top w:val="nil"/>
              <w:left w:val="nil"/>
              <w:bottom w:val="nil"/>
              <w:right w:val="nil"/>
            </w:tcBorders>
          </w:tcPr>
          <w:p>
            <w:pPr>
              <w:pStyle w:val="TableParagraph"/>
              <w:spacing w:line="216" w:lineRule="exact"/>
              <w:ind w:right="62"/>
              <w:rPr>
                <w:sz w:val="19"/>
              </w:rPr>
            </w:pPr>
            <w:r>
              <w:rPr>
                <w:sz w:val="19"/>
              </w:rPr>
              <w:t>-12225.2211</w:t>
            </w:r>
          </w:p>
        </w:tc>
      </w:tr>
      <w:tr>
        <w:trPr>
          <w:trHeight w:val="230" w:hRule="exact"/>
        </w:trPr>
        <w:tc>
          <w:tcPr>
            <w:tcW w:w="2645" w:type="dxa"/>
            <w:tcBorders>
              <w:top w:val="nil"/>
              <w:left w:val="nil"/>
              <w:bottom w:val="nil"/>
              <w:right w:val="nil"/>
            </w:tcBorders>
          </w:tcPr>
          <w:p>
            <w:pPr>
              <w:pStyle w:val="TableParagraph"/>
              <w:spacing w:line="216" w:lineRule="exact"/>
              <w:ind w:left="71"/>
              <w:jc w:val="left"/>
              <w:rPr>
                <w:sz w:val="19"/>
              </w:rPr>
            </w:pPr>
            <w:r>
              <w:rPr>
                <w:w w:val="103"/>
                <w:sz w:val="19"/>
              </w:rPr>
              <w:t>N</w:t>
            </w:r>
          </w:p>
        </w:tc>
        <w:tc>
          <w:tcPr>
            <w:tcW w:w="1387" w:type="dxa"/>
            <w:tcBorders>
              <w:top w:val="nil"/>
              <w:left w:val="nil"/>
              <w:bottom w:val="nil"/>
              <w:right w:val="nil"/>
            </w:tcBorders>
          </w:tcPr>
          <w:p>
            <w:pPr>
              <w:pStyle w:val="TableParagraph"/>
              <w:spacing w:line="216" w:lineRule="exact"/>
              <w:ind w:right="127"/>
              <w:rPr>
                <w:sz w:val="19"/>
              </w:rPr>
            </w:pPr>
            <w:r>
              <w:rPr>
                <w:sz w:val="19"/>
              </w:rPr>
              <w:t>37932.0000</w:t>
            </w:r>
          </w:p>
        </w:tc>
        <w:tc>
          <w:tcPr>
            <w:tcW w:w="1276" w:type="dxa"/>
            <w:tcBorders>
              <w:top w:val="nil"/>
              <w:left w:val="nil"/>
              <w:bottom w:val="nil"/>
              <w:right w:val="nil"/>
            </w:tcBorders>
          </w:tcPr>
          <w:p>
            <w:pPr>
              <w:pStyle w:val="TableParagraph"/>
              <w:spacing w:line="216" w:lineRule="exact"/>
              <w:ind w:right="128"/>
              <w:rPr>
                <w:sz w:val="19"/>
              </w:rPr>
            </w:pPr>
            <w:r>
              <w:rPr>
                <w:sz w:val="19"/>
              </w:rPr>
              <w:t>37932.0000</w:t>
            </w:r>
          </w:p>
        </w:tc>
        <w:tc>
          <w:tcPr>
            <w:tcW w:w="1277" w:type="dxa"/>
            <w:tcBorders>
              <w:top w:val="nil"/>
              <w:left w:val="nil"/>
              <w:bottom w:val="nil"/>
              <w:right w:val="nil"/>
            </w:tcBorders>
          </w:tcPr>
          <w:p>
            <w:pPr>
              <w:pStyle w:val="TableParagraph"/>
              <w:spacing w:line="216" w:lineRule="exact"/>
              <w:ind w:right="128"/>
              <w:rPr>
                <w:sz w:val="19"/>
              </w:rPr>
            </w:pPr>
            <w:r>
              <w:rPr>
                <w:sz w:val="19"/>
              </w:rPr>
              <w:t>37932.0000</w:t>
            </w:r>
          </w:p>
        </w:tc>
        <w:tc>
          <w:tcPr>
            <w:tcW w:w="1211" w:type="dxa"/>
            <w:tcBorders>
              <w:top w:val="nil"/>
              <w:left w:val="nil"/>
              <w:bottom w:val="nil"/>
              <w:right w:val="nil"/>
            </w:tcBorders>
          </w:tcPr>
          <w:p>
            <w:pPr>
              <w:pStyle w:val="TableParagraph"/>
              <w:spacing w:line="216" w:lineRule="exact"/>
              <w:ind w:right="62"/>
              <w:rPr>
                <w:sz w:val="19"/>
              </w:rPr>
            </w:pPr>
            <w:r>
              <w:rPr>
                <w:sz w:val="19"/>
              </w:rPr>
              <w:t>37932.0000</w:t>
            </w:r>
          </w:p>
        </w:tc>
      </w:tr>
      <w:tr>
        <w:trPr>
          <w:trHeight w:val="228" w:hRule="exact"/>
        </w:trPr>
        <w:tc>
          <w:tcPr>
            <w:tcW w:w="2645" w:type="dxa"/>
            <w:tcBorders>
              <w:top w:val="nil"/>
              <w:left w:val="nil"/>
              <w:right w:val="nil"/>
            </w:tcBorders>
          </w:tcPr>
          <w:p>
            <w:pPr>
              <w:pStyle w:val="TableParagraph"/>
              <w:spacing w:line="216" w:lineRule="exact"/>
              <w:ind w:left="71"/>
              <w:jc w:val="left"/>
              <w:rPr>
                <w:sz w:val="19"/>
              </w:rPr>
            </w:pPr>
            <w:r>
              <w:rPr>
                <w:w w:val="105"/>
                <w:sz w:val="19"/>
              </w:rPr>
              <w:t>df_m</w:t>
            </w:r>
          </w:p>
        </w:tc>
        <w:tc>
          <w:tcPr>
            <w:tcW w:w="1387" w:type="dxa"/>
            <w:tcBorders>
              <w:top w:val="nil"/>
              <w:left w:val="nil"/>
              <w:right w:val="nil"/>
            </w:tcBorders>
          </w:tcPr>
          <w:p>
            <w:pPr>
              <w:pStyle w:val="TableParagraph"/>
              <w:spacing w:line="216" w:lineRule="exact"/>
              <w:ind w:right="127"/>
              <w:rPr>
                <w:sz w:val="19"/>
              </w:rPr>
            </w:pPr>
            <w:r>
              <w:rPr>
                <w:sz w:val="19"/>
              </w:rPr>
              <w:t>15.0000</w:t>
            </w:r>
          </w:p>
        </w:tc>
        <w:tc>
          <w:tcPr>
            <w:tcW w:w="1276" w:type="dxa"/>
            <w:tcBorders>
              <w:top w:val="nil"/>
              <w:left w:val="nil"/>
              <w:right w:val="nil"/>
            </w:tcBorders>
          </w:tcPr>
          <w:p>
            <w:pPr>
              <w:pStyle w:val="TableParagraph"/>
              <w:spacing w:line="216" w:lineRule="exact"/>
              <w:ind w:right="128"/>
              <w:rPr>
                <w:sz w:val="19"/>
              </w:rPr>
            </w:pPr>
            <w:r>
              <w:rPr>
                <w:sz w:val="19"/>
              </w:rPr>
              <w:t>18.0000</w:t>
            </w:r>
          </w:p>
        </w:tc>
        <w:tc>
          <w:tcPr>
            <w:tcW w:w="1277" w:type="dxa"/>
            <w:tcBorders>
              <w:top w:val="nil"/>
              <w:left w:val="nil"/>
              <w:right w:val="nil"/>
            </w:tcBorders>
          </w:tcPr>
          <w:p>
            <w:pPr>
              <w:pStyle w:val="TableParagraph"/>
              <w:spacing w:line="216" w:lineRule="exact"/>
              <w:ind w:right="128"/>
              <w:rPr>
                <w:sz w:val="19"/>
              </w:rPr>
            </w:pPr>
            <w:r>
              <w:rPr>
                <w:sz w:val="19"/>
              </w:rPr>
              <w:t>19.0000</w:t>
            </w:r>
          </w:p>
        </w:tc>
        <w:tc>
          <w:tcPr>
            <w:tcW w:w="1211" w:type="dxa"/>
            <w:tcBorders>
              <w:top w:val="nil"/>
              <w:left w:val="nil"/>
              <w:right w:val="nil"/>
            </w:tcBorders>
          </w:tcPr>
          <w:p>
            <w:pPr>
              <w:pStyle w:val="TableParagraph"/>
              <w:spacing w:line="216" w:lineRule="exact"/>
              <w:ind w:right="62"/>
              <w:rPr>
                <w:sz w:val="19"/>
              </w:rPr>
            </w:pPr>
            <w:r>
              <w:rPr>
                <w:sz w:val="19"/>
              </w:rPr>
              <w:t>20.0000</w:t>
            </w:r>
          </w:p>
        </w:tc>
      </w:tr>
    </w:tbl>
    <w:p>
      <w:pPr>
        <w:spacing w:line="178" w:lineRule="exact" w:before="0"/>
        <w:ind w:left="544" w:right="52" w:firstLine="0"/>
        <w:jc w:val="left"/>
        <w:rPr>
          <w:sz w:val="16"/>
        </w:rPr>
      </w:pPr>
      <w:r>
        <w:rPr>
          <w:sz w:val="16"/>
        </w:rPr>
        <w:t>Fuente: estimaciones propias con información de la ENOE, 2012, segundo trimestre.</w:t>
      </w:r>
    </w:p>
    <w:p>
      <w:pPr>
        <w:spacing w:line="183" w:lineRule="exact" w:before="0"/>
        <w:ind w:left="545" w:right="52" w:firstLine="0"/>
        <w:jc w:val="left"/>
        <w:rPr>
          <w:sz w:val="16"/>
        </w:rPr>
      </w:pPr>
      <w:r>
        <w:rPr>
          <w:sz w:val="16"/>
        </w:rPr>
        <w:t>* p&lt;0.10 ** p&lt;0.05 *** p&lt;0.001.</w:t>
      </w:r>
    </w:p>
    <w:p>
      <w:pPr>
        <w:spacing w:after="0" w:line="183" w:lineRule="exact"/>
        <w:jc w:val="left"/>
        <w:rPr>
          <w:sz w:val="16"/>
        </w:rPr>
        <w:sectPr>
          <w:footerReference w:type="default" r:id="rId151"/>
          <w:pgSz w:w="11740" w:h="7770" w:orient="landscape"/>
          <w:pgMar w:footer="0" w:header="0" w:top="680" w:bottom="280" w:left="1660" w:right="1660"/>
        </w:sectPr>
      </w:pPr>
    </w:p>
    <w:p>
      <w:pPr>
        <w:spacing w:line="252" w:lineRule="auto" w:before="53"/>
        <w:ind w:left="183" w:right="200" w:firstLine="0"/>
        <w:jc w:val="left"/>
        <w:rPr>
          <w:sz w:val="19"/>
        </w:rPr>
      </w:pPr>
      <w:r>
        <w:rPr/>
        <w:pict>
          <v:group style="position:absolute;margin-left:36.321999pt;margin-top:28.548864pt;width:301.7pt;height:.5pt;mso-position-horizontal-relative:page;mso-position-vertical-relative:paragraph;z-index:4792;mso-wrap-distance-left:0;mso-wrap-distance-right:0" coordorigin="726,571" coordsize="6034,10">
            <v:line style="position:absolute" from="731,576" to="1370,576" stroked="true" strokeweight=".481pt" strokecolor="#000000"/>
            <v:line style="position:absolute" from="1370,576" to="1379,576" stroked="true" strokeweight=".481pt" strokecolor="#000000"/>
            <v:line style="position:absolute" from="1379,576" to="6755,576" stroked="true" strokeweight=".481pt" strokecolor="#000000"/>
            <w10:wrap type="topAndBottom"/>
          </v:group>
        </w:pict>
      </w:r>
      <w:r>
        <w:rPr>
          <w:w w:val="105"/>
          <w:sz w:val="19"/>
        </w:rPr>
        <w:t>Cuadro A. 4. Agrupación de la Clasificación Mexicana de Ocupaciones (CMO) a dos dígitos en cuatro categorías utilizadas en los modelos</w:t>
      </w:r>
    </w:p>
    <w:p>
      <w:pPr>
        <w:spacing w:before="0"/>
        <w:ind w:left="183" w:right="200" w:firstLine="0"/>
        <w:jc w:val="left"/>
        <w:rPr>
          <w:i/>
          <w:sz w:val="19"/>
        </w:rPr>
      </w:pPr>
      <w:r>
        <w:rPr>
          <w:i/>
          <w:w w:val="105"/>
          <w:sz w:val="19"/>
        </w:rPr>
        <w:t>CMO</w:t>
      </w:r>
    </w:p>
    <w:p>
      <w:pPr>
        <w:tabs>
          <w:tab w:pos="821" w:val="left" w:leader="none"/>
        </w:tabs>
        <w:spacing w:before="12"/>
        <w:ind w:left="183" w:right="200" w:firstLine="0"/>
        <w:jc w:val="left"/>
        <w:rPr>
          <w:i/>
          <w:sz w:val="19"/>
        </w:rPr>
      </w:pPr>
      <w:r>
        <w:rPr>
          <w:i/>
          <w:w w:val="105"/>
          <w:sz w:val="19"/>
        </w:rPr>
        <w:t>2009</w:t>
        <w:tab/>
        <w:t>Descripción</w:t>
      </w:r>
    </w:p>
    <w:p>
      <w:pPr>
        <w:pStyle w:val="BodyText"/>
        <w:spacing w:line="20" w:lineRule="exact"/>
        <w:ind w:left="106"/>
        <w:rPr>
          <w:sz w:val="2"/>
        </w:rPr>
      </w:pPr>
      <w:r>
        <w:rPr>
          <w:sz w:val="2"/>
        </w:rPr>
        <w:pict>
          <v:group style="width:301.7pt;height:.5pt;mso-position-horizontal-relative:char;mso-position-vertical-relative:line" coordorigin="0,0" coordsize="6034,10">
            <v:line style="position:absolute" from="5,5" to="643,5" stroked="true" strokeweight=".48pt" strokecolor="#000000"/>
            <v:line style="position:absolute" from="643,5" to="653,5" stroked="true" strokeweight=".48pt" strokecolor="#000000"/>
            <v:line style="position:absolute" from="653,5" to="6029,5" stroked="true" strokeweight=".48pt" strokecolor="#000000"/>
          </v:group>
        </w:pict>
      </w:r>
      <w:r>
        <w:rPr>
          <w:sz w:val="2"/>
        </w:rPr>
      </w:r>
    </w:p>
    <w:p>
      <w:pPr>
        <w:spacing w:before="0"/>
        <w:ind w:left="821" w:right="200" w:firstLine="0"/>
        <w:jc w:val="left"/>
        <w:rPr>
          <w:i/>
          <w:sz w:val="19"/>
        </w:rPr>
      </w:pPr>
      <w:r>
        <w:rPr>
          <w:i/>
          <w:w w:val="105"/>
          <w:sz w:val="19"/>
        </w:rPr>
        <w:t>Funcionarios y profesionistas, oficina</w:t>
      </w:r>
    </w:p>
    <w:p>
      <w:pPr>
        <w:pStyle w:val="ListParagraph"/>
        <w:numPr>
          <w:ilvl w:val="0"/>
          <w:numId w:val="3"/>
        </w:numPr>
        <w:tabs>
          <w:tab w:pos="821" w:val="left" w:leader="none"/>
          <w:tab w:pos="822" w:val="left" w:leader="none"/>
        </w:tabs>
        <w:spacing w:line="240" w:lineRule="auto" w:before="7" w:after="0"/>
        <w:ind w:left="821" w:right="0" w:hanging="638"/>
        <w:jc w:val="left"/>
        <w:rPr>
          <w:sz w:val="19"/>
        </w:rPr>
      </w:pPr>
      <w:r>
        <w:rPr>
          <w:w w:val="105"/>
          <w:sz w:val="19"/>
        </w:rPr>
        <w:t>Profesionistas</w:t>
      </w:r>
    </w:p>
    <w:p>
      <w:pPr>
        <w:pStyle w:val="ListParagraph"/>
        <w:numPr>
          <w:ilvl w:val="0"/>
          <w:numId w:val="3"/>
        </w:numPr>
        <w:tabs>
          <w:tab w:pos="821" w:val="left" w:leader="none"/>
          <w:tab w:pos="822" w:val="left" w:leader="none"/>
        </w:tabs>
        <w:spacing w:line="240" w:lineRule="auto" w:before="12" w:after="0"/>
        <w:ind w:left="821" w:right="0" w:hanging="638"/>
        <w:jc w:val="left"/>
        <w:rPr>
          <w:sz w:val="19"/>
        </w:rPr>
      </w:pPr>
      <w:r>
        <w:rPr>
          <w:w w:val="105"/>
          <w:sz w:val="19"/>
        </w:rPr>
        <w:t>Técnicos</w:t>
      </w:r>
    </w:p>
    <w:p>
      <w:pPr>
        <w:pStyle w:val="ListParagraph"/>
        <w:numPr>
          <w:ilvl w:val="0"/>
          <w:numId w:val="3"/>
        </w:numPr>
        <w:tabs>
          <w:tab w:pos="821" w:val="left" w:leader="none"/>
          <w:tab w:pos="822" w:val="left" w:leader="none"/>
        </w:tabs>
        <w:spacing w:line="240" w:lineRule="auto" w:before="12" w:after="0"/>
        <w:ind w:left="821" w:right="0" w:hanging="638"/>
        <w:jc w:val="left"/>
        <w:rPr>
          <w:sz w:val="19"/>
        </w:rPr>
      </w:pPr>
      <w:r>
        <w:rPr>
          <w:w w:val="105"/>
          <w:sz w:val="19"/>
        </w:rPr>
        <w:t>Trabajadores de la</w:t>
      </w:r>
      <w:r>
        <w:rPr>
          <w:spacing w:val="-6"/>
          <w:w w:val="105"/>
          <w:sz w:val="19"/>
        </w:rPr>
        <w:t> </w:t>
      </w:r>
      <w:r>
        <w:rPr>
          <w:w w:val="105"/>
          <w:sz w:val="19"/>
        </w:rPr>
        <w:t>educación</w:t>
      </w:r>
    </w:p>
    <w:p>
      <w:pPr>
        <w:pStyle w:val="ListParagraph"/>
        <w:numPr>
          <w:ilvl w:val="0"/>
          <w:numId w:val="3"/>
        </w:numPr>
        <w:tabs>
          <w:tab w:pos="821" w:val="left" w:leader="none"/>
          <w:tab w:pos="822" w:val="left" w:leader="none"/>
        </w:tabs>
        <w:spacing w:line="240" w:lineRule="auto" w:before="12" w:after="0"/>
        <w:ind w:left="821" w:right="0" w:hanging="638"/>
        <w:jc w:val="left"/>
        <w:rPr>
          <w:sz w:val="19"/>
        </w:rPr>
      </w:pPr>
      <w:r>
        <w:rPr>
          <w:w w:val="105"/>
          <w:sz w:val="19"/>
        </w:rPr>
        <w:t>Trabajadores del arte, espectáculos y</w:t>
      </w:r>
      <w:r>
        <w:rPr>
          <w:spacing w:val="-7"/>
          <w:w w:val="105"/>
          <w:sz w:val="19"/>
        </w:rPr>
        <w:t> </w:t>
      </w:r>
      <w:r>
        <w:rPr>
          <w:w w:val="105"/>
          <w:sz w:val="19"/>
        </w:rPr>
        <w:t>deportes</w:t>
      </w:r>
    </w:p>
    <w:p>
      <w:pPr>
        <w:tabs>
          <w:tab w:pos="821" w:val="left" w:leader="none"/>
        </w:tabs>
        <w:spacing w:line="120" w:lineRule="auto" w:before="100"/>
        <w:ind w:left="821" w:right="815" w:hanging="639"/>
        <w:jc w:val="left"/>
        <w:rPr>
          <w:sz w:val="19"/>
        </w:rPr>
      </w:pPr>
      <w:r>
        <w:rPr>
          <w:w w:val="105"/>
          <w:position w:val="-11"/>
          <w:sz w:val="19"/>
        </w:rPr>
        <w:t>21</w:t>
        <w:tab/>
      </w:r>
      <w:r>
        <w:rPr>
          <w:w w:val="105"/>
          <w:sz w:val="19"/>
        </w:rPr>
        <w:t>Funcionarios y directivos de los sectores</w:t>
      </w:r>
      <w:r>
        <w:rPr>
          <w:spacing w:val="-16"/>
          <w:w w:val="105"/>
          <w:sz w:val="19"/>
        </w:rPr>
        <w:t> </w:t>
      </w:r>
      <w:r>
        <w:rPr>
          <w:w w:val="105"/>
          <w:sz w:val="19"/>
        </w:rPr>
        <w:t>público,</w:t>
      </w:r>
      <w:r>
        <w:rPr>
          <w:spacing w:val="-3"/>
          <w:w w:val="105"/>
          <w:sz w:val="19"/>
        </w:rPr>
        <w:t> </w:t>
      </w:r>
      <w:r>
        <w:rPr>
          <w:w w:val="105"/>
          <w:sz w:val="19"/>
        </w:rPr>
        <w:t>privado</w:t>
      </w:r>
      <w:r>
        <w:rPr>
          <w:spacing w:val="1"/>
          <w:w w:val="103"/>
          <w:sz w:val="19"/>
        </w:rPr>
        <w:t> </w:t>
      </w:r>
      <w:r>
        <w:rPr>
          <w:w w:val="105"/>
          <w:sz w:val="19"/>
        </w:rPr>
        <w:t>y</w:t>
      </w:r>
      <w:r>
        <w:rPr>
          <w:spacing w:val="-2"/>
          <w:w w:val="105"/>
          <w:sz w:val="19"/>
        </w:rPr>
        <w:t> </w:t>
      </w:r>
      <w:r>
        <w:rPr>
          <w:w w:val="105"/>
          <w:sz w:val="19"/>
        </w:rPr>
        <w:t>social</w:t>
      </w:r>
    </w:p>
    <w:p>
      <w:pPr>
        <w:spacing w:before="32"/>
        <w:ind w:left="821" w:right="200" w:firstLine="0"/>
        <w:jc w:val="left"/>
        <w:rPr>
          <w:sz w:val="19"/>
        </w:rPr>
      </w:pPr>
      <w:r>
        <w:rPr>
          <w:w w:val="105"/>
          <w:sz w:val="19"/>
        </w:rPr>
        <w:t>Jefes, supervisores y otros trabajadores de control en la</w:t>
      </w:r>
    </w:p>
    <w:p>
      <w:pPr>
        <w:tabs>
          <w:tab w:pos="821" w:val="left" w:leader="none"/>
          <w:tab w:pos="4013" w:val="left" w:leader="none"/>
        </w:tabs>
        <w:spacing w:line="252" w:lineRule="auto" w:before="12"/>
        <w:ind w:left="821" w:right="200" w:hanging="639"/>
        <w:jc w:val="left"/>
        <w:rPr>
          <w:sz w:val="19"/>
        </w:rPr>
      </w:pPr>
      <w:r>
        <w:rPr>
          <w:w w:val="105"/>
          <w:sz w:val="19"/>
        </w:rPr>
        <w:t>51</w:t>
        <w:tab/>
        <w:t>fabricación artesanal e industrial</w:t>
      </w:r>
      <w:r>
        <w:rPr>
          <w:spacing w:val="-5"/>
          <w:w w:val="105"/>
          <w:sz w:val="19"/>
        </w:rPr>
        <w:t> </w:t>
      </w:r>
      <w:r>
        <w:rPr>
          <w:w w:val="105"/>
          <w:sz w:val="19"/>
        </w:rPr>
        <w:t>y</w:t>
      </w:r>
      <w:r>
        <w:rPr>
          <w:spacing w:val="-1"/>
          <w:w w:val="105"/>
          <w:sz w:val="19"/>
        </w:rPr>
        <w:t> </w:t>
      </w:r>
      <w:r>
        <w:rPr>
          <w:w w:val="105"/>
          <w:sz w:val="19"/>
        </w:rPr>
        <w:t>en</w:t>
        <w:tab/>
        <w:t>actividades</w:t>
      </w:r>
      <w:r>
        <w:rPr>
          <w:spacing w:val="-5"/>
          <w:w w:val="105"/>
          <w:sz w:val="19"/>
        </w:rPr>
        <w:t> </w:t>
      </w:r>
      <w:r>
        <w:rPr>
          <w:w w:val="105"/>
          <w:sz w:val="19"/>
        </w:rPr>
        <w:t>de</w:t>
      </w:r>
      <w:r>
        <w:rPr>
          <w:spacing w:val="-5"/>
          <w:w w:val="105"/>
          <w:sz w:val="19"/>
        </w:rPr>
        <w:t> </w:t>
      </w:r>
      <w:r>
        <w:rPr>
          <w:w w:val="105"/>
          <w:sz w:val="19"/>
        </w:rPr>
        <w:t>reparación</w:t>
      </w:r>
      <w:r>
        <w:rPr>
          <w:w w:val="103"/>
          <w:sz w:val="19"/>
        </w:rPr>
        <w:t> </w:t>
      </w:r>
      <w:r>
        <w:rPr>
          <w:w w:val="105"/>
          <w:sz w:val="19"/>
        </w:rPr>
        <w:t>y</w:t>
      </w:r>
      <w:r>
        <w:rPr>
          <w:spacing w:val="-6"/>
          <w:w w:val="105"/>
          <w:sz w:val="19"/>
        </w:rPr>
        <w:t> </w:t>
      </w:r>
      <w:r>
        <w:rPr>
          <w:w w:val="105"/>
          <w:sz w:val="19"/>
        </w:rPr>
        <w:t>mantenimiento</w:t>
      </w:r>
    </w:p>
    <w:p>
      <w:pPr>
        <w:pStyle w:val="ListParagraph"/>
        <w:numPr>
          <w:ilvl w:val="0"/>
          <w:numId w:val="4"/>
        </w:numPr>
        <w:tabs>
          <w:tab w:pos="821" w:val="left" w:leader="none"/>
          <w:tab w:pos="822" w:val="left" w:leader="none"/>
        </w:tabs>
        <w:spacing w:line="122" w:lineRule="auto" w:before="88" w:after="0"/>
        <w:ind w:left="821" w:right="1116" w:hanging="638"/>
        <w:jc w:val="left"/>
        <w:rPr>
          <w:sz w:val="19"/>
        </w:rPr>
      </w:pPr>
      <w:r>
        <w:rPr>
          <w:w w:val="105"/>
          <w:sz w:val="19"/>
        </w:rPr>
        <w:t>Jefes de departamento, coordinadores y supervisores en actividades administrativas y de</w:t>
      </w:r>
      <w:r>
        <w:rPr>
          <w:spacing w:val="-15"/>
          <w:w w:val="105"/>
          <w:sz w:val="19"/>
        </w:rPr>
        <w:t> </w:t>
      </w:r>
      <w:r>
        <w:rPr>
          <w:w w:val="105"/>
          <w:sz w:val="19"/>
        </w:rPr>
        <w:t>servicios</w:t>
      </w:r>
    </w:p>
    <w:p>
      <w:pPr>
        <w:pStyle w:val="ListParagraph"/>
        <w:numPr>
          <w:ilvl w:val="0"/>
          <w:numId w:val="4"/>
        </w:numPr>
        <w:tabs>
          <w:tab w:pos="821" w:val="left" w:leader="none"/>
          <w:tab w:pos="822" w:val="left" w:leader="none"/>
        </w:tabs>
        <w:spacing w:line="240" w:lineRule="auto" w:before="27" w:after="0"/>
        <w:ind w:left="821" w:right="0" w:hanging="638"/>
        <w:jc w:val="left"/>
        <w:rPr>
          <w:sz w:val="19"/>
        </w:rPr>
      </w:pPr>
      <w:r>
        <w:rPr>
          <w:w w:val="105"/>
          <w:sz w:val="19"/>
        </w:rPr>
        <w:t>Trabajadores de apoyo en actividades</w:t>
      </w:r>
      <w:r>
        <w:rPr>
          <w:spacing w:val="-11"/>
          <w:w w:val="105"/>
          <w:sz w:val="19"/>
        </w:rPr>
        <w:t> </w:t>
      </w:r>
      <w:r>
        <w:rPr>
          <w:w w:val="105"/>
          <w:sz w:val="19"/>
        </w:rPr>
        <w:t>administrativas</w:t>
      </w:r>
    </w:p>
    <w:p>
      <w:pPr>
        <w:spacing w:before="12"/>
        <w:ind w:left="821" w:right="200" w:firstLine="0"/>
        <w:jc w:val="left"/>
        <w:rPr>
          <w:i/>
          <w:sz w:val="19"/>
        </w:rPr>
      </w:pPr>
      <w:r>
        <w:rPr>
          <w:i/>
          <w:w w:val="105"/>
          <w:sz w:val="19"/>
        </w:rPr>
        <w:t>Vendedores y servicios</w:t>
      </w:r>
    </w:p>
    <w:p>
      <w:pPr>
        <w:spacing w:before="12"/>
        <w:ind w:left="821" w:right="200" w:firstLine="0"/>
        <w:jc w:val="left"/>
        <w:rPr>
          <w:sz w:val="19"/>
        </w:rPr>
      </w:pPr>
      <w:r>
        <w:rPr>
          <w:w w:val="105"/>
          <w:sz w:val="19"/>
        </w:rPr>
        <w:t>Artesanos y trabajadores fabriles en la industria de la</w:t>
      </w:r>
    </w:p>
    <w:p>
      <w:pPr>
        <w:pStyle w:val="ListParagraph"/>
        <w:numPr>
          <w:ilvl w:val="0"/>
          <w:numId w:val="5"/>
        </w:numPr>
        <w:tabs>
          <w:tab w:pos="821" w:val="left" w:leader="none"/>
          <w:tab w:pos="822" w:val="left" w:leader="none"/>
        </w:tabs>
        <w:spacing w:line="252" w:lineRule="auto" w:before="12" w:after="0"/>
        <w:ind w:left="821" w:right="667" w:hanging="638"/>
        <w:jc w:val="left"/>
        <w:rPr>
          <w:sz w:val="19"/>
        </w:rPr>
      </w:pPr>
      <w:r>
        <w:rPr>
          <w:w w:val="105"/>
          <w:sz w:val="19"/>
        </w:rPr>
        <w:t>transformación y trabajadores en actividades de reparación y</w:t>
      </w:r>
      <w:r>
        <w:rPr>
          <w:spacing w:val="-6"/>
          <w:w w:val="105"/>
          <w:sz w:val="19"/>
        </w:rPr>
        <w:t> </w:t>
      </w:r>
      <w:r>
        <w:rPr>
          <w:w w:val="105"/>
          <w:sz w:val="19"/>
        </w:rPr>
        <w:t>mantenimiento</w:t>
      </w:r>
    </w:p>
    <w:p>
      <w:pPr>
        <w:pStyle w:val="ListParagraph"/>
        <w:numPr>
          <w:ilvl w:val="0"/>
          <w:numId w:val="5"/>
        </w:numPr>
        <w:tabs>
          <w:tab w:pos="821" w:val="left" w:leader="none"/>
          <w:tab w:pos="822" w:val="left" w:leader="none"/>
        </w:tabs>
        <w:spacing w:line="120" w:lineRule="auto" w:before="90" w:after="0"/>
        <w:ind w:left="821" w:right="843" w:hanging="638"/>
        <w:jc w:val="left"/>
        <w:rPr>
          <w:sz w:val="19"/>
        </w:rPr>
      </w:pPr>
      <w:r>
        <w:rPr>
          <w:w w:val="105"/>
          <w:sz w:val="19"/>
        </w:rPr>
        <w:t>Operadores de maquinaria fija de movimiento continuo y equipos en el proceso de fabricación</w:t>
      </w:r>
      <w:r>
        <w:rPr>
          <w:spacing w:val="-12"/>
          <w:w w:val="105"/>
          <w:sz w:val="19"/>
        </w:rPr>
        <w:t> </w:t>
      </w:r>
      <w:r>
        <w:rPr>
          <w:w w:val="105"/>
          <w:sz w:val="19"/>
        </w:rPr>
        <w:t>industrial</w:t>
      </w:r>
    </w:p>
    <w:p>
      <w:pPr>
        <w:tabs>
          <w:tab w:pos="821" w:val="left" w:leader="none"/>
        </w:tabs>
        <w:spacing w:line="122" w:lineRule="auto" w:before="119"/>
        <w:ind w:left="821" w:right="452" w:hanging="639"/>
        <w:jc w:val="left"/>
        <w:rPr>
          <w:sz w:val="19"/>
        </w:rPr>
      </w:pPr>
      <w:r>
        <w:rPr>
          <w:w w:val="105"/>
          <w:position w:val="-11"/>
          <w:sz w:val="19"/>
        </w:rPr>
        <w:t>55</w:t>
        <w:tab/>
      </w:r>
      <w:r>
        <w:rPr>
          <w:w w:val="105"/>
          <w:sz w:val="19"/>
        </w:rPr>
        <w:t>Conductores y ayudantes de conductores de</w:t>
      </w:r>
      <w:r>
        <w:rPr>
          <w:spacing w:val="-13"/>
          <w:w w:val="105"/>
          <w:sz w:val="19"/>
        </w:rPr>
        <w:t> </w:t>
      </w:r>
      <w:r>
        <w:rPr>
          <w:w w:val="105"/>
          <w:sz w:val="19"/>
        </w:rPr>
        <w:t>maquinaria</w:t>
      </w:r>
      <w:r>
        <w:rPr>
          <w:spacing w:val="-3"/>
          <w:w w:val="105"/>
          <w:sz w:val="19"/>
        </w:rPr>
        <w:t> </w:t>
      </w:r>
      <w:r>
        <w:rPr>
          <w:w w:val="105"/>
          <w:sz w:val="19"/>
        </w:rPr>
        <w:t>móvil</w:t>
      </w:r>
      <w:r>
        <w:rPr>
          <w:w w:val="103"/>
          <w:sz w:val="19"/>
        </w:rPr>
        <w:t> </w:t>
      </w:r>
      <w:r>
        <w:rPr>
          <w:w w:val="105"/>
          <w:sz w:val="19"/>
        </w:rPr>
        <w:t>y medios de</w:t>
      </w:r>
      <w:r>
        <w:rPr>
          <w:spacing w:val="-7"/>
          <w:w w:val="105"/>
          <w:sz w:val="19"/>
        </w:rPr>
        <w:t> </w:t>
      </w:r>
      <w:r>
        <w:rPr>
          <w:w w:val="105"/>
          <w:sz w:val="19"/>
        </w:rPr>
        <w:t>transporte</w:t>
      </w:r>
    </w:p>
    <w:p>
      <w:pPr>
        <w:spacing w:before="32"/>
        <w:ind w:left="821" w:right="200" w:firstLine="0"/>
        <w:jc w:val="left"/>
        <w:rPr>
          <w:i/>
          <w:sz w:val="19"/>
        </w:rPr>
      </w:pPr>
      <w:r>
        <w:rPr>
          <w:i/>
          <w:w w:val="105"/>
          <w:sz w:val="19"/>
        </w:rPr>
        <w:t>Operadores, operarios</w:t>
      </w:r>
    </w:p>
    <w:p>
      <w:pPr>
        <w:pStyle w:val="ListParagraph"/>
        <w:numPr>
          <w:ilvl w:val="0"/>
          <w:numId w:val="6"/>
        </w:numPr>
        <w:tabs>
          <w:tab w:pos="821" w:val="left" w:leader="none"/>
          <w:tab w:pos="822" w:val="left" w:leader="none"/>
        </w:tabs>
        <w:spacing w:line="240" w:lineRule="auto" w:before="12" w:after="0"/>
        <w:ind w:left="821" w:right="0" w:hanging="638"/>
        <w:jc w:val="left"/>
        <w:rPr>
          <w:sz w:val="19"/>
        </w:rPr>
      </w:pPr>
      <w:r>
        <w:rPr>
          <w:w w:val="105"/>
          <w:sz w:val="19"/>
        </w:rPr>
        <w:t>Comerciantes, empleados de comercio y agentes de</w:t>
      </w:r>
      <w:r>
        <w:rPr>
          <w:spacing w:val="-11"/>
          <w:w w:val="105"/>
          <w:sz w:val="19"/>
        </w:rPr>
        <w:t> </w:t>
      </w:r>
      <w:r>
        <w:rPr>
          <w:w w:val="105"/>
          <w:sz w:val="19"/>
        </w:rPr>
        <w:t>ventas</w:t>
      </w:r>
    </w:p>
    <w:p>
      <w:pPr>
        <w:pStyle w:val="ListParagraph"/>
        <w:numPr>
          <w:ilvl w:val="0"/>
          <w:numId w:val="6"/>
        </w:numPr>
        <w:tabs>
          <w:tab w:pos="821" w:val="left" w:leader="none"/>
          <w:tab w:pos="822" w:val="left" w:leader="none"/>
        </w:tabs>
        <w:spacing w:line="240" w:lineRule="auto" w:before="12" w:after="0"/>
        <w:ind w:left="821" w:right="0" w:hanging="638"/>
        <w:jc w:val="left"/>
        <w:rPr>
          <w:sz w:val="19"/>
        </w:rPr>
      </w:pPr>
      <w:r>
        <w:rPr>
          <w:w w:val="105"/>
          <w:sz w:val="19"/>
        </w:rPr>
        <w:t>Vendedores</w:t>
      </w:r>
      <w:r>
        <w:rPr>
          <w:spacing w:val="-6"/>
          <w:w w:val="105"/>
          <w:sz w:val="19"/>
        </w:rPr>
        <w:t> </w:t>
      </w:r>
      <w:r>
        <w:rPr>
          <w:w w:val="105"/>
          <w:sz w:val="19"/>
        </w:rPr>
        <w:t>ambulantes</w:t>
      </w:r>
    </w:p>
    <w:p>
      <w:pPr>
        <w:pStyle w:val="ListParagraph"/>
        <w:numPr>
          <w:ilvl w:val="0"/>
          <w:numId w:val="7"/>
        </w:numPr>
        <w:tabs>
          <w:tab w:pos="821" w:val="left" w:leader="none"/>
          <w:tab w:pos="822" w:val="left" w:leader="none"/>
        </w:tabs>
        <w:spacing w:line="240" w:lineRule="auto" w:before="7" w:after="0"/>
        <w:ind w:left="821" w:right="0" w:hanging="638"/>
        <w:jc w:val="left"/>
        <w:rPr>
          <w:sz w:val="19"/>
        </w:rPr>
      </w:pPr>
      <w:r>
        <w:rPr>
          <w:w w:val="105"/>
          <w:sz w:val="19"/>
        </w:rPr>
        <w:t>Trabajadores en servicios</w:t>
      </w:r>
      <w:r>
        <w:rPr>
          <w:spacing w:val="-4"/>
          <w:w w:val="105"/>
          <w:sz w:val="19"/>
        </w:rPr>
        <w:t> </w:t>
      </w:r>
      <w:r>
        <w:rPr>
          <w:w w:val="105"/>
          <w:sz w:val="19"/>
        </w:rPr>
        <w:t>personales</w:t>
      </w:r>
    </w:p>
    <w:p>
      <w:pPr>
        <w:pStyle w:val="ListParagraph"/>
        <w:numPr>
          <w:ilvl w:val="0"/>
          <w:numId w:val="7"/>
        </w:numPr>
        <w:tabs>
          <w:tab w:pos="821" w:val="left" w:leader="none"/>
          <w:tab w:pos="822" w:val="left" w:leader="none"/>
        </w:tabs>
        <w:spacing w:line="240" w:lineRule="auto" w:before="12" w:after="0"/>
        <w:ind w:left="821" w:right="0" w:hanging="638"/>
        <w:jc w:val="left"/>
        <w:rPr>
          <w:sz w:val="19"/>
        </w:rPr>
      </w:pPr>
      <w:r>
        <w:rPr>
          <w:w w:val="105"/>
          <w:sz w:val="19"/>
        </w:rPr>
        <w:t>Trabajadores en servicios</w:t>
      </w:r>
      <w:r>
        <w:rPr>
          <w:spacing w:val="-6"/>
          <w:w w:val="105"/>
          <w:sz w:val="19"/>
        </w:rPr>
        <w:t> </w:t>
      </w:r>
      <w:r>
        <w:rPr>
          <w:w w:val="105"/>
          <w:sz w:val="19"/>
        </w:rPr>
        <w:t>domésticos</w:t>
      </w:r>
    </w:p>
    <w:p>
      <w:pPr>
        <w:pStyle w:val="ListParagraph"/>
        <w:numPr>
          <w:ilvl w:val="0"/>
          <w:numId w:val="7"/>
        </w:numPr>
        <w:tabs>
          <w:tab w:pos="821" w:val="left" w:leader="none"/>
          <w:tab w:pos="822" w:val="left" w:leader="none"/>
        </w:tabs>
        <w:spacing w:line="122" w:lineRule="auto" w:before="99" w:after="0"/>
        <w:ind w:left="821" w:right="479" w:hanging="638"/>
        <w:jc w:val="left"/>
        <w:rPr>
          <w:sz w:val="19"/>
        </w:rPr>
      </w:pPr>
      <w:r>
        <w:rPr>
          <w:w w:val="105"/>
          <w:sz w:val="19"/>
        </w:rPr>
        <w:t>Trabajadores en servicios de protección y vigilancia y fuerzas armadas</w:t>
      </w:r>
    </w:p>
    <w:p>
      <w:pPr>
        <w:spacing w:before="32"/>
        <w:ind w:left="821" w:right="200" w:firstLine="0"/>
        <w:jc w:val="left"/>
        <w:rPr>
          <w:i/>
          <w:sz w:val="19"/>
        </w:rPr>
      </w:pPr>
      <w:r>
        <w:rPr>
          <w:i/>
          <w:w w:val="105"/>
          <w:sz w:val="19"/>
        </w:rPr>
        <w:t>Peones y otros no calificados</w:t>
      </w:r>
    </w:p>
    <w:p>
      <w:pPr>
        <w:tabs>
          <w:tab w:pos="821" w:val="left" w:leader="none"/>
        </w:tabs>
        <w:spacing w:line="120" w:lineRule="auto" w:before="100"/>
        <w:ind w:left="821" w:right="662" w:hanging="639"/>
        <w:jc w:val="left"/>
        <w:rPr>
          <w:sz w:val="19"/>
        </w:rPr>
      </w:pPr>
      <w:r>
        <w:rPr>
          <w:w w:val="105"/>
          <w:position w:val="-11"/>
          <w:sz w:val="19"/>
        </w:rPr>
        <w:t>41</w:t>
        <w:tab/>
      </w:r>
      <w:r>
        <w:rPr>
          <w:w w:val="105"/>
          <w:sz w:val="19"/>
        </w:rPr>
        <w:t>Trabajadores en actividades agrícolas,</w:t>
      </w:r>
      <w:r>
        <w:rPr>
          <w:spacing w:val="-8"/>
          <w:w w:val="105"/>
          <w:sz w:val="19"/>
        </w:rPr>
        <w:t> </w:t>
      </w:r>
      <w:r>
        <w:rPr>
          <w:w w:val="105"/>
          <w:sz w:val="19"/>
        </w:rPr>
        <w:t>ganaderas,</w:t>
      </w:r>
      <w:r>
        <w:rPr>
          <w:spacing w:val="-2"/>
          <w:w w:val="105"/>
          <w:sz w:val="19"/>
        </w:rPr>
        <w:t> </w:t>
      </w:r>
      <w:r>
        <w:rPr>
          <w:w w:val="105"/>
          <w:sz w:val="19"/>
        </w:rPr>
        <w:t>silvícolas</w:t>
      </w:r>
      <w:r>
        <w:rPr>
          <w:spacing w:val="1"/>
          <w:w w:val="103"/>
          <w:sz w:val="19"/>
        </w:rPr>
        <w:t> </w:t>
      </w:r>
      <w:r>
        <w:rPr>
          <w:w w:val="105"/>
          <w:sz w:val="19"/>
        </w:rPr>
        <w:t>y de caza y</w:t>
      </w:r>
      <w:r>
        <w:rPr>
          <w:spacing w:val="-3"/>
          <w:w w:val="105"/>
          <w:sz w:val="19"/>
        </w:rPr>
        <w:t> </w:t>
      </w:r>
      <w:r>
        <w:rPr>
          <w:w w:val="105"/>
          <w:sz w:val="19"/>
        </w:rPr>
        <w:t>pesca</w:t>
      </w:r>
    </w:p>
    <w:p>
      <w:pPr>
        <w:spacing w:before="32"/>
        <w:ind w:left="821" w:right="200" w:firstLine="0"/>
        <w:jc w:val="left"/>
        <w:rPr>
          <w:sz w:val="19"/>
        </w:rPr>
      </w:pPr>
      <w:r>
        <w:rPr>
          <w:w w:val="105"/>
          <w:sz w:val="19"/>
        </w:rPr>
        <w:t>Ayudantes, peones y similares en el proceso de fabricación</w:t>
      </w:r>
    </w:p>
    <w:p>
      <w:pPr>
        <w:tabs>
          <w:tab w:pos="821" w:val="left" w:leader="none"/>
        </w:tabs>
        <w:spacing w:line="252" w:lineRule="auto" w:before="12"/>
        <w:ind w:left="821" w:right="1300" w:hanging="639"/>
        <w:jc w:val="left"/>
        <w:rPr>
          <w:sz w:val="19"/>
        </w:rPr>
      </w:pPr>
      <w:r>
        <w:rPr>
          <w:w w:val="105"/>
          <w:sz w:val="19"/>
        </w:rPr>
        <w:t>54</w:t>
        <w:tab/>
        <w:t>artesanal e industrial y en actividades</w:t>
      </w:r>
      <w:r>
        <w:rPr>
          <w:spacing w:val="-13"/>
          <w:w w:val="105"/>
          <w:sz w:val="19"/>
        </w:rPr>
        <w:t> </w:t>
      </w:r>
      <w:r>
        <w:rPr>
          <w:w w:val="105"/>
          <w:sz w:val="19"/>
        </w:rPr>
        <w:t>de</w:t>
      </w:r>
      <w:r>
        <w:rPr>
          <w:spacing w:val="-3"/>
          <w:w w:val="105"/>
          <w:sz w:val="19"/>
        </w:rPr>
        <w:t> </w:t>
      </w:r>
      <w:r>
        <w:rPr>
          <w:w w:val="105"/>
          <w:sz w:val="19"/>
        </w:rPr>
        <w:t>reparación</w:t>
      </w:r>
      <w:r>
        <w:rPr>
          <w:w w:val="103"/>
          <w:sz w:val="19"/>
        </w:rPr>
        <w:t> </w:t>
      </w:r>
      <w:r>
        <w:rPr>
          <w:w w:val="105"/>
          <w:sz w:val="19"/>
        </w:rPr>
        <w:t>y</w:t>
      </w:r>
      <w:r>
        <w:rPr>
          <w:spacing w:val="-6"/>
          <w:w w:val="105"/>
          <w:sz w:val="19"/>
        </w:rPr>
        <w:t> </w:t>
      </w:r>
      <w:r>
        <w:rPr>
          <w:w w:val="105"/>
          <w:sz w:val="19"/>
        </w:rPr>
        <w:t>mantenimiento</w:t>
      </w:r>
    </w:p>
    <w:p>
      <w:pPr>
        <w:pStyle w:val="BodyText"/>
        <w:spacing w:line="20" w:lineRule="exact"/>
        <w:ind w:left="106"/>
        <w:rPr>
          <w:sz w:val="2"/>
        </w:rPr>
      </w:pPr>
      <w:r>
        <w:rPr>
          <w:sz w:val="2"/>
        </w:rPr>
        <w:pict>
          <v:group style="width:301.7pt;height:.5pt;mso-position-horizontal-relative:char;mso-position-vertical-relative:line" coordorigin="0,0" coordsize="6034,10">
            <v:line style="position:absolute" from="5,5" to="643,5" stroked="true" strokeweight=".48pt" strokecolor="#000000"/>
            <v:line style="position:absolute" from="643,5" to="653,5" stroked="true" strokeweight=".48pt" strokecolor="#000000"/>
            <v:line style="position:absolute" from="653,5" to="6029,5" stroked="true" strokeweight=".48pt" strokecolor="#000000"/>
          </v:group>
        </w:pict>
      </w:r>
      <w:r>
        <w:rPr>
          <w:sz w:val="2"/>
        </w:rPr>
      </w:r>
    </w:p>
    <w:p>
      <w:pPr>
        <w:spacing w:before="0"/>
        <w:ind w:left="183" w:right="200" w:firstLine="0"/>
        <w:jc w:val="left"/>
        <w:rPr>
          <w:sz w:val="16"/>
        </w:rPr>
      </w:pPr>
      <w:r>
        <w:rPr>
          <w:sz w:val="16"/>
        </w:rPr>
        <w:t>Fuente: elaboración de las autoras.</w:t>
      </w:r>
    </w:p>
    <w:p>
      <w:pPr>
        <w:spacing w:after="0"/>
        <w:jc w:val="left"/>
        <w:rPr>
          <w:sz w:val="16"/>
        </w:rPr>
        <w:sectPr>
          <w:footerReference w:type="default" r:id="rId152"/>
          <w:pgSz w:w="7770" w:h="11740"/>
          <w:pgMar w:footer="474" w:header="0" w:top="960" w:bottom="660" w:left="620" w:right="900"/>
          <w:pgNumType w:start="124"/>
        </w:sectPr>
      </w:pPr>
    </w:p>
    <w:p>
      <w:pPr>
        <w:pStyle w:val="Heading4"/>
        <w:spacing w:before="47"/>
      </w:pPr>
      <w:r>
        <w:rPr>
          <w:w w:val="85"/>
        </w:rPr>
        <w:t>Bibliografía</w:t>
      </w:r>
    </w:p>
    <w:p>
      <w:pPr>
        <w:pStyle w:val="BodyText"/>
        <w:spacing w:before="10"/>
        <w:rPr>
          <w:b/>
          <w:sz w:val="26"/>
        </w:rPr>
      </w:pPr>
    </w:p>
    <w:p>
      <w:pPr>
        <w:spacing w:line="254" w:lineRule="auto" w:before="0"/>
        <w:ind w:left="113" w:right="108" w:firstLine="0"/>
        <w:jc w:val="both"/>
        <w:rPr>
          <w:sz w:val="18"/>
        </w:rPr>
      </w:pPr>
      <w:r>
        <w:rPr>
          <w:color w:val="231F20"/>
          <w:sz w:val="18"/>
        </w:rPr>
        <w:t>Banco Mundial (2014) </w:t>
      </w:r>
      <w:r>
        <w:rPr>
          <w:i/>
          <w:color w:val="231F20"/>
          <w:sz w:val="18"/>
        </w:rPr>
        <w:t>World Development Indicators 2014</w:t>
      </w:r>
      <w:r>
        <w:rPr>
          <w:color w:val="231F20"/>
          <w:sz w:val="18"/>
        </w:rPr>
        <w:t>, World Bank Publi- cations, Database.</w:t>
      </w:r>
    </w:p>
    <w:p>
      <w:pPr>
        <w:spacing w:line="254" w:lineRule="auto" w:before="57"/>
        <w:ind w:left="113" w:right="108" w:firstLine="0"/>
        <w:jc w:val="both"/>
        <w:rPr>
          <w:sz w:val="18"/>
        </w:rPr>
      </w:pPr>
      <w:r>
        <w:rPr>
          <w:color w:val="231F20"/>
          <w:sz w:val="18"/>
        </w:rPr>
        <w:t>Blecker, Robert A. (2010) “Comercio, empleo y distribución: efectos de la inte- gración regional y global”, en Nora Lustig (ed.), </w:t>
      </w:r>
      <w:r>
        <w:rPr>
          <w:i/>
          <w:color w:val="231F20"/>
          <w:sz w:val="18"/>
        </w:rPr>
        <w:t>Crecimiento económico y equi- </w:t>
      </w:r>
      <w:r>
        <w:rPr>
          <w:i/>
          <w:color w:val="231F20"/>
          <w:sz w:val="18"/>
        </w:rPr>
        <w:t>dad</w:t>
      </w:r>
      <w:r>
        <w:rPr>
          <w:color w:val="231F20"/>
          <w:sz w:val="18"/>
        </w:rPr>
        <w:t>, </w:t>
      </w:r>
      <w:r>
        <w:rPr>
          <w:i/>
          <w:color w:val="231F20"/>
          <w:sz w:val="18"/>
        </w:rPr>
        <w:t>Los grandes problemas de México</w:t>
      </w:r>
      <w:r>
        <w:rPr>
          <w:color w:val="231F20"/>
          <w:sz w:val="18"/>
        </w:rPr>
        <w:t>, México: El Colegio de México.</w:t>
      </w:r>
    </w:p>
    <w:p>
      <w:pPr>
        <w:spacing w:line="254" w:lineRule="auto" w:before="57"/>
        <w:ind w:left="113" w:right="108" w:firstLine="0"/>
        <w:jc w:val="both"/>
        <w:rPr>
          <w:sz w:val="18"/>
        </w:rPr>
      </w:pPr>
      <w:r>
        <w:rPr>
          <w:color w:val="231F20"/>
          <w:sz w:val="18"/>
        </w:rPr>
        <w:t>Cepal (Comisión Económica para América Latina) (2008) </w:t>
      </w:r>
      <w:r>
        <w:rPr>
          <w:i/>
          <w:color w:val="231F20"/>
          <w:sz w:val="18"/>
        </w:rPr>
        <w:t>Cuadernos estadísti- </w:t>
      </w:r>
      <w:r>
        <w:rPr>
          <w:i/>
          <w:color w:val="231F20"/>
          <w:sz w:val="18"/>
        </w:rPr>
        <w:t>cos de la CEPAL</w:t>
      </w:r>
      <w:r>
        <w:rPr>
          <w:color w:val="231F20"/>
          <w:sz w:val="18"/>
        </w:rPr>
        <w:t>, núm. 36, Santiago de Chile.</w:t>
      </w:r>
    </w:p>
    <w:p>
      <w:pPr>
        <w:spacing w:line="254" w:lineRule="auto" w:before="57"/>
        <w:ind w:left="113" w:right="108" w:firstLine="0"/>
        <w:jc w:val="both"/>
        <w:rPr>
          <w:sz w:val="18"/>
        </w:rPr>
      </w:pPr>
      <w:r>
        <w:rPr>
          <w:color w:val="231F20"/>
          <w:sz w:val="18"/>
        </w:rPr>
        <w:t>De la O, María Eugenia (2013) </w:t>
      </w:r>
      <w:r>
        <w:rPr>
          <w:i/>
          <w:color w:val="231F20"/>
          <w:sz w:val="18"/>
        </w:rPr>
        <w:t>Género y trabajo en las maquiladoras de Mé- </w:t>
      </w:r>
      <w:r>
        <w:rPr>
          <w:i/>
          <w:color w:val="231F20"/>
          <w:sz w:val="18"/>
        </w:rPr>
        <w:t>xico. Nuevos actores en nuevos contextos, </w:t>
      </w:r>
      <w:r>
        <w:rPr>
          <w:color w:val="231F20"/>
          <w:sz w:val="18"/>
        </w:rPr>
        <w:t>México: Centro de Investigaciones y Estudios</w:t>
      </w:r>
      <w:r>
        <w:rPr>
          <w:color w:val="231F20"/>
          <w:spacing w:val="-7"/>
          <w:sz w:val="18"/>
        </w:rPr>
        <w:t> </w:t>
      </w:r>
      <w:r>
        <w:rPr>
          <w:color w:val="231F20"/>
          <w:sz w:val="18"/>
        </w:rPr>
        <w:t>Superiores</w:t>
      </w:r>
      <w:r>
        <w:rPr>
          <w:color w:val="231F20"/>
          <w:spacing w:val="-6"/>
          <w:sz w:val="18"/>
        </w:rPr>
        <w:t> </w:t>
      </w:r>
      <w:r>
        <w:rPr>
          <w:color w:val="231F20"/>
          <w:sz w:val="18"/>
        </w:rPr>
        <w:t>en</w:t>
      </w:r>
      <w:r>
        <w:rPr>
          <w:color w:val="231F20"/>
          <w:spacing w:val="-15"/>
          <w:sz w:val="18"/>
        </w:rPr>
        <w:t> </w:t>
      </w:r>
      <w:r>
        <w:rPr>
          <w:color w:val="231F20"/>
          <w:sz w:val="18"/>
        </w:rPr>
        <w:t>Antropología</w:t>
      </w:r>
      <w:r>
        <w:rPr>
          <w:color w:val="231F20"/>
          <w:spacing w:val="-6"/>
          <w:sz w:val="18"/>
        </w:rPr>
        <w:t> </w:t>
      </w:r>
      <w:r>
        <w:rPr>
          <w:color w:val="231F20"/>
          <w:sz w:val="18"/>
        </w:rPr>
        <w:t>Social</w:t>
      </w:r>
      <w:r>
        <w:rPr>
          <w:color w:val="231F20"/>
          <w:spacing w:val="-6"/>
          <w:sz w:val="18"/>
        </w:rPr>
        <w:t> </w:t>
      </w:r>
      <w:r>
        <w:rPr>
          <w:color w:val="231F20"/>
          <w:sz w:val="18"/>
        </w:rPr>
        <w:t>(CIESAS),</w:t>
      </w:r>
      <w:r>
        <w:rPr>
          <w:color w:val="231F20"/>
          <w:spacing w:val="-6"/>
          <w:sz w:val="18"/>
        </w:rPr>
        <w:t> </w:t>
      </w:r>
      <w:r>
        <w:rPr>
          <w:color w:val="231F20"/>
          <w:sz w:val="18"/>
        </w:rPr>
        <w:t>Publicaciones</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Casa Chata.</w:t>
      </w:r>
    </w:p>
    <w:p>
      <w:pPr>
        <w:spacing w:line="254" w:lineRule="auto" w:before="57"/>
        <w:ind w:left="113" w:right="108" w:firstLine="0"/>
        <w:jc w:val="both"/>
        <w:rPr>
          <w:sz w:val="18"/>
        </w:rPr>
      </w:pPr>
      <w:r>
        <w:rPr>
          <w:color w:val="231F20"/>
          <w:sz w:val="18"/>
        </w:rPr>
        <w:t>Dingemans, Alfonso y César Ross (2012) “Los acuerdos de libre comercio en América Latina desde 1990: una evaluación de la diversificación de exportacio- nes”, en </w:t>
      </w:r>
      <w:r>
        <w:rPr>
          <w:i/>
          <w:color w:val="231F20"/>
          <w:sz w:val="18"/>
        </w:rPr>
        <w:t>Revista de la Cepal</w:t>
      </w:r>
      <w:r>
        <w:rPr>
          <w:color w:val="231F20"/>
          <w:sz w:val="18"/>
        </w:rPr>
        <w:t>, Santiago de Chile.</w:t>
      </w:r>
    </w:p>
    <w:p>
      <w:pPr>
        <w:spacing w:line="254" w:lineRule="auto" w:before="57"/>
        <w:ind w:left="113" w:right="108" w:firstLine="0"/>
        <w:jc w:val="both"/>
        <w:rPr>
          <w:sz w:val="18"/>
        </w:rPr>
      </w:pPr>
      <w:r>
        <w:rPr>
          <w:color w:val="231F20"/>
          <w:sz w:val="18"/>
        </w:rPr>
        <w:t>Durán Lima, José E (2008) </w:t>
      </w:r>
      <w:r>
        <w:rPr>
          <w:i/>
          <w:color w:val="231F20"/>
          <w:sz w:val="18"/>
        </w:rPr>
        <w:t>Indicadores de comercio exterior y política comer- </w:t>
      </w:r>
      <w:r>
        <w:rPr>
          <w:i/>
          <w:color w:val="231F20"/>
          <w:sz w:val="18"/>
        </w:rPr>
        <w:t>cial: generalidades metodológicas e indicadores básicos</w:t>
      </w:r>
      <w:r>
        <w:rPr>
          <w:color w:val="231F20"/>
          <w:sz w:val="18"/>
        </w:rPr>
        <w:t>, Santiago de Chile.</w:t>
      </w:r>
    </w:p>
    <w:p>
      <w:pPr>
        <w:spacing w:line="254" w:lineRule="auto" w:before="57"/>
        <w:ind w:left="113" w:right="108" w:firstLine="0"/>
        <w:jc w:val="both"/>
        <w:rPr>
          <w:i/>
          <w:sz w:val="18"/>
        </w:rPr>
      </w:pPr>
      <w:r>
        <w:rPr>
          <w:color w:val="231F20"/>
          <w:sz w:val="18"/>
        </w:rPr>
        <w:t>Dussel Peters, Enrique y Kevin P. Gallagher (2013) “El huésped no invitado del TLCAN: China y la desintegración del comercio en América del Norte”, en </w:t>
      </w:r>
      <w:r>
        <w:rPr>
          <w:i/>
          <w:color w:val="231F20"/>
          <w:sz w:val="18"/>
        </w:rPr>
        <w:t>Re- </w:t>
      </w:r>
      <w:r>
        <w:rPr>
          <w:i/>
          <w:color w:val="231F20"/>
          <w:sz w:val="18"/>
        </w:rPr>
        <w:t>vista de la Cepal, </w:t>
      </w:r>
      <w:r>
        <w:rPr>
          <w:color w:val="231F20"/>
          <w:sz w:val="18"/>
        </w:rPr>
        <w:t>núm. 110, agosto</w:t>
      </w:r>
      <w:r>
        <w:rPr>
          <w:i/>
          <w:color w:val="231F20"/>
          <w:sz w:val="18"/>
        </w:rPr>
        <w:t>.</w:t>
      </w:r>
    </w:p>
    <w:p>
      <w:pPr>
        <w:spacing w:line="254" w:lineRule="auto" w:before="57"/>
        <w:ind w:left="113" w:right="108" w:firstLine="0"/>
        <w:jc w:val="both"/>
        <w:rPr>
          <w:sz w:val="18"/>
        </w:rPr>
      </w:pPr>
      <w:r>
        <w:rPr>
          <w:color w:val="231F20"/>
          <w:sz w:val="18"/>
        </w:rPr>
        <w:t>Escoto, Ana (2013) “Condiciones laborales y comercio exterior: una aproxima- ción desde Guatemala y El Salvador, 2010”, en Luciana Gandini y Mauricio Padrón Innamorato (eds.), </w:t>
      </w:r>
      <w:r>
        <w:rPr>
          <w:i/>
          <w:color w:val="231F20"/>
          <w:sz w:val="18"/>
        </w:rPr>
        <w:t>Población y trabajo en América Latina: abordajes </w:t>
      </w:r>
      <w:r>
        <w:rPr>
          <w:i/>
          <w:color w:val="231F20"/>
          <w:sz w:val="18"/>
        </w:rPr>
        <w:t>teórico-metodológicos y tendencias empíricas recientes</w:t>
      </w:r>
      <w:r>
        <w:rPr>
          <w:color w:val="231F20"/>
          <w:sz w:val="18"/>
        </w:rPr>
        <w:t>, Serie Investigaciones, Sao Paulo: Asociación Latinoamericana de Población.</w:t>
      </w:r>
    </w:p>
    <w:p>
      <w:pPr>
        <w:spacing w:line="254" w:lineRule="auto" w:before="57"/>
        <w:ind w:left="113" w:right="108" w:firstLine="0"/>
        <w:jc w:val="both"/>
        <w:rPr>
          <w:sz w:val="18"/>
        </w:rPr>
      </w:pPr>
      <w:r>
        <w:rPr>
          <w:color w:val="231F20"/>
          <w:sz w:val="18"/>
        </w:rPr>
        <w:t>Escoto, Ana (2014) </w:t>
      </w:r>
      <w:r>
        <w:rPr>
          <w:i/>
          <w:color w:val="231F20"/>
          <w:sz w:val="18"/>
        </w:rPr>
        <w:t>Comercio exterior y condiciones laborales en Centroamé- </w:t>
      </w:r>
      <w:r>
        <w:rPr>
          <w:i/>
          <w:color w:val="231F20"/>
          <w:sz w:val="18"/>
        </w:rPr>
        <w:t>rica: los casos de Guatemala, El Salvador y Costa Rica</w:t>
      </w:r>
      <w:r>
        <w:rPr>
          <w:color w:val="231F20"/>
          <w:sz w:val="18"/>
        </w:rPr>
        <w:t>, tesis de Doctorado en Estudios de Población, México: CEDUA, El Colegio de México.</w:t>
      </w:r>
    </w:p>
    <w:p>
      <w:pPr>
        <w:spacing w:line="254" w:lineRule="auto" w:before="57"/>
        <w:ind w:left="113" w:right="108" w:firstLine="0"/>
        <w:jc w:val="both"/>
        <w:rPr>
          <w:sz w:val="18"/>
        </w:rPr>
      </w:pPr>
      <w:r>
        <w:rPr>
          <w:color w:val="231F20"/>
          <w:sz w:val="18"/>
        </w:rPr>
        <w:t>Fujii, Gerardo y Rosario Cervantes (2013) “México. Valor agregado en las ex- portaciones manufactureras”, en </w:t>
      </w:r>
      <w:r>
        <w:rPr>
          <w:i/>
          <w:color w:val="231F20"/>
          <w:sz w:val="18"/>
        </w:rPr>
        <w:t>Revista de la Cepal, </w:t>
      </w:r>
      <w:r>
        <w:rPr>
          <w:color w:val="231F20"/>
          <w:sz w:val="18"/>
        </w:rPr>
        <w:t>núm</w:t>
      </w:r>
      <w:r>
        <w:rPr>
          <w:i/>
          <w:color w:val="231F20"/>
          <w:sz w:val="18"/>
        </w:rPr>
        <w:t>. </w:t>
      </w:r>
      <w:r>
        <w:rPr>
          <w:color w:val="231F20"/>
          <w:sz w:val="18"/>
        </w:rPr>
        <w:t>109, abril, Santiago de Chile.</w:t>
      </w:r>
    </w:p>
    <w:p>
      <w:pPr>
        <w:spacing w:line="254" w:lineRule="auto" w:before="57"/>
        <w:ind w:left="113" w:right="108" w:firstLine="0"/>
        <w:jc w:val="both"/>
        <w:rPr>
          <w:sz w:val="18"/>
        </w:rPr>
      </w:pPr>
      <w:r>
        <w:rPr>
          <w:color w:val="231F20"/>
          <w:sz w:val="18"/>
        </w:rPr>
        <w:t>García, Brígida (2013) “Precariedad laboral y desempleo en México”, en Luz María</w:t>
      </w:r>
      <w:r>
        <w:rPr>
          <w:color w:val="231F20"/>
          <w:spacing w:val="-11"/>
          <w:sz w:val="18"/>
        </w:rPr>
        <w:t> </w:t>
      </w:r>
      <w:r>
        <w:rPr>
          <w:color w:val="231F20"/>
          <w:spacing w:val="-3"/>
          <w:sz w:val="18"/>
        </w:rPr>
        <w:t>Valdés,</w:t>
      </w:r>
      <w:r>
        <w:rPr>
          <w:color w:val="231F20"/>
          <w:spacing w:val="-8"/>
          <w:sz w:val="18"/>
        </w:rPr>
        <w:t> </w:t>
      </w:r>
      <w:r>
        <w:rPr>
          <w:i/>
          <w:color w:val="231F20"/>
          <w:sz w:val="18"/>
        </w:rPr>
        <w:t>Hacia</w:t>
      </w:r>
      <w:r>
        <w:rPr>
          <w:i/>
          <w:color w:val="231F20"/>
          <w:spacing w:val="-8"/>
          <w:sz w:val="18"/>
        </w:rPr>
        <w:t> </w:t>
      </w:r>
      <w:r>
        <w:rPr>
          <w:i/>
          <w:color w:val="231F20"/>
          <w:sz w:val="18"/>
        </w:rPr>
        <w:t>una</w:t>
      </w:r>
      <w:r>
        <w:rPr>
          <w:i/>
          <w:color w:val="231F20"/>
          <w:spacing w:val="-8"/>
          <w:sz w:val="18"/>
        </w:rPr>
        <w:t> </w:t>
      </w:r>
      <w:r>
        <w:rPr>
          <w:i/>
          <w:color w:val="231F20"/>
          <w:sz w:val="18"/>
        </w:rPr>
        <w:t>nueva</w:t>
      </w:r>
      <w:r>
        <w:rPr>
          <w:i/>
          <w:color w:val="231F20"/>
          <w:spacing w:val="-8"/>
          <w:sz w:val="18"/>
        </w:rPr>
        <w:t> </w:t>
      </w:r>
      <w:r>
        <w:rPr>
          <w:i/>
          <w:color w:val="231F20"/>
          <w:sz w:val="18"/>
        </w:rPr>
        <w:t>Ley</w:t>
      </w:r>
      <w:r>
        <w:rPr>
          <w:i/>
          <w:color w:val="231F20"/>
          <w:spacing w:val="-8"/>
          <w:sz w:val="18"/>
        </w:rPr>
        <w:t> </w:t>
      </w:r>
      <w:r>
        <w:rPr>
          <w:i/>
          <w:color w:val="231F20"/>
          <w:sz w:val="18"/>
        </w:rPr>
        <w:t>General</w:t>
      </w:r>
      <w:r>
        <w:rPr>
          <w:i/>
          <w:color w:val="231F20"/>
          <w:spacing w:val="-7"/>
          <w:sz w:val="18"/>
        </w:rPr>
        <w:t> </w:t>
      </w:r>
      <w:r>
        <w:rPr>
          <w:i/>
          <w:color w:val="231F20"/>
          <w:sz w:val="18"/>
        </w:rPr>
        <w:t>de</w:t>
      </w:r>
      <w:r>
        <w:rPr>
          <w:i/>
          <w:color w:val="231F20"/>
          <w:spacing w:val="-8"/>
          <w:sz w:val="18"/>
        </w:rPr>
        <w:t> </w:t>
      </w:r>
      <w:r>
        <w:rPr>
          <w:i/>
          <w:color w:val="231F20"/>
          <w:sz w:val="18"/>
        </w:rPr>
        <w:t>Población,</w:t>
      </w:r>
      <w:r>
        <w:rPr>
          <w:i/>
          <w:color w:val="231F20"/>
          <w:spacing w:val="-8"/>
          <w:sz w:val="18"/>
        </w:rPr>
        <w:t> </w:t>
      </w:r>
      <w:r>
        <w:rPr>
          <w:color w:val="231F20"/>
          <w:sz w:val="18"/>
        </w:rPr>
        <w:t>México:</w:t>
      </w:r>
      <w:r>
        <w:rPr>
          <w:color w:val="231F20"/>
          <w:spacing w:val="-7"/>
          <w:sz w:val="18"/>
        </w:rPr>
        <w:t> </w:t>
      </w:r>
      <w:r>
        <w:rPr>
          <w:color w:val="231F20"/>
          <w:sz w:val="18"/>
        </w:rPr>
        <w:t>Universidad Nacional Autónoma de</w:t>
      </w:r>
      <w:r>
        <w:rPr>
          <w:color w:val="231F20"/>
          <w:spacing w:val="-31"/>
          <w:sz w:val="18"/>
        </w:rPr>
        <w:t> </w:t>
      </w:r>
      <w:r>
        <w:rPr>
          <w:color w:val="231F20"/>
          <w:sz w:val="18"/>
        </w:rPr>
        <w:t>México.</w:t>
      </w:r>
    </w:p>
    <w:p>
      <w:pPr>
        <w:spacing w:line="254" w:lineRule="auto" w:before="57"/>
        <w:ind w:left="113" w:right="108" w:firstLine="0"/>
        <w:jc w:val="both"/>
        <w:rPr>
          <w:sz w:val="18"/>
        </w:rPr>
      </w:pPr>
      <w:r>
        <w:rPr>
          <w:color w:val="231F20"/>
          <w:sz w:val="18"/>
        </w:rPr>
        <w:t>García, Brígida y Landy Sánchez (2012) “Trayectorias de desempleo urbano en México”, en </w:t>
      </w:r>
      <w:r>
        <w:rPr>
          <w:i/>
          <w:color w:val="231F20"/>
          <w:sz w:val="18"/>
        </w:rPr>
        <w:t>Revista Latinoamericana de Población</w:t>
      </w:r>
      <w:r>
        <w:rPr>
          <w:color w:val="231F20"/>
          <w:sz w:val="18"/>
        </w:rPr>
        <w:t>.</w:t>
      </w:r>
    </w:p>
    <w:p>
      <w:pPr>
        <w:spacing w:line="254" w:lineRule="auto" w:before="57"/>
        <w:ind w:left="113" w:right="108" w:firstLine="0"/>
        <w:jc w:val="both"/>
        <w:rPr>
          <w:sz w:val="18"/>
        </w:rPr>
      </w:pPr>
      <w:r>
        <w:rPr>
          <w:color w:val="231F20"/>
          <w:sz w:val="18"/>
        </w:rPr>
        <w:t>INEGI (Instituto Nacional de Estadística y Geografía) (2012) </w:t>
      </w:r>
      <w:r>
        <w:rPr>
          <w:i/>
          <w:color w:val="231F20"/>
          <w:sz w:val="18"/>
        </w:rPr>
        <w:t>Estadísticas del </w:t>
      </w:r>
      <w:r>
        <w:rPr>
          <w:i/>
          <w:color w:val="231F20"/>
          <w:sz w:val="18"/>
        </w:rPr>
        <w:t>comercio exterior de México. </w:t>
      </w:r>
      <w:r>
        <w:rPr>
          <w:color w:val="231F20"/>
          <w:sz w:val="18"/>
        </w:rPr>
        <w:t>Información preliminar, Aguascalientes: enero- agosto.</w:t>
      </w:r>
    </w:p>
    <w:p>
      <w:pPr>
        <w:spacing w:after="0" w:line="254" w:lineRule="auto"/>
        <w:jc w:val="both"/>
        <w:rPr>
          <w:sz w:val="18"/>
        </w:rPr>
        <w:sectPr>
          <w:pgSz w:w="7770" w:h="11740"/>
          <w:pgMar w:header="0" w:footer="474" w:top="840" w:bottom="660" w:left="1020" w:right="740"/>
        </w:sectPr>
      </w:pPr>
    </w:p>
    <w:p>
      <w:pPr>
        <w:spacing w:line="254" w:lineRule="auto" w:before="57"/>
        <w:ind w:left="110" w:right="111" w:firstLine="0"/>
        <w:jc w:val="both"/>
        <w:rPr>
          <w:sz w:val="18"/>
        </w:rPr>
      </w:pPr>
      <w:r>
        <w:rPr>
          <w:color w:val="231F20"/>
          <w:sz w:val="18"/>
        </w:rPr>
        <w:t>INEGI</w:t>
      </w:r>
      <w:r>
        <w:rPr>
          <w:color w:val="231F20"/>
          <w:spacing w:val="-6"/>
          <w:sz w:val="18"/>
        </w:rPr>
        <w:t> </w:t>
      </w:r>
      <w:r>
        <w:rPr>
          <w:color w:val="231F20"/>
          <w:sz w:val="18"/>
        </w:rPr>
        <w:t>(Instituto</w:t>
      </w:r>
      <w:r>
        <w:rPr>
          <w:color w:val="231F20"/>
          <w:spacing w:val="-6"/>
          <w:sz w:val="18"/>
        </w:rPr>
        <w:t> </w:t>
      </w:r>
      <w:r>
        <w:rPr>
          <w:color w:val="231F20"/>
          <w:sz w:val="18"/>
        </w:rPr>
        <w:t>Nacional</w:t>
      </w:r>
      <w:r>
        <w:rPr>
          <w:color w:val="231F20"/>
          <w:spacing w:val="-6"/>
          <w:sz w:val="18"/>
        </w:rPr>
        <w:t> </w:t>
      </w:r>
      <w:r>
        <w:rPr>
          <w:color w:val="231F20"/>
          <w:sz w:val="18"/>
        </w:rPr>
        <w:t>de</w:t>
      </w:r>
      <w:r>
        <w:rPr>
          <w:color w:val="231F20"/>
          <w:spacing w:val="-6"/>
          <w:sz w:val="18"/>
        </w:rPr>
        <w:t> </w:t>
      </w:r>
      <w:r>
        <w:rPr>
          <w:color w:val="231F20"/>
          <w:sz w:val="18"/>
        </w:rPr>
        <w:t>Estadística</w:t>
      </w:r>
      <w:r>
        <w:rPr>
          <w:color w:val="231F20"/>
          <w:spacing w:val="-7"/>
          <w:sz w:val="18"/>
        </w:rPr>
        <w:t> </w:t>
      </w:r>
      <w:r>
        <w:rPr>
          <w:color w:val="231F20"/>
          <w:sz w:val="18"/>
        </w:rPr>
        <w:t>y</w:t>
      </w:r>
      <w:r>
        <w:rPr>
          <w:color w:val="231F20"/>
          <w:spacing w:val="-6"/>
          <w:sz w:val="18"/>
        </w:rPr>
        <w:t> </w:t>
      </w:r>
      <w:r>
        <w:rPr>
          <w:color w:val="231F20"/>
          <w:sz w:val="18"/>
        </w:rPr>
        <w:t>Geografía)</w:t>
      </w:r>
      <w:r>
        <w:rPr>
          <w:color w:val="231F20"/>
          <w:spacing w:val="-6"/>
          <w:sz w:val="18"/>
        </w:rPr>
        <w:t> </w:t>
      </w:r>
      <w:r>
        <w:rPr>
          <w:color w:val="231F20"/>
          <w:sz w:val="18"/>
        </w:rPr>
        <w:t>(2014)</w:t>
      </w:r>
      <w:r>
        <w:rPr>
          <w:color w:val="231F20"/>
          <w:spacing w:val="-6"/>
          <w:sz w:val="18"/>
        </w:rPr>
        <w:t> </w:t>
      </w:r>
      <w:r>
        <w:rPr>
          <w:i/>
          <w:color w:val="231F20"/>
          <w:sz w:val="18"/>
        </w:rPr>
        <w:t>Balanza</w:t>
      </w:r>
      <w:r>
        <w:rPr>
          <w:i/>
          <w:color w:val="231F20"/>
          <w:spacing w:val="-6"/>
          <w:sz w:val="18"/>
        </w:rPr>
        <w:t> </w:t>
      </w:r>
      <w:r>
        <w:rPr>
          <w:i/>
          <w:color w:val="231F20"/>
          <w:sz w:val="18"/>
        </w:rPr>
        <w:t>comercial </w:t>
      </w:r>
      <w:r>
        <w:rPr>
          <w:i/>
          <w:color w:val="231F20"/>
          <w:sz w:val="18"/>
        </w:rPr>
        <w:t>de mercancías de México, </w:t>
      </w:r>
      <w:r>
        <w:rPr>
          <w:color w:val="231F20"/>
          <w:sz w:val="18"/>
        </w:rPr>
        <w:t>Información revisada,</w:t>
      </w:r>
      <w:r>
        <w:rPr>
          <w:color w:val="231F20"/>
          <w:spacing w:val="-11"/>
          <w:sz w:val="18"/>
        </w:rPr>
        <w:t> </w:t>
      </w:r>
      <w:r>
        <w:rPr>
          <w:color w:val="231F20"/>
          <w:sz w:val="18"/>
        </w:rPr>
        <w:t>enero-abril.</w:t>
      </w:r>
    </w:p>
    <w:p>
      <w:pPr>
        <w:spacing w:line="254" w:lineRule="auto" w:before="57"/>
        <w:ind w:left="110" w:right="111" w:firstLine="0"/>
        <w:jc w:val="both"/>
        <w:rPr>
          <w:sz w:val="18"/>
        </w:rPr>
      </w:pPr>
      <w:r>
        <w:rPr>
          <w:color w:val="231F20"/>
          <w:sz w:val="18"/>
        </w:rPr>
        <w:t>Jansen, Marion, Ralf Peters y José Manuel Salazar-Xirinachs (2011) </w:t>
      </w:r>
      <w:r>
        <w:rPr>
          <w:i/>
          <w:color w:val="231F20"/>
          <w:sz w:val="18"/>
        </w:rPr>
        <w:t>Trade and </w:t>
      </w:r>
      <w:r>
        <w:rPr>
          <w:i/>
          <w:color w:val="231F20"/>
          <w:sz w:val="18"/>
        </w:rPr>
        <w:t>Employment. From Myths to Facts, </w:t>
      </w:r>
      <w:r>
        <w:rPr>
          <w:color w:val="231F20"/>
          <w:sz w:val="18"/>
        </w:rPr>
        <w:t>Ginebra: International Labour Organization (ILO).</w:t>
      </w:r>
    </w:p>
    <w:p>
      <w:pPr>
        <w:spacing w:line="254" w:lineRule="auto" w:before="57"/>
        <w:ind w:left="110" w:right="111" w:firstLine="0"/>
        <w:jc w:val="both"/>
        <w:rPr>
          <w:sz w:val="18"/>
        </w:rPr>
      </w:pPr>
      <w:r>
        <w:rPr>
          <w:color w:val="231F20"/>
          <w:sz w:val="18"/>
        </w:rPr>
        <w:t>Judzik, Darío y Héctor Sala (2013) “Productividad, desindicalización y comer- cio: efectos sobre el salario y la participación de la renta del trabajo”, en </w:t>
      </w:r>
      <w:r>
        <w:rPr>
          <w:i/>
          <w:color w:val="231F20"/>
          <w:sz w:val="18"/>
        </w:rPr>
        <w:t>Revista </w:t>
      </w:r>
      <w:r>
        <w:rPr>
          <w:i/>
          <w:color w:val="231F20"/>
          <w:sz w:val="18"/>
        </w:rPr>
        <w:t>Internacional del Trabajo</w:t>
      </w:r>
      <w:r>
        <w:rPr>
          <w:color w:val="231F20"/>
          <w:sz w:val="18"/>
        </w:rPr>
        <w:t>, vol. 132, núm. 2.</w:t>
      </w:r>
    </w:p>
    <w:p>
      <w:pPr>
        <w:spacing w:line="254" w:lineRule="auto" w:before="57"/>
        <w:ind w:left="110" w:right="111" w:firstLine="0"/>
        <w:jc w:val="both"/>
        <w:rPr>
          <w:sz w:val="18"/>
        </w:rPr>
      </w:pPr>
      <w:r>
        <w:rPr>
          <w:color w:val="231F20"/>
          <w:sz w:val="18"/>
        </w:rPr>
        <w:t>Knight, Genevieve y Leanne Johnson (1997) </w:t>
      </w:r>
      <w:r>
        <w:rPr>
          <w:i/>
          <w:color w:val="231F20"/>
          <w:sz w:val="18"/>
        </w:rPr>
        <w:t>Tradables: developing output and </w:t>
      </w:r>
      <w:r>
        <w:rPr>
          <w:i/>
          <w:color w:val="231F20"/>
          <w:sz w:val="18"/>
        </w:rPr>
        <w:t>price measures for Australia’s tradable and non-tradable sectors</w:t>
      </w:r>
      <w:r>
        <w:rPr>
          <w:color w:val="231F20"/>
          <w:sz w:val="18"/>
        </w:rPr>
        <w:t>, núm. 97/1, Australian Bureau of Statistics.</w:t>
      </w:r>
    </w:p>
    <w:p>
      <w:pPr>
        <w:spacing w:line="254" w:lineRule="auto" w:before="57"/>
        <w:ind w:left="110" w:right="111" w:firstLine="0"/>
        <w:jc w:val="both"/>
        <w:rPr>
          <w:sz w:val="18"/>
        </w:rPr>
      </w:pPr>
      <w:r>
        <w:rPr>
          <w:color w:val="231F20"/>
          <w:sz w:val="18"/>
        </w:rPr>
        <w:t>Lustig, Nora (2010) “El impacto de 25 años de reformas sobre la pobreza y la desigualdad”,</w:t>
      </w:r>
      <w:r>
        <w:rPr>
          <w:color w:val="231F20"/>
          <w:spacing w:val="-7"/>
          <w:sz w:val="18"/>
        </w:rPr>
        <w:t> </w:t>
      </w:r>
      <w:r>
        <w:rPr>
          <w:color w:val="231F20"/>
          <w:sz w:val="18"/>
        </w:rPr>
        <w:t>en</w:t>
      </w:r>
      <w:r>
        <w:rPr>
          <w:color w:val="231F20"/>
          <w:spacing w:val="-8"/>
          <w:sz w:val="18"/>
        </w:rPr>
        <w:t> </w:t>
      </w:r>
      <w:r>
        <w:rPr>
          <w:color w:val="231F20"/>
          <w:sz w:val="18"/>
        </w:rPr>
        <w:t>Nora</w:t>
      </w:r>
      <w:r>
        <w:rPr>
          <w:color w:val="231F20"/>
          <w:spacing w:val="-7"/>
          <w:sz w:val="18"/>
        </w:rPr>
        <w:t> </w:t>
      </w:r>
      <w:r>
        <w:rPr>
          <w:color w:val="231F20"/>
          <w:sz w:val="18"/>
        </w:rPr>
        <w:t>Lustig</w:t>
      </w:r>
      <w:r>
        <w:rPr>
          <w:color w:val="231F20"/>
          <w:spacing w:val="-8"/>
          <w:sz w:val="18"/>
        </w:rPr>
        <w:t> </w:t>
      </w:r>
      <w:r>
        <w:rPr>
          <w:color w:val="231F20"/>
          <w:sz w:val="18"/>
        </w:rPr>
        <w:t>(ed.),</w:t>
      </w:r>
      <w:r>
        <w:rPr>
          <w:color w:val="231F20"/>
          <w:spacing w:val="-7"/>
          <w:sz w:val="18"/>
        </w:rPr>
        <w:t> </w:t>
      </w:r>
      <w:r>
        <w:rPr>
          <w:i/>
          <w:color w:val="231F20"/>
          <w:sz w:val="18"/>
        </w:rPr>
        <w:t>Crecimiento</w:t>
      </w:r>
      <w:r>
        <w:rPr>
          <w:i/>
          <w:color w:val="231F20"/>
          <w:spacing w:val="-8"/>
          <w:sz w:val="18"/>
        </w:rPr>
        <w:t> </w:t>
      </w:r>
      <w:r>
        <w:rPr>
          <w:i/>
          <w:color w:val="231F20"/>
          <w:sz w:val="18"/>
        </w:rPr>
        <w:t>económico</w:t>
      </w:r>
      <w:r>
        <w:rPr>
          <w:i/>
          <w:color w:val="231F20"/>
          <w:spacing w:val="-8"/>
          <w:sz w:val="18"/>
        </w:rPr>
        <w:t> </w:t>
      </w:r>
      <w:r>
        <w:rPr>
          <w:i/>
          <w:color w:val="231F20"/>
          <w:sz w:val="18"/>
        </w:rPr>
        <w:t>y</w:t>
      </w:r>
      <w:r>
        <w:rPr>
          <w:i/>
          <w:color w:val="231F20"/>
          <w:spacing w:val="-7"/>
          <w:sz w:val="18"/>
        </w:rPr>
        <w:t> </w:t>
      </w:r>
      <w:r>
        <w:rPr>
          <w:i/>
          <w:color w:val="231F20"/>
          <w:sz w:val="18"/>
        </w:rPr>
        <w:t>equidad</w:t>
      </w:r>
      <w:r>
        <w:rPr>
          <w:color w:val="231F20"/>
          <w:sz w:val="18"/>
        </w:rPr>
        <w:t>.</w:t>
      </w:r>
      <w:r>
        <w:rPr>
          <w:color w:val="231F20"/>
          <w:spacing w:val="-7"/>
          <w:sz w:val="18"/>
        </w:rPr>
        <w:t> </w:t>
      </w:r>
      <w:r>
        <w:rPr>
          <w:i/>
          <w:color w:val="231F20"/>
          <w:sz w:val="18"/>
        </w:rPr>
        <w:t>Los</w:t>
      </w:r>
      <w:r>
        <w:rPr>
          <w:i/>
          <w:color w:val="231F20"/>
          <w:spacing w:val="-7"/>
          <w:sz w:val="18"/>
        </w:rPr>
        <w:t> </w:t>
      </w:r>
      <w:r>
        <w:rPr>
          <w:i/>
          <w:color w:val="231F20"/>
          <w:sz w:val="18"/>
        </w:rPr>
        <w:t>gran- </w:t>
      </w:r>
      <w:r>
        <w:rPr>
          <w:i/>
          <w:color w:val="231F20"/>
          <w:sz w:val="18"/>
        </w:rPr>
        <w:t>des problemas de México</w:t>
      </w:r>
      <w:r>
        <w:rPr>
          <w:color w:val="231F20"/>
          <w:sz w:val="18"/>
        </w:rPr>
        <w:t>, México: El Colegio de</w:t>
      </w:r>
      <w:r>
        <w:rPr>
          <w:color w:val="231F20"/>
          <w:spacing w:val="-10"/>
          <w:sz w:val="18"/>
        </w:rPr>
        <w:t> </w:t>
      </w:r>
      <w:r>
        <w:rPr>
          <w:color w:val="231F20"/>
          <w:sz w:val="18"/>
        </w:rPr>
        <w:t>México.</w:t>
      </w:r>
    </w:p>
    <w:p>
      <w:pPr>
        <w:spacing w:line="254" w:lineRule="auto" w:before="57"/>
        <w:ind w:left="110" w:right="111" w:firstLine="0"/>
        <w:jc w:val="both"/>
        <w:rPr>
          <w:sz w:val="18"/>
        </w:rPr>
      </w:pPr>
      <w:r>
        <w:rPr>
          <w:color w:val="231F20"/>
          <w:sz w:val="18"/>
        </w:rPr>
        <w:t>McMillan, Margaret e Íñigo </w:t>
      </w:r>
      <w:r>
        <w:rPr>
          <w:color w:val="231F20"/>
          <w:spacing w:val="-3"/>
          <w:sz w:val="18"/>
        </w:rPr>
        <w:t>Verduzco </w:t>
      </w:r>
      <w:r>
        <w:rPr>
          <w:color w:val="231F20"/>
          <w:sz w:val="18"/>
        </w:rPr>
        <w:t>(2011) “New Evidence on Trade and</w:t>
      </w:r>
      <w:r>
        <w:rPr>
          <w:color w:val="231F20"/>
          <w:spacing w:val="-25"/>
          <w:sz w:val="18"/>
        </w:rPr>
        <w:t> </w:t>
      </w:r>
      <w:r>
        <w:rPr>
          <w:color w:val="231F20"/>
          <w:sz w:val="18"/>
        </w:rPr>
        <w:t>Em- ployment:</w:t>
      </w:r>
      <w:r>
        <w:rPr>
          <w:color w:val="231F20"/>
          <w:spacing w:val="-13"/>
          <w:sz w:val="18"/>
        </w:rPr>
        <w:t> </w:t>
      </w:r>
      <w:r>
        <w:rPr>
          <w:color w:val="231F20"/>
          <w:sz w:val="18"/>
        </w:rPr>
        <w:t>An</w:t>
      </w:r>
      <w:r>
        <w:rPr>
          <w:color w:val="231F20"/>
          <w:spacing w:val="-4"/>
          <w:sz w:val="18"/>
        </w:rPr>
        <w:t> </w:t>
      </w:r>
      <w:r>
        <w:rPr>
          <w:color w:val="231F20"/>
          <w:sz w:val="18"/>
        </w:rPr>
        <w:t>Overview”,</w:t>
      </w:r>
      <w:r>
        <w:rPr>
          <w:color w:val="231F20"/>
          <w:spacing w:val="-4"/>
          <w:sz w:val="18"/>
        </w:rPr>
        <w:t> </w:t>
      </w:r>
      <w:r>
        <w:rPr>
          <w:color w:val="231F20"/>
          <w:sz w:val="18"/>
        </w:rPr>
        <w:t>en</w:t>
      </w:r>
      <w:r>
        <w:rPr>
          <w:color w:val="231F20"/>
          <w:spacing w:val="-4"/>
          <w:sz w:val="18"/>
        </w:rPr>
        <w:t> </w:t>
      </w:r>
      <w:r>
        <w:rPr>
          <w:color w:val="231F20"/>
          <w:sz w:val="18"/>
        </w:rPr>
        <w:t>Marion</w:t>
      </w:r>
      <w:r>
        <w:rPr>
          <w:color w:val="231F20"/>
          <w:spacing w:val="-4"/>
          <w:sz w:val="18"/>
        </w:rPr>
        <w:t> </w:t>
      </w:r>
      <w:r>
        <w:rPr>
          <w:color w:val="231F20"/>
          <w:sz w:val="18"/>
        </w:rPr>
        <w:t>Jansen,</w:t>
      </w:r>
      <w:r>
        <w:rPr>
          <w:color w:val="231F20"/>
          <w:spacing w:val="-4"/>
          <w:sz w:val="18"/>
        </w:rPr>
        <w:t> </w:t>
      </w:r>
      <w:r>
        <w:rPr>
          <w:color w:val="231F20"/>
          <w:sz w:val="18"/>
        </w:rPr>
        <w:t>Ralf</w:t>
      </w:r>
      <w:r>
        <w:rPr>
          <w:color w:val="231F20"/>
          <w:spacing w:val="-4"/>
          <w:sz w:val="18"/>
        </w:rPr>
        <w:t> </w:t>
      </w:r>
      <w:r>
        <w:rPr>
          <w:color w:val="231F20"/>
          <w:sz w:val="18"/>
        </w:rPr>
        <w:t>Peters</w:t>
      </w:r>
      <w:r>
        <w:rPr>
          <w:color w:val="231F20"/>
          <w:spacing w:val="-4"/>
          <w:sz w:val="18"/>
        </w:rPr>
        <w:t> </w:t>
      </w:r>
      <w:r>
        <w:rPr>
          <w:color w:val="231F20"/>
          <w:sz w:val="18"/>
        </w:rPr>
        <w:t>y</w:t>
      </w:r>
      <w:r>
        <w:rPr>
          <w:color w:val="231F20"/>
          <w:spacing w:val="-4"/>
          <w:sz w:val="18"/>
        </w:rPr>
        <w:t> </w:t>
      </w:r>
      <w:r>
        <w:rPr>
          <w:color w:val="231F20"/>
          <w:sz w:val="18"/>
        </w:rPr>
        <w:t>José</w:t>
      </w:r>
      <w:r>
        <w:rPr>
          <w:color w:val="231F20"/>
          <w:spacing w:val="-4"/>
          <w:sz w:val="18"/>
        </w:rPr>
        <w:t> </w:t>
      </w:r>
      <w:r>
        <w:rPr>
          <w:color w:val="231F20"/>
          <w:sz w:val="18"/>
        </w:rPr>
        <w:t>Manuel</w:t>
      </w:r>
      <w:r>
        <w:rPr>
          <w:color w:val="231F20"/>
          <w:spacing w:val="-4"/>
          <w:sz w:val="18"/>
        </w:rPr>
        <w:t> </w:t>
      </w:r>
      <w:r>
        <w:rPr>
          <w:color w:val="231F20"/>
          <w:sz w:val="18"/>
        </w:rPr>
        <w:t>Salazar- Xirinachs, </w:t>
      </w:r>
      <w:r>
        <w:rPr>
          <w:i/>
          <w:color w:val="231F20"/>
          <w:spacing w:val="-3"/>
          <w:sz w:val="18"/>
        </w:rPr>
        <w:t>Trade </w:t>
      </w:r>
      <w:r>
        <w:rPr>
          <w:i/>
          <w:color w:val="231F20"/>
          <w:sz w:val="18"/>
        </w:rPr>
        <w:t>and Employment. From Myths to Facts, </w:t>
      </w:r>
      <w:r>
        <w:rPr>
          <w:color w:val="231F20"/>
          <w:sz w:val="18"/>
        </w:rPr>
        <w:t>Ginebra: International Labour Organization</w:t>
      </w:r>
      <w:r>
        <w:rPr>
          <w:color w:val="231F20"/>
          <w:spacing w:val="-6"/>
          <w:sz w:val="18"/>
        </w:rPr>
        <w:t> </w:t>
      </w:r>
      <w:r>
        <w:rPr>
          <w:color w:val="231F20"/>
          <w:sz w:val="18"/>
        </w:rPr>
        <w:t>(ILO).</w:t>
      </w:r>
    </w:p>
    <w:p>
      <w:pPr>
        <w:spacing w:line="254" w:lineRule="auto" w:before="57"/>
        <w:ind w:left="110" w:right="112" w:firstLine="0"/>
        <w:jc w:val="both"/>
        <w:rPr>
          <w:sz w:val="18"/>
        </w:rPr>
      </w:pPr>
      <w:r>
        <w:rPr>
          <w:color w:val="231F20"/>
          <w:sz w:val="18"/>
        </w:rPr>
        <w:t>Pacheco, Edith, Enrique de la Garza y Luis Reygadas (coords.) (2011) </w:t>
      </w:r>
      <w:r>
        <w:rPr>
          <w:i/>
          <w:color w:val="231F20"/>
          <w:sz w:val="18"/>
        </w:rPr>
        <w:t>Trabajos </w:t>
      </w:r>
      <w:r>
        <w:rPr>
          <w:i/>
          <w:color w:val="231F20"/>
          <w:sz w:val="18"/>
        </w:rPr>
        <w:t>atípicos y precarización del empleo, </w:t>
      </w:r>
      <w:r>
        <w:rPr>
          <w:color w:val="231F20"/>
          <w:sz w:val="18"/>
        </w:rPr>
        <w:t>México: El Colegio de México.</w:t>
      </w:r>
    </w:p>
    <w:p>
      <w:pPr>
        <w:spacing w:line="254" w:lineRule="auto" w:before="57"/>
        <w:ind w:left="110" w:right="111" w:firstLine="0"/>
        <w:jc w:val="both"/>
        <w:rPr>
          <w:sz w:val="18"/>
        </w:rPr>
      </w:pPr>
      <w:r>
        <w:rPr>
          <w:color w:val="231F20"/>
          <w:sz w:val="18"/>
        </w:rPr>
        <w:t>Puyana, Alicia y José Romero (s/f) “Apertura comercial y remuneraciones a los factores: la experiencia mexicana”, en </w:t>
      </w:r>
      <w:r>
        <w:rPr>
          <w:i/>
          <w:color w:val="231F20"/>
          <w:sz w:val="18"/>
        </w:rPr>
        <w:t>Estudios Económicos</w:t>
      </w:r>
      <w:r>
        <w:rPr>
          <w:color w:val="231F20"/>
          <w:sz w:val="18"/>
        </w:rPr>
        <w:t>, año 19, núm. 2.</w:t>
      </w:r>
    </w:p>
    <w:p>
      <w:pPr>
        <w:spacing w:line="254" w:lineRule="auto" w:before="57"/>
        <w:ind w:left="110" w:right="111" w:firstLine="0"/>
        <w:jc w:val="both"/>
        <w:rPr>
          <w:sz w:val="18"/>
        </w:rPr>
      </w:pPr>
      <w:r>
        <w:rPr>
          <w:color w:val="231F20"/>
          <w:sz w:val="18"/>
        </w:rPr>
        <w:t>Secretaría</w:t>
      </w:r>
      <w:r>
        <w:rPr>
          <w:color w:val="231F20"/>
          <w:spacing w:val="-7"/>
          <w:sz w:val="18"/>
        </w:rPr>
        <w:t> </w:t>
      </w:r>
      <w:r>
        <w:rPr>
          <w:color w:val="231F20"/>
          <w:sz w:val="18"/>
        </w:rPr>
        <w:t>de</w:t>
      </w:r>
      <w:r>
        <w:rPr>
          <w:color w:val="231F20"/>
          <w:spacing w:val="-7"/>
          <w:sz w:val="18"/>
        </w:rPr>
        <w:t> </w:t>
      </w:r>
      <w:r>
        <w:rPr>
          <w:color w:val="231F20"/>
          <w:sz w:val="18"/>
        </w:rPr>
        <w:t>Economía</w:t>
      </w:r>
      <w:r>
        <w:rPr>
          <w:color w:val="231F20"/>
          <w:spacing w:val="-8"/>
          <w:sz w:val="18"/>
        </w:rPr>
        <w:t> </w:t>
      </w:r>
      <w:r>
        <w:rPr>
          <w:color w:val="231F20"/>
          <w:sz w:val="18"/>
        </w:rPr>
        <w:t>(2012)</w:t>
      </w:r>
      <w:r>
        <w:rPr>
          <w:color w:val="231F20"/>
          <w:spacing w:val="-7"/>
          <w:sz w:val="18"/>
        </w:rPr>
        <w:t> </w:t>
      </w:r>
      <w:r>
        <w:rPr>
          <w:i/>
          <w:color w:val="231F20"/>
          <w:spacing w:val="-3"/>
          <w:sz w:val="18"/>
        </w:rPr>
        <w:t>Pro</w:t>
      </w:r>
      <w:r>
        <w:rPr>
          <w:i/>
          <w:color w:val="231F20"/>
          <w:spacing w:val="-7"/>
          <w:sz w:val="18"/>
        </w:rPr>
        <w:t> </w:t>
      </w:r>
      <w:r>
        <w:rPr>
          <w:i/>
          <w:color w:val="231F20"/>
          <w:sz w:val="18"/>
        </w:rPr>
        <w:t>México</w:t>
      </w:r>
      <w:r>
        <w:rPr>
          <w:color w:val="231F20"/>
          <w:sz w:val="18"/>
        </w:rPr>
        <w:t>,</w:t>
      </w:r>
      <w:r>
        <w:rPr>
          <w:color w:val="231F20"/>
          <w:spacing w:val="-7"/>
          <w:sz w:val="18"/>
        </w:rPr>
        <w:t> </w:t>
      </w:r>
      <w:r>
        <w:rPr>
          <w:color w:val="231F20"/>
          <w:sz w:val="18"/>
        </w:rPr>
        <w:t>Unidad</w:t>
      </w:r>
      <w:r>
        <w:rPr>
          <w:color w:val="231F20"/>
          <w:spacing w:val="-7"/>
          <w:sz w:val="18"/>
        </w:rPr>
        <w:t> </w:t>
      </w:r>
      <w:r>
        <w:rPr>
          <w:color w:val="231F20"/>
          <w:sz w:val="18"/>
        </w:rPr>
        <w:t>de</w:t>
      </w:r>
      <w:r>
        <w:rPr>
          <w:color w:val="231F20"/>
          <w:spacing w:val="-7"/>
          <w:sz w:val="18"/>
        </w:rPr>
        <w:t> </w:t>
      </w:r>
      <w:r>
        <w:rPr>
          <w:color w:val="231F20"/>
          <w:sz w:val="18"/>
        </w:rPr>
        <w:t>Inteligencia</w:t>
      </w:r>
      <w:r>
        <w:rPr>
          <w:color w:val="231F20"/>
          <w:spacing w:val="-7"/>
          <w:sz w:val="18"/>
        </w:rPr>
        <w:t> </w:t>
      </w:r>
      <w:r>
        <w:rPr>
          <w:color w:val="231F20"/>
          <w:sz w:val="18"/>
        </w:rPr>
        <w:t>de</w:t>
      </w:r>
      <w:r>
        <w:rPr>
          <w:color w:val="231F20"/>
          <w:spacing w:val="-7"/>
          <w:sz w:val="18"/>
        </w:rPr>
        <w:t> </w:t>
      </w:r>
      <w:r>
        <w:rPr>
          <w:color w:val="231F20"/>
          <w:sz w:val="18"/>
        </w:rPr>
        <w:t>Negocios, consultado en junio, 2014, </w:t>
      </w:r>
      <w:hyperlink r:id="rId154">
        <w:r>
          <w:rPr>
            <w:color w:val="231F20"/>
            <w:sz w:val="18"/>
          </w:rPr>
          <w:t>http://mim.promexico.gob.mx/work/sites/mim/resou-</w:t>
        </w:r>
      </w:hyperlink>
      <w:r>
        <w:rPr>
          <w:color w:val="231F20"/>
          <w:sz w:val="18"/>
        </w:rPr>
        <w:t> rces/LocalContent/72/2/130717_FC_Alimentos_procesados_ES.pdf</w:t>
      </w:r>
    </w:p>
    <w:p>
      <w:pPr>
        <w:spacing w:line="254" w:lineRule="auto" w:before="57"/>
        <w:ind w:left="110" w:right="111" w:firstLine="0"/>
        <w:jc w:val="both"/>
        <w:rPr>
          <w:sz w:val="18"/>
        </w:rPr>
      </w:pPr>
      <w:r>
        <w:rPr>
          <w:color w:val="231F20"/>
          <w:sz w:val="18"/>
        </w:rPr>
        <w:t>Weisbrot,</w:t>
      </w:r>
      <w:r>
        <w:rPr>
          <w:color w:val="231F20"/>
          <w:spacing w:val="-9"/>
          <w:sz w:val="18"/>
        </w:rPr>
        <w:t> </w:t>
      </w:r>
      <w:r>
        <w:rPr>
          <w:color w:val="231F20"/>
          <w:sz w:val="18"/>
        </w:rPr>
        <w:t>Mark,</w:t>
      </w:r>
      <w:r>
        <w:rPr>
          <w:color w:val="231F20"/>
          <w:spacing w:val="-8"/>
          <w:sz w:val="18"/>
        </w:rPr>
        <w:t> </w:t>
      </w:r>
      <w:r>
        <w:rPr>
          <w:color w:val="231F20"/>
          <w:sz w:val="18"/>
        </w:rPr>
        <w:t>Stephan</w:t>
      </w:r>
      <w:r>
        <w:rPr>
          <w:color w:val="231F20"/>
          <w:spacing w:val="-8"/>
          <w:sz w:val="18"/>
        </w:rPr>
        <w:t> </w:t>
      </w:r>
      <w:r>
        <w:rPr>
          <w:color w:val="231F20"/>
          <w:sz w:val="18"/>
        </w:rPr>
        <w:t>Lefebvre</w:t>
      </w:r>
      <w:r>
        <w:rPr>
          <w:color w:val="231F20"/>
          <w:spacing w:val="-9"/>
          <w:sz w:val="18"/>
        </w:rPr>
        <w:t> </w:t>
      </w:r>
      <w:r>
        <w:rPr>
          <w:color w:val="231F20"/>
          <w:sz w:val="18"/>
        </w:rPr>
        <w:t>y</w:t>
      </w:r>
      <w:r>
        <w:rPr>
          <w:color w:val="231F20"/>
          <w:spacing w:val="-9"/>
          <w:sz w:val="18"/>
        </w:rPr>
        <w:t> </w:t>
      </w:r>
      <w:r>
        <w:rPr>
          <w:color w:val="231F20"/>
          <w:sz w:val="18"/>
        </w:rPr>
        <w:t>Joseph</w:t>
      </w:r>
      <w:r>
        <w:rPr>
          <w:color w:val="231F20"/>
          <w:spacing w:val="-8"/>
          <w:sz w:val="18"/>
        </w:rPr>
        <w:t> </w:t>
      </w:r>
      <w:r>
        <w:rPr>
          <w:color w:val="231F20"/>
          <w:sz w:val="18"/>
        </w:rPr>
        <w:t>Sammut</w:t>
      </w:r>
      <w:r>
        <w:rPr>
          <w:color w:val="231F20"/>
          <w:spacing w:val="-8"/>
          <w:sz w:val="18"/>
        </w:rPr>
        <w:t> </w:t>
      </w:r>
      <w:r>
        <w:rPr>
          <w:color w:val="231F20"/>
          <w:sz w:val="18"/>
        </w:rPr>
        <w:t>(2014)</w:t>
      </w:r>
      <w:r>
        <w:rPr>
          <w:color w:val="231F20"/>
          <w:spacing w:val="-9"/>
          <w:sz w:val="18"/>
        </w:rPr>
        <w:t> </w:t>
      </w:r>
      <w:r>
        <w:rPr>
          <w:i/>
          <w:color w:val="231F20"/>
          <w:sz w:val="18"/>
        </w:rPr>
        <w:t>¿El</w:t>
      </w:r>
      <w:r>
        <w:rPr>
          <w:i/>
          <w:color w:val="231F20"/>
          <w:spacing w:val="-9"/>
          <w:sz w:val="18"/>
        </w:rPr>
        <w:t> </w:t>
      </w:r>
      <w:r>
        <w:rPr>
          <w:i/>
          <w:color w:val="231F20"/>
          <w:sz w:val="18"/>
        </w:rPr>
        <w:t>TLCAN</w:t>
      </w:r>
      <w:r>
        <w:rPr>
          <w:i/>
          <w:color w:val="231F20"/>
          <w:spacing w:val="-9"/>
          <w:sz w:val="18"/>
        </w:rPr>
        <w:t> </w:t>
      </w:r>
      <w:r>
        <w:rPr>
          <w:i/>
          <w:color w:val="231F20"/>
          <w:sz w:val="18"/>
        </w:rPr>
        <w:t>ayudó</w:t>
      </w:r>
      <w:r>
        <w:rPr>
          <w:i/>
          <w:color w:val="231F20"/>
          <w:spacing w:val="-9"/>
          <w:sz w:val="18"/>
        </w:rPr>
        <w:t> </w:t>
      </w:r>
      <w:r>
        <w:rPr>
          <w:i/>
          <w:color w:val="231F20"/>
          <w:sz w:val="18"/>
        </w:rPr>
        <w:t>a </w:t>
      </w:r>
      <w:r>
        <w:rPr>
          <w:i/>
          <w:color w:val="231F20"/>
          <w:sz w:val="18"/>
        </w:rPr>
        <w:t>México?</w:t>
      </w:r>
      <w:r>
        <w:rPr>
          <w:color w:val="231F20"/>
          <w:sz w:val="18"/>
        </w:rPr>
        <w:t>, Center for Economic and Policy</w:t>
      </w:r>
      <w:r>
        <w:rPr>
          <w:color w:val="231F20"/>
          <w:spacing w:val="-8"/>
          <w:sz w:val="18"/>
        </w:rPr>
        <w:t> </w:t>
      </w:r>
      <w:r>
        <w:rPr>
          <w:color w:val="231F20"/>
          <w:sz w:val="18"/>
        </w:rPr>
        <w:t>Research.</w:t>
      </w:r>
    </w:p>
    <w:p>
      <w:pPr>
        <w:spacing w:line="254" w:lineRule="auto" w:before="57"/>
        <w:ind w:left="110" w:right="111" w:firstLine="0"/>
        <w:jc w:val="both"/>
        <w:rPr>
          <w:sz w:val="18"/>
        </w:rPr>
      </w:pPr>
      <w:r>
        <w:rPr>
          <w:color w:val="231F20"/>
          <w:sz w:val="18"/>
        </w:rPr>
        <w:t>Yaffee, Robert A. (2002) </w:t>
      </w:r>
      <w:r>
        <w:rPr>
          <w:i/>
          <w:color w:val="231F20"/>
          <w:sz w:val="18"/>
        </w:rPr>
        <w:t>Robust Regression Analysis: Some Popular Statistical </w:t>
      </w:r>
      <w:r>
        <w:rPr>
          <w:i/>
          <w:color w:val="231F20"/>
          <w:sz w:val="18"/>
        </w:rPr>
        <w:t>Package Options</w:t>
      </w:r>
      <w:r>
        <w:rPr>
          <w:color w:val="231F20"/>
          <w:sz w:val="18"/>
        </w:rPr>
        <w:t>, New York.</w:t>
      </w:r>
    </w:p>
    <w:p>
      <w:pPr>
        <w:spacing w:after="0" w:line="254" w:lineRule="auto"/>
        <w:jc w:val="both"/>
        <w:rPr>
          <w:sz w:val="18"/>
        </w:rPr>
        <w:sectPr>
          <w:footerReference w:type="default" r:id="rId153"/>
          <w:pgSz w:w="7770" w:h="11740"/>
          <w:pgMar w:footer="474" w:header="0" w:top="840" w:bottom="660" w:left="740" w:right="1020"/>
          <w:pgNumType w:start="126"/>
        </w:sectPr>
      </w:pPr>
    </w:p>
    <w:p>
      <w:pPr>
        <w:pStyle w:val="Heading1"/>
        <w:ind w:left="1588" w:right="93" w:hanging="272"/>
      </w:pPr>
      <w:r>
        <w:rPr>
          <w:color w:val="231F20"/>
          <w:w w:val="70"/>
        </w:rPr>
        <w:t>Migración y trabajo en tiempos de crisis. Inmigrantes latinos en Estados Unidos</w:t>
      </w:r>
    </w:p>
    <w:p>
      <w:pPr>
        <w:pStyle w:val="BodyText"/>
        <w:rPr>
          <w:sz w:val="40"/>
        </w:rPr>
      </w:pPr>
    </w:p>
    <w:p>
      <w:pPr>
        <w:pStyle w:val="BodyText"/>
        <w:spacing w:before="7"/>
        <w:rPr>
          <w:sz w:val="36"/>
        </w:rPr>
      </w:pPr>
    </w:p>
    <w:p>
      <w:pPr>
        <w:pStyle w:val="Heading3"/>
        <w:ind w:left="3622"/>
      </w:pPr>
      <w:r>
        <w:rPr>
          <w:color w:val="231F20"/>
        </w:rPr>
        <w:t>Alejandro I. Canales*</w:t>
      </w:r>
    </w:p>
    <w:p>
      <w:pPr>
        <w:pStyle w:val="BodyText"/>
      </w:pPr>
    </w:p>
    <w:p>
      <w:pPr>
        <w:pStyle w:val="BodyText"/>
      </w:pPr>
    </w:p>
    <w:p>
      <w:pPr>
        <w:pStyle w:val="BodyText"/>
        <w:spacing w:before="10"/>
        <w:rPr>
          <w:sz w:val="25"/>
        </w:rPr>
      </w:pPr>
    </w:p>
    <w:p>
      <w:pPr>
        <w:pStyle w:val="Heading4"/>
        <w:spacing w:before="70"/>
        <w:ind w:right="792"/>
        <w:jc w:val="left"/>
      </w:pPr>
      <w:r>
        <w:rPr>
          <w:w w:val="85"/>
        </w:rPr>
        <w:t>Introducción</w:t>
      </w:r>
    </w:p>
    <w:p>
      <w:pPr>
        <w:pStyle w:val="BodyText"/>
        <w:rPr>
          <w:b/>
        </w:rPr>
      </w:pPr>
    </w:p>
    <w:p>
      <w:pPr>
        <w:pStyle w:val="BodyText"/>
        <w:spacing w:before="10"/>
        <w:rPr>
          <w:b/>
          <w:sz w:val="22"/>
        </w:rPr>
      </w:pPr>
    </w:p>
    <w:p>
      <w:pPr>
        <w:pStyle w:val="BodyText"/>
        <w:spacing w:line="249" w:lineRule="auto" w:before="75"/>
        <w:ind w:left="113" w:right="108"/>
        <w:jc w:val="both"/>
      </w:pPr>
      <w:r>
        <w:rPr>
          <w:color w:val="231F20"/>
        </w:rPr>
        <w:t>En tiempos de crisis económica, suelen despertarse los más variados miedos y temores respecto a la migración y los migrantes. En cuanto a las</w:t>
      </w:r>
      <w:r>
        <w:rPr>
          <w:color w:val="231F20"/>
          <w:spacing w:val="-7"/>
        </w:rPr>
        <w:t> </w:t>
      </w:r>
      <w:r>
        <w:rPr>
          <w:color w:val="231F20"/>
        </w:rPr>
        <w:t>consecuencias</w:t>
      </w:r>
      <w:r>
        <w:rPr>
          <w:color w:val="231F20"/>
          <w:spacing w:val="-8"/>
        </w:rPr>
        <w:t> </w:t>
      </w:r>
      <w:r>
        <w:rPr>
          <w:color w:val="231F20"/>
        </w:rPr>
        <w:t>en</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de</w:t>
      </w:r>
      <w:r>
        <w:rPr>
          <w:color w:val="231F20"/>
          <w:spacing w:val="-7"/>
        </w:rPr>
        <w:t> </w:t>
      </w:r>
      <w:r>
        <w:rPr>
          <w:color w:val="231F20"/>
        </w:rPr>
        <w:t>origen,</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difundido</w:t>
      </w:r>
      <w:r>
        <w:rPr>
          <w:color w:val="231F20"/>
          <w:spacing w:val="-7"/>
        </w:rPr>
        <w:t> </w:t>
      </w:r>
      <w:r>
        <w:rPr>
          <w:color w:val="231F20"/>
        </w:rPr>
        <w:t>una</w:t>
      </w:r>
      <w:r>
        <w:rPr>
          <w:color w:val="231F20"/>
          <w:spacing w:val="-7"/>
        </w:rPr>
        <w:t> </w:t>
      </w:r>
      <w:r>
        <w:rPr>
          <w:color w:val="231F20"/>
        </w:rPr>
        <w:t>idea</w:t>
      </w:r>
      <w:r>
        <w:rPr>
          <w:color w:val="231F20"/>
          <w:spacing w:val="-7"/>
        </w:rPr>
        <w:t> </w:t>
      </w:r>
      <w:r>
        <w:rPr>
          <w:color w:val="231F20"/>
        </w:rPr>
        <w:t>catas- trofista según la cual, el retorno masivo de migrantes así como el virtual desplome de las remesas, tendrían serias repercusiones la economía, al reducirse el ingreso de divisas, a la vez que generar presiones insosteni- bles sobre el mercado de trabajo local (Solimano, 2009; SELA, 2009). Por</w:t>
      </w:r>
      <w:r>
        <w:rPr>
          <w:color w:val="231F20"/>
          <w:spacing w:val="-8"/>
        </w:rPr>
        <w:t> </w:t>
      </w:r>
      <w:r>
        <w:rPr>
          <w:color w:val="231F20"/>
        </w:rPr>
        <w:t>su</w:t>
      </w:r>
      <w:r>
        <w:rPr>
          <w:color w:val="231F20"/>
          <w:spacing w:val="-8"/>
        </w:rPr>
        <w:t> </w:t>
      </w:r>
      <w:r>
        <w:rPr>
          <w:color w:val="231F20"/>
        </w:rPr>
        <w:t>parte,</w:t>
      </w:r>
      <w:r>
        <w:rPr>
          <w:color w:val="231F20"/>
          <w:spacing w:val="-8"/>
        </w:rPr>
        <w:t> </w:t>
      </w:r>
      <w:r>
        <w:rPr>
          <w:color w:val="231F20"/>
        </w:rPr>
        <w:t>en</w:t>
      </w:r>
      <w:r>
        <w:rPr>
          <w:color w:val="231F20"/>
          <w:spacing w:val="-9"/>
        </w:rPr>
        <w:t> </w:t>
      </w:r>
      <w:r>
        <w:rPr>
          <w:color w:val="231F20"/>
        </w:rPr>
        <w:t>los</w:t>
      </w:r>
      <w:r>
        <w:rPr>
          <w:color w:val="231F20"/>
          <w:spacing w:val="-8"/>
        </w:rPr>
        <w:t> </w:t>
      </w:r>
      <w:r>
        <w:rPr>
          <w:color w:val="231F20"/>
        </w:rPr>
        <w:t>países</w:t>
      </w:r>
      <w:r>
        <w:rPr>
          <w:color w:val="231F20"/>
          <w:spacing w:val="-8"/>
        </w:rPr>
        <w:t> </w:t>
      </w:r>
      <w:r>
        <w:rPr>
          <w:color w:val="231F20"/>
        </w:rPr>
        <w:t>de</w:t>
      </w:r>
      <w:r>
        <w:rPr>
          <w:color w:val="231F20"/>
          <w:spacing w:val="-8"/>
        </w:rPr>
        <w:t> </w:t>
      </w:r>
      <w:r>
        <w:rPr>
          <w:color w:val="231F20"/>
        </w:rPr>
        <w:t>destino</w:t>
      </w:r>
      <w:r>
        <w:rPr>
          <w:color w:val="231F20"/>
          <w:spacing w:val="-8"/>
        </w:rPr>
        <w:t> </w:t>
      </w:r>
      <w:r>
        <w:rPr>
          <w:color w:val="231F20"/>
        </w:rPr>
        <w:t>se</w:t>
      </w:r>
      <w:r>
        <w:rPr>
          <w:color w:val="231F20"/>
          <w:spacing w:val="-8"/>
        </w:rPr>
        <w:t> </w:t>
      </w:r>
      <w:r>
        <w:rPr>
          <w:color w:val="231F20"/>
        </w:rPr>
        <w:t>refuerzan</w:t>
      </w:r>
      <w:r>
        <w:rPr>
          <w:color w:val="231F20"/>
          <w:spacing w:val="-8"/>
        </w:rPr>
        <w:t> </w:t>
      </w:r>
      <w:r>
        <w:rPr>
          <w:color w:val="231F20"/>
        </w:rPr>
        <w:t>las</w:t>
      </w:r>
      <w:r>
        <w:rPr>
          <w:color w:val="231F20"/>
          <w:spacing w:val="-9"/>
        </w:rPr>
        <w:t> </w:t>
      </w:r>
      <w:r>
        <w:rPr>
          <w:color w:val="231F20"/>
        </w:rPr>
        <w:t>posiciones</w:t>
      </w:r>
      <w:r>
        <w:rPr>
          <w:color w:val="231F20"/>
          <w:spacing w:val="-8"/>
        </w:rPr>
        <w:t> </w:t>
      </w:r>
      <w:r>
        <w:rPr>
          <w:color w:val="231F20"/>
        </w:rPr>
        <w:t>y</w:t>
      </w:r>
      <w:r>
        <w:rPr>
          <w:color w:val="231F20"/>
          <w:spacing w:val="-8"/>
        </w:rPr>
        <w:t> </w:t>
      </w:r>
      <w:r>
        <w:rPr>
          <w:color w:val="231F20"/>
        </w:rPr>
        <w:t>discur- sos</w:t>
      </w:r>
      <w:r>
        <w:rPr>
          <w:color w:val="231F20"/>
          <w:spacing w:val="-6"/>
        </w:rPr>
        <w:t> </w:t>
      </w:r>
      <w:r>
        <w:rPr>
          <w:color w:val="231F20"/>
        </w:rPr>
        <w:t>anti-inmigrantes,</w:t>
      </w:r>
      <w:r>
        <w:rPr>
          <w:color w:val="231F20"/>
          <w:spacing w:val="-7"/>
        </w:rPr>
        <w:t> </w:t>
      </w:r>
      <w:r>
        <w:rPr>
          <w:color w:val="231F20"/>
        </w:rPr>
        <w:t>a</w:t>
      </w:r>
      <w:r>
        <w:rPr>
          <w:color w:val="231F20"/>
          <w:spacing w:val="-6"/>
        </w:rPr>
        <w:t> </w:t>
      </w:r>
      <w:r>
        <w:rPr>
          <w:color w:val="231F20"/>
        </w:rPr>
        <w:t>quienes</w:t>
      </w:r>
      <w:r>
        <w:rPr>
          <w:color w:val="231F20"/>
          <w:spacing w:val="-6"/>
        </w:rPr>
        <w:t> </w:t>
      </w:r>
      <w:r>
        <w:rPr>
          <w:color w:val="231F20"/>
        </w:rPr>
        <w:t>se</w:t>
      </w:r>
      <w:r>
        <w:rPr>
          <w:color w:val="231F20"/>
          <w:spacing w:val="-6"/>
        </w:rPr>
        <w:t> </w:t>
      </w:r>
      <w:r>
        <w:rPr>
          <w:color w:val="231F20"/>
        </w:rPr>
        <w:t>les</w:t>
      </w:r>
      <w:r>
        <w:rPr>
          <w:color w:val="231F20"/>
          <w:spacing w:val="-6"/>
        </w:rPr>
        <w:t> </w:t>
      </w:r>
      <w:r>
        <w:rPr>
          <w:color w:val="231F20"/>
        </w:rPr>
        <w:t>achacan</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males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crisis (desempleo, salarios, inseguridad, y un largo etcétera) (Kochhar,</w:t>
      </w:r>
      <w:r>
        <w:rPr>
          <w:color w:val="231F20"/>
          <w:spacing w:val="-23"/>
        </w:rPr>
        <w:t> </w:t>
      </w:r>
      <w:r>
        <w:rPr>
          <w:color w:val="231F20"/>
        </w:rPr>
        <w:t>2009).</w:t>
      </w:r>
    </w:p>
    <w:p>
      <w:pPr>
        <w:pStyle w:val="BodyText"/>
        <w:spacing w:line="249" w:lineRule="auto" w:before="1"/>
        <w:ind w:left="113" w:right="108" w:firstLine="283"/>
        <w:jc w:val="both"/>
      </w:pPr>
      <w:r>
        <w:rPr>
          <w:color w:val="231F20"/>
        </w:rPr>
        <w:t>Sin</w:t>
      </w:r>
      <w:r>
        <w:rPr>
          <w:color w:val="231F20"/>
          <w:spacing w:val="-11"/>
        </w:rPr>
        <w:t> </w:t>
      </w:r>
      <w:r>
        <w:rPr>
          <w:color w:val="231F20"/>
        </w:rPr>
        <w:t>embargo,</w:t>
      </w:r>
      <w:r>
        <w:rPr>
          <w:color w:val="231F20"/>
          <w:spacing w:val="-11"/>
        </w:rPr>
        <w:t> </w:t>
      </w:r>
      <w:r>
        <w:rPr>
          <w:color w:val="231F20"/>
        </w:rPr>
        <w:t>la</w:t>
      </w:r>
      <w:r>
        <w:rPr>
          <w:color w:val="231F20"/>
          <w:spacing w:val="-11"/>
        </w:rPr>
        <w:t> </w:t>
      </w:r>
      <w:r>
        <w:rPr>
          <w:color w:val="231F20"/>
        </w:rPr>
        <w:t>misma</w:t>
      </w:r>
      <w:r>
        <w:rPr>
          <w:color w:val="231F20"/>
          <w:spacing w:val="-11"/>
        </w:rPr>
        <w:t> </w:t>
      </w:r>
      <w:r>
        <w:rPr>
          <w:color w:val="231F20"/>
        </w:rPr>
        <w:t>historia</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encargado</w:t>
      </w:r>
      <w:r>
        <w:rPr>
          <w:color w:val="231F20"/>
          <w:spacing w:val="-11"/>
        </w:rPr>
        <w:t> </w:t>
      </w:r>
      <w:r>
        <w:rPr>
          <w:color w:val="231F20"/>
        </w:rPr>
        <w:t>de</w:t>
      </w:r>
      <w:r>
        <w:rPr>
          <w:color w:val="231F20"/>
          <w:spacing w:val="-11"/>
        </w:rPr>
        <w:t> </w:t>
      </w:r>
      <w:r>
        <w:rPr>
          <w:color w:val="231F20"/>
        </w:rPr>
        <w:t>desmentir</w:t>
      </w:r>
      <w:r>
        <w:rPr>
          <w:color w:val="231F20"/>
          <w:spacing w:val="-11"/>
        </w:rPr>
        <w:t> </w:t>
      </w:r>
      <w:r>
        <w:rPr>
          <w:color w:val="231F20"/>
        </w:rPr>
        <w:t>estas</w:t>
      </w:r>
      <w:r>
        <w:rPr>
          <w:color w:val="231F20"/>
          <w:spacing w:val="-11"/>
        </w:rPr>
        <w:t> </w:t>
      </w:r>
      <w:r>
        <w:rPr>
          <w:color w:val="231F20"/>
        </w:rPr>
        <w:t>vi- siones</w:t>
      </w:r>
      <w:r>
        <w:rPr>
          <w:color w:val="231F20"/>
          <w:spacing w:val="-7"/>
        </w:rPr>
        <w:t> </w:t>
      </w:r>
      <w:r>
        <w:rPr>
          <w:color w:val="231F20"/>
        </w:rPr>
        <w:t>alarmistas</w:t>
      </w:r>
      <w:r>
        <w:rPr>
          <w:color w:val="231F20"/>
          <w:spacing w:val="-7"/>
        </w:rPr>
        <w:t> </w:t>
      </w:r>
      <w:r>
        <w:rPr>
          <w:color w:val="231F20"/>
        </w:rPr>
        <w:t>(García</w:t>
      </w:r>
      <w:r>
        <w:rPr>
          <w:color w:val="231F20"/>
          <w:spacing w:val="-7"/>
        </w:rPr>
        <w:t> </w:t>
      </w:r>
      <w:r>
        <w:rPr>
          <w:color w:val="231F20"/>
        </w:rPr>
        <w:t>y</w:t>
      </w:r>
      <w:r>
        <w:rPr>
          <w:color w:val="231F20"/>
          <w:spacing w:val="-7"/>
        </w:rPr>
        <w:t> </w:t>
      </w:r>
      <w:r>
        <w:rPr>
          <w:color w:val="231F20"/>
        </w:rPr>
        <w:t>Griego</w:t>
      </w:r>
      <w:r>
        <w:rPr>
          <w:color w:val="231F20"/>
          <w:spacing w:val="-7"/>
        </w:rPr>
        <w:t> </w:t>
      </w:r>
      <w:r>
        <w:rPr>
          <w:color w:val="231F20"/>
        </w:rPr>
        <w:t>y</w:t>
      </w:r>
      <w:r>
        <w:rPr>
          <w:color w:val="231F20"/>
          <w:spacing w:val="-7"/>
        </w:rPr>
        <w:t> </w:t>
      </w:r>
      <w:r>
        <w:rPr>
          <w:color w:val="231F20"/>
        </w:rPr>
        <w:t>Giner</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Ríos,</w:t>
      </w:r>
      <w:r>
        <w:rPr>
          <w:color w:val="231F20"/>
          <w:spacing w:val="-7"/>
        </w:rPr>
        <w:t> </w:t>
      </w:r>
      <w:r>
        <w:rPr>
          <w:color w:val="231F20"/>
        </w:rPr>
        <w:t>1985).</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caso de la crisis actual, diversos estudios muestran que tanto unos como</w:t>
      </w:r>
      <w:r>
        <w:rPr>
          <w:color w:val="231F20"/>
          <w:spacing w:val="-23"/>
        </w:rPr>
        <w:t> </w:t>
      </w:r>
      <w:r>
        <w:rPr>
          <w:color w:val="231F20"/>
        </w:rPr>
        <w:t>otros temores</w:t>
      </w:r>
      <w:r>
        <w:rPr>
          <w:color w:val="231F20"/>
          <w:spacing w:val="-10"/>
        </w:rPr>
        <w:t> </w:t>
      </w:r>
      <w:r>
        <w:rPr>
          <w:color w:val="231F20"/>
        </w:rPr>
        <w:t>parecen</w:t>
      </w:r>
      <w:r>
        <w:rPr>
          <w:color w:val="231F20"/>
          <w:spacing w:val="-10"/>
        </w:rPr>
        <w:t> </w:t>
      </w:r>
      <w:r>
        <w:rPr>
          <w:color w:val="231F20"/>
        </w:rPr>
        <w:t>ser</w:t>
      </w:r>
      <w:r>
        <w:rPr>
          <w:color w:val="231F20"/>
          <w:spacing w:val="-10"/>
        </w:rPr>
        <w:t> </w:t>
      </w:r>
      <w:r>
        <w:rPr>
          <w:color w:val="231F20"/>
        </w:rPr>
        <w:t>infundados</w:t>
      </w:r>
      <w:r>
        <w:rPr>
          <w:color w:val="231F20"/>
          <w:spacing w:val="-10"/>
        </w:rPr>
        <w:t> </w:t>
      </w:r>
      <w:r>
        <w:rPr>
          <w:color w:val="231F20"/>
        </w:rPr>
        <w:t>(Papademetriou</w:t>
      </w:r>
      <w:r>
        <w:rPr>
          <w:color w:val="231F20"/>
          <w:spacing w:val="-10"/>
        </w:rPr>
        <w:t> </w:t>
      </w:r>
      <w:r>
        <w:rPr>
          <w:color w:val="231F20"/>
        </w:rPr>
        <w:t>y</w:t>
      </w:r>
      <w:r>
        <w:rPr>
          <w:color w:val="231F20"/>
          <w:spacing w:val="-13"/>
        </w:rPr>
        <w:t> </w:t>
      </w:r>
      <w:r>
        <w:rPr>
          <w:color w:val="231F20"/>
        </w:rPr>
        <w:t>Terrazas,</w:t>
      </w:r>
      <w:r>
        <w:rPr>
          <w:color w:val="231F20"/>
          <w:spacing w:val="-10"/>
        </w:rPr>
        <w:t> </w:t>
      </w:r>
      <w:r>
        <w:rPr>
          <w:color w:val="231F20"/>
        </w:rPr>
        <w:t>2009).</w:t>
      </w:r>
      <w:r>
        <w:rPr>
          <w:color w:val="231F20"/>
          <w:spacing w:val="-10"/>
        </w:rPr>
        <w:t> </w:t>
      </w:r>
      <w:r>
        <w:rPr>
          <w:color w:val="231F20"/>
        </w:rPr>
        <w:t>No</w:t>
      </w:r>
      <w:r>
        <w:rPr>
          <w:color w:val="231F20"/>
          <w:spacing w:val="-10"/>
        </w:rPr>
        <w:t> </w:t>
      </w:r>
      <w:r>
        <w:rPr>
          <w:color w:val="231F20"/>
        </w:rPr>
        <w:t>se ha</w:t>
      </w:r>
      <w:r>
        <w:rPr>
          <w:color w:val="231F20"/>
          <w:spacing w:val="-10"/>
        </w:rPr>
        <w:t> </w:t>
      </w:r>
      <w:r>
        <w:rPr>
          <w:color w:val="231F20"/>
        </w:rPr>
        <w:t>dado</w:t>
      </w:r>
      <w:r>
        <w:rPr>
          <w:color w:val="231F20"/>
          <w:spacing w:val="-10"/>
        </w:rPr>
        <w:t> </w:t>
      </w:r>
      <w:r>
        <w:rPr>
          <w:color w:val="231F20"/>
        </w:rPr>
        <w:t>un</w:t>
      </w:r>
      <w:r>
        <w:rPr>
          <w:color w:val="231F20"/>
          <w:spacing w:val="-10"/>
        </w:rPr>
        <w:t> </w:t>
      </w:r>
      <w:r>
        <w:rPr>
          <w:color w:val="231F20"/>
        </w:rPr>
        <w:t>desplome</w:t>
      </w:r>
      <w:r>
        <w:rPr>
          <w:color w:val="231F20"/>
          <w:spacing w:val="-10"/>
        </w:rPr>
        <w:t> </w:t>
      </w:r>
      <w:r>
        <w:rPr>
          <w:color w:val="231F20"/>
        </w:rPr>
        <w:t>de</w:t>
      </w:r>
      <w:r>
        <w:rPr>
          <w:color w:val="231F20"/>
          <w:spacing w:val="-10"/>
        </w:rPr>
        <w:t> </w:t>
      </w:r>
      <w:r>
        <w:rPr>
          <w:color w:val="231F20"/>
        </w:rPr>
        <w:t>las</w:t>
      </w:r>
      <w:r>
        <w:rPr>
          <w:color w:val="231F20"/>
          <w:spacing w:val="-11"/>
        </w:rPr>
        <w:t> </w:t>
      </w:r>
      <w:r>
        <w:rPr>
          <w:color w:val="231F20"/>
        </w:rPr>
        <w:t>remesas,</w:t>
      </w:r>
      <w:r>
        <w:rPr>
          <w:color w:val="231F20"/>
          <w:spacing w:val="-10"/>
        </w:rPr>
        <w:t> </w:t>
      </w:r>
      <w:r>
        <w:rPr>
          <w:color w:val="231F20"/>
        </w:rPr>
        <w:t>ni</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generado</w:t>
      </w:r>
      <w:r>
        <w:rPr>
          <w:color w:val="231F20"/>
          <w:spacing w:val="-10"/>
        </w:rPr>
        <w:t> </w:t>
      </w:r>
      <w:r>
        <w:rPr>
          <w:color w:val="231F20"/>
        </w:rPr>
        <w:t>un</w:t>
      </w:r>
      <w:r>
        <w:rPr>
          <w:color w:val="231F20"/>
          <w:spacing w:val="-10"/>
        </w:rPr>
        <w:t> </w:t>
      </w:r>
      <w:r>
        <w:rPr>
          <w:color w:val="231F20"/>
        </w:rPr>
        <w:t>retorno</w:t>
      </w:r>
      <w:r>
        <w:rPr>
          <w:color w:val="231F20"/>
          <w:spacing w:val="-10"/>
        </w:rPr>
        <w:t> </w:t>
      </w:r>
      <w:r>
        <w:rPr>
          <w:color w:val="231F20"/>
        </w:rPr>
        <w:t>masivo de los inmigrantes, aunque sí parece haberse frenado temporalmente el flujo de salida. Asimismo, es cada vez más claro que los problemas</w:t>
      </w:r>
      <w:r>
        <w:rPr>
          <w:color w:val="231F20"/>
          <w:spacing w:val="-11"/>
        </w:rPr>
        <w:t> </w:t>
      </w:r>
      <w:r>
        <w:rPr>
          <w:color w:val="231F20"/>
        </w:rPr>
        <w:t>eco- nómicos que enfrentan las economías desarrolladas en estos tiempos de crisis no son producto de la inmigración, sino que fundamentalmente de las políticas de económicas que favorecieron el auge de la especulación financiera e inmobiliaria (Ocampo, 2009; Stiglitz,</w:t>
      </w:r>
      <w:r>
        <w:rPr>
          <w:color w:val="231F20"/>
          <w:spacing w:val="-11"/>
        </w:rPr>
        <w:t> </w:t>
      </w:r>
      <w:r>
        <w:rPr>
          <w:color w:val="231F20"/>
        </w:rPr>
        <w:t>2009).</w:t>
      </w:r>
    </w:p>
    <w:p>
      <w:pPr>
        <w:pStyle w:val="BodyText"/>
        <w:spacing w:line="249" w:lineRule="auto" w:before="1"/>
        <w:ind w:left="113" w:right="108" w:firstLine="283"/>
        <w:jc w:val="both"/>
      </w:pPr>
      <w:r>
        <w:rPr>
          <w:color w:val="231F20"/>
        </w:rPr>
        <w:t>Considerando</w:t>
      </w:r>
      <w:r>
        <w:rPr>
          <w:color w:val="231F20"/>
          <w:spacing w:val="-5"/>
        </w:rPr>
        <w:t> </w:t>
      </w:r>
      <w:r>
        <w:rPr>
          <w:color w:val="231F20"/>
        </w:rPr>
        <w:t>lo</w:t>
      </w:r>
      <w:r>
        <w:rPr>
          <w:color w:val="231F20"/>
          <w:spacing w:val="-6"/>
        </w:rPr>
        <w:t> </w:t>
      </w:r>
      <w:r>
        <w:rPr>
          <w:color w:val="231F20"/>
        </w:rPr>
        <w:t>anterior,</w:t>
      </w:r>
      <w:r>
        <w:rPr>
          <w:color w:val="231F20"/>
          <w:spacing w:val="-5"/>
        </w:rPr>
        <w:t> </w:t>
      </w:r>
      <w:r>
        <w:rPr>
          <w:color w:val="231F20"/>
        </w:rPr>
        <w:t>en</w:t>
      </w:r>
      <w:r>
        <w:rPr>
          <w:color w:val="231F20"/>
          <w:spacing w:val="-6"/>
        </w:rPr>
        <w:t> </w:t>
      </w:r>
      <w:r>
        <w:rPr>
          <w:color w:val="231F20"/>
        </w:rPr>
        <w:t>este</w:t>
      </w:r>
      <w:r>
        <w:rPr>
          <w:color w:val="231F20"/>
          <w:spacing w:val="-6"/>
        </w:rPr>
        <w:t> </w:t>
      </w:r>
      <w:r>
        <w:rPr>
          <w:color w:val="231F20"/>
        </w:rPr>
        <w:t>artículo</w:t>
      </w:r>
      <w:r>
        <w:rPr>
          <w:color w:val="231F20"/>
          <w:spacing w:val="-6"/>
        </w:rPr>
        <w:t> </w:t>
      </w:r>
      <w:r>
        <w:rPr>
          <w:color w:val="231F20"/>
        </w:rPr>
        <w:t>analizamos</w:t>
      </w:r>
      <w:r>
        <w:rPr>
          <w:color w:val="231F20"/>
          <w:spacing w:val="-6"/>
        </w:rPr>
        <w:t> </w:t>
      </w:r>
      <w:r>
        <w:rPr>
          <w:color w:val="231F20"/>
        </w:rPr>
        <w:t>los</w:t>
      </w:r>
      <w:r>
        <w:rPr>
          <w:color w:val="231F20"/>
          <w:spacing w:val="-6"/>
        </w:rPr>
        <w:t> </w:t>
      </w:r>
      <w:r>
        <w:rPr>
          <w:color w:val="231F20"/>
        </w:rPr>
        <w:t>impactos</w:t>
      </w:r>
      <w:r>
        <w:rPr>
          <w:color w:val="231F20"/>
          <w:spacing w:val="-6"/>
        </w:rPr>
        <w:t> </w:t>
      </w:r>
      <w:r>
        <w:rPr>
          <w:color w:val="231F20"/>
        </w:rPr>
        <w:t>de la</w:t>
      </w:r>
      <w:r>
        <w:rPr>
          <w:color w:val="231F20"/>
          <w:spacing w:val="-7"/>
        </w:rPr>
        <w:t> </w:t>
      </w:r>
      <w:r>
        <w:rPr>
          <w:color w:val="231F20"/>
        </w:rPr>
        <w:t>crisis</w:t>
      </w:r>
      <w:r>
        <w:rPr>
          <w:color w:val="231F20"/>
          <w:spacing w:val="-8"/>
        </w:rPr>
        <w:t> </w:t>
      </w:r>
      <w:r>
        <w:rPr>
          <w:color w:val="231F20"/>
        </w:rPr>
        <w:t>sobre</w:t>
      </w:r>
      <w:r>
        <w:rPr>
          <w:color w:val="231F20"/>
          <w:spacing w:val="-7"/>
        </w:rPr>
        <w:t> </w:t>
      </w:r>
      <w:r>
        <w:rPr>
          <w:color w:val="231F20"/>
        </w:rPr>
        <w:t>los</w:t>
      </w:r>
      <w:r>
        <w:rPr>
          <w:color w:val="231F20"/>
          <w:spacing w:val="-8"/>
        </w:rPr>
        <w:t> </w:t>
      </w:r>
      <w:r>
        <w:rPr>
          <w:color w:val="231F20"/>
        </w:rPr>
        <w:t>inmigrantes</w:t>
      </w:r>
      <w:r>
        <w:rPr>
          <w:color w:val="231F20"/>
          <w:spacing w:val="-8"/>
        </w:rPr>
        <w:t> </w:t>
      </w:r>
      <w:r>
        <w:rPr>
          <w:color w:val="231F20"/>
        </w:rPr>
        <w:t>de</w:t>
      </w:r>
      <w:r>
        <w:rPr>
          <w:color w:val="231F20"/>
          <w:spacing w:val="-7"/>
        </w:rPr>
        <w:t> </w:t>
      </w:r>
      <w:r>
        <w:rPr>
          <w:color w:val="231F20"/>
        </w:rPr>
        <w:t>origen</w:t>
      </w:r>
      <w:r>
        <w:rPr>
          <w:color w:val="231F20"/>
          <w:spacing w:val="-7"/>
        </w:rPr>
        <w:t> </w:t>
      </w:r>
      <w:r>
        <w:rPr>
          <w:color w:val="231F20"/>
        </w:rPr>
        <w:t>latinoamericano</w:t>
      </w:r>
      <w:r>
        <w:rPr>
          <w:color w:val="231F20"/>
          <w:spacing w:val="-9"/>
        </w:rPr>
        <w:t> </w:t>
      </w:r>
      <w:r>
        <w:rPr>
          <w:color w:val="231F20"/>
        </w:rPr>
        <w:t>en</w:t>
      </w:r>
      <w:r>
        <w:rPr>
          <w:color w:val="231F20"/>
          <w:spacing w:val="-8"/>
        </w:rPr>
        <w:t> </w:t>
      </w:r>
      <w:r>
        <w:rPr>
          <w:color w:val="231F20"/>
        </w:rPr>
        <w:t>Estados</w:t>
      </w:r>
      <w:r>
        <w:rPr>
          <w:color w:val="231F20"/>
          <w:spacing w:val="-8"/>
        </w:rPr>
        <w:t> </w:t>
      </w:r>
      <w:r>
        <w:rPr>
          <w:color w:val="231F20"/>
        </w:rPr>
        <w:t>Uni-</w:t>
      </w:r>
    </w:p>
    <w:p>
      <w:pPr>
        <w:pStyle w:val="BodyText"/>
        <w:rPr>
          <w:sz w:val="17"/>
        </w:rPr>
      </w:pPr>
    </w:p>
    <w:p>
      <w:pPr>
        <w:spacing w:before="82"/>
        <w:ind w:left="113" w:right="792" w:firstLine="0"/>
        <w:jc w:val="left"/>
        <w:rPr>
          <w:sz w:val="14"/>
        </w:rPr>
      </w:pPr>
      <w:r>
        <w:rPr>
          <w:color w:val="231F20"/>
          <w:sz w:val="14"/>
        </w:rPr>
        <w:t>* Profesor-investigador en la Universidad de Guadalajara.</w:t>
      </w:r>
    </w:p>
    <w:p>
      <w:pPr>
        <w:spacing w:after="0"/>
        <w:jc w:val="left"/>
        <w:rPr>
          <w:sz w:val="14"/>
        </w:rPr>
        <w:sectPr>
          <w:pgSz w:w="7770" w:h="11740"/>
          <w:pgMar w:header="0" w:footer="474" w:top="820" w:bottom="660" w:left="1020" w:right="740"/>
        </w:sectPr>
      </w:pPr>
    </w:p>
    <w:p>
      <w:pPr>
        <w:pStyle w:val="BodyText"/>
        <w:spacing w:line="249" w:lineRule="auto" w:before="56"/>
        <w:ind w:left="110" w:right="111"/>
        <w:jc w:val="both"/>
      </w:pPr>
      <w:r>
        <w:rPr>
          <w:color w:val="231F20"/>
        </w:rPr>
        <w:t>dos. Al respecto, nuestra tesis es que contrario a lo que suele señalarse, con la crisis económica no sólo no se ha reducido el volumen de traba- jadores latinoamericanos, sino que además ellos tienden a concentrar su importancia absoluta y relativa en determinadas ocupaciones que se co- rresponden con las tareas que sustentan la reproducción social y cotidia- na de la población de estratos medios y altos. Sin embargo, como</w:t>
      </w:r>
      <w:r>
        <w:rPr>
          <w:color w:val="231F20"/>
          <w:spacing w:val="-24"/>
        </w:rPr>
        <w:t> </w:t>
      </w:r>
      <w:r>
        <w:rPr>
          <w:color w:val="231F20"/>
        </w:rPr>
        <w:t>conse- cuencia de ese mismo proceso, la crisis habría afectado directamente</w:t>
      </w:r>
      <w:r>
        <w:rPr>
          <w:color w:val="231F20"/>
          <w:spacing w:val="-30"/>
        </w:rPr>
        <w:t> </w:t>
      </w:r>
      <w:r>
        <w:rPr>
          <w:color w:val="231F20"/>
        </w:rPr>
        <w:t>sus condiciones laborales y sus niveles de vida, aumentando la proporción de ellos en situaciones de alta precariedad laboral, así como en situación de pobreza. De esta forma, en el actual contexto de crisis económica, el costo</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reproducción</w:t>
      </w:r>
      <w:r>
        <w:rPr>
          <w:color w:val="231F20"/>
          <w:spacing w:val="-3"/>
        </w:rPr>
        <w:t> </w:t>
      </w:r>
      <w:r>
        <w:rPr>
          <w:color w:val="231F20"/>
        </w:rPr>
        <w:t>social,</w:t>
      </w:r>
      <w:r>
        <w:rPr>
          <w:color w:val="231F20"/>
          <w:spacing w:val="-3"/>
        </w:rPr>
        <w:t> </w:t>
      </w:r>
      <w:r>
        <w:rPr>
          <w:color w:val="231F20"/>
        </w:rPr>
        <w:t>es</w:t>
      </w:r>
      <w:r>
        <w:rPr>
          <w:color w:val="231F20"/>
          <w:spacing w:val="-4"/>
        </w:rPr>
        <w:t> </w:t>
      </w:r>
      <w:r>
        <w:rPr>
          <w:color w:val="231F20"/>
        </w:rPr>
        <w:t>en</w:t>
      </w:r>
      <w:r>
        <w:rPr>
          <w:color w:val="231F20"/>
          <w:spacing w:val="-4"/>
        </w:rPr>
        <w:t> </w:t>
      </w:r>
      <w:r>
        <w:rPr>
          <w:color w:val="231F20"/>
        </w:rPr>
        <w:t>parte</w:t>
      </w:r>
      <w:r>
        <w:rPr>
          <w:color w:val="231F20"/>
          <w:spacing w:val="-3"/>
        </w:rPr>
        <w:t> </w:t>
      </w:r>
      <w:r>
        <w:rPr>
          <w:color w:val="231F20"/>
        </w:rPr>
        <w:t>transferido</w:t>
      </w:r>
      <w:r>
        <w:rPr>
          <w:color w:val="231F20"/>
          <w:spacing w:val="-4"/>
        </w:rPr>
        <w:t> </w:t>
      </w:r>
      <w:r>
        <w:rPr>
          <w:color w:val="231F20"/>
        </w:rPr>
        <w:t>a</w:t>
      </w:r>
      <w:r>
        <w:rPr>
          <w:color w:val="231F20"/>
          <w:spacing w:val="-3"/>
        </w:rPr>
        <w:t> </w:t>
      </w:r>
      <w:r>
        <w:rPr>
          <w:color w:val="231F20"/>
        </w:rPr>
        <w:t>este</w:t>
      </w:r>
      <w:r>
        <w:rPr>
          <w:color w:val="231F20"/>
          <w:spacing w:val="-4"/>
        </w:rPr>
        <w:t> </w:t>
      </w:r>
      <w:r>
        <w:rPr>
          <w:color w:val="231F20"/>
        </w:rPr>
        <w:t>sector</w:t>
      </w:r>
      <w:r>
        <w:rPr>
          <w:color w:val="231F20"/>
          <w:spacing w:val="-3"/>
        </w:rPr>
        <w:t> </w:t>
      </w:r>
      <w:r>
        <w:rPr>
          <w:color w:val="231F20"/>
        </w:rPr>
        <w:t>de</w:t>
      </w:r>
      <w:r>
        <w:rPr>
          <w:color w:val="231F20"/>
          <w:spacing w:val="-3"/>
        </w:rPr>
        <w:t> </w:t>
      </w:r>
      <w:r>
        <w:rPr>
          <w:color w:val="231F20"/>
        </w:rPr>
        <w:t>la fuerza de trabajo, cuyas condiciones de vulnerabilidad social les impide negociar en mejores términos las condiciones laborales de su</w:t>
      </w:r>
      <w:r>
        <w:rPr>
          <w:color w:val="231F20"/>
          <w:spacing w:val="-7"/>
        </w:rPr>
        <w:t> </w:t>
      </w:r>
      <w:r>
        <w:rPr>
          <w:color w:val="231F20"/>
        </w:rPr>
        <w:t>actividad.</w:t>
      </w:r>
    </w:p>
    <w:p>
      <w:pPr>
        <w:pStyle w:val="Heading4"/>
        <w:ind w:left="110"/>
      </w:pPr>
      <w:r>
        <w:rPr>
          <w:w w:val="75"/>
        </w:rPr>
        <w:t>La migración internacional en la actual crisis económica</w:t>
      </w:r>
    </w:p>
    <w:p>
      <w:pPr>
        <w:pStyle w:val="BodyText"/>
        <w:spacing w:line="249" w:lineRule="auto" w:before="171"/>
        <w:ind w:left="110" w:right="110"/>
        <w:jc w:val="both"/>
      </w:pPr>
      <w:r>
        <w:rPr>
          <w:color w:val="231F20"/>
        </w:rPr>
        <w:t>La quiebra del banco de inversiones Lehman Brothers, en septiembre de 2008, fue el detonante de una crisis económica que se venía incubando en la economía de Estados Unidos y otros países desarrollados, y que repercutiría en todo el mundo (Krugman, 2009). Suele afirmarse que al centro mismo de esta crisis global, se encuentra la llamada burbuja in- mobiliaria de los años de 2001 a 2007 que se asentó no sólo en Estados Unidos,</w:t>
      </w:r>
      <w:r>
        <w:rPr>
          <w:color w:val="231F20"/>
          <w:spacing w:val="-9"/>
        </w:rPr>
        <w:t> </w:t>
      </w:r>
      <w:r>
        <w:rPr>
          <w:color w:val="231F20"/>
        </w:rPr>
        <w:t>sino</w:t>
      </w:r>
      <w:r>
        <w:rPr>
          <w:color w:val="231F20"/>
          <w:spacing w:val="-9"/>
        </w:rPr>
        <w:t> </w:t>
      </w:r>
      <w:r>
        <w:rPr>
          <w:color w:val="231F20"/>
        </w:rPr>
        <w:t>también</w:t>
      </w:r>
      <w:r>
        <w:rPr>
          <w:color w:val="231F20"/>
          <w:spacing w:val="-9"/>
        </w:rPr>
        <w:t> </w:t>
      </w:r>
      <w:r>
        <w:rPr>
          <w:color w:val="231F20"/>
        </w:rPr>
        <w:t>en</w:t>
      </w:r>
      <w:r>
        <w:rPr>
          <w:color w:val="231F20"/>
          <w:spacing w:val="-9"/>
        </w:rPr>
        <w:t> </w:t>
      </w:r>
      <w:r>
        <w:rPr>
          <w:color w:val="231F20"/>
        </w:rPr>
        <w:t>diversos</w:t>
      </w:r>
      <w:r>
        <w:rPr>
          <w:color w:val="231F20"/>
          <w:spacing w:val="-9"/>
        </w:rPr>
        <w:t> </w:t>
      </w:r>
      <w:r>
        <w:rPr>
          <w:color w:val="231F20"/>
        </w:rPr>
        <w:t>países</w:t>
      </w:r>
      <w:r>
        <w:rPr>
          <w:color w:val="231F20"/>
          <w:spacing w:val="-9"/>
        </w:rPr>
        <w:t> </w:t>
      </w:r>
      <w:r>
        <w:rPr>
          <w:color w:val="231F20"/>
        </w:rPr>
        <w:t>europeos</w:t>
      </w:r>
      <w:r>
        <w:rPr>
          <w:color w:val="231F20"/>
          <w:spacing w:val="-10"/>
        </w:rPr>
        <w:t> </w:t>
      </w:r>
      <w:r>
        <w:rPr>
          <w:color w:val="231F20"/>
        </w:rPr>
        <w:t>(Sarmiento,</w:t>
      </w:r>
      <w:r>
        <w:rPr>
          <w:color w:val="231F20"/>
          <w:spacing w:val="-9"/>
        </w:rPr>
        <w:t> </w:t>
      </w:r>
      <w:r>
        <w:rPr>
          <w:color w:val="231F20"/>
        </w:rPr>
        <w:t>2009).</w:t>
      </w:r>
      <w:r>
        <w:rPr>
          <w:color w:val="231F20"/>
          <w:spacing w:val="-9"/>
        </w:rPr>
        <w:t> </w:t>
      </w:r>
      <w:r>
        <w:rPr>
          <w:color w:val="231F20"/>
        </w:rPr>
        <w:t>Sin embargo, esta burbuja inmobiliaria es sólo expresión de una crisis</w:t>
      </w:r>
      <w:r>
        <w:rPr>
          <w:color w:val="231F20"/>
          <w:spacing w:val="-24"/>
        </w:rPr>
        <w:t> </w:t>
      </w:r>
      <w:r>
        <w:rPr>
          <w:color w:val="231F20"/>
        </w:rPr>
        <w:t>finan- ciera y comercial más profunda. Por un lado, diversos autores</w:t>
      </w:r>
      <w:r>
        <w:rPr>
          <w:color w:val="231F20"/>
          <w:spacing w:val="-34"/>
        </w:rPr>
        <w:t> </w:t>
      </w:r>
      <w:r>
        <w:rPr>
          <w:color w:val="231F20"/>
        </w:rPr>
        <w:t>reconocen que la profundidad de la crisis se debe en gran medida a la ausencia de mecanismos de regulación del sistema financiero internacional (Stiglitz, 2009). Por otro lado, no se trata sólo de una crisis financiera, sino tam- bién y especialmente de una crisis comercial (Ocampo,</w:t>
      </w:r>
      <w:r>
        <w:rPr>
          <w:color w:val="231F20"/>
          <w:spacing w:val="-3"/>
        </w:rPr>
        <w:t> </w:t>
      </w:r>
      <w:r>
        <w:rPr>
          <w:color w:val="231F20"/>
        </w:rPr>
        <w:t>2009).</w:t>
      </w:r>
    </w:p>
    <w:p>
      <w:pPr>
        <w:pStyle w:val="BodyText"/>
        <w:spacing w:line="249" w:lineRule="auto" w:before="1"/>
        <w:ind w:left="110" w:right="111" w:firstLine="283"/>
        <w:jc w:val="both"/>
      </w:pPr>
      <w:r>
        <w:rPr>
          <w:color w:val="231F20"/>
        </w:rPr>
        <w:t>La crisis actual es vista como la de mayor magnitud y profundidad,  y en cuanto a sus efectos y alcances, sólo se le compara con la crisis de los años treinta del siglo pasado. En este contexto resulta pertinente y necesario analizar cuáles han sido los impactos de esta crisis económica sobre la migración internacional, con especial referencia al caso latino- americano. Al respecto, diversos estudios han demostrado al menos tres tendencias, a</w:t>
      </w:r>
      <w:r>
        <w:rPr>
          <w:color w:val="231F20"/>
          <w:spacing w:val="-7"/>
        </w:rPr>
        <w:t> </w:t>
      </w:r>
      <w:r>
        <w:rPr>
          <w:color w:val="231F20"/>
        </w:rPr>
        <w:t>saber:</w:t>
      </w:r>
    </w:p>
    <w:p>
      <w:pPr>
        <w:pStyle w:val="ListParagraph"/>
        <w:numPr>
          <w:ilvl w:val="0"/>
          <w:numId w:val="8"/>
        </w:numPr>
        <w:tabs>
          <w:tab w:pos="471" w:val="left" w:leader="none"/>
        </w:tabs>
        <w:spacing w:line="249" w:lineRule="auto" w:before="171" w:after="0"/>
        <w:ind w:left="470" w:right="111" w:hanging="360"/>
        <w:jc w:val="both"/>
        <w:rPr>
          <w:sz w:val="20"/>
        </w:rPr>
      </w:pPr>
      <w:r>
        <w:rPr>
          <w:color w:val="231F20"/>
          <w:sz w:val="20"/>
        </w:rPr>
        <w:t>Si bien con la recesión actual se ha reducido el movimiento migra- torio, lo particularmente relevante es que no se ha generado ningún retorno masivo de migrantes a sus países de origen, ello a pesar de un desempleo muy elevado y la falta de puestos de trabajo (Fix </w:t>
      </w:r>
      <w:r>
        <w:rPr>
          <w:i/>
          <w:color w:val="231F20"/>
          <w:sz w:val="20"/>
        </w:rPr>
        <w:t>et </w:t>
      </w:r>
      <w:r>
        <w:rPr>
          <w:i/>
          <w:color w:val="231F20"/>
          <w:sz w:val="20"/>
        </w:rPr>
        <w:t>al.</w:t>
      </w:r>
      <w:r>
        <w:rPr>
          <w:color w:val="231F20"/>
          <w:sz w:val="20"/>
        </w:rPr>
        <w:t>, 2009; Canales, 2012).</w:t>
      </w:r>
    </w:p>
    <w:p>
      <w:pPr>
        <w:spacing w:after="0" w:line="249" w:lineRule="auto"/>
        <w:jc w:val="both"/>
        <w:rPr>
          <w:sz w:val="20"/>
        </w:rPr>
        <w:sectPr>
          <w:footerReference w:type="default" r:id="rId155"/>
          <w:pgSz w:w="7770" w:h="11740"/>
          <w:pgMar w:footer="474" w:header="0" w:top="840" w:bottom="660" w:left="740" w:right="1020"/>
          <w:pgNumType w:start="128"/>
        </w:sectPr>
      </w:pPr>
    </w:p>
    <w:p>
      <w:pPr>
        <w:pStyle w:val="ListParagraph"/>
        <w:numPr>
          <w:ilvl w:val="0"/>
          <w:numId w:val="8"/>
        </w:numPr>
        <w:tabs>
          <w:tab w:pos="474" w:val="left" w:leader="none"/>
        </w:tabs>
        <w:spacing w:line="249" w:lineRule="auto" w:before="60" w:after="0"/>
        <w:ind w:left="473" w:right="108" w:hanging="360"/>
        <w:jc w:val="both"/>
        <w:rPr>
          <w:sz w:val="20"/>
        </w:rPr>
      </w:pPr>
      <w:r>
        <w:rPr>
          <w:color w:val="231F20"/>
          <w:sz w:val="20"/>
        </w:rPr>
        <w:t>Las remesas si bien se han estancado y reducido en algunos casos, estamos lejos de un escenario del desplome de ellas</w:t>
      </w:r>
      <w:r>
        <w:rPr>
          <w:color w:val="231F20"/>
          <w:spacing w:val="-32"/>
          <w:sz w:val="20"/>
        </w:rPr>
        <w:t> </w:t>
      </w:r>
      <w:r>
        <w:rPr>
          <w:color w:val="231F20"/>
          <w:sz w:val="20"/>
        </w:rPr>
        <w:t>(Papademetriou y</w:t>
      </w:r>
      <w:r>
        <w:rPr>
          <w:color w:val="231F20"/>
          <w:spacing w:val="-9"/>
          <w:sz w:val="20"/>
        </w:rPr>
        <w:t> </w:t>
      </w:r>
      <w:r>
        <w:rPr>
          <w:color w:val="231F20"/>
          <w:sz w:val="20"/>
        </w:rPr>
        <w:t>Terrazas,</w:t>
      </w:r>
      <w:r>
        <w:rPr>
          <w:color w:val="231F20"/>
          <w:spacing w:val="-7"/>
          <w:sz w:val="20"/>
        </w:rPr>
        <w:t> </w:t>
      </w:r>
      <w:r>
        <w:rPr>
          <w:color w:val="231F20"/>
          <w:sz w:val="20"/>
        </w:rPr>
        <w:t>2009).</w:t>
      </w:r>
      <w:r>
        <w:rPr>
          <w:color w:val="231F20"/>
          <w:spacing w:val="-7"/>
          <w:sz w:val="20"/>
        </w:rPr>
        <w:t> </w:t>
      </w:r>
      <w:r>
        <w:rPr>
          <w:color w:val="231F20"/>
          <w:sz w:val="20"/>
        </w:rPr>
        <w:t>En</w:t>
      </w:r>
      <w:r>
        <w:rPr>
          <w:color w:val="231F20"/>
          <w:spacing w:val="-7"/>
          <w:sz w:val="20"/>
        </w:rPr>
        <w:t> </w:t>
      </w:r>
      <w:r>
        <w:rPr>
          <w:color w:val="231F20"/>
          <w:sz w:val="20"/>
        </w:rPr>
        <w:t>no</w:t>
      </w:r>
      <w:r>
        <w:rPr>
          <w:color w:val="231F20"/>
          <w:spacing w:val="-7"/>
          <w:sz w:val="20"/>
        </w:rPr>
        <w:t> </w:t>
      </w:r>
      <w:r>
        <w:rPr>
          <w:color w:val="231F20"/>
          <w:sz w:val="20"/>
        </w:rPr>
        <w:t>pocos</w:t>
      </w:r>
      <w:r>
        <w:rPr>
          <w:color w:val="231F20"/>
          <w:spacing w:val="-7"/>
          <w:sz w:val="20"/>
        </w:rPr>
        <w:t> </w:t>
      </w:r>
      <w:r>
        <w:rPr>
          <w:color w:val="231F20"/>
          <w:sz w:val="20"/>
        </w:rPr>
        <w:t>casos,</w:t>
      </w:r>
      <w:r>
        <w:rPr>
          <w:color w:val="231F20"/>
          <w:spacing w:val="-7"/>
          <w:sz w:val="20"/>
        </w:rPr>
        <w:t> </w:t>
      </w:r>
      <w:r>
        <w:rPr>
          <w:color w:val="231F20"/>
          <w:sz w:val="20"/>
        </w:rPr>
        <w:t>las</w:t>
      </w:r>
      <w:r>
        <w:rPr>
          <w:color w:val="231F20"/>
          <w:spacing w:val="-7"/>
          <w:sz w:val="20"/>
        </w:rPr>
        <w:t> </w:t>
      </w:r>
      <w:r>
        <w:rPr>
          <w:color w:val="231F20"/>
          <w:sz w:val="20"/>
        </w:rPr>
        <w:t>remesas</w:t>
      </w:r>
      <w:r>
        <w:rPr>
          <w:color w:val="231F20"/>
          <w:spacing w:val="-7"/>
          <w:sz w:val="20"/>
        </w:rPr>
        <w:t> </w:t>
      </w:r>
      <w:r>
        <w:rPr>
          <w:color w:val="231F20"/>
          <w:sz w:val="20"/>
        </w:rPr>
        <w:t>siguen</w:t>
      </w:r>
      <w:r>
        <w:rPr>
          <w:color w:val="231F20"/>
          <w:spacing w:val="-7"/>
          <w:sz w:val="20"/>
        </w:rPr>
        <w:t> </w:t>
      </w:r>
      <w:r>
        <w:rPr>
          <w:color w:val="231F20"/>
          <w:sz w:val="20"/>
        </w:rPr>
        <w:t>siendo</w:t>
      </w:r>
      <w:r>
        <w:rPr>
          <w:color w:val="231F20"/>
          <w:spacing w:val="-7"/>
          <w:sz w:val="20"/>
        </w:rPr>
        <w:t> </w:t>
      </w:r>
      <w:r>
        <w:rPr>
          <w:color w:val="231F20"/>
          <w:sz w:val="20"/>
        </w:rPr>
        <w:t>una fuente estable de ingresos para los países emisores de migrantes, a diferencia de lo que sucede con otros recursos financieros, inclui- dos los préstamos y otras formas de inversión privada extranjera, los cuales han demostrado ser mucho más volátiles que las remesas (Orozco, 2009; Ratha y Mohapatra,</w:t>
      </w:r>
      <w:r>
        <w:rPr>
          <w:color w:val="231F20"/>
          <w:spacing w:val="-9"/>
          <w:sz w:val="20"/>
        </w:rPr>
        <w:t> </w:t>
      </w:r>
      <w:r>
        <w:rPr>
          <w:color w:val="231F20"/>
          <w:sz w:val="20"/>
        </w:rPr>
        <w:t>2009)</w:t>
      </w:r>
    </w:p>
    <w:p>
      <w:pPr>
        <w:pStyle w:val="ListParagraph"/>
        <w:numPr>
          <w:ilvl w:val="0"/>
          <w:numId w:val="8"/>
        </w:numPr>
        <w:tabs>
          <w:tab w:pos="474" w:val="left" w:leader="none"/>
        </w:tabs>
        <w:spacing w:line="249" w:lineRule="auto" w:before="1" w:after="0"/>
        <w:ind w:left="473" w:right="108" w:hanging="360"/>
        <w:jc w:val="both"/>
        <w:rPr>
          <w:sz w:val="20"/>
        </w:rPr>
      </w:pPr>
      <w:r>
        <w:rPr>
          <w:color w:val="231F20"/>
          <w:sz w:val="20"/>
        </w:rPr>
        <w:t>Por último, todo ello no es incompatible con el hecho de que los inmigrantes sean de los grupos más vulnerables y golpeados por la crisis, tanto en cuestión del desempleo, precariedad laboral y sala- rios, entre otros aspectos (Martínez </w:t>
      </w:r>
      <w:r>
        <w:rPr>
          <w:i/>
          <w:color w:val="231F20"/>
          <w:sz w:val="20"/>
        </w:rPr>
        <w:t>et al</w:t>
      </w:r>
      <w:r>
        <w:rPr>
          <w:color w:val="231F20"/>
          <w:sz w:val="20"/>
        </w:rPr>
        <w:t>.,</w:t>
      </w:r>
      <w:r>
        <w:rPr>
          <w:color w:val="231F20"/>
          <w:spacing w:val="-4"/>
          <w:sz w:val="20"/>
        </w:rPr>
        <w:t> </w:t>
      </w:r>
      <w:r>
        <w:rPr>
          <w:color w:val="231F20"/>
          <w:sz w:val="20"/>
        </w:rPr>
        <w:t>2009).</w:t>
      </w:r>
    </w:p>
    <w:p>
      <w:pPr>
        <w:pStyle w:val="BodyText"/>
        <w:spacing w:line="249" w:lineRule="auto" w:before="171"/>
        <w:ind w:left="113" w:right="107" w:firstLine="283"/>
        <w:jc w:val="both"/>
      </w:pPr>
      <w:r>
        <w:rPr>
          <w:color w:val="231F20"/>
        </w:rPr>
        <w:t>Considerando lo anterior, la tesis que sustentamos en este artículo,  se refiere precisamente a que, en la medida que los inmigrantes y sus familias son uno de los sectores sociales más vulnerables y con menos poder</w:t>
      </w:r>
      <w:r>
        <w:rPr>
          <w:color w:val="231F20"/>
          <w:spacing w:val="-8"/>
        </w:rPr>
        <w:t> </w:t>
      </w:r>
      <w:r>
        <w:rPr>
          <w:color w:val="231F20"/>
        </w:rPr>
        <w:t>de</w:t>
      </w:r>
      <w:r>
        <w:rPr>
          <w:color w:val="231F20"/>
          <w:spacing w:val="-8"/>
        </w:rPr>
        <w:t> </w:t>
      </w:r>
      <w:r>
        <w:rPr>
          <w:color w:val="231F20"/>
        </w:rPr>
        <w:t>negociación</w:t>
      </w:r>
      <w:r>
        <w:rPr>
          <w:color w:val="231F20"/>
          <w:spacing w:val="-8"/>
        </w:rPr>
        <w:t> </w:t>
      </w:r>
      <w:r>
        <w:rPr>
          <w:color w:val="231F20"/>
        </w:rPr>
        <w:t>social</w:t>
      </w:r>
      <w:r>
        <w:rPr>
          <w:color w:val="231F20"/>
          <w:spacing w:val="-7"/>
        </w:rPr>
        <w:t> </w:t>
      </w:r>
      <w:r>
        <w:rPr>
          <w:color w:val="231F20"/>
        </w:rPr>
        <w:t>y</w:t>
      </w:r>
      <w:r>
        <w:rPr>
          <w:color w:val="231F20"/>
          <w:spacing w:val="-8"/>
        </w:rPr>
        <w:t> </w:t>
      </w:r>
      <w:r>
        <w:rPr>
          <w:color w:val="231F20"/>
        </w:rPr>
        <w:t>política,</w:t>
      </w:r>
      <w:r>
        <w:rPr>
          <w:color w:val="231F20"/>
          <w:spacing w:val="-8"/>
        </w:rPr>
        <w:t> </w:t>
      </w:r>
      <w:r>
        <w:rPr>
          <w:color w:val="231F20"/>
        </w:rPr>
        <w:t>es</w:t>
      </w:r>
      <w:r>
        <w:rPr>
          <w:color w:val="231F20"/>
          <w:spacing w:val="-8"/>
        </w:rPr>
        <w:t> </w:t>
      </w:r>
      <w:r>
        <w:rPr>
          <w:color w:val="231F20"/>
        </w:rPr>
        <w:t>esperable</w:t>
      </w:r>
      <w:r>
        <w:rPr>
          <w:color w:val="231F20"/>
          <w:spacing w:val="-8"/>
        </w:rPr>
        <w:t> </w:t>
      </w:r>
      <w:r>
        <w:rPr>
          <w:color w:val="231F20"/>
        </w:rPr>
        <w:t>que</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conse- cuencias</w:t>
      </w:r>
      <w:r>
        <w:rPr>
          <w:color w:val="231F20"/>
          <w:spacing w:val="-7"/>
        </w:rPr>
        <w:t> </w:t>
      </w:r>
      <w:r>
        <w:rPr>
          <w:color w:val="231F20"/>
        </w:rPr>
        <w:t>de</w:t>
      </w:r>
      <w:r>
        <w:rPr>
          <w:color w:val="231F20"/>
          <w:spacing w:val="-6"/>
        </w:rPr>
        <w:t> </w:t>
      </w:r>
      <w:r>
        <w:rPr>
          <w:color w:val="231F20"/>
        </w:rPr>
        <w:t>actual</w:t>
      </w:r>
      <w:r>
        <w:rPr>
          <w:color w:val="231F20"/>
          <w:spacing w:val="-6"/>
        </w:rPr>
        <w:t> </w:t>
      </w:r>
      <w:r>
        <w:rPr>
          <w:color w:val="231F20"/>
        </w:rPr>
        <w:t>crisis</w:t>
      </w:r>
      <w:r>
        <w:rPr>
          <w:color w:val="231F20"/>
          <w:spacing w:val="-7"/>
        </w:rPr>
        <w:t> </w:t>
      </w:r>
      <w:r>
        <w:rPr>
          <w:color w:val="231F20"/>
        </w:rPr>
        <w:t>económica</w:t>
      </w:r>
      <w:r>
        <w:rPr>
          <w:color w:val="231F20"/>
          <w:spacing w:val="-6"/>
        </w:rPr>
        <w:t> </w:t>
      </w:r>
      <w:r>
        <w:rPr>
          <w:color w:val="231F20"/>
        </w:rPr>
        <w:t>sea</w:t>
      </w:r>
      <w:r>
        <w:rPr>
          <w:color w:val="231F20"/>
          <w:spacing w:val="-6"/>
        </w:rPr>
        <w:t> </w:t>
      </w:r>
      <w:r>
        <w:rPr>
          <w:color w:val="231F20"/>
        </w:rPr>
        <w:t>la</w:t>
      </w:r>
      <w:r>
        <w:rPr>
          <w:color w:val="231F20"/>
          <w:spacing w:val="-6"/>
        </w:rPr>
        <w:t> </w:t>
      </w:r>
      <w:r>
        <w:rPr>
          <w:color w:val="231F20"/>
        </w:rPr>
        <w:t>virtual</w:t>
      </w:r>
      <w:r>
        <w:rPr>
          <w:color w:val="231F20"/>
          <w:spacing w:val="-6"/>
        </w:rPr>
        <w:t> </w:t>
      </w:r>
      <w:r>
        <w:rPr>
          <w:color w:val="231F20"/>
        </w:rPr>
        <w:t>transferencia</w:t>
      </w:r>
      <w:r>
        <w:rPr>
          <w:color w:val="231F20"/>
          <w:spacing w:val="-7"/>
        </w:rPr>
        <w:t> </w:t>
      </w:r>
      <w:r>
        <w:rPr>
          <w:color w:val="231F20"/>
        </w:rPr>
        <w:t>hacia</w:t>
      </w:r>
      <w:r>
        <w:rPr>
          <w:color w:val="231F20"/>
          <w:spacing w:val="-6"/>
        </w:rPr>
        <w:t> </w:t>
      </w:r>
      <w:r>
        <w:rPr>
          <w:color w:val="231F20"/>
        </w:rPr>
        <w:t>este grupo social de gran parte del costo de la</w:t>
      </w:r>
      <w:r>
        <w:rPr>
          <w:color w:val="231F20"/>
          <w:spacing w:val="-6"/>
        </w:rPr>
        <w:t> </w:t>
      </w:r>
      <w:r>
        <w:rPr>
          <w:color w:val="231F20"/>
        </w:rPr>
        <w:t>misma.</w:t>
      </w:r>
    </w:p>
    <w:p>
      <w:pPr>
        <w:pStyle w:val="BodyText"/>
        <w:spacing w:line="249" w:lineRule="auto" w:before="1"/>
        <w:ind w:left="113" w:right="107" w:firstLine="283"/>
        <w:jc w:val="both"/>
      </w:pPr>
      <w:r>
        <w:rPr>
          <w:color w:val="231F20"/>
        </w:rPr>
        <w:t>Contrario a lo que el sentido común sugiere, la crisis económica ac- tual</w:t>
      </w:r>
      <w:r>
        <w:rPr>
          <w:color w:val="231F20"/>
          <w:spacing w:val="-8"/>
        </w:rPr>
        <w:t> </w:t>
      </w:r>
      <w:r>
        <w:rPr>
          <w:color w:val="231F20"/>
        </w:rPr>
        <w:t>genera</w:t>
      </w:r>
      <w:r>
        <w:rPr>
          <w:color w:val="231F20"/>
          <w:spacing w:val="-7"/>
        </w:rPr>
        <w:t> </w:t>
      </w:r>
      <w:r>
        <w:rPr>
          <w:color w:val="231F20"/>
        </w:rPr>
        <w:t>una</w:t>
      </w:r>
      <w:r>
        <w:rPr>
          <w:color w:val="231F20"/>
          <w:spacing w:val="-7"/>
        </w:rPr>
        <w:t> </w:t>
      </w:r>
      <w:r>
        <w:rPr>
          <w:color w:val="231F20"/>
        </w:rPr>
        <w:t>situación</w:t>
      </w:r>
      <w:r>
        <w:rPr>
          <w:color w:val="231F20"/>
          <w:spacing w:val="-7"/>
        </w:rPr>
        <w:t> </w:t>
      </w:r>
      <w:r>
        <w:rPr>
          <w:color w:val="231F20"/>
        </w:rPr>
        <w:t>paradójica.</w:t>
      </w:r>
      <w:r>
        <w:rPr>
          <w:color w:val="231F20"/>
          <w:spacing w:val="-7"/>
        </w:rPr>
        <w:t> </w:t>
      </w:r>
      <w:r>
        <w:rPr>
          <w:color w:val="231F20"/>
        </w:rPr>
        <w:t>Por</w:t>
      </w:r>
      <w:r>
        <w:rPr>
          <w:color w:val="231F20"/>
          <w:spacing w:val="-7"/>
        </w:rPr>
        <w:t> </w:t>
      </w:r>
      <w:r>
        <w:rPr>
          <w:color w:val="231F20"/>
        </w:rPr>
        <w:t>un</w:t>
      </w:r>
      <w:r>
        <w:rPr>
          <w:color w:val="231F20"/>
          <w:spacing w:val="-7"/>
        </w:rPr>
        <w:t> </w:t>
      </w:r>
      <w:r>
        <w:rPr>
          <w:color w:val="231F20"/>
        </w:rPr>
        <w:t>lado,</w:t>
      </w:r>
      <w:r>
        <w:rPr>
          <w:color w:val="231F20"/>
          <w:spacing w:val="-8"/>
        </w:rPr>
        <w:t> </w:t>
      </w:r>
      <w:r>
        <w:rPr>
          <w:color w:val="231F20"/>
        </w:rPr>
        <w:t>abre</w:t>
      </w:r>
      <w:r>
        <w:rPr>
          <w:color w:val="231F20"/>
          <w:spacing w:val="-8"/>
        </w:rPr>
        <w:t> </w:t>
      </w:r>
      <w:r>
        <w:rPr>
          <w:color w:val="231F20"/>
        </w:rPr>
        <w:t>espacios</w:t>
      </w:r>
      <w:r>
        <w:rPr>
          <w:color w:val="231F20"/>
          <w:spacing w:val="-8"/>
        </w:rPr>
        <w:t> </w:t>
      </w:r>
      <w:r>
        <w:rPr>
          <w:color w:val="231F20"/>
        </w:rPr>
        <w:t>laborales para los inmigrantes, reproduciendo de ese modo el incentivo a la inmi- gración, pero por otro lado, se trata de espacios altamente precarizados, inestables y vulnerables. De hecho, se trata de trabajos vinculados</w:t>
      </w:r>
      <w:r>
        <w:rPr>
          <w:color w:val="231F20"/>
          <w:spacing w:val="-24"/>
        </w:rPr>
        <w:t> </w:t>
      </w:r>
      <w:r>
        <w:rPr>
          <w:color w:val="231F20"/>
        </w:rPr>
        <w:t>direc- tamente con la reproducción social de la población nativa (preparación de</w:t>
      </w:r>
      <w:r>
        <w:rPr>
          <w:color w:val="231F20"/>
          <w:spacing w:val="-7"/>
        </w:rPr>
        <w:t> </w:t>
      </w:r>
      <w:r>
        <w:rPr>
          <w:color w:val="231F20"/>
        </w:rPr>
        <w:t>alimentos,</w:t>
      </w:r>
      <w:r>
        <w:rPr>
          <w:color w:val="231F20"/>
          <w:spacing w:val="-7"/>
        </w:rPr>
        <w:t> </w:t>
      </w:r>
      <w:r>
        <w:rPr>
          <w:color w:val="231F20"/>
        </w:rPr>
        <w:t>servicio</w:t>
      </w:r>
      <w:r>
        <w:rPr>
          <w:color w:val="231F20"/>
          <w:spacing w:val="-7"/>
        </w:rPr>
        <w:t> </w:t>
      </w:r>
      <w:r>
        <w:rPr>
          <w:color w:val="231F20"/>
        </w:rPr>
        <w:t>doméstico,</w:t>
      </w:r>
      <w:r>
        <w:rPr>
          <w:color w:val="231F20"/>
          <w:spacing w:val="-7"/>
        </w:rPr>
        <w:t> </w:t>
      </w:r>
      <w:r>
        <w:rPr>
          <w:color w:val="231F20"/>
        </w:rPr>
        <w:t>tareas</w:t>
      </w:r>
      <w:r>
        <w:rPr>
          <w:color w:val="231F20"/>
          <w:spacing w:val="-7"/>
        </w:rPr>
        <w:t> </w:t>
      </w:r>
      <w:r>
        <w:rPr>
          <w:color w:val="231F20"/>
        </w:rPr>
        <w:t>del</w:t>
      </w:r>
      <w:r>
        <w:rPr>
          <w:color w:val="231F20"/>
          <w:spacing w:val="-7"/>
        </w:rPr>
        <w:t> </w:t>
      </w:r>
      <w:r>
        <w:rPr>
          <w:color w:val="231F20"/>
        </w:rPr>
        <w:t>cuidado</w:t>
      </w:r>
      <w:r>
        <w:rPr>
          <w:color w:val="231F20"/>
          <w:spacing w:val="-7"/>
        </w:rPr>
        <w:t> </w:t>
      </w:r>
      <w:r>
        <w:rPr>
          <w:color w:val="231F20"/>
        </w:rPr>
        <w:t>de</w:t>
      </w:r>
      <w:r>
        <w:rPr>
          <w:color w:val="231F20"/>
          <w:spacing w:val="-7"/>
        </w:rPr>
        <w:t> </w:t>
      </w:r>
      <w:r>
        <w:rPr>
          <w:color w:val="231F20"/>
        </w:rPr>
        <w:t>niños,</w:t>
      </w:r>
      <w:r>
        <w:rPr>
          <w:color w:val="231F20"/>
          <w:spacing w:val="-7"/>
        </w:rPr>
        <w:t> </w:t>
      </w:r>
      <w:r>
        <w:rPr>
          <w:color w:val="231F20"/>
        </w:rPr>
        <w:t>ancianos</w:t>
      </w:r>
      <w:r>
        <w:rPr>
          <w:color w:val="231F20"/>
          <w:spacing w:val="-7"/>
        </w:rPr>
        <w:t> </w:t>
      </w:r>
      <w:r>
        <w:rPr>
          <w:color w:val="231F20"/>
        </w:rPr>
        <w:t>y enfermos, limpieza y mantenimiento, entre muchas otras tareas de simi- lar</w:t>
      </w:r>
      <w:r>
        <w:rPr>
          <w:color w:val="231F20"/>
          <w:spacing w:val="-12"/>
        </w:rPr>
        <w:t> </w:t>
      </w:r>
      <w:r>
        <w:rPr>
          <w:color w:val="231F20"/>
        </w:rPr>
        <w:t>significado</w:t>
      </w:r>
      <w:r>
        <w:rPr>
          <w:color w:val="231F20"/>
          <w:spacing w:val="-12"/>
        </w:rPr>
        <w:t> </w:t>
      </w:r>
      <w:r>
        <w:rPr>
          <w:color w:val="231F20"/>
        </w:rPr>
        <w:t>social</w:t>
      </w:r>
      <w:r>
        <w:rPr>
          <w:color w:val="231F20"/>
          <w:spacing w:val="-12"/>
        </w:rPr>
        <w:t> </w:t>
      </w:r>
      <w:r>
        <w:rPr>
          <w:color w:val="231F20"/>
        </w:rPr>
        <w:t>y</w:t>
      </w:r>
      <w:r>
        <w:rPr>
          <w:color w:val="231F20"/>
          <w:spacing w:val="-11"/>
        </w:rPr>
        <w:t> </w:t>
      </w:r>
      <w:r>
        <w:rPr>
          <w:color w:val="231F20"/>
        </w:rPr>
        <w:t>económico).</w:t>
      </w:r>
      <w:r>
        <w:rPr>
          <w:color w:val="231F20"/>
          <w:spacing w:val="-11"/>
        </w:rPr>
        <w:t> </w:t>
      </w:r>
      <w:r>
        <w:rPr>
          <w:color w:val="231F20"/>
        </w:rPr>
        <w:t>La</w:t>
      </w:r>
      <w:r>
        <w:rPr>
          <w:color w:val="231F20"/>
          <w:spacing w:val="-12"/>
        </w:rPr>
        <w:t> </w:t>
      </w:r>
      <w:r>
        <w:rPr>
          <w:color w:val="231F20"/>
        </w:rPr>
        <w:t>precarización</w:t>
      </w:r>
      <w:r>
        <w:rPr>
          <w:color w:val="231F20"/>
          <w:spacing w:val="-12"/>
        </w:rPr>
        <w:t> </w:t>
      </w:r>
      <w:r>
        <w:rPr>
          <w:color w:val="231F20"/>
        </w:rPr>
        <w:t>de</w:t>
      </w:r>
      <w:r>
        <w:rPr>
          <w:color w:val="231F20"/>
          <w:spacing w:val="-12"/>
        </w:rPr>
        <w:t> </w:t>
      </w:r>
      <w:r>
        <w:rPr>
          <w:color w:val="231F20"/>
        </w:rPr>
        <w:t>estas</w:t>
      </w:r>
      <w:r>
        <w:rPr>
          <w:color w:val="231F20"/>
          <w:spacing w:val="-12"/>
        </w:rPr>
        <w:t> </w:t>
      </w:r>
      <w:r>
        <w:rPr>
          <w:color w:val="231F20"/>
        </w:rPr>
        <w:t>actividades y</w:t>
      </w:r>
      <w:r>
        <w:rPr>
          <w:color w:val="231F20"/>
          <w:spacing w:val="-6"/>
        </w:rPr>
        <w:t> </w:t>
      </w:r>
      <w:r>
        <w:rPr>
          <w:color w:val="231F20"/>
        </w:rPr>
        <w:t>puestos</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permiten</w:t>
      </w:r>
      <w:r>
        <w:rPr>
          <w:color w:val="231F20"/>
          <w:spacing w:val="-6"/>
        </w:rPr>
        <w:t> </w:t>
      </w:r>
      <w:r>
        <w:rPr>
          <w:color w:val="231F20"/>
        </w:rPr>
        <w:t>por</w:t>
      </w:r>
      <w:r>
        <w:rPr>
          <w:color w:val="231F20"/>
          <w:spacing w:val="-6"/>
        </w:rPr>
        <w:t> </w:t>
      </w:r>
      <w:r>
        <w:rPr>
          <w:color w:val="231F20"/>
        </w:rPr>
        <w:t>un</w:t>
      </w:r>
      <w:r>
        <w:rPr>
          <w:color w:val="231F20"/>
          <w:spacing w:val="-6"/>
        </w:rPr>
        <w:t> </w:t>
      </w:r>
      <w:r>
        <w:rPr>
          <w:color w:val="231F20"/>
        </w:rPr>
        <w:t>lado,</w:t>
      </w:r>
      <w:r>
        <w:rPr>
          <w:color w:val="231F20"/>
          <w:spacing w:val="-6"/>
        </w:rPr>
        <w:t> </w:t>
      </w:r>
      <w:r>
        <w:rPr>
          <w:color w:val="231F20"/>
        </w:rPr>
        <w:t>reducir</w:t>
      </w:r>
      <w:r>
        <w:rPr>
          <w:color w:val="231F20"/>
          <w:spacing w:val="-6"/>
        </w:rPr>
        <w:t> </w:t>
      </w:r>
      <w:r>
        <w:rPr>
          <w:color w:val="231F20"/>
        </w:rPr>
        <w:t>los</w:t>
      </w:r>
      <w:r>
        <w:rPr>
          <w:color w:val="231F20"/>
          <w:spacing w:val="-6"/>
        </w:rPr>
        <w:t> </w:t>
      </w:r>
      <w:r>
        <w:rPr>
          <w:color w:val="231F20"/>
        </w:rPr>
        <w:t>costos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repro- ducción social de las clases medias y altas en las sociedades de destino, permitiendo</w:t>
      </w:r>
      <w:r>
        <w:rPr>
          <w:color w:val="231F20"/>
          <w:spacing w:val="-10"/>
        </w:rPr>
        <w:t> </w:t>
      </w:r>
      <w:r>
        <w:rPr>
          <w:color w:val="231F20"/>
        </w:rPr>
        <w:t>de</w:t>
      </w:r>
      <w:r>
        <w:rPr>
          <w:color w:val="231F20"/>
          <w:spacing w:val="-10"/>
        </w:rPr>
        <w:t> </w:t>
      </w:r>
      <w:r>
        <w:rPr>
          <w:color w:val="231F20"/>
        </w:rPr>
        <w:t>eso</w:t>
      </w:r>
      <w:r>
        <w:rPr>
          <w:color w:val="231F20"/>
          <w:spacing w:val="-10"/>
        </w:rPr>
        <w:t> </w:t>
      </w:r>
      <w:r>
        <w:rPr>
          <w:color w:val="231F20"/>
        </w:rPr>
        <w:t>modo,</w:t>
      </w:r>
      <w:r>
        <w:rPr>
          <w:color w:val="231F20"/>
          <w:spacing w:val="-10"/>
        </w:rPr>
        <w:t> </w:t>
      </w:r>
      <w:r>
        <w:rPr>
          <w:color w:val="231F20"/>
        </w:rPr>
        <w:t>paliar</w:t>
      </w:r>
      <w:r>
        <w:rPr>
          <w:color w:val="231F20"/>
          <w:spacing w:val="-10"/>
        </w:rPr>
        <w:t> </w:t>
      </w:r>
      <w:r>
        <w:rPr>
          <w:color w:val="231F20"/>
        </w:rPr>
        <w:t>en</w:t>
      </w:r>
      <w:r>
        <w:rPr>
          <w:color w:val="231F20"/>
          <w:spacing w:val="-10"/>
        </w:rPr>
        <w:t> </w:t>
      </w:r>
      <w:r>
        <w:rPr>
          <w:color w:val="231F20"/>
        </w:rPr>
        <w:t>parte</w:t>
      </w:r>
      <w:r>
        <w:rPr>
          <w:color w:val="231F20"/>
          <w:spacing w:val="-10"/>
        </w:rPr>
        <w:t> </w:t>
      </w:r>
      <w:r>
        <w:rPr>
          <w:color w:val="231F20"/>
        </w:rPr>
        <w:t>los</w:t>
      </w:r>
      <w:r>
        <w:rPr>
          <w:color w:val="231F20"/>
          <w:spacing w:val="-10"/>
        </w:rPr>
        <w:t> </w:t>
      </w:r>
      <w:r>
        <w:rPr>
          <w:color w:val="231F20"/>
        </w:rPr>
        <w:t>efectos</w:t>
      </w:r>
      <w:r>
        <w:rPr>
          <w:color w:val="231F20"/>
          <w:spacing w:val="-10"/>
        </w:rPr>
        <w:t> </w:t>
      </w:r>
      <w:r>
        <w:rPr>
          <w:color w:val="231F20"/>
        </w:rPr>
        <w:t>negativos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crisis económica sobre los ingresos y recursos de estos grupos sociales. Pero por otro lado, contribuyen a abrir esos espacios laborales que permiten reproducir la inmigración, aunque en peores condiciones laborales y de calidad de vida para los inmigrantes y sus</w:t>
      </w:r>
      <w:r>
        <w:rPr>
          <w:color w:val="231F20"/>
          <w:spacing w:val="-5"/>
        </w:rPr>
        <w:t> </w:t>
      </w:r>
      <w:r>
        <w:rPr>
          <w:color w:val="231F20"/>
        </w:rPr>
        <w:t>familias.</w:t>
      </w:r>
    </w:p>
    <w:p>
      <w:pPr>
        <w:pStyle w:val="BodyText"/>
        <w:spacing w:line="249" w:lineRule="auto" w:before="1"/>
        <w:ind w:left="113" w:right="108" w:firstLine="283"/>
        <w:jc w:val="both"/>
      </w:pPr>
      <w:r>
        <w:rPr>
          <w:color w:val="231F20"/>
        </w:rPr>
        <w:t>Para analizar empíricamente estas hipótesis, nos basaremos en la</w:t>
      </w:r>
      <w:r>
        <w:rPr>
          <w:color w:val="231F20"/>
          <w:spacing w:val="-21"/>
        </w:rPr>
        <w:t> </w:t>
      </w:r>
      <w:r>
        <w:rPr>
          <w:color w:val="231F20"/>
        </w:rPr>
        <w:t>mi- gración latinoamericana hacia Estados Unidos. Con base en fuentes de información y encuestas del Buró del Censo de ese país,</w:t>
      </w:r>
      <w:r>
        <w:rPr>
          <w:color w:val="231F20"/>
          <w:position w:val="7"/>
          <w:sz w:val="11"/>
        </w:rPr>
        <w:t>1  </w:t>
      </w:r>
      <w:r>
        <w:rPr>
          <w:color w:val="231F20"/>
        </w:rPr>
        <w:t>podemos  ana-</w:t>
      </w:r>
    </w:p>
    <w:p>
      <w:pPr>
        <w:pStyle w:val="BodyText"/>
        <w:spacing w:before="2"/>
        <w:rPr>
          <w:sz w:val="16"/>
        </w:rPr>
      </w:pPr>
    </w:p>
    <w:p>
      <w:pPr>
        <w:spacing w:before="0"/>
        <w:ind w:left="113" w:right="108" w:firstLine="0"/>
        <w:jc w:val="both"/>
        <w:rPr>
          <w:sz w:val="14"/>
        </w:rPr>
      </w:pPr>
      <w:r>
        <w:rPr>
          <w:color w:val="231F20"/>
          <w:position w:val="5"/>
          <w:sz w:val="8"/>
        </w:rPr>
        <w:t>1 </w:t>
      </w:r>
      <w:r>
        <w:rPr>
          <w:color w:val="231F20"/>
          <w:sz w:val="14"/>
        </w:rPr>
        <w:t>En concreto, usaremos el suplemento de marzo de la </w:t>
      </w:r>
      <w:r>
        <w:rPr>
          <w:i/>
          <w:color w:val="231F20"/>
          <w:sz w:val="14"/>
        </w:rPr>
        <w:t>Current Poulation Survey</w:t>
      </w:r>
      <w:r>
        <w:rPr>
          <w:color w:val="231F20"/>
          <w:sz w:val="14"/>
        </w:rPr>
        <w:t>, encuesta que recoge información continua sobre empleo, ingresos, salud, y en general, condiciones de vida y trabajo de la población residente en Estados Unidos, diferenciando según su origen étnico y migratorio.</w:t>
      </w:r>
    </w:p>
    <w:p>
      <w:pPr>
        <w:spacing w:after="0"/>
        <w:jc w:val="both"/>
        <w:rPr>
          <w:sz w:val="14"/>
        </w:rPr>
        <w:sectPr>
          <w:pgSz w:w="7770" w:h="11740"/>
          <w:pgMar w:header="0" w:footer="474" w:top="840" w:bottom="660" w:left="1020" w:right="740"/>
        </w:sectPr>
      </w:pPr>
    </w:p>
    <w:p>
      <w:pPr>
        <w:pStyle w:val="BodyText"/>
        <w:spacing w:line="249" w:lineRule="auto" w:before="60"/>
        <w:ind w:left="110" w:right="111"/>
        <w:jc w:val="both"/>
      </w:pPr>
      <w:r>
        <w:rPr>
          <w:color w:val="231F20"/>
        </w:rPr>
        <w:t>lizar y estimar cuantitativamente tanto la dinámica migratoria, como los cambios que la crisis económica ha generado en la estructura ocupacio- nal y en la inserción laboral de los inmigrantes latinoamericanos.</w:t>
      </w:r>
    </w:p>
    <w:p>
      <w:pPr>
        <w:pStyle w:val="Heading4"/>
        <w:spacing w:line="240" w:lineRule="exact" w:before="166"/>
        <w:ind w:left="110" w:right="1080"/>
        <w:jc w:val="left"/>
      </w:pPr>
      <w:r>
        <w:rPr>
          <w:w w:val="75"/>
        </w:rPr>
        <w:t>Migración y crisis: el caso de los inmigrantes latinoamericanos en Estados Unidos</w:t>
      </w:r>
    </w:p>
    <w:p>
      <w:pPr>
        <w:pStyle w:val="BodyText"/>
        <w:spacing w:line="249" w:lineRule="auto" w:before="175"/>
        <w:ind w:left="110" w:right="111"/>
        <w:jc w:val="both"/>
      </w:pPr>
      <w:r>
        <w:rPr>
          <w:color w:val="231F20"/>
        </w:rPr>
        <w:t>Aunque la crisis económica golpeó directamente a la dinámica</w:t>
      </w:r>
      <w:r>
        <w:rPr>
          <w:color w:val="231F20"/>
          <w:spacing w:val="-21"/>
        </w:rPr>
        <w:t> </w:t>
      </w:r>
      <w:r>
        <w:rPr>
          <w:color w:val="231F20"/>
        </w:rPr>
        <w:t>producti- va</w:t>
      </w:r>
      <w:r>
        <w:rPr>
          <w:color w:val="231F20"/>
          <w:spacing w:val="-7"/>
        </w:rPr>
        <w:t> </w:t>
      </w:r>
      <w:r>
        <w:rPr>
          <w:color w:val="231F20"/>
        </w:rPr>
        <w:t>de</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el</w:t>
      </w:r>
      <w:r>
        <w:rPr>
          <w:color w:val="231F20"/>
          <w:spacing w:val="-7"/>
        </w:rPr>
        <w:t> </w:t>
      </w:r>
      <w:r>
        <w:rPr>
          <w:color w:val="231F20"/>
        </w:rPr>
        <w:t>principal</w:t>
      </w:r>
      <w:r>
        <w:rPr>
          <w:color w:val="231F20"/>
          <w:spacing w:val="-7"/>
        </w:rPr>
        <w:t> </w:t>
      </w:r>
      <w:r>
        <w:rPr>
          <w:color w:val="231F20"/>
        </w:rPr>
        <w:t>impacto</w:t>
      </w:r>
      <w:r>
        <w:rPr>
          <w:color w:val="231F20"/>
          <w:spacing w:val="-7"/>
        </w:rPr>
        <w:t> </w:t>
      </w:r>
      <w:r>
        <w:rPr>
          <w:color w:val="231F20"/>
        </w:rPr>
        <w:t>se</w:t>
      </w:r>
      <w:r>
        <w:rPr>
          <w:color w:val="231F20"/>
          <w:spacing w:val="-7"/>
        </w:rPr>
        <w:t> </w:t>
      </w:r>
      <w:r>
        <w:rPr>
          <w:color w:val="231F20"/>
        </w:rPr>
        <w:t>manifestó</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gran</w:t>
      </w:r>
      <w:r>
        <w:rPr>
          <w:color w:val="231F20"/>
          <w:spacing w:val="-7"/>
        </w:rPr>
        <w:t> </w:t>
      </w:r>
      <w:r>
        <w:rPr>
          <w:color w:val="231F20"/>
        </w:rPr>
        <w:t>pérdi- da de empleos, especialmente entre 2008 y 2010. En efecto, mientras el PIB se redujo en tres por ciento entre 2007 y 2009, a partir de entonces, inició una fase de recuperación alcanzando ya en 2010 el nivel que tenía en 2007, y continuando una senda de lento pero sostenido crecimiento a partir de entonces (Gráfica</w:t>
      </w:r>
      <w:r>
        <w:rPr>
          <w:color w:val="231F20"/>
          <w:spacing w:val="-11"/>
        </w:rPr>
        <w:t> </w:t>
      </w:r>
      <w:r>
        <w:rPr>
          <w:color w:val="231F20"/>
        </w:rPr>
        <w:t>1).</w:t>
      </w:r>
    </w:p>
    <w:p>
      <w:pPr>
        <w:pStyle w:val="BodyText"/>
        <w:spacing w:line="249" w:lineRule="auto" w:before="1"/>
        <w:ind w:left="110" w:right="111" w:firstLine="283"/>
        <w:jc w:val="both"/>
      </w:pPr>
      <w:r>
        <w:rPr>
          <w:color w:val="231F20"/>
        </w:rPr>
        <w:t>Por el contrario, la situación en relación a la generación de empleos es algo diferente. En efecto, la pérdida de puestos de trabajo se extiende hasta el año 2010, para sólo en 2011 iniciar una lenta recuperación, mis- ma que aún no ha permitido retomar el nivel de empleo que la</w:t>
      </w:r>
      <w:r>
        <w:rPr>
          <w:color w:val="231F20"/>
          <w:spacing w:val="-13"/>
        </w:rPr>
        <w:t> </w:t>
      </w:r>
      <w:r>
        <w:rPr>
          <w:color w:val="231F20"/>
        </w:rPr>
        <w:t>economía norteamericana generaba en 2007. De hecho, entre 2007 y 2010, la eco- nomía</w:t>
      </w:r>
      <w:r>
        <w:rPr>
          <w:color w:val="231F20"/>
          <w:spacing w:val="-5"/>
        </w:rPr>
        <w:t> </w:t>
      </w:r>
      <w:r>
        <w:rPr>
          <w:color w:val="231F20"/>
        </w:rPr>
        <w:t>de</w:t>
      </w:r>
      <w:r>
        <w:rPr>
          <w:color w:val="231F20"/>
          <w:spacing w:val="-5"/>
        </w:rPr>
        <w:t> </w:t>
      </w:r>
      <w:r>
        <w:rPr>
          <w:color w:val="231F20"/>
        </w:rPr>
        <w:t>Estados</w:t>
      </w:r>
      <w:r>
        <w:rPr>
          <w:color w:val="231F20"/>
          <w:spacing w:val="-5"/>
        </w:rPr>
        <w:t> </w:t>
      </w:r>
      <w:r>
        <w:rPr>
          <w:color w:val="231F20"/>
        </w:rPr>
        <w:t>Unidos</w:t>
      </w:r>
      <w:r>
        <w:rPr>
          <w:color w:val="231F20"/>
          <w:spacing w:val="-4"/>
        </w:rPr>
        <w:t> </w:t>
      </w:r>
      <w:r>
        <w:rPr>
          <w:color w:val="231F20"/>
        </w:rPr>
        <w:t>perdió</w:t>
      </w:r>
      <w:r>
        <w:rPr>
          <w:color w:val="231F20"/>
          <w:spacing w:val="-5"/>
        </w:rPr>
        <w:t> </w:t>
      </w:r>
      <w:r>
        <w:rPr>
          <w:color w:val="231F20"/>
        </w:rPr>
        <w:t>5.1</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puestos</w:t>
      </w:r>
      <w:r>
        <w:rPr>
          <w:color w:val="231F20"/>
          <w:spacing w:val="-5"/>
        </w:rPr>
        <w:t> </w:t>
      </w:r>
      <w:r>
        <w:rPr>
          <w:color w:val="231F20"/>
        </w:rPr>
        <w:t>de</w:t>
      </w:r>
      <w:r>
        <w:rPr>
          <w:color w:val="231F20"/>
          <w:spacing w:val="-5"/>
        </w:rPr>
        <w:t> </w:t>
      </w:r>
      <w:r>
        <w:rPr>
          <w:color w:val="231F20"/>
        </w:rPr>
        <w:t>trabajo, que corresponden a casi 7.5 millones de empleos, y de los cuales, hasta 2013 sólo se había recuperado 63 por ciento de</w:t>
      </w:r>
      <w:r>
        <w:rPr>
          <w:color w:val="231F20"/>
          <w:spacing w:val="-5"/>
        </w:rPr>
        <w:t> </w:t>
      </w:r>
      <w:r>
        <w:rPr>
          <w:color w:val="231F20"/>
        </w:rPr>
        <w:t>ellos.</w:t>
      </w:r>
    </w:p>
    <w:p>
      <w:pPr>
        <w:pStyle w:val="BodyText"/>
        <w:spacing w:line="249" w:lineRule="auto" w:before="1"/>
        <w:ind w:left="110" w:right="111" w:firstLine="283"/>
        <w:jc w:val="both"/>
      </w:pPr>
      <w:r>
        <w:rPr>
          <w:color w:val="231F20"/>
        </w:rPr>
        <w:t>A</w:t>
      </w:r>
      <w:r>
        <w:rPr>
          <w:color w:val="231F20"/>
          <w:spacing w:val="-17"/>
        </w:rPr>
        <w:t> </w:t>
      </w:r>
      <w:r>
        <w:rPr>
          <w:color w:val="231F20"/>
        </w:rPr>
        <w:t>pesar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significativa</w:t>
      </w:r>
      <w:r>
        <w:rPr>
          <w:color w:val="231F20"/>
          <w:spacing w:val="-7"/>
        </w:rPr>
        <w:t> </w:t>
      </w:r>
      <w:r>
        <w:rPr>
          <w:color w:val="231F20"/>
        </w:rPr>
        <w:t>pérdida</w:t>
      </w:r>
      <w:r>
        <w:rPr>
          <w:color w:val="231F20"/>
          <w:spacing w:val="-6"/>
        </w:rPr>
        <w:t> </w:t>
      </w:r>
      <w:r>
        <w:rPr>
          <w:color w:val="231F20"/>
        </w:rPr>
        <w:t>de</w:t>
      </w:r>
      <w:r>
        <w:rPr>
          <w:color w:val="231F20"/>
          <w:spacing w:val="-6"/>
        </w:rPr>
        <w:t> </w:t>
      </w:r>
      <w:r>
        <w:rPr>
          <w:color w:val="231F20"/>
        </w:rPr>
        <w:t>puestos</w:t>
      </w:r>
      <w:r>
        <w:rPr>
          <w:color w:val="231F20"/>
          <w:spacing w:val="-6"/>
        </w:rPr>
        <w:t> </w:t>
      </w:r>
      <w:r>
        <w:rPr>
          <w:color w:val="231F20"/>
        </w:rPr>
        <w:t>de</w:t>
      </w:r>
      <w:r>
        <w:rPr>
          <w:color w:val="231F20"/>
          <w:spacing w:val="-6"/>
        </w:rPr>
        <w:t> </w:t>
      </w:r>
      <w:r>
        <w:rPr>
          <w:color w:val="231F20"/>
        </w:rPr>
        <w:t>trabajo,</w:t>
      </w:r>
      <w:r>
        <w:rPr>
          <w:color w:val="231F20"/>
          <w:spacing w:val="-7"/>
        </w:rPr>
        <w:t> </w:t>
      </w:r>
      <w:r>
        <w:rPr>
          <w:color w:val="231F20"/>
        </w:rPr>
        <w:t>la</w:t>
      </w:r>
      <w:r>
        <w:rPr>
          <w:color w:val="231F20"/>
          <w:spacing w:val="-6"/>
        </w:rPr>
        <w:t> </w:t>
      </w:r>
      <w:r>
        <w:rPr>
          <w:color w:val="231F20"/>
        </w:rPr>
        <w:t>crisis</w:t>
      </w:r>
      <w:r>
        <w:rPr>
          <w:color w:val="231F20"/>
          <w:spacing w:val="-6"/>
        </w:rPr>
        <w:t> </w:t>
      </w:r>
      <w:r>
        <w:rPr>
          <w:color w:val="231F20"/>
        </w:rPr>
        <w:t>eco- nómica</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traducido</w:t>
      </w:r>
      <w:r>
        <w:rPr>
          <w:color w:val="231F20"/>
          <w:spacing w:val="-7"/>
        </w:rPr>
        <w:t> </w:t>
      </w:r>
      <w:r>
        <w:rPr>
          <w:color w:val="231F20"/>
        </w:rPr>
        <w:t>en</w:t>
      </w:r>
      <w:r>
        <w:rPr>
          <w:color w:val="231F20"/>
          <w:spacing w:val="-7"/>
        </w:rPr>
        <w:t> </w:t>
      </w:r>
      <w:r>
        <w:rPr>
          <w:color w:val="231F20"/>
        </w:rPr>
        <w:t>similar</w:t>
      </w:r>
      <w:r>
        <w:rPr>
          <w:color w:val="231F20"/>
          <w:spacing w:val="-6"/>
        </w:rPr>
        <w:t> </w:t>
      </w:r>
      <w:r>
        <w:rPr>
          <w:color w:val="231F20"/>
        </w:rPr>
        <w:t>descenso</w:t>
      </w:r>
      <w:r>
        <w:rPr>
          <w:color w:val="231F20"/>
          <w:spacing w:val="-6"/>
        </w:rPr>
        <w:t> </w:t>
      </w:r>
      <w:r>
        <w:rPr>
          <w:color w:val="231F20"/>
        </w:rPr>
        <w:t>del</w:t>
      </w:r>
      <w:r>
        <w:rPr>
          <w:color w:val="231F20"/>
          <w:spacing w:val="-6"/>
        </w:rPr>
        <w:t> </w:t>
      </w:r>
      <w:r>
        <w:rPr>
          <w:color w:val="231F20"/>
        </w:rPr>
        <w:t>volumen</w:t>
      </w:r>
      <w:r>
        <w:rPr>
          <w:color w:val="231F20"/>
          <w:spacing w:val="-6"/>
        </w:rPr>
        <w:t> </w:t>
      </w:r>
      <w:r>
        <w:rPr>
          <w:color w:val="231F20"/>
        </w:rPr>
        <w:t>de</w:t>
      </w:r>
      <w:r>
        <w:rPr>
          <w:color w:val="231F20"/>
          <w:spacing w:val="-6"/>
        </w:rPr>
        <w:t> </w:t>
      </w:r>
      <w:r>
        <w:rPr>
          <w:color w:val="231F20"/>
        </w:rPr>
        <w:t>inmigran- tes residentes en Estados</w:t>
      </w:r>
      <w:r>
        <w:rPr>
          <w:color w:val="231F20"/>
          <w:spacing w:val="-10"/>
        </w:rPr>
        <w:t> </w:t>
      </w:r>
      <w:r>
        <w:rPr>
          <w:color w:val="231F20"/>
        </w:rPr>
        <w:t>Unidos.</w:t>
      </w:r>
    </w:p>
    <w:p>
      <w:pPr>
        <w:pStyle w:val="BodyText"/>
        <w:spacing w:line="249" w:lineRule="auto" w:before="1"/>
        <w:ind w:left="110" w:right="111" w:firstLine="283"/>
        <w:jc w:val="both"/>
      </w:pPr>
      <w:r>
        <w:rPr>
          <w:color w:val="231F20"/>
        </w:rPr>
        <w:t>Hasta 2007, la inmigración a este país mostraba un crecimiento sos- tenido, habiéndose pasado de un </w:t>
      </w:r>
      <w:r>
        <w:rPr>
          <w:i/>
          <w:color w:val="231F20"/>
        </w:rPr>
        <w:t>stock </w:t>
      </w:r>
      <w:r>
        <w:rPr>
          <w:color w:val="231F20"/>
        </w:rPr>
        <w:t>de 25 millones de inmigrantes en 1995,</w:t>
      </w:r>
      <w:r>
        <w:rPr>
          <w:color w:val="231F20"/>
          <w:spacing w:val="-2"/>
        </w:rPr>
        <w:t> </w:t>
      </w:r>
      <w:r>
        <w:rPr>
          <w:color w:val="231F20"/>
        </w:rPr>
        <w:t>a</w:t>
      </w:r>
      <w:r>
        <w:rPr>
          <w:color w:val="231F20"/>
          <w:spacing w:val="-2"/>
        </w:rPr>
        <w:t> </w:t>
      </w:r>
      <w:r>
        <w:rPr>
          <w:color w:val="231F20"/>
        </w:rPr>
        <w:t>casi</w:t>
      </w:r>
      <w:r>
        <w:rPr>
          <w:color w:val="231F20"/>
          <w:spacing w:val="-2"/>
        </w:rPr>
        <w:t> </w:t>
      </w:r>
      <w:r>
        <w:rPr>
          <w:color w:val="231F20"/>
        </w:rPr>
        <w:t>40</w:t>
      </w:r>
      <w:r>
        <w:rPr>
          <w:color w:val="231F20"/>
          <w:spacing w:val="-2"/>
        </w:rPr>
        <w:t> </w:t>
      </w:r>
      <w:r>
        <w:rPr>
          <w:color w:val="231F20"/>
        </w:rPr>
        <w:t>millones</w:t>
      </w:r>
      <w:r>
        <w:rPr>
          <w:color w:val="231F20"/>
          <w:spacing w:val="-2"/>
        </w:rPr>
        <w:t> </w:t>
      </w:r>
      <w:r>
        <w:rPr>
          <w:color w:val="231F20"/>
        </w:rPr>
        <w:t>de</w:t>
      </w:r>
      <w:r>
        <w:rPr>
          <w:color w:val="231F20"/>
          <w:spacing w:val="-2"/>
        </w:rPr>
        <w:t> </w:t>
      </w:r>
      <w:r>
        <w:rPr>
          <w:color w:val="231F20"/>
        </w:rPr>
        <w:t>personas</w:t>
      </w:r>
      <w:r>
        <w:rPr>
          <w:color w:val="231F20"/>
          <w:spacing w:val="-2"/>
        </w:rPr>
        <w:t> </w:t>
      </w:r>
      <w:r>
        <w:rPr>
          <w:color w:val="231F20"/>
        </w:rPr>
        <w:t>en</w:t>
      </w:r>
      <w:r>
        <w:rPr>
          <w:color w:val="231F20"/>
          <w:spacing w:val="-2"/>
        </w:rPr>
        <w:t> </w:t>
      </w:r>
      <w:r>
        <w:rPr>
          <w:color w:val="231F20"/>
        </w:rPr>
        <w:t>2007</w:t>
      </w:r>
      <w:r>
        <w:rPr>
          <w:color w:val="231F20"/>
          <w:spacing w:val="-2"/>
        </w:rPr>
        <w:t> </w:t>
      </w:r>
      <w:r>
        <w:rPr>
          <w:color w:val="231F20"/>
        </w:rPr>
        <w:t>(Gráfica</w:t>
      </w:r>
      <w:r>
        <w:rPr>
          <w:color w:val="231F20"/>
          <w:spacing w:val="-2"/>
        </w:rPr>
        <w:t> </w:t>
      </w:r>
      <w:r>
        <w:rPr>
          <w:color w:val="231F20"/>
        </w:rPr>
        <w:t>2).</w:t>
      </w:r>
      <w:r>
        <w:rPr>
          <w:color w:val="231F20"/>
          <w:spacing w:val="-13"/>
        </w:rPr>
        <w:t> </w:t>
      </w:r>
      <w:r>
        <w:rPr>
          <w:color w:val="231F20"/>
        </w:rPr>
        <w:t>A</w:t>
      </w:r>
      <w:r>
        <w:rPr>
          <w:color w:val="231F20"/>
          <w:spacing w:val="-13"/>
        </w:rPr>
        <w:t> </w:t>
      </w:r>
      <w:r>
        <w:rPr>
          <w:color w:val="231F20"/>
        </w:rPr>
        <w:t>partir</w:t>
      </w:r>
      <w:r>
        <w:rPr>
          <w:color w:val="231F20"/>
          <w:spacing w:val="-2"/>
        </w:rPr>
        <w:t> </w:t>
      </w:r>
      <w:r>
        <w:rPr>
          <w:color w:val="231F20"/>
        </w:rPr>
        <w:t>de</w:t>
      </w:r>
      <w:r>
        <w:rPr>
          <w:color w:val="231F20"/>
          <w:spacing w:val="-2"/>
        </w:rPr>
        <w:t> </w:t>
      </w:r>
      <w:r>
        <w:rPr>
          <w:color w:val="231F20"/>
        </w:rPr>
        <w:t>ese año,</w:t>
      </w:r>
      <w:r>
        <w:rPr>
          <w:color w:val="231F20"/>
          <w:spacing w:val="-12"/>
        </w:rPr>
        <w:t> </w:t>
      </w:r>
      <w:r>
        <w:rPr>
          <w:color w:val="231F20"/>
        </w:rPr>
        <w:t>podemos</w:t>
      </w:r>
      <w:r>
        <w:rPr>
          <w:color w:val="231F20"/>
          <w:spacing w:val="-12"/>
        </w:rPr>
        <w:t> </w:t>
      </w:r>
      <w:r>
        <w:rPr>
          <w:color w:val="231F20"/>
        </w:rPr>
        <w:t>identificar</w:t>
      </w:r>
      <w:r>
        <w:rPr>
          <w:color w:val="231F20"/>
          <w:spacing w:val="-12"/>
        </w:rPr>
        <w:t> </w:t>
      </w:r>
      <w:r>
        <w:rPr>
          <w:color w:val="231F20"/>
        </w:rPr>
        <w:t>y</w:t>
      </w:r>
      <w:r>
        <w:rPr>
          <w:color w:val="231F20"/>
          <w:spacing w:val="-12"/>
        </w:rPr>
        <w:t> </w:t>
      </w:r>
      <w:r>
        <w:rPr>
          <w:color w:val="231F20"/>
        </w:rPr>
        <w:t>diferenciar</w:t>
      </w:r>
      <w:r>
        <w:rPr>
          <w:color w:val="231F20"/>
          <w:spacing w:val="-12"/>
        </w:rPr>
        <w:t> </w:t>
      </w:r>
      <w:r>
        <w:rPr>
          <w:color w:val="231F20"/>
        </w:rPr>
        <w:t>dos</w:t>
      </w:r>
      <w:r>
        <w:rPr>
          <w:color w:val="231F20"/>
          <w:spacing w:val="-12"/>
        </w:rPr>
        <w:t> </w:t>
      </w:r>
      <w:r>
        <w:rPr>
          <w:color w:val="231F20"/>
        </w:rPr>
        <w:t>grandes</w:t>
      </w:r>
      <w:r>
        <w:rPr>
          <w:color w:val="231F20"/>
          <w:spacing w:val="-12"/>
        </w:rPr>
        <w:t> </w:t>
      </w:r>
      <w:r>
        <w:rPr>
          <w:color w:val="231F20"/>
        </w:rPr>
        <w:t>momentos</w:t>
      </w:r>
      <w:r>
        <w:rPr>
          <w:color w:val="231F20"/>
          <w:spacing w:val="-12"/>
        </w:rPr>
        <w:t> </w:t>
      </w:r>
      <w:r>
        <w:rPr>
          <w:color w:val="231F20"/>
        </w:rPr>
        <w:t>en</w:t>
      </w:r>
      <w:r>
        <w:rPr>
          <w:color w:val="231F20"/>
          <w:spacing w:val="-12"/>
        </w:rPr>
        <w:t> </w:t>
      </w:r>
      <w:r>
        <w:rPr>
          <w:color w:val="231F20"/>
        </w:rPr>
        <w:t>cuanto</w:t>
      </w:r>
      <w:r>
        <w:rPr>
          <w:color w:val="231F20"/>
          <w:spacing w:val="-12"/>
        </w:rPr>
        <w:t> </w:t>
      </w:r>
      <w:r>
        <w:rPr>
          <w:color w:val="231F20"/>
        </w:rPr>
        <w:t>a la</w:t>
      </w:r>
      <w:r>
        <w:rPr>
          <w:color w:val="231F20"/>
          <w:spacing w:val="-9"/>
        </w:rPr>
        <w:t> </w:t>
      </w:r>
      <w:r>
        <w:rPr>
          <w:color w:val="231F20"/>
        </w:rPr>
        <w:t>dinámica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económica</w:t>
      </w:r>
      <w:r>
        <w:rPr>
          <w:color w:val="231F20"/>
          <w:spacing w:val="-9"/>
        </w:rPr>
        <w:t> </w:t>
      </w:r>
      <w:r>
        <w:rPr>
          <w:color w:val="231F20"/>
        </w:rPr>
        <w:t>y</w:t>
      </w:r>
      <w:r>
        <w:rPr>
          <w:color w:val="231F20"/>
          <w:spacing w:val="-9"/>
        </w:rPr>
        <w:t> </w:t>
      </w:r>
      <w:r>
        <w:rPr>
          <w:color w:val="231F20"/>
        </w:rPr>
        <w:t>sus</w:t>
      </w:r>
      <w:r>
        <w:rPr>
          <w:color w:val="231F20"/>
          <w:spacing w:val="-9"/>
        </w:rPr>
        <w:t> </w:t>
      </w:r>
      <w:r>
        <w:rPr>
          <w:color w:val="231F20"/>
        </w:rPr>
        <w:t>impactos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inmigración.</w:t>
      </w:r>
      <w:r>
        <w:rPr>
          <w:color w:val="231F20"/>
          <w:spacing w:val="-9"/>
        </w:rPr>
        <w:t> </w:t>
      </w:r>
      <w:r>
        <w:rPr>
          <w:color w:val="231F20"/>
        </w:rPr>
        <w:t>Esta distinción</w:t>
      </w:r>
      <w:r>
        <w:rPr>
          <w:color w:val="231F20"/>
          <w:spacing w:val="-7"/>
        </w:rPr>
        <w:t> </w:t>
      </w:r>
      <w:r>
        <w:rPr>
          <w:color w:val="231F20"/>
        </w:rPr>
        <w:t>resulta</w:t>
      </w:r>
      <w:r>
        <w:rPr>
          <w:color w:val="231F20"/>
          <w:spacing w:val="-7"/>
        </w:rPr>
        <w:t> </w:t>
      </w:r>
      <w:r>
        <w:rPr>
          <w:color w:val="231F20"/>
        </w:rPr>
        <w:t>relevante</w:t>
      </w:r>
      <w:r>
        <w:rPr>
          <w:color w:val="231F20"/>
          <w:spacing w:val="-6"/>
        </w:rPr>
        <w:t> </w:t>
      </w:r>
      <w:r>
        <w:rPr>
          <w:color w:val="231F20"/>
        </w:rPr>
        <w:t>para</w:t>
      </w:r>
      <w:r>
        <w:rPr>
          <w:color w:val="231F20"/>
          <w:spacing w:val="-6"/>
        </w:rPr>
        <w:t> </w:t>
      </w:r>
      <w:r>
        <w:rPr>
          <w:color w:val="231F20"/>
        </w:rPr>
        <w:t>entender</w:t>
      </w:r>
      <w:r>
        <w:rPr>
          <w:color w:val="231F20"/>
          <w:spacing w:val="-7"/>
        </w:rPr>
        <w:t> </w:t>
      </w:r>
      <w:r>
        <w:rPr>
          <w:color w:val="231F20"/>
        </w:rPr>
        <w:t>las</w:t>
      </w:r>
      <w:r>
        <w:rPr>
          <w:color w:val="231F20"/>
          <w:spacing w:val="-7"/>
        </w:rPr>
        <w:t> </w:t>
      </w:r>
      <w:r>
        <w:rPr>
          <w:color w:val="231F20"/>
        </w:rPr>
        <w:t>distintas</w:t>
      </w:r>
      <w:r>
        <w:rPr>
          <w:color w:val="231F20"/>
          <w:spacing w:val="-7"/>
        </w:rPr>
        <w:t> </w:t>
      </w:r>
      <w:r>
        <w:rPr>
          <w:color w:val="231F20"/>
        </w:rPr>
        <w:t>formas</w:t>
      </w:r>
      <w:r>
        <w:rPr>
          <w:color w:val="231F20"/>
          <w:spacing w:val="-6"/>
        </w:rPr>
        <w:t> </w:t>
      </w:r>
      <w:r>
        <w:rPr>
          <w:color w:val="231F20"/>
        </w:rPr>
        <w:t>de</w:t>
      </w:r>
      <w:r>
        <w:rPr>
          <w:color w:val="231F20"/>
          <w:spacing w:val="-6"/>
        </w:rPr>
        <w:t> </w:t>
      </w:r>
      <w:r>
        <w:rPr>
          <w:color w:val="231F20"/>
        </w:rPr>
        <w:t>respues- ta de la inmigración frente a un contexto económico</w:t>
      </w:r>
      <w:r>
        <w:rPr>
          <w:color w:val="231F20"/>
          <w:spacing w:val="-3"/>
        </w:rPr>
        <w:t> </w:t>
      </w:r>
      <w:r>
        <w:rPr>
          <w:color w:val="231F20"/>
        </w:rPr>
        <w:t>adverso.</w:t>
      </w:r>
    </w:p>
    <w:p>
      <w:pPr>
        <w:pStyle w:val="BodyText"/>
        <w:spacing w:line="249" w:lineRule="auto" w:before="1"/>
        <w:ind w:left="110" w:right="111" w:firstLine="283"/>
        <w:jc w:val="both"/>
      </w:pPr>
      <w:r>
        <w:rPr>
          <w:color w:val="231F20"/>
        </w:rPr>
        <w:t>Un primer momento entre 2008 y 2010, el cual coincide</w:t>
      </w:r>
      <w:r>
        <w:rPr>
          <w:color w:val="231F20"/>
          <w:spacing w:val="-23"/>
        </w:rPr>
        <w:t> </w:t>
      </w:r>
      <w:r>
        <w:rPr>
          <w:color w:val="231F20"/>
        </w:rPr>
        <w:t>precisamen- te, con los momentos más duros de la crisis económica, que significaron entre otras cosas, una fuerte caída del PIB y sobre todo del empleo y la ocupación.</w:t>
      </w:r>
      <w:r>
        <w:rPr>
          <w:color w:val="231F20"/>
          <w:spacing w:val="-4"/>
        </w:rPr>
        <w:t> </w:t>
      </w:r>
      <w:r>
        <w:rPr>
          <w:color w:val="231F20"/>
        </w:rPr>
        <w:t>En</w:t>
      </w:r>
      <w:r>
        <w:rPr>
          <w:color w:val="231F20"/>
          <w:spacing w:val="-5"/>
        </w:rPr>
        <w:t> </w:t>
      </w:r>
      <w:r>
        <w:rPr>
          <w:color w:val="231F20"/>
        </w:rPr>
        <w:t>esta</w:t>
      </w:r>
      <w:r>
        <w:rPr>
          <w:color w:val="231F20"/>
          <w:spacing w:val="-5"/>
        </w:rPr>
        <w:t> </w:t>
      </w:r>
      <w:r>
        <w:rPr>
          <w:color w:val="231F20"/>
        </w:rPr>
        <w:t>etapa</w:t>
      </w:r>
      <w:r>
        <w:rPr>
          <w:color w:val="231F20"/>
          <w:spacing w:val="-5"/>
        </w:rPr>
        <w:t> </w:t>
      </w:r>
      <w:r>
        <w:rPr>
          <w:color w:val="231F20"/>
        </w:rPr>
        <w:t>no</w:t>
      </w:r>
      <w:r>
        <w:rPr>
          <w:color w:val="231F20"/>
          <w:spacing w:val="-4"/>
        </w:rPr>
        <w:t> </w:t>
      </w:r>
      <w:r>
        <w:rPr>
          <w:color w:val="231F20"/>
        </w:rPr>
        <w:t>se</w:t>
      </w:r>
      <w:r>
        <w:rPr>
          <w:color w:val="231F20"/>
          <w:spacing w:val="-4"/>
        </w:rPr>
        <w:t> </w:t>
      </w:r>
      <w:r>
        <w:rPr>
          <w:color w:val="231F20"/>
        </w:rPr>
        <w:t>genera</w:t>
      </w:r>
      <w:r>
        <w:rPr>
          <w:color w:val="231F20"/>
          <w:spacing w:val="-4"/>
        </w:rPr>
        <w:t> </w:t>
      </w:r>
      <w:r>
        <w:rPr>
          <w:color w:val="231F20"/>
        </w:rPr>
        <w:t>un</w:t>
      </w:r>
      <w:r>
        <w:rPr>
          <w:color w:val="231F20"/>
          <w:spacing w:val="-4"/>
        </w:rPr>
        <w:t> </w:t>
      </w:r>
      <w:r>
        <w:rPr>
          <w:color w:val="231F20"/>
        </w:rPr>
        <w:t>retorno</w:t>
      </w:r>
      <w:r>
        <w:rPr>
          <w:color w:val="231F20"/>
          <w:spacing w:val="-4"/>
        </w:rPr>
        <w:t> </w:t>
      </w:r>
      <w:r>
        <w:rPr>
          <w:color w:val="231F20"/>
        </w:rPr>
        <w:t>masivo</w:t>
      </w:r>
      <w:r>
        <w:rPr>
          <w:color w:val="231F20"/>
          <w:spacing w:val="-5"/>
        </w:rPr>
        <w:t> </w:t>
      </w:r>
      <w:r>
        <w:rPr>
          <w:color w:val="231F20"/>
        </w:rPr>
        <w:t>de</w:t>
      </w:r>
      <w:r>
        <w:rPr>
          <w:color w:val="231F20"/>
          <w:spacing w:val="-4"/>
        </w:rPr>
        <w:t> </w:t>
      </w:r>
      <w:r>
        <w:rPr>
          <w:color w:val="231F20"/>
        </w:rPr>
        <w:t>inmigrantes, sino</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mayor</w:t>
      </w:r>
      <w:r>
        <w:rPr>
          <w:color w:val="231F20"/>
          <w:spacing w:val="-7"/>
        </w:rPr>
        <w:t> </w:t>
      </w:r>
      <w:r>
        <w:rPr>
          <w:color w:val="231F20"/>
        </w:rPr>
        <w:t>efecto</w:t>
      </w:r>
      <w:r>
        <w:rPr>
          <w:color w:val="231F20"/>
          <w:spacing w:val="-7"/>
        </w:rPr>
        <w:t> </w:t>
      </w:r>
      <w:r>
        <w:rPr>
          <w:color w:val="231F20"/>
        </w:rPr>
        <w:t>es</w:t>
      </w:r>
      <w:r>
        <w:rPr>
          <w:color w:val="231F20"/>
          <w:spacing w:val="-7"/>
        </w:rPr>
        <w:t> </w:t>
      </w:r>
      <w:r>
        <w:rPr>
          <w:color w:val="231F20"/>
        </w:rPr>
        <w:t>un</w:t>
      </w:r>
      <w:r>
        <w:rPr>
          <w:color w:val="231F20"/>
          <w:spacing w:val="-6"/>
        </w:rPr>
        <w:t> </w:t>
      </w:r>
      <w:r>
        <w:rPr>
          <w:color w:val="231F20"/>
        </w:rPr>
        <w:t>freno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inmigración</w:t>
      </w:r>
      <w:r>
        <w:rPr>
          <w:color w:val="231F20"/>
          <w:spacing w:val="-7"/>
        </w:rPr>
        <w:t> </w:t>
      </w:r>
      <w:r>
        <w:rPr>
          <w:color w:val="231F20"/>
        </w:rPr>
        <w:t>neta.</w:t>
      </w:r>
      <w:r>
        <w:rPr>
          <w:color w:val="231F20"/>
          <w:spacing w:val="-7"/>
        </w:rPr>
        <w:t> </w:t>
      </w:r>
      <w:r>
        <w:rPr>
          <w:color w:val="231F20"/>
        </w:rPr>
        <w:t>En</w:t>
      </w:r>
      <w:r>
        <w:rPr>
          <w:color w:val="231F20"/>
          <w:spacing w:val="-7"/>
        </w:rPr>
        <w:t> </w:t>
      </w:r>
      <w:r>
        <w:rPr>
          <w:color w:val="231F20"/>
        </w:rPr>
        <w:t>concreto, el</w:t>
      </w:r>
      <w:r>
        <w:rPr>
          <w:color w:val="231F20"/>
          <w:spacing w:val="-6"/>
        </w:rPr>
        <w:t> </w:t>
      </w:r>
      <w:r>
        <w:rPr>
          <w:color w:val="231F20"/>
        </w:rPr>
        <w:t>volumen</w:t>
      </w:r>
      <w:r>
        <w:rPr>
          <w:color w:val="231F20"/>
          <w:spacing w:val="-6"/>
        </w:rPr>
        <w:t> </w:t>
      </w:r>
      <w:r>
        <w:rPr>
          <w:color w:val="231F20"/>
        </w:rPr>
        <w:t>de</w:t>
      </w:r>
      <w:r>
        <w:rPr>
          <w:color w:val="231F20"/>
          <w:spacing w:val="-6"/>
        </w:rPr>
        <w:t> </w:t>
      </w:r>
      <w:r>
        <w:rPr>
          <w:color w:val="231F20"/>
        </w:rPr>
        <w:t>inmigrantes</w:t>
      </w:r>
      <w:r>
        <w:rPr>
          <w:color w:val="231F20"/>
          <w:spacing w:val="-7"/>
        </w:rPr>
        <w:t> </w:t>
      </w:r>
      <w:r>
        <w:rPr>
          <w:color w:val="231F20"/>
        </w:rPr>
        <w:t>se</w:t>
      </w:r>
      <w:r>
        <w:rPr>
          <w:color w:val="231F20"/>
          <w:spacing w:val="-6"/>
        </w:rPr>
        <w:t> </w:t>
      </w:r>
      <w:r>
        <w:rPr>
          <w:color w:val="231F20"/>
        </w:rPr>
        <w:t>mantuvo</w:t>
      </w:r>
      <w:r>
        <w:rPr>
          <w:color w:val="231F20"/>
          <w:spacing w:val="-6"/>
        </w:rPr>
        <w:t> </w:t>
      </w:r>
      <w:r>
        <w:rPr>
          <w:color w:val="231F20"/>
        </w:rPr>
        <w:t>más</w:t>
      </w:r>
      <w:r>
        <w:rPr>
          <w:color w:val="231F20"/>
          <w:spacing w:val="-6"/>
        </w:rPr>
        <w:t> </w:t>
      </w:r>
      <w:r>
        <w:rPr>
          <w:color w:val="231F20"/>
        </w:rPr>
        <w:t>o</w:t>
      </w:r>
      <w:r>
        <w:rPr>
          <w:color w:val="231F20"/>
          <w:spacing w:val="-6"/>
        </w:rPr>
        <w:t> </w:t>
      </w:r>
      <w:r>
        <w:rPr>
          <w:color w:val="231F20"/>
        </w:rPr>
        <w:t>menos</w:t>
      </w:r>
      <w:r>
        <w:rPr>
          <w:color w:val="231F20"/>
          <w:spacing w:val="-6"/>
        </w:rPr>
        <w:t> </w:t>
      </w:r>
      <w:r>
        <w:rPr>
          <w:color w:val="231F20"/>
        </w:rPr>
        <w:t>estable,</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cifra cercana a los 18.5 millones en el caso de la inmigración latinoamerica- na, y bordeando los 20 millones en el caso de la inmigración de otras regiones.</w:t>
      </w:r>
    </w:p>
    <w:p>
      <w:pPr>
        <w:spacing w:after="0" w:line="249" w:lineRule="auto"/>
        <w:jc w:val="both"/>
        <w:sectPr>
          <w:footerReference w:type="default" r:id="rId156"/>
          <w:pgSz w:w="7770" w:h="11740"/>
          <w:pgMar w:footer="474" w:header="0" w:top="840" w:bottom="660" w:left="740" w:right="1020"/>
          <w:pgNumType w:start="130"/>
        </w:sectPr>
      </w:pPr>
    </w:p>
    <w:p>
      <w:pPr>
        <w:spacing w:line="252" w:lineRule="auto" w:before="62"/>
        <w:ind w:left="207" w:right="888" w:hanging="50"/>
        <w:jc w:val="left"/>
        <w:rPr>
          <w:sz w:val="19"/>
        </w:rPr>
      </w:pPr>
      <w:r>
        <w:rPr>
          <w:w w:val="105"/>
          <w:sz w:val="19"/>
        </w:rPr>
        <w:t>Gráfica 1. Estados Unidos, 2002-2013. Producto interno bruto y volumen de empleo</w:t>
      </w:r>
    </w:p>
    <w:p>
      <w:pPr>
        <w:pStyle w:val="BodyText"/>
        <w:spacing w:before="10"/>
        <w:rPr>
          <w:sz w:val="10"/>
        </w:rPr>
      </w:pPr>
    </w:p>
    <w:p>
      <w:pPr>
        <w:pStyle w:val="BodyText"/>
        <w:spacing w:before="74"/>
        <w:ind w:left="1414" w:right="1403"/>
        <w:jc w:val="center"/>
      </w:pPr>
      <w:r>
        <w:rPr/>
        <w:t>PIB</w:t>
      </w:r>
    </w:p>
    <w:p>
      <w:pPr>
        <w:pStyle w:val="BodyText"/>
        <w:spacing w:before="10" w:after="18"/>
        <w:ind w:left="1414" w:right="1403"/>
        <w:jc w:val="center"/>
      </w:pPr>
      <w:r>
        <w:rPr/>
        <w:t>(Billones de dólares, a precios de 2009)</w:t>
      </w:r>
    </w:p>
    <w:p>
      <w:pPr>
        <w:pStyle w:val="BodyText"/>
        <w:ind w:left="121"/>
      </w:pPr>
      <w:r>
        <w:rPr/>
        <w:pict>
          <v:group style="width:289.45pt;height:141pt;mso-position-horizontal-relative:char;mso-position-vertical-relative:line" coordorigin="0,0" coordsize="5789,2820">
            <v:rect style="position:absolute;left:8;top:5;width:5773;height:2807" filled="false" stroked="true" strokeweight=".5pt" strokecolor="#000000"/>
            <v:line style="position:absolute" from="8,2812" to="5781,2812" stroked="true" strokeweight=".75pt" strokecolor="#858585"/>
            <v:line style="position:absolute" from="246,1645" to="730,1503" stroked="true" strokeweight="1.0pt" strokecolor="#000000"/>
            <v:line style="position:absolute" from="730,1503" to="1210,1301" stroked="true" strokeweight="1pt" strokecolor="#000000"/>
            <v:line style="position:absolute" from="1210,1301" to="1690,1114" stroked="true" strokeweight="1pt" strokecolor="#000000"/>
            <v:line style="position:absolute" from="1690,1114" to="2170,960" stroked="true" strokeweight="1pt" strokecolor="#000000"/>
            <v:line style="position:absolute" from="2170,960" to="2655,855" stroked="true" strokeweight="1pt" strokecolor="#000000"/>
            <v:line style="position:absolute" from="2655,855" to="3135,874" stroked="true" strokeweight="1.0pt" strokecolor="#000000"/>
            <v:line style="position:absolute" from="3135,874" to="3615,1042" stroked="true" strokeweight="1pt" strokecolor="#000000"/>
            <v:line style="position:absolute" from="3615,1042" to="4095,898" stroked="true" strokeweight="1pt" strokecolor="#000000"/>
            <v:line style="position:absolute" from="4095,898" to="4580,787" stroked="true" strokeweight="1pt" strokecolor="#000000"/>
            <v:line style="position:absolute" from="4580,787" to="5060,619" stroked="true" strokeweight="1pt" strokecolor="#000000"/>
            <v:line style="position:absolute" from="5060,619" to="5540,504" stroked="true" strokeweight="1pt" strokecolor="#000000"/>
            <v:shape style="position:absolute;left:191;top:1594;width:106;height:106" type="#_x0000_t75" stroked="false">
              <v:imagedata r:id="rId157" o:title=""/>
            </v:shape>
            <v:shape style="position:absolute;left:676;top:1450;width:106;height:106" type="#_x0000_t75" stroked="false">
              <v:imagedata r:id="rId157" o:title=""/>
            </v:shape>
            <v:shape style="position:absolute;left:1156;top:1248;width:106;height:106" type="#_x0000_t75" stroked="false">
              <v:imagedata r:id="rId157" o:title=""/>
            </v:shape>
            <v:shape style="position:absolute;left:1636;top:1061;width:106;height:106" type="#_x0000_t75" stroked="false">
              <v:imagedata r:id="rId157" o:title=""/>
            </v:shape>
            <v:shape style="position:absolute;left:2116;top:907;width:106;height:106" type="#_x0000_t75" stroked="false">
              <v:imagedata r:id="rId157" o:title=""/>
            </v:shape>
            <v:shape style="position:absolute;left:2601;top:802;width:106;height:106" type="#_x0000_t75" stroked="false">
              <v:imagedata r:id="rId157" o:title=""/>
            </v:shape>
            <v:shape style="position:absolute;left:3081;top:821;width:106;height:106" type="#_x0000_t75" stroked="false">
              <v:imagedata r:id="rId157" o:title=""/>
            </v:shape>
            <v:shape style="position:absolute;left:3561;top:989;width:106;height:106" type="#_x0000_t75" stroked="false">
              <v:imagedata r:id="rId157" o:title=""/>
            </v:shape>
            <v:shape style="position:absolute;left:4041;top:845;width:106;height:106" type="#_x0000_t75" stroked="false">
              <v:imagedata r:id="rId157" o:title=""/>
            </v:shape>
            <v:shape style="position:absolute;left:4525;top:734;width:106;height:106" type="#_x0000_t75" stroked="false">
              <v:imagedata r:id="rId157" o:title=""/>
            </v:shape>
            <v:shape style="position:absolute;left:5005;top:566;width:106;height:106" type="#_x0000_t75" stroked="false">
              <v:imagedata r:id="rId157" o:title=""/>
            </v:shape>
            <v:shape style="position:absolute;left:5485;top:451;width:106;height:106" type="#_x0000_t75" stroked="false">
              <v:imagedata r:id="rId157" o:title=""/>
            </v:shape>
            <v:shape style="position:absolute;left:4839;top:298;width:440;height:160" type="#_x0000_t202" filled="false" stroked="false">
              <v:textbox inset="0,0,0,0">
                <w:txbxContent>
                  <w:p>
                    <w:pPr>
                      <w:spacing w:line="160" w:lineRule="exact" w:before="0"/>
                      <w:ind w:left="0" w:right="-20" w:firstLine="0"/>
                      <w:jc w:val="left"/>
                      <w:rPr>
                        <w:sz w:val="16"/>
                      </w:rPr>
                    </w:pPr>
                    <w:r>
                      <w:rPr>
                        <w:sz w:val="16"/>
                      </w:rPr>
                      <w:t>15,471</w:t>
                    </w:r>
                  </w:p>
                </w:txbxContent>
              </v:textbox>
              <w10:wrap type="none"/>
            </v:shape>
            <v:shape style="position:absolute;left:5320;top:181;width:440;height:160" type="#_x0000_t202" filled="false" stroked="false">
              <v:textbox inset="0,0,0,0">
                <w:txbxContent>
                  <w:p>
                    <w:pPr>
                      <w:spacing w:line="160" w:lineRule="exact" w:before="0"/>
                      <w:ind w:left="0" w:right="-20" w:firstLine="0"/>
                      <w:jc w:val="left"/>
                      <w:rPr>
                        <w:sz w:val="16"/>
                      </w:rPr>
                    </w:pPr>
                    <w:r>
                      <w:rPr>
                        <w:sz w:val="16"/>
                      </w:rPr>
                      <w:t>15,761</w:t>
                    </w:r>
                  </w:p>
                </w:txbxContent>
              </v:textbox>
              <w10:wrap type="none"/>
            </v:shape>
            <v:shape style="position:absolute;left:1951;top:536;width:1425;height:315" type="#_x0000_t202" filled="false" stroked="false">
              <v:textbox inset="0,0,0,0">
                <w:txbxContent>
                  <w:p>
                    <w:pPr>
                      <w:spacing w:line="313" w:lineRule="exact" w:before="0"/>
                      <w:ind w:left="0" w:right="0" w:firstLine="0"/>
                      <w:jc w:val="left"/>
                      <w:rPr>
                        <w:sz w:val="16"/>
                      </w:rPr>
                    </w:pPr>
                    <w:r>
                      <w:rPr>
                        <w:position w:val="-9"/>
                        <w:sz w:val="16"/>
                      </w:rPr>
                      <w:t>14,615 </w:t>
                    </w:r>
                    <w:r>
                      <w:rPr>
                        <w:sz w:val="16"/>
                      </w:rPr>
                      <w:t>14,877 </w:t>
                    </w:r>
                    <w:r>
                      <w:rPr>
                        <w:position w:val="-14"/>
                        <w:sz w:val="16"/>
                      </w:rPr>
                      <w:t>14,834</w:t>
                    </w:r>
                  </w:p>
                </w:txbxContent>
              </v:textbox>
              <w10:wrap type="none"/>
            </v:shape>
            <v:shape style="position:absolute;left:3875;top:575;width:440;height:160" type="#_x0000_t202" filled="false" stroked="false">
              <v:textbox inset="0,0,0,0">
                <w:txbxContent>
                  <w:p>
                    <w:pPr>
                      <w:spacing w:line="160" w:lineRule="exact" w:before="0"/>
                      <w:ind w:left="0" w:right="-20" w:firstLine="0"/>
                      <w:jc w:val="left"/>
                      <w:rPr>
                        <w:sz w:val="16"/>
                      </w:rPr>
                    </w:pPr>
                    <w:r>
                      <w:rPr>
                        <w:sz w:val="16"/>
                      </w:rPr>
                      <w:t>14,779</w:t>
                    </w:r>
                  </w:p>
                </w:txbxContent>
              </v:textbox>
              <w10:wrap type="none"/>
            </v:shape>
            <v:shape style="position:absolute;left:4356;top:465;width:440;height:160" type="#_x0000_t202" filled="false" stroked="false">
              <v:textbox inset="0,0,0,0">
                <w:txbxContent>
                  <w:p>
                    <w:pPr>
                      <w:spacing w:line="160" w:lineRule="exact" w:before="0"/>
                      <w:ind w:left="0" w:right="-20" w:firstLine="0"/>
                      <w:jc w:val="left"/>
                      <w:rPr>
                        <w:sz w:val="16"/>
                      </w:rPr>
                    </w:pPr>
                    <w:r>
                      <w:rPr>
                        <w:sz w:val="16"/>
                      </w:rPr>
                      <w:t>15,052</w:t>
                    </w:r>
                  </w:p>
                </w:txbxContent>
              </v:textbox>
              <w10:wrap type="none"/>
            </v:shape>
            <v:shape style="position:absolute;left:1470;top:793;width:440;height:160" type="#_x0000_t202" filled="false" stroked="false">
              <v:textbox inset="0,0,0,0">
                <w:txbxContent>
                  <w:p>
                    <w:pPr>
                      <w:spacing w:line="160" w:lineRule="exact" w:before="0"/>
                      <w:ind w:left="0" w:right="-20" w:firstLine="0"/>
                      <w:jc w:val="left"/>
                      <w:rPr>
                        <w:sz w:val="16"/>
                      </w:rPr>
                    </w:pPr>
                    <w:r>
                      <w:rPr>
                        <w:sz w:val="16"/>
                      </w:rPr>
                      <w:t>14,236</w:t>
                    </w:r>
                  </w:p>
                </w:txbxContent>
              </v:textbox>
              <w10:wrap type="none"/>
            </v:shape>
            <v:shape style="position:absolute;left:3394;top:720;width:440;height:160" type="#_x0000_t202" filled="false" stroked="false">
              <v:textbox inset="0,0,0,0">
                <w:txbxContent>
                  <w:p>
                    <w:pPr>
                      <w:spacing w:line="160" w:lineRule="exact" w:before="0"/>
                      <w:ind w:left="0" w:right="-20" w:firstLine="0"/>
                      <w:jc w:val="left"/>
                      <w:rPr>
                        <w:sz w:val="16"/>
                      </w:rPr>
                    </w:pPr>
                    <w:r>
                      <w:rPr>
                        <w:sz w:val="16"/>
                      </w:rPr>
                      <w:t>14,418</w:t>
                    </w:r>
                  </w:p>
                </w:txbxContent>
              </v:textbox>
              <w10:wrap type="none"/>
            </v:shape>
            <v:shape style="position:absolute;left:988;top:978;width:440;height:160" type="#_x0000_t202" filled="false" stroked="false">
              <v:textbox inset="0,0,0,0">
                <w:txbxContent>
                  <w:p>
                    <w:pPr>
                      <w:spacing w:line="160" w:lineRule="exact" w:before="0"/>
                      <w:ind w:left="0" w:right="-20" w:firstLine="0"/>
                      <w:jc w:val="left"/>
                      <w:rPr>
                        <w:sz w:val="16"/>
                      </w:rPr>
                    </w:pPr>
                    <w:r>
                      <w:rPr>
                        <w:sz w:val="16"/>
                      </w:rPr>
                      <w:t>13,774</w:t>
                    </w:r>
                  </w:p>
                </w:txbxContent>
              </v:textbox>
              <w10:wrap type="none"/>
            </v:shape>
            <v:shape style="position:absolute;left:507;top:1180;width:440;height:160" type="#_x0000_t202" filled="false" stroked="false">
              <v:textbox inset="0,0,0,0">
                <w:txbxContent>
                  <w:p>
                    <w:pPr>
                      <w:spacing w:line="160" w:lineRule="exact" w:before="0"/>
                      <w:ind w:left="0" w:right="-20" w:firstLine="0"/>
                      <w:jc w:val="left"/>
                      <w:rPr>
                        <w:sz w:val="16"/>
                      </w:rPr>
                    </w:pPr>
                    <w:r>
                      <w:rPr>
                        <w:sz w:val="16"/>
                      </w:rPr>
                      <w:t>13,270</w:t>
                    </w:r>
                  </w:p>
                </w:txbxContent>
              </v:textbox>
              <w10:wrap type="none"/>
            </v:shape>
            <v:shape style="position:absolute;left:26;top:1325;width:440;height:160" type="#_x0000_t202" filled="false" stroked="false">
              <v:textbox inset="0,0,0,0">
                <w:txbxContent>
                  <w:p>
                    <w:pPr>
                      <w:spacing w:line="160" w:lineRule="exact" w:before="0"/>
                      <w:ind w:left="0" w:right="-20" w:firstLine="0"/>
                      <w:jc w:val="left"/>
                      <w:rPr>
                        <w:sz w:val="16"/>
                      </w:rPr>
                    </w:pPr>
                    <w:r>
                      <w:rPr>
                        <w:sz w:val="16"/>
                      </w:rPr>
                      <w:t>12,910</w:t>
                    </w:r>
                  </w:p>
                </w:txbxContent>
              </v:textbox>
              <w10:wrap type="none"/>
            </v:shape>
          </v:group>
        </w:pict>
      </w:r>
      <w:r>
        <w:rPr/>
      </w:r>
    </w:p>
    <w:p>
      <w:pPr>
        <w:pStyle w:val="BodyText"/>
        <w:spacing w:before="109"/>
        <w:ind w:left="172" w:right="385"/>
      </w:pPr>
      <w:r>
        <w:rPr/>
        <w:t>2002 2003 2004 2005 2006 2007 2008 2009 2010 2011 2012 2013</w:t>
      </w:r>
    </w:p>
    <w:p>
      <w:pPr>
        <w:pStyle w:val="BodyText"/>
        <w:spacing w:before="10"/>
        <w:rPr>
          <w:sz w:val="29"/>
        </w:rPr>
      </w:pPr>
    </w:p>
    <w:p>
      <w:pPr>
        <w:pStyle w:val="BodyText"/>
        <w:spacing w:before="74"/>
        <w:ind w:left="1410" w:right="1403"/>
        <w:jc w:val="center"/>
      </w:pPr>
      <w:r>
        <w:rPr/>
        <w:t>Empleo</w:t>
      </w:r>
    </w:p>
    <w:p>
      <w:pPr>
        <w:pStyle w:val="BodyText"/>
        <w:spacing w:before="10"/>
        <w:ind w:left="1409" w:right="1403"/>
        <w:jc w:val="center"/>
      </w:pPr>
      <w:r>
        <w:rPr/>
        <w:pict>
          <v:group style="position:absolute;margin-left:57.096298pt;margin-top:15.442029pt;width:289.45pt;height:149.950pt;mso-position-horizontal-relative:page;mso-position-vertical-relative:paragraph;z-index:5344;mso-wrap-distance-left:0;mso-wrap-distance-right:0" coordorigin="1142,309" coordsize="5789,2999">
            <v:rect style="position:absolute;left:1149;top:314;width:5773;height:2986" filled="false" stroked="true" strokeweight=".5pt" strokecolor="#000000"/>
            <v:line style="position:absolute" from="1149,3300" to="6923,3300" stroked="true" strokeweight=".75pt" strokecolor="#858585"/>
            <v:line style="position:absolute" from="1388,1986" to="1872,1890" stroked="true" strokeweight="1pt" strokecolor="#000000"/>
            <v:line style="position:absolute" from="1872,1890" to="2352,1813" stroked="true" strokeweight="1pt" strokecolor="#000000"/>
            <v:line style="position:absolute" from="2352,1813" to="2832,1631" stroked="true" strokeweight="1pt" strokecolor="#000000"/>
            <v:line style="position:absolute" from="2832,1631" to="3312,1391" stroked="true" strokeweight="1pt" strokecolor="#000000"/>
            <v:line style="position:absolute" from="3312,1391" to="3797,1136" stroked="true" strokeweight="1pt" strokecolor="#000000"/>
            <v:line style="position:absolute" from="3797,1136" to="4277,1165" stroked="true" strokeweight="1pt" strokecolor="#000000"/>
            <v:line style="position:absolute" from="4277,1165" to="4757,1664" stroked="true" strokeweight="1pt" strokecolor="#000000"/>
            <v:line style="position:absolute" from="4757,1664" to="5237,1775" stroked="true" strokeweight="1pt" strokecolor="#000000"/>
            <v:line style="position:absolute" from="5237,1775" to="5722,1722" stroked="true" strokeweight="1pt" strokecolor="#000000"/>
            <v:line style="position:absolute" from="5722,1722" to="6202,1496" stroked="true" strokeweight="1pt" strokecolor="#000000"/>
            <v:line style="position:absolute" from="6202,1496" to="6682,1371" stroked="true" strokeweight="1pt" strokecolor="#000000"/>
            <v:shape style="position:absolute;left:1333;top:1933;width:106;height:106" type="#_x0000_t75" stroked="false">
              <v:imagedata r:id="rId157" o:title=""/>
            </v:shape>
            <v:shape style="position:absolute;left:1818;top:1837;width:106;height:106" type="#_x0000_t75" stroked="false">
              <v:imagedata r:id="rId157" o:title=""/>
            </v:shape>
            <v:shape style="position:absolute;left:2298;top:1760;width:106;height:106" type="#_x0000_t75" stroked="false">
              <v:imagedata r:id="rId157" o:title=""/>
            </v:shape>
            <v:shape style="position:absolute;left:2778;top:1578;width:106;height:106" type="#_x0000_t75" stroked="false">
              <v:imagedata r:id="rId157" o:title=""/>
            </v:shape>
            <v:shape style="position:absolute;left:3258;top:1338;width:106;height:106" type="#_x0000_t75" stroked="false">
              <v:imagedata r:id="rId157" o:title=""/>
            </v:shape>
            <v:shape style="position:absolute;left:3743;top:1083;width:106;height:106" type="#_x0000_t75" stroked="false">
              <v:imagedata r:id="rId157" o:title=""/>
            </v:shape>
            <v:shape style="position:absolute;left:4223;top:1112;width:106;height:106" type="#_x0000_t75" stroked="false">
              <v:imagedata r:id="rId157" o:title=""/>
            </v:shape>
            <v:shape style="position:absolute;left:4703;top:1611;width:106;height:106" type="#_x0000_t75" stroked="false">
              <v:imagedata r:id="rId157" o:title=""/>
            </v:shape>
            <v:shape style="position:absolute;left:5183;top:1722;width:106;height:106" type="#_x0000_t75" stroked="false">
              <v:imagedata r:id="rId157" o:title=""/>
            </v:shape>
            <v:shape style="position:absolute;left:5667;top:1669;width:106;height:106" type="#_x0000_t75" stroked="false">
              <v:imagedata r:id="rId157" o:title=""/>
            </v:shape>
            <v:shape style="position:absolute;left:6147;top:1443;width:106;height:106" type="#_x0000_t75" stroked="false">
              <v:imagedata r:id="rId157" o:title=""/>
            </v:shape>
            <v:shape style="position:absolute;left:6627;top:1318;width:106;height:106" type="#_x0000_t75" stroked="false">
              <v:imagedata r:id="rId157" o:title=""/>
            </v:shape>
            <v:shape style="position:absolute;left:3614;top:817;width:360;height:160" type="#_x0000_t202" filled="false" stroked="false">
              <v:textbox inset="0,0,0,0">
                <w:txbxContent>
                  <w:p>
                    <w:pPr>
                      <w:spacing w:line="160" w:lineRule="exact" w:before="0"/>
                      <w:ind w:left="0" w:right="-20" w:firstLine="0"/>
                      <w:jc w:val="left"/>
                      <w:rPr>
                        <w:sz w:val="16"/>
                      </w:rPr>
                    </w:pPr>
                    <w:r>
                      <w:rPr>
                        <w:sz w:val="16"/>
                      </w:rPr>
                      <w:t>145.3</w:t>
                    </w:r>
                  </w:p>
                </w:txbxContent>
              </v:textbox>
              <w10:wrap type="none"/>
            </v:shape>
            <v:shape style="position:absolute;left:3133;top:1069;width:360;height:160" type="#_x0000_t202" filled="false" stroked="false">
              <v:textbox inset="0,0,0,0">
                <w:txbxContent>
                  <w:p>
                    <w:pPr>
                      <w:spacing w:line="160" w:lineRule="exact" w:before="0"/>
                      <w:ind w:left="0" w:right="-20" w:firstLine="0"/>
                      <w:jc w:val="left"/>
                      <w:rPr>
                        <w:sz w:val="16"/>
                      </w:rPr>
                    </w:pPr>
                    <w:r>
                      <w:rPr>
                        <w:sz w:val="16"/>
                      </w:rPr>
                      <w:t>142.4</w:t>
                    </w:r>
                  </w:p>
                </w:txbxContent>
              </v:textbox>
              <w10:wrap type="none"/>
            </v:shape>
            <v:shape style="position:absolute;left:4154;top:990;width:360;height:160" type="#_x0000_t202" filled="false" stroked="false">
              <v:textbox inset="0,0,0,0">
                <w:txbxContent>
                  <w:p>
                    <w:pPr>
                      <w:spacing w:line="160" w:lineRule="exact" w:before="0"/>
                      <w:ind w:left="0" w:right="-20" w:firstLine="0"/>
                      <w:jc w:val="left"/>
                      <w:rPr>
                        <w:sz w:val="16"/>
                      </w:rPr>
                    </w:pPr>
                    <w:r>
                      <w:rPr>
                        <w:sz w:val="16"/>
                      </w:rPr>
                      <w:t>145.0</w:t>
                    </w:r>
                  </w:p>
                </w:txbxContent>
              </v:textbox>
              <w10:wrap type="none"/>
            </v:shape>
            <v:shape style="position:absolute;left:6500;top:1052;width:360;height:160" type="#_x0000_t202" filled="false" stroked="false">
              <v:textbox inset="0,0,0,0">
                <w:txbxContent>
                  <w:p>
                    <w:pPr>
                      <w:spacing w:line="160" w:lineRule="exact" w:before="0"/>
                      <w:ind w:left="0" w:right="-20" w:firstLine="0"/>
                      <w:jc w:val="left"/>
                      <w:rPr>
                        <w:sz w:val="16"/>
                      </w:rPr>
                    </w:pPr>
                    <w:r>
                      <w:rPr>
                        <w:sz w:val="16"/>
                      </w:rPr>
                      <w:t>142.6</w:t>
                    </w:r>
                  </w:p>
                </w:txbxContent>
              </v:textbox>
              <w10:wrap type="none"/>
            </v:shape>
            <v:shape style="position:absolute;left:6021;top:1176;width:360;height:160" type="#_x0000_t202" filled="false" stroked="false">
              <v:textbox inset="0,0,0,0">
                <w:txbxContent>
                  <w:p>
                    <w:pPr>
                      <w:spacing w:line="160" w:lineRule="exact" w:before="0"/>
                      <w:ind w:left="0" w:right="-20" w:firstLine="0"/>
                      <w:jc w:val="left"/>
                      <w:rPr>
                        <w:sz w:val="16"/>
                      </w:rPr>
                    </w:pPr>
                    <w:r>
                      <w:rPr>
                        <w:sz w:val="16"/>
                      </w:rPr>
                      <w:t>141.1</w:t>
                    </w:r>
                  </w:p>
                </w:txbxContent>
              </v:textbox>
              <w10:wrap type="none"/>
            </v:shape>
            <v:shape style="position:absolute;left:2651;top:1310;width:360;height:160" type="#_x0000_t202" filled="false" stroked="false">
              <v:textbox inset="0,0,0,0">
                <w:txbxContent>
                  <w:p>
                    <w:pPr>
                      <w:spacing w:line="160" w:lineRule="exact" w:before="0"/>
                      <w:ind w:left="0" w:right="-20" w:firstLine="0"/>
                      <w:jc w:val="left"/>
                      <w:rPr>
                        <w:sz w:val="16"/>
                      </w:rPr>
                    </w:pPr>
                    <w:r>
                      <w:rPr>
                        <w:sz w:val="16"/>
                      </w:rPr>
                      <w:t>139.6</w:t>
                    </w:r>
                  </w:p>
                </w:txbxContent>
              </v:textbox>
              <w10:wrap type="none"/>
            </v:shape>
            <v:shape style="position:absolute;left:1208;top:1567;width:842;height:259" type="#_x0000_t202" filled="false" stroked="false">
              <v:textbox inset="0,0,0,0">
                <w:txbxContent>
                  <w:p>
                    <w:pPr>
                      <w:spacing w:line="258" w:lineRule="exact" w:before="0"/>
                      <w:ind w:left="0" w:right="-18" w:firstLine="0"/>
                      <w:jc w:val="left"/>
                      <w:rPr>
                        <w:sz w:val="16"/>
                      </w:rPr>
                    </w:pPr>
                    <w:r>
                      <w:rPr>
                        <w:position w:val="-9"/>
                        <w:sz w:val="16"/>
                      </w:rPr>
                      <w:t>135.4   </w:t>
                    </w:r>
                    <w:r>
                      <w:rPr>
                        <w:sz w:val="16"/>
                      </w:rPr>
                      <w:t>136.6</w:t>
                    </w:r>
                  </w:p>
                </w:txbxContent>
              </v:textbox>
              <w10:wrap type="none"/>
            </v:shape>
            <v:shape style="position:absolute;left:2170;top:1493;width:360;height:160" type="#_x0000_t202" filled="false" stroked="false">
              <v:textbox inset="0,0,0,0">
                <w:txbxContent>
                  <w:p>
                    <w:pPr>
                      <w:spacing w:line="160" w:lineRule="exact" w:before="0"/>
                      <w:ind w:left="0" w:right="-20" w:firstLine="0"/>
                      <w:jc w:val="left"/>
                      <w:rPr>
                        <w:sz w:val="16"/>
                      </w:rPr>
                    </w:pPr>
                    <w:r>
                      <w:rPr>
                        <w:sz w:val="16"/>
                      </w:rPr>
                      <w:t>137.4</w:t>
                    </w:r>
                  </w:p>
                </w:txbxContent>
              </v:textbox>
              <w10:wrap type="none"/>
            </v:shape>
            <v:shape style="position:absolute;left:4666;top:1395;width:1233;height:218" type="#_x0000_t202" filled="false" stroked="false">
              <v:textbox inset="0,0,0,0">
                <w:txbxContent>
                  <w:p>
                    <w:pPr>
                      <w:spacing w:line="217" w:lineRule="exact" w:before="0"/>
                      <w:ind w:left="0" w:right="0" w:firstLine="0"/>
                      <w:jc w:val="left"/>
                      <w:rPr>
                        <w:sz w:val="16"/>
                      </w:rPr>
                    </w:pPr>
                    <w:r>
                      <w:rPr>
                        <w:sz w:val="16"/>
                      </w:rPr>
                      <w:t>139.1 </w:t>
                    </w:r>
                    <w:r>
                      <w:rPr>
                        <w:position w:val="-4"/>
                        <w:sz w:val="16"/>
                      </w:rPr>
                      <w:t>137.9  </w:t>
                    </w:r>
                    <w:r>
                      <w:rPr>
                        <w:sz w:val="16"/>
                      </w:rPr>
                      <w:t>138.5</w:t>
                    </w:r>
                  </w:p>
                </w:txbxContent>
              </v:textbox>
              <w10:wrap type="none"/>
            </v:shape>
            <w10:wrap type="topAndBottom"/>
          </v:group>
        </w:pict>
      </w:r>
      <w:r>
        <w:rPr/>
        <w:t>(Millones de personas ocupadas)</w:t>
      </w:r>
    </w:p>
    <w:p>
      <w:pPr>
        <w:pStyle w:val="BodyText"/>
        <w:spacing w:before="95"/>
        <w:ind w:left="172" w:right="385"/>
      </w:pPr>
      <w:r>
        <w:rPr/>
        <w:t>2002 2003 2004 2005 2006 2007 2008 2009 2010 2011 2012 2013</w:t>
      </w:r>
    </w:p>
    <w:p>
      <w:pPr>
        <w:pStyle w:val="BodyText"/>
        <w:spacing w:before="7"/>
        <w:rPr>
          <w:sz w:val="12"/>
        </w:rPr>
      </w:pPr>
    </w:p>
    <w:p>
      <w:pPr>
        <w:spacing w:before="78"/>
        <w:ind w:left="117" w:right="0" w:firstLine="0"/>
        <w:jc w:val="left"/>
        <w:rPr>
          <w:sz w:val="16"/>
        </w:rPr>
      </w:pPr>
      <w:r>
        <w:rPr>
          <w:sz w:val="16"/>
        </w:rPr>
        <w:t>Fuente: Current Population Survey, March Supplement (CPS); y Bureau of Economic Analysis (BEA), National Economic Accounts, </w:t>
      </w:r>
      <w:hyperlink r:id="rId158">
        <w:r>
          <w:rPr>
            <w:sz w:val="16"/>
          </w:rPr>
          <w:t>http://www.bea.gov</w:t>
        </w:r>
      </w:hyperlink>
    </w:p>
    <w:p>
      <w:pPr>
        <w:spacing w:after="0"/>
        <w:jc w:val="left"/>
        <w:rPr>
          <w:sz w:val="16"/>
        </w:rPr>
        <w:sectPr>
          <w:pgSz w:w="7770" w:h="11740"/>
          <w:pgMar w:header="0" w:footer="474" w:top="920" w:bottom="660" w:left="1020" w:right="720"/>
        </w:sectPr>
      </w:pPr>
    </w:p>
    <w:p>
      <w:pPr>
        <w:pStyle w:val="BodyText"/>
        <w:spacing w:before="8"/>
        <w:rPr>
          <w:sz w:val="14"/>
        </w:rPr>
      </w:pPr>
      <w:r>
        <w:rPr/>
        <w:pict>
          <v:shape style="position:absolute;margin-left:26.963537pt;margin-top:178.527603pt;width:12pt;height:17pt;mso-position-horizontal-relative:page;mso-position-vertical-relative:page;z-index:5440" type="#_x0000_t202" filled="false" stroked="false">
            <v:textbox inset="0,0,0,0" style="layout-flow:vertical">
              <w:txbxContent>
                <w:p>
                  <w:pPr>
                    <w:pStyle w:val="BodyText"/>
                    <w:spacing w:line="224" w:lineRule="exact"/>
                    <w:ind w:left="20" w:right="-100"/>
                  </w:pPr>
                  <w:r>
                    <w:rPr>
                      <w:color w:val="231F20"/>
                    </w:rPr>
                    <w:t>132</w:t>
                  </w:r>
                </w:p>
              </w:txbxContent>
            </v:textbox>
            <w10:wrap type="none"/>
          </v:shape>
        </w:pict>
      </w:r>
    </w:p>
    <w:p>
      <w:pPr>
        <w:spacing w:before="82"/>
        <w:ind w:left="388" w:right="52" w:firstLine="0"/>
        <w:jc w:val="left"/>
        <w:rPr>
          <w:sz w:val="18"/>
        </w:rPr>
      </w:pPr>
      <w:r>
        <w:rPr>
          <w:sz w:val="18"/>
        </w:rPr>
        <w:t>Gráfica 2. Estados Unidos, 1995-2013. Inmigrantes según Región de Origen (millones de personas)</w:t>
      </w:r>
    </w:p>
    <w:p>
      <w:pPr>
        <w:spacing w:before="55"/>
        <w:ind w:left="109" w:right="52" w:firstLine="0"/>
        <w:jc w:val="left"/>
        <w:rPr>
          <w:sz w:val="19"/>
        </w:rPr>
      </w:pPr>
      <w:r>
        <w:rPr/>
        <w:pict>
          <v:group style="position:absolute;margin-left:102.257454pt;margin-top:7.561791pt;width:376.65pt;height:214.35pt;mso-position-horizontal-relative:page;mso-position-vertical-relative:paragraph;z-index:5416" coordorigin="2045,151" coordsize="7533,4287">
            <v:shape style="position:absolute;left:-60;top:6568;width:8329;height:4504" coordorigin="-60,6568" coordsize="8329,4504" path="m2104,4383l2104,156m2050,4383l2102,4383m2050,3781l2102,3781m2050,3175l2102,3175m2050,2573l2102,2573m2050,1967l2102,1967m2050,1365l2102,1365m2050,759l2102,759m2050,157l2102,157m2104,4383l9572,4383m2102,4383l2102,4433m2497,4383l2497,4433m2891,4383l2891,4433m3281,4383l3281,4433m3676,4383l3676,4433m4070,4383l4070,4433m4461,4383l4461,4433m4855,4383l4855,4433m5250,4383l5250,4433m5640,4383l5640,4433m6034,4383l6034,4433m6429,4383l6429,4433m6819,4383l6819,4433m7214,4383l7214,4433m7608,4383l7608,4433m7998,4383l7998,4433m8393,4383l8393,4433m8787,4383l8787,4433m9177,4383l9177,4433m9572,4383l9572,4433e" filled="false" stroked="true" strokeweight=".463215pt" strokecolor="#000000">
              <v:path arrowok="t"/>
            </v:shape>
            <v:shape style="position:absolute;left:2302;top:764;width:7075;height:2059" coordorigin="2302,764" coordsize="7075,2059" path="m2302,2822l2692,2541,3086,2436,3481,2359,3871,2441,4266,2213,4660,1981,5050,1762,5445,1634,5839,1557,6229,1520,6624,1484,7018,1269,7409,1206,7803,1365,8198,1269,8588,1146,8982,859,9376,764e" filled="false" stroked="true" strokeweight=".946035pt" strokecolor="#000000">
              <v:path arrowok="t"/>
              <v:stroke dashstyle="dash"/>
            </v:shape>
            <v:shape style="position:absolute;left:2302;top:1324;width:7075;height:2146" coordorigin="2302,1324" coordsize="7075,2146" path="m2302,3470l2692,3389,3086,3161,3481,3111,3871,3093,4266,2865,4660,2733,5050,2304,5445,2136,5839,1976,6229,1830,6624,1748,7018,1570,7409,1611,7803,1620,8198,1479,8588,1465,8982,1324,9376,1329e" filled="false" stroked="true" strokeweight=".945748pt" strokecolor="#000000">
              <v:path arrowok="t"/>
            </v:shape>
            <v:shape style="position:absolute;left:8868;top:679;width:632;height:342" type="#_x0000_t75" stroked="false">
              <v:imagedata r:id="rId160" o:title=""/>
            </v:shape>
            <v:shape style="position:absolute;left:6899;top:1059;width:2619;height:342" type="#_x0000_t75" stroked="false">
              <v:imagedata r:id="rId161" o:title=""/>
            </v:shape>
            <v:shape style="position:absolute;left:5327;top:1401;width:4191;height:266" type="#_x0000_t75" stroked="false">
              <v:imagedata r:id="rId162" o:title=""/>
            </v:shape>
            <v:shape style="position:absolute;left:5327;top:1667;width:2619;height:190" type="#_x0000_t75" stroked="false">
              <v:imagedata r:id="rId163" o:title=""/>
            </v:shape>
            <v:shape style="position:absolute;left:5309;top:1857;width:2637;height:152" type="#_x0000_t75" stroked="false">
              <v:imagedata r:id="rId164" o:title=""/>
            </v:shape>
            <v:shape style="position:absolute;left:5309;top:2009;width:668;height:304" type="#_x0000_t75" stroked="false">
              <v:imagedata r:id="rId165" o:title=""/>
            </v:shape>
            <v:shape style="position:absolute;left:4533;top:1667;width:650;height:1235" type="#_x0000_t75" stroked="false">
              <v:imagedata r:id="rId166" o:title=""/>
            </v:shape>
            <v:shape style="position:absolute;left:4135;top:2123;width:271;height:912" type="#_x0000_t75" stroked="false">
              <v:imagedata r:id="rId167" o:title=""/>
            </v:shape>
            <v:shape style="position:absolute;left:2166;top:2275;width:1843;height:1367" type="#_x0000_t75" stroked="false">
              <v:imagedata r:id="rId168" o:title=""/>
            </v:shape>
            <v:shape style="position:absolute;left:2426;top:2779;width:1310;height:190" type="#_x0000_t202" filled="false" stroked="false">
              <v:textbox inset="0,0,0,0">
                <w:txbxContent>
                  <w:p>
                    <w:pPr>
                      <w:spacing w:line="190" w:lineRule="exact" w:before="0"/>
                      <w:ind w:left="0" w:right="-19" w:firstLine="0"/>
                      <w:jc w:val="left"/>
                      <w:rPr>
                        <w:sz w:val="19"/>
                      </w:rPr>
                    </w:pPr>
                    <w:r>
                      <w:rPr>
                        <w:w w:val="95"/>
                        <w:sz w:val="19"/>
                      </w:rPr>
                      <w:t>Otros Inmigrantes</w:t>
                    </w:r>
                  </w:p>
                </w:txbxContent>
              </v:textbox>
              <w10:wrap type="none"/>
            </v:shape>
            <v:shape style="position:absolute;left:3239;top:3426;width:1295;height:418" type="#_x0000_t202" filled="false" stroked="false">
              <v:textbox inset="0,0,0,0">
                <w:txbxContent>
                  <w:p>
                    <w:pPr>
                      <w:spacing w:line="194" w:lineRule="exact" w:before="0"/>
                      <w:ind w:left="0" w:right="1" w:firstLine="0"/>
                      <w:jc w:val="center"/>
                      <w:rPr>
                        <w:sz w:val="19"/>
                      </w:rPr>
                    </w:pPr>
                    <w:r>
                      <w:rPr>
                        <w:sz w:val="19"/>
                      </w:rPr>
                      <w:t>Inmigrantes</w:t>
                    </w:r>
                  </w:p>
                  <w:p>
                    <w:pPr>
                      <w:spacing w:line="214" w:lineRule="exact" w:before="9"/>
                      <w:ind w:left="0" w:right="0" w:firstLine="0"/>
                      <w:jc w:val="center"/>
                      <w:rPr>
                        <w:sz w:val="19"/>
                      </w:rPr>
                    </w:pPr>
                    <w:r>
                      <w:rPr>
                        <w:w w:val="95"/>
                        <w:sz w:val="19"/>
                      </w:rPr>
                      <w:t>Latinoamericanos</w:t>
                    </w:r>
                  </w:p>
                </w:txbxContent>
              </v:textbox>
              <w10:wrap type="none"/>
            </v:shape>
            <w10:wrap type="none"/>
          </v:group>
        </w:pict>
      </w:r>
      <w:r>
        <w:rPr>
          <w:sz w:val="19"/>
        </w:rPr>
        <w:t>25</w:t>
      </w:r>
    </w:p>
    <w:p>
      <w:pPr>
        <w:pStyle w:val="BodyText"/>
        <w:spacing w:before="10"/>
        <w:rPr>
          <w:sz w:val="26"/>
        </w:rPr>
      </w:pPr>
    </w:p>
    <w:p>
      <w:pPr>
        <w:spacing w:before="76"/>
        <w:ind w:left="109" w:right="52" w:firstLine="0"/>
        <w:jc w:val="left"/>
        <w:rPr>
          <w:sz w:val="19"/>
        </w:rPr>
      </w:pPr>
      <w:r>
        <w:rPr>
          <w:sz w:val="19"/>
        </w:rPr>
        <w:t>23</w:t>
      </w:r>
    </w:p>
    <w:p>
      <w:pPr>
        <w:pStyle w:val="BodyText"/>
        <w:spacing w:before="10"/>
        <w:rPr>
          <w:sz w:val="26"/>
        </w:rPr>
      </w:pPr>
    </w:p>
    <w:p>
      <w:pPr>
        <w:spacing w:before="76"/>
        <w:ind w:left="109" w:right="52" w:firstLine="0"/>
        <w:jc w:val="left"/>
        <w:rPr>
          <w:sz w:val="19"/>
        </w:rPr>
      </w:pPr>
      <w:r>
        <w:rPr>
          <w:sz w:val="19"/>
        </w:rPr>
        <w:t>20</w:t>
      </w:r>
    </w:p>
    <w:p>
      <w:pPr>
        <w:pStyle w:val="BodyText"/>
        <w:spacing w:before="10"/>
        <w:rPr>
          <w:sz w:val="26"/>
        </w:rPr>
      </w:pPr>
    </w:p>
    <w:p>
      <w:pPr>
        <w:spacing w:before="76"/>
        <w:ind w:left="109" w:right="52" w:firstLine="0"/>
        <w:jc w:val="left"/>
        <w:rPr>
          <w:sz w:val="19"/>
        </w:rPr>
      </w:pPr>
      <w:r>
        <w:rPr>
          <w:sz w:val="19"/>
        </w:rPr>
        <w:t>18</w:t>
      </w:r>
    </w:p>
    <w:p>
      <w:pPr>
        <w:pStyle w:val="BodyText"/>
        <w:spacing w:before="10"/>
        <w:rPr>
          <w:sz w:val="26"/>
        </w:rPr>
      </w:pPr>
    </w:p>
    <w:p>
      <w:pPr>
        <w:spacing w:before="76"/>
        <w:ind w:left="109" w:right="52" w:firstLine="0"/>
        <w:jc w:val="left"/>
        <w:rPr>
          <w:sz w:val="19"/>
        </w:rPr>
      </w:pPr>
      <w:r>
        <w:rPr>
          <w:sz w:val="19"/>
        </w:rPr>
        <w:t>15</w:t>
      </w:r>
    </w:p>
    <w:p>
      <w:pPr>
        <w:pStyle w:val="BodyText"/>
        <w:spacing w:before="10"/>
        <w:rPr>
          <w:sz w:val="26"/>
        </w:rPr>
      </w:pPr>
    </w:p>
    <w:p>
      <w:pPr>
        <w:spacing w:before="76"/>
        <w:ind w:left="109" w:right="52" w:firstLine="0"/>
        <w:jc w:val="left"/>
        <w:rPr>
          <w:sz w:val="19"/>
        </w:rPr>
      </w:pPr>
      <w:r>
        <w:rPr>
          <w:sz w:val="19"/>
        </w:rPr>
        <w:t>13</w:t>
      </w:r>
    </w:p>
    <w:p>
      <w:pPr>
        <w:pStyle w:val="BodyText"/>
        <w:spacing w:before="10"/>
        <w:rPr>
          <w:sz w:val="26"/>
        </w:rPr>
      </w:pPr>
    </w:p>
    <w:p>
      <w:pPr>
        <w:spacing w:before="76"/>
        <w:ind w:left="109" w:right="52" w:firstLine="0"/>
        <w:jc w:val="left"/>
        <w:rPr>
          <w:sz w:val="19"/>
        </w:rPr>
      </w:pPr>
      <w:r>
        <w:rPr>
          <w:sz w:val="19"/>
        </w:rPr>
        <w:t>10</w:t>
      </w:r>
    </w:p>
    <w:p>
      <w:pPr>
        <w:pStyle w:val="BodyText"/>
        <w:spacing w:before="10"/>
        <w:rPr>
          <w:sz w:val="26"/>
        </w:rPr>
      </w:pPr>
    </w:p>
    <w:p>
      <w:pPr>
        <w:spacing w:line="217" w:lineRule="exact" w:before="76"/>
        <w:ind w:left="200" w:right="0" w:firstLine="0"/>
        <w:jc w:val="left"/>
        <w:rPr>
          <w:sz w:val="19"/>
        </w:rPr>
      </w:pPr>
      <w:r>
        <w:rPr>
          <w:w w:val="95"/>
          <w:sz w:val="19"/>
        </w:rPr>
        <w:t>8</w:t>
      </w:r>
    </w:p>
    <w:p>
      <w:pPr>
        <w:spacing w:line="194" w:lineRule="exact" w:before="0"/>
        <w:ind w:left="478" w:right="52" w:firstLine="0"/>
        <w:jc w:val="left"/>
        <w:rPr>
          <w:sz w:val="17"/>
        </w:rPr>
      </w:pPr>
      <w:r>
        <w:rPr>
          <w:sz w:val="17"/>
        </w:rPr>
        <w:t>1995 1996 1997 1998 1999 2000 2001 2002 2003 2004 2005 2006 2007 2008 2009 2010 2011 2012 2013</w:t>
      </w:r>
    </w:p>
    <w:p>
      <w:pPr>
        <w:spacing w:before="38"/>
        <w:ind w:left="397" w:right="52" w:firstLine="0"/>
        <w:jc w:val="left"/>
        <w:rPr>
          <w:sz w:val="15"/>
        </w:rPr>
      </w:pPr>
      <w:r>
        <w:rPr>
          <w:sz w:val="15"/>
        </w:rPr>
        <w:t>Fuente: Current Population Survey, March Supplement (CPS).</w:t>
      </w:r>
    </w:p>
    <w:p>
      <w:pPr>
        <w:spacing w:after="0"/>
        <w:jc w:val="left"/>
        <w:rPr>
          <w:sz w:val="15"/>
        </w:rPr>
        <w:sectPr>
          <w:footerReference w:type="default" r:id="rId159"/>
          <w:pgSz w:w="11740" w:h="7770" w:orient="landscape"/>
          <w:pgMar w:footer="0" w:header="0" w:top="680" w:bottom="280" w:left="1660" w:right="1660"/>
        </w:sectPr>
      </w:pPr>
    </w:p>
    <w:p>
      <w:pPr>
        <w:pStyle w:val="BodyText"/>
        <w:spacing w:line="249" w:lineRule="auto" w:before="60"/>
        <w:ind w:left="113" w:right="107" w:firstLine="283"/>
        <w:jc w:val="both"/>
      </w:pPr>
      <w:r>
        <w:rPr>
          <w:color w:val="231F20"/>
        </w:rPr>
        <w:t>Un segundo momento, a partir del 2010, que correspondería al</w:t>
      </w:r>
      <w:r>
        <w:rPr>
          <w:color w:val="231F20"/>
          <w:spacing w:val="-22"/>
        </w:rPr>
        <w:t> </w:t>
      </w:r>
      <w:r>
        <w:rPr>
          <w:color w:val="231F20"/>
        </w:rPr>
        <w:t>inicio de la recuperación económica. En esta etapa se reimpulsa la</w:t>
      </w:r>
      <w:r>
        <w:rPr>
          <w:color w:val="231F20"/>
          <w:spacing w:val="-26"/>
        </w:rPr>
        <w:t> </w:t>
      </w:r>
      <w:r>
        <w:rPr>
          <w:color w:val="231F20"/>
        </w:rPr>
        <w:t>inmigración permitiendo que el </w:t>
      </w:r>
      <w:r>
        <w:rPr>
          <w:i/>
          <w:color w:val="231F20"/>
        </w:rPr>
        <w:t>stock </w:t>
      </w:r>
      <w:r>
        <w:rPr>
          <w:color w:val="231F20"/>
        </w:rPr>
        <w:t>de inmigrantes pase de 38.9 millones en 2010  a 42.6 millones en 2013. Asimismo, este reimpulso de la inmigración favorece tanto a la procedente de los países latinoamericanos como del resto otras regiones del mundo.</w:t>
      </w:r>
    </w:p>
    <w:p>
      <w:pPr>
        <w:pStyle w:val="BodyText"/>
        <w:spacing w:line="249" w:lineRule="auto" w:before="1"/>
        <w:ind w:left="113" w:right="107" w:firstLine="283"/>
        <w:jc w:val="both"/>
      </w:pPr>
      <w:r>
        <w:rPr>
          <w:color w:val="231F20"/>
        </w:rPr>
        <w:t>Estos</w:t>
      </w:r>
      <w:r>
        <w:rPr>
          <w:color w:val="231F20"/>
          <w:spacing w:val="-8"/>
        </w:rPr>
        <w:t> </w:t>
      </w:r>
      <w:r>
        <w:rPr>
          <w:color w:val="231F20"/>
        </w:rPr>
        <w:t>datos</w:t>
      </w:r>
      <w:r>
        <w:rPr>
          <w:color w:val="231F20"/>
          <w:spacing w:val="-8"/>
        </w:rPr>
        <w:t> </w:t>
      </w:r>
      <w:r>
        <w:rPr>
          <w:color w:val="231F20"/>
        </w:rPr>
        <w:t>ilustran</w:t>
      </w:r>
      <w:r>
        <w:rPr>
          <w:color w:val="231F20"/>
          <w:spacing w:val="-8"/>
        </w:rPr>
        <w:t> </w:t>
      </w:r>
      <w:r>
        <w:rPr>
          <w:color w:val="231F20"/>
        </w:rPr>
        <w:t>una</w:t>
      </w:r>
      <w:r>
        <w:rPr>
          <w:color w:val="231F20"/>
          <w:spacing w:val="-8"/>
        </w:rPr>
        <w:t> </w:t>
      </w:r>
      <w:r>
        <w:rPr>
          <w:color w:val="231F20"/>
        </w:rPr>
        <w:t>interesante</w:t>
      </w:r>
      <w:r>
        <w:rPr>
          <w:color w:val="231F20"/>
          <w:spacing w:val="-9"/>
        </w:rPr>
        <w:t> </w:t>
      </w:r>
      <w:r>
        <w:rPr>
          <w:color w:val="231F20"/>
        </w:rPr>
        <w:t>paradoja.</w:t>
      </w:r>
      <w:r>
        <w:rPr>
          <w:color w:val="231F20"/>
          <w:spacing w:val="-8"/>
        </w:rPr>
        <w:t> </w:t>
      </w:r>
      <w:r>
        <w:rPr>
          <w:color w:val="231F20"/>
        </w:rPr>
        <w:t>Por</w:t>
      </w:r>
      <w:r>
        <w:rPr>
          <w:color w:val="231F20"/>
          <w:spacing w:val="-8"/>
        </w:rPr>
        <w:t> </w:t>
      </w:r>
      <w:r>
        <w:rPr>
          <w:color w:val="231F20"/>
        </w:rPr>
        <w:t>un</w:t>
      </w:r>
      <w:r>
        <w:rPr>
          <w:color w:val="231F20"/>
          <w:spacing w:val="-8"/>
        </w:rPr>
        <w:t> </w:t>
      </w:r>
      <w:r>
        <w:rPr>
          <w:color w:val="231F20"/>
        </w:rPr>
        <w:t>lado,</w:t>
      </w:r>
      <w:r>
        <w:rPr>
          <w:color w:val="231F20"/>
          <w:spacing w:val="-8"/>
        </w:rPr>
        <w:t> </w:t>
      </w:r>
      <w:r>
        <w:rPr>
          <w:color w:val="231F20"/>
        </w:rPr>
        <w:t>es</w:t>
      </w:r>
      <w:r>
        <w:rPr>
          <w:color w:val="231F20"/>
          <w:spacing w:val="-8"/>
        </w:rPr>
        <w:t> </w:t>
      </w:r>
      <w:r>
        <w:rPr>
          <w:color w:val="231F20"/>
        </w:rPr>
        <w:t>evidente que el principal efecto de la crisis es la generalizada y sistemática pér- dida de empleos. Sin embargo, esta pérdida de empleos no parece haber generado un cambio significativo en la dinámica migratoria, y mucho menos ha constituido la base para impulsar un masivo retorno de inmi- grantes a sus países de origen. </w:t>
      </w:r>
      <w:r>
        <w:rPr>
          <w:color w:val="231F20"/>
          <w:spacing w:val="-5"/>
        </w:rPr>
        <w:t>Tal </w:t>
      </w:r>
      <w:r>
        <w:rPr>
          <w:color w:val="231F20"/>
        </w:rPr>
        <w:t>pareciera que la inmigración tuviera un comportamiento bastante inelástico frente a la crisis económica y la pérdida de empleos.</w:t>
      </w:r>
    </w:p>
    <w:p>
      <w:pPr>
        <w:pStyle w:val="BodyText"/>
        <w:spacing w:line="249" w:lineRule="auto" w:before="1"/>
        <w:ind w:left="113" w:right="108" w:firstLine="283"/>
        <w:jc w:val="both"/>
      </w:pPr>
      <w:r>
        <w:rPr>
          <w:color w:val="231F20"/>
        </w:rPr>
        <w:t>En realidad, la situación es bastante más compleja. Nuestra tesis es que en el caso de los inmigrantes latinoamericanos, el impacto de la cri- sis no se refleja tanto en las dimensiones cuantitativas de la inmigración y el empleo, como en sus dimensiones cualitativas, esto es, en la preca- rización de sus condiciones laborales, lo que incide directamente en una mayor vulnerabilidad social y en el empeoramiento de sus condiciones de vida y reproducción social.</w:t>
      </w:r>
    </w:p>
    <w:p>
      <w:pPr>
        <w:pStyle w:val="BodyText"/>
        <w:spacing w:line="249" w:lineRule="auto" w:before="1"/>
        <w:ind w:left="113" w:right="107" w:firstLine="283"/>
        <w:jc w:val="both"/>
      </w:pPr>
      <w:r>
        <w:rPr>
          <w:color w:val="231F20"/>
        </w:rPr>
        <w:t>Para ilustrar los alcances de esta tesis, analizaremos la información sobre la dinámica del empleo e inserción laboral de los inmigrantes en el actual contexto de crisis económica, considerando tanto su dimensión cuantitativa, esto es, los volúmenes de la ocupación y el desempleo, como su dimensión cualitativa, esto es, de las condiciones laborales y</w:t>
      </w:r>
      <w:r>
        <w:rPr>
          <w:color w:val="231F20"/>
          <w:spacing w:val="-31"/>
        </w:rPr>
        <w:t> </w:t>
      </w:r>
      <w:r>
        <w:rPr>
          <w:color w:val="231F20"/>
        </w:rPr>
        <w:t>de vida de los trabajadores migrantes en Estados</w:t>
      </w:r>
      <w:r>
        <w:rPr>
          <w:color w:val="231F20"/>
          <w:spacing w:val="-12"/>
        </w:rPr>
        <w:t> </w:t>
      </w:r>
      <w:r>
        <w:rPr>
          <w:color w:val="231F20"/>
        </w:rPr>
        <w:t>Unidos.</w:t>
      </w:r>
    </w:p>
    <w:p>
      <w:pPr>
        <w:pStyle w:val="Heading4"/>
      </w:pPr>
      <w:r>
        <w:rPr>
          <w:w w:val="75"/>
        </w:rPr>
        <w:t>Empleo, desempleo y migración en tiempos de crisis</w:t>
      </w:r>
    </w:p>
    <w:p>
      <w:pPr>
        <w:pStyle w:val="BodyText"/>
        <w:spacing w:line="249" w:lineRule="auto" w:before="171"/>
        <w:ind w:left="113" w:right="108"/>
        <w:jc w:val="both"/>
      </w:pPr>
      <w:r>
        <w:rPr>
          <w:color w:val="231F20"/>
        </w:rPr>
        <w:t>Como hemos visto, el principal impacto de la crisis económica es la significativa pérdida de empleos y puestos de trabajo en la economía   de Estados Unidos. Sin embargo, aunque esta caída del empleo afecta a todos los grupos sociales que componen la fuerza de trabajo, no parece afectarlos a todos ni en la misma forma ni en la misma</w:t>
      </w:r>
      <w:r>
        <w:rPr>
          <w:color w:val="231F20"/>
          <w:spacing w:val="-6"/>
        </w:rPr>
        <w:t> </w:t>
      </w:r>
      <w:r>
        <w:rPr>
          <w:color w:val="231F20"/>
        </w:rPr>
        <w:t>medida.</w:t>
      </w:r>
    </w:p>
    <w:p>
      <w:pPr>
        <w:pStyle w:val="BodyText"/>
        <w:spacing w:line="249" w:lineRule="auto" w:before="1"/>
        <w:ind w:left="113" w:right="108" w:firstLine="283"/>
        <w:jc w:val="both"/>
      </w:pPr>
      <w:r>
        <w:rPr>
          <w:color w:val="231F20"/>
        </w:rPr>
        <w:t>Como consecuencia de la crisis económica, a marzo de 2010 se ha- bían perdido más de cinco por ciento de los puestos de trabajo que</w:t>
      </w:r>
      <w:r>
        <w:rPr>
          <w:color w:val="231F20"/>
          <w:spacing w:val="-28"/>
        </w:rPr>
        <w:t> </w:t>
      </w:r>
      <w:r>
        <w:rPr>
          <w:color w:val="231F20"/>
        </w:rPr>
        <w:t>gene- raba la economía de Estados Unidos en marzo de 2008. Lo relevante de ello,</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cuando</w:t>
      </w:r>
      <w:r>
        <w:rPr>
          <w:color w:val="231F20"/>
          <w:spacing w:val="-6"/>
        </w:rPr>
        <w:t> </w:t>
      </w:r>
      <w:r>
        <w:rPr>
          <w:color w:val="231F20"/>
        </w:rPr>
        <w:t>se</w:t>
      </w:r>
      <w:r>
        <w:rPr>
          <w:color w:val="231F20"/>
          <w:spacing w:val="-6"/>
        </w:rPr>
        <w:t> </w:t>
      </w:r>
      <w:r>
        <w:rPr>
          <w:color w:val="231F20"/>
        </w:rPr>
        <w:t>analiza</w:t>
      </w:r>
      <w:r>
        <w:rPr>
          <w:color w:val="231F20"/>
          <w:spacing w:val="-6"/>
        </w:rPr>
        <w:t> </w:t>
      </w:r>
      <w:r>
        <w:rPr>
          <w:color w:val="231F20"/>
        </w:rPr>
        <w:t>la</w:t>
      </w:r>
      <w:r>
        <w:rPr>
          <w:color w:val="231F20"/>
          <w:spacing w:val="-6"/>
        </w:rPr>
        <w:t> </w:t>
      </w:r>
      <w:r>
        <w:rPr>
          <w:color w:val="231F20"/>
        </w:rPr>
        <w:t>composición</w:t>
      </w:r>
      <w:r>
        <w:rPr>
          <w:color w:val="231F20"/>
          <w:spacing w:val="-7"/>
        </w:rPr>
        <w:t> </w:t>
      </w:r>
      <w:r>
        <w:rPr>
          <w:color w:val="231F20"/>
        </w:rPr>
        <w:t>de</w:t>
      </w:r>
      <w:r>
        <w:rPr>
          <w:color w:val="231F20"/>
          <w:spacing w:val="-6"/>
        </w:rPr>
        <w:t> </w:t>
      </w:r>
      <w:r>
        <w:rPr>
          <w:color w:val="231F20"/>
        </w:rPr>
        <w:t>esta</w:t>
      </w:r>
      <w:r>
        <w:rPr>
          <w:color w:val="231F20"/>
          <w:spacing w:val="-6"/>
        </w:rPr>
        <w:t> </w:t>
      </w:r>
      <w:r>
        <w:rPr>
          <w:color w:val="231F20"/>
        </w:rPr>
        <w:t>pérdida</w:t>
      </w:r>
      <w:r>
        <w:rPr>
          <w:color w:val="231F20"/>
          <w:spacing w:val="-6"/>
        </w:rPr>
        <w:t> </w:t>
      </w:r>
      <w:r>
        <w:rPr>
          <w:color w:val="231F20"/>
        </w:rPr>
        <w:t>de</w:t>
      </w:r>
      <w:r>
        <w:rPr>
          <w:color w:val="231F20"/>
          <w:spacing w:val="-6"/>
        </w:rPr>
        <w:t> </w:t>
      </w:r>
      <w:r>
        <w:rPr>
          <w:color w:val="231F20"/>
        </w:rPr>
        <w:t>empleos según el origen étnico-migratorio de la fuerza de trabajo, se observa que ella no afecta a todos los grupos por</w:t>
      </w:r>
      <w:r>
        <w:rPr>
          <w:color w:val="231F20"/>
          <w:spacing w:val="-5"/>
        </w:rPr>
        <w:t> </w:t>
      </w:r>
      <w:r>
        <w:rPr>
          <w:color w:val="231F20"/>
        </w:rPr>
        <w:t>igual.</w:t>
      </w:r>
    </w:p>
    <w:p>
      <w:pPr>
        <w:spacing w:after="0" w:line="249" w:lineRule="auto"/>
        <w:jc w:val="both"/>
        <w:sectPr>
          <w:footerReference w:type="default" r:id="rId169"/>
          <w:pgSz w:w="7770" w:h="11740"/>
          <w:pgMar w:footer="474" w:header="0" w:top="840" w:bottom="660" w:left="1020" w:right="740"/>
          <w:pgNumType w:start="133"/>
        </w:sectPr>
      </w:pPr>
    </w:p>
    <w:p>
      <w:pPr>
        <w:pStyle w:val="BodyText"/>
        <w:spacing w:line="249" w:lineRule="auto" w:before="60"/>
        <w:ind w:left="110" w:right="111" w:firstLine="283"/>
        <w:jc w:val="both"/>
      </w:pPr>
      <w:r>
        <w:rPr>
          <w:color w:val="231F20"/>
        </w:rPr>
        <w:t>Aunque no hay duda que los inmigrantes latinoamericanos son un grupo</w:t>
      </w:r>
      <w:r>
        <w:rPr>
          <w:color w:val="231F20"/>
          <w:spacing w:val="-6"/>
        </w:rPr>
        <w:t> </w:t>
      </w:r>
      <w:r>
        <w:rPr>
          <w:color w:val="231F20"/>
        </w:rPr>
        <w:t>social</w:t>
      </w:r>
      <w:r>
        <w:rPr>
          <w:color w:val="231F20"/>
          <w:spacing w:val="-6"/>
        </w:rPr>
        <w:t> </w:t>
      </w:r>
      <w:r>
        <w:rPr>
          <w:color w:val="231F20"/>
        </w:rPr>
        <w:t>altamente</w:t>
      </w:r>
      <w:r>
        <w:rPr>
          <w:color w:val="231F20"/>
          <w:spacing w:val="-6"/>
        </w:rPr>
        <w:t> </w:t>
      </w:r>
      <w:r>
        <w:rPr>
          <w:color w:val="231F20"/>
        </w:rPr>
        <w:t>vulnerable</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rPr>
        <w:t>relativamente</w:t>
      </w:r>
      <w:r>
        <w:rPr>
          <w:color w:val="231F20"/>
          <w:spacing w:val="-6"/>
        </w:rPr>
        <w:t> </w:t>
      </w:r>
      <w:r>
        <w:rPr>
          <w:color w:val="231F20"/>
        </w:rPr>
        <w:t>menores</w:t>
      </w:r>
      <w:r>
        <w:rPr>
          <w:color w:val="231F20"/>
          <w:spacing w:val="-7"/>
        </w:rPr>
        <w:t> </w:t>
      </w:r>
      <w:r>
        <w:rPr>
          <w:color w:val="231F20"/>
        </w:rPr>
        <w:t>opciones de negociación política y presión social, no son sin embargo, el compo- nente de la fuerza de trabajo más afectado por la pérdida de empleos.</w:t>
      </w:r>
      <w:r>
        <w:rPr>
          <w:color w:val="231F20"/>
          <w:spacing w:val="-26"/>
        </w:rPr>
        <w:t> </w:t>
      </w:r>
      <w:r>
        <w:rPr>
          <w:color w:val="231F20"/>
        </w:rPr>
        <w:t>En efecto, entre 2008 y 2010, el volumen de inmigrantes latinos ocupados apenas</w:t>
      </w:r>
      <w:r>
        <w:rPr>
          <w:color w:val="231F20"/>
          <w:spacing w:val="-5"/>
        </w:rPr>
        <w:t> </w:t>
      </w:r>
      <w:r>
        <w:rPr>
          <w:color w:val="231F20"/>
        </w:rPr>
        <w:t>se</w:t>
      </w:r>
      <w:r>
        <w:rPr>
          <w:color w:val="231F20"/>
          <w:spacing w:val="-5"/>
        </w:rPr>
        <w:t> </w:t>
      </w:r>
      <w:r>
        <w:rPr>
          <w:color w:val="231F20"/>
        </w:rPr>
        <w:t>redujo</w:t>
      </w:r>
      <w:r>
        <w:rPr>
          <w:color w:val="231F20"/>
          <w:spacing w:val="-5"/>
        </w:rPr>
        <w:t> </w:t>
      </w:r>
      <w:r>
        <w:rPr>
          <w:color w:val="231F20"/>
        </w:rPr>
        <w:t>en</w:t>
      </w:r>
      <w:r>
        <w:rPr>
          <w:color w:val="231F20"/>
          <w:spacing w:val="-5"/>
        </w:rPr>
        <w:t> </w:t>
      </w:r>
      <w:r>
        <w:rPr>
          <w:color w:val="231F20"/>
        </w:rPr>
        <w:t>dos</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cifra</w:t>
      </w:r>
      <w:r>
        <w:rPr>
          <w:color w:val="231F20"/>
          <w:spacing w:val="-5"/>
        </w:rPr>
        <w:t> </w:t>
      </w:r>
      <w:r>
        <w:rPr>
          <w:color w:val="231F20"/>
        </w:rPr>
        <w:t>muy</w:t>
      </w:r>
      <w:r>
        <w:rPr>
          <w:color w:val="231F20"/>
          <w:spacing w:val="-5"/>
        </w:rPr>
        <w:t> </w:t>
      </w:r>
      <w:r>
        <w:rPr>
          <w:color w:val="231F20"/>
        </w:rPr>
        <w:t>inferior</w:t>
      </w:r>
      <w:r>
        <w:rPr>
          <w:color w:val="231F20"/>
          <w:spacing w:val="-5"/>
        </w:rPr>
        <w:t> </w:t>
      </w:r>
      <w:r>
        <w:rPr>
          <w:color w:val="231F20"/>
        </w:rPr>
        <w:t>al</w:t>
      </w:r>
      <w:r>
        <w:rPr>
          <w:color w:val="231F20"/>
          <w:spacing w:val="-5"/>
        </w:rPr>
        <w:t> </w:t>
      </w:r>
      <w:r>
        <w:rPr>
          <w:color w:val="231F20"/>
        </w:rPr>
        <w:t>promedio</w:t>
      </w:r>
      <w:r>
        <w:rPr>
          <w:color w:val="231F20"/>
          <w:spacing w:val="-5"/>
        </w:rPr>
        <w:t> </w:t>
      </w:r>
      <w:r>
        <w:rPr>
          <w:color w:val="231F20"/>
        </w:rPr>
        <w:t>nacio- nal y a la que prevaleció en otros grupos sociales (Gráfica</w:t>
      </w:r>
      <w:r>
        <w:rPr>
          <w:color w:val="231F20"/>
          <w:spacing w:val="-11"/>
        </w:rPr>
        <w:t> </w:t>
      </w:r>
      <w:r>
        <w:rPr>
          <w:color w:val="231F20"/>
        </w:rPr>
        <w:t>3).</w:t>
      </w:r>
    </w:p>
    <w:p>
      <w:pPr>
        <w:pStyle w:val="BodyText"/>
        <w:spacing w:line="249" w:lineRule="auto" w:before="1"/>
        <w:ind w:left="110" w:right="111" w:firstLine="283"/>
        <w:jc w:val="both"/>
      </w:pPr>
      <w:r>
        <w:rPr>
          <w:color w:val="231F20"/>
        </w:rPr>
        <w:t>Por el contrario, la población afroamericana es sin duda la más afec- tada, pues este componente de la fuerza de trabajo habría perdido 7.6 por ciento de sus puestos de trabajo. Por su parte, tanto los trabajadores blancos no latinos, como los inmigrantes provenientes de otras regiones del</w:t>
      </w:r>
      <w:r>
        <w:rPr>
          <w:color w:val="231F20"/>
          <w:spacing w:val="-6"/>
        </w:rPr>
        <w:t> </w:t>
      </w:r>
      <w:r>
        <w:rPr>
          <w:color w:val="231F20"/>
        </w:rPr>
        <w:t>mundo,</w:t>
      </w:r>
      <w:r>
        <w:rPr>
          <w:color w:val="231F20"/>
          <w:spacing w:val="-7"/>
        </w:rPr>
        <w:t> </w:t>
      </w:r>
      <w:r>
        <w:rPr>
          <w:color w:val="231F20"/>
        </w:rPr>
        <w:t>habrían</w:t>
      </w:r>
      <w:r>
        <w:rPr>
          <w:color w:val="231F20"/>
          <w:spacing w:val="-6"/>
        </w:rPr>
        <w:t> </w:t>
      </w:r>
      <w:r>
        <w:rPr>
          <w:color w:val="231F20"/>
        </w:rPr>
        <w:t>perdido</w:t>
      </w:r>
      <w:r>
        <w:rPr>
          <w:color w:val="231F20"/>
          <w:spacing w:val="-7"/>
        </w:rPr>
        <w:t> </w:t>
      </w:r>
      <w:r>
        <w:rPr>
          <w:color w:val="231F20"/>
        </w:rPr>
        <w:t>cinco</w:t>
      </w:r>
      <w:r>
        <w:rPr>
          <w:color w:val="231F20"/>
          <w:spacing w:val="-7"/>
        </w:rPr>
        <w:t> </w:t>
      </w:r>
      <w:r>
        <w:rPr>
          <w:color w:val="231F20"/>
        </w:rPr>
        <w:t>por</w:t>
      </w:r>
      <w:r>
        <w:rPr>
          <w:color w:val="231F20"/>
          <w:spacing w:val="-6"/>
        </w:rPr>
        <w:t> </w:t>
      </w:r>
      <w:r>
        <w:rPr>
          <w:color w:val="231F20"/>
        </w:rPr>
        <w:t>ciento</w:t>
      </w:r>
      <w:r>
        <w:rPr>
          <w:color w:val="231F20"/>
          <w:spacing w:val="-7"/>
        </w:rPr>
        <w:t> </w:t>
      </w:r>
      <w:r>
        <w:rPr>
          <w:color w:val="231F20"/>
        </w:rPr>
        <w:t>de</w:t>
      </w:r>
      <w:r>
        <w:rPr>
          <w:color w:val="231F20"/>
          <w:spacing w:val="-6"/>
        </w:rPr>
        <w:t> </w:t>
      </w:r>
      <w:r>
        <w:rPr>
          <w:color w:val="231F20"/>
        </w:rPr>
        <w:t>sus</w:t>
      </w:r>
      <w:r>
        <w:rPr>
          <w:color w:val="231F20"/>
          <w:spacing w:val="-6"/>
        </w:rPr>
        <w:t> </w:t>
      </w:r>
      <w:r>
        <w:rPr>
          <w:color w:val="231F20"/>
        </w:rPr>
        <w:t>puestos</w:t>
      </w:r>
      <w:r>
        <w:rPr>
          <w:color w:val="231F20"/>
          <w:spacing w:val="-6"/>
        </w:rPr>
        <w:t> </w:t>
      </w:r>
      <w:r>
        <w:rPr>
          <w:color w:val="231F20"/>
        </w:rPr>
        <w:t>de</w:t>
      </w:r>
      <w:r>
        <w:rPr>
          <w:color w:val="231F20"/>
          <w:spacing w:val="-6"/>
        </w:rPr>
        <w:t> </w:t>
      </w:r>
      <w:r>
        <w:rPr>
          <w:color w:val="231F20"/>
        </w:rPr>
        <w:t>trabajo,</w:t>
      </w:r>
      <w:r>
        <w:rPr>
          <w:color w:val="231F20"/>
          <w:spacing w:val="-7"/>
        </w:rPr>
        <w:t> </w:t>
      </w:r>
      <w:r>
        <w:rPr>
          <w:color w:val="231F20"/>
        </w:rPr>
        <w:t>lo que los ubica al mismo nivel que el promedio</w:t>
      </w:r>
      <w:r>
        <w:rPr>
          <w:color w:val="231F20"/>
          <w:spacing w:val="-2"/>
        </w:rPr>
        <w:t> </w:t>
      </w:r>
      <w:r>
        <w:rPr>
          <w:color w:val="231F20"/>
        </w:rPr>
        <w:t>nacional.</w:t>
      </w:r>
    </w:p>
    <w:p>
      <w:pPr>
        <w:pStyle w:val="BodyText"/>
        <w:spacing w:line="249" w:lineRule="auto" w:before="1"/>
        <w:ind w:left="110" w:right="111" w:firstLine="283"/>
        <w:jc w:val="both"/>
      </w:pPr>
      <w:r>
        <w:rPr>
          <w:color w:val="231F20"/>
        </w:rPr>
        <w:t>Algo similar encontramos al analizar la dinámica del empleo a partir de 2010, en términos de que la recuperación económica tampoco parece beneficiar</w:t>
      </w:r>
      <w:r>
        <w:rPr>
          <w:color w:val="231F20"/>
          <w:spacing w:val="-8"/>
        </w:rPr>
        <w:t> </w:t>
      </w:r>
      <w:r>
        <w:rPr>
          <w:color w:val="231F20"/>
        </w:rPr>
        <w:t>a</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grupos</w:t>
      </w:r>
      <w:r>
        <w:rPr>
          <w:color w:val="231F20"/>
          <w:spacing w:val="-8"/>
        </w:rPr>
        <w:t> </w:t>
      </w:r>
      <w:r>
        <w:rPr>
          <w:color w:val="231F20"/>
        </w:rPr>
        <w:t>étnicos</w:t>
      </w:r>
      <w:r>
        <w:rPr>
          <w:color w:val="231F20"/>
          <w:spacing w:val="-8"/>
        </w:rPr>
        <w:t> </w:t>
      </w:r>
      <w:r>
        <w:rPr>
          <w:color w:val="231F20"/>
        </w:rPr>
        <w:t>y</w:t>
      </w:r>
      <w:r>
        <w:rPr>
          <w:color w:val="231F20"/>
          <w:spacing w:val="-8"/>
        </w:rPr>
        <w:t> </w:t>
      </w:r>
      <w:r>
        <w:rPr>
          <w:color w:val="231F20"/>
        </w:rPr>
        <w:t>migratorios</w:t>
      </w:r>
      <w:r>
        <w:rPr>
          <w:color w:val="231F20"/>
          <w:spacing w:val="-8"/>
        </w:rPr>
        <w:t> </w:t>
      </w:r>
      <w:r>
        <w:rPr>
          <w:color w:val="231F20"/>
        </w:rPr>
        <w:t>por</w:t>
      </w:r>
      <w:r>
        <w:rPr>
          <w:color w:val="231F20"/>
          <w:spacing w:val="-8"/>
        </w:rPr>
        <w:t> </w:t>
      </w:r>
      <w:r>
        <w:rPr>
          <w:color w:val="231F20"/>
        </w:rPr>
        <w:t>igual.</w:t>
      </w:r>
      <w:r>
        <w:rPr>
          <w:color w:val="231F20"/>
          <w:spacing w:val="-8"/>
        </w:rPr>
        <w:t> </w:t>
      </w:r>
      <w:r>
        <w:rPr>
          <w:color w:val="231F20"/>
        </w:rPr>
        <w:t>Por</w:t>
      </w:r>
      <w:r>
        <w:rPr>
          <w:color w:val="231F20"/>
          <w:spacing w:val="-8"/>
        </w:rPr>
        <w:t> </w:t>
      </w:r>
      <w:r>
        <w:rPr>
          <w:color w:val="231F20"/>
        </w:rPr>
        <w:t>un</w:t>
      </w:r>
      <w:r>
        <w:rPr>
          <w:color w:val="231F20"/>
          <w:spacing w:val="-8"/>
        </w:rPr>
        <w:t> </w:t>
      </w:r>
      <w:r>
        <w:rPr>
          <w:color w:val="231F20"/>
        </w:rPr>
        <w:t>lado, la</w:t>
      </w:r>
      <w:r>
        <w:rPr>
          <w:color w:val="231F20"/>
          <w:spacing w:val="-11"/>
        </w:rPr>
        <w:t> </w:t>
      </w:r>
      <w:r>
        <w:rPr>
          <w:color w:val="231F20"/>
        </w:rPr>
        <w:t>población</w:t>
      </w:r>
      <w:r>
        <w:rPr>
          <w:color w:val="231F20"/>
          <w:spacing w:val="-11"/>
        </w:rPr>
        <w:t> </w:t>
      </w:r>
      <w:r>
        <w:rPr>
          <w:color w:val="231F20"/>
        </w:rPr>
        <w:t>nativa</w:t>
      </w:r>
      <w:r>
        <w:rPr>
          <w:color w:val="231F20"/>
          <w:spacing w:val="-11"/>
        </w:rPr>
        <w:t> </w:t>
      </w:r>
      <w:r>
        <w:rPr>
          <w:color w:val="231F20"/>
        </w:rPr>
        <w:t>de</w:t>
      </w:r>
      <w:r>
        <w:rPr>
          <w:color w:val="231F20"/>
          <w:spacing w:val="-11"/>
        </w:rPr>
        <w:t> </w:t>
      </w:r>
      <w:r>
        <w:rPr>
          <w:color w:val="231F20"/>
        </w:rPr>
        <w:t>origen</w:t>
      </w:r>
      <w:r>
        <w:rPr>
          <w:color w:val="231F20"/>
          <w:spacing w:val="-11"/>
        </w:rPr>
        <w:t> </w:t>
      </w:r>
      <w:r>
        <w:rPr>
          <w:color w:val="231F20"/>
        </w:rPr>
        <w:t>blanco</w:t>
      </w:r>
      <w:r>
        <w:rPr>
          <w:color w:val="231F20"/>
          <w:spacing w:val="-11"/>
        </w:rPr>
        <w:t> </w:t>
      </w:r>
      <w:r>
        <w:rPr>
          <w:color w:val="231F20"/>
        </w:rPr>
        <w:t>no</w:t>
      </w:r>
      <w:r>
        <w:rPr>
          <w:color w:val="231F20"/>
          <w:spacing w:val="-11"/>
        </w:rPr>
        <w:t> </w:t>
      </w:r>
      <w:r>
        <w:rPr>
          <w:color w:val="231F20"/>
        </w:rPr>
        <w:t>latino,</w:t>
      </w:r>
      <w:r>
        <w:rPr>
          <w:color w:val="231F20"/>
          <w:spacing w:val="-12"/>
        </w:rPr>
        <w:t> </w:t>
      </w:r>
      <w:r>
        <w:rPr>
          <w:color w:val="231F20"/>
        </w:rPr>
        <w:t>es</w:t>
      </w:r>
      <w:r>
        <w:rPr>
          <w:color w:val="231F20"/>
          <w:spacing w:val="-11"/>
        </w:rPr>
        <w:t> </w:t>
      </w:r>
      <w:r>
        <w:rPr>
          <w:color w:val="231F20"/>
        </w:rPr>
        <w:t>sin</w:t>
      </w:r>
      <w:r>
        <w:rPr>
          <w:color w:val="231F20"/>
          <w:spacing w:val="-11"/>
        </w:rPr>
        <w:t> </w:t>
      </w:r>
      <w:r>
        <w:rPr>
          <w:color w:val="231F20"/>
        </w:rPr>
        <w:t>duda</w:t>
      </w:r>
      <w:r>
        <w:rPr>
          <w:color w:val="231F20"/>
          <w:spacing w:val="-11"/>
        </w:rPr>
        <w:t> </w:t>
      </w:r>
      <w:r>
        <w:rPr>
          <w:color w:val="231F20"/>
        </w:rPr>
        <w:t>la</w:t>
      </w:r>
      <w:r>
        <w:rPr>
          <w:color w:val="231F20"/>
          <w:spacing w:val="-11"/>
        </w:rPr>
        <w:t> </w:t>
      </w:r>
      <w:r>
        <w:rPr>
          <w:color w:val="231F20"/>
        </w:rPr>
        <w:t>menos</w:t>
      </w:r>
      <w:r>
        <w:rPr>
          <w:color w:val="231F20"/>
          <w:spacing w:val="-12"/>
        </w:rPr>
        <w:t> </w:t>
      </w:r>
      <w:r>
        <w:rPr>
          <w:color w:val="231F20"/>
        </w:rPr>
        <w:t>bene- ficiada</w:t>
      </w:r>
      <w:r>
        <w:rPr>
          <w:color w:val="231F20"/>
          <w:spacing w:val="-9"/>
        </w:rPr>
        <w:t> </w:t>
      </w:r>
      <w:r>
        <w:rPr>
          <w:color w:val="231F20"/>
        </w:rPr>
        <w:t>con</w:t>
      </w:r>
      <w:r>
        <w:rPr>
          <w:color w:val="231F20"/>
          <w:spacing w:val="-9"/>
        </w:rPr>
        <w:t> </w:t>
      </w:r>
      <w:r>
        <w:rPr>
          <w:color w:val="231F20"/>
        </w:rPr>
        <w:t>esta</w:t>
      </w:r>
      <w:r>
        <w:rPr>
          <w:color w:val="231F20"/>
          <w:spacing w:val="-9"/>
        </w:rPr>
        <w:t> </w:t>
      </w:r>
      <w:r>
        <w:rPr>
          <w:color w:val="231F20"/>
        </w:rPr>
        <w:t>recuperación</w:t>
      </w:r>
      <w:r>
        <w:rPr>
          <w:color w:val="231F20"/>
          <w:spacing w:val="-9"/>
        </w:rPr>
        <w:t> </w:t>
      </w:r>
      <w:r>
        <w:rPr>
          <w:color w:val="231F20"/>
        </w:rPr>
        <w:t>económica.</w:t>
      </w:r>
      <w:r>
        <w:rPr>
          <w:color w:val="231F20"/>
          <w:spacing w:val="-9"/>
        </w:rPr>
        <w:t> </w:t>
      </w:r>
      <w:r>
        <w:rPr>
          <w:color w:val="231F20"/>
        </w:rPr>
        <w:t>Para</w:t>
      </w:r>
      <w:r>
        <w:rPr>
          <w:color w:val="231F20"/>
          <w:spacing w:val="-9"/>
        </w:rPr>
        <w:t> </w:t>
      </w:r>
      <w:r>
        <w:rPr>
          <w:color w:val="231F20"/>
        </w:rPr>
        <w:t>este</w:t>
      </w:r>
      <w:r>
        <w:rPr>
          <w:color w:val="231F20"/>
          <w:spacing w:val="-9"/>
        </w:rPr>
        <w:t> </w:t>
      </w:r>
      <w:r>
        <w:rPr>
          <w:color w:val="231F20"/>
        </w:rPr>
        <w:t>grupo</w:t>
      </w:r>
      <w:r>
        <w:rPr>
          <w:color w:val="231F20"/>
          <w:spacing w:val="-9"/>
        </w:rPr>
        <w:t> </w:t>
      </w:r>
      <w:r>
        <w:rPr>
          <w:color w:val="231F20"/>
        </w:rPr>
        <w:t>étnico</w:t>
      </w:r>
      <w:r>
        <w:rPr>
          <w:color w:val="231F20"/>
          <w:spacing w:val="-9"/>
        </w:rPr>
        <w:t> </w:t>
      </w:r>
      <w:r>
        <w:rPr>
          <w:color w:val="231F20"/>
        </w:rPr>
        <w:t>el</w:t>
      </w:r>
      <w:r>
        <w:rPr>
          <w:color w:val="231F20"/>
          <w:spacing w:val="-9"/>
        </w:rPr>
        <w:t> </w:t>
      </w:r>
      <w:r>
        <w:rPr>
          <w:color w:val="231F20"/>
        </w:rPr>
        <w:t>mayor logro es apenas haber frenado la pérdida de puestos de trabajo pero sin generar nuevos empleos.</w:t>
      </w:r>
    </w:p>
    <w:p>
      <w:pPr>
        <w:pStyle w:val="BodyText"/>
        <w:spacing w:line="249" w:lineRule="auto" w:before="1"/>
        <w:ind w:left="110" w:right="111" w:firstLine="283"/>
        <w:jc w:val="both"/>
      </w:pPr>
      <w:r>
        <w:rPr>
          <w:color w:val="231F20"/>
        </w:rPr>
        <w:t>Por su parte, tanto en el caso de la población nativa afroamerica-   na, como de los inmigrantes de países latinoamericanos, la recuperación económica habría permitido en ambos casos, un incremento de seis por ciento en el volumen de su fuerza de trabajo ocupada, cifra que</w:t>
      </w:r>
      <w:r>
        <w:rPr>
          <w:color w:val="231F20"/>
          <w:spacing w:val="-26"/>
        </w:rPr>
        <w:t> </w:t>
      </w:r>
      <w:r>
        <w:rPr>
          <w:color w:val="231F20"/>
        </w:rPr>
        <w:t>práctica- mente duplica el promedio</w:t>
      </w:r>
      <w:r>
        <w:rPr>
          <w:color w:val="231F20"/>
          <w:spacing w:val="-1"/>
        </w:rPr>
        <w:t> </w:t>
      </w:r>
      <w:r>
        <w:rPr>
          <w:color w:val="231F20"/>
        </w:rPr>
        <w:t>nacional.</w:t>
      </w:r>
    </w:p>
    <w:p>
      <w:pPr>
        <w:pStyle w:val="BodyText"/>
        <w:spacing w:line="249" w:lineRule="auto" w:before="1"/>
        <w:ind w:left="110" w:right="111" w:firstLine="283"/>
        <w:jc w:val="both"/>
      </w:pPr>
      <w:r>
        <w:rPr>
          <w:color w:val="231F20"/>
        </w:rPr>
        <w:t>Por</w:t>
      </w:r>
      <w:r>
        <w:rPr>
          <w:color w:val="231F20"/>
          <w:spacing w:val="-4"/>
        </w:rPr>
        <w:t> </w:t>
      </w:r>
      <w:r>
        <w:rPr>
          <w:color w:val="231F20"/>
        </w:rPr>
        <w:t>último,</w:t>
      </w:r>
      <w:r>
        <w:rPr>
          <w:color w:val="231F20"/>
          <w:spacing w:val="-5"/>
        </w:rPr>
        <w:t> </w:t>
      </w:r>
      <w:r>
        <w:rPr>
          <w:color w:val="231F20"/>
        </w:rPr>
        <w:t>en</w:t>
      </w:r>
      <w:r>
        <w:rPr>
          <w:color w:val="231F20"/>
          <w:spacing w:val="-5"/>
        </w:rPr>
        <w:t> </w:t>
      </w:r>
      <w:r>
        <w:rPr>
          <w:color w:val="231F20"/>
        </w:rPr>
        <w:t>el</w:t>
      </w:r>
      <w:r>
        <w:rPr>
          <w:color w:val="231F20"/>
          <w:spacing w:val="-4"/>
        </w:rPr>
        <w:t> </w:t>
      </w:r>
      <w:r>
        <w:rPr>
          <w:color w:val="231F20"/>
        </w:rPr>
        <w:t>caso</w:t>
      </w:r>
      <w:r>
        <w:rPr>
          <w:color w:val="231F20"/>
          <w:spacing w:val="-5"/>
        </w:rPr>
        <w:t> </w:t>
      </w:r>
      <w:r>
        <w:rPr>
          <w:color w:val="231F20"/>
        </w:rPr>
        <w:t>de</w:t>
      </w:r>
      <w:r>
        <w:rPr>
          <w:color w:val="231F20"/>
          <w:spacing w:val="-4"/>
        </w:rPr>
        <w:t> </w:t>
      </w:r>
      <w:r>
        <w:rPr>
          <w:color w:val="231F20"/>
        </w:rPr>
        <w:t>los</w:t>
      </w:r>
      <w:r>
        <w:rPr>
          <w:color w:val="231F20"/>
          <w:spacing w:val="-5"/>
        </w:rPr>
        <w:t> </w:t>
      </w:r>
      <w:r>
        <w:rPr>
          <w:color w:val="231F20"/>
        </w:rPr>
        <w:t>inmigrantes</w:t>
      </w:r>
      <w:r>
        <w:rPr>
          <w:color w:val="231F20"/>
          <w:spacing w:val="-5"/>
        </w:rPr>
        <w:t> </w:t>
      </w:r>
      <w:r>
        <w:rPr>
          <w:color w:val="231F20"/>
        </w:rPr>
        <w:t>provenientes</w:t>
      </w:r>
      <w:r>
        <w:rPr>
          <w:color w:val="231F20"/>
          <w:spacing w:val="-5"/>
        </w:rPr>
        <w:t> </w:t>
      </w:r>
      <w:r>
        <w:rPr>
          <w:color w:val="231F20"/>
        </w:rPr>
        <w:t>de</w:t>
      </w:r>
      <w:r>
        <w:rPr>
          <w:color w:val="231F20"/>
          <w:spacing w:val="-4"/>
        </w:rPr>
        <w:t> </w:t>
      </w:r>
      <w:r>
        <w:rPr>
          <w:color w:val="231F20"/>
        </w:rPr>
        <w:t>otras</w:t>
      </w:r>
      <w:r>
        <w:rPr>
          <w:color w:val="231F20"/>
          <w:spacing w:val="-4"/>
        </w:rPr>
        <w:t> </w:t>
      </w:r>
      <w:r>
        <w:rPr>
          <w:color w:val="231F20"/>
        </w:rPr>
        <w:t>regio- nes, se observa que la recuperación económica tiene un claro efecto po- sitivo en la generación de nuevos puestos de trabajo. En concreto, hacia marzo de 2013 el nivel de empleo era casi </w:t>
      </w:r>
      <w:r>
        <w:rPr>
          <w:color w:val="231F20"/>
          <w:spacing w:val="-4"/>
        </w:rPr>
        <w:t>11 </w:t>
      </w:r>
      <w:r>
        <w:rPr>
          <w:color w:val="231F20"/>
        </w:rPr>
        <w:t>por ciento superior al que prevalecía en marzo de</w:t>
      </w:r>
      <w:r>
        <w:rPr>
          <w:color w:val="231F20"/>
          <w:spacing w:val="-2"/>
        </w:rPr>
        <w:t> </w:t>
      </w:r>
      <w:r>
        <w:rPr>
          <w:color w:val="231F20"/>
        </w:rPr>
        <w:t>2010.</w:t>
      </w:r>
    </w:p>
    <w:p>
      <w:pPr>
        <w:pStyle w:val="BodyText"/>
        <w:spacing w:line="249" w:lineRule="auto" w:before="1"/>
        <w:ind w:left="110" w:right="111" w:firstLine="283"/>
        <w:jc w:val="both"/>
      </w:pPr>
      <w:r>
        <w:rPr>
          <w:color w:val="231F20"/>
        </w:rPr>
        <w:t>La  conjunción de  ambas tendencias, durante la crisis (2008-2010)  y a partir de la recuperación de la actividad económica (2010-2013), refuerza la tesis que hemos sostenido en este trabajo. Los trabajadores inmigrantes han sido los menos afectados por los efectos negativos de  la crisis, en especial en cuanto a la generalizada pérdida de puestos de trabajo que ella ha</w:t>
      </w:r>
      <w:r>
        <w:rPr>
          <w:color w:val="231F20"/>
          <w:spacing w:val="-2"/>
        </w:rPr>
        <w:t> </w:t>
      </w:r>
      <w:r>
        <w:rPr>
          <w:color w:val="231F20"/>
        </w:rPr>
        <w:t>implicado.</w:t>
      </w:r>
    </w:p>
    <w:p>
      <w:pPr>
        <w:spacing w:after="0" w:line="249" w:lineRule="auto"/>
        <w:jc w:val="both"/>
        <w:sectPr>
          <w:pgSz w:w="7770" w:h="11740"/>
          <w:pgMar w:header="0" w:footer="474" w:top="840" w:bottom="740" w:left="740" w:right="1020"/>
        </w:sectPr>
      </w:pPr>
    </w:p>
    <w:p>
      <w:pPr>
        <w:spacing w:line="254" w:lineRule="auto" w:before="59"/>
        <w:ind w:left="292" w:right="919" w:firstLine="0"/>
        <w:jc w:val="left"/>
        <w:rPr>
          <w:sz w:val="16"/>
        </w:rPr>
      </w:pPr>
      <w:r>
        <w:rPr>
          <w:sz w:val="16"/>
        </w:rPr>
        <w:t>Gráfica 3. Estados Unidos. Tasa de crecimiento del empleo según periodo y origen étnico-migratorio de la fuerza de trabajo. Estados Unidos    2008-2013</w:t>
      </w:r>
    </w:p>
    <w:p>
      <w:pPr>
        <w:pStyle w:val="BodyText"/>
        <w:spacing w:before="6"/>
        <w:rPr>
          <w:sz w:val="14"/>
        </w:rPr>
      </w:pPr>
    </w:p>
    <w:p>
      <w:pPr>
        <w:spacing w:before="0"/>
        <w:ind w:left="2601" w:right="3331" w:firstLine="0"/>
        <w:jc w:val="center"/>
        <w:rPr>
          <w:sz w:val="17"/>
        </w:rPr>
      </w:pPr>
      <w:r>
        <w:rPr/>
        <w:pict>
          <v:shape style="position:absolute;margin-left:55.051769pt;margin-top:66.782021pt;width:10.3pt;height:52.6pt;mso-position-horizontal-relative:page;mso-position-vertical-relative:paragraph;z-index:5776" type="#_x0000_t202" filled="false" stroked="false">
            <v:textbox inset="0,0,0,0" style="layout-flow:vertical;mso-layout-flow-alt:bottom-to-top">
              <w:txbxContent>
                <w:p>
                  <w:pPr>
                    <w:spacing w:before="4"/>
                    <w:ind w:left="20" w:right="-549" w:firstLine="0"/>
                    <w:jc w:val="left"/>
                    <w:rPr>
                      <w:sz w:val="16"/>
                    </w:rPr>
                  </w:pPr>
                  <w:r>
                    <w:rPr>
                      <w:w w:val="105"/>
                      <w:sz w:val="16"/>
                    </w:rPr>
                    <w:t>Porcentaje</w:t>
                  </w:r>
                  <w:r>
                    <w:rPr>
                      <w:spacing w:val="2"/>
                      <w:sz w:val="16"/>
                    </w:rPr>
                    <w:t> </w:t>
                  </w:r>
                  <w:r>
                    <w:rPr>
                      <w:w w:val="105"/>
                      <w:sz w:val="16"/>
                    </w:rPr>
                    <w:t>(%)</w:t>
                  </w:r>
                </w:p>
              </w:txbxContent>
            </v:textbox>
            <w10:wrap type="none"/>
          </v:shape>
        </w:pict>
      </w:r>
      <w:r>
        <w:rPr>
          <w:sz w:val="17"/>
        </w:rPr>
        <w:t>2010-2013</w:t>
      </w:r>
    </w:p>
    <w:p>
      <w:pPr>
        <w:pStyle w:val="BodyText"/>
        <w:rPr>
          <w:sz w:val="15"/>
        </w:rPr>
      </w:pPr>
      <w:r>
        <w:rPr/>
        <w:pict>
          <v:group style="position:absolute;margin-left:65.692574pt;margin-top:10.580225pt;width:276.95pt;height:153pt;mso-position-horizontal-relative:page;mso-position-vertical-relative:paragraph;z-index:5584;mso-wrap-distance-left:0;mso-wrap-distance-right:0" coordorigin="1314,212" coordsize="5539,3060">
            <v:line style="position:absolute" from="5889,2863" to="6438,2863" stroked="true" strokeweight="3.048926pt" strokecolor="#a6a6a6"/>
            <v:rect style="position:absolute;left:5889;top:2832;width:549;height:61" filled="false" stroked="true" strokeweight=".635026pt" strokecolor="#000000"/>
            <v:rect style="position:absolute;left:4520;top:1458;width:549;height:1374" filled="true" fillcolor="#a6a6a6" stroked="false">
              <v:fill type="solid"/>
            </v:rect>
            <v:rect style="position:absolute;left:4520;top:1458;width:549;height:1374" filled="false" stroked="true" strokeweight=".623409pt" strokecolor="#000000"/>
            <v:rect style="position:absolute;left:3152;top:474;width:545;height:2358" filled="true" fillcolor="#a6a6a6" stroked="false">
              <v:fill type="solid"/>
            </v:rect>
            <v:rect style="position:absolute;left:3152;top:474;width:545;height:2358" filled="false" stroked="true" strokeweight=".622221pt" strokecolor="#000000"/>
            <v:rect style="position:absolute;left:1780;top:1596;width:549;height:1236" filled="true" fillcolor="#a6a6a6" stroked="false">
              <v:fill type="solid"/>
            </v:rect>
            <v:rect style="position:absolute;left:1780;top:1596;width:549;height:1236" filled="false" stroked="true" strokeweight=".62378pt" strokecolor="#000000"/>
            <v:line style="position:absolute" from="1370,3267" to="1370,224" stroked="true" strokeweight=".414352pt" strokecolor="#000000"/>
            <v:line style="position:absolute" from="1318,3267" to="1370,3267" stroked="true" strokeweight=".423462pt" strokecolor="#000000"/>
            <v:line style="position:absolute" from="1318,2832" to="1370,2832" stroked="true" strokeweight=".423462pt" strokecolor="#000000"/>
            <v:line style="position:absolute" from="1318,2397" to="1370,2397" stroked="true" strokeweight=".423462pt" strokecolor="#000000"/>
            <v:line style="position:absolute" from="1318,1962" to="1370,1962" stroked="true" strokeweight=".423462pt" strokecolor="#000000"/>
            <v:line style="position:absolute" from="1318,1527" to="1370,1527" stroked="true" strokeweight=".423462pt" strokecolor="#000000"/>
            <v:line style="position:absolute" from="1318,1092" to="1370,1092" stroked="true" strokeweight=".423462pt" strokecolor="#000000"/>
            <v:line style="position:absolute" from="1318,657" to="1370,657" stroked="true" strokeweight=".423462pt" strokecolor="#000000"/>
            <v:line style="position:absolute" from="1318,222" to="1370,222" stroked="true" strokeweight=".423462pt" strokecolor="#000000"/>
            <v:line style="position:absolute" from="1370,2832" to="6848,2832" stroked="true" strokeweight=".423462pt" strokecolor="#000000"/>
            <v:line style="position:absolute" from="1370,2832" to="1370,2881" stroked="true" strokeweight=".414352pt" strokecolor="#000000"/>
            <v:line style="position:absolute" from="2738,2832" to="2738,2881" stroked="true" strokeweight=".414352pt" strokecolor="#000000"/>
            <v:line style="position:absolute" from="4111,2832" to="4111,2881" stroked="true" strokeweight=".414352pt" strokecolor="#000000"/>
            <v:line style="position:absolute" from="5479,2832" to="5479,2881" stroked="true" strokeweight=".414352pt" strokecolor="#000000"/>
            <v:line style="position:absolute" from="6847,2832" to="6847,2881" stroked="true" strokeweight=".414352pt" strokecolor="#000000"/>
            <v:line style="position:absolute" from="2054,2092" to="6163,2092" stroked="true" strokeweight=".423462pt" strokecolor="#000000"/>
            <v:shape style="position:absolute;left:3275;top:212;width:298;height:170" type="#_x0000_t202" filled="false" stroked="false">
              <v:textbox inset="0,0,0,0">
                <w:txbxContent>
                  <w:p>
                    <w:pPr>
                      <w:spacing w:line="169" w:lineRule="exact" w:before="0"/>
                      <w:ind w:left="0" w:right="-19" w:firstLine="0"/>
                      <w:jc w:val="left"/>
                      <w:rPr>
                        <w:sz w:val="17"/>
                      </w:rPr>
                    </w:pPr>
                    <w:r>
                      <w:rPr>
                        <w:w w:val="95"/>
                        <w:sz w:val="17"/>
                      </w:rPr>
                      <w:t>11%</w:t>
                    </w:r>
                  </w:p>
                </w:txbxContent>
              </v:textbox>
              <w10:wrap type="none"/>
            </v:shape>
            <v:shape style="position:absolute;left:4683;top:1194;width:221;height:170" type="#_x0000_t202" filled="false" stroked="false">
              <v:textbox inset="0,0,0,0">
                <w:txbxContent>
                  <w:p>
                    <w:pPr>
                      <w:spacing w:line="169" w:lineRule="exact" w:before="0"/>
                      <w:ind w:left="0" w:right="-15" w:firstLine="0"/>
                      <w:jc w:val="left"/>
                      <w:rPr>
                        <w:sz w:val="17"/>
                      </w:rPr>
                    </w:pPr>
                    <w:r>
                      <w:rPr>
                        <w:w w:val="95"/>
                        <w:sz w:val="17"/>
                      </w:rPr>
                      <w:t>6%</w:t>
                    </w:r>
                  </w:p>
                </w:txbxContent>
              </v:textbox>
              <w10:wrap type="none"/>
            </v:shape>
            <v:shape style="position:absolute;left:1944;top:1335;width:221;height:170" type="#_x0000_t202" filled="false" stroked="false">
              <v:textbox inset="0,0,0,0">
                <w:txbxContent>
                  <w:p>
                    <w:pPr>
                      <w:spacing w:line="169" w:lineRule="exact" w:before="0"/>
                      <w:ind w:left="0" w:right="-15" w:firstLine="0"/>
                      <w:jc w:val="left"/>
                      <w:rPr>
                        <w:sz w:val="17"/>
                      </w:rPr>
                    </w:pPr>
                    <w:r>
                      <w:rPr>
                        <w:w w:val="95"/>
                        <w:sz w:val="17"/>
                      </w:rPr>
                      <w:t>6%</w:t>
                    </w:r>
                  </w:p>
                </w:txbxContent>
              </v:textbox>
              <w10:wrap type="none"/>
            </v:shape>
            <v:shape style="position:absolute;left:5982;top:1905;width:659;height:407" type="#_x0000_t202" filled="false" stroked="false">
              <v:textbox inset="0,0,0,0">
                <w:txbxContent>
                  <w:p>
                    <w:pPr>
                      <w:spacing w:line="189" w:lineRule="exact" w:before="0"/>
                      <w:ind w:left="0" w:right="0" w:firstLine="0"/>
                      <w:jc w:val="center"/>
                      <w:rPr>
                        <w:sz w:val="18"/>
                      </w:rPr>
                    </w:pPr>
                    <w:r>
                      <w:rPr>
                        <w:sz w:val="18"/>
                      </w:rPr>
                      <w:t>Nacional</w:t>
                    </w:r>
                  </w:p>
                  <w:p>
                    <w:pPr>
                      <w:spacing w:line="204" w:lineRule="exact" w:before="13"/>
                      <w:ind w:left="0" w:right="0" w:firstLine="0"/>
                      <w:jc w:val="center"/>
                      <w:rPr>
                        <w:sz w:val="18"/>
                      </w:rPr>
                    </w:pPr>
                    <w:r>
                      <w:rPr>
                        <w:sz w:val="18"/>
                      </w:rPr>
                      <w:t>3%</w:t>
                    </w:r>
                  </w:p>
                </w:txbxContent>
              </v:textbox>
              <w10:wrap type="none"/>
            </v:shape>
            <v:shape style="position:absolute;left:5965;top:3018;width:401;height:170" type="#_x0000_t202" filled="false" stroked="false">
              <v:textbox inset="0,0,0,0">
                <w:txbxContent>
                  <w:p>
                    <w:pPr>
                      <w:spacing w:line="169" w:lineRule="exact" w:before="0"/>
                      <w:ind w:left="0" w:right="-10" w:firstLine="0"/>
                      <w:jc w:val="left"/>
                      <w:rPr>
                        <w:sz w:val="17"/>
                      </w:rPr>
                    </w:pPr>
                    <w:r>
                      <w:rPr>
                        <w:w w:val="95"/>
                        <w:sz w:val="17"/>
                      </w:rPr>
                      <w:t>-0.3%</w:t>
                    </w:r>
                  </w:p>
                </w:txbxContent>
              </v:textbox>
              <w10:wrap type="none"/>
            </v:shape>
            <w10:wrap type="topAndBottom"/>
          </v:group>
        </w:pict>
      </w:r>
    </w:p>
    <w:p>
      <w:pPr>
        <w:pStyle w:val="BodyText"/>
        <w:spacing w:before="1"/>
        <w:rPr>
          <w:sz w:val="6"/>
        </w:rPr>
      </w:pPr>
    </w:p>
    <w:p>
      <w:pPr>
        <w:spacing w:after="0"/>
        <w:rPr>
          <w:sz w:val="6"/>
        </w:rPr>
        <w:sectPr>
          <w:footerReference w:type="default" r:id="rId170"/>
          <w:pgSz w:w="7770" w:h="11740"/>
          <w:pgMar w:footer="474" w:header="0" w:top="940" w:bottom="660" w:left="1060" w:right="0"/>
          <w:pgNumType w:start="135"/>
        </w:sectPr>
      </w:pPr>
    </w:p>
    <w:p>
      <w:pPr>
        <w:spacing w:before="7"/>
        <w:ind w:left="357" w:right="-13" w:firstLine="0"/>
        <w:jc w:val="left"/>
        <w:rPr>
          <w:sz w:val="17"/>
        </w:rPr>
      </w:pPr>
      <w:r>
        <w:rPr>
          <w:sz w:val="17"/>
        </w:rPr>
        <w:t>Inmigrantes latinos  Otros inmigrantes  Afroamericanos no</w:t>
      </w:r>
    </w:p>
    <w:p>
      <w:pPr>
        <w:spacing w:before="7"/>
        <w:ind w:left="0" w:right="414" w:firstLine="0"/>
        <w:jc w:val="right"/>
        <w:rPr>
          <w:sz w:val="17"/>
        </w:rPr>
      </w:pPr>
      <w:r>
        <w:rPr>
          <w:w w:val="95"/>
          <w:sz w:val="17"/>
        </w:rPr>
        <w:t>latinos</w:t>
      </w:r>
    </w:p>
    <w:p>
      <w:pPr>
        <w:spacing w:before="7"/>
        <w:ind w:left="78" w:right="0" w:firstLine="0"/>
        <w:jc w:val="left"/>
        <w:rPr>
          <w:sz w:val="17"/>
        </w:rPr>
      </w:pPr>
      <w:r>
        <w:rPr/>
        <w:br w:type="column"/>
      </w:r>
      <w:r>
        <w:rPr>
          <w:sz w:val="17"/>
        </w:rPr>
        <w:t>Blancos no latinos</w:t>
      </w:r>
    </w:p>
    <w:p>
      <w:pPr>
        <w:spacing w:after="0"/>
        <w:jc w:val="left"/>
        <w:rPr>
          <w:sz w:val="17"/>
        </w:rPr>
        <w:sectPr>
          <w:type w:val="continuous"/>
          <w:pgSz w:w="7770" w:h="11740"/>
          <w:pgMar w:top="0" w:bottom="0" w:left="1060" w:right="0"/>
          <w:cols w:num="2" w:equalWidth="0">
            <w:col w:w="4373" w:space="40"/>
            <w:col w:w="2297"/>
          </w:cols>
        </w:sectPr>
      </w:pPr>
    </w:p>
    <w:p>
      <w:pPr>
        <w:pStyle w:val="BodyText"/>
      </w:pPr>
    </w:p>
    <w:p>
      <w:pPr>
        <w:pStyle w:val="BodyText"/>
      </w:pPr>
    </w:p>
    <w:p>
      <w:pPr>
        <w:pStyle w:val="BodyText"/>
        <w:spacing w:before="9"/>
        <w:rPr>
          <w:sz w:val="21"/>
        </w:rPr>
      </w:pPr>
    </w:p>
    <w:p>
      <w:pPr>
        <w:spacing w:before="1"/>
        <w:ind w:left="2601" w:right="3331" w:firstLine="0"/>
        <w:jc w:val="center"/>
        <w:rPr>
          <w:sz w:val="17"/>
        </w:rPr>
      </w:pPr>
      <w:r>
        <w:rPr>
          <w:sz w:val="17"/>
        </w:rPr>
        <w:t>2008-2010</w:t>
      </w:r>
    </w:p>
    <w:p>
      <w:pPr>
        <w:pStyle w:val="BodyText"/>
        <w:spacing w:before="9"/>
        <w:rPr>
          <w:sz w:val="16"/>
        </w:rPr>
      </w:pPr>
      <w:r>
        <w:rPr/>
        <w:pict>
          <v:group style="position:absolute;margin-left:67.283684pt;margin-top:11.607469pt;width:275.350pt;height:151.4pt;mso-position-horizontal-relative:page;mso-position-vertical-relative:paragraph;z-index:5728;mso-wrap-distance-left:0;mso-wrap-distance-right:0" coordorigin="1346,232" coordsize="5507,3028">
            <v:rect style="position:absolute;left:4532;top:239;width:545;height:2565" filled="true" fillcolor="#a6a6a6" stroked="false">
              <v:fill type="solid"/>
            </v:rect>
            <v:rect style="position:absolute;left:4532;top:239;width:545;height:2565" filled="false" stroked="true" strokeweight=".622119pt" strokecolor="#000000"/>
            <v:rect style="position:absolute;left:5897;top:239;width:541;height:1797" filled="true" fillcolor="#a6a6a6" stroked="false">
              <v:fill type="solid"/>
            </v:rect>
            <v:rect style="position:absolute;left:5897;top:239;width:541;height:1797" filled="false" stroked="true" strokeweight=".622664pt" strokecolor="#000000"/>
            <v:rect style="position:absolute;left:3172;top:239;width:545;height:1699" filled="true" fillcolor="#a6a6a6" stroked="false">
              <v:fill type="solid"/>
            </v:rect>
            <v:rect style="position:absolute;left:3172;top:239;width:545;height:1699" filled="false" stroked="true" strokeweight=".622803pt" strokecolor="#000000"/>
            <v:rect style="position:absolute;left:1812;top:239;width:545;height:516" filled="true" fillcolor="#a6a6a6" stroked="false">
              <v:fill type="solid"/>
            </v:rect>
            <v:rect style="position:absolute;left:1812;top:239;width:545;height:516" filled="false" stroked="true" strokeweight=".62873pt" strokecolor="#000000"/>
            <v:line style="position:absolute" from="1403,3255" to="1403,240" stroked="true" strokeweight=".414352pt" strokecolor="#000000"/>
            <v:line style="position:absolute" from="1350,3255" to="1402,3255" stroked="true" strokeweight=".423462pt" strokecolor="#000000"/>
            <v:line style="position:absolute" from="1350,2922" to="1402,2922" stroked="true" strokeweight=".423462pt" strokecolor="#000000"/>
            <v:line style="position:absolute" from="1350,2584" to="1402,2584" stroked="true" strokeweight=".423462pt" strokecolor="#000000"/>
            <v:line style="position:absolute" from="1350,2251" to="1402,2251" stroked="true" strokeweight=".423462pt" strokecolor="#000000"/>
            <v:line style="position:absolute" from="1350,1914" to="1402,1914" stroked="true" strokeweight=".423462pt" strokecolor="#000000"/>
            <v:line style="position:absolute" from="1350,1580" to="1402,1580" stroked="true" strokeweight=".423462pt" strokecolor="#000000"/>
            <v:line style="position:absolute" from="1350,1247" to="1402,1247" stroked="true" strokeweight=".423462pt" strokecolor="#000000"/>
            <v:line style="position:absolute" from="1350,909" to="1402,909" stroked="true" strokeweight=".423462pt" strokecolor="#000000"/>
            <v:line style="position:absolute" from="1350,576" to="1402,576" stroked="true" strokeweight=".423462pt" strokecolor="#000000"/>
            <v:line style="position:absolute" from="1350,239" to="1402,239" stroked="true" strokeweight=".423462pt" strokecolor="#000000"/>
            <v:line style="position:absolute" from="1403,240" to="6848,240" stroked="true" strokeweight=".423462pt" strokecolor="#000000"/>
            <v:line style="position:absolute" from="1402,239" to="1402,290" stroked="true" strokeweight=".414352pt" strokecolor="#000000"/>
            <v:line style="position:absolute" from="2762,239" to="2762,290" stroked="true" strokeweight=".414352pt" strokecolor="#000000"/>
            <v:line style="position:absolute" from="4127,239" to="4127,290" stroked="true" strokeweight=".414352pt" strokecolor="#000000"/>
            <v:line style="position:absolute" from="5487,239" to="5487,290" stroked="true" strokeweight=".414352pt" strokecolor="#000000"/>
            <v:line style="position:absolute" from="6847,239" to="6847,290" stroked="true" strokeweight=".414352pt" strokecolor="#000000"/>
            <v:line style="position:absolute" from="2082,1957" to="6167,1957" stroked="true" strokeweight=".423462pt" strokecolor="#000000"/>
            <v:shape style="position:absolute;left:1946;top:880;width:277;height:170" type="#_x0000_t202" filled="false" stroked="false">
              <v:textbox inset="0,0,0,0">
                <w:txbxContent>
                  <w:p>
                    <w:pPr>
                      <w:spacing w:line="169" w:lineRule="exact" w:before="0"/>
                      <w:ind w:left="0" w:right="-13" w:firstLine="0"/>
                      <w:jc w:val="left"/>
                      <w:rPr>
                        <w:sz w:val="17"/>
                      </w:rPr>
                    </w:pPr>
                    <w:r>
                      <w:rPr>
                        <w:w w:val="95"/>
                        <w:sz w:val="17"/>
                      </w:rPr>
                      <w:t>-2%</w:t>
                    </w:r>
                  </w:p>
                </w:txbxContent>
              </v:textbox>
              <w10:wrap type="none"/>
            </v:shape>
            <v:shape style="position:absolute;left:1662;top:1770;width:659;height:407" type="#_x0000_t202" filled="false" stroked="false">
              <v:textbox inset="0,0,0,0">
                <w:txbxContent>
                  <w:p>
                    <w:pPr>
                      <w:spacing w:line="189" w:lineRule="exact" w:before="0"/>
                      <w:ind w:left="-1" w:right="0" w:firstLine="0"/>
                      <w:jc w:val="center"/>
                      <w:rPr>
                        <w:sz w:val="18"/>
                      </w:rPr>
                    </w:pPr>
                    <w:r>
                      <w:rPr>
                        <w:sz w:val="18"/>
                      </w:rPr>
                      <w:t>Nacional</w:t>
                    </w:r>
                  </w:p>
                  <w:p>
                    <w:pPr>
                      <w:spacing w:line="204" w:lineRule="exact" w:before="13"/>
                      <w:ind w:left="0" w:right="0" w:firstLine="0"/>
                      <w:jc w:val="center"/>
                      <w:rPr>
                        <w:sz w:val="18"/>
                      </w:rPr>
                    </w:pPr>
                    <w:r>
                      <w:rPr>
                        <w:sz w:val="18"/>
                      </w:rPr>
                      <w:t>-5%</w:t>
                    </w:r>
                  </w:p>
                </w:txbxContent>
              </v:textbox>
              <w10:wrap type="none"/>
            </v:shape>
            <v:shape style="position:absolute;left:3307;top:2063;width:277;height:170" type="#_x0000_t202" filled="false" stroked="false">
              <v:textbox inset="0,0,0,0">
                <w:txbxContent>
                  <w:p>
                    <w:pPr>
                      <w:spacing w:line="169" w:lineRule="exact" w:before="0"/>
                      <w:ind w:left="0" w:right="-13" w:firstLine="0"/>
                      <w:jc w:val="left"/>
                      <w:rPr>
                        <w:sz w:val="17"/>
                      </w:rPr>
                    </w:pPr>
                    <w:r>
                      <w:rPr>
                        <w:w w:val="95"/>
                        <w:sz w:val="17"/>
                      </w:rPr>
                      <w:t>-5%</w:t>
                    </w:r>
                  </w:p>
                </w:txbxContent>
              </v:textbox>
              <w10:wrap type="none"/>
            </v:shape>
            <v:shape style="position:absolute;left:6029;top:2162;width:277;height:170" type="#_x0000_t202" filled="false" stroked="false">
              <v:textbox inset="0,0,0,0">
                <w:txbxContent>
                  <w:p>
                    <w:pPr>
                      <w:spacing w:line="169" w:lineRule="exact" w:before="0"/>
                      <w:ind w:left="0" w:right="-13" w:firstLine="0"/>
                      <w:jc w:val="left"/>
                      <w:rPr>
                        <w:sz w:val="17"/>
                      </w:rPr>
                    </w:pPr>
                    <w:r>
                      <w:rPr>
                        <w:w w:val="95"/>
                        <w:sz w:val="17"/>
                      </w:rPr>
                      <w:t>-5%</w:t>
                    </w:r>
                  </w:p>
                </w:txbxContent>
              </v:textbox>
              <w10:wrap type="none"/>
            </v:shape>
            <v:shape style="position:absolute;left:4668;top:2929;width:277;height:170" type="#_x0000_t202" filled="false" stroked="false">
              <v:textbox inset="0,0,0,0">
                <w:txbxContent>
                  <w:p>
                    <w:pPr>
                      <w:spacing w:line="169" w:lineRule="exact" w:before="0"/>
                      <w:ind w:left="0" w:right="-13" w:firstLine="0"/>
                      <w:jc w:val="left"/>
                      <w:rPr>
                        <w:sz w:val="17"/>
                      </w:rPr>
                    </w:pPr>
                    <w:r>
                      <w:rPr>
                        <w:w w:val="95"/>
                        <w:sz w:val="17"/>
                      </w:rPr>
                      <w:t>-8%</w:t>
                    </w:r>
                  </w:p>
                </w:txbxContent>
              </v:textbox>
              <w10:wrap type="none"/>
            </v:shape>
            <w10:wrap type="topAndBottom"/>
          </v:group>
        </w:pict>
      </w:r>
    </w:p>
    <w:p>
      <w:pPr>
        <w:pStyle w:val="BodyText"/>
        <w:spacing w:before="1"/>
        <w:rPr>
          <w:sz w:val="6"/>
        </w:rPr>
      </w:pPr>
    </w:p>
    <w:p>
      <w:pPr>
        <w:spacing w:after="0"/>
        <w:rPr>
          <w:sz w:val="6"/>
        </w:rPr>
        <w:sectPr>
          <w:type w:val="continuous"/>
          <w:pgSz w:w="7770" w:h="11740"/>
          <w:pgMar w:top="0" w:bottom="0" w:left="1060" w:right="0"/>
        </w:sectPr>
      </w:pPr>
    </w:p>
    <w:p>
      <w:pPr>
        <w:spacing w:before="8"/>
        <w:ind w:left="386" w:right="-16" w:firstLine="0"/>
        <w:jc w:val="left"/>
        <w:rPr>
          <w:sz w:val="17"/>
        </w:rPr>
      </w:pPr>
      <w:r>
        <w:rPr/>
        <w:pict>
          <v:shape style="position:absolute;margin-left:55.051769pt;margin-top:-101.29747pt;width:10.3pt;height:52.6pt;mso-position-horizontal-relative:page;mso-position-vertical-relative:paragraph;z-index:5752" type="#_x0000_t202" filled="false" stroked="false">
            <v:textbox inset="0,0,0,0" style="layout-flow:vertical;mso-layout-flow-alt:bottom-to-top">
              <w:txbxContent>
                <w:p>
                  <w:pPr>
                    <w:spacing w:before="4"/>
                    <w:ind w:left="20" w:right="-549" w:firstLine="0"/>
                    <w:jc w:val="left"/>
                    <w:rPr>
                      <w:sz w:val="16"/>
                    </w:rPr>
                  </w:pPr>
                  <w:r>
                    <w:rPr>
                      <w:w w:val="105"/>
                      <w:sz w:val="16"/>
                    </w:rPr>
                    <w:t>Porcentaje</w:t>
                  </w:r>
                  <w:r>
                    <w:rPr>
                      <w:spacing w:val="2"/>
                      <w:sz w:val="16"/>
                    </w:rPr>
                    <w:t> </w:t>
                  </w:r>
                  <w:r>
                    <w:rPr>
                      <w:w w:val="105"/>
                      <w:sz w:val="16"/>
                    </w:rPr>
                    <w:t>(%)</w:t>
                  </w:r>
                </w:p>
              </w:txbxContent>
            </v:textbox>
            <w10:wrap type="none"/>
          </v:shape>
        </w:pict>
      </w:r>
      <w:r>
        <w:rPr>
          <w:sz w:val="17"/>
        </w:rPr>
        <w:t>Inmigrantes latinos  Otros inmigrantes  Afroamericanos</w:t>
      </w:r>
      <w:r>
        <w:rPr>
          <w:spacing w:val="-14"/>
          <w:sz w:val="17"/>
        </w:rPr>
        <w:t> </w:t>
      </w:r>
      <w:r>
        <w:rPr>
          <w:sz w:val="17"/>
        </w:rPr>
        <w:t>no</w:t>
      </w:r>
    </w:p>
    <w:p>
      <w:pPr>
        <w:spacing w:before="7"/>
        <w:ind w:left="0" w:right="414" w:firstLine="0"/>
        <w:jc w:val="right"/>
        <w:rPr>
          <w:sz w:val="17"/>
        </w:rPr>
      </w:pPr>
      <w:r>
        <w:rPr>
          <w:w w:val="95"/>
          <w:sz w:val="17"/>
        </w:rPr>
        <w:t>latinos</w:t>
      </w:r>
    </w:p>
    <w:p>
      <w:pPr>
        <w:spacing w:before="8"/>
        <w:ind w:left="74" w:right="0" w:firstLine="0"/>
        <w:jc w:val="left"/>
        <w:rPr>
          <w:sz w:val="17"/>
        </w:rPr>
      </w:pPr>
      <w:r>
        <w:rPr/>
        <w:br w:type="column"/>
      </w:r>
      <w:r>
        <w:rPr>
          <w:sz w:val="17"/>
        </w:rPr>
        <w:t>Blancos no latinos</w:t>
      </w:r>
    </w:p>
    <w:p>
      <w:pPr>
        <w:spacing w:after="0"/>
        <w:jc w:val="left"/>
        <w:rPr>
          <w:sz w:val="17"/>
        </w:rPr>
        <w:sectPr>
          <w:type w:val="continuous"/>
          <w:pgSz w:w="7770" w:h="11740"/>
          <w:pgMar w:top="0" w:bottom="0" w:left="1060" w:right="0"/>
          <w:cols w:num="2" w:equalWidth="0">
            <w:col w:w="4385" w:space="40"/>
            <w:col w:w="2285"/>
          </w:cols>
        </w:sectPr>
      </w:pPr>
    </w:p>
    <w:p>
      <w:pPr>
        <w:pStyle w:val="BodyText"/>
      </w:pPr>
    </w:p>
    <w:p>
      <w:pPr>
        <w:pStyle w:val="BodyText"/>
        <w:spacing w:before="7"/>
        <w:rPr>
          <w:sz w:val="19"/>
        </w:rPr>
      </w:pPr>
    </w:p>
    <w:p>
      <w:pPr>
        <w:spacing w:before="87"/>
        <w:ind w:left="367" w:right="919" w:firstLine="0"/>
        <w:jc w:val="left"/>
        <w:rPr>
          <w:sz w:val="13"/>
        </w:rPr>
      </w:pPr>
      <w:r>
        <w:rPr>
          <w:sz w:val="13"/>
        </w:rPr>
        <w:t>Fuente:  Current Population Survey, March Supplement  (CPS).</w:t>
      </w:r>
    </w:p>
    <w:p>
      <w:pPr>
        <w:spacing w:after="0"/>
        <w:jc w:val="left"/>
        <w:rPr>
          <w:sz w:val="13"/>
        </w:rPr>
        <w:sectPr>
          <w:type w:val="continuous"/>
          <w:pgSz w:w="7770" w:h="11740"/>
          <w:pgMar w:top="0" w:bottom="0" w:left="1060" w:right="0"/>
        </w:sectPr>
      </w:pPr>
    </w:p>
    <w:p>
      <w:pPr>
        <w:pStyle w:val="BodyText"/>
        <w:spacing w:line="249" w:lineRule="auto" w:before="60"/>
        <w:ind w:left="150" w:right="111" w:firstLine="283"/>
        <w:jc w:val="both"/>
      </w:pPr>
      <w:r>
        <w:rPr>
          <w:color w:val="231F20"/>
        </w:rPr>
        <w:t>Algo similar encontramos cuando analizamos las cifras del desem- pleo (Gráfica 4). Al respecto, los datos a nivel agregado indican que a consecuencia</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pérdida</w:t>
      </w:r>
      <w:r>
        <w:rPr>
          <w:color w:val="231F20"/>
          <w:spacing w:val="-7"/>
        </w:rPr>
        <w:t> </w:t>
      </w:r>
      <w:r>
        <w:rPr>
          <w:color w:val="231F20"/>
        </w:rPr>
        <w:t>de</w:t>
      </w:r>
      <w:r>
        <w:rPr>
          <w:color w:val="231F20"/>
          <w:spacing w:val="-7"/>
        </w:rPr>
        <w:t> </w:t>
      </w:r>
      <w:r>
        <w:rPr>
          <w:color w:val="231F20"/>
        </w:rPr>
        <w:t>puestos</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la</w:t>
      </w:r>
      <w:r>
        <w:rPr>
          <w:color w:val="231F20"/>
          <w:spacing w:val="-7"/>
        </w:rPr>
        <w:t> </w:t>
      </w:r>
      <w:r>
        <w:rPr>
          <w:color w:val="231F20"/>
        </w:rPr>
        <w:t>tasa</w:t>
      </w:r>
      <w:r>
        <w:rPr>
          <w:color w:val="231F20"/>
          <w:spacing w:val="-7"/>
        </w:rPr>
        <w:t> </w:t>
      </w:r>
      <w:r>
        <w:rPr>
          <w:color w:val="231F20"/>
        </w:rPr>
        <w:t>de</w:t>
      </w:r>
      <w:r>
        <w:rPr>
          <w:color w:val="231F20"/>
          <w:spacing w:val="-7"/>
        </w:rPr>
        <w:t> </w:t>
      </w:r>
      <w:r>
        <w:rPr>
          <w:color w:val="231F20"/>
        </w:rPr>
        <w:t>desempleo</w:t>
      </w:r>
      <w:r>
        <w:rPr>
          <w:color w:val="231F20"/>
          <w:spacing w:val="-7"/>
        </w:rPr>
        <w:t> </w:t>
      </w:r>
      <w:r>
        <w:rPr>
          <w:color w:val="231F20"/>
        </w:rPr>
        <w:t>se incrementó significativamente, pasando de cinco por ciento en marzo de 2008</w:t>
      </w:r>
      <w:r>
        <w:rPr>
          <w:color w:val="231F20"/>
          <w:spacing w:val="-6"/>
        </w:rPr>
        <w:t> </w:t>
      </w:r>
      <w:r>
        <w:rPr>
          <w:color w:val="231F20"/>
        </w:rPr>
        <w:t>a</w:t>
      </w:r>
      <w:r>
        <w:rPr>
          <w:color w:val="231F20"/>
          <w:spacing w:val="-6"/>
        </w:rPr>
        <w:t> </w:t>
      </w:r>
      <w:r>
        <w:rPr>
          <w:color w:val="231F20"/>
        </w:rPr>
        <w:t>8.8</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en</w:t>
      </w:r>
      <w:r>
        <w:rPr>
          <w:color w:val="231F20"/>
          <w:spacing w:val="-6"/>
        </w:rPr>
        <w:t> </w:t>
      </w:r>
      <w:r>
        <w:rPr>
          <w:color w:val="231F20"/>
        </w:rPr>
        <w:t>2009</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9.7</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en</w:t>
      </w:r>
      <w:r>
        <w:rPr>
          <w:color w:val="231F20"/>
          <w:spacing w:val="-6"/>
        </w:rPr>
        <w:t> </w:t>
      </w:r>
      <w:r>
        <w:rPr>
          <w:color w:val="231F20"/>
        </w:rPr>
        <w:t>2010.</w:t>
      </w:r>
      <w:r>
        <w:rPr>
          <w:color w:val="231F20"/>
          <w:spacing w:val="-6"/>
        </w:rPr>
        <w:t> </w:t>
      </w:r>
      <w:r>
        <w:rPr>
          <w:color w:val="231F20"/>
        </w:rPr>
        <w:t>Esto</w:t>
      </w:r>
      <w:r>
        <w:rPr>
          <w:color w:val="231F20"/>
          <w:spacing w:val="-6"/>
        </w:rPr>
        <w:t> </w:t>
      </w:r>
      <w:r>
        <w:rPr>
          <w:color w:val="231F20"/>
        </w:rPr>
        <w:t>es,</w:t>
      </w:r>
      <w:r>
        <w:rPr>
          <w:color w:val="231F20"/>
          <w:spacing w:val="-6"/>
        </w:rPr>
        <w:t> </w:t>
      </w:r>
      <w:r>
        <w:rPr>
          <w:color w:val="231F20"/>
        </w:rPr>
        <w:t>en</w:t>
      </w:r>
      <w:r>
        <w:rPr>
          <w:color w:val="231F20"/>
          <w:spacing w:val="-6"/>
        </w:rPr>
        <w:t> </w:t>
      </w:r>
      <w:r>
        <w:rPr>
          <w:color w:val="231F20"/>
        </w:rPr>
        <w:t>sólo dos</w:t>
      </w:r>
      <w:r>
        <w:rPr>
          <w:color w:val="231F20"/>
          <w:spacing w:val="-9"/>
        </w:rPr>
        <w:t> </w:t>
      </w:r>
      <w:r>
        <w:rPr>
          <w:color w:val="231F20"/>
        </w:rPr>
        <w:t>años,</w:t>
      </w:r>
      <w:r>
        <w:rPr>
          <w:color w:val="231F20"/>
          <w:spacing w:val="-9"/>
        </w:rPr>
        <w:t> </w:t>
      </w:r>
      <w:r>
        <w:rPr>
          <w:color w:val="231F20"/>
        </w:rPr>
        <w:t>se</w:t>
      </w:r>
      <w:r>
        <w:rPr>
          <w:color w:val="231F20"/>
          <w:spacing w:val="-9"/>
        </w:rPr>
        <w:t> </w:t>
      </w:r>
      <w:r>
        <w:rPr>
          <w:color w:val="231F20"/>
        </w:rPr>
        <w:t>duplicó</w:t>
      </w:r>
      <w:r>
        <w:rPr>
          <w:color w:val="231F20"/>
          <w:spacing w:val="-9"/>
        </w:rPr>
        <w:t> </w:t>
      </w:r>
      <w:r>
        <w:rPr>
          <w:color w:val="231F20"/>
        </w:rPr>
        <w:t>el</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desempleo</w:t>
      </w:r>
      <w:r>
        <w:rPr>
          <w:color w:val="231F20"/>
          <w:spacing w:val="-9"/>
        </w:rPr>
        <w:t> </w:t>
      </w:r>
      <w:r>
        <w:rPr>
          <w:color w:val="231F20"/>
        </w:rPr>
        <w:t>en</w:t>
      </w:r>
      <w:r>
        <w:rPr>
          <w:color w:val="231F20"/>
          <w:spacing w:val="-9"/>
        </w:rPr>
        <w:t> </w:t>
      </w:r>
      <w:r>
        <w:rPr>
          <w:color w:val="231F20"/>
        </w:rPr>
        <w:t>Estados</w:t>
      </w:r>
      <w:r>
        <w:rPr>
          <w:color w:val="231F20"/>
          <w:spacing w:val="-10"/>
        </w:rPr>
        <w:t> </w:t>
      </w:r>
      <w:r>
        <w:rPr>
          <w:color w:val="231F20"/>
        </w:rPr>
        <w:t>Unidos.</w:t>
      </w:r>
      <w:r>
        <w:rPr>
          <w:color w:val="231F20"/>
          <w:spacing w:val="-20"/>
        </w:rPr>
        <w:t> </w:t>
      </w:r>
      <w:r>
        <w:rPr>
          <w:color w:val="231F20"/>
        </w:rPr>
        <w:t>A</w:t>
      </w:r>
      <w:r>
        <w:rPr>
          <w:color w:val="231F20"/>
          <w:spacing w:val="-20"/>
        </w:rPr>
        <w:t> </w:t>
      </w:r>
      <w:r>
        <w:rPr>
          <w:color w:val="231F20"/>
        </w:rPr>
        <w:t>partir</w:t>
      </w:r>
      <w:r>
        <w:rPr>
          <w:color w:val="231F20"/>
          <w:spacing w:val="-9"/>
        </w:rPr>
        <w:t> </w:t>
      </w:r>
      <w:r>
        <w:rPr>
          <w:color w:val="231F20"/>
        </w:rPr>
        <w:t>de 2010,</w:t>
      </w:r>
      <w:r>
        <w:rPr>
          <w:color w:val="231F20"/>
          <w:spacing w:val="-11"/>
        </w:rPr>
        <w:t> </w:t>
      </w:r>
      <w:r>
        <w:rPr>
          <w:color w:val="231F20"/>
        </w:rPr>
        <w:t>la</w:t>
      </w:r>
      <w:r>
        <w:rPr>
          <w:color w:val="231F20"/>
          <w:spacing w:val="-11"/>
        </w:rPr>
        <w:t> </w:t>
      </w:r>
      <w:r>
        <w:rPr>
          <w:color w:val="231F20"/>
        </w:rPr>
        <w:t>recuperación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economía</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manifiesta</w:t>
      </w:r>
      <w:r>
        <w:rPr>
          <w:color w:val="231F20"/>
          <w:spacing w:val="-11"/>
        </w:rPr>
        <w:t> </w:t>
      </w:r>
      <w:r>
        <w:rPr>
          <w:color w:val="231F20"/>
        </w:rPr>
        <w:t>en</w:t>
      </w:r>
      <w:r>
        <w:rPr>
          <w:color w:val="231F20"/>
          <w:spacing w:val="-11"/>
        </w:rPr>
        <w:t> </w:t>
      </w:r>
      <w:r>
        <w:rPr>
          <w:color w:val="231F20"/>
        </w:rPr>
        <w:t>igual</w:t>
      </w:r>
      <w:r>
        <w:rPr>
          <w:color w:val="231F20"/>
          <w:spacing w:val="-11"/>
        </w:rPr>
        <w:t> </w:t>
      </w:r>
      <w:r>
        <w:rPr>
          <w:color w:val="231F20"/>
        </w:rPr>
        <w:t>medida</w:t>
      </w:r>
      <w:r>
        <w:rPr>
          <w:color w:val="231F20"/>
          <w:spacing w:val="-11"/>
        </w:rPr>
        <w:t> </w:t>
      </w:r>
      <w:r>
        <w:rPr>
          <w:color w:val="231F20"/>
        </w:rPr>
        <w:t>en el</w:t>
      </w:r>
      <w:r>
        <w:rPr>
          <w:color w:val="231F20"/>
          <w:spacing w:val="-4"/>
        </w:rPr>
        <w:t> </w:t>
      </w:r>
      <w:r>
        <w:rPr>
          <w:color w:val="231F20"/>
        </w:rPr>
        <w:t>nivel</w:t>
      </w:r>
      <w:r>
        <w:rPr>
          <w:color w:val="231F20"/>
          <w:spacing w:val="-4"/>
        </w:rPr>
        <w:t> </w:t>
      </w:r>
      <w:r>
        <w:rPr>
          <w:color w:val="231F20"/>
        </w:rPr>
        <w:t>de</w:t>
      </w:r>
      <w:r>
        <w:rPr>
          <w:color w:val="231F20"/>
          <w:spacing w:val="-4"/>
        </w:rPr>
        <w:t> </w:t>
      </w:r>
      <w:r>
        <w:rPr>
          <w:color w:val="231F20"/>
        </w:rPr>
        <w:t>desempleo,</w:t>
      </w:r>
      <w:r>
        <w:rPr>
          <w:color w:val="231F20"/>
          <w:spacing w:val="-4"/>
        </w:rPr>
        <w:t> </w:t>
      </w:r>
      <w:r>
        <w:rPr>
          <w:color w:val="231F20"/>
        </w:rPr>
        <w:t>el</w:t>
      </w:r>
      <w:r>
        <w:rPr>
          <w:color w:val="231F20"/>
          <w:spacing w:val="-4"/>
        </w:rPr>
        <w:t> </w:t>
      </w:r>
      <w:r>
        <w:rPr>
          <w:color w:val="231F20"/>
        </w:rPr>
        <w:t>cual</w:t>
      </w:r>
      <w:r>
        <w:rPr>
          <w:color w:val="231F20"/>
          <w:spacing w:val="-4"/>
        </w:rPr>
        <w:t> </w:t>
      </w:r>
      <w:r>
        <w:rPr>
          <w:color w:val="231F20"/>
        </w:rPr>
        <w:t>si</w:t>
      </w:r>
      <w:r>
        <w:rPr>
          <w:color w:val="231F20"/>
          <w:spacing w:val="-4"/>
        </w:rPr>
        <w:t> </w:t>
      </w:r>
      <w:r>
        <w:rPr>
          <w:color w:val="231F20"/>
        </w:rPr>
        <w:t>bien</w:t>
      </w:r>
      <w:r>
        <w:rPr>
          <w:color w:val="231F20"/>
          <w:spacing w:val="-4"/>
        </w:rPr>
        <w:t> </w:t>
      </w:r>
      <w:r>
        <w:rPr>
          <w:color w:val="231F20"/>
        </w:rPr>
        <w:t>se</w:t>
      </w:r>
      <w:r>
        <w:rPr>
          <w:color w:val="231F20"/>
          <w:spacing w:val="-4"/>
        </w:rPr>
        <w:t> </w:t>
      </w:r>
      <w:r>
        <w:rPr>
          <w:color w:val="231F20"/>
        </w:rPr>
        <w:t>reduce,</w:t>
      </w:r>
      <w:r>
        <w:rPr>
          <w:color w:val="231F20"/>
          <w:spacing w:val="-4"/>
        </w:rPr>
        <w:t> </w:t>
      </w:r>
      <w:r>
        <w:rPr>
          <w:color w:val="231F20"/>
        </w:rPr>
        <w:t>aún</w:t>
      </w:r>
      <w:r>
        <w:rPr>
          <w:color w:val="231F20"/>
          <w:spacing w:val="-4"/>
        </w:rPr>
        <w:t> </w:t>
      </w:r>
      <w:r>
        <w:rPr>
          <w:color w:val="231F20"/>
        </w:rPr>
        <w:t>en</w:t>
      </w:r>
      <w:r>
        <w:rPr>
          <w:color w:val="231F20"/>
          <w:spacing w:val="-4"/>
        </w:rPr>
        <w:t> </w:t>
      </w:r>
      <w:r>
        <w:rPr>
          <w:color w:val="231F20"/>
        </w:rPr>
        <w:t>2013</w:t>
      </w:r>
      <w:r>
        <w:rPr>
          <w:color w:val="231F20"/>
          <w:spacing w:val="-4"/>
        </w:rPr>
        <w:t> </w:t>
      </w:r>
      <w:r>
        <w:rPr>
          <w:color w:val="231F20"/>
        </w:rPr>
        <w:t>se</w:t>
      </w:r>
      <w:r>
        <w:rPr>
          <w:color w:val="231F20"/>
          <w:spacing w:val="-4"/>
        </w:rPr>
        <w:t> </w:t>
      </w:r>
      <w:r>
        <w:rPr>
          <w:color w:val="231F20"/>
        </w:rPr>
        <w:t>mantiene por sobre ocho por ciento a nivel agregado. Lo relevante en todo caso,  es que esta tendencia del desempleo no se reproduce por igual entre los distintos</w:t>
      </w:r>
      <w:r>
        <w:rPr>
          <w:color w:val="231F20"/>
          <w:spacing w:val="-10"/>
        </w:rPr>
        <w:t> </w:t>
      </w:r>
      <w:r>
        <w:rPr>
          <w:color w:val="231F20"/>
        </w:rPr>
        <w:t>grupos</w:t>
      </w:r>
      <w:r>
        <w:rPr>
          <w:color w:val="231F20"/>
          <w:spacing w:val="-10"/>
        </w:rPr>
        <w:t> </w:t>
      </w:r>
      <w:r>
        <w:rPr>
          <w:color w:val="231F20"/>
        </w:rPr>
        <w:t>étnicos</w:t>
      </w:r>
      <w:r>
        <w:rPr>
          <w:color w:val="231F20"/>
          <w:spacing w:val="-11"/>
        </w:rPr>
        <w:t> </w:t>
      </w:r>
      <w:r>
        <w:rPr>
          <w:color w:val="231F20"/>
        </w:rPr>
        <w:t>y</w:t>
      </w:r>
      <w:r>
        <w:rPr>
          <w:color w:val="231F20"/>
          <w:spacing w:val="-10"/>
        </w:rPr>
        <w:t> </w:t>
      </w:r>
      <w:r>
        <w:rPr>
          <w:color w:val="231F20"/>
        </w:rPr>
        <w:t>migratorios</w:t>
      </w:r>
      <w:r>
        <w:rPr>
          <w:color w:val="231F20"/>
          <w:spacing w:val="-10"/>
        </w:rPr>
        <w:t> </w:t>
      </w:r>
      <w:r>
        <w:rPr>
          <w:color w:val="231F20"/>
        </w:rPr>
        <w:t>que</w:t>
      </w:r>
      <w:r>
        <w:rPr>
          <w:color w:val="231F20"/>
          <w:spacing w:val="-10"/>
        </w:rPr>
        <w:t> </w:t>
      </w:r>
      <w:r>
        <w:rPr>
          <w:color w:val="231F20"/>
        </w:rPr>
        <w:t>componen</w:t>
      </w:r>
      <w:r>
        <w:rPr>
          <w:color w:val="231F20"/>
          <w:spacing w:val="-11"/>
        </w:rPr>
        <w:t> </w:t>
      </w:r>
      <w:r>
        <w:rPr>
          <w:color w:val="231F20"/>
        </w:rPr>
        <w:t>la</w:t>
      </w:r>
      <w:r>
        <w:rPr>
          <w:color w:val="231F20"/>
          <w:spacing w:val="-10"/>
        </w:rPr>
        <w:t> </w:t>
      </w:r>
      <w:r>
        <w:rPr>
          <w:color w:val="231F20"/>
        </w:rPr>
        <w:t>fuerza</w:t>
      </w:r>
      <w:r>
        <w:rPr>
          <w:color w:val="231F20"/>
          <w:spacing w:val="-10"/>
        </w:rPr>
        <w:t> </w:t>
      </w:r>
      <w:r>
        <w:rPr>
          <w:color w:val="231F20"/>
        </w:rPr>
        <w:t>de</w:t>
      </w:r>
      <w:r>
        <w:rPr>
          <w:color w:val="231F20"/>
          <w:spacing w:val="-10"/>
        </w:rPr>
        <w:t> </w:t>
      </w:r>
      <w:r>
        <w:rPr>
          <w:color w:val="231F20"/>
        </w:rPr>
        <w:t>trabajo.</w:t>
      </w:r>
    </w:p>
    <w:p>
      <w:pPr>
        <w:pStyle w:val="BodyText"/>
        <w:spacing w:before="4"/>
        <w:rPr>
          <w:sz w:val="27"/>
        </w:rPr>
      </w:pPr>
    </w:p>
    <w:p>
      <w:pPr>
        <w:spacing w:line="252" w:lineRule="auto" w:before="0"/>
        <w:ind w:left="212" w:right="722" w:hanging="40"/>
        <w:jc w:val="left"/>
        <w:rPr>
          <w:sz w:val="17"/>
        </w:rPr>
      </w:pPr>
      <w:r>
        <w:rPr>
          <w:w w:val="95"/>
          <w:sz w:val="17"/>
        </w:rPr>
        <w:t>Gráfica</w:t>
      </w:r>
      <w:r>
        <w:rPr>
          <w:spacing w:val="-17"/>
          <w:w w:val="95"/>
          <w:sz w:val="17"/>
        </w:rPr>
        <w:t> </w:t>
      </w:r>
      <w:r>
        <w:rPr>
          <w:w w:val="95"/>
          <w:sz w:val="17"/>
        </w:rPr>
        <w:t>4.</w:t>
      </w:r>
      <w:r>
        <w:rPr>
          <w:spacing w:val="-17"/>
          <w:w w:val="95"/>
          <w:sz w:val="17"/>
        </w:rPr>
        <w:t> </w:t>
      </w:r>
      <w:r>
        <w:rPr>
          <w:w w:val="95"/>
          <w:sz w:val="17"/>
        </w:rPr>
        <w:t>Estados</w:t>
      </w:r>
      <w:r>
        <w:rPr>
          <w:spacing w:val="-17"/>
          <w:w w:val="95"/>
          <w:sz w:val="17"/>
        </w:rPr>
        <w:t> </w:t>
      </w:r>
      <w:r>
        <w:rPr>
          <w:w w:val="95"/>
          <w:sz w:val="17"/>
        </w:rPr>
        <w:t>Unidos,</w:t>
      </w:r>
      <w:r>
        <w:rPr>
          <w:spacing w:val="-17"/>
          <w:w w:val="95"/>
          <w:sz w:val="17"/>
        </w:rPr>
        <w:t> </w:t>
      </w:r>
      <w:r>
        <w:rPr>
          <w:w w:val="95"/>
          <w:sz w:val="17"/>
        </w:rPr>
        <w:t>2008-2013.</w:t>
      </w:r>
      <w:r>
        <w:rPr>
          <w:spacing w:val="-17"/>
          <w:w w:val="95"/>
          <w:sz w:val="17"/>
        </w:rPr>
        <w:t> </w:t>
      </w:r>
      <w:r>
        <w:rPr>
          <w:w w:val="95"/>
          <w:sz w:val="17"/>
        </w:rPr>
        <w:t>Tasa</w:t>
      </w:r>
      <w:r>
        <w:rPr>
          <w:spacing w:val="-17"/>
          <w:w w:val="95"/>
          <w:sz w:val="17"/>
        </w:rPr>
        <w:t> </w:t>
      </w:r>
      <w:r>
        <w:rPr>
          <w:w w:val="95"/>
          <w:sz w:val="17"/>
        </w:rPr>
        <w:t>de</w:t>
      </w:r>
      <w:r>
        <w:rPr>
          <w:spacing w:val="-17"/>
          <w:w w:val="95"/>
          <w:sz w:val="17"/>
        </w:rPr>
        <w:t> </w:t>
      </w:r>
      <w:r>
        <w:rPr>
          <w:w w:val="95"/>
          <w:sz w:val="17"/>
        </w:rPr>
        <w:t>desempleo</w:t>
      </w:r>
      <w:r>
        <w:rPr>
          <w:spacing w:val="-17"/>
          <w:w w:val="95"/>
          <w:sz w:val="17"/>
        </w:rPr>
        <w:t> </w:t>
      </w:r>
      <w:r>
        <w:rPr>
          <w:w w:val="95"/>
          <w:sz w:val="17"/>
        </w:rPr>
        <w:t>según</w:t>
      </w:r>
      <w:r>
        <w:rPr>
          <w:spacing w:val="-17"/>
          <w:w w:val="95"/>
          <w:sz w:val="17"/>
        </w:rPr>
        <w:t> </w:t>
      </w:r>
      <w:r>
        <w:rPr>
          <w:w w:val="95"/>
          <w:sz w:val="17"/>
        </w:rPr>
        <w:t>condición</w:t>
      </w:r>
      <w:r>
        <w:rPr>
          <w:spacing w:val="-17"/>
          <w:w w:val="95"/>
          <w:sz w:val="17"/>
        </w:rPr>
        <w:t> </w:t>
      </w:r>
      <w:r>
        <w:rPr>
          <w:w w:val="95"/>
          <w:sz w:val="17"/>
        </w:rPr>
        <w:t>étnica y</w:t>
      </w:r>
      <w:r>
        <w:rPr>
          <w:spacing w:val="-17"/>
          <w:w w:val="95"/>
          <w:sz w:val="17"/>
        </w:rPr>
        <w:t> </w:t>
      </w:r>
      <w:r>
        <w:rPr>
          <w:w w:val="95"/>
          <w:sz w:val="17"/>
        </w:rPr>
        <w:t>migratoria</w:t>
      </w:r>
      <w:r>
        <w:rPr>
          <w:spacing w:val="-17"/>
          <w:w w:val="95"/>
          <w:sz w:val="17"/>
        </w:rPr>
        <w:t> </w:t>
      </w:r>
      <w:r>
        <w:rPr>
          <w:w w:val="95"/>
          <w:sz w:val="17"/>
        </w:rPr>
        <w:t>de</w:t>
      </w:r>
      <w:r>
        <w:rPr>
          <w:spacing w:val="-17"/>
          <w:w w:val="95"/>
          <w:sz w:val="17"/>
        </w:rPr>
        <w:t> </w:t>
      </w:r>
      <w:r>
        <w:rPr>
          <w:w w:val="95"/>
          <w:sz w:val="17"/>
        </w:rPr>
        <w:t>la</w:t>
      </w:r>
      <w:r>
        <w:rPr>
          <w:spacing w:val="-17"/>
          <w:w w:val="95"/>
          <w:sz w:val="17"/>
        </w:rPr>
        <w:t> </w:t>
      </w:r>
      <w:r>
        <w:rPr>
          <w:w w:val="95"/>
          <w:sz w:val="17"/>
        </w:rPr>
        <w:t>fuerza</w:t>
      </w:r>
      <w:r>
        <w:rPr>
          <w:spacing w:val="-17"/>
          <w:w w:val="95"/>
          <w:sz w:val="17"/>
        </w:rPr>
        <w:t> </w:t>
      </w:r>
      <w:r>
        <w:rPr>
          <w:w w:val="95"/>
          <w:sz w:val="17"/>
        </w:rPr>
        <w:t>de</w:t>
      </w:r>
      <w:r>
        <w:rPr>
          <w:spacing w:val="-17"/>
          <w:w w:val="95"/>
          <w:sz w:val="17"/>
        </w:rPr>
        <w:t> </w:t>
      </w:r>
      <w:r>
        <w:rPr>
          <w:w w:val="95"/>
          <w:sz w:val="17"/>
        </w:rPr>
        <w:t>trabajo</w:t>
      </w:r>
    </w:p>
    <w:p>
      <w:pPr>
        <w:pStyle w:val="BodyText"/>
        <w:spacing w:before="10"/>
        <w:rPr>
          <w:sz w:val="10"/>
        </w:rPr>
      </w:pPr>
    </w:p>
    <w:p>
      <w:pPr>
        <w:spacing w:before="75"/>
        <w:ind w:left="114" w:right="314" w:firstLine="0"/>
        <w:jc w:val="left"/>
        <w:rPr>
          <w:sz w:val="18"/>
        </w:rPr>
      </w:pPr>
      <w:r>
        <w:rPr/>
        <w:pict>
          <v:group style="position:absolute;margin-left:59.111462pt;margin-top:8.307713pt;width:271.150pt;height:176pt;mso-position-horizontal-relative:page;mso-position-vertical-relative:paragraph;z-index:5824" coordorigin="1182,166" coordsize="5423,3520">
            <v:shape style="position:absolute;left:-62;top:7271;width:6916;height:3940" coordorigin="-62,7271" coordsize="6916,3940" path="m1235,3629l1235,172m1187,3627l1235,3627m1187,3246l1235,3246m1187,2861l1235,2861m1187,2476l1235,2476m1187,2091l1235,2091m1187,1711l1235,1711m1187,1326l1235,1326m1187,941l1235,941m1187,556l1235,556m1187,171l1235,171m1235,3629l6600,3629m1236,3627l1236,3682m2130,3627l2130,3682m3024,3627l3024,3682m3918,3627l3918,3682m4813,3627l4813,3682m5707,3627l5707,3682m6600,3627l6600,3682e" filled="false" stroked="true" strokeweight=".418491pt" strokecolor="#000000">
              <v:path arrowok="t"/>
            </v:shape>
            <v:shape style="position:absolute;left:0;top:6891;width:5711;height:2074" coordorigin="0,6891" coordsize="5711,2074" path="m1683,1880l2577,1022,3471,556,4365,423,5260,701,6153,876m1683,2271l2577,1403,3471,1484,4365,1407,5260,1792,6153,1959e" filled="false" stroked="true" strokeweight=".836983pt" strokecolor="#000000">
              <v:path arrowok="t"/>
            </v:shape>
            <v:shape style="position:absolute;left:1683;top:1779;width:4470;height:884" coordorigin="1683,1779" coordsize="4470,884" path="m1683,2663l2577,1942,3471,1779,4365,1809,5260,1976,6153,2117e" filled="false" stroked="true" strokeweight=".887109pt" strokecolor="#000000">
              <v:path arrowok="t"/>
              <v:stroke dashstyle="longDash"/>
            </v:shape>
            <v:shape style="position:absolute;left:0;top:7274;width:5711;height:979" coordorigin="0,7274" coordsize="5711,979" path="m1683,2831l2577,2130,3471,2019,4365,2126,5260,2267,6153,2378m1683,2882l2577,2434,3471,2108,4365,2010,5260,2164,6153,2361e" filled="false" stroked="true" strokeweight=".418491pt" strokecolor="#000000">
              <v:path arrowok="t"/>
            </v:shape>
            <v:shape style="position:absolute;left:5172;top:600;width:172;height:196" type="#_x0000_t75" stroked="false">
              <v:imagedata r:id="rId171" o:title=""/>
            </v:shape>
            <v:shape style="position:absolute;left:3325;top:458;width:297;height:1836" type="#_x0000_t75" stroked="false">
              <v:imagedata r:id="rId172" o:title=""/>
            </v:shape>
            <v:shape style="position:absolute;left:4217;top:333;width:297;height:1996" type="#_x0000_t75" stroked="false">
              <v:imagedata r:id="rId173" o:title=""/>
            </v:shape>
            <v:shape style="position:absolute;left:5109;top:1670;width:297;height:802" type="#_x0000_t75" stroked="false">
              <v:imagedata r:id="rId174" o:title=""/>
            </v:shape>
            <v:shape style="position:absolute;left:6002;top:779;width:297;height:1800" type="#_x0000_t75" stroked="false">
              <v:imagedata r:id="rId175" o:title=""/>
            </v:shape>
            <v:shape style="position:absolute;left:2432;top:921;width:297;height:1711" type="#_x0000_t75" stroked="false">
              <v:imagedata r:id="rId176" o:title=""/>
            </v:shape>
            <v:shape style="position:absolute;left:1524;top:1777;width:313;height:1301" type="#_x0000_t75" stroked="false">
              <v:imagedata r:id="rId177" o:title=""/>
            </v:shape>
            <v:shape style="position:absolute;left:3751;top:1408;width:679;height:214" type="#_x0000_t202" filled="false" stroked="false">
              <v:textbox inset="0,0,0,0">
                <w:txbxContent>
                  <w:p>
                    <w:pPr>
                      <w:spacing w:line="214" w:lineRule="exact" w:before="0"/>
                      <w:ind w:left="0" w:right="0" w:firstLine="0"/>
                      <w:jc w:val="left"/>
                      <w:rPr>
                        <w:sz w:val="21"/>
                      </w:rPr>
                    </w:pPr>
                    <w:r>
                      <w:rPr>
                        <w:w w:val="85"/>
                        <w:sz w:val="21"/>
                      </w:rPr>
                      <w:t>Nacional</w:t>
                    </w:r>
                  </w:p>
                </w:txbxContent>
              </v:textbox>
              <w10:wrap type="none"/>
            </v:shape>
            <w10:wrap type="none"/>
          </v:group>
        </w:pict>
      </w:r>
      <w:r>
        <w:rPr>
          <w:w w:val="95"/>
          <w:sz w:val="18"/>
        </w:rPr>
        <w:t>18%</w:t>
      </w:r>
    </w:p>
    <w:p>
      <w:pPr>
        <w:pStyle w:val="BodyText"/>
        <w:spacing w:before="9"/>
        <w:rPr>
          <w:sz w:val="8"/>
        </w:rPr>
      </w:pPr>
    </w:p>
    <w:p>
      <w:pPr>
        <w:spacing w:before="76"/>
        <w:ind w:left="114" w:right="314" w:firstLine="0"/>
        <w:jc w:val="left"/>
        <w:rPr>
          <w:sz w:val="18"/>
        </w:rPr>
      </w:pPr>
      <w:r>
        <w:rPr>
          <w:w w:val="95"/>
          <w:sz w:val="18"/>
        </w:rPr>
        <w:t>16%</w:t>
      </w:r>
    </w:p>
    <w:p>
      <w:pPr>
        <w:pStyle w:val="BodyText"/>
        <w:spacing w:before="9"/>
        <w:rPr>
          <w:sz w:val="8"/>
        </w:rPr>
      </w:pPr>
    </w:p>
    <w:p>
      <w:pPr>
        <w:spacing w:before="76"/>
        <w:ind w:left="114" w:right="314" w:firstLine="0"/>
        <w:jc w:val="left"/>
        <w:rPr>
          <w:sz w:val="18"/>
        </w:rPr>
      </w:pPr>
      <w:r>
        <w:rPr>
          <w:w w:val="95"/>
          <w:sz w:val="18"/>
        </w:rPr>
        <w:t>14%</w:t>
      </w:r>
    </w:p>
    <w:p>
      <w:pPr>
        <w:pStyle w:val="BodyText"/>
        <w:spacing w:before="9"/>
        <w:rPr>
          <w:sz w:val="8"/>
        </w:rPr>
      </w:pPr>
    </w:p>
    <w:p>
      <w:pPr>
        <w:spacing w:before="76"/>
        <w:ind w:left="114" w:right="314" w:firstLine="0"/>
        <w:jc w:val="left"/>
        <w:rPr>
          <w:sz w:val="18"/>
        </w:rPr>
      </w:pPr>
      <w:r>
        <w:rPr>
          <w:w w:val="95"/>
          <w:sz w:val="18"/>
        </w:rPr>
        <w:t>12%</w:t>
      </w:r>
    </w:p>
    <w:p>
      <w:pPr>
        <w:pStyle w:val="BodyText"/>
        <w:spacing w:before="9"/>
        <w:rPr>
          <w:sz w:val="8"/>
        </w:rPr>
      </w:pPr>
    </w:p>
    <w:p>
      <w:pPr>
        <w:spacing w:before="76"/>
        <w:ind w:left="114" w:right="314" w:firstLine="0"/>
        <w:jc w:val="left"/>
        <w:rPr>
          <w:sz w:val="18"/>
        </w:rPr>
      </w:pPr>
      <w:r>
        <w:rPr>
          <w:w w:val="95"/>
          <w:sz w:val="18"/>
        </w:rPr>
        <w:t>10%</w:t>
      </w:r>
    </w:p>
    <w:p>
      <w:pPr>
        <w:pStyle w:val="BodyText"/>
        <w:spacing w:before="9"/>
        <w:rPr>
          <w:sz w:val="8"/>
        </w:rPr>
      </w:pPr>
    </w:p>
    <w:p>
      <w:pPr>
        <w:spacing w:before="76"/>
        <w:ind w:left="193" w:right="314" w:firstLine="0"/>
        <w:jc w:val="left"/>
        <w:rPr>
          <w:sz w:val="18"/>
        </w:rPr>
      </w:pPr>
      <w:r>
        <w:rPr>
          <w:w w:val="95"/>
          <w:sz w:val="18"/>
        </w:rPr>
        <w:t>8%</w:t>
      </w:r>
    </w:p>
    <w:p>
      <w:pPr>
        <w:pStyle w:val="BodyText"/>
        <w:spacing w:before="9"/>
        <w:rPr>
          <w:sz w:val="8"/>
        </w:rPr>
      </w:pPr>
    </w:p>
    <w:p>
      <w:pPr>
        <w:spacing w:before="76"/>
        <w:ind w:left="193" w:right="314" w:firstLine="0"/>
        <w:jc w:val="left"/>
        <w:rPr>
          <w:sz w:val="18"/>
        </w:rPr>
      </w:pPr>
      <w:r>
        <w:rPr>
          <w:w w:val="95"/>
          <w:sz w:val="18"/>
        </w:rPr>
        <w:t>6%</w:t>
      </w:r>
    </w:p>
    <w:p>
      <w:pPr>
        <w:pStyle w:val="BodyText"/>
        <w:spacing w:before="9"/>
        <w:rPr>
          <w:sz w:val="8"/>
        </w:rPr>
      </w:pPr>
    </w:p>
    <w:p>
      <w:pPr>
        <w:spacing w:before="76"/>
        <w:ind w:left="193" w:right="314" w:firstLine="0"/>
        <w:jc w:val="left"/>
        <w:rPr>
          <w:sz w:val="18"/>
        </w:rPr>
      </w:pPr>
      <w:r>
        <w:rPr>
          <w:w w:val="95"/>
          <w:sz w:val="18"/>
        </w:rPr>
        <w:t>4%</w:t>
      </w:r>
    </w:p>
    <w:p>
      <w:pPr>
        <w:pStyle w:val="BodyText"/>
        <w:spacing w:before="9"/>
        <w:rPr>
          <w:sz w:val="8"/>
        </w:rPr>
      </w:pPr>
    </w:p>
    <w:p>
      <w:pPr>
        <w:spacing w:before="76"/>
        <w:ind w:left="193" w:right="314" w:firstLine="0"/>
        <w:jc w:val="left"/>
        <w:rPr>
          <w:sz w:val="18"/>
        </w:rPr>
      </w:pPr>
      <w:r>
        <w:rPr>
          <w:w w:val="95"/>
          <w:sz w:val="18"/>
        </w:rPr>
        <w:t>2%</w:t>
      </w:r>
    </w:p>
    <w:p>
      <w:pPr>
        <w:pStyle w:val="BodyText"/>
        <w:spacing w:before="9"/>
        <w:rPr>
          <w:sz w:val="8"/>
        </w:rPr>
      </w:pPr>
    </w:p>
    <w:p>
      <w:pPr>
        <w:spacing w:before="76"/>
        <w:ind w:left="193" w:right="314" w:firstLine="0"/>
        <w:jc w:val="left"/>
        <w:rPr>
          <w:sz w:val="18"/>
        </w:rPr>
      </w:pPr>
      <w:r>
        <w:rPr>
          <w:w w:val="95"/>
          <w:sz w:val="18"/>
        </w:rPr>
        <w:t>0%</w:t>
      </w:r>
    </w:p>
    <w:p>
      <w:pPr>
        <w:tabs>
          <w:tab w:pos="1719" w:val="left" w:leader="none"/>
          <w:tab w:pos="2613" w:val="left" w:leader="none"/>
          <w:tab w:pos="3510" w:val="left" w:leader="none"/>
          <w:tab w:pos="4401" w:val="left" w:leader="none"/>
          <w:tab w:pos="5295" w:val="left" w:leader="none"/>
        </w:tabs>
        <w:spacing w:before="5"/>
        <w:ind w:left="825" w:right="314" w:firstLine="0"/>
        <w:jc w:val="left"/>
        <w:rPr>
          <w:sz w:val="18"/>
        </w:rPr>
      </w:pPr>
      <w:r>
        <w:rPr>
          <w:w w:val="95"/>
          <w:sz w:val="18"/>
        </w:rPr>
        <w:t>2008</w:t>
        <w:tab/>
        <w:t>2009</w:t>
        <w:tab/>
        <w:t>2010</w:t>
        <w:tab/>
        <w:t>2011</w:t>
        <w:tab/>
        <w:t>2012</w:t>
        <w:tab/>
        <w:t>2013</w:t>
      </w:r>
    </w:p>
    <w:p>
      <w:pPr>
        <w:pStyle w:val="BodyText"/>
        <w:spacing w:before="4"/>
        <w:rPr>
          <w:sz w:val="26"/>
        </w:rPr>
      </w:pPr>
    </w:p>
    <w:p>
      <w:pPr>
        <w:tabs>
          <w:tab w:pos="2658" w:val="left" w:leader="none"/>
          <w:tab w:pos="3098" w:val="left" w:leader="none"/>
          <w:tab w:pos="4942" w:val="left" w:leader="none"/>
        </w:tabs>
        <w:spacing w:line="372" w:lineRule="auto" w:before="75"/>
        <w:ind w:left="1270" w:right="537" w:firstLine="0"/>
        <w:jc w:val="left"/>
        <w:rPr>
          <w:sz w:val="18"/>
        </w:rPr>
      </w:pPr>
      <w:r>
        <w:rPr/>
        <w:pict>
          <v:group style="position:absolute;margin-left:76.282875pt;margin-top:3.090309pt;width:20.65pt;height:10pt;mso-position-horizontal-relative:page;mso-position-vertical-relative:paragraph;z-index:5848" coordorigin="1526,62" coordsize="413,200">
            <v:shape style="position:absolute;left:1526;top:62;width:412;height:199" type="#_x0000_t75" stroked="false">
              <v:imagedata r:id="rId178" o:title=""/>
            </v:shape>
            <v:line style="position:absolute" from="1535,163" to="1686,163" stroked="true" strokeweight=".89119pt" strokecolor="#000000"/>
            <w10:wrap type="none"/>
          </v:group>
        </w:pict>
      </w:r>
      <w:r>
        <w:rPr/>
        <w:pict>
          <v:group style="position:absolute;margin-left:167.681366pt;margin-top:4.501061pt;width:20.65pt;height:7.15pt;mso-position-horizontal-relative:page;mso-position-vertical-relative:paragraph;z-index:-332032" coordorigin="3354,90" coordsize="413,143">
            <v:shape style="position:absolute;left:0;top:3075;width:504;height:2" coordorigin="0,3075" coordsize="504,0" path="m3606,163l3757,163m3363,163l3513,163e" filled="false" stroked="true" strokeweight=".836983pt" strokecolor="#000000">
              <v:path arrowok="t"/>
            </v:shape>
            <v:shape style="position:absolute;left:-62;top:2955;width:120;height:120" coordorigin="-62,2955" coordsize="120,120" path="m3561,108l3561,215m3513,164l3606,164e" filled="false" stroked="true" strokeweight="1.883211pt" strokecolor="#000000">
              <v:path arrowok="t"/>
            </v:shape>
            <w10:wrap type="none"/>
          </v:group>
        </w:pict>
      </w:r>
      <w:r>
        <w:rPr/>
        <w:pict>
          <v:line style="position:absolute;mso-position-horizontal-relative:page;mso-position-vertical-relative:paragraph;z-index:-332008" from="259.529846pt,8.173552pt" to="279.255016pt,8.173552pt" stroked="true" strokeweight=".89119pt" strokecolor="#000000">
            <v:stroke dashstyle="longDash"/>
            <w10:wrap type="none"/>
          </v:line>
        </w:pict>
      </w:r>
      <w:r>
        <w:rPr/>
        <w:pict>
          <v:group style="position:absolute;margin-left:76.507874pt;margin-top:20.792475pt;width:20.2pt;height:6.65pt;mso-position-horizontal-relative:page;mso-position-vertical-relative:paragraph;z-index:5920" coordorigin="1530,416" coordsize="404,133">
            <v:line style="position:absolute" from="1535,484" to="1929,484" stroked="true" strokeweight=".445595pt" strokecolor="#000000"/>
            <v:shape style="position:absolute;left:1686;top:429;width:92;height:107" type="#_x0000_t75" stroked="false">
              <v:imagedata r:id="rId179" o:title=""/>
            </v:shape>
            <v:shape style="position:absolute;left:-118;top:3075;width:119;height:120" coordorigin="-118,3075" coordsize="119,120" path="m1779,536l1686,429m1732,429l1732,536m1686,536l1779,429e" filled="false" stroked="true" strokeweight="1.255474pt" strokecolor="#000000">
              <v:path arrowok="t"/>
            </v:shape>
            <w10:wrap type="none"/>
          </v:group>
        </w:pict>
      </w:r>
      <w:r>
        <w:rPr>
          <w:w w:val="95"/>
          <w:sz w:val="18"/>
        </w:rPr>
        <w:t>Afro</w:t>
      </w:r>
      <w:r>
        <w:rPr>
          <w:spacing w:val="-30"/>
          <w:w w:val="95"/>
          <w:sz w:val="18"/>
        </w:rPr>
        <w:t> </w:t>
      </w:r>
      <w:r>
        <w:rPr>
          <w:w w:val="95"/>
          <w:sz w:val="18"/>
        </w:rPr>
        <w:t>americanos</w:t>
        <w:tab/>
        <w:tab/>
      </w:r>
      <w:r>
        <w:rPr>
          <w:w w:val="90"/>
          <w:sz w:val="18"/>
        </w:rPr>
        <w:t>Inmigrantes</w:t>
      </w:r>
      <w:r>
        <w:rPr>
          <w:spacing w:val="-13"/>
          <w:w w:val="90"/>
          <w:sz w:val="18"/>
        </w:rPr>
        <w:t> </w:t>
      </w:r>
      <w:r>
        <w:rPr>
          <w:w w:val="90"/>
          <w:sz w:val="18"/>
        </w:rPr>
        <w:t>latinos</w:t>
        <w:tab/>
      </w:r>
      <w:r>
        <w:rPr>
          <w:w w:val="85"/>
          <w:sz w:val="18"/>
        </w:rPr>
        <w:t>Nacional </w:t>
      </w:r>
      <w:r>
        <w:rPr>
          <w:w w:val="90"/>
          <w:sz w:val="18"/>
        </w:rPr>
        <w:t>Blancos</w:t>
      </w:r>
      <w:r>
        <w:rPr>
          <w:spacing w:val="-21"/>
          <w:w w:val="90"/>
          <w:sz w:val="18"/>
        </w:rPr>
        <w:t> </w:t>
      </w:r>
      <w:r>
        <w:rPr>
          <w:w w:val="90"/>
          <w:sz w:val="18"/>
        </w:rPr>
        <w:t>no</w:t>
      </w:r>
      <w:r>
        <w:rPr>
          <w:spacing w:val="-21"/>
          <w:w w:val="90"/>
          <w:sz w:val="18"/>
        </w:rPr>
        <w:t> </w:t>
      </w:r>
      <w:r>
        <w:rPr>
          <w:w w:val="90"/>
          <w:sz w:val="18"/>
        </w:rPr>
        <w:t>latinos</w:t>
        <w:tab/>
      </w:r>
      <w:r>
        <w:rPr>
          <w:position w:val="1"/>
          <w:sz w:val="18"/>
        </w:rPr>
        <w:drawing>
          <wp:inline distT="0" distB="0" distL="0" distR="0">
            <wp:extent cx="256178" cy="91825"/>
            <wp:effectExtent l="0" t="0" r="0" b="0"/>
            <wp:docPr id="5" name="image84.png" descr=""/>
            <wp:cNvGraphicFramePr>
              <a:graphicFrameLocks noChangeAspect="1"/>
            </wp:cNvGraphicFramePr>
            <a:graphic>
              <a:graphicData uri="http://schemas.openxmlformats.org/drawingml/2006/picture">
                <pic:pic>
                  <pic:nvPicPr>
                    <pic:cNvPr id="6" name="image84.png"/>
                    <pic:cNvPicPr/>
                  </pic:nvPicPr>
                  <pic:blipFill>
                    <a:blip r:embed="rId180" cstate="print"/>
                    <a:stretch>
                      <a:fillRect/>
                    </a:stretch>
                  </pic:blipFill>
                  <pic:spPr>
                    <a:xfrm>
                      <a:off x="0" y="0"/>
                      <a:ext cx="256178" cy="91825"/>
                    </a:xfrm>
                    <a:prstGeom prst="rect">
                      <a:avLst/>
                    </a:prstGeom>
                  </pic:spPr>
                </pic:pic>
              </a:graphicData>
            </a:graphic>
          </wp:inline>
        </w:drawing>
      </w:r>
      <w:r>
        <w:rPr>
          <w:position w:val="1"/>
          <w:sz w:val="18"/>
        </w:rPr>
      </w:r>
      <w:r>
        <w:rPr>
          <w:w w:val="85"/>
          <w:sz w:val="18"/>
        </w:rPr>
        <w:t>Otros</w:t>
      </w:r>
      <w:r>
        <w:rPr>
          <w:spacing w:val="25"/>
          <w:w w:val="85"/>
          <w:sz w:val="18"/>
        </w:rPr>
        <w:t> </w:t>
      </w:r>
      <w:r>
        <w:rPr>
          <w:w w:val="85"/>
          <w:sz w:val="18"/>
        </w:rPr>
        <w:t>inmigrantes</w:t>
      </w:r>
    </w:p>
    <w:p>
      <w:pPr>
        <w:spacing w:line="128" w:lineRule="exact" w:before="0"/>
        <w:ind w:left="197" w:right="314" w:firstLine="0"/>
        <w:jc w:val="left"/>
        <w:rPr>
          <w:sz w:val="14"/>
        </w:rPr>
      </w:pPr>
      <w:r>
        <w:rPr>
          <w:w w:val="90"/>
          <w:sz w:val="14"/>
        </w:rPr>
        <w:t>Fuente: Current Population Survey, March Supplement (CPS).</w:t>
      </w:r>
    </w:p>
    <w:p>
      <w:pPr>
        <w:pStyle w:val="BodyText"/>
        <w:spacing w:before="8"/>
        <w:rPr>
          <w:sz w:val="12"/>
        </w:rPr>
      </w:pPr>
    </w:p>
    <w:p>
      <w:pPr>
        <w:pStyle w:val="BodyText"/>
        <w:spacing w:line="249" w:lineRule="auto"/>
        <w:ind w:left="150" w:right="111" w:firstLine="283"/>
        <w:jc w:val="both"/>
      </w:pPr>
      <w:r>
        <w:rPr>
          <w:color w:val="231F20"/>
        </w:rPr>
        <w:t>Sin duda, el grupo más afectado corresponde a los trabajadores afroamericanos para quienes la tasa de desempleo se dispara, pasando de 9.1 por ciento en 2008 a 16 por ciento en 2010 y a 16.7 por ciento en 2011.</w:t>
      </w:r>
    </w:p>
    <w:p>
      <w:pPr>
        <w:spacing w:after="0" w:line="249" w:lineRule="auto"/>
        <w:jc w:val="both"/>
        <w:sectPr>
          <w:pgSz w:w="7770" w:h="11740"/>
          <w:pgMar w:header="0" w:footer="474" w:top="840" w:bottom="740" w:left="700" w:right="1020"/>
        </w:sectPr>
      </w:pPr>
    </w:p>
    <w:p>
      <w:pPr>
        <w:pStyle w:val="BodyText"/>
        <w:spacing w:line="249" w:lineRule="auto" w:before="60"/>
        <w:ind w:left="113" w:right="108" w:firstLine="283"/>
        <w:jc w:val="both"/>
      </w:pPr>
      <w:r>
        <w:rPr>
          <w:color w:val="231F20"/>
        </w:rPr>
        <w:t>A partir de entonces si bien inicia una recuperación, ésta es bastante moderada de tal modo que aún en marzo del 2013 la tasa de desempleo se</w:t>
      </w:r>
      <w:r>
        <w:rPr>
          <w:color w:val="231F20"/>
          <w:spacing w:val="-6"/>
        </w:rPr>
        <w:t> </w:t>
      </w:r>
      <w:r>
        <w:rPr>
          <w:color w:val="231F20"/>
        </w:rPr>
        <w:t>mantenía</w:t>
      </w:r>
      <w:r>
        <w:rPr>
          <w:color w:val="231F20"/>
          <w:spacing w:val="-7"/>
        </w:rPr>
        <w:t> </w:t>
      </w:r>
      <w:r>
        <w:rPr>
          <w:color w:val="231F20"/>
        </w:rPr>
        <w:t>por</w:t>
      </w:r>
      <w:r>
        <w:rPr>
          <w:color w:val="231F20"/>
          <w:spacing w:val="-6"/>
        </w:rPr>
        <w:t> </w:t>
      </w:r>
      <w:r>
        <w:rPr>
          <w:color w:val="231F20"/>
        </w:rPr>
        <w:t>sobre</w:t>
      </w:r>
      <w:r>
        <w:rPr>
          <w:color w:val="231F20"/>
          <w:spacing w:val="-6"/>
        </w:rPr>
        <w:t> </w:t>
      </w:r>
      <w:r>
        <w:rPr>
          <w:color w:val="231F20"/>
        </w:rPr>
        <w:t>14</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fuerza</w:t>
      </w:r>
      <w:r>
        <w:rPr>
          <w:color w:val="231F20"/>
          <w:spacing w:val="-6"/>
        </w:rPr>
        <w:t> </w:t>
      </w:r>
      <w:r>
        <w:rPr>
          <w:color w:val="231F20"/>
        </w:rPr>
        <w:t>de</w:t>
      </w:r>
      <w:r>
        <w:rPr>
          <w:color w:val="231F20"/>
          <w:spacing w:val="-6"/>
        </w:rPr>
        <w:t> </w:t>
      </w:r>
      <w:r>
        <w:rPr>
          <w:color w:val="231F20"/>
        </w:rPr>
        <w:t>trabajo.</w:t>
      </w:r>
      <w:r>
        <w:rPr>
          <w:color w:val="231F20"/>
          <w:spacing w:val="-7"/>
        </w:rPr>
        <w:t> </w:t>
      </w:r>
      <w:r>
        <w:rPr>
          <w:color w:val="231F20"/>
        </w:rPr>
        <w:t>Si</w:t>
      </w:r>
      <w:r>
        <w:rPr>
          <w:color w:val="231F20"/>
          <w:spacing w:val="-6"/>
        </w:rPr>
        <w:t> </w:t>
      </w:r>
      <w:r>
        <w:rPr>
          <w:color w:val="231F20"/>
        </w:rPr>
        <w:t>bien</w:t>
      </w:r>
      <w:r>
        <w:rPr>
          <w:color w:val="231F20"/>
          <w:spacing w:val="-6"/>
        </w:rPr>
        <w:t> </w:t>
      </w:r>
      <w:r>
        <w:rPr>
          <w:color w:val="231F20"/>
        </w:rPr>
        <w:t>desde siempre son el grupo étnico con mayor nivel de desempleo, lo cierto es que como consecuencia de la crisis esta diferencia se ha acentuado aún más, de tal modo que aún en 2013, el nivel de desempleo duplicaba al promedio nacional.</w:t>
      </w:r>
    </w:p>
    <w:p>
      <w:pPr>
        <w:pStyle w:val="BodyText"/>
        <w:spacing w:line="249" w:lineRule="auto" w:before="1"/>
        <w:ind w:left="113" w:right="108" w:firstLine="283"/>
        <w:jc w:val="both"/>
      </w:pPr>
      <w:r>
        <w:rPr>
          <w:color w:val="231F20"/>
        </w:rPr>
        <w:t>Por su parte, entre los trabajadores blancos no latinos si bien en un comienzo la tasa de desempleo se incrementa significativamente, pasan- do</w:t>
      </w:r>
      <w:r>
        <w:rPr>
          <w:color w:val="231F20"/>
          <w:spacing w:val="-9"/>
        </w:rPr>
        <w:t> </w:t>
      </w:r>
      <w:r>
        <w:rPr>
          <w:color w:val="231F20"/>
        </w:rPr>
        <w:t>de</w:t>
      </w:r>
      <w:r>
        <w:rPr>
          <w:color w:val="231F20"/>
          <w:spacing w:val="-9"/>
        </w:rPr>
        <w:t> </w:t>
      </w:r>
      <w:r>
        <w:rPr>
          <w:color w:val="231F20"/>
        </w:rPr>
        <w:t>4.1</w:t>
      </w:r>
      <w:r>
        <w:rPr>
          <w:color w:val="231F20"/>
          <w:spacing w:val="-9"/>
        </w:rPr>
        <w:t> </w:t>
      </w:r>
      <w:r>
        <w:rPr>
          <w:color w:val="231F20"/>
        </w:rPr>
        <w:t>por</w:t>
      </w:r>
      <w:r>
        <w:rPr>
          <w:color w:val="231F20"/>
          <w:spacing w:val="-9"/>
        </w:rPr>
        <w:t> </w:t>
      </w:r>
      <w:r>
        <w:rPr>
          <w:color w:val="231F20"/>
        </w:rPr>
        <w:t>ciento</w:t>
      </w:r>
      <w:r>
        <w:rPr>
          <w:color w:val="231F20"/>
          <w:spacing w:val="-10"/>
        </w:rPr>
        <w:t> </w:t>
      </w:r>
      <w:r>
        <w:rPr>
          <w:color w:val="231F20"/>
        </w:rPr>
        <w:t>en</w:t>
      </w:r>
      <w:r>
        <w:rPr>
          <w:color w:val="231F20"/>
          <w:spacing w:val="-10"/>
        </w:rPr>
        <w:t> </w:t>
      </w:r>
      <w:r>
        <w:rPr>
          <w:color w:val="231F20"/>
        </w:rPr>
        <w:t>2008</w:t>
      </w:r>
      <w:r>
        <w:rPr>
          <w:color w:val="231F20"/>
          <w:spacing w:val="-9"/>
        </w:rPr>
        <w:t> </w:t>
      </w:r>
      <w:r>
        <w:rPr>
          <w:color w:val="231F20"/>
        </w:rPr>
        <w:t>a</w:t>
      </w:r>
      <w:r>
        <w:rPr>
          <w:color w:val="231F20"/>
          <w:spacing w:val="-9"/>
        </w:rPr>
        <w:t> </w:t>
      </w:r>
      <w:r>
        <w:rPr>
          <w:color w:val="231F20"/>
        </w:rPr>
        <w:t>7.8</w:t>
      </w:r>
      <w:r>
        <w:rPr>
          <w:color w:val="231F20"/>
          <w:spacing w:val="-9"/>
        </w:rPr>
        <w:t> </w:t>
      </w:r>
      <w:r>
        <w:rPr>
          <w:color w:val="231F20"/>
        </w:rPr>
        <w:t>por</w:t>
      </w:r>
      <w:r>
        <w:rPr>
          <w:color w:val="231F20"/>
          <w:spacing w:val="-9"/>
        </w:rPr>
        <w:t> </w:t>
      </w:r>
      <w:r>
        <w:rPr>
          <w:color w:val="231F20"/>
        </w:rPr>
        <w:t>ciento</w:t>
      </w:r>
      <w:r>
        <w:rPr>
          <w:color w:val="231F20"/>
          <w:spacing w:val="-10"/>
        </w:rPr>
        <w:t> </w:t>
      </w:r>
      <w:r>
        <w:rPr>
          <w:color w:val="231F20"/>
        </w:rPr>
        <w:t>en</w:t>
      </w:r>
      <w:r>
        <w:rPr>
          <w:color w:val="231F20"/>
          <w:spacing w:val="-10"/>
        </w:rPr>
        <w:t> </w:t>
      </w:r>
      <w:r>
        <w:rPr>
          <w:color w:val="231F20"/>
        </w:rPr>
        <w:t>2009,</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rPr>
        <w:t>entonces se estabiliza manteniéndose en un nivel de ocho por ciento hasta 2011, cuando</w:t>
      </w:r>
      <w:r>
        <w:rPr>
          <w:color w:val="231F20"/>
          <w:spacing w:val="-4"/>
        </w:rPr>
        <w:t> </w:t>
      </w:r>
      <w:r>
        <w:rPr>
          <w:color w:val="231F20"/>
        </w:rPr>
        <w:t>inicia</w:t>
      </w:r>
      <w:r>
        <w:rPr>
          <w:color w:val="231F20"/>
          <w:spacing w:val="-4"/>
        </w:rPr>
        <w:t> </w:t>
      </w:r>
      <w:r>
        <w:rPr>
          <w:color w:val="231F20"/>
        </w:rPr>
        <w:t>un</w:t>
      </w:r>
      <w:r>
        <w:rPr>
          <w:color w:val="231F20"/>
          <w:spacing w:val="-4"/>
        </w:rPr>
        <w:t> </w:t>
      </w:r>
      <w:r>
        <w:rPr>
          <w:color w:val="231F20"/>
        </w:rPr>
        <w:t>importante</w:t>
      </w:r>
      <w:r>
        <w:rPr>
          <w:color w:val="231F20"/>
          <w:spacing w:val="-4"/>
        </w:rPr>
        <w:t> </w:t>
      </w:r>
      <w:r>
        <w:rPr>
          <w:color w:val="231F20"/>
        </w:rPr>
        <w:t>descenso</w:t>
      </w:r>
      <w:r>
        <w:rPr>
          <w:color w:val="231F20"/>
          <w:spacing w:val="-4"/>
        </w:rPr>
        <w:t> </w:t>
      </w:r>
      <w:r>
        <w:rPr>
          <w:color w:val="231F20"/>
        </w:rPr>
        <w:t>para</w:t>
      </w:r>
      <w:r>
        <w:rPr>
          <w:color w:val="231F20"/>
          <w:spacing w:val="-4"/>
        </w:rPr>
        <w:t> </w:t>
      </w:r>
      <w:r>
        <w:rPr>
          <w:color w:val="231F20"/>
        </w:rPr>
        <w:t>ubicarse</w:t>
      </w:r>
      <w:r>
        <w:rPr>
          <w:color w:val="231F20"/>
          <w:spacing w:val="-4"/>
        </w:rPr>
        <w:t> </w:t>
      </w:r>
      <w:r>
        <w:rPr>
          <w:color w:val="231F20"/>
        </w:rPr>
        <w:t>en</w:t>
      </w:r>
      <w:r>
        <w:rPr>
          <w:color w:val="231F20"/>
          <w:spacing w:val="-4"/>
        </w:rPr>
        <w:t> </w:t>
      </w:r>
      <w:r>
        <w:rPr>
          <w:color w:val="231F20"/>
        </w:rPr>
        <w:t>sólo</w:t>
      </w:r>
      <w:r>
        <w:rPr>
          <w:color w:val="231F20"/>
          <w:spacing w:val="-4"/>
        </w:rPr>
        <w:t> </w:t>
      </w:r>
      <w:r>
        <w:rPr>
          <w:color w:val="231F20"/>
        </w:rPr>
        <w:t>6.5</w:t>
      </w:r>
      <w:r>
        <w:rPr>
          <w:color w:val="231F20"/>
          <w:spacing w:val="-4"/>
        </w:rPr>
        <w:t> </w:t>
      </w:r>
      <w:r>
        <w:rPr>
          <w:color w:val="231F20"/>
        </w:rPr>
        <w:t>por</w:t>
      </w:r>
      <w:r>
        <w:rPr>
          <w:color w:val="231F20"/>
          <w:spacing w:val="-4"/>
        </w:rPr>
        <w:t> </w:t>
      </w:r>
      <w:r>
        <w:rPr>
          <w:color w:val="231F20"/>
        </w:rPr>
        <w:t>cien- to en 2013, cifra no muy distante de la prevaleciente antes del inicio de la</w:t>
      </w:r>
      <w:r>
        <w:rPr>
          <w:color w:val="231F20"/>
          <w:spacing w:val="-6"/>
        </w:rPr>
        <w:t> </w:t>
      </w:r>
      <w:r>
        <w:rPr>
          <w:color w:val="231F20"/>
        </w:rPr>
        <w:t>crisis</w:t>
      </w:r>
      <w:r>
        <w:rPr>
          <w:color w:val="231F20"/>
          <w:spacing w:val="-6"/>
        </w:rPr>
        <w:t> </w:t>
      </w:r>
      <w:r>
        <w:rPr>
          <w:color w:val="231F20"/>
        </w:rPr>
        <w:t>económica.</w:t>
      </w:r>
      <w:r>
        <w:rPr>
          <w:color w:val="231F20"/>
          <w:spacing w:val="-17"/>
        </w:rPr>
        <w:t> </w:t>
      </w:r>
      <w:r>
        <w:rPr>
          <w:color w:val="231F20"/>
        </w:rPr>
        <w:t>Algo</w:t>
      </w:r>
      <w:r>
        <w:rPr>
          <w:color w:val="231F20"/>
          <w:spacing w:val="-6"/>
        </w:rPr>
        <w:t> </w:t>
      </w:r>
      <w:r>
        <w:rPr>
          <w:color w:val="231F20"/>
        </w:rPr>
        <w:t>similar</w:t>
      </w:r>
      <w:r>
        <w:rPr>
          <w:color w:val="231F20"/>
          <w:spacing w:val="-6"/>
        </w:rPr>
        <w:t> </w:t>
      </w:r>
      <w:r>
        <w:rPr>
          <w:color w:val="231F20"/>
        </w:rPr>
        <w:t>sucede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inmigrantes</w:t>
      </w:r>
      <w:r>
        <w:rPr>
          <w:color w:val="231F20"/>
          <w:spacing w:val="-6"/>
        </w:rPr>
        <w:t> </w:t>
      </w:r>
      <w:r>
        <w:rPr>
          <w:color w:val="231F20"/>
        </w:rPr>
        <w:t>no latinoamericanos, para quienes si bien hay un incremento importante en la tasa de desempleo, aún en el peor momento no alcanza a superar 8.5 por ciento, manteniéndose siempre por debajo del promedio</w:t>
      </w:r>
      <w:r>
        <w:rPr>
          <w:color w:val="231F20"/>
          <w:spacing w:val="-8"/>
        </w:rPr>
        <w:t> </w:t>
      </w:r>
      <w:r>
        <w:rPr>
          <w:color w:val="231F20"/>
        </w:rPr>
        <w:t>nacional.</w:t>
      </w:r>
    </w:p>
    <w:p>
      <w:pPr>
        <w:pStyle w:val="BodyText"/>
        <w:spacing w:line="249" w:lineRule="auto" w:before="1"/>
        <w:ind w:left="113" w:right="107" w:firstLine="283"/>
        <w:jc w:val="right"/>
      </w:pPr>
      <w:r>
        <w:rPr>
          <w:color w:val="231F20"/>
        </w:rPr>
        <w:t>Finalmente, los inmigrantes provenientes de</w:t>
      </w:r>
      <w:r>
        <w:rPr>
          <w:color w:val="231F20"/>
          <w:spacing w:val="-6"/>
        </w:rPr>
        <w:t> </w:t>
      </w:r>
      <w:r>
        <w:rPr>
          <w:color w:val="231F20"/>
        </w:rPr>
        <w:t>países</w:t>
      </w:r>
      <w:r>
        <w:rPr>
          <w:color w:val="231F20"/>
          <w:spacing w:val="-1"/>
        </w:rPr>
        <w:t> </w:t>
      </w:r>
      <w:r>
        <w:rPr>
          <w:color w:val="231F20"/>
        </w:rPr>
        <w:t>latinoamericanos muestran</w:t>
      </w:r>
      <w:r>
        <w:rPr>
          <w:color w:val="231F20"/>
          <w:spacing w:val="-6"/>
        </w:rPr>
        <w:t> </w:t>
      </w:r>
      <w:r>
        <w:rPr>
          <w:color w:val="231F20"/>
        </w:rPr>
        <w:t>una</w:t>
      </w:r>
      <w:r>
        <w:rPr>
          <w:color w:val="231F20"/>
          <w:spacing w:val="-5"/>
        </w:rPr>
        <w:t> </w:t>
      </w:r>
      <w:r>
        <w:rPr>
          <w:color w:val="231F20"/>
        </w:rPr>
        <w:t>tendencia</w:t>
      </w:r>
      <w:r>
        <w:rPr>
          <w:color w:val="231F20"/>
          <w:spacing w:val="-6"/>
        </w:rPr>
        <w:t> </w:t>
      </w:r>
      <w:r>
        <w:rPr>
          <w:color w:val="231F20"/>
        </w:rPr>
        <w:t>muy</w:t>
      </w:r>
      <w:r>
        <w:rPr>
          <w:color w:val="231F20"/>
          <w:spacing w:val="-5"/>
        </w:rPr>
        <w:t> </w:t>
      </w:r>
      <w:r>
        <w:rPr>
          <w:color w:val="231F20"/>
        </w:rPr>
        <w:t>distinta.</w:t>
      </w:r>
      <w:r>
        <w:rPr>
          <w:color w:val="231F20"/>
          <w:spacing w:val="-16"/>
        </w:rPr>
        <w:t> </w:t>
      </w:r>
      <w:r>
        <w:rPr>
          <w:color w:val="231F20"/>
        </w:rPr>
        <w:t>Al</w:t>
      </w:r>
      <w:r>
        <w:rPr>
          <w:color w:val="231F20"/>
          <w:spacing w:val="-5"/>
        </w:rPr>
        <w:t> </w:t>
      </w:r>
      <w:r>
        <w:rPr>
          <w:color w:val="231F20"/>
        </w:rPr>
        <w:t>igual</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fuerza de</w:t>
      </w:r>
      <w:r>
        <w:rPr>
          <w:color w:val="231F20"/>
          <w:spacing w:val="-11"/>
        </w:rPr>
        <w:t> </w:t>
      </w:r>
      <w:r>
        <w:rPr>
          <w:color w:val="231F20"/>
        </w:rPr>
        <w:t>trabajo</w:t>
      </w:r>
      <w:r>
        <w:rPr>
          <w:color w:val="231F20"/>
          <w:spacing w:val="-11"/>
        </w:rPr>
        <w:t> </w:t>
      </w:r>
      <w:r>
        <w:rPr>
          <w:color w:val="231F20"/>
        </w:rPr>
        <w:t>blanca</w:t>
      </w:r>
      <w:r>
        <w:rPr>
          <w:color w:val="231F20"/>
          <w:spacing w:val="-11"/>
        </w:rPr>
        <w:t> </w:t>
      </w:r>
      <w:r>
        <w:rPr>
          <w:color w:val="231F20"/>
        </w:rPr>
        <w:t>no</w:t>
      </w:r>
      <w:r>
        <w:rPr>
          <w:color w:val="231F20"/>
          <w:spacing w:val="-11"/>
        </w:rPr>
        <w:t> </w:t>
      </w:r>
      <w:r>
        <w:rPr>
          <w:color w:val="231F20"/>
        </w:rPr>
        <w:t>latina,</w:t>
      </w:r>
      <w:r>
        <w:rPr>
          <w:color w:val="231F20"/>
          <w:spacing w:val="-11"/>
        </w:rPr>
        <w:t> </w:t>
      </w:r>
      <w:r>
        <w:rPr>
          <w:color w:val="231F20"/>
        </w:rPr>
        <w:t>el</w:t>
      </w:r>
      <w:r>
        <w:rPr>
          <w:color w:val="231F20"/>
          <w:spacing w:val="-11"/>
        </w:rPr>
        <w:t> </w:t>
      </w:r>
      <w:r>
        <w:rPr>
          <w:color w:val="231F20"/>
        </w:rPr>
        <w:t>mayor</w:t>
      </w:r>
      <w:r>
        <w:rPr>
          <w:color w:val="231F20"/>
          <w:spacing w:val="-11"/>
        </w:rPr>
        <w:t> </w:t>
      </w:r>
      <w:r>
        <w:rPr>
          <w:color w:val="231F20"/>
        </w:rPr>
        <w:t>incremento</w:t>
      </w:r>
      <w:r>
        <w:rPr>
          <w:color w:val="231F20"/>
          <w:spacing w:val="-11"/>
        </w:rPr>
        <w:t> </w:t>
      </w:r>
      <w:r>
        <w:rPr>
          <w:color w:val="231F20"/>
        </w:rPr>
        <w:t>se</w:t>
      </w:r>
      <w:r>
        <w:rPr>
          <w:color w:val="231F20"/>
          <w:spacing w:val="-11"/>
        </w:rPr>
        <w:t> </w:t>
      </w:r>
      <w:r>
        <w:rPr>
          <w:color w:val="231F20"/>
        </w:rPr>
        <w:t>da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primer</w:t>
      </w:r>
      <w:r>
        <w:rPr>
          <w:color w:val="231F20"/>
          <w:spacing w:val="-11"/>
        </w:rPr>
        <w:t> </w:t>
      </w:r>
      <w:r>
        <w:rPr>
          <w:color w:val="231F20"/>
        </w:rPr>
        <w:t>año</w:t>
      </w:r>
      <w:r>
        <w:rPr>
          <w:color w:val="231F20"/>
          <w:spacing w:val="-11"/>
        </w:rPr>
        <w:t> </w:t>
      </w:r>
      <w:r>
        <w:rPr>
          <w:color w:val="231F20"/>
        </w:rPr>
        <w:t>de la crisis, al pasarse de una tasa de desempleo de 7.1 por ciento</w:t>
      </w:r>
      <w:r>
        <w:rPr>
          <w:color w:val="231F20"/>
          <w:spacing w:val="1"/>
        </w:rPr>
        <w:t> </w:t>
      </w:r>
      <w:r>
        <w:rPr>
          <w:color w:val="231F20"/>
        </w:rPr>
        <w:t>en</w:t>
      </w:r>
      <w:r>
        <w:rPr>
          <w:color w:val="231F20"/>
          <w:spacing w:val="4"/>
        </w:rPr>
        <w:t> </w:t>
      </w:r>
      <w:r>
        <w:rPr>
          <w:color w:val="231F20"/>
        </w:rPr>
        <w:t>2008, a 11.6 por ciento en 2009. Sin embargo, se trata de un</w:t>
      </w:r>
      <w:r>
        <w:rPr>
          <w:color w:val="231F20"/>
          <w:spacing w:val="-15"/>
        </w:rPr>
        <w:t> </w:t>
      </w:r>
      <w:r>
        <w:rPr>
          <w:color w:val="231F20"/>
        </w:rPr>
        <w:t>incremento</w:t>
      </w:r>
      <w:r>
        <w:rPr>
          <w:color w:val="231F20"/>
          <w:spacing w:val="-2"/>
        </w:rPr>
        <w:t> </w:t>
      </w:r>
      <w:r>
        <w:rPr>
          <w:color w:val="231F20"/>
        </w:rPr>
        <w:t>relati- vo bastante inferior al que se ilustra entre los demás componentes</w:t>
      </w:r>
      <w:r>
        <w:rPr>
          <w:color w:val="231F20"/>
          <w:spacing w:val="29"/>
        </w:rPr>
        <w:t> </w:t>
      </w:r>
      <w:r>
        <w:rPr>
          <w:color w:val="231F20"/>
        </w:rPr>
        <w:t>de</w:t>
      </w:r>
      <w:r>
        <w:rPr>
          <w:color w:val="231F20"/>
          <w:spacing w:val="7"/>
        </w:rPr>
        <w:t> </w:t>
      </w:r>
      <w:r>
        <w:rPr>
          <w:color w:val="231F20"/>
        </w:rPr>
        <w:t>la fuerza</w:t>
      </w:r>
      <w:r>
        <w:rPr>
          <w:color w:val="231F20"/>
          <w:spacing w:val="-4"/>
        </w:rPr>
        <w:t> </w:t>
      </w:r>
      <w:r>
        <w:rPr>
          <w:color w:val="231F20"/>
        </w:rPr>
        <w:t>de</w:t>
      </w:r>
      <w:r>
        <w:rPr>
          <w:color w:val="231F20"/>
          <w:spacing w:val="-4"/>
        </w:rPr>
        <w:t> </w:t>
      </w:r>
      <w:r>
        <w:rPr>
          <w:color w:val="231F20"/>
        </w:rPr>
        <w:t>trabajo.</w:t>
      </w:r>
      <w:r>
        <w:rPr>
          <w:color w:val="231F20"/>
          <w:spacing w:val="-4"/>
        </w:rPr>
        <w:t> </w:t>
      </w:r>
      <w:r>
        <w:rPr>
          <w:color w:val="231F20"/>
        </w:rPr>
        <w:t>Por</w:t>
      </w:r>
      <w:r>
        <w:rPr>
          <w:color w:val="231F20"/>
          <w:spacing w:val="-4"/>
        </w:rPr>
        <w:t> </w:t>
      </w:r>
      <w:r>
        <w:rPr>
          <w:color w:val="231F20"/>
        </w:rPr>
        <w:t>otro</w:t>
      </w:r>
      <w:r>
        <w:rPr>
          <w:color w:val="231F20"/>
          <w:spacing w:val="-4"/>
        </w:rPr>
        <w:t> </w:t>
      </w:r>
      <w:r>
        <w:rPr>
          <w:color w:val="231F20"/>
        </w:rPr>
        <w:t>lado,</w:t>
      </w:r>
      <w:r>
        <w:rPr>
          <w:color w:val="231F20"/>
          <w:spacing w:val="-4"/>
        </w:rPr>
        <w:t> </w:t>
      </w: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2009,</w:t>
      </w:r>
      <w:r>
        <w:rPr>
          <w:color w:val="231F20"/>
          <w:spacing w:val="-4"/>
        </w:rPr>
        <w:t> </w:t>
      </w:r>
      <w:r>
        <w:rPr>
          <w:color w:val="231F20"/>
        </w:rPr>
        <w:t>la</w:t>
      </w:r>
      <w:r>
        <w:rPr>
          <w:color w:val="231F20"/>
          <w:spacing w:val="-4"/>
        </w:rPr>
        <w:t> </w:t>
      </w:r>
      <w:r>
        <w:rPr>
          <w:color w:val="231F20"/>
        </w:rPr>
        <w:t>tasa</w:t>
      </w:r>
      <w:r>
        <w:rPr>
          <w:color w:val="231F20"/>
          <w:spacing w:val="-4"/>
        </w:rPr>
        <w:t> </w:t>
      </w:r>
      <w:r>
        <w:rPr>
          <w:color w:val="231F20"/>
        </w:rPr>
        <w:t>de</w:t>
      </w:r>
      <w:r>
        <w:rPr>
          <w:color w:val="231F20"/>
          <w:spacing w:val="-4"/>
        </w:rPr>
        <w:t> </w:t>
      </w:r>
      <w:r>
        <w:rPr>
          <w:color w:val="231F20"/>
        </w:rPr>
        <w:t>desempleo</w:t>
      </w:r>
      <w:r>
        <w:rPr>
          <w:color w:val="231F20"/>
          <w:spacing w:val="-4"/>
        </w:rPr>
        <w:t> </w:t>
      </w:r>
      <w:r>
        <w:rPr>
          <w:color w:val="231F20"/>
        </w:rPr>
        <w:t>se</w:t>
      </w:r>
      <w:r>
        <w:rPr>
          <w:color w:val="231F20"/>
          <w:spacing w:val="-1"/>
        </w:rPr>
        <w:t> </w:t>
      </w:r>
      <w:r>
        <w:rPr>
          <w:color w:val="231F20"/>
        </w:rPr>
        <w:t>estabiliza</w:t>
      </w:r>
      <w:r>
        <w:rPr>
          <w:color w:val="231F20"/>
          <w:spacing w:val="-9"/>
        </w:rPr>
        <w:t> </w:t>
      </w:r>
      <w:r>
        <w:rPr>
          <w:color w:val="231F20"/>
        </w:rPr>
        <w:t>para</w:t>
      </w:r>
      <w:r>
        <w:rPr>
          <w:color w:val="231F20"/>
          <w:spacing w:val="-8"/>
        </w:rPr>
        <w:t> </w:t>
      </w:r>
      <w:r>
        <w:rPr>
          <w:color w:val="231F20"/>
        </w:rPr>
        <w:t>iniciar</w:t>
      </w:r>
      <w:r>
        <w:rPr>
          <w:color w:val="231F20"/>
          <w:spacing w:val="-9"/>
        </w:rPr>
        <w:t> </w:t>
      </w:r>
      <w:r>
        <w:rPr>
          <w:color w:val="231F20"/>
        </w:rPr>
        <w:t>un</w:t>
      </w:r>
      <w:r>
        <w:rPr>
          <w:color w:val="231F20"/>
          <w:spacing w:val="-8"/>
        </w:rPr>
        <w:t> </w:t>
      </w:r>
      <w:r>
        <w:rPr>
          <w:color w:val="231F20"/>
        </w:rPr>
        <w:t>rápido</w:t>
      </w:r>
      <w:r>
        <w:rPr>
          <w:color w:val="231F20"/>
          <w:spacing w:val="-8"/>
        </w:rPr>
        <w:t> </w:t>
      </w:r>
      <w:r>
        <w:rPr>
          <w:color w:val="231F20"/>
        </w:rPr>
        <w:t>descenso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2011,</w:t>
      </w:r>
      <w:r>
        <w:rPr>
          <w:color w:val="231F20"/>
          <w:spacing w:val="-8"/>
        </w:rPr>
        <w:t> </w:t>
      </w:r>
      <w:r>
        <w:rPr>
          <w:color w:val="231F20"/>
        </w:rPr>
        <w:t>alcanzando</w:t>
      </w:r>
      <w:r>
        <w:rPr>
          <w:color w:val="231F20"/>
          <w:spacing w:val="-9"/>
        </w:rPr>
        <w:t> </w:t>
      </w:r>
      <w:r>
        <w:rPr>
          <w:color w:val="231F20"/>
        </w:rPr>
        <w:t>en</w:t>
      </w:r>
      <w:r>
        <w:rPr>
          <w:color w:val="231F20"/>
          <w:spacing w:val="-8"/>
        </w:rPr>
        <w:t> </w:t>
      </w:r>
      <w:r>
        <w:rPr>
          <w:color w:val="231F20"/>
        </w:rPr>
        <w:t>2013 un nivel de 8.7 por ciento, cifra muy cercana a la prevaleciente</w:t>
      </w:r>
      <w:r>
        <w:rPr>
          <w:color w:val="231F20"/>
          <w:spacing w:val="-4"/>
        </w:rPr>
        <w:t> </w:t>
      </w:r>
      <w:r>
        <w:rPr>
          <w:color w:val="231F20"/>
        </w:rPr>
        <w:t>en</w:t>
      </w:r>
      <w:r>
        <w:rPr>
          <w:color w:val="231F20"/>
          <w:spacing w:val="-1"/>
        </w:rPr>
        <w:t> </w:t>
      </w:r>
      <w:r>
        <w:rPr>
          <w:color w:val="231F20"/>
        </w:rPr>
        <w:t>2008. Por otro lado, en cuanto al volumen de trabajadores  </w:t>
      </w:r>
      <w:r>
        <w:rPr>
          <w:color w:val="231F20"/>
          <w:spacing w:val="41"/>
        </w:rPr>
        <w:t> </w:t>
      </w:r>
      <w:r>
        <w:rPr>
          <w:color w:val="231F20"/>
        </w:rPr>
        <w:t>desempleados,</w:t>
      </w:r>
    </w:p>
    <w:p>
      <w:pPr>
        <w:pStyle w:val="BodyText"/>
        <w:spacing w:line="249" w:lineRule="auto" w:before="1"/>
        <w:ind w:left="113" w:right="108"/>
        <w:jc w:val="both"/>
      </w:pPr>
      <w:r>
        <w:rPr>
          <w:color w:val="231F20"/>
        </w:rPr>
        <w:t>los datos indican que los inmigrantes latinoamericanos a la vez que son los menos afectados por la crisis económica, son uno de los dos grupos étnicos</w:t>
      </w:r>
      <w:r>
        <w:rPr>
          <w:color w:val="231F20"/>
          <w:spacing w:val="-10"/>
        </w:rPr>
        <w:t> </w:t>
      </w:r>
      <w:r>
        <w:rPr>
          <w:color w:val="231F20"/>
        </w:rPr>
        <w:t>que</w:t>
      </w:r>
      <w:r>
        <w:rPr>
          <w:color w:val="231F20"/>
          <w:spacing w:val="-9"/>
        </w:rPr>
        <w:t> </w:t>
      </w:r>
      <w:r>
        <w:rPr>
          <w:color w:val="231F20"/>
        </w:rPr>
        <w:t>muestran</w:t>
      </w:r>
      <w:r>
        <w:rPr>
          <w:color w:val="231F20"/>
          <w:spacing w:val="-10"/>
        </w:rPr>
        <w:t> </w:t>
      </w:r>
      <w:r>
        <w:rPr>
          <w:color w:val="231F20"/>
        </w:rPr>
        <w:t>una</w:t>
      </w:r>
      <w:r>
        <w:rPr>
          <w:color w:val="231F20"/>
          <w:spacing w:val="-9"/>
        </w:rPr>
        <w:t> </w:t>
      </w:r>
      <w:r>
        <w:rPr>
          <w:color w:val="231F20"/>
        </w:rPr>
        <w:t>mayor</w:t>
      </w:r>
      <w:r>
        <w:rPr>
          <w:color w:val="231F20"/>
          <w:spacing w:val="-10"/>
        </w:rPr>
        <w:t> </w:t>
      </w:r>
      <w:r>
        <w:rPr>
          <w:color w:val="231F20"/>
        </w:rPr>
        <w:t>y</w:t>
      </w:r>
      <w:r>
        <w:rPr>
          <w:color w:val="231F20"/>
          <w:spacing w:val="-9"/>
        </w:rPr>
        <w:t> </w:t>
      </w:r>
      <w:r>
        <w:rPr>
          <w:color w:val="231F20"/>
        </w:rPr>
        <w:t>más</w:t>
      </w:r>
      <w:r>
        <w:rPr>
          <w:color w:val="231F20"/>
          <w:spacing w:val="-10"/>
        </w:rPr>
        <w:t> </w:t>
      </w:r>
      <w:r>
        <w:rPr>
          <w:color w:val="231F20"/>
        </w:rPr>
        <w:t>rápida</w:t>
      </w:r>
      <w:r>
        <w:rPr>
          <w:color w:val="231F20"/>
          <w:spacing w:val="-9"/>
        </w:rPr>
        <w:t> </w:t>
      </w:r>
      <w:r>
        <w:rPr>
          <w:color w:val="231F20"/>
        </w:rPr>
        <w:t>recuperación</w:t>
      </w:r>
      <w:r>
        <w:rPr>
          <w:color w:val="231F20"/>
          <w:spacing w:val="-9"/>
        </w:rPr>
        <w:t> </w:t>
      </w:r>
      <w:r>
        <w:rPr>
          <w:color w:val="231F20"/>
        </w:rPr>
        <w:t>de</w:t>
      </w:r>
      <w:r>
        <w:rPr>
          <w:color w:val="231F20"/>
          <w:spacing w:val="-9"/>
        </w:rPr>
        <w:t> </w:t>
      </w:r>
      <w:r>
        <w:rPr>
          <w:color w:val="231F20"/>
        </w:rPr>
        <w:t>los</w:t>
      </w:r>
      <w:r>
        <w:rPr>
          <w:color w:val="231F20"/>
          <w:spacing w:val="-10"/>
        </w:rPr>
        <w:t> </w:t>
      </w:r>
      <w:r>
        <w:rPr>
          <w:color w:val="231F20"/>
        </w:rPr>
        <w:t>niveles prevalecientes</w:t>
      </w:r>
      <w:r>
        <w:rPr>
          <w:color w:val="231F20"/>
          <w:spacing w:val="-9"/>
        </w:rPr>
        <w:t> </w:t>
      </w:r>
      <w:r>
        <w:rPr>
          <w:color w:val="231F20"/>
        </w:rPr>
        <w:t>antes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En</w:t>
      </w:r>
      <w:r>
        <w:rPr>
          <w:color w:val="231F20"/>
          <w:spacing w:val="-9"/>
        </w:rPr>
        <w:t> </w:t>
      </w:r>
      <w:r>
        <w:rPr>
          <w:color w:val="231F20"/>
        </w:rPr>
        <w:t>efecto,</w:t>
      </w:r>
      <w:r>
        <w:rPr>
          <w:color w:val="231F20"/>
          <w:spacing w:val="-9"/>
        </w:rPr>
        <w:t> </w:t>
      </w:r>
      <w:r>
        <w:rPr>
          <w:color w:val="231F20"/>
        </w:rPr>
        <w:t>entre</w:t>
      </w:r>
      <w:r>
        <w:rPr>
          <w:color w:val="231F20"/>
          <w:spacing w:val="-9"/>
        </w:rPr>
        <w:t> </w:t>
      </w:r>
      <w:r>
        <w:rPr>
          <w:color w:val="231F20"/>
        </w:rPr>
        <w:t>2008</w:t>
      </w:r>
      <w:r>
        <w:rPr>
          <w:color w:val="231F20"/>
          <w:spacing w:val="-9"/>
        </w:rPr>
        <w:t> </w:t>
      </w:r>
      <w:r>
        <w:rPr>
          <w:color w:val="231F20"/>
        </w:rPr>
        <w:t>y</w:t>
      </w:r>
      <w:r>
        <w:rPr>
          <w:color w:val="231F20"/>
          <w:spacing w:val="-9"/>
        </w:rPr>
        <w:t> </w:t>
      </w:r>
      <w:r>
        <w:rPr>
          <w:color w:val="231F20"/>
        </w:rPr>
        <w:t>2010,</w:t>
      </w:r>
      <w:r>
        <w:rPr>
          <w:color w:val="231F20"/>
          <w:spacing w:val="-9"/>
        </w:rPr>
        <w:t> </w:t>
      </w:r>
      <w:r>
        <w:rPr>
          <w:color w:val="231F20"/>
        </w:rPr>
        <w:t>son</w:t>
      </w:r>
      <w:r>
        <w:rPr>
          <w:color w:val="231F20"/>
          <w:spacing w:val="-9"/>
        </w:rPr>
        <w:t> </w:t>
      </w:r>
      <w:r>
        <w:rPr>
          <w:color w:val="231F20"/>
        </w:rPr>
        <w:t>el</w:t>
      </w:r>
      <w:r>
        <w:rPr>
          <w:color w:val="231F20"/>
          <w:spacing w:val="-9"/>
        </w:rPr>
        <w:t> </w:t>
      </w:r>
      <w:r>
        <w:rPr>
          <w:color w:val="231F20"/>
        </w:rPr>
        <w:t>gru- po que tiene el menor crecimiento en el volumen de desempleados, aun cuando</w:t>
      </w:r>
      <w:r>
        <w:rPr>
          <w:color w:val="231F20"/>
          <w:spacing w:val="-7"/>
        </w:rPr>
        <w:t> </w:t>
      </w:r>
      <w:r>
        <w:rPr>
          <w:color w:val="231F20"/>
        </w:rPr>
        <w:t>no</w:t>
      </w:r>
      <w:r>
        <w:rPr>
          <w:color w:val="231F20"/>
          <w:spacing w:val="-7"/>
        </w:rPr>
        <w:t> </w:t>
      </w:r>
      <w:r>
        <w:rPr>
          <w:color w:val="231F20"/>
        </w:rPr>
        <w:t>deja</w:t>
      </w:r>
      <w:r>
        <w:rPr>
          <w:color w:val="231F20"/>
          <w:spacing w:val="-7"/>
        </w:rPr>
        <w:t> </w:t>
      </w:r>
      <w:r>
        <w:rPr>
          <w:color w:val="231F20"/>
        </w:rPr>
        <w:t>de</w:t>
      </w:r>
      <w:r>
        <w:rPr>
          <w:color w:val="231F20"/>
          <w:spacing w:val="-7"/>
        </w:rPr>
        <w:t> </w:t>
      </w:r>
      <w:r>
        <w:rPr>
          <w:color w:val="231F20"/>
        </w:rPr>
        <w:t>ser</w:t>
      </w:r>
      <w:r>
        <w:rPr>
          <w:color w:val="231F20"/>
          <w:spacing w:val="-7"/>
        </w:rPr>
        <w:t> </w:t>
      </w:r>
      <w:r>
        <w:rPr>
          <w:color w:val="231F20"/>
        </w:rPr>
        <w:t>significativo</w:t>
      </w:r>
      <w:r>
        <w:rPr>
          <w:color w:val="231F20"/>
          <w:spacing w:val="-7"/>
        </w:rPr>
        <w:t> </w:t>
      </w:r>
      <w:r>
        <w:rPr>
          <w:color w:val="231F20"/>
        </w:rPr>
        <w:t>e</w:t>
      </w:r>
      <w:r>
        <w:rPr>
          <w:color w:val="231F20"/>
          <w:spacing w:val="-7"/>
        </w:rPr>
        <w:t> </w:t>
      </w:r>
      <w:r>
        <w:rPr>
          <w:color w:val="231F20"/>
        </w:rPr>
        <w:t>importante</w:t>
      </w:r>
      <w:r>
        <w:rPr>
          <w:color w:val="231F20"/>
          <w:spacing w:val="-8"/>
        </w:rPr>
        <w:t> </w:t>
      </w:r>
      <w:r>
        <w:rPr>
          <w:color w:val="231F20"/>
        </w:rPr>
        <w:t>ese</w:t>
      </w:r>
      <w:r>
        <w:rPr>
          <w:color w:val="231F20"/>
          <w:spacing w:val="-7"/>
        </w:rPr>
        <w:t> </w:t>
      </w:r>
      <w:r>
        <w:rPr>
          <w:color w:val="231F20"/>
        </w:rPr>
        <w:t>aumento.</w:t>
      </w:r>
      <w:r>
        <w:rPr>
          <w:color w:val="231F20"/>
          <w:spacing w:val="-18"/>
        </w:rPr>
        <w:t> </w:t>
      </w:r>
      <w:r>
        <w:rPr>
          <w:color w:val="231F20"/>
        </w:rPr>
        <w:t>Asimismo, entre</w:t>
      </w:r>
      <w:r>
        <w:rPr>
          <w:color w:val="231F20"/>
          <w:spacing w:val="-7"/>
        </w:rPr>
        <w:t> </w:t>
      </w:r>
      <w:r>
        <w:rPr>
          <w:color w:val="231F20"/>
        </w:rPr>
        <w:t>2010</w:t>
      </w:r>
      <w:r>
        <w:rPr>
          <w:color w:val="231F20"/>
          <w:spacing w:val="-7"/>
        </w:rPr>
        <w:t> </w:t>
      </w:r>
      <w:r>
        <w:rPr>
          <w:color w:val="231F20"/>
        </w:rPr>
        <w:t>y</w:t>
      </w:r>
      <w:r>
        <w:rPr>
          <w:color w:val="231F20"/>
          <w:spacing w:val="-7"/>
        </w:rPr>
        <w:t> </w:t>
      </w:r>
      <w:r>
        <w:rPr>
          <w:color w:val="231F20"/>
        </w:rPr>
        <w:t>2013,</w:t>
      </w:r>
      <w:r>
        <w:rPr>
          <w:color w:val="231F20"/>
          <w:spacing w:val="-7"/>
        </w:rPr>
        <w:t> </w:t>
      </w:r>
      <w:r>
        <w:rPr>
          <w:color w:val="231F20"/>
        </w:rPr>
        <w:t>son</w:t>
      </w:r>
      <w:r>
        <w:rPr>
          <w:color w:val="231F20"/>
          <w:spacing w:val="-7"/>
        </w:rPr>
        <w:t> </w:t>
      </w:r>
      <w:r>
        <w:rPr>
          <w:color w:val="231F20"/>
        </w:rPr>
        <w:t>junto</w:t>
      </w:r>
      <w:r>
        <w:rPr>
          <w:color w:val="231F20"/>
          <w:spacing w:val="-7"/>
        </w:rPr>
        <w:t> </w:t>
      </w:r>
      <w:r>
        <w:rPr>
          <w:color w:val="231F20"/>
        </w:rPr>
        <w:t>a</w:t>
      </w:r>
      <w:r>
        <w:rPr>
          <w:color w:val="231F20"/>
          <w:spacing w:val="-7"/>
        </w:rPr>
        <w:t> </w:t>
      </w:r>
      <w:r>
        <w:rPr>
          <w:color w:val="231F20"/>
        </w:rPr>
        <w:t>los</w:t>
      </w:r>
      <w:r>
        <w:rPr>
          <w:color w:val="231F20"/>
          <w:spacing w:val="-6"/>
        </w:rPr>
        <w:t> </w:t>
      </w:r>
      <w:r>
        <w:rPr>
          <w:color w:val="231F20"/>
        </w:rPr>
        <w:t>blancos</w:t>
      </w:r>
      <w:r>
        <w:rPr>
          <w:color w:val="231F20"/>
          <w:spacing w:val="-7"/>
        </w:rPr>
        <w:t> </w:t>
      </w:r>
      <w:r>
        <w:rPr>
          <w:color w:val="231F20"/>
        </w:rPr>
        <w:t>no</w:t>
      </w:r>
      <w:r>
        <w:rPr>
          <w:color w:val="231F20"/>
          <w:spacing w:val="-7"/>
        </w:rPr>
        <w:t> </w:t>
      </w:r>
      <w:r>
        <w:rPr>
          <w:color w:val="231F20"/>
        </w:rPr>
        <w:t>latinos,</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manifiestan una mayor capacidad de recuperación</w:t>
      </w:r>
      <w:r>
        <w:rPr>
          <w:color w:val="231F20"/>
          <w:spacing w:val="-2"/>
        </w:rPr>
        <w:t> </w:t>
      </w:r>
      <w:r>
        <w:rPr>
          <w:color w:val="231F20"/>
        </w:rPr>
        <w:t>laboral.</w:t>
      </w:r>
    </w:p>
    <w:p>
      <w:pPr>
        <w:pStyle w:val="BodyText"/>
        <w:spacing w:line="249" w:lineRule="auto" w:before="1"/>
        <w:ind w:left="113" w:right="108" w:firstLine="283"/>
        <w:jc w:val="both"/>
      </w:pPr>
      <w:r>
        <w:rPr>
          <w:color w:val="231F20"/>
        </w:rPr>
        <w:t>La combinación de ambas tendencias en dichos periodos, hacen que para 2013, este grupo étnico migratorio sea el que más próximo se en- cuentre al volumen de desempleados que tenía hasta antes de que se ini- ciara la crisis económica en 2008.</w:t>
      </w:r>
    </w:p>
    <w:p>
      <w:pPr>
        <w:spacing w:after="0" w:line="249" w:lineRule="auto"/>
        <w:jc w:val="both"/>
        <w:sectPr>
          <w:footerReference w:type="default" r:id="rId181"/>
          <w:pgSz w:w="7770" w:h="11740"/>
          <w:pgMar w:footer="474" w:header="0" w:top="840" w:bottom="660" w:left="1020" w:right="740"/>
          <w:pgNumType w:start="137"/>
        </w:sectPr>
      </w:pPr>
    </w:p>
    <w:p>
      <w:pPr>
        <w:pStyle w:val="Heading4"/>
        <w:spacing w:line="240" w:lineRule="exact" w:before="79"/>
        <w:ind w:left="110" w:right="1520"/>
        <w:jc w:val="left"/>
      </w:pPr>
      <w:r>
        <w:rPr>
          <w:w w:val="75"/>
        </w:rPr>
        <w:t>La inserción laboral de los inmigrantes latinoamericanos </w:t>
      </w:r>
      <w:r>
        <w:rPr>
          <w:w w:val="80"/>
        </w:rPr>
        <w:t>frente a la crisis</w:t>
      </w:r>
    </w:p>
    <w:p>
      <w:pPr>
        <w:pStyle w:val="BodyText"/>
        <w:spacing w:line="249" w:lineRule="auto" w:before="175"/>
        <w:ind w:left="110" w:right="111"/>
        <w:jc w:val="both"/>
      </w:pPr>
      <w:r>
        <w:rPr>
          <w:color w:val="231F20"/>
        </w:rPr>
        <w:t>Como efecto de la crisis económica los inmigrantes latinoamericanos han tendido a concentrarse en trabajos ubicados en las partes más bajas de la estructura socio-ocupacional, en los cuales suelen predominar con- diciones de mayor precariedad caracterizados por la inestabilidad,</w:t>
      </w:r>
      <w:r>
        <w:rPr>
          <w:color w:val="231F20"/>
          <w:spacing w:val="-34"/>
        </w:rPr>
        <w:t> </w:t>
      </w:r>
      <w:r>
        <w:rPr>
          <w:color w:val="231F20"/>
        </w:rPr>
        <w:t>desre- gulación contractual, y en general, menores niveles de protección</w:t>
      </w:r>
      <w:r>
        <w:rPr>
          <w:color w:val="231F20"/>
          <w:spacing w:val="-27"/>
        </w:rPr>
        <w:t> </w:t>
      </w:r>
      <w:r>
        <w:rPr>
          <w:color w:val="231F20"/>
        </w:rPr>
        <w:t>social. Para</w:t>
      </w:r>
      <w:r>
        <w:rPr>
          <w:color w:val="231F20"/>
          <w:spacing w:val="-9"/>
        </w:rPr>
        <w:t> </w:t>
      </w:r>
      <w:r>
        <w:rPr>
          <w:color w:val="231F20"/>
        </w:rPr>
        <w:t>ilustrar</w:t>
      </w:r>
      <w:r>
        <w:rPr>
          <w:color w:val="231F20"/>
          <w:spacing w:val="-10"/>
        </w:rPr>
        <w:t> </w:t>
      </w:r>
      <w:r>
        <w:rPr>
          <w:color w:val="231F20"/>
        </w:rPr>
        <w:t>esta</w:t>
      </w:r>
      <w:r>
        <w:rPr>
          <w:color w:val="231F20"/>
          <w:spacing w:val="-10"/>
        </w:rPr>
        <w:t> </w:t>
      </w:r>
      <w:r>
        <w:rPr>
          <w:color w:val="231F20"/>
        </w:rPr>
        <w:t>tesis,</w:t>
      </w:r>
      <w:r>
        <w:rPr>
          <w:color w:val="231F20"/>
          <w:spacing w:val="-10"/>
        </w:rPr>
        <w:t> </w:t>
      </w:r>
      <w:r>
        <w:rPr>
          <w:color w:val="231F20"/>
        </w:rPr>
        <w:t>a</w:t>
      </w:r>
      <w:r>
        <w:rPr>
          <w:color w:val="231F20"/>
          <w:spacing w:val="-9"/>
        </w:rPr>
        <w:t> </w:t>
      </w:r>
      <w:r>
        <w:rPr>
          <w:color w:val="231F20"/>
        </w:rPr>
        <w:t>continuación</w:t>
      </w:r>
      <w:r>
        <w:rPr>
          <w:color w:val="231F20"/>
          <w:spacing w:val="-10"/>
        </w:rPr>
        <w:t> </w:t>
      </w:r>
      <w:r>
        <w:rPr>
          <w:color w:val="231F20"/>
        </w:rPr>
        <w:t>presentamos</w:t>
      </w:r>
      <w:r>
        <w:rPr>
          <w:color w:val="231F20"/>
          <w:spacing w:val="-9"/>
        </w:rPr>
        <w:t> </w:t>
      </w:r>
      <w:r>
        <w:rPr>
          <w:color w:val="231F20"/>
        </w:rPr>
        <w:t>un</w:t>
      </w:r>
      <w:r>
        <w:rPr>
          <w:color w:val="231F20"/>
          <w:spacing w:val="-9"/>
        </w:rPr>
        <w:t> </w:t>
      </w:r>
      <w:r>
        <w:rPr>
          <w:color w:val="231F20"/>
        </w:rPr>
        <w:t>análisis</w:t>
      </w:r>
      <w:r>
        <w:rPr>
          <w:color w:val="231F20"/>
          <w:spacing w:val="-10"/>
        </w:rPr>
        <w:t> </w:t>
      </w:r>
      <w:r>
        <w:rPr>
          <w:color w:val="231F20"/>
        </w:rPr>
        <w:t>estadístico que</w:t>
      </w:r>
      <w:r>
        <w:rPr>
          <w:color w:val="231F20"/>
          <w:spacing w:val="-6"/>
        </w:rPr>
        <w:t> </w:t>
      </w:r>
      <w:r>
        <w:rPr>
          <w:color w:val="231F20"/>
        </w:rPr>
        <w:t>refleja</w:t>
      </w:r>
      <w:r>
        <w:rPr>
          <w:color w:val="231F20"/>
          <w:spacing w:val="-6"/>
        </w:rPr>
        <w:t> </w:t>
      </w:r>
      <w:r>
        <w:rPr>
          <w:color w:val="231F20"/>
        </w:rPr>
        <w:t>este</w:t>
      </w:r>
      <w:r>
        <w:rPr>
          <w:color w:val="231F20"/>
          <w:spacing w:val="-6"/>
        </w:rPr>
        <w:t> </w:t>
      </w:r>
      <w:r>
        <w:rPr>
          <w:color w:val="231F20"/>
        </w:rPr>
        <w:t>cambio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inserción</w:t>
      </w:r>
      <w:r>
        <w:rPr>
          <w:color w:val="231F20"/>
          <w:spacing w:val="-6"/>
        </w:rPr>
        <w:t> </w:t>
      </w:r>
      <w:r>
        <w:rPr>
          <w:color w:val="231F20"/>
        </w:rPr>
        <w:t>laboral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inmigrantes</w:t>
      </w:r>
      <w:r>
        <w:rPr>
          <w:color w:val="231F20"/>
          <w:spacing w:val="-6"/>
        </w:rPr>
        <w:t> </w:t>
      </w:r>
      <w:r>
        <w:rPr>
          <w:color w:val="231F20"/>
        </w:rPr>
        <w:t>latinoa- mericanos, tanto en lo que se refiere a su participación en la estructura ocupacional, como a sus condiciones</w:t>
      </w:r>
      <w:r>
        <w:rPr>
          <w:color w:val="231F20"/>
          <w:spacing w:val="-4"/>
        </w:rPr>
        <w:t> </w:t>
      </w:r>
      <w:r>
        <w:rPr>
          <w:color w:val="231F20"/>
        </w:rPr>
        <w:t>laborales.</w:t>
      </w:r>
    </w:p>
    <w:p>
      <w:pPr>
        <w:pStyle w:val="Heading5"/>
        <w:ind w:left="110"/>
        <w:rPr>
          <w:i/>
        </w:rPr>
      </w:pPr>
      <w:r>
        <w:rPr>
          <w:i/>
          <w:w w:val="75"/>
        </w:rPr>
        <w:t>Crisis e inserción laboral</w:t>
      </w:r>
    </w:p>
    <w:p>
      <w:pPr>
        <w:pStyle w:val="BodyText"/>
        <w:spacing w:line="249" w:lineRule="auto" w:before="171"/>
        <w:ind w:left="110" w:right="111"/>
        <w:jc w:val="both"/>
      </w:pPr>
      <w:r>
        <w:rPr>
          <w:color w:val="231F20"/>
        </w:rPr>
        <w:t>Para analizar y medir el impacto de la crisis en la inserción laboral de los inmigrantes latinoamericanos, hemos reclasificado la estructura de ocupaciones con base en las siguientes grandes categorías de análisis:</w:t>
      </w:r>
    </w:p>
    <w:p>
      <w:pPr>
        <w:pStyle w:val="ListParagraph"/>
        <w:numPr>
          <w:ilvl w:val="0"/>
          <w:numId w:val="9"/>
        </w:numPr>
        <w:tabs>
          <w:tab w:pos="471" w:val="left" w:leader="none"/>
        </w:tabs>
        <w:spacing w:line="249" w:lineRule="auto" w:before="171" w:after="0"/>
        <w:ind w:left="470" w:right="111" w:hanging="360"/>
        <w:jc w:val="both"/>
        <w:rPr>
          <w:sz w:val="20"/>
        </w:rPr>
      </w:pPr>
      <w:r>
        <w:rPr>
          <w:i/>
          <w:color w:val="231F20"/>
          <w:sz w:val="20"/>
        </w:rPr>
        <w:t>Actividades de dirección</w:t>
      </w:r>
      <w:r>
        <w:rPr>
          <w:color w:val="231F20"/>
          <w:sz w:val="20"/>
        </w:rPr>
        <w:t>. Incluyen gerentes, ejecutivos, servicios profesionales, y otras actividades de alto nivel, que se dedican prin- cipalmente a la dirección, organización, planificación y control de las actividades que desarrollan los trabajadores, así como de la ges- tión de las</w:t>
      </w:r>
      <w:r>
        <w:rPr>
          <w:color w:val="231F20"/>
          <w:spacing w:val="-2"/>
          <w:sz w:val="20"/>
        </w:rPr>
        <w:t> </w:t>
      </w:r>
      <w:r>
        <w:rPr>
          <w:color w:val="231F20"/>
          <w:sz w:val="20"/>
        </w:rPr>
        <w:t>empresas.</w:t>
      </w:r>
    </w:p>
    <w:p>
      <w:pPr>
        <w:pStyle w:val="ListParagraph"/>
        <w:numPr>
          <w:ilvl w:val="0"/>
          <w:numId w:val="9"/>
        </w:numPr>
        <w:tabs>
          <w:tab w:pos="471" w:val="left" w:leader="none"/>
        </w:tabs>
        <w:spacing w:line="249" w:lineRule="auto" w:before="1" w:after="0"/>
        <w:ind w:left="470" w:right="111" w:hanging="360"/>
        <w:jc w:val="both"/>
        <w:rPr>
          <w:sz w:val="20"/>
        </w:rPr>
      </w:pPr>
      <w:r>
        <w:rPr>
          <w:i/>
          <w:color w:val="231F20"/>
          <w:sz w:val="20"/>
        </w:rPr>
        <w:t>Actividades de administración y distribución</w:t>
      </w:r>
      <w:r>
        <w:rPr>
          <w:color w:val="231F20"/>
          <w:sz w:val="20"/>
        </w:rPr>
        <w:t>. Se refiere a activida- des</w:t>
      </w:r>
      <w:r>
        <w:rPr>
          <w:color w:val="231F20"/>
          <w:spacing w:val="-8"/>
          <w:sz w:val="20"/>
        </w:rPr>
        <w:t> </w:t>
      </w:r>
      <w:r>
        <w:rPr>
          <w:color w:val="231F20"/>
          <w:sz w:val="20"/>
        </w:rPr>
        <w:t>de</w:t>
      </w:r>
      <w:r>
        <w:rPr>
          <w:color w:val="231F20"/>
          <w:spacing w:val="-8"/>
          <w:sz w:val="20"/>
        </w:rPr>
        <w:t> </w:t>
      </w:r>
      <w:r>
        <w:rPr>
          <w:color w:val="231F20"/>
          <w:sz w:val="20"/>
        </w:rPr>
        <w:t>apoyo</w:t>
      </w:r>
      <w:r>
        <w:rPr>
          <w:color w:val="231F20"/>
          <w:spacing w:val="-8"/>
          <w:sz w:val="20"/>
        </w:rPr>
        <w:t> </w:t>
      </w:r>
      <w:r>
        <w:rPr>
          <w:color w:val="231F20"/>
          <w:sz w:val="20"/>
        </w:rPr>
        <w:t>a</w:t>
      </w:r>
      <w:r>
        <w:rPr>
          <w:color w:val="231F20"/>
          <w:spacing w:val="-8"/>
          <w:sz w:val="20"/>
        </w:rPr>
        <w:t> </w:t>
      </w:r>
      <w:r>
        <w:rPr>
          <w:color w:val="231F20"/>
          <w:sz w:val="20"/>
        </w:rPr>
        <w:t>la</w:t>
      </w:r>
      <w:r>
        <w:rPr>
          <w:color w:val="231F20"/>
          <w:spacing w:val="-8"/>
          <w:sz w:val="20"/>
        </w:rPr>
        <w:t> </w:t>
      </w:r>
      <w:r>
        <w:rPr>
          <w:color w:val="231F20"/>
          <w:sz w:val="20"/>
        </w:rPr>
        <w:t>dirección,</w:t>
      </w:r>
      <w:r>
        <w:rPr>
          <w:color w:val="231F20"/>
          <w:spacing w:val="-8"/>
          <w:sz w:val="20"/>
        </w:rPr>
        <w:t> </w:t>
      </w:r>
      <w:r>
        <w:rPr>
          <w:color w:val="231F20"/>
          <w:sz w:val="20"/>
        </w:rPr>
        <w:t>y</w:t>
      </w:r>
      <w:r>
        <w:rPr>
          <w:color w:val="231F20"/>
          <w:spacing w:val="-8"/>
          <w:sz w:val="20"/>
        </w:rPr>
        <w:t> </w:t>
      </w:r>
      <w:r>
        <w:rPr>
          <w:color w:val="231F20"/>
          <w:sz w:val="20"/>
        </w:rPr>
        <w:t>a</w:t>
      </w:r>
      <w:r>
        <w:rPr>
          <w:color w:val="231F20"/>
          <w:spacing w:val="-8"/>
          <w:sz w:val="20"/>
        </w:rPr>
        <w:t> </w:t>
      </w:r>
      <w:r>
        <w:rPr>
          <w:color w:val="231F20"/>
          <w:sz w:val="20"/>
        </w:rPr>
        <w:t>la</w:t>
      </w:r>
      <w:r>
        <w:rPr>
          <w:color w:val="231F20"/>
          <w:spacing w:val="-8"/>
          <w:sz w:val="20"/>
        </w:rPr>
        <w:t> </w:t>
      </w:r>
      <w:r>
        <w:rPr>
          <w:color w:val="231F20"/>
          <w:sz w:val="20"/>
        </w:rPr>
        <w:t>distribución</w:t>
      </w:r>
      <w:r>
        <w:rPr>
          <w:color w:val="231F20"/>
          <w:spacing w:val="-8"/>
          <w:sz w:val="20"/>
        </w:rPr>
        <w:t> </w:t>
      </w:r>
      <w:r>
        <w:rPr>
          <w:color w:val="231F20"/>
          <w:sz w:val="20"/>
        </w:rPr>
        <w:t>y</w:t>
      </w:r>
      <w:r>
        <w:rPr>
          <w:color w:val="231F20"/>
          <w:spacing w:val="-8"/>
          <w:sz w:val="20"/>
        </w:rPr>
        <w:t> </w:t>
      </w:r>
      <w:r>
        <w:rPr>
          <w:color w:val="231F20"/>
          <w:sz w:val="20"/>
        </w:rPr>
        <w:t>comercialización</w:t>
      </w:r>
      <w:r>
        <w:rPr>
          <w:color w:val="231F20"/>
          <w:spacing w:val="-9"/>
          <w:sz w:val="20"/>
        </w:rPr>
        <w:t> </w:t>
      </w:r>
      <w:r>
        <w:rPr>
          <w:color w:val="231F20"/>
          <w:sz w:val="20"/>
        </w:rPr>
        <w:t>de los bienes y servicios</w:t>
      </w:r>
      <w:r>
        <w:rPr>
          <w:color w:val="231F20"/>
          <w:spacing w:val="-9"/>
          <w:sz w:val="20"/>
        </w:rPr>
        <w:t> </w:t>
      </w:r>
      <w:r>
        <w:rPr>
          <w:color w:val="231F20"/>
          <w:sz w:val="20"/>
        </w:rPr>
        <w:t>producidos.</w:t>
      </w:r>
    </w:p>
    <w:p>
      <w:pPr>
        <w:pStyle w:val="ListParagraph"/>
        <w:numPr>
          <w:ilvl w:val="0"/>
          <w:numId w:val="9"/>
        </w:numPr>
        <w:tabs>
          <w:tab w:pos="471" w:val="left" w:leader="none"/>
        </w:tabs>
        <w:spacing w:line="249" w:lineRule="auto" w:before="1" w:after="0"/>
        <w:ind w:left="470" w:right="111" w:hanging="360"/>
        <w:jc w:val="both"/>
        <w:rPr>
          <w:sz w:val="20"/>
        </w:rPr>
      </w:pPr>
      <w:r>
        <w:rPr>
          <w:i/>
          <w:color w:val="231F20"/>
          <w:sz w:val="20"/>
        </w:rPr>
        <w:t>Actividades de producción</w:t>
      </w:r>
      <w:r>
        <w:rPr>
          <w:color w:val="231F20"/>
          <w:sz w:val="20"/>
        </w:rPr>
        <w:t>. Corresponde a aquellos trabajos vincu- lados directamente al procesamiento y transformación de bienes y mercancías.</w:t>
      </w:r>
    </w:p>
    <w:p>
      <w:pPr>
        <w:pStyle w:val="ListParagraph"/>
        <w:numPr>
          <w:ilvl w:val="0"/>
          <w:numId w:val="9"/>
        </w:numPr>
        <w:tabs>
          <w:tab w:pos="471" w:val="left" w:leader="none"/>
        </w:tabs>
        <w:spacing w:line="249" w:lineRule="auto" w:before="1" w:after="0"/>
        <w:ind w:left="470" w:right="111" w:hanging="360"/>
        <w:jc w:val="both"/>
        <w:rPr>
          <w:sz w:val="20"/>
        </w:rPr>
      </w:pPr>
      <w:r>
        <w:rPr>
          <w:i/>
          <w:color w:val="231F20"/>
          <w:sz w:val="20"/>
        </w:rPr>
        <w:t>Construcción</w:t>
      </w:r>
      <w:r>
        <w:rPr>
          <w:color w:val="231F20"/>
          <w:sz w:val="20"/>
        </w:rPr>
        <w:t>. Aunque suele incluirse como una actividad producti- va,</w:t>
      </w:r>
      <w:r>
        <w:rPr>
          <w:color w:val="231F20"/>
          <w:spacing w:val="-6"/>
          <w:sz w:val="20"/>
        </w:rPr>
        <w:t> </w:t>
      </w:r>
      <w:r>
        <w:rPr>
          <w:color w:val="231F20"/>
          <w:sz w:val="20"/>
        </w:rPr>
        <w:t>la</w:t>
      </w:r>
      <w:r>
        <w:rPr>
          <w:color w:val="231F20"/>
          <w:spacing w:val="-6"/>
          <w:sz w:val="20"/>
        </w:rPr>
        <w:t> </w:t>
      </w:r>
      <w:r>
        <w:rPr>
          <w:color w:val="231F20"/>
          <w:sz w:val="20"/>
        </w:rPr>
        <w:t>diferenciamos</w:t>
      </w:r>
      <w:r>
        <w:rPr>
          <w:color w:val="231F20"/>
          <w:spacing w:val="-6"/>
          <w:sz w:val="20"/>
        </w:rPr>
        <w:t> </w:t>
      </w:r>
      <w:r>
        <w:rPr>
          <w:color w:val="231F20"/>
          <w:sz w:val="20"/>
        </w:rPr>
        <w:t>de</w:t>
      </w:r>
      <w:r>
        <w:rPr>
          <w:color w:val="231F20"/>
          <w:spacing w:val="-6"/>
          <w:sz w:val="20"/>
        </w:rPr>
        <w:t> </w:t>
      </w:r>
      <w:r>
        <w:rPr>
          <w:color w:val="231F20"/>
          <w:sz w:val="20"/>
        </w:rPr>
        <w:t>ellas,</w:t>
      </w:r>
      <w:r>
        <w:rPr>
          <w:color w:val="231F20"/>
          <w:spacing w:val="-6"/>
          <w:sz w:val="20"/>
        </w:rPr>
        <w:t> </w:t>
      </w:r>
      <w:r>
        <w:rPr>
          <w:color w:val="231F20"/>
          <w:sz w:val="20"/>
        </w:rPr>
        <w:t>debido</w:t>
      </w:r>
      <w:r>
        <w:rPr>
          <w:color w:val="231F20"/>
          <w:spacing w:val="-6"/>
          <w:sz w:val="20"/>
        </w:rPr>
        <w:t> </w:t>
      </w:r>
      <w:r>
        <w:rPr>
          <w:color w:val="231F20"/>
          <w:sz w:val="20"/>
        </w:rPr>
        <w:t>a</w:t>
      </w:r>
      <w:r>
        <w:rPr>
          <w:color w:val="231F20"/>
          <w:spacing w:val="-6"/>
          <w:sz w:val="20"/>
        </w:rPr>
        <w:t> </w:t>
      </w:r>
      <w:r>
        <w:rPr>
          <w:color w:val="231F20"/>
          <w:sz w:val="20"/>
        </w:rPr>
        <w:t>que</w:t>
      </w:r>
      <w:r>
        <w:rPr>
          <w:color w:val="231F20"/>
          <w:spacing w:val="-6"/>
          <w:sz w:val="20"/>
        </w:rPr>
        <w:t> </w:t>
      </w:r>
      <w:r>
        <w:rPr>
          <w:color w:val="231F20"/>
          <w:sz w:val="20"/>
        </w:rPr>
        <w:t>en</w:t>
      </w:r>
      <w:r>
        <w:rPr>
          <w:color w:val="231F20"/>
          <w:spacing w:val="-6"/>
          <w:sz w:val="20"/>
        </w:rPr>
        <w:t> </w:t>
      </w:r>
      <w:r>
        <w:rPr>
          <w:color w:val="231F20"/>
          <w:sz w:val="20"/>
        </w:rPr>
        <w:t>estas</w:t>
      </w:r>
      <w:r>
        <w:rPr>
          <w:color w:val="231F20"/>
          <w:spacing w:val="-6"/>
          <w:sz w:val="20"/>
        </w:rPr>
        <w:t> </w:t>
      </w:r>
      <w:r>
        <w:rPr>
          <w:color w:val="231F20"/>
          <w:sz w:val="20"/>
        </w:rPr>
        <w:t>actividades</w:t>
      </w:r>
      <w:r>
        <w:rPr>
          <w:color w:val="231F20"/>
          <w:spacing w:val="-6"/>
          <w:sz w:val="20"/>
        </w:rPr>
        <w:t> </w:t>
      </w:r>
      <w:r>
        <w:rPr>
          <w:color w:val="231F20"/>
          <w:sz w:val="20"/>
        </w:rPr>
        <w:t>se</w:t>
      </w:r>
      <w:r>
        <w:rPr>
          <w:color w:val="231F20"/>
          <w:spacing w:val="-6"/>
          <w:sz w:val="20"/>
        </w:rPr>
        <w:t> </w:t>
      </w:r>
      <w:r>
        <w:rPr>
          <w:color w:val="231F20"/>
          <w:sz w:val="20"/>
        </w:rPr>
        <w:t>da una alta concentración de mano de obra</w:t>
      </w:r>
      <w:r>
        <w:rPr>
          <w:color w:val="231F20"/>
          <w:spacing w:val="-3"/>
          <w:sz w:val="20"/>
        </w:rPr>
        <w:t> </w:t>
      </w:r>
      <w:r>
        <w:rPr>
          <w:color w:val="231F20"/>
          <w:sz w:val="20"/>
        </w:rPr>
        <w:t>inmigrante.</w:t>
      </w:r>
    </w:p>
    <w:p>
      <w:pPr>
        <w:pStyle w:val="ListParagraph"/>
        <w:numPr>
          <w:ilvl w:val="0"/>
          <w:numId w:val="9"/>
        </w:numPr>
        <w:tabs>
          <w:tab w:pos="471" w:val="left" w:leader="none"/>
        </w:tabs>
        <w:spacing w:line="249" w:lineRule="auto" w:before="1" w:after="0"/>
        <w:ind w:left="393" w:right="111" w:hanging="283"/>
        <w:jc w:val="both"/>
        <w:rPr>
          <w:sz w:val="20"/>
        </w:rPr>
      </w:pPr>
      <w:r>
        <w:rPr>
          <w:i/>
          <w:color w:val="231F20"/>
          <w:sz w:val="20"/>
        </w:rPr>
        <w:t>Actividades de reproducción social</w:t>
      </w:r>
      <w:r>
        <w:rPr>
          <w:color w:val="231F20"/>
          <w:sz w:val="20"/>
        </w:rPr>
        <w:t>. Corresponde a trabajos y ser- vicios que se vinculan directamente con la reproducción de la po- blación, tales como el servicio doméstico, industria del cuidado y atención de personas (de adultos mayores, enfermos y niños), prepa- ración de alimentos, limpieza y mantenimiento, entre muchas</w:t>
      </w:r>
      <w:r>
        <w:rPr>
          <w:color w:val="231F20"/>
          <w:spacing w:val="-5"/>
          <w:sz w:val="20"/>
        </w:rPr>
        <w:t> </w:t>
      </w:r>
      <w:r>
        <w:rPr>
          <w:color w:val="231F20"/>
          <w:sz w:val="20"/>
        </w:rPr>
        <w:t>otras.</w:t>
      </w:r>
    </w:p>
    <w:p>
      <w:pPr>
        <w:pStyle w:val="BodyText"/>
        <w:spacing w:line="249" w:lineRule="auto" w:before="171"/>
        <w:ind w:left="110" w:right="111" w:firstLine="283"/>
      </w:pPr>
      <w:r>
        <w:rPr>
          <w:color w:val="231F20"/>
        </w:rPr>
        <w:t>Con base en esta clasificación de las ocupaciones, podemos medir    y</w:t>
      </w:r>
      <w:r>
        <w:rPr>
          <w:color w:val="231F20"/>
          <w:spacing w:val="24"/>
        </w:rPr>
        <w:t> </w:t>
      </w:r>
      <w:r>
        <w:rPr>
          <w:color w:val="231F20"/>
        </w:rPr>
        <w:t>dimensionar</w:t>
      </w:r>
      <w:r>
        <w:rPr>
          <w:color w:val="231F20"/>
          <w:spacing w:val="24"/>
        </w:rPr>
        <w:t> </w:t>
      </w:r>
      <w:r>
        <w:rPr>
          <w:color w:val="231F20"/>
        </w:rPr>
        <w:t>cómo</w:t>
      </w:r>
      <w:r>
        <w:rPr>
          <w:color w:val="231F20"/>
          <w:spacing w:val="23"/>
        </w:rPr>
        <w:t> </w:t>
      </w:r>
      <w:r>
        <w:rPr>
          <w:color w:val="231F20"/>
        </w:rPr>
        <w:t>el</w:t>
      </w:r>
      <w:r>
        <w:rPr>
          <w:color w:val="231F20"/>
          <w:spacing w:val="24"/>
        </w:rPr>
        <w:t> </w:t>
      </w:r>
      <w:r>
        <w:rPr>
          <w:color w:val="231F20"/>
        </w:rPr>
        <w:t>patrón</w:t>
      </w:r>
      <w:r>
        <w:rPr>
          <w:color w:val="231F20"/>
          <w:spacing w:val="24"/>
        </w:rPr>
        <w:t> </w:t>
      </w:r>
      <w:r>
        <w:rPr>
          <w:color w:val="231F20"/>
        </w:rPr>
        <w:t>de</w:t>
      </w:r>
      <w:r>
        <w:rPr>
          <w:color w:val="231F20"/>
          <w:spacing w:val="24"/>
        </w:rPr>
        <w:t> </w:t>
      </w:r>
      <w:r>
        <w:rPr>
          <w:color w:val="231F20"/>
        </w:rPr>
        <w:t>inserción</w:t>
      </w:r>
      <w:r>
        <w:rPr>
          <w:color w:val="231F20"/>
          <w:spacing w:val="23"/>
        </w:rPr>
        <w:t> </w:t>
      </w:r>
      <w:r>
        <w:rPr>
          <w:color w:val="231F20"/>
        </w:rPr>
        <w:t>laboral</w:t>
      </w:r>
      <w:r>
        <w:rPr>
          <w:color w:val="231F20"/>
          <w:spacing w:val="23"/>
        </w:rPr>
        <w:t> </w:t>
      </w:r>
      <w:r>
        <w:rPr>
          <w:color w:val="231F20"/>
        </w:rPr>
        <w:t>de</w:t>
      </w:r>
      <w:r>
        <w:rPr>
          <w:color w:val="231F20"/>
          <w:spacing w:val="24"/>
        </w:rPr>
        <w:t> </w:t>
      </w:r>
      <w:r>
        <w:rPr>
          <w:color w:val="231F20"/>
        </w:rPr>
        <w:t>los</w:t>
      </w:r>
      <w:r>
        <w:rPr>
          <w:color w:val="231F20"/>
          <w:spacing w:val="23"/>
        </w:rPr>
        <w:t> </w:t>
      </w:r>
      <w:r>
        <w:rPr>
          <w:color w:val="231F20"/>
        </w:rPr>
        <w:t>inmigrantes</w:t>
      </w:r>
    </w:p>
    <w:p>
      <w:pPr>
        <w:spacing w:after="0" w:line="249" w:lineRule="auto"/>
        <w:sectPr>
          <w:pgSz w:w="7770" w:h="11740"/>
          <w:pgMar w:header="0" w:footer="474" w:top="840" w:bottom="740" w:left="740" w:right="1020"/>
        </w:sectPr>
      </w:pPr>
    </w:p>
    <w:p>
      <w:pPr>
        <w:pStyle w:val="BodyText"/>
        <w:spacing w:line="249" w:lineRule="auto" w:before="60"/>
        <w:ind w:left="113" w:right="227"/>
        <w:jc w:val="both"/>
      </w:pPr>
      <w:r>
        <w:rPr>
          <w:color w:val="231F20"/>
        </w:rPr>
        <w:t>latinoamericanos</w:t>
      </w:r>
      <w:r>
        <w:rPr>
          <w:color w:val="231F20"/>
          <w:spacing w:val="-7"/>
        </w:rPr>
        <w:t> </w:t>
      </w:r>
      <w:r>
        <w:rPr>
          <w:color w:val="231F20"/>
        </w:rPr>
        <w:t>se</w:t>
      </w:r>
      <w:r>
        <w:rPr>
          <w:color w:val="231F20"/>
          <w:spacing w:val="-6"/>
        </w:rPr>
        <w:t> </w:t>
      </w:r>
      <w:r>
        <w:rPr>
          <w:color w:val="231F20"/>
        </w:rPr>
        <w:t>ve</w:t>
      </w:r>
      <w:r>
        <w:rPr>
          <w:color w:val="231F20"/>
          <w:spacing w:val="-6"/>
        </w:rPr>
        <w:t> </w:t>
      </w:r>
      <w:r>
        <w:rPr>
          <w:color w:val="231F20"/>
        </w:rPr>
        <w:t>afectado</w:t>
      </w:r>
      <w:r>
        <w:rPr>
          <w:color w:val="231F20"/>
          <w:spacing w:val="-7"/>
        </w:rPr>
        <w:t> </w:t>
      </w:r>
      <w:r>
        <w:rPr>
          <w:color w:val="231F20"/>
        </w:rPr>
        <w:t>por</w:t>
      </w:r>
      <w:r>
        <w:rPr>
          <w:color w:val="231F20"/>
          <w:spacing w:val="-6"/>
        </w:rPr>
        <w:t> </w:t>
      </w:r>
      <w:r>
        <w:rPr>
          <w:color w:val="231F20"/>
        </w:rPr>
        <w:t>la</w:t>
      </w:r>
      <w:r>
        <w:rPr>
          <w:color w:val="231F20"/>
          <w:spacing w:val="-6"/>
        </w:rPr>
        <w:t> </w:t>
      </w:r>
      <w:r>
        <w:rPr>
          <w:color w:val="231F20"/>
        </w:rPr>
        <w:t>crisis</w:t>
      </w:r>
      <w:r>
        <w:rPr>
          <w:color w:val="231F20"/>
          <w:spacing w:val="-7"/>
        </w:rPr>
        <w:t> </w:t>
      </w:r>
      <w:r>
        <w:rPr>
          <w:color w:val="231F20"/>
        </w:rPr>
        <w:t>económica</w:t>
      </w:r>
      <w:r>
        <w:rPr>
          <w:color w:val="231F20"/>
          <w:spacing w:val="-7"/>
        </w:rPr>
        <w:t> </w:t>
      </w:r>
      <w:r>
        <w:rPr>
          <w:color w:val="231F20"/>
        </w:rPr>
        <w:t>actual.</w:t>
      </w:r>
      <w:r>
        <w:rPr>
          <w:color w:val="231F20"/>
          <w:spacing w:val="-7"/>
        </w:rPr>
        <w:t> </w:t>
      </w:r>
      <w:r>
        <w:rPr>
          <w:color w:val="231F20"/>
        </w:rPr>
        <w:t>Para</w:t>
      </w:r>
      <w:r>
        <w:rPr>
          <w:color w:val="231F20"/>
          <w:spacing w:val="-6"/>
        </w:rPr>
        <w:t> </w:t>
      </w:r>
      <w:r>
        <w:rPr>
          <w:color w:val="231F20"/>
        </w:rPr>
        <w:t>ello, primero debemos considerar que los efectos de la crisis económica ac- túan</w:t>
      </w:r>
      <w:r>
        <w:rPr>
          <w:color w:val="231F20"/>
          <w:spacing w:val="-9"/>
        </w:rPr>
        <w:t> </w:t>
      </w:r>
      <w:r>
        <w:rPr>
          <w:color w:val="231F20"/>
        </w:rPr>
        <w:t>sobre</w:t>
      </w:r>
      <w:r>
        <w:rPr>
          <w:color w:val="231F20"/>
          <w:spacing w:val="-8"/>
        </w:rPr>
        <w:t> </w:t>
      </w:r>
      <w:r>
        <w:rPr>
          <w:color w:val="231F20"/>
        </w:rPr>
        <w:t>una</w:t>
      </w:r>
      <w:r>
        <w:rPr>
          <w:color w:val="231F20"/>
          <w:spacing w:val="-8"/>
        </w:rPr>
        <w:t> </w:t>
      </w:r>
      <w:r>
        <w:rPr>
          <w:color w:val="231F20"/>
        </w:rPr>
        <w:t>tendencia</w:t>
      </w:r>
      <w:r>
        <w:rPr>
          <w:color w:val="231F20"/>
          <w:spacing w:val="-9"/>
        </w:rPr>
        <w:t> </w:t>
      </w:r>
      <w:r>
        <w:rPr>
          <w:color w:val="231F20"/>
        </w:rPr>
        <w:t>estructural</w:t>
      </w:r>
      <w:r>
        <w:rPr>
          <w:color w:val="231F20"/>
          <w:spacing w:val="-9"/>
        </w:rPr>
        <w:t> </w:t>
      </w:r>
      <w:r>
        <w:rPr>
          <w:color w:val="231F20"/>
        </w:rPr>
        <w:t>de</w:t>
      </w:r>
      <w:r>
        <w:rPr>
          <w:color w:val="231F20"/>
          <w:spacing w:val="-8"/>
        </w:rPr>
        <w:t> </w:t>
      </w:r>
      <w:r>
        <w:rPr>
          <w:color w:val="231F20"/>
        </w:rPr>
        <w:t>más</w:t>
      </w:r>
      <w:r>
        <w:rPr>
          <w:color w:val="231F20"/>
          <w:spacing w:val="-8"/>
        </w:rPr>
        <w:t> </w:t>
      </w:r>
      <w:r>
        <w:rPr>
          <w:color w:val="231F20"/>
        </w:rPr>
        <w:t>largo</w:t>
      </w:r>
      <w:r>
        <w:rPr>
          <w:color w:val="231F20"/>
          <w:spacing w:val="-8"/>
        </w:rPr>
        <w:t> </w:t>
      </w:r>
      <w:r>
        <w:rPr>
          <w:color w:val="231F20"/>
        </w:rPr>
        <w:t>aliento,</w:t>
      </w:r>
      <w:r>
        <w:rPr>
          <w:color w:val="231F20"/>
          <w:spacing w:val="-9"/>
        </w:rPr>
        <w:t> </w:t>
      </w:r>
      <w:r>
        <w:rPr>
          <w:color w:val="231F20"/>
        </w:rPr>
        <w:t>y</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refiere a la segmentación y polarización de la estructura ocupacional, lo cual es la base de la mayor desigualdad social y económica que caracteriza a la economía de Estados Unidos (Stiglitz,</w:t>
      </w:r>
      <w:r>
        <w:rPr>
          <w:color w:val="231F20"/>
          <w:spacing w:val="-7"/>
        </w:rPr>
        <w:t> </w:t>
      </w:r>
      <w:r>
        <w:rPr>
          <w:color w:val="231F20"/>
        </w:rPr>
        <w:t>2012).</w:t>
      </w:r>
    </w:p>
    <w:p>
      <w:pPr>
        <w:pStyle w:val="BodyText"/>
        <w:spacing w:line="249" w:lineRule="auto" w:before="1"/>
        <w:ind w:left="113" w:right="228" w:firstLine="283"/>
        <w:jc w:val="both"/>
      </w:pPr>
      <w:r>
        <w:rPr>
          <w:color w:val="231F20"/>
        </w:rPr>
        <w:t>En</w:t>
      </w:r>
      <w:r>
        <w:rPr>
          <w:color w:val="231F20"/>
          <w:spacing w:val="-5"/>
        </w:rPr>
        <w:t> </w:t>
      </w:r>
      <w:r>
        <w:rPr>
          <w:color w:val="231F20"/>
        </w:rPr>
        <w:t>términos</w:t>
      </w:r>
      <w:r>
        <w:rPr>
          <w:color w:val="231F20"/>
          <w:spacing w:val="-5"/>
        </w:rPr>
        <w:t> </w:t>
      </w:r>
      <w:r>
        <w:rPr>
          <w:color w:val="231F20"/>
        </w:rPr>
        <w:t>cuantitativos,</w:t>
      </w:r>
      <w:r>
        <w:rPr>
          <w:color w:val="231F20"/>
          <w:spacing w:val="-5"/>
        </w:rPr>
        <w:t> </w:t>
      </w:r>
      <w:r>
        <w:rPr>
          <w:color w:val="231F20"/>
        </w:rPr>
        <w:t>esta</w:t>
      </w:r>
      <w:r>
        <w:rPr>
          <w:color w:val="231F20"/>
          <w:spacing w:val="-5"/>
        </w:rPr>
        <w:t> </w:t>
      </w:r>
      <w:r>
        <w:rPr>
          <w:color w:val="231F20"/>
        </w:rPr>
        <w:t>polarización</w:t>
      </w:r>
      <w:r>
        <w:rPr>
          <w:color w:val="231F20"/>
          <w:spacing w:val="-5"/>
        </w:rPr>
        <w:t> </w:t>
      </w:r>
      <w:r>
        <w:rPr>
          <w:color w:val="231F20"/>
        </w:rPr>
        <w:t>se</w:t>
      </w:r>
      <w:r>
        <w:rPr>
          <w:color w:val="231F20"/>
          <w:spacing w:val="-5"/>
        </w:rPr>
        <w:t> </w:t>
      </w:r>
      <w:r>
        <w:rPr>
          <w:color w:val="231F20"/>
        </w:rPr>
        <w:t>manifiesta</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cam- bio importante en el peso relativo de cada actividad y grupo de ocupa- ción.</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observa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Gráfica</w:t>
      </w:r>
      <w:r>
        <w:rPr>
          <w:color w:val="231F20"/>
          <w:spacing w:val="-8"/>
        </w:rPr>
        <w:t> </w:t>
      </w:r>
      <w:r>
        <w:rPr>
          <w:color w:val="231F20"/>
        </w:rPr>
        <w:t>5,</w:t>
      </w:r>
      <w:r>
        <w:rPr>
          <w:color w:val="231F20"/>
          <w:spacing w:val="-8"/>
        </w:rPr>
        <w:t> </w:t>
      </w:r>
      <w:r>
        <w:rPr>
          <w:color w:val="231F20"/>
        </w:rPr>
        <w:t>entre</w:t>
      </w:r>
      <w:r>
        <w:rPr>
          <w:color w:val="231F20"/>
          <w:spacing w:val="-8"/>
        </w:rPr>
        <w:t> </w:t>
      </w:r>
      <w:r>
        <w:rPr>
          <w:color w:val="231F20"/>
        </w:rPr>
        <w:t>2002</w:t>
      </w:r>
      <w:r>
        <w:rPr>
          <w:color w:val="231F20"/>
          <w:spacing w:val="-8"/>
        </w:rPr>
        <w:t> </w:t>
      </w:r>
      <w:r>
        <w:rPr>
          <w:color w:val="231F20"/>
        </w:rPr>
        <w:t>y</w:t>
      </w:r>
      <w:r>
        <w:rPr>
          <w:color w:val="231F20"/>
          <w:spacing w:val="-8"/>
        </w:rPr>
        <w:t> </w:t>
      </w:r>
      <w:r>
        <w:rPr>
          <w:color w:val="231F20"/>
        </w:rPr>
        <w:t>2008,</w:t>
      </w:r>
      <w:r>
        <w:rPr>
          <w:color w:val="231F20"/>
          <w:spacing w:val="-8"/>
        </w:rPr>
        <w:t> </w:t>
      </w:r>
      <w:r>
        <w:rPr>
          <w:color w:val="231F20"/>
        </w:rPr>
        <w:t>el</w:t>
      </w:r>
      <w:r>
        <w:rPr>
          <w:color w:val="231F20"/>
          <w:spacing w:val="-8"/>
        </w:rPr>
        <w:t> </w:t>
      </w:r>
      <w:r>
        <w:rPr>
          <w:color w:val="231F20"/>
        </w:rPr>
        <w:t>ciclo</w:t>
      </w:r>
      <w:r>
        <w:rPr>
          <w:color w:val="231F20"/>
          <w:spacing w:val="-8"/>
        </w:rPr>
        <w:t> </w:t>
      </w:r>
      <w:r>
        <w:rPr>
          <w:color w:val="231F20"/>
        </w:rPr>
        <w:t>expan- sivo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economía</w:t>
      </w:r>
      <w:r>
        <w:rPr>
          <w:color w:val="231F20"/>
          <w:spacing w:val="-6"/>
        </w:rPr>
        <w:t> </w:t>
      </w:r>
      <w:r>
        <w:rPr>
          <w:color w:val="231F20"/>
        </w:rPr>
        <w:t>norteamericana</w:t>
      </w:r>
      <w:r>
        <w:rPr>
          <w:color w:val="231F20"/>
          <w:spacing w:val="-5"/>
        </w:rPr>
        <w:t> </w:t>
      </w:r>
      <w:r>
        <w:rPr>
          <w:color w:val="231F20"/>
        </w:rPr>
        <w:t>de</w:t>
      </w:r>
      <w:r>
        <w:rPr>
          <w:color w:val="231F20"/>
          <w:spacing w:val="-5"/>
        </w:rPr>
        <w:t> </w:t>
      </w:r>
      <w:r>
        <w:rPr>
          <w:color w:val="231F20"/>
        </w:rPr>
        <w:t>esos</w:t>
      </w:r>
      <w:r>
        <w:rPr>
          <w:color w:val="231F20"/>
          <w:spacing w:val="-5"/>
        </w:rPr>
        <w:t> </w:t>
      </w:r>
      <w:r>
        <w:rPr>
          <w:color w:val="231F20"/>
        </w:rPr>
        <w:t>años</w:t>
      </w:r>
      <w:r>
        <w:rPr>
          <w:color w:val="231F20"/>
          <w:spacing w:val="-6"/>
        </w:rPr>
        <w:t> </w:t>
      </w:r>
      <w:r>
        <w:rPr>
          <w:color w:val="231F20"/>
        </w:rPr>
        <w:t>permitió</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empleo se</w:t>
      </w:r>
      <w:r>
        <w:rPr>
          <w:color w:val="231F20"/>
          <w:spacing w:val="-8"/>
        </w:rPr>
        <w:t> </w:t>
      </w:r>
      <w:r>
        <w:rPr>
          <w:color w:val="231F20"/>
        </w:rPr>
        <w:t>incrementara</w:t>
      </w:r>
      <w:r>
        <w:rPr>
          <w:color w:val="231F20"/>
          <w:spacing w:val="-9"/>
        </w:rPr>
        <w:t> </w:t>
      </w:r>
      <w:r>
        <w:rPr>
          <w:color w:val="231F20"/>
        </w:rPr>
        <w:t>en</w:t>
      </w:r>
      <w:r>
        <w:rPr>
          <w:color w:val="231F20"/>
          <w:spacing w:val="-9"/>
        </w:rPr>
        <w:t> </w:t>
      </w:r>
      <w:r>
        <w:rPr>
          <w:color w:val="231F20"/>
        </w:rPr>
        <w:t>más</w:t>
      </w:r>
      <w:r>
        <w:rPr>
          <w:color w:val="231F20"/>
          <w:spacing w:val="-9"/>
        </w:rPr>
        <w:t> </w:t>
      </w:r>
      <w:r>
        <w:rPr>
          <w:color w:val="231F20"/>
        </w:rPr>
        <w:t>de</w:t>
      </w:r>
      <w:r>
        <w:rPr>
          <w:color w:val="231F20"/>
          <w:spacing w:val="-8"/>
        </w:rPr>
        <w:t> </w:t>
      </w:r>
      <w:r>
        <w:rPr>
          <w:color w:val="231F20"/>
        </w:rPr>
        <w:t>9.5</w:t>
      </w:r>
      <w:r>
        <w:rPr>
          <w:color w:val="231F20"/>
          <w:spacing w:val="-8"/>
        </w:rPr>
        <w:t> </w:t>
      </w:r>
      <w:r>
        <w:rPr>
          <w:color w:val="231F20"/>
        </w:rPr>
        <w:t>millones</w:t>
      </w:r>
      <w:r>
        <w:rPr>
          <w:color w:val="231F20"/>
          <w:spacing w:val="-9"/>
        </w:rPr>
        <w:t> </w:t>
      </w:r>
      <w:r>
        <w:rPr>
          <w:color w:val="231F20"/>
        </w:rPr>
        <w:t>de</w:t>
      </w:r>
      <w:r>
        <w:rPr>
          <w:color w:val="231F20"/>
          <w:spacing w:val="-8"/>
        </w:rPr>
        <w:t> </w:t>
      </w:r>
      <w:r>
        <w:rPr>
          <w:color w:val="231F20"/>
        </w:rPr>
        <w:t>nuevos</w:t>
      </w:r>
      <w:r>
        <w:rPr>
          <w:color w:val="231F20"/>
          <w:spacing w:val="-8"/>
        </w:rPr>
        <w:t> </w:t>
      </w:r>
      <w:r>
        <w:rPr>
          <w:color w:val="231F20"/>
        </w:rPr>
        <w:t>puestos</w:t>
      </w:r>
      <w:r>
        <w:rPr>
          <w:color w:val="231F20"/>
          <w:spacing w:val="-8"/>
        </w:rPr>
        <w:t> </w:t>
      </w:r>
      <w:r>
        <w:rPr>
          <w:color w:val="231F20"/>
        </w:rPr>
        <w:t>de</w:t>
      </w:r>
      <w:r>
        <w:rPr>
          <w:color w:val="231F20"/>
          <w:spacing w:val="-8"/>
        </w:rPr>
        <w:t> </w:t>
      </w:r>
      <w:r>
        <w:rPr>
          <w:color w:val="231F20"/>
        </w:rPr>
        <w:t>trabajo.</w:t>
      </w:r>
      <w:r>
        <w:rPr>
          <w:color w:val="231F20"/>
          <w:spacing w:val="-9"/>
        </w:rPr>
        <w:t> </w:t>
      </w:r>
      <w:r>
        <w:rPr>
          <w:color w:val="231F20"/>
        </w:rPr>
        <w:t>Sin embargo,</w:t>
      </w:r>
      <w:r>
        <w:rPr>
          <w:color w:val="231F20"/>
          <w:spacing w:val="-10"/>
        </w:rPr>
        <w:t> </w:t>
      </w:r>
      <w:r>
        <w:rPr>
          <w:color w:val="231F20"/>
        </w:rPr>
        <w:t>este</w:t>
      </w:r>
      <w:r>
        <w:rPr>
          <w:color w:val="231F20"/>
          <w:spacing w:val="-11"/>
        </w:rPr>
        <w:t> </w:t>
      </w:r>
      <w:r>
        <w:rPr>
          <w:color w:val="231F20"/>
        </w:rPr>
        <w:t>dinamismo</w:t>
      </w:r>
      <w:r>
        <w:rPr>
          <w:color w:val="231F20"/>
          <w:spacing w:val="-10"/>
        </w:rPr>
        <w:t> </w:t>
      </w:r>
      <w:r>
        <w:rPr>
          <w:color w:val="231F20"/>
        </w:rPr>
        <w:t>laboral</w:t>
      </w:r>
      <w:r>
        <w:rPr>
          <w:color w:val="231F20"/>
          <w:spacing w:val="-11"/>
        </w:rPr>
        <w:t> </w:t>
      </w:r>
      <w:r>
        <w:rPr>
          <w:color w:val="231F20"/>
        </w:rPr>
        <w:t>no</w:t>
      </w:r>
      <w:r>
        <w:rPr>
          <w:color w:val="231F20"/>
          <w:spacing w:val="-10"/>
        </w:rPr>
        <w:t> </w:t>
      </w:r>
      <w:r>
        <w:rPr>
          <w:color w:val="231F20"/>
        </w:rPr>
        <w:t>arrastró</w:t>
      </w:r>
      <w:r>
        <w:rPr>
          <w:color w:val="231F20"/>
          <w:spacing w:val="-11"/>
        </w:rPr>
        <w:t> </w:t>
      </w:r>
      <w:r>
        <w:rPr>
          <w:color w:val="231F20"/>
        </w:rPr>
        <w:t>tras</w:t>
      </w:r>
      <w:r>
        <w:rPr>
          <w:color w:val="231F20"/>
          <w:spacing w:val="-11"/>
        </w:rPr>
        <w:t> </w:t>
      </w:r>
      <w:r>
        <w:rPr>
          <w:color w:val="231F20"/>
        </w:rPr>
        <w:t>de</w:t>
      </w:r>
      <w:r>
        <w:rPr>
          <w:color w:val="231F20"/>
          <w:spacing w:val="-10"/>
        </w:rPr>
        <w:t> </w:t>
      </w:r>
      <w:r>
        <w:rPr>
          <w:color w:val="231F20"/>
        </w:rPr>
        <w:t>sí</w:t>
      </w:r>
      <w:r>
        <w:rPr>
          <w:color w:val="231F20"/>
          <w:spacing w:val="-10"/>
        </w:rPr>
        <w:t> </w:t>
      </w:r>
      <w:r>
        <w:rPr>
          <w:color w:val="231F20"/>
        </w:rPr>
        <w:t>a</w:t>
      </w:r>
      <w:r>
        <w:rPr>
          <w:color w:val="231F20"/>
          <w:spacing w:val="-10"/>
        </w:rPr>
        <w:t> </w:t>
      </w:r>
      <w:r>
        <w:rPr>
          <w:color w:val="231F20"/>
        </w:rPr>
        <w:t>todos</w:t>
      </w:r>
      <w:r>
        <w:rPr>
          <w:color w:val="231F20"/>
          <w:spacing w:val="-11"/>
        </w:rPr>
        <w:t> </w:t>
      </w:r>
      <w:r>
        <w:rPr>
          <w:color w:val="231F20"/>
        </w:rPr>
        <w:t>los</w:t>
      </w:r>
      <w:r>
        <w:rPr>
          <w:color w:val="231F20"/>
          <w:spacing w:val="-10"/>
        </w:rPr>
        <w:t> </w:t>
      </w:r>
      <w:r>
        <w:rPr>
          <w:color w:val="231F20"/>
        </w:rPr>
        <w:t>estratos ocupacionales por igual.</w:t>
      </w:r>
    </w:p>
    <w:p>
      <w:pPr>
        <w:pStyle w:val="BodyText"/>
        <w:spacing w:before="10"/>
        <w:rPr>
          <w:sz w:val="18"/>
        </w:rPr>
      </w:pPr>
    </w:p>
    <w:p>
      <w:pPr>
        <w:spacing w:line="252" w:lineRule="auto" w:before="0"/>
        <w:ind w:left="100" w:right="251" w:firstLine="0"/>
        <w:jc w:val="left"/>
        <w:rPr>
          <w:sz w:val="19"/>
        </w:rPr>
      </w:pPr>
      <w:r>
        <w:rPr>
          <w:sz w:val="19"/>
        </w:rPr>
        <w:t>Gráfica 5. Estados Unidos 2002-2008. Crecimiento de la ocupación según grandes categorías ocupacionales (millones de personas)</w:t>
      </w:r>
    </w:p>
    <w:p>
      <w:pPr>
        <w:pStyle w:val="BodyText"/>
        <w:spacing w:before="87"/>
        <w:ind w:left="633" w:right="251"/>
      </w:pPr>
      <w:r>
        <w:rPr/>
        <w:pict>
          <v:group style="position:absolute;margin-left:58.818253pt;margin-top:21.155941pt;width:293.4pt;height:179.85pt;mso-position-horizontal-relative:page;mso-position-vertical-relative:paragraph;z-index:6016;mso-wrap-distance-left:0;mso-wrap-distance-right:0" coordorigin="1176,423" coordsize="5868,3597">
            <v:rect style="position:absolute;left:3877;top:2920;width:468;height:1100" filled="true" fillcolor="#a6a6a6" stroked="false">
              <v:fill type="solid"/>
            </v:rect>
            <v:rect style="position:absolute;left:6217;top:1066;width:472;height:1853" filled="true" fillcolor="#585858" stroked="false">
              <v:fill type="solid"/>
            </v:rect>
            <v:rect style="position:absolute;left:5048;top:2775;width:468;height:144" filled="true" fillcolor="#585858" stroked="false">
              <v:fill type="solid"/>
            </v:rect>
            <v:rect style="position:absolute;left:2704;top:1998;width:472;height:922" filled="true" fillcolor="#585858" stroked="false">
              <v:fill type="solid"/>
            </v:rect>
            <v:rect style="position:absolute;left:1535;top:423;width:468;height:2496" filled="true" fillcolor="#585858" stroked="false">
              <v:fill type="solid"/>
            </v:rect>
            <v:line style="position:absolute" from="1184,2920" to="7039,2920" stroked="true" strokeweight=".5pt" strokecolor="#000000"/>
            <v:line style="position:absolute" from="1181,2919" to="1181,2979" stroked="true" strokeweight=".477768pt" strokecolor="#000000"/>
            <v:line style="position:absolute" from="2356,2919" to="2356,2979" stroked="true" strokeweight=".477768pt" strokecolor="#000000"/>
            <v:line style="position:absolute" from="3525,2919" to="3525,2979" stroked="true" strokeweight=".477768pt" strokecolor="#000000"/>
            <v:line style="position:absolute" from="4695,2919" to="4695,2979" stroked="true" strokeweight=".477768pt" strokecolor="#000000"/>
            <v:line style="position:absolute" from="5869,2919" to="5869,2979" stroked="true" strokeweight=".477768pt" strokecolor="#000000"/>
            <v:line style="position:absolute" from="7038,2919" to="7038,2979" stroked="true" strokeweight=".477768pt" strokecolor="#000000"/>
            <v:shape style="position:absolute;left:6338;top:755;width:239;height:200" type="#_x0000_t202" filled="false" stroked="false">
              <v:textbox inset="0,0,0,0">
                <w:txbxContent>
                  <w:p>
                    <w:pPr>
                      <w:spacing w:line="200" w:lineRule="exact" w:before="0"/>
                      <w:ind w:left="0" w:right="-19" w:firstLine="0"/>
                      <w:jc w:val="left"/>
                      <w:rPr>
                        <w:sz w:val="20"/>
                      </w:rPr>
                    </w:pPr>
                    <w:r>
                      <w:rPr>
                        <w:w w:val="95"/>
                        <w:sz w:val="20"/>
                      </w:rPr>
                      <w:t>4.1</w:t>
                    </w:r>
                  </w:p>
                </w:txbxContent>
              </v:textbox>
              <w10:wrap type="none"/>
            </v:shape>
            <v:shape style="position:absolute;left:2824;top:1686;width:239;height:200" type="#_x0000_t202" filled="false" stroked="false">
              <v:textbox inset="0,0,0,0">
                <w:txbxContent>
                  <w:p>
                    <w:pPr>
                      <w:spacing w:line="200" w:lineRule="exact" w:before="0"/>
                      <w:ind w:left="0" w:right="-19" w:firstLine="0"/>
                      <w:jc w:val="left"/>
                      <w:rPr>
                        <w:sz w:val="20"/>
                      </w:rPr>
                    </w:pPr>
                    <w:r>
                      <w:rPr>
                        <w:w w:val="95"/>
                        <w:sz w:val="20"/>
                      </w:rPr>
                      <w:t>2.1</w:t>
                    </w:r>
                  </w:p>
                </w:txbxContent>
              </v:textbox>
              <w10:wrap type="none"/>
            </v:shape>
            <v:shape style="position:absolute;left:5166;top:2465;width:239;height:200" type="#_x0000_t202" filled="false" stroked="false">
              <v:textbox inset="0,0,0,0">
                <w:txbxContent>
                  <w:p>
                    <w:pPr>
                      <w:spacing w:line="200" w:lineRule="exact" w:before="0"/>
                      <w:ind w:left="0" w:right="-19" w:firstLine="0"/>
                      <w:jc w:val="left"/>
                      <w:rPr>
                        <w:sz w:val="20"/>
                      </w:rPr>
                    </w:pPr>
                    <w:r>
                      <w:rPr>
                        <w:w w:val="95"/>
                        <w:sz w:val="20"/>
                      </w:rPr>
                      <w:t>0.3</w:t>
                    </w:r>
                  </w:p>
                </w:txbxContent>
              </v:textbox>
              <w10:wrap type="none"/>
            </v:shape>
            <w10:wrap type="topAndBottom"/>
          </v:group>
        </w:pict>
      </w:r>
      <w:r>
        <w:rPr/>
        <w:t>5.5</w:t>
      </w:r>
    </w:p>
    <w:p>
      <w:pPr>
        <w:pStyle w:val="BodyText"/>
        <w:spacing w:before="94"/>
        <w:ind w:left="2914" w:right="2859"/>
        <w:jc w:val="center"/>
      </w:pPr>
      <w:r>
        <w:rPr/>
        <w:t>-2.4</w:t>
      </w:r>
    </w:p>
    <w:p>
      <w:pPr>
        <w:pStyle w:val="BodyText"/>
        <w:spacing w:before="5"/>
        <w:rPr>
          <w:sz w:val="15"/>
        </w:rPr>
      </w:pPr>
    </w:p>
    <w:p>
      <w:pPr>
        <w:pStyle w:val="BodyText"/>
        <w:tabs>
          <w:tab w:pos="3750" w:val="left" w:leader="none"/>
        </w:tabs>
        <w:spacing w:before="75"/>
        <w:ind w:left="372"/>
      </w:pPr>
      <w:r>
        <w:rPr/>
        <w:t>Dirección </w:t>
      </w:r>
      <w:r>
        <w:rPr>
          <w:spacing w:val="34"/>
        </w:rPr>
        <w:t> </w:t>
      </w:r>
      <w:r>
        <w:rPr/>
        <w:t>Administración</w:t>
      </w:r>
      <w:r>
        <w:rPr>
          <w:spacing w:val="47"/>
        </w:rPr>
        <w:t> </w:t>
      </w:r>
      <w:r>
        <w:rPr/>
        <w:t>Producción</w:t>
        <w:tab/>
      </w:r>
      <w:r>
        <w:rPr>
          <w:w w:val="95"/>
        </w:rPr>
        <w:t>Construcción </w:t>
      </w:r>
      <w:r>
        <w:rPr>
          <w:spacing w:val="36"/>
          <w:w w:val="95"/>
        </w:rPr>
        <w:t> </w:t>
      </w:r>
      <w:r>
        <w:rPr>
          <w:w w:val="95"/>
        </w:rPr>
        <w:t>Reproducción</w:t>
      </w:r>
    </w:p>
    <w:p>
      <w:pPr>
        <w:pStyle w:val="BodyText"/>
        <w:spacing w:before="10"/>
        <w:ind w:right="449"/>
        <w:jc w:val="right"/>
      </w:pPr>
      <w:r>
        <w:rPr>
          <w:w w:val="95"/>
        </w:rPr>
        <w:t>Social</w:t>
      </w:r>
    </w:p>
    <w:p>
      <w:pPr>
        <w:spacing w:before="35"/>
        <w:ind w:left="100" w:right="251" w:firstLine="0"/>
        <w:jc w:val="left"/>
        <w:rPr>
          <w:sz w:val="16"/>
        </w:rPr>
      </w:pPr>
      <w:r>
        <w:rPr>
          <w:w w:val="95"/>
          <w:sz w:val="16"/>
        </w:rPr>
        <w:t>Fuente:  Current Population Survey, March Supplement (CPS).</w:t>
      </w:r>
    </w:p>
    <w:p>
      <w:pPr>
        <w:spacing w:after="0"/>
        <w:jc w:val="left"/>
        <w:rPr>
          <w:sz w:val="16"/>
        </w:rPr>
        <w:sectPr>
          <w:footerReference w:type="default" r:id="rId182"/>
          <w:pgSz w:w="7770" w:h="11740"/>
          <w:pgMar w:footer="474" w:header="0" w:top="840" w:bottom="660" w:left="1020" w:right="620"/>
          <w:pgNumType w:start="139"/>
        </w:sectPr>
      </w:pPr>
    </w:p>
    <w:p>
      <w:pPr>
        <w:pStyle w:val="BodyText"/>
        <w:spacing w:line="249" w:lineRule="auto" w:before="60"/>
        <w:ind w:left="110" w:right="111" w:firstLine="283"/>
        <w:jc w:val="both"/>
      </w:pPr>
      <w:r>
        <w:rPr>
          <w:color w:val="231F20"/>
        </w:rPr>
        <w:t>Por el contrario, este ciclo expansivo está asociado a una polariza- 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estructura</w:t>
      </w:r>
      <w:r>
        <w:rPr>
          <w:color w:val="231F20"/>
          <w:spacing w:val="-9"/>
        </w:rPr>
        <w:t> </w:t>
      </w:r>
      <w:r>
        <w:rPr>
          <w:color w:val="231F20"/>
        </w:rPr>
        <w:t>ocupacional.</w:t>
      </w:r>
      <w:r>
        <w:rPr>
          <w:color w:val="231F20"/>
          <w:spacing w:val="-8"/>
        </w:rPr>
        <w:t> </w:t>
      </w:r>
      <w:r>
        <w:rPr>
          <w:color w:val="231F20"/>
        </w:rPr>
        <w:t>Mientras</w:t>
      </w:r>
      <w:r>
        <w:rPr>
          <w:color w:val="231F20"/>
          <w:spacing w:val="-8"/>
        </w:rPr>
        <w:t> </w:t>
      </w:r>
      <w:r>
        <w:rPr>
          <w:color w:val="231F20"/>
        </w:rPr>
        <w:t>las</w:t>
      </w:r>
      <w:r>
        <w:rPr>
          <w:color w:val="231F20"/>
          <w:spacing w:val="-8"/>
        </w:rPr>
        <w:t> </w:t>
      </w:r>
      <w:r>
        <w:rPr>
          <w:color w:val="231F20"/>
        </w:rPr>
        <w:t>ocupaciones</w:t>
      </w:r>
      <w:r>
        <w:rPr>
          <w:color w:val="231F20"/>
          <w:spacing w:val="-8"/>
        </w:rPr>
        <w:t> </w:t>
      </w:r>
      <w:r>
        <w:rPr>
          <w:color w:val="231F20"/>
        </w:rPr>
        <w:t>directamente productivas (manufactura, y similares) pierden 2.4 millones de empleos, en los niveles más altos de dirección (ejecutivos, profesionales, etc.) así como en los niveles ocupacionales más bajos (tareas de la reproducción social), se generan 5.5 y 4.1 millones de nuevos puestos de trabajo, res- pectivamente.</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parte,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sector</w:t>
      </w:r>
      <w:r>
        <w:rPr>
          <w:color w:val="231F20"/>
          <w:spacing w:val="-6"/>
        </w:rPr>
        <w:t> </w:t>
      </w:r>
      <w:r>
        <w:rPr>
          <w:color w:val="231F20"/>
        </w:rPr>
        <w:t>de</w:t>
      </w:r>
      <w:r>
        <w:rPr>
          <w:color w:val="231F20"/>
          <w:spacing w:val="-6"/>
        </w:rPr>
        <w:t> </w:t>
      </w:r>
      <w:r>
        <w:rPr>
          <w:color w:val="231F20"/>
        </w:rPr>
        <w:t>administración,</w:t>
      </w:r>
      <w:r>
        <w:rPr>
          <w:color w:val="231F20"/>
          <w:spacing w:val="-7"/>
        </w:rPr>
        <w:t> </w:t>
      </w:r>
      <w:r>
        <w:rPr>
          <w:color w:val="231F20"/>
        </w:rPr>
        <w:t>ventas</w:t>
      </w:r>
      <w:r>
        <w:rPr>
          <w:color w:val="231F20"/>
          <w:spacing w:val="-6"/>
        </w:rPr>
        <w:t> </w:t>
      </w:r>
      <w:r>
        <w:rPr>
          <w:color w:val="231F20"/>
        </w:rPr>
        <w:t>y</w:t>
      </w:r>
      <w:r>
        <w:rPr>
          <w:color w:val="231F20"/>
          <w:spacing w:val="-6"/>
        </w:rPr>
        <w:t> </w:t>
      </w:r>
      <w:r>
        <w:rPr>
          <w:color w:val="231F20"/>
        </w:rPr>
        <w:t>simi- lares, si bien se da un crecimiento del empleo, éste es bastante más mo- derado,</w:t>
      </w:r>
      <w:r>
        <w:rPr>
          <w:color w:val="231F20"/>
          <w:spacing w:val="-10"/>
        </w:rPr>
        <w:t> </w:t>
      </w:r>
      <w:r>
        <w:rPr>
          <w:color w:val="231F20"/>
        </w:rPr>
        <w:t>y</w:t>
      </w:r>
      <w:r>
        <w:rPr>
          <w:color w:val="231F20"/>
          <w:spacing w:val="-10"/>
        </w:rPr>
        <w:t> </w:t>
      </w:r>
      <w:r>
        <w:rPr>
          <w:color w:val="231F20"/>
        </w:rPr>
        <w:t>sólo</w:t>
      </w:r>
      <w:r>
        <w:rPr>
          <w:color w:val="231F20"/>
          <w:spacing w:val="-10"/>
        </w:rPr>
        <w:t> </w:t>
      </w:r>
      <w:r>
        <w:rPr>
          <w:color w:val="231F20"/>
        </w:rPr>
        <w:t>alcanzó</w:t>
      </w:r>
      <w:r>
        <w:rPr>
          <w:color w:val="231F20"/>
          <w:spacing w:val="-10"/>
        </w:rPr>
        <w:t> </w:t>
      </w:r>
      <w:r>
        <w:rPr>
          <w:color w:val="231F20"/>
        </w:rPr>
        <w:t>a</w:t>
      </w:r>
      <w:r>
        <w:rPr>
          <w:color w:val="231F20"/>
          <w:spacing w:val="-10"/>
        </w:rPr>
        <w:t> </w:t>
      </w:r>
      <w:r>
        <w:rPr>
          <w:color w:val="231F20"/>
        </w:rPr>
        <w:t>beneficiar</w:t>
      </w:r>
      <w:r>
        <w:rPr>
          <w:color w:val="231F20"/>
          <w:spacing w:val="-10"/>
        </w:rPr>
        <w:t> </w:t>
      </w:r>
      <w:r>
        <w:rPr>
          <w:color w:val="231F20"/>
        </w:rPr>
        <w:t>a</w:t>
      </w:r>
      <w:r>
        <w:rPr>
          <w:color w:val="231F20"/>
          <w:spacing w:val="-10"/>
        </w:rPr>
        <w:t> </w:t>
      </w:r>
      <w:r>
        <w:rPr>
          <w:color w:val="231F20"/>
        </w:rPr>
        <w:t>2.1</w:t>
      </w:r>
      <w:r>
        <w:rPr>
          <w:color w:val="231F20"/>
          <w:spacing w:val="-10"/>
        </w:rPr>
        <w:t> </w:t>
      </w:r>
      <w:r>
        <w:rPr>
          <w:color w:val="231F20"/>
        </w:rPr>
        <w:t>millones</w:t>
      </w:r>
      <w:r>
        <w:rPr>
          <w:color w:val="231F20"/>
          <w:spacing w:val="-10"/>
        </w:rPr>
        <w:t> </w:t>
      </w:r>
      <w:r>
        <w:rPr>
          <w:color w:val="231F20"/>
        </w:rPr>
        <w:t>de</w:t>
      </w:r>
      <w:r>
        <w:rPr>
          <w:color w:val="231F20"/>
          <w:spacing w:val="-10"/>
        </w:rPr>
        <w:t> </w:t>
      </w:r>
      <w:r>
        <w:rPr>
          <w:color w:val="231F20"/>
        </w:rPr>
        <w:t>nuevos</w:t>
      </w:r>
      <w:r>
        <w:rPr>
          <w:color w:val="231F20"/>
          <w:spacing w:val="-10"/>
        </w:rPr>
        <w:t> </w:t>
      </w:r>
      <w:r>
        <w:rPr>
          <w:color w:val="231F20"/>
        </w:rPr>
        <w:t>trabajadores. Por su parte, el sector de la construcción mantuvo en el 2008 el mismo nivel de ocupación que ya tenía seis años</w:t>
      </w:r>
      <w:r>
        <w:rPr>
          <w:color w:val="231F20"/>
          <w:spacing w:val="-5"/>
        </w:rPr>
        <w:t> </w:t>
      </w:r>
      <w:r>
        <w:rPr>
          <w:color w:val="231F20"/>
        </w:rPr>
        <w:t>antes.</w:t>
      </w:r>
    </w:p>
    <w:p>
      <w:pPr>
        <w:pStyle w:val="BodyText"/>
        <w:spacing w:line="249" w:lineRule="auto" w:before="1"/>
        <w:ind w:left="110" w:right="111" w:firstLine="283"/>
        <w:jc w:val="both"/>
      </w:pPr>
      <w:r>
        <w:rPr>
          <w:color w:val="231F20"/>
        </w:rPr>
        <w:t>Particularmente</w:t>
      </w:r>
      <w:r>
        <w:rPr>
          <w:color w:val="231F20"/>
          <w:spacing w:val="-11"/>
        </w:rPr>
        <w:t> </w:t>
      </w:r>
      <w:r>
        <w:rPr>
          <w:color w:val="231F20"/>
        </w:rPr>
        <w:t>relevante</w:t>
      </w:r>
      <w:r>
        <w:rPr>
          <w:color w:val="231F20"/>
          <w:spacing w:val="-12"/>
        </w:rPr>
        <w:t> </w:t>
      </w:r>
      <w:r>
        <w:rPr>
          <w:color w:val="231F20"/>
        </w:rPr>
        <w:t>para</w:t>
      </w:r>
      <w:r>
        <w:rPr>
          <w:color w:val="231F20"/>
          <w:spacing w:val="-12"/>
        </w:rPr>
        <w:t> </w:t>
      </w:r>
      <w:r>
        <w:rPr>
          <w:color w:val="231F20"/>
        </w:rPr>
        <w:t>nuestra</w:t>
      </w:r>
      <w:r>
        <w:rPr>
          <w:color w:val="231F20"/>
          <w:spacing w:val="-12"/>
        </w:rPr>
        <w:t> </w:t>
      </w:r>
      <w:r>
        <w:rPr>
          <w:color w:val="231F20"/>
        </w:rPr>
        <w:t>discusión,</w:t>
      </w:r>
      <w:r>
        <w:rPr>
          <w:color w:val="231F20"/>
          <w:spacing w:val="-12"/>
        </w:rPr>
        <w:t> </w:t>
      </w:r>
      <w:r>
        <w:rPr>
          <w:color w:val="231F20"/>
        </w:rPr>
        <w:t>resulta</w:t>
      </w:r>
      <w:r>
        <w:rPr>
          <w:color w:val="231F20"/>
          <w:spacing w:val="-12"/>
        </w:rPr>
        <w:t> </w:t>
      </w:r>
      <w:r>
        <w:rPr>
          <w:color w:val="231F20"/>
        </w:rPr>
        <w:t>el</w:t>
      </w:r>
      <w:r>
        <w:rPr>
          <w:color w:val="231F20"/>
          <w:spacing w:val="-12"/>
        </w:rPr>
        <w:t> </w:t>
      </w:r>
      <w:r>
        <w:rPr>
          <w:color w:val="231F20"/>
        </w:rPr>
        <w:t>incremen- to de los puestos de trabajo en el sector que hemos denominado como trabajos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reproducción</w:t>
      </w:r>
      <w:r>
        <w:rPr>
          <w:color w:val="231F20"/>
          <w:spacing w:val="-8"/>
        </w:rPr>
        <w:t> </w:t>
      </w:r>
      <w:r>
        <w:rPr>
          <w:color w:val="231F20"/>
        </w:rPr>
        <w:t>social,</w:t>
      </w:r>
      <w:r>
        <w:rPr>
          <w:color w:val="231F20"/>
          <w:spacing w:val="-7"/>
        </w:rPr>
        <w:t> </w:t>
      </w:r>
      <w:r>
        <w:rPr>
          <w:color w:val="231F20"/>
        </w:rPr>
        <w:t>y</w:t>
      </w:r>
      <w:r>
        <w:rPr>
          <w:color w:val="231F20"/>
          <w:spacing w:val="-7"/>
        </w:rPr>
        <w:t> </w:t>
      </w:r>
      <w:r>
        <w:rPr>
          <w:color w:val="231F20"/>
        </w:rPr>
        <w:t>que</w:t>
      </w:r>
      <w:r>
        <w:rPr>
          <w:color w:val="231F20"/>
          <w:spacing w:val="-8"/>
        </w:rPr>
        <w:t> </w:t>
      </w:r>
      <w:r>
        <w:rPr>
          <w:color w:val="231F20"/>
        </w:rPr>
        <w:t>corresponden</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serie</w:t>
      </w:r>
      <w:r>
        <w:rPr>
          <w:color w:val="231F20"/>
          <w:spacing w:val="-7"/>
        </w:rPr>
        <w:t> </w:t>
      </w:r>
      <w:r>
        <w:rPr>
          <w:color w:val="231F20"/>
        </w:rPr>
        <w:t>de</w:t>
      </w:r>
      <w:r>
        <w:rPr>
          <w:color w:val="231F20"/>
          <w:spacing w:val="-8"/>
        </w:rPr>
        <w:t> </w:t>
      </w:r>
      <w:r>
        <w:rPr>
          <w:color w:val="231F20"/>
        </w:rPr>
        <w:t>ser- vicios</w:t>
      </w:r>
      <w:r>
        <w:rPr>
          <w:color w:val="231F20"/>
          <w:spacing w:val="-9"/>
        </w:rPr>
        <w:t> </w:t>
      </w:r>
      <w:r>
        <w:rPr>
          <w:color w:val="231F20"/>
        </w:rPr>
        <w:t>personales</w:t>
      </w:r>
      <w:r>
        <w:rPr>
          <w:color w:val="231F20"/>
          <w:spacing w:val="-9"/>
        </w:rPr>
        <w:t> </w:t>
      </w:r>
      <w:r>
        <w:rPr>
          <w:color w:val="231F20"/>
        </w:rPr>
        <w:t>cuya</w:t>
      </w:r>
      <w:r>
        <w:rPr>
          <w:color w:val="231F20"/>
          <w:spacing w:val="-9"/>
        </w:rPr>
        <w:t> </w:t>
      </w:r>
      <w:r>
        <w:rPr>
          <w:color w:val="231F20"/>
        </w:rPr>
        <w:t>función</w:t>
      </w:r>
      <w:r>
        <w:rPr>
          <w:color w:val="231F20"/>
          <w:spacing w:val="-9"/>
        </w:rPr>
        <w:t> </w:t>
      </w:r>
      <w:r>
        <w:rPr>
          <w:color w:val="231F20"/>
        </w:rPr>
        <w:t>consiste</w:t>
      </w:r>
      <w:r>
        <w:rPr>
          <w:color w:val="231F20"/>
          <w:spacing w:val="-9"/>
        </w:rPr>
        <w:t> </w:t>
      </w:r>
      <w:r>
        <w:rPr>
          <w:color w:val="231F20"/>
        </w:rPr>
        <w:t>fundamentalmente,</w:t>
      </w:r>
      <w:r>
        <w:rPr>
          <w:color w:val="231F20"/>
          <w:spacing w:val="-9"/>
        </w:rPr>
        <w:t> </w:t>
      </w:r>
      <w:r>
        <w:rPr>
          <w:color w:val="231F20"/>
        </w:rPr>
        <w:t>en</w:t>
      </w:r>
      <w:r>
        <w:rPr>
          <w:color w:val="231F20"/>
          <w:spacing w:val="-9"/>
        </w:rPr>
        <w:t> </w:t>
      </w:r>
      <w:r>
        <w:rPr>
          <w:color w:val="231F20"/>
        </w:rPr>
        <w:t>mejorar</w:t>
      </w:r>
      <w:r>
        <w:rPr>
          <w:color w:val="231F20"/>
          <w:spacing w:val="-9"/>
        </w:rPr>
        <w:t> </w:t>
      </w:r>
      <w:r>
        <w:rPr>
          <w:color w:val="231F20"/>
        </w:rPr>
        <w:t>la calidad de vida de otros grupos sociales más beneficiados, asistiéndoles en distintas actividades de su vida cotidiana que permiten no sólo su reproducción material y cotidiana, sino también la reproducción de su patrón de consumo y los estándares de su estilo de</w:t>
      </w:r>
      <w:r>
        <w:rPr>
          <w:color w:val="231F20"/>
          <w:spacing w:val="-5"/>
        </w:rPr>
        <w:t> </w:t>
      </w:r>
      <w:r>
        <w:rPr>
          <w:color w:val="231F20"/>
        </w:rPr>
        <w:t>vida.</w:t>
      </w:r>
    </w:p>
    <w:p>
      <w:pPr>
        <w:pStyle w:val="BodyText"/>
        <w:spacing w:line="249" w:lineRule="auto" w:before="1"/>
        <w:ind w:left="110" w:right="111" w:firstLine="283"/>
        <w:jc w:val="both"/>
      </w:pPr>
      <w:r>
        <w:rPr>
          <w:color w:val="231F20"/>
        </w:rPr>
        <w:t>Por un lado, aunque se trata de ocupaciones de muy baja</w:t>
      </w:r>
      <w:r>
        <w:rPr>
          <w:color w:val="231F20"/>
          <w:spacing w:val="-11"/>
        </w:rPr>
        <w:t> </w:t>
      </w:r>
      <w:r>
        <w:rPr>
          <w:color w:val="231F20"/>
        </w:rPr>
        <w:t>calificación y</w:t>
      </w:r>
      <w:r>
        <w:rPr>
          <w:color w:val="231F20"/>
          <w:spacing w:val="-5"/>
        </w:rPr>
        <w:t> </w:t>
      </w:r>
      <w:r>
        <w:rPr>
          <w:color w:val="231F20"/>
        </w:rPr>
        <w:t>de</w:t>
      </w:r>
      <w:r>
        <w:rPr>
          <w:color w:val="231F20"/>
          <w:spacing w:val="-5"/>
        </w:rPr>
        <w:t> </w:t>
      </w:r>
      <w:r>
        <w:rPr>
          <w:color w:val="231F20"/>
        </w:rPr>
        <w:t>alta</w:t>
      </w:r>
      <w:r>
        <w:rPr>
          <w:color w:val="231F20"/>
          <w:spacing w:val="-5"/>
        </w:rPr>
        <w:t> </w:t>
      </w:r>
      <w:r>
        <w:rPr>
          <w:color w:val="231F20"/>
        </w:rPr>
        <w:t>precariedad</w:t>
      </w:r>
      <w:r>
        <w:rPr>
          <w:color w:val="231F20"/>
          <w:spacing w:val="-5"/>
        </w:rPr>
        <w:t> </w:t>
      </w:r>
      <w:r>
        <w:rPr>
          <w:color w:val="231F20"/>
        </w:rPr>
        <w:t>laboral,</w:t>
      </w:r>
      <w:r>
        <w:rPr>
          <w:color w:val="231F20"/>
          <w:spacing w:val="-5"/>
        </w:rPr>
        <w:t> </w:t>
      </w:r>
      <w:r>
        <w:rPr>
          <w:color w:val="231F20"/>
        </w:rPr>
        <w:t>son</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la</w:t>
      </w:r>
      <w:r>
        <w:rPr>
          <w:color w:val="231F20"/>
          <w:spacing w:val="-5"/>
        </w:rPr>
        <w:t> </w:t>
      </w:r>
      <w:r>
        <w:rPr>
          <w:color w:val="231F20"/>
        </w:rPr>
        <w:t>contrapartida</w:t>
      </w:r>
      <w:r>
        <w:rPr>
          <w:color w:val="231F20"/>
          <w:spacing w:val="-6"/>
        </w:rPr>
        <w:t> </w:t>
      </w:r>
      <w:r>
        <w:rPr>
          <w:color w:val="231F20"/>
        </w:rPr>
        <w:t>necesaria y que se complementa con el crecimiento de los puestos de trabajo en el vértice opuesto de la estructura ocupacional. En efecto, el incremento  de la población ocupada con altos niveles de ingreso, recursos y poder adquisitivo, ha derivado, entre otras cosas, en una promoción de la de- manda de servicios personales, tanto altamente calificados (diseñadores de interior, psicoanalistas, tiendas y boutiques de exclusividad, veteri- narios, etc.), como de baja calificación (servicio doméstico, servicios de limpieza</w:t>
      </w:r>
      <w:r>
        <w:rPr>
          <w:color w:val="231F20"/>
          <w:spacing w:val="-5"/>
        </w:rPr>
        <w:t> </w:t>
      </w:r>
      <w:r>
        <w:rPr>
          <w:color w:val="231F20"/>
        </w:rPr>
        <w:t>y</w:t>
      </w:r>
      <w:r>
        <w:rPr>
          <w:color w:val="231F20"/>
          <w:spacing w:val="-5"/>
        </w:rPr>
        <w:t> </w:t>
      </w:r>
      <w:r>
        <w:rPr>
          <w:color w:val="231F20"/>
        </w:rPr>
        <w:t>mantenimiento,</w:t>
      </w:r>
      <w:r>
        <w:rPr>
          <w:color w:val="231F20"/>
          <w:spacing w:val="-6"/>
        </w:rPr>
        <w:t> </w:t>
      </w:r>
      <w:r>
        <w:rPr>
          <w:color w:val="231F20"/>
        </w:rPr>
        <w:t>preparación</w:t>
      </w:r>
      <w:r>
        <w:rPr>
          <w:color w:val="231F20"/>
          <w:spacing w:val="-5"/>
        </w:rPr>
        <w:t> </w:t>
      </w:r>
      <w:r>
        <w:rPr>
          <w:color w:val="231F20"/>
        </w:rPr>
        <w:t>de</w:t>
      </w:r>
      <w:r>
        <w:rPr>
          <w:color w:val="231F20"/>
          <w:spacing w:val="-5"/>
        </w:rPr>
        <w:t> </w:t>
      </w:r>
      <w:r>
        <w:rPr>
          <w:color w:val="231F20"/>
        </w:rPr>
        <w:t>alimentos,</w:t>
      </w:r>
      <w:r>
        <w:rPr>
          <w:color w:val="231F20"/>
          <w:spacing w:val="-5"/>
        </w:rPr>
        <w:t> </w:t>
      </w:r>
      <w:r>
        <w:rPr>
          <w:color w:val="231F20"/>
        </w:rPr>
        <w:t>servicios</w:t>
      </w:r>
      <w:r>
        <w:rPr>
          <w:color w:val="231F20"/>
          <w:spacing w:val="-4"/>
        </w:rPr>
        <w:t> </w:t>
      </w:r>
      <w:r>
        <w:rPr>
          <w:color w:val="231F20"/>
        </w:rPr>
        <w:t>del</w:t>
      </w:r>
      <w:r>
        <w:rPr>
          <w:color w:val="231F20"/>
          <w:spacing w:val="-5"/>
        </w:rPr>
        <w:t> </w:t>
      </w:r>
      <w:r>
        <w:rPr>
          <w:color w:val="231F20"/>
        </w:rPr>
        <w:t>hogar y la vivienda, industria del cuidado de personas, entre muchos otros) (Zlolniski, 2006).</w:t>
      </w:r>
    </w:p>
    <w:p>
      <w:pPr>
        <w:pStyle w:val="BodyText"/>
        <w:spacing w:line="249" w:lineRule="auto" w:before="1"/>
        <w:ind w:left="110" w:right="111" w:firstLine="283"/>
        <w:jc w:val="both"/>
      </w:pPr>
      <w:r>
        <w:rPr>
          <w:color w:val="231F20"/>
        </w:rPr>
        <w:t>Por otro lado, se trata de actividades y puestos de trabajo que se ca- racterizan por la alta presencia y creciente participación de inmigrantes latinoamericanos.</w:t>
      </w:r>
      <w:r>
        <w:rPr>
          <w:color w:val="231F20"/>
          <w:position w:val="7"/>
          <w:sz w:val="11"/>
        </w:rPr>
        <w:t>2 </w:t>
      </w:r>
      <w:r>
        <w:rPr>
          <w:color w:val="231F20"/>
        </w:rPr>
        <w:t>En efecto, hacia el año 2000, los inmigrantes lati- noamericanos se insertaban preferentemente en actividades productivas (agrarias e industriales), las que concentraban 37 por ciento de su fuerza</w:t>
      </w:r>
    </w:p>
    <w:p>
      <w:pPr>
        <w:pStyle w:val="BodyText"/>
        <w:rPr>
          <w:sz w:val="24"/>
        </w:rPr>
      </w:pPr>
    </w:p>
    <w:p>
      <w:pPr>
        <w:spacing w:before="0"/>
        <w:ind w:left="110" w:right="111" w:firstLine="0"/>
        <w:jc w:val="both"/>
        <w:rPr>
          <w:sz w:val="14"/>
        </w:rPr>
      </w:pPr>
      <w:r>
        <w:rPr>
          <w:color w:val="231F20"/>
          <w:position w:val="5"/>
          <w:sz w:val="8"/>
        </w:rPr>
        <w:t>2 </w:t>
      </w:r>
      <w:r>
        <w:rPr>
          <w:color w:val="231F20"/>
          <w:sz w:val="14"/>
        </w:rPr>
        <w:t>En el caso de Europa, distintas autoras han ilustrado esta misma situación, en donde las inmigrantes provenientes</w:t>
      </w:r>
      <w:r>
        <w:rPr>
          <w:color w:val="231F20"/>
          <w:spacing w:val="-6"/>
          <w:sz w:val="14"/>
        </w:rPr>
        <w:t> </w:t>
      </w:r>
      <w:r>
        <w:rPr>
          <w:color w:val="231F20"/>
          <w:sz w:val="14"/>
        </w:rPr>
        <w:t>especialmente</w:t>
      </w:r>
      <w:r>
        <w:rPr>
          <w:color w:val="231F20"/>
          <w:spacing w:val="-7"/>
          <w:sz w:val="14"/>
        </w:rPr>
        <w:t> </w:t>
      </w:r>
      <w:r>
        <w:rPr>
          <w:color w:val="231F20"/>
          <w:sz w:val="14"/>
        </w:rPr>
        <w:t>de</w:t>
      </w:r>
      <w:r>
        <w:rPr>
          <w:color w:val="231F20"/>
          <w:spacing w:val="-6"/>
          <w:sz w:val="14"/>
        </w:rPr>
        <w:t> </w:t>
      </w:r>
      <w:r>
        <w:rPr>
          <w:color w:val="231F20"/>
          <w:sz w:val="14"/>
        </w:rPr>
        <w:t>países</w:t>
      </w:r>
      <w:r>
        <w:rPr>
          <w:color w:val="231F20"/>
          <w:spacing w:val="-6"/>
          <w:sz w:val="14"/>
        </w:rPr>
        <w:t> </w:t>
      </w:r>
      <w:r>
        <w:rPr>
          <w:color w:val="231F20"/>
          <w:sz w:val="14"/>
        </w:rPr>
        <w:t>en</w:t>
      </w:r>
      <w:r>
        <w:rPr>
          <w:color w:val="231F20"/>
          <w:spacing w:val="-7"/>
          <w:sz w:val="14"/>
        </w:rPr>
        <w:t> </w:t>
      </w:r>
      <w:r>
        <w:rPr>
          <w:color w:val="231F20"/>
          <w:sz w:val="14"/>
        </w:rPr>
        <w:t>desarrollo,</w:t>
      </w:r>
      <w:r>
        <w:rPr>
          <w:color w:val="231F20"/>
          <w:spacing w:val="-6"/>
          <w:sz w:val="14"/>
        </w:rPr>
        <w:t> </w:t>
      </w:r>
      <w:r>
        <w:rPr>
          <w:color w:val="231F20"/>
          <w:sz w:val="14"/>
        </w:rPr>
        <w:t>constituyen</w:t>
      </w:r>
      <w:r>
        <w:rPr>
          <w:color w:val="231F20"/>
          <w:spacing w:val="-7"/>
          <w:sz w:val="14"/>
        </w:rPr>
        <w:t> </w:t>
      </w:r>
      <w:r>
        <w:rPr>
          <w:color w:val="231F20"/>
          <w:sz w:val="14"/>
        </w:rPr>
        <w:t>la</w:t>
      </w:r>
      <w:r>
        <w:rPr>
          <w:color w:val="231F20"/>
          <w:spacing w:val="-7"/>
          <w:sz w:val="14"/>
        </w:rPr>
        <w:t> </w:t>
      </w:r>
      <w:r>
        <w:rPr>
          <w:color w:val="231F20"/>
          <w:sz w:val="14"/>
        </w:rPr>
        <w:t>base</w:t>
      </w:r>
      <w:r>
        <w:rPr>
          <w:color w:val="231F20"/>
          <w:spacing w:val="-6"/>
          <w:sz w:val="14"/>
        </w:rPr>
        <w:t> </w:t>
      </w:r>
      <w:r>
        <w:rPr>
          <w:color w:val="231F20"/>
          <w:sz w:val="14"/>
        </w:rPr>
        <w:t>laboral</w:t>
      </w:r>
      <w:r>
        <w:rPr>
          <w:color w:val="231F20"/>
          <w:spacing w:val="-7"/>
          <w:sz w:val="14"/>
        </w:rPr>
        <w:t> </w:t>
      </w:r>
      <w:r>
        <w:rPr>
          <w:color w:val="231F20"/>
          <w:sz w:val="14"/>
        </w:rPr>
        <w:t>para</w:t>
      </w:r>
      <w:r>
        <w:rPr>
          <w:color w:val="231F20"/>
          <w:spacing w:val="-6"/>
          <w:sz w:val="14"/>
        </w:rPr>
        <w:t> </w:t>
      </w:r>
      <w:r>
        <w:rPr>
          <w:color w:val="231F20"/>
          <w:sz w:val="14"/>
        </w:rPr>
        <w:t>diversas</w:t>
      </w:r>
      <w:r>
        <w:rPr>
          <w:color w:val="231F20"/>
          <w:spacing w:val="-6"/>
          <w:sz w:val="14"/>
        </w:rPr>
        <w:t> </w:t>
      </w:r>
      <w:r>
        <w:rPr>
          <w:color w:val="231F20"/>
          <w:sz w:val="14"/>
        </w:rPr>
        <w:t>actividades vinculadas a la reproducción y vida cotidiana de la población de clases medias y altas, y por ese medio, a</w:t>
      </w:r>
      <w:r>
        <w:rPr>
          <w:color w:val="231F20"/>
          <w:spacing w:val="-4"/>
          <w:sz w:val="14"/>
        </w:rPr>
        <w:t> </w:t>
      </w:r>
      <w:r>
        <w:rPr>
          <w:color w:val="231F20"/>
          <w:sz w:val="14"/>
        </w:rPr>
        <w:t>mantener</w:t>
      </w:r>
      <w:r>
        <w:rPr>
          <w:color w:val="231F20"/>
          <w:spacing w:val="-4"/>
          <w:sz w:val="14"/>
        </w:rPr>
        <w:t> </w:t>
      </w:r>
      <w:r>
        <w:rPr>
          <w:color w:val="231F20"/>
          <w:sz w:val="14"/>
        </w:rPr>
        <w:t>sus</w:t>
      </w:r>
      <w:r>
        <w:rPr>
          <w:color w:val="231F20"/>
          <w:spacing w:val="-3"/>
          <w:sz w:val="14"/>
        </w:rPr>
        <w:t> </w:t>
      </w:r>
      <w:r>
        <w:rPr>
          <w:color w:val="231F20"/>
          <w:sz w:val="14"/>
        </w:rPr>
        <w:t>estándares</w:t>
      </w:r>
      <w:r>
        <w:rPr>
          <w:color w:val="231F20"/>
          <w:spacing w:val="-4"/>
          <w:sz w:val="14"/>
        </w:rPr>
        <w:t> </w:t>
      </w:r>
      <w:r>
        <w:rPr>
          <w:color w:val="231F20"/>
          <w:sz w:val="14"/>
        </w:rPr>
        <w:t>de</w:t>
      </w:r>
      <w:r>
        <w:rPr>
          <w:color w:val="231F20"/>
          <w:spacing w:val="-4"/>
          <w:sz w:val="14"/>
        </w:rPr>
        <w:t> </w:t>
      </w:r>
      <w:r>
        <w:rPr>
          <w:color w:val="231F20"/>
          <w:sz w:val="14"/>
        </w:rPr>
        <w:t>vida</w:t>
      </w:r>
      <w:r>
        <w:rPr>
          <w:color w:val="231F20"/>
          <w:spacing w:val="-4"/>
          <w:sz w:val="14"/>
        </w:rPr>
        <w:t> </w:t>
      </w:r>
      <w:r>
        <w:rPr>
          <w:color w:val="231F20"/>
          <w:sz w:val="14"/>
        </w:rPr>
        <w:t>y</w:t>
      </w:r>
      <w:r>
        <w:rPr>
          <w:color w:val="231F20"/>
          <w:spacing w:val="-4"/>
          <w:sz w:val="14"/>
        </w:rPr>
        <w:t> </w:t>
      </w:r>
      <w:r>
        <w:rPr>
          <w:color w:val="231F20"/>
          <w:sz w:val="14"/>
        </w:rPr>
        <w:t>patrones</w:t>
      </w:r>
      <w:r>
        <w:rPr>
          <w:color w:val="231F20"/>
          <w:spacing w:val="-4"/>
          <w:sz w:val="14"/>
        </w:rPr>
        <w:t> </w:t>
      </w:r>
      <w:r>
        <w:rPr>
          <w:color w:val="231F20"/>
          <w:sz w:val="14"/>
        </w:rPr>
        <w:t>de</w:t>
      </w:r>
      <w:r>
        <w:rPr>
          <w:color w:val="231F20"/>
          <w:spacing w:val="-4"/>
          <w:sz w:val="14"/>
        </w:rPr>
        <w:t> </w:t>
      </w:r>
      <w:r>
        <w:rPr>
          <w:color w:val="231F20"/>
          <w:sz w:val="14"/>
        </w:rPr>
        <w:t>consumo.</w:t>
      </w:r>
      <w:r>
        <w:rPr>
          <w:color w:val="231F20"/>
          <w:spacing w:val="-4"/>
          <w:sz w:val="14"/>
        </w:rPr>
        <w:t> </w:t>
      </w:r>
      <w:r>
        <w:rPr>
          <w:color w:val="231F20"/>
          <w:sz w:val="14"/>
        </w:rPr>
        <w:t>Para</w:t>
      </w:r>
      <w:r>
        <w:rPr>
          <w:color w:val="231F20"/>
          <w:spacing w:val="-3"/>
          <w:sz w:val="14"/>
        </w:rPr>
        <w:t> </w:t>
      </w:r>
      <w:r>
        <w:rPr>
          <w:color w:val="231F20"/>
          <w:sz w:val="14"/>
        </w:rPr>
        <w:t>más</w:t>
      </w:r>
      <w:r>
        <w:rPr>
          <w:color w:val="231F20"/>
          <w:spacing w:val="-4"/>
          <w:sz w:val="14"/>
        </w:rPr>
        <w:t> </w:t>
      </w:r>
      <w:r>
        <w:rPr>
          <w:color w:val="231F20"/>
          <w:sz w:val="14"/>
        </w:rPr>
        <w:t>detalle,</w:t>
      </w:r>
      <w:r>
        <w:rPr>
          <w:color w:val="231F20"/>
          <w:spacing w:val="-4"/>
          <w:sz w:val="14"/>
        </w:rPr>
        <w:t> </w:t>
      </w:r>
      <w:r>
        <w:rPr>
          <w:color w:val="231F20"/>
          <w:sz w:val="14"/>
        </w:rPr>
        <w:t>Parella</w:t>
      </w:r>
      <w:r>
        <w:rPr>
          <w:color w:val="231F20"/>
          <w:spacing w:val="-3"/>
          <w:sz w:val="14"/>
        </w:rPr>
        <w:t> </w:t>
      </w:r>
      <w:r>
        <w:rPr>
          <w:color w:val="231F20"/>
          <w:sz w:val="14"/>
        </w:rPr>
        <w:t>(2003)</w:t>
      </w:r>
      <w:r>
        <w:rPr>
          <w:color w:val="231F20"/>
          <w:spacing w:val="-4"/>
          <w:sz w:val="14"/>
        </w:rPr>
        <w:t> </w:t>
      </w:r>
      <w:r>
        <w:rPr>
          <w:color w:val="231F20"/>
          <w:sz w:val="14"/>
        </w:rPr>
        <w:t>y</w:t>
      </w:r>
      <w:r>
        <w:rPr>
          <w:color w:val="231F20"/>
          <w:spacing w:val="-4"/>
          <w:sz w:val="14"/>
        </w:rPr>
        <w:t> </w:t>
      </w:r>
      <w:r>
        <w:rPr>
          <w:color w:val="231F20"/>
          <w:sz w:val="14"/>
        </w:rPr>
        <w:t>Ehrenteich y Hochschild</w:t>
      </w:r>
      <w:r>
        <w:rPr>
          <w:color w:val="231F20"/>
          <w:spacing w:val="-9"/>
          <w:sz w:val="14"/>
        </w:rPr>
        <w:t> </w:t>
      </w:r>
      <w:r>
        <w:rPr>
          <w:color w:val="231F20"/>
          <w:sz w:val="14"/>
        </w:rPr>
        <w:t>(2004).</w:t>
      </w:r>
    </w:p>
    <w:p>
      <w:pPr>
        <w:spacing w:after="0"/>
        <w:jc w:val="both"/>
        <w:rPr>
          <w:sz w:val="14"/>
        </w:rPr>
        <w:sectPr>
          <w:pgSz w:w="7770" w:h="11740"/>
          <w:pgMar w:header="0" w:footer="474" w:top="840" w:bottom="740" w:left="740" w:right="1020"/>
        </w:sectPr>
      </w:pPr>
    </w:p>
    <w:p>
      <w:pPr>
        <w:pStyle w:val="BodyText"/>
        <w:spacing w:line="249" w:lineRule="auto" w:before="60"/>
        <w:ind w:left="113" w:right="108"/>
        <w:jc w:val="both"/>
      </w:pPr>
      <w:r>
        <w:rPr>
          <w:color w:val="231F20"/>
        </w:rPr>
        <w:t>de trabajo. Los trabajos vinculados a la reproducción social, si bien ya eran importantes, ocupaban lejos un segundo lugar, concentrando sólo 25</w:t>
      </w:r>
      <w:r>
        <w:rPr>
          <w:color w:val="231F20"/>
          <w:spacing w:val="-4"/>
        </w:rPr>
        <w:t> </w:t>
      </w:r>
      <w:r>
        <w:rPr>
          <w:color w:val="231F20"/>
        </w:rPr>
        <w:t>por</w:t>
      </w:r>
      <w:r>
        <w:rPr>
          <w:color w:val="231F20"/>
          <w:spacing w:val="-4"/>
        </w:rPr>
        <w:t> </w:t>
      </w:r>
      <w:r>
        <w:rPr>
          <w:color w:val="231F20"/>
        </w:rPr>
        <w:t>ciento</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fuerza</w:t>
      </w:r>
      <w:r>
        <w:rPr>
          <w:color w:val="231F20"/>
          <w:spacing w:val="-4"/>
        </w:rPr>
        <w:t> </w:t>
      </w:r>
      <w:r>
        <w:rPr>
          <w:color w:val="231F20"/>
        </w:rPr>
        <w:t>de</w:t>
      </w:r>
      <w:r>
        <w:rPr>
          <w:color w:val="231F20"/>
          <w:spacing w:val="-4"/>
        </w:rPr>
        <w:t> </w:t>
      </w:r>
      <w:r>
        <w:rPr>
          <w:color w:val="231F20"/>
        </w:rPr>
        <w:t>trabajo</w:t>
      </w:r>
      <w:r>
        <w:rPr>
          <w:color w:val="231F20"/>
          <w:spacing w:val="-5"/>
        </w:rPr>
        <w:t> </w:t>
      </w:r>
      <w:r>
        <w:rPr>
          <w:color w:val="231F20"/>
        </w:rPr>
        <w:t>de</w:t>
      </w:r>
      <w:r>
        <w:rPr>
          <w:color w:val="231F20"/>
          <w:spacing w:val="-4"/>
        </w:rPr>
        <w:t> </w:t>
      </w:r>
      <w:r>
        <w:rPr>
          <w:color w:val="231F20"/>
        </w:rPr>
        <w:t>los</w:t>
      </w:r>
      <w:r>
        <w:rPr>
          <w:color w:val="231F20"/>
          <w:spacing w:val="-5"/>
        </w:rPr>
        <w:t> </w:t>
      </w:r>
      <w:r>
        <w:rPr>
          <w:color w:val="231F20"/>
        </w:rPr>
        <w:t>inmigrantes</w:t>
      </w:r>
      <w:r>
        <w:rPr>
          <w:color w:val="231F20"/>
          <w:spacing w:val="-5"/>
        </w:rPr>
        <w:t> </w:t>
      </w:r>
      <w:r>
        <w:rPr>
          <w:color w:val="231F20"/>
        </w:rPr>
        <w:t>latinoamericanos (Gráfica</w:t>
      </w:r>
      <w:r>
        <w:rPr>
          <w:color w:val="231F20"/>
          <w:spacing w:val="-11"/>
        </w:rPr>
        <w:t> </w:t>
      </w:r>
      <w:r>
        <w:rPr>
          <w:color w:val="231F20"/>
        </w:rPr>
        <w:t>6).</w:t>
      </w:r>
    </w:p>
    <w:p>
      <w:pPr>
        <w:pStyle w:val="BodyText"/>
        <w:spacing w:line="249" w:lineRule="auto" w:before="1"/>
        <w:ind w:left="113" w:right="108" w:firstLine="283"/>
        <w:jc w:val="both"/>
      </w:pPr>
      <w:r>
        <w:rPr>
          <w:color w:val="231F20"/>
        </w:rPr>
        <w:t>Hacia 2008, en cambio, ya se manifiesta un cambio significativo en este patrón de inserción laboral, el cual se acentuará en los años</w:t>
      </w:r>
      <w:r>
        <w:rPr>
          <w:color w:val="231F20"/>
          <w:spacing w:val="-23"/>
        </w:rPr>
        <w:t> </w:t>
      </w:r>
      <w:r>
        <w:rPr>
          <w:color w:val="231F20"/>
        </w:rPr>
        <w:t>siguien- tes a la crisis económica. Por un lado, sólo 25 por ciento de los inmi- grantes latinoamericanos se emplea en actividades productivas. Por otro lado, la principal actividad laboral la constituye los puestos de trabajo en actividades de la reproducción social, donde se emplea ya casi 30</w:t>
      </w:r>
      <w:r>
        <w:rPr>
          <w:color w:val="231F20"/>
          <w:spacing w:val="-21"/>
        </w:rPr>
        <w:t> </w:t>
      </w:r>
      <w:r>
        <w:rPr>
          <w:color w:val="231F20"/>
        </w:rPr>
        <w:t>por ciento de la fuerza de trabajo latinoamericana. </w:t>
      </w:r>
      <w:r>
        <w:rPr>
          <w:color w:val="231F20"/>
          <w:spacing w:val="-5"/>
        </w:rPr>
        <w:t>Tan </w:t>
      </w:r>
      <w:r>
        <w:rPr>
          <w:color w:val="231F20"/>
        </w:rPr>
        <w:t>importante como</w:t>
      </w:r>
      <w:r>
        <w:rPr>
          <w:color w:val="231F20"/>
          <w:spacing w:val="-29"/>
        </w:rPr>
        <w:t> </w:t>
      </w:r>
      <w:r>
        <w:rPr>
          <w:color w:val="231F20"/>
        </w:rPr>
        <w:t>este cambio relativo, lo constituye el incremento absoluto de inmigrantes la- tinoamericanos</w:t>
      </w:r>
      <w:r>
        <w:rPr>
          <w:color w:val="231F20"/>
          <w:spacing w:val="-8"/>
        </w:rPr>
        <w:t> </w:t>
      </w:r>
      <w:r>
        <w:rPr>
          <w:color w:val="231F20"/>
        </w:rPr>
        <w:t>trabajando</w:t>
      </w:r>
      <w:r>
        <w:rPr>
          <w:color w:val="231F20"/>
          <w:spacing w:val="-8"/>
        </w:rPr>
        <w:t> </w:t>
      </w:r>
      <w:r>
        <w:rPr>
          <w:color w:val="231F20"/>
        </w:rPr>
        <w:t>en</w:t>
      </w:r>
      <w:r>
        <w:rPr>
          <w:color w:val="231F20"/>
          <w:spacing w:val="-7"/>
        </w:rPr>
        <w:t> </w:t>
      </w:r>
      <w:r>
        <w:rPr>
          <w:color w:val="231F20"/>
        </w:rPr>
        <w:t>este</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actividades,</w:t>
      </w:r>
      <w:r>
        <w:rPr>
          <w:color w:val="231F20"/>
          <w:spacing w:val="-8"/>
        </w:rPr>
        <w:t> </w:t>
      </w:r>
      <w:r>
        <w:rPr>
          <w:color w:val="231F20"/>
        </w:rPr>
        <w:t>los</w:t>
      </w:r>
      <w:r>
        <w:rPr>
          <w:color w:val="231F20"/>
          <w:spacing w:val="-7"/>
        </w:rPr>
        <w:t> </w:t>
      </w:r>
      <w:r>
        <w:rPr>
          <w:color w:val="231F20"/>
        </w:rPr>
        <w:t>que</w:t>
      </w:r>
      <w:r>
        <w:rPr>
          <w:color w:val="231F20"/>
          <w:spacing w:val="-7"/>
        </w:rPr>
        <w:t> </w:t>
      </w:r>
      <w:r>
        <w:rPr>
          <w:color w:val="231F20"/>
        </w:rPr>
        <w:t>pasaron</w:t>
      </w:r>
      <w:r>
        <w:rPr>
          <w:color w:val="231F20"/>
          <w:spacing w:val="-7"/>
        </w:rPr>
        <w:t> </w:t>
      </w:r>
      <w:r>
        <w:rPr>
          <w:color w:val="231F20"/>
        </w:rPr>
        <w:t>de sólo dos millones de personas en 2000, a 3.4 millones en</w:t>
      </w:r>
      <w:r>
        <w:rPr>
          <w:color w:val="231F20"/>
          <w:spacing w:val="-8"/>
        </w:rPr>
        <w:t> </w:t>
      </w:r>
      <w:r>
        <w:rPr>
          <w:color w:val="231F20"/>
        </w:rPr>
        <w:t>2008.</w:t>
      </w:r>
    </w:p>
    <w:p>
      <w:pPr>
        <w:pStyle w:val="BodyText"/>
        <w:spacing w:line="249" w:lineRule="auto" w:before="1"/>
        <w:ind w:left="113" w:right="107" w:firstLine="283"/>
        <w:jc w:val="both"/>
      </w:pPr>
      <w:r>
        <w:rPr>
          <w:color w:val="231F20"/>
        </w:rPr>
        <w:t>Estas tendencias estructurales resultan relevantes para comprender los impactos y consecuencias que la crisis económica ha generado en la dinámica del empleo, y en particular, en la inserción laboral de los</w:t>
      </w:r>
      <w:r>
        <w:rPr>
          <w:color w:val="231F20"/>
          <w:spacing w:val="-23"/>
        </w:rPr>
        <w:t> </w:t>
      </w:r>
      <w:r>
        <w:rPr>
          <w:color w:val="231F20"/>
        </w:rPr>
        <w:t>inmi- grantes latinoamericanos.</w:t>
      </w:r>
    </w:p>
    <w:p>
      <w:pPr>
        <w:pStyle w:val="BodyText"/>
        <w:spacing w:line="249" w:lineRule="auto" w:before="1"/>
        <w:ind w:left="113" w:right="107" w:firstLine="283"/>
        <w:jc w:val="both"/>
      </w:pPr>
      <w:r>
        <w:rPr>
          <w:color w:val="231F20"/>
        </w:rPr>
        <w:t>Al</w:t>
      </w:r>
      <w:r>
        <w:rPr>
          <w:color w:val="231F20"/>
          <w:spacing w:val="-6"/>
        </w:rPr>
        <w:t> </w:t>
      </w:r>
      <w:r>
        <w:rPr>
          <w:color w:val="231F20"/>
        </w:rPr>
        <w:t>respecto,</w:t>
      </w:r>
      <w:r>
        <w:rPr>
          <w:color w:val="231F20"/>
          <w:spacing w:val="-6"/>
        </w:rPr>
        <w:t> </w:t>
      </w:r>
      <w:r>
        <w:rPr>
          <w:color w:val="231F20"/>
        </w:rPr>
        <w:t>un</w:t>
      </w:r>
      <w:r>
        <w:rPr>
          <w:color w:val="231F20"/>
          <w:spacing w:val="-6"/>
        </w:rPr>
        <w:t> </w:t>
      </w:r>
      <w:r>
        <w:rPr>
          <w:color w:val="231F20"/>
        </w:rPr>
        <w:t>primer</w:t>
      </w:r>
      <w:r>
        <w:rPr>
          <w:color w:val="231F20"/>
          <w:spacing w:val="-6"/>
        </w:rPr>
        <w:t> </w:t>
      </w:r>
      <w:r>
        <w:rPr>
          <w:color w:val="231F20"/>
        </w:rPr>
        <w:t>punto</w:t>
      </w:r>
      <w:r>
        <w:rPr>
          <w:color w:val="231F20"/>
          <w:spacing w:val="-6"/>
        </w:rPr>
        <w:t> </w:t>
      </w:r>
      <w:r>
        <w:rPr>
          <w:color w:val="231F20"/>
        </w:rPr>
        <w:t>a</w:t>
      </w:r>
      <w:r>
        <w:rPr>
          <w:color w:val="231F20"/>
          <w:spacing w:val="-6"/>
        </w:rPr>
        <w:t> </w:t>
      </w:r>
      <w:r>
        <w:rPr>
          <w:color w:val="231F20"/>
        </w:rPr>
        <w:t>considerar</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al</w:t>
      </w:r>
      <w:r>
        <w:rPr>
          <w:color w:val="231F20"/>
          <w:spacing w:val="-6"/>
        </w:rPr>
        <w:t> </w:t>
      </w:r>
      <w:r>
        <w:rPr>
          <w:color w:val="231F20"/>
        </w:rPr>
        <w:t>igual</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ci- clo</w:t>
      </w:r>
      <w:r>
        <w:rPr>
          <w:color w:val="231F20"/>
          <w:spacing w:val="-9"/>
        </w:rPr>
        <w:t> </w:t>
      </w:r>
      <w:r>
        <w:rPr>
          <w:color w:val="231F20"/>
        </w:rPr>
        <w:t>expansivo</w:t>
      </w:r>
      <w:r>
        <w:rPr>
          <w:color w:val="231F20"/>
          <w:spacing w:val="-9"/>
        </w:rPr>
        <w:t> </w:t>
      </w:r>
      <w:r>
        <w:rPr>
          <w:color w:val="231F20"/>
        </w:rPr>
        <w:t>anterior,</w:t>
      </w:r>
      <w:r>
        <w:rPr>
          <w:color w:val="231F20"/>
          <w:spacing w:val="-8"/>
        </w:rPr>
        <w:t> </w:t>
      </w:r>
      <w:r>
        <w:rPr>
          <w:color w:val="231F20"/>
        </w:rPr>
        <w:t>durante</w:t>
      </w:r>
      <w:r>
        <w:rPr>
          <w:color w:val="231F20"/>
          <w:spacing w:val="-8"/>
        </w:rPr>
        <w:t> </w:t>
      </w:r>
      <w:r>
        <w:rPr>
          <w:color w:val="231F20"/>
        </w:rPr>
        <w:t>el</w:t>
      </w:r>
      <w:r>
        <w:rPr>
          <w:color w:val="231F20"/>
          <w:spacing w:val="-8"/>
        </w:rPr>
        <w:t> </w:t>
      </w:r>
      <w:r>
        <w:rPr>
          <w:color w:val="231F20"/>
        </w:rPr>
        <w:t>ciclo</w:t>
      </w:r>
      <w:r>
        <w:rPr>
          <w:color w:val="231F20"/>
          <w:spacing w:val="-9"/>
        </w:rPr>
        <w:t> </w:t>
      </w:r>
      <w:r>
        <w:rPr>
          <w:color w:val="231F20"/>
        </w:rPr>
        <w:t>recesivo</w:t>
      </w:r>
      <w:r>
        <w:rPr>
          <w:color w:val="231F20"/>
          <w:spacing w:val="-8"/>
        </w:rPr>
        <w:t> </w:t>
      </w:r>
      <w:r>
        <w:rPr>
          <w:color w:val="231F20"/>
        </w:rPr>
        <w:t>no</w:t>
      </w:r>
      <w:r>
        <w:rPr>
          <w:color w:val="231F20"/>
          <w:spacing w:val="-8"/>
        </w:rPr>
        <w:t> </w:t>
      </w:r>
      <w:r>
        <w:rPr>
          <w:color w:val="231F20"/>
        </w:rPr>
        <w:t>todas</w:t>
      </w:r>
      <w:r>
        <w:rPr>
          <w:color w:val="231F20"/>
          <w:spacing w:val="-9"/>
        </w:rPr>
        <w:t> </w:t>
      </w:r>
      <w:r>
        <w:rPr>
          <w:color w:val="231F20"/>
        </w:rPr>
        <w:t>las</w:t>
      </w:r>
      <w:r>
        <w:rPr>
          <w:color w:val="231F20"/>
          <w:spacing w:val="-8"/>
        </w:rPr>
        <w:t> </w:t>
      </w:r>
      <w:r>
        <w:rPr>
          <w:color w:val="231F20"/>
        </w:rPr>
        <w:t>ocupaciones se han visto igualmente afectadas por la pérdida de empleos derivada de la crisis económica. Entre 2008 y 2010, mientras las actividades</w:t>
      </w:r>
      <w:r>
        <w:rPr>
          <w:color w:val="231F20"/>
          <w:spacing w:val="-22"/>
        </w:rPr>
        <w:t> </w:t>
      </w:r>
      <w:r>
        <w:rPr>
          <w:color w:val="231F20"/>
        </w:rPr>
        <w:t>produc- tivas (incluyendo la construcción) así como de administración y ventas se redujeron significativamente, los puestos ubicados en los extremos</w:t>
      </w:r>
      <w:r>
        <w:rPr>
          <w:color w:val="231F20"/>
          <w:spacing w:val="-20"/>
        </w:rPr>
        <w:t> </w:t>
      </w:r>
      <w:r>
        <w:rPr>
          <w:color w:val="231F20"/>
        </w:rPr>
        <w:t>de la estructura ocupacional se mantuvieron estables. Destaca el caso de</w:t>
      </w:r>
      <w:r>
        <w:rPr>
          <w:color w:val="231F20"/>
          <w:spacing w:val="-33"/>
        </w:rPr>
        <w:t> </w:t>
      </w:r>
      <w:r>
        <w:rPr>
          <w:color w:val="231F20"/>
        </w:rPr>
        <w:t>las ocupaciones vinculadas a la reproducción social, en donde la crisis eco- nómica</w:t>
      </w:r>
      <w:r>
        <w:rPr>
          <w:color w:val="231F20"/>
          <w:spacing w:val="-4"/>
        </w:rPr>
        <w:t> </w:t>
      </w:r>
      <w:r>
        <w:rPr>
          <w:color w:val="231F20"/>
        </w:rPr>
        <w:t>habría</w:t>
      </w:r>
      <w:r>
        <w:rPr>
          <w:color w:val="231F20"/>
          <w:spacing w:val="-4"/>
        </w:rPr>
        <w:t> </w:t>
      </w:r>
      <w:r>
        <w:rPr>
          <w:color w:val="231F20"/>
        </w:rPr>
        <w:t>implicado</w:t>
      </w:r>
      <w:r>
        <w:rPr>
          <w:color w:val="231F20"/>
          <w:spacing w:val="-4"/>
        </w:rPr>
        <w:t> </w:t>
      </w:r>
      <w:r>
        <w:rPr>
          <w:color w:val="231F20"/>
        </w:rPr>
        <w:t>la</w:t>
      </w:r>
      <w:r>
        <w:rPr>
          <w:color w:val="231F20"/>
          <w:spacing w:val="-4"/>
        </w:rPr>
        <w:t> </w:t>
      </w:r>
      <w:r>
        <w:rPr>
          <w:color w:val="231F20"/>
        </w:rPr>
        <w:t>perdida</w:t>
      </w:r>
      <w:r>
        <w:rPr>
          <w:color w:val="231F20"/>
          <w:spacing w:val="-4"/>
        </w:rPr>
        <w:t> </w:t>
      </w:r>
      <w:r>
        <w:rPr>
          <w:color w:val="231F20"/>
        </w:rPr>
        <w:t>de</w:t>
      </w:r>
      <w:r>
        <w:rPr>
          <w:color w:val="231F20"/>
          <w:spacing w:val="-4"/>
        </w:rPr>
        <w:t> </w:t>
      </w:r>
      <w:r>
        <w:rPr>
          <w:color w:val="231F20"/>
        </w:rPr>
        <w:t>tan</w:t>
      </w:r>
      <w:r>
        <w:rPr>
          <w:color w:val="231F20"/>
          <w:spacing w:val="-4"/>
        </w:rPr>
        <w:t> </w:t>
      </w:r>
      <w:r>
        <w:rPr>
          <w:color w:val="231F20"/>
        </w:rPr>
        <w:t>sólo</w:t>
      </w:r>
      <w:r>
        <w:rPr>
          <w:color w:val="231F20"/>
          <w:spacing w:val="-3"/>
        </w:rPr>
        <w:t> </w:t>
      </w:r>
      <w:r>
        <w:rPr>
          <w:color w:val="231F20"/>
        </w:rPr>
        <w:t>60</w:t>
      </w:r>
      <w:r>
        <w:rPr>
          <w:color w:val="231F20"/>
          <w:spacing w:val="-4"/>
        </w:rPr>
        <w:t> </w:t>
      </w:r>
      <w:r>
        <w:rPr>
          <w:color w:val="231F20"/>
        </w:rPr>
        <w:t>mil</w:t>
      </w:r>
      <w:r>
        <w:rPr>
          <w:color w:val="231F20"/>
          <w:spacing w:val="-4"/>
        </w:rPr>
        <w:t> </w:t>
      </w:r>
      <w:r>
        <w:rPr>
          <w:color w:val="231F20"/>
        </w:rPr>
        <w:t>puestos</w:t>
      </w:r>
      <w:r>
        <w:rPr>
          <w:color w:val="231F20"/>
          <w:spacing w:val="-4"/>
        </w:rPr>
        <w:t> </w:t>
      </w:r>
      <w:r>
        <w:rPr>
          <w:color w:val="231F20"/>
        </w:rPr>
        <w:t>de</w:t>
      </w:r>
      <w:r>
        <w:rPr>
          <w:color w:val="231F20"/>
          <w:spacing w:val="-4"/>
        </w:rPr>
        <w:t> </w:t>
      </w:r>
      <w:r>
        <w:rPr>
          <w:color w:val="231F20"/>
        </w:rPr>
        <w:t>trabajo de los más de 21 millones que existían en 2008 (Gráfica 7). Por el con- trario,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demás</w:t>
      </w:r>
      <w:r>
        <w:rPr>
          <w:color w:val="231F20"/>
          <w:spacing w:val="-5"/>
        </w:rPr>
        <w:t> </w:t>
      </w:r>
      <w:r>
        <w:rPr>
          <w:color w:val="231F20"/>
        </w:rPr>
        <w:t>actividades</w:t>
      </w:r>
      <w:r>
        <w:rPr>
          <w:color w:val="231F20"/>
          <w:spacing w:val="-5"/>
        </w:rPr>
        <w:t> </w:t>
      </w:r>
      <w:r>
        <w:rPr>
          <w:color w:val="231F20"/>
        </w:rPr>
        <w:t>productivas</w:t>
      </w:r>
      <w:r>
        <w:rPr>
          <w:color w:val="231F20"/>
          <w:spacing w:val="-5"/>
        </w:rPr>
        <w:t> </w:t>
      </w:r>
      <w:r>
        <w:rPr>
          <w:color w:val="231F20"/>
        </w:rPr>
        <w:t>la</w:t>
      </w:r>
      <w:r>
        <w:rPr>
          <w:color w:val="231F20"/>
          <w:spacing w:val="-5"/>
        </w:rPr>
        <w:t> </w:t>
      </w:r>
      <w:r>
        <w:rPr>
          <w:color w:val="231F20"/>
        </w:rPr>
        <w:t>pérdida</w:t>
      </w:r>
      <w:r>
        <w:rPr>
          <w:color w:val="231F20"/>
          <w:spacing w:val="-5"/>
        </w:rPr>
        <w:t> </w:t>
      </w:r>
      <w:r>
        <w:rPr>
          <w:color w:val="231F20"/>
        </w:rPr>
        <w:t>alcanzo a</w:t>
      </w:r>
      <w:r>
        <w:rPr>
          <w:color w:val="231F20"/>
          <w:spacing w:val="-3"/>
        </w:rPr>
        <w:t> </w:t>
      </w:r>
      <w:r>
        <w:rPr>
          <w:color w:val="231F20"/>
        </w:rPr>
        <w:t>más</w:t>
      </w:r>
      <w:r>
        <w:rPr>
          <w:color w:val="231F20"/>
          <w:spacing w:val="-3"/>
        </w:rPr>
        <w:t> </w:t>
      </w:r>
      <w:r>
        <w:rPr>
          <w:color w:val="231F20"/>
        </w:rPr>
        <w:t>de</w:t>
      </w:r>
      <w:r>
        <w:rPr>
          <w:color w:val="231F20"/>
          <w:spacing w:val="-3"/>
        </w:rPr>
        <w:t> </w:t>
      </w:r>
      <w:r>
        <w:rPr>
          <w:color w:val="231F20"/>
        </w:rPr>
        <w:t>12</w:t>
      </w:r>
      <w:r>
        <w:rPr>
          <w:color w:val="231F20"/>
          <w:spacing w:val="-3"/>
        </w:rPr>
        <w:t> </w:t>
      </w:r>
      <w:r>
        <w:rPr>
          <w:color w:val="231F20"/>
        </w:rPr>
        <w:t>por</w:t>
      </w:r>
      <w:r>
        <w:rPr>
          <w:color w:val="231F20"/>
          <w:spacing w:val="-3"/>
        </w:rPr>
        <w:t> </w:t>
      </w:r>
      <w:r>
        <w:rPr>
          <w:color w:val="231F20"/>
        </w:rPr>
        <w:t>ciento</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puestos</w:t>
      </w:r>
      <w:r>
        <w:rPr>
          <w:color w:val="231F20"/>
          <w:spacing w:val="-3"/>
        </w:rPr>
        <w:t> </w:t>
      </w:r>
      <w:r>
        <w:rPr>
          <w:color w:val="231F20"/>
        </w:rPr>
        <w:t>de</w:t>
      </w:r>
      <w:r>
        <w:rPr>
          <w:color w:val="231F20"/>
          <w:spacing w:val="-3"/>
        </w:rPr>
        <w:t> </w:t>
      </w:r>
      <w:r>
        <w:rPr>
          <w:color w:val="231F20"/>
        </w:rPr>
        <w:t>trabajo</w:t>
      </w:r>
      <w:r>
        <w:rPr>
          <w:color w:val="231F20"/>
          <w:spacing w:val="-3"/>
        </w:rPr>
        <w:t> </w:t>
      </w:r>
      <w:r>
        <w:rPr>
          <w:color w:val="231F20"/>
        </w:rPr>
        <w:t>existentes</w:t>
      </w:r>
      <w:r>
        <w:rPr>
          <w:color w:val="231F20"/>
          <w:spacing w:val="-3"/>
        </w:rPr>
        <w:t> </w:t>
      </w:r>
      <w:r>
        <w:rPr>
          <w:color w:val="231F20"/>
        </w:rPr>
        <w:t>en</w:t>
      </w:r>
      <w:r>
        <w:rPr>
          <w:color w:val="231F20"/>
          <w:spacing w:val="-3"/>
        </w:rPr>
        <w:t> </w:t>
      </w:r>
      <w:r>
        <w:rPr>
          <w:color w:val="231F20"/>
        </w:rPr>
        <w:t>2008,</w:t>
      </w:r>
      <w:r>
        <w:rPr>
          <w:color w:val="231F20"/>
          <w:spacing w:val="-3"/>
        </w:rPr>
        <w:t> </w:t>
      </w:r>
      <w:r>
        <w:rPr>
          <w:color w:val="231F20"/>
        </w:rPr>
        <w:t>cifra que se eleva a 18 por ciento en el caso de la</w:t>
      </w:r>
      <w:r>
        <w:rPr>
          <w:color w:val="231F20"/>
          <w:spacing w:val="-5"/>
        </w:rPr>
        <w:t> </w:t>
      </w:r>
      <w:r>
        <w:rPr>
          <w:color w:val="231F20"/>
        </w:rPr>
        <w:t>construcción.</w:t>
      </w:r>
    </w:p>
    <w:p>
      <w:pPr>
        <w:pStyle w:val="BodyText"/>
        <w:spacing w:line="249" w:lineRule="auto" w:before="1"/>
        <w:ind w:left="113" w:right="107" w:firstLine="283"/>
        <w:jc w:val="both"/>
      </w:pPr>
      <w:r>
        <w:rPr>
          <w:color w:val="231F20"/>
        </w:rPr>
        <w:t>Asimismo, la recuperación económica que se inicia ya en 2010,</w:t>
      </w:r>
      <w:r>
        <w:rPr>
          <w:color w:val="231F20"/>
          <w:spacing w:val="-23"/>
        </w:rPr>
        <w:t> </w:t>
      </w:r>
      <w:r>
        <w:rPr>
          <w:color w:val="231F20"/>
        </w:rPr>
        <w:t>tam- poco</w:t>
      </w:r>
      <w:r>
        <w:rPr>
          <w:color w:val="231F20"/>
          <w:spacing w:val="-5"/>
        </w:rPr>
        <w:t> </w:t>
      </w:r>
      <w:r>
        <w:rPr>
          <w:color w:val="231F20"/>
        </w:rPr>
        <w:t>parece</w:t>
      </w:r>
      <w:r>
        <w:rPr>
          <w:color w:val="231F20"/>
          <w:spacing w:val="-5"/>
        </w:rPr>
        <w:t> </w:t>
      </w:r>
      <w:r>
        <w:rPr>
          <w:color w:val="231F20"/>
        </w:rPr>
        <w:t>beneficiar</w:t>
      </w:r>
      <w:r>
        <w:rPr>
          <w:color w:val="231F20"/>
          <w:spacing w:val="-5"/>
        </w:rPr>
        <w:t> </w:t>
      </w:r>
      <w:r>
        <w:rPr>
          <w:color w:val="231F20"/>
        </w:rPr>
        <w:t>a</w:t>
      </w:r>
      <w:r>
        <w:rPr>
          <w:color w:val="231F20"/>
          <w:spacing w:val="-5"/>
        </w:rPr>
        <w:t> </w:t>
      </w:r>
      <w:r>
        <w:rPr>
          <w:color w:val="231F20"/>
        </w:rPr>
        <w:t>todas</w:t>
      </w:r>
      <w:r>
        <w:rPr>
          <w:color w:val="231F20"/>
          <w:spacing w:val="-5"/>
        </w:rPr>
        <w:t> </w:t>
      </w:r>
      <w:r>
        <w:rPr>
          <w:color w:val="231F20"/>
        </w:rPr>
        <w:t>las</w:t>
      </w:r>
      <w:r>
        <w:rPr>
          <w:color w:val="231F20"/>
          <w:spacing w:val="-5"/>
        </w:rPr>
        <w:t> </w:t>
      </w:r>
      <w:r>
        <w:rPr>
          <w:color w:val="231F20"/>
        </w:rPr>
        <w:t>categorías</w:t>
      </w:r>
      <w:r>
        <w:rPr>
          <w:color w:val="231F20"/>
          <w:spacing w:val="-5"/>
        </w:rPr>
        <w:t> </w:t>
      </w:r>
      <w:r>
        <w:rPr>
          <w:color w:val="231F20"/>
        </w:rPr>
        <w:t>ocupacionales</w:t>
      </w:r>
      <w:r>
        <w:rPr>
          <w:color w:val="231F20"/>
          <w:spacing w:val="-5"/>
        </w:rPr>
        <w:t> </w:t>
      </w:r>
      <w:r>
        <w:rPr>
          <w:color w:val="231F20"/>
        </w:rPr>
        <w:t>por</w:t>
      </w:r>
      <w:r>
        <w:rPr>
          <w:color w:val="231F20"/>
          <w:spacing w:val="-5"/>
        </w:rPr>
        <w:t> </w:t>
      </w:r>
      <w:r>
        <w:rPr>
          <w:color w:val="231F20"/>
        </w:rPr>
        <w:t>igual.</w:t>
      </w:r>
      <w:r>
        <w:rPr>
          <w:color w:val="231F20"/>
          <w:spacing w:val="-5"/>
        </w:rPr>
        <w:t> </w:t>
      </w:r>
      <w:r>
        <w:rPr>
          <w:color w:val="231F20"/>
        </w:rPr>
        <w:t>En este</w:t>
      </w:r>
      <w:r>
        <w:rPr>
          <w:color w:val="231F20"/>
          <w:spacing w:val="-12"/>
        </w:rPr>
        <w:t> </w:t>
      </w:r>
      <w:r>
        <w:rPr>
          <w:color w:val="231F20"/>
        </w:rPr>
        <w:t>caso,</w:t>
      </w:r>
      <w:r>
        <w:rPr>
          <w:color w:val="231F20"/>
          <w:spacing w:val="-11"/>
        </w:rPr>
        <w:t> </w:t>
      </w:r>
      <w:r>
        <w:rPr>
          <w:color w:val="231F20"/>
        </w:rPr>
        <w:t>si</w:t>
      </w:r>
      <w:r>
        <w:rPr>
          <w:color w:val="231F20"/>
          <w:spacing w:val="-11"/>
        </w:rPr>
        <w:t> </w:t>
      </w:r>
      <w:r>
        <w:rPr>
          <w:color w:val="231F20"/>
        </w:rPr>
        <w:t>bien</w:t>
      </w:r>
      <w:r>
        <w:rPr>
          <w:color w:val="231F20"/>
          <w:spacing w:val="-11"/>
        </w:rPr>
        <w:t> </w:t>
      </w:r>
      <w:r>
        <w:rPr>
          <w:color w:val="231F20"/>
        </w:rPr>
        <w:t>las</w:t>
      </w:r>
      <w:r>
        <w:rPr>
          <w:color w:val="231F20"/>
          <w:spacing w:val="-11"/>
        </w:rPr>
        <w:t> </w:t>
      </w:r>
      <w:r>
        <w:rPr>
          <w:color w:val="231F20"/>
        </w:rPr>
        <w:t>actividades</w:t>
      </w:r>
      <w:r>
        <w:rPr>
          <w:color w:val="231F20"/>
          <w:spacing w:val="-12"/>
        </w:rPr>
        <w:t> </w:t>
      </w:r>
      <w:r>
        <w:rPr>
          <w:color w:val="231F20"/>
        </w:rPr>
        <w:t>directamente</w:t>
      </w:r>
      <w:r>
        <w:rPr>
          <w:color w:val="231F20"/>
          <w:spacing w:val="-11"/>
        </w:rPr>
        <w:t> </w:t>
      </w:r>
      <w:r>
        <w:rPr>
          <w:color w:val="231F20"/>
        </w:rPr>
        <w:t>productivas</w:t>
      </w:r>
      <w:r>
        <w:rPr>
          <w:color w:val="231F20"/>
          <w:spacing w:val="-11"/>
        </w:rPr>
        <w:t> </w:t>
      </w:r>
      <w:r>
        <w:rPr>
          <w:color w:val="231F20"/>
        </w:rPr>
        <w:t>se</w:t>
      </w:r>
      <w:r>
        <w:rPr>
          <w:color w:val="231F20"/>
          <w:spacing w:val="-11"/>
        </w:rPr>
        <w:t> </w:t>
      </w:r>
      <w:r>
        <w:rPr>
          <w:color w:val="231F20"/>
        </w:rPr>
        <w:t>ven</w:t>
      </w:r>
      <w:r>
        <w:rPr>
          <w:color w:val="231F20"/>
          <w:spacing w:val="-11"/>
        </w:rPr>
        <w:t> </w:t>
      </w:r>
      <w:r>
        <w:rPr>
          <w:color w:val="231F20"/>
        </w:rPr>
        <w:t>también beneficiadas,</w:t>
      </w:r>
      <w:r>
        <w:rPr>
          <w:color w:val="231F20"/>
          <w:spacing w:val="-5"/>
        </w:rPr>
        <w:t> </w:t>
      </w:r>
      <w:r>
        <w:rPr>
          <w:color w:val="231F20"/>
        </w:rPr>
        <w:t>el</w:t>
      </w:r>
      <w:r>
        <w:rPr>
          <w:color w:val="231F20"/>
          <w:spacing w:val="-5"/>
        </w:rPr>
        <w:t> </w:t>
      </w:r>
      <w:r>
        <w:rPr>
          <w:color w:val="231F20"/>
        </w:rPr>
        <w:t>mayor</w:t>
      </w:r>
      <w:r>
        <w:rPr>
          <w:color w:val="231F20"/>
          <w:spacing w:val="-5"/>
        </w:rPr>
        <w:t> </w:t>
      </w:r>
      <w:r>
        <w:rPr>
          <w:color w:val="231F20"/>
        </w:rPr>
        <w:t>auge</w:t>
      </w:r>
      <w:r>
        <w:rPr>
          <w:color w:val="231F20"/>
          <w:spacing w:val="-5"/>
        </w:rPr>
        <w:t> </w:t>
      </w:r>
      <w:r>
        <w:rPr>
          <w:color w:val="231F20"/>
        </w:rPr>
        <w:t>nuevamente</w:t>
      </w:r>
      <w:r>
        <w:rPr>
          <w:color w:val="231F20"/>
          <w:spacing w:val="-5"/>
        </w:rPr>
        <w:t> </w:t>
      </w:r>
      <w:r>
        <w:rPr>
          <w:color w:val="231F20"/>
        </w:rPr>
        <w:t>se</w:t>
      </w:r>
      <w:r>
        <w:rPr>
          <w:color w:val="231F20"/>
          <w:spacing w:val="-5"/>
        </w:rPr>
        <w:t> </w:t>
      </w:r>
      <w:r>
        <w:rPr>
          <w:color w:val="231F20"/>
        </w:rPr>
        <w:t>da</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categorías</w:t>
      </w:r>
      <w:r>
        <w:rPr>
          <w:color w:val="231F20"/>
          <w:spacing w:val="-5"/>
        </w:rPr>
        <w:t> </w:t>
      </w:r>
      <w:r>
        <w:rPr>
          <w:color w:val="231F20"/>
        </w:rPr>
        <w:t>ubicadas en los extremos de la estructura ocupacional. En concreto, entre 2010 y 2013 las actividades de dirección, gestión y de actividades profesionales se incrementaron en algo más de 2.5 millones de puestos de trabajo, a la vez que el nivel de ocupación en las tareas de la reproducción social se incrementó en algo más de 1.3 millones de nuevos puestos de</w:t>
      </w:r>
      <w:r>
        <w:rPr>
          <w:color w:val="231F20"/>
          <w:spacing w:val="-5"/>
        </w:rPr>
        <w:t> </w:t>
      </w:r>
      <w:r>
        <w:rPr>
          <w:color w:val="231F20"/>
        </w:rPr>
        <w:t>trabajo.</w:t>
      </w:r>
    </w:p>
    <w:p>
      <w:pPr>
        <w:spacing w:after="0" w:line="249" w:lineRule="auto"/>
        <w:jc w:val="both"/>
        <w:sectPr>
          <w:footerReference w:type="default" r:id="rId183"/>
          <w:pgSz w:w="7770" w:h="11740"/>
          <w:pgMar w:footer="474" w:header="0" w:top="840" w:bottom="660" w:left="1020" w:right="740"/>
        </w:sectPr>
      </w:pPr>
    </w:p>
    <w:p>
      <w:pPr>
        <w:pStyle w:val="BodyText"/>
        <w:spacing w:before="2"/>
      </w:pPr>
      <w:r>
        <w:rPr/>
        <w:pict>
          <v:shape style="position:absolute;margin-left:26.963537pt;margin-top:178.527603pt;width:12pt;height:17pt;mso-position-horizontal-relative:page;mso-position-vertical-relative:page;z-index:6304" type="#_x0000_t202" filled="false" stroked="false">
            <v:textbox inset="0,0,0,0" style="layout-flow:vertical">
              <w:txbxContent>
                <w:p>
                  <w:pPr>
                    <w:pStyle w:val="BodyText"/>
                    <w:spacing w:line="224" w:lineRule="exact"/>
                    <w:ind w:left="20" w:right="-100"/>
                  </w:pPr>
                  <w:r>
                    <w:rPr>
                      <w:color w:val="231F20"/>
                    </w:rPr>
                    <w:t>142</w:t>
                  </w:r>
                </w:p>
              </w:txbxContent>
            </v:textbox>
            <w10:wrap type="none"/>
          </v:shape>
        </w:pict>
      </w:r>
    </w:p>
    <w:p>
      <w:pPr>
        <w:spacing w:line="252" w:lineRule="auto" w:before="81"/>
        <w:ind w:left="114" w:right="81" w:firstLine="0"/>
        <w:jc w:val="left"/>
        <w:rPr>
          <w:sz w:val="19"/>
        </w:rPr>
      </w:pPr>
      <w:r>
        <w:rPr>
          <w:w w:val="105"/>
          <w:sz w:val="19"/>
        </w:rPr>
        <w:t>Gráfica 6. Estados Unidos, 2000 y 2008. Inmigrantes latinoamericanos ocupados, según grandes categorías de ocupación</w:t>
      </w:r>
    </w:p>
    <w:p>
      <w:pPr>
        <w:pStyle w:val="BodyText"/>
        <w:spacing w:before="106"/>
        <w:ind w:left="504" w:right="887"/>
        <w:jc w:val="center"/>
      </w:pPr>
      <w:r>
        <w:rPr/>
        <w:pict>
          <v:group style="position:absolute;margin-left:92.538101pt;margin-top:22.13135pt;width:410.95pt;height:174.05pt;mso-position-horizontal-relative:page;mso-position-vertical-relative:paragraph;z-index:6232;mso-wrap-distance-left:0;mso-wrap-distance-right:0" coordorigin="1851,443" coordsize="8219,3481">
            <v:rect style="position:absolute;left:2072;top:2708;width:590;height:1147" filled="true" fillcolor="#585858" stroked="false">
              <v:fill type="solid"/>
            </v:rect>
            <v:rect style="position:absolute;left:2701;top:2699;width:590;height:1157" filled="true" fillcolor="#a6a6a6" stroked="false">
              <v:fill type="solid"/>
            </v:rect>
            <v:rect style="position:absolute;left:3709;top:2415;width:590;height:1440" filled="true" fillcolor="#585858" stroked="false">
              <v:fill type="solid"/>
            </v:rect>
            <v:rect style="position:absolute;left:4342;top:2454;width:590;height:1402" filled="true" fillcolor="#a6a6a6" stroked="false">
              <v:fill type="solid"/>
            </v:rect>
            <v:rect style="position:absolute;left:5350;top:443;width:590;height:3413" filled="true" fillcolor="#585858" stroked="false">
              <v:fill type="solid"/>
            </v:rect>
            <v:rect style="position:absolute;left:5979;top:1508;width:590;height:2347" filled="true" fillcolor="#a6a6a6" stroked="false">
              <v:fill type="solid"/>
            </v:rect>
            <v:rect style="position:absolute;left:6992;top:2857;width:586;height:998" filled="true" fillcolor="#585858" stroked="false">
              <v:fill type="solid"/>
            </v:rect>
            <v:rect style="position:absolute;left:7621;top:2156;width:590;height:1699" filled="true" fillcolor="#a6a6a6" stroked="false">
              <v:fill type="solid"/>
            </v:rect>
            <v:rect style="position:absolute;left:8629;top:1537;width:590;height:2318" filled="true" fillcolor="#585858" stroked="false">
              <v:fill type="solid"/>
            </v:rect>
            <v:rect style="position:absolute;left:9262;top:1139;width:586;height:2717" filled="true" fillcolor="#a6a6a6" stroked="false">
              <v:fill type="solid"/>
            </v:rect>
            <v:line style="position:absolute" from="1861,3856" to="10060,3856" stroked="true" strokeweight="1pt" strokecolor="#000000"/>
            <v:line style="position:absolute" from="1861,3855" to="1861,3913" stroked="true" strokeweight="1pt" strokecolor="#000000"/>
            <v:line style="position:absolute" from="3502,3855" to="3502,3913" stroked="true" strokeweight="1pt" strokecolor="#000000"/>
            <v:line style="position:absolute" from="5139,3855" to="5139,3913" stroked="true" strokeweight="1pt" strokecolor="#000000"/>
            <v:line style="position:absolute" from="6781,3855" to="6781,3913" stroked="true" strokeweight="1pt" strokecolor="#000000"/>
            <v:line style="position:absolute" from="8418,3855" to="8418,3913" stroked="true" strokeweight="1pt" strokecolor="#000000"/>
            <v:line style="position:absolute" from="10059,3855" to="10059,3913" stroked="true" strokeweight="1pt" strokecolor="#000000"/>
            <v:shape style="position:absolute;left:9372;top:827;width:367;height:200" type="#_x0000_t202" filled="false" stroked="false">
              <v:textbox inset="0,0,0,0">
                <w:txbxContent>
                  <w:p>
                    <w:pPr>
                      <w:spacing w:line="200" w:lineRule="exact" w:before="0"/>
                      <w:ind w:left="0" w:right="-20" w:firstLine="0"/>
                      <w:jc w:val="left"/>
                      <w:rPr>
                        <w:sz w:val="20"/>
                      </w:rPr>
                    </w:pPr>
                    <w:r>
                      <w:rPr>
                        <w:sz w:val="20"/>
                      </w:rPr>
                      <w:t>29%</w:t>
                    </w:r>
                  </w:p>
                </w:txbxContent>
              </v:textbox>
              <w10:wrap type="none"/>
            </v:shape>
            <v:shape style="position:absolute;left:6093;top:1198;width:367;height:200" type="#_x0000_t202" filled="false" stroked="false">
              <v:textbox inset="0,0,0,0">
                <w:txbxContent>
                  <w:p>
                    <w:pPr>
                      <w:spacing w:line="200" w:lineRule="exact" w:before="0"/>
                      <w:ind w:left="0" w:right="-20" w:firstLine="0"/>
                      <w:jc w:val="left"/>
                      <w:rPr>
                        <w:sz w:val="20"/>
                      </w:rPr>
                    </w:pPr>
                    <w:r>
                      <w:rPr>
                        <w:sz w:val="20"/>
                      </w:rPr>
                      <w:t>25%</w:t>
                    </w:r>
                  </w:p>
                </w:txbxContent>
              </v:textbox>
              <w10:wrap type="none"/>
            </v:shape>
            <v:shape style="position:absolute;left:8741;top:1226;width:367;height:200" type="#_x0000_t202" filled="false" stroked="false">
              <v:textbox inset="0,0,0,0">
                <w:txbxContent>
                  <w:p>
                    <w:pPr>
                      <w:spacing w:line="200" w:lineRule="exact" w:before="0"/>
                      <w:ind w:left="0" w:right="-20" w:firstLine="0"/>
                      <w:jc w:val="left"/>
                      <w:rPr>
                        <w:sz w:val="20"/>
                      </w:rPr>
                    </w:pPr>
                    <w:r>
                      <w:rPr>
                        <w:sz w:val="20"/>
                      </w:rPr>
                      <w:t>25%</w:t>
                    </w:r>
                  </w:p>
                </w:txbxContent>
              </v:textbox>
              <w10:wrap type="none"/>
            </v:shape>
            <v:shape style="position:absolute;left:7732;top:1847;width:367;height:200" type="#_x0000_t202" filled="false" stroked="false">
              <v:textbox inset="0,0,0,0">
                <w:txbxContent>
                  <w:p>
                    <w:pPr>
                      <w:spacing w:line="200" w:lineRule="exact" w:before="0"/>
                      <w:ind w:left="0" w:right="-20" w:firstLine="0"/>
                      <w:jc w:val="left"/>
                      <w:rPr>
                        <w:sz w:val="20"/>
                      </w:rPr>
                    </w:pPr>
                    <w:r>
                      <w:rPr>
                        <w:sz w:val="20"/>
                      </w:rPr>
                      <w:t>18%</w:t>
                    </w:r>
                  </w:p>
                </w:txbxContent>
              </v:textbox>
              <w10:wrap type="none"/>
            </v:shape>
            <v:shape style="position:absolute;left:3822;top:2103;width:367;height:200" type="#_x0000_t202" filled="false" stroked="false">
              <v:textbox inset="0,0,0,0">
                <w:txbxContent>
                  <w:p>
                    <w:pPr>
                      <w:spacing w:line="200" w:lineRule="exact" w:before="0"/>
                      <w:ind w:left="0" w:right="-20" w:firstLine="0"/>
                      <w:jc w:val="left"/>
                      <w:rPr>
                        <w:sz w:val="20"/>
                      </w:rPr>
                    </w:pPr>
                    <w:r>
                      <w:rPr>
                        <w:sz w:val="20"/>
                      </w:rPr>
                      <w:t>15%</w:t>
                    </w:r>
                  </w:p>
                </w:txbxContent>
              </v:textbox>
              <w10:wrap type="none"/>
            </v:shape>
            <v:shape style="position:absolute;left:4453;top:2142;width:367;height:200" type="#_x0000_t202" filled="false" stroked="false">
              <v:textbox inset="0,0,0,0">
                <w:txbxContent>
                  <w:p>
                    <w:pPr>
                      <w:spacing w:line="200" w:lineRule="exact" w:before="0"/>
                      <w:ind w:left="0" w:right="-20" w:firstLine="0"/>
                      <w:jc w:val="left"/>
                      <w:rPr>
                        <w:sz w:val="20"/>
                      </w:rPr>
                    </w:pPr>
                    <w:r>
                      <w:rPr>
                        <w:sz w:val="20"/>
                      </w:rPr>
                      <w:t>15%</w:t>
                    </w:r>
                  </w:p>
                </w:txbxContent>
              </v:textbox>
              <w10:wrap type="none"/>
            </v:shape>
            <v:shape style="position:absolute;left:2182;top:2389;width:998;height:208" type="#_x0000_t202" filled="false" stroked="false">
              <v:textbox inset="0,0,0,0">
                <w:txbxContent>
                  <w:p>
                    <w:pPr>
                      <w:tabs>
                        <w:tab w:pos="631" w:val="left" w:leader="none"/>
                      </w:tabs>
                      <w:spacing w:line="207" w:lineRule="exact" w:before="0"/>
                      <w:ind w:left="0" w:right="0" w:firstLine="0"/>
                      <w:jc w:val="left"/>
                      <w:rPr>
                        <w:sz w:val="20"/>
                      </w:rPr>
                    </w:pPr>
                    <w:r>
                      <w:rPr>
                        <w:sz w:val="20"/>
                      </w:rPr>
                      <w:t>12%</w:t>
                      <w:tab/>
                    </w:r>
                    <w:r>
                      <w:rPr>
                        <w:position w:val="1"/>
                        <w:sz w:val="20"/>
                      </w:rPr>
                      <w:t>12%</w:t>
                    </w:r>
                  </w:p>
                </w:txbxContent>
              </v:textbox>
              <w10:wrap type="none"/>
            </v:shape>
            <v:shape style="position:absolute;left:7105;top:2547;width:360;height:200" type="#_x0000_t202" filled="false" stroked="false">
              <v:textbox inset="0,0,0,0">
                <w:txbxContent>
                  <w:p>
                    <w:pPr>
                      <w:spacing w:line="200" w:lineRule="exact" w:before="0"/>
                      <w:ind w:left="0" w:right="-18" w:firstLine="0"/>
                      <w:jc w:val="left"/>
                      <w:rPr>
                        <w:sz w:val="20"/>
                      </w:rPr>
                    </w:pPr>
                    <w:r>
                      <w:rPr>
                        <w:spacing w:val="-3"/>
                        <w:sz w:val="20"/>
                      </w:rPr>
                      <w:t>11%</w:t>
                    </w:r>
                  </w:p>
                </w:txbxContent>
              </v:textbox>
              <w10:wrap type="none"/>
            </v:shape>
            <w10:wrap type="topAndBottom"/>
          </v:group>
        </w:pict>
      </w:r>
      <w:r>
        <w:rPr/>
        <w:t>37%</w:t>
      </w:r>
    </w:p>
    <w:p>
      <w:pPr>
        <w:pStyle w:val="BodyText"/>
        <w:tabs>
          <w:tab w:pos="2200" w:val="left" w:leader="none"/>
          <w:tab w:pos="4009" w:val="left" w:leader="none"/>
          <w:tab w:pos="5565" w:val="left" w:leader="none"/>
          <w:tab w:pos="7180" w:val="left" w:leader="none"/>
        </w:tabs>
        <w:spacing w:before="35"/>
        <w:ind w:left="786" w:right="81"/>
      </w:pPr>
      <w:r>
        <w:rPr/>
        <w:t>Dirección</w:t>
        <w:tab/>
        <w:t>Administración</w:t>
        <w:tab/>
        <w:t>Producción</w:t>
        <w:tab/>
        <w:t>Construcción</w:t>
        <w:tab/>
        <w:t>Reproducción</w:t>
      </w:r>
    </w:p>
    <w:p>
      <w:pPr>
        <w:pStyle w:val="BodyText"/>
        <w:spacing w:before="10"/>
        <w:ind w:right="682"/>
        <w:jc w:val="right"/>
      </w:pPr>
      <w:r>
        <w:rPr/>
        <w:t>Social</w:t>
      </w:r>
    </w:p>
    <w:p>
      <w:pPr>
        <w:pStyle w:val="BodyText"/>
        <w:tabs>
          <w:tab w:pos="1319" w:val="left" w:leader="none"/>
        </w:tabs>
        <w:spacing w:before="75"/>
        <w:ind w:left="504"/>
        <w:jc w:val="center"/>
      </w:pPr>
      <w:r>
        <w:rPr/>
        <w:pict>
          <v:line style="position:absolute;mso-position-horizontal-relative:page;mso-position-vertical-relative:paragraph;z-index:6256" from="269.660004pt,6.129735pt" to="269.660004pt,11.111735pt" stroked="true" strokeweight="4.982pt" strokecolor="#585858">
            <w10:wrap type="none"/>
          </v:line>
        </w:pict>
      </w:r>
      <w:r>
        <w:rPr/>
        <w:pict>
          <v:line style="position:absolute;mso-position-horizontal-relative:page;mso-position-vertical-relative:paragraph;z-index:-331624" from="310.385010pt,6.129735pt" to="310.385010pt,11.111735pt" stroked="true" strokeweight="4.982pt" strokecolor="#a6a6a6">
            <w10:wrap type="none"/>
          </v:line>
        </w:pict>
      </w:r>
      <w:r>
        <w:rPr/>
        <w:t>2000</w:t>
        <w:tab/>
        <w:t>2008</w:t>
      </w:r>
    </w:p>
    <w:p>
      <w:pPr>
        <w:spacing w:before="70"/>
        <w:ind w:left="114" w:right="81" w:firstLine="0"/>
        <w:jc w:val="left"/>
        <w:rPr>
          <w:sz w:val="16"/>
        </w:rPr>
      </w:pPr>
      <w:r>
        <w:rPr>
          <w:sz w:val="16"/>
        </w:rPr>
        <w:t>Fuente: Current Population Survey, March Supplement (CPS).</w:t>
      </w:r>
    </w:p>
    <w:p>
      <w:pPr>
        <w:spacing w:after="0"/>
        <w:jc w:val="left"/>
        <w:rPr>
          <w:sz w:val="16"/>
        </w:rPr>
        <w:sectPr>
          <w:footerReference w:type="default" r:id="rId184"/>
          <w:pgSz w:w="11740" w:h="7770" w:orient="landscape"/>
          <w:pgMar w:footer="0" w:header="0" w:top="680" w:bottom="280" w:left="1500" w:right="1560"/>
        </w:sectPr>
      </w:pPr>
    </w:p>
    <w:p>
      <w:pPr>
        <w:spacing w:line="252" w:lineRule="auto" w:before="59"/>
        <w:ind w:left="106" w:right="392" w:firstLine="0"/>
        <w:jc w:val="left"/>
        <w:rPr>
          <w:sz w:val="19"/>
        </w:rPr>
      </w:pPr>
      <w:r>
        <w:rPr>
          <w:sz w:val="19"/>
        </w:rPr>
        <w:t>Gráfica</w:t>
      </w:r>
      <w:r>
        <w:rPr>
          <w:spacing w:val="-29"/>
          <w:sz w:val="19"/>
        </w:rPr>
        <w:t> </w:t>
      </w:r>
      <w:r>
        <w:rPr>
          <w:sz w:val="19"/>
        </w:rPr>
        <w:t>7.</w:t>
      </w:r>
      <w:r>
        <w:rPr>
          <w:spacing w:val="-29"/>
          <w:sz w:val="19"/>
        </w:rPr>
        <w:t> </w:t>
      </w:r>
      <w:r>
        <w:rPr>
          <w:sz w:val="19"/>
        </w:rPr>
        <w:t>Estados</w:t>
      </w:r>
      <w:r>
        <w:rPr>
          <w:spacing w:val="-29"/>
          <w:sz w:val="19"/>
        </w:rPr>
        <w:t> </w:t>
      </w:r>
      <w:r>
        <w:rPr>
          <w:sz w:val="19"/>
        </w:rPr>
        <w:t>Unidos,</w:t>
      </w:r>
      <w:r>
        <w:rPr>
          <w:spacing w:val="-29"/>
          <w:sz w:val="19"/>
        </w:rPr>
        <w:t> </w:t>
      </w:r>
      <w:r>
        <w:rPr>
          <w:sz w:val="19"/>
        </w:rPr>
        <w:t>2000-2013.</w:t>
      </w:r>
      <w:r>
        <w:rPr>
          <w:spacing w:val="-29"/>
          <w:sz w:val="19"/>
        </w:rPr>
        <w:t> </w:t>
      </w:r>
      <w:r>
        <w:rPr>
          <w:sz w:val="19"/>
        </w:rPr>
        <w:t>Crecimiento</w:t>
      </w:r>
      <w:r>
        <w:rPr>
          <w:spacing w:val="-29"/>
          <w:sz w:val="19"/>
        </w:rPr>
        <w:t> </w:t>
      </w:r>
      <w:r>
        <w:rPr>
          <w:sz w:val="19"/>
        </w:rPr>
        <w:t>del</w:t>
      </w:r>
      <w:r>
        <w:rPr>
          <w:spacing w:val="-29"/>
          <w:sz w:val="19"/>
        </w:rPr>
        <w:t> </w:t>
      </w:r>
      <w:r>
        <w:rPr>
          <w:sz w:val="19"/>
        </w:rPr>
        <w:t>empleo</w:t>
      </w:r>
      <w:r>
        <w:rPr>
          <w:spacing w:val="-29"/>
          <w:sz w:val="19"/>
        </w:rPr>
        <w:t> </w:t>
      </w:r>
      <w:r>
        <w:rPr>
          <w:sz w:val="19"/>
        </w:rPr>
        <w:t>según</w:t>
      </w:r>
      <w:r>
        <w:rPr>
          <w:spacing w:val="-29"/>
          <w:sz w:val="19"/>
        </w:rPr>
        <w:t> </w:t>
      </w:r>
      <w:r>
        <w:rPr>
          <w:sz w:val="19"/>
        </w:rPr>
        <w:t>periodo y</w:t>
      </w:r>
      <w:r>
        <w:rPr>
          <w:spacing w:val="-30"/>
          <w:sz w:val="19"/>
        </w:rPr>
        <w:t> </w:t>
      </w:r>
      <w:r>
        <w:rPr>
          <w:sz w:val="19"/>
        </w:rPr>
        <w:t>grandes</w:t>
      </w:r>
      <w:r>
        <w:rPr>
          <w:spacing w:val="-30"/>
          <w:sz w:val="19"/>
        </w:rPr>
        <w:t> </w:t>
      </w:r>
      <w:r>
        <w:rPr>
          <w:sz w:val="19"/>
        </w:rPr>
        <w:t>categorías</w:t>
      </w:r>
      <w:r>
        <w:rPr>
          <w:spacing w:val="-30"/>
          <w:sz w:val="19"/>
        </w:rPr>
        <w:t> </w:t>
      </w:r>
      <w:r>
        <w:rPr>
          <w:sz w:val="19"/>
        </w:rPr>
        <w:t>de</w:t>
      </w:r>
      <w:r>
        <w:rPr>
          <w:spacing w:val="-30"/>
          <w:sz w:val="19"/>
        </w:rPr>
        <w:t> </w:t>
      </w:r>
      <w:r>
        <w:rPr>
          <w:sz w:val="19"/>
        </w:rPr>
        <w:t>ocupación</w:t>
      </w:r>
    </w:p>
    <w:p>
      <w:pPr>
        <w:pStyle w:val="BodyText"/>
        <w:spacing w:before="10"/>
        <w:rPr>
          <w:sz w:val="10"/>
        </w:rPr>
      </w:pPr>
    </w:p>
    <w:p>
      <w:pPr>
        <w:pStyle w:val="BodyText"/>
        <w:spacing w:before="74"/>
        <w:ind w:left="2596" w:right="2539"/>
        <w:jc w:val="center"/>
      </w:pPr>
      <w:r>
        <w:rPr/>
        <w:pict>
          <v:group style="position:absolute;margin-left:63.918987pt;margin-top:29.160833pt;width:279.350pt;height:134.9pt;mso-position-horizontal-relative:page;mso-position-vertical-relative:paragraph;z-index:-331504" coordorigin="1278,583" coordsize="5587,2698">
            <v:rect style="position:absolute;left:3850;top:591;width:445;height:2683" filled="true" fillcolor="#7e7e7e" stroked="false">
              <v:fill type="solid"/>
            </v:rect>
            <v:rect style="position:absolute;left:3850;top:591;width:445;height:2683" filled="false" stroked="true" strokeweight=".683732pt" strokecolor="#000000"/>
            <v:rect style="position:absolute;left:2732;top:591;width:450;height:2386" filled="true" fillcolor="#7e7e7e" stroked="false">
              <v:fill type="solid"/>
            </v:rect>
            <v:rect style="position:absolute;left:2732;top:591;width:450;height:2386" filled="false" stroked="true" strokeweight=".684242pt" strokecolor="#000000"/>
            <v:rect style="position:absolute;left:4962;top:591;width:449;height:1757" filled="true" fillcolor="#7e7e7e" stroked="false">
              <v:fill type="solid"/>
            </v:rect>
            <v:rect style="position:absolute;left:4962;top:591;width:450;height:1757" filled="false" stroked="true" strokeweight=".686092pt" strokecolor="#000000"/>
            <v:rect style="position:absolute;left:1619;top:591;width:445;height:226" filled="true" fillcolor="#7e7e7e" stroked="false">
              <v:fill type="solid"/>
            </v:rect>
            <v:rect style="position:absolute;left:1619;top:591;width:445;height:226" filled="false" stroked="true" strokeweight=".736085pt" strokecolor="#000000"/>
            <v:line style="position:absolute" from="6080,622" to="6525,622" stroked="true" strokeweight="3.12pt" strokecolor="#7e7e7e"/>
            <v:rect style="position:absolute;left:6080;top:591;width:445;height:62" filled="false" stroked="true" strokeweight=".748688pt" strokecolor="#000000"/>
            <v:shape style="position:absolute;left:-1;top:10002;width:6134;height:53" coordorigin="-1,10002" coordsize="6134,53" path="m1284,591l6860,591m1283,591l1283,644m2401,591l2401,644m3513,591l3513,644m4631,591l4631,644m5744,591l5744,644m6860,591l6860,644e" filled="false" stroked="true" strokeweight=".477303pt" strokecolor="#000000">
              <v:path arrowok="t"/>
            </v:shape>
            <w10:wrap type="none"/>
          </v:group>
        </w:pict>
      </w:r>
      <w:r>
        <w:rPr/>
        <w:t>2008-2010</w:t>
      </w:r>
    </w:p>
    <w:p>
      <w:pPr>
        <w:pStyle w:val="BodyText"/>
      </w:pPr>
    </w:p>
    <w:p>
      <w:pPr>
        <w:spacing w:after="0"/>
        <w:sectPr>
          <w:footerReference w:type="default" r:id="rId185"/>
          <w:pgSz w:w="7770" w:h="11740"/>
          <w:pgMar w:footer="474" w:header="0" w:top="1020" w:bottom="660" w:left="940" w:right="620"/>
          <w:pgNumType w:start="143"/>
        </w:sectPr>
      </w:pPr>
    </w:p>
    <w:p>
      <w:pPr>
        <w:pStyle w:val="BodyText"/>
      </w:pPr>
    </w:p>
    <w:p>
      <w:pPr>
        <w:pStyle w:val="BodyText"/>
        <w:spacing w:before="177"/>
        <w:ind w:left="575" w:right="-12"/>
      </w:pPr>
      <w:r>
        <w:rPr>
          <w:w w:val="90"/>
        </w:rPr>
        <w:t>-226,724</w:t>
      </w:r>
    </w:p>
    <w:p>
      <w:pPr>
        <w:pStyle w:val="BodyText"/>
        <w:spacing w:before="10"/>
      </w:pPr>
      <w:r>
        <w:rPr/>
        <w:br w:type="column"/>
      </w:r>
      <w:r>
        <w:rPr/>
      </w:r>
    </w:p>
    <w:p>
      <w:pPr>
        <w:pStyle w:val="BodyText"/>
        <w:ind w:left="575"/>
      </w:pPr>
      <w:r>
        <w:rPr/>
        <w:t>-60,352</w:t>
      </w:r>
    </w:p>
    <w:p>
      <w:pPr>
        <w:spacing w:after="0"/>
        <w:sectPr>
          <w:type w:val="continuous"/>
          <w:pgSz w:w="7770" w:h="11740"/>
          <w:pgMar w:top="0" w:bottom="0" w:left="940" w:right="620"/>
          <w:cols w:num="2" w:equalWidth="0">
            <w:col w:w="1228" w:space="3279"/>
            <w:col w:w="1703"/>
          </w:cols>
        </w:sectPr>
      </w:pPr>
    </w:p>
    <w:p>
      <w:pPr>
        <w:pStyle w:val="BodyText"/>
      </w:pPr>
    </w:p>
    <w:p>
      <w:pPr>
        <w:pStyle w:val="BodyText"/>
      </w:pPr>
    </w:p>
    <w:p>
      <w:pPr>
        <w:pStyle w:val="BodyText"/>
      </w:pPr>
    </w:p>
    <w:p>
      <w:pPr>
        <w:pStyle w:val="BodyText"/>
      </w:pPr>
    </w:p>
    <w:p>
      <w:pPr>
        <w:pStyle w:val="BodyText"/>
        <w:spacing w:before="6"/>
        <w:rPr>
          <w:sz w:val="26"/>
        </w:rPr>
      </w:pPr>
    </w:p>
    <w:p>
      <w:pPr>
        <w:pStyle w:val="BodyText"/>
        <w:spacing w:before="74"/>
        <w:ind w:left="3853" w:right="392"/>
      </w:pPr>
      <w:r>
        <w:rPr/>
        <w:t>-1,754,728</w:t>
      </w:r>
    </w:p>
    <w:p>
      <w:pPr>
        <w:pStyle w:val="BodyText"/>
        <w:spacing w:before="4"/>
        <w:rPr>
          <w:sz w:val="28"/>
        </w:rPr>
      </w:pPr>
    </w:p>
    <w:p>
      <w:pPr>
        <w:pStyle w:val="BodyText"/>
        <w:spacing w:before="75"/>
        <w:ind w:left="1622" w:right="392"/>
      </w:pPr>
      <w:r>
        <w:rPr/>
        <w:t>-2,385,347</w:t>
      </w:r>
    </w:p>
    <w:p>
      <w:pPr>
        <w:pStyle w:val="BodyText"/>
        <w:spacing w:before="66"/>
        <w:ind w:left="2596" w:right="2539"/>
        <w:jc w:val="center"/>
      </w:pPr>
      <w:r>
        <w:rPr/>
        <w:t>-2,681,147</w:t>
      </w:r>
    </w:p>
    <w:p>
      <w:pPr>
        <w:tabs>
          <w:tab w:pos="1507" w:val="left" w:leader="none"/>
          <w:tab w:pos="2758" w:val="left" w:leader="none"/>
          <w:tab w:pos="3810" w:val="left" w:leader="none"/>
          <w:tab w:pos="4896" w:val="left" w:leader="none"/>
        </w:tabs>
        <w:spacing w:before="84"/>
        <w:ind w:left="577" w:right="0" w:firstLine="0"/>
        <w:jc w:val="left"/>
        <w:rPr>
          <w:sz w:val="18"/>
        </w:rPr>
      </w:pPr>
      <w:r>
        <w:rPr>
          <w:sz w:val="18"/>
        </w:rPr>
        <w:t>Dirección</w:t>
        <w:tab/>
      </w:r>
      <w:r>
        <w:rPr>
          <w:w w:val="95"/>
          <w:sz w:val="18"/>
        </w:rPr>
        <w:t>Administración</w:t>
        <w:tab/>
        <w:t>Producción</w:t>
        <w:tab/>
        <w:t>Construcción</w:t>
        <w:tab/>
      </w:r>
      <w:r>
        <w:rPr>
          <w:sz w:val="18"/>
        </w:rPr>
        <w:t>Reproducción</w:t>
      </w:r>
    </w:p>
    <w:p>
      <w:pPr>
        <w:spacing w:after="0"/>
        <w:jc w:val="left"/>
        <w:rPr>
          <w:sz w:val="18"/>
        </w:rPr>
        <w:sectPr>
          <w:type w:val="continuous"/>
          <w:pgSz w:w="7770" w:h="11740"/>
          <w:pgMar w:top="0" w:bottom="0" w:left="940" w:right="620"/>
        </w:sectPr>
      </w:pPr>
    </w:p>
    <w:p>
      <w:pPr>
        <w:pStyle w:val="BodyText"/>
        <w:spacing w:before="87"/>
        <w:jc w:val="right"/>
      </w:pPr>
      <w:r>
        <w:rPr>
          <w:color w:val="231F20"/>
        </w:rPr>
        <w:t>Ocupados</w:t>
      </w:r>
    </w:p>
    <w:p>
      <w:pPr>
        <w:spacing w:line="200" w:lineRule="exact" w:before="0"/>
        <w:ind w:left="1672" w:right="0" w:firstLine="0"/>
        <w:jc w:val="left"/>
        <w:rPr>
          <w:sz w:val="18"/>
        </w:rPr>
      </w:pPr>
      <w:r>
        <w:rPr/>
        <w:br w:type="column"/>
      </w:r>
      <w:r>
        <w:rPr>
          <w:sz w:val="18"/>
        </w:rPr>
        <w:t>Social</w:t>
      </w:r>
    </w:p>
    <w:p>
      <w:pPr>
        <w:spacing w:after="0" w:line="200" w:lineRule="exact"/>
        <w:jc w:val="left"/>
        <w:rPr>
          <w:sz w:val="18"/>
        </w:rPr>
        <w:sectPr>
          <w:type w:val="continuous"/>
          <w:pgSz w:w="7770" w:h="11740"/>
          <w:pgMar w:top="0" w:bottom="0" w:left="940" w:right="620"/>
          <w:cols w:num="2" w:equalWidth="0">
            <w:col w:w="3439" w:space="40"/>
            <w:col w:w="2731"/>
          </w:cols>
        </w:sectPr>
      </w:pPr>
    </w:p>
    <w:p>
      <w:pPr>
        <w:pStyle w:val="BodyText"/>
        <w:spacing w:before="3"/>
        <w:rPr>
          <w:sz w:val="14"/>
        </w:rPr>
      </w:pPr>
    </w:p>
    <w:p>
      <w:pPr>
        <w:pStyle w:val="BodyText"/>
        <w:spacing w:before="75"/>
        <w:ind w:left="2680" w:right="2456"/>
        <w:jc w:val="center"/>
      </w:pPr>
      <w:r>
        <w:rPr/>
        <w:t>2010-2013</w:t>
      </w:r>
    </w:p>
    <w:p>
      <w:pPr>
        <w:pStyle w:val="BodyText"/>
        <w:spacing w:before="5"/>
        <w:rPr>
          <w:sz w:val="26"/>
        </w:rPr>
      </w:pPr>
    </w:p>
    <w:p>
      <w:pPr>
        <w:pStyle w:val="BodyText"/>
        <w:spacing w:before="74" w:after="98"/>
        <w:ind w:left="558" w:right="392"/>
      </w:pPr>
      <w:r>
        <w:rPr/>
        <w:t>2,533,258</w:t>
      </w:r>
    </w:p>
    <w:p>
      <w:pPr>
        <w:pStyle w:val="BodyText"/>
        <w:ind w:left="338"/>
      </w:pPr>
      <w:r>
        <w:rPr/>
        <w:pict>
          <v:group style="width:287.55pt;height:126.5pt;mso-position-horizontal-relative:char;mso-position-vertical-relative:line" coordorigin="0,0" coordsize="5751,2530">
            <v:rect style="position:absolute;left:3793;top:2335;width:458;height:187" filled="true" fillcolor="#7e7e7e" stroked="false">
              <v:fill type="solid"/>
            </v:rect>
            <v:rect style="position:absolute;left:3793;top:2335;width:458;height:187" filled="false" stroked="true" strokeweight=".740262pt" strokecolor="#000000"/>
            <v:line style="position:absolute" from="1498,2378" to="1956,2378" stroked="true" strokeweight="4.32pt" strokecolor="#7e7e7e"/>
            <v:rect style="position:absolute;left:1498;top:2335;width:458;height:86" filled="false" stroked="true" strokeweight=".747662pt" strokecolor="#000000"/>
            <v:rect style="position:absolute;left:4941;top:1116;width:458;height:1219" filled="true" fillcolor="#7e7e7e" stroked="false">
              <v:fill type="solid"/>
            </v:rect>
            <v:rect style="position:absolute;left:4941;top:1116;width:458;height:1219" filled="false" stroked="true" strokeweight=".690336pt" strokecolor="#000000"/>
            <v:rect style="position:absolute;left:2645;top:1289;width:458;height:1046" filled="true" fillcolor="#7e7e7e" stroked="false">
              <v:fill type="solid"/>
            </v:rect>
            <v:rect style="position:absolute;left:2645;top:1289;width:458;height:1046" filled="false" stroked="true" strokeweight=".692865pt" strokecolor="#000000"/>
            <v:rect style="position:absolute;left:350;top:7;width:458;height:2328" filled="true" fillcolor="#7e7e7e" stroked="false">
              <v:fill type="solid"/>
            </v:rect>
            <v:rect style="position:absolute;left:350;top:7;width:458;height:2328" filled="false" stroked="true" strokeweight=".684448pt" strokecolor="#000000"/>
            <v:line style="position:absolute" from="6,2335" to="5746,2335" stroked="true" strokeweight=".5pt" strokecolor="#000000"/>
            <v:line style="position:absolute" from="5,2335" to="5,2393" stroked="true" strokeweight=".454605pt" strokecolor="#000000"/>
            <v:line style="position:absolute" from="1153,2335" to="1153,2393" stroked="true" strokeweight=".454605pt" strokecolor="#000000"/>
            <v:line style="position:absolute" from="2301,2335" to="2301,2393" stroked="true" strokeweight=".454605pt" strokecolor="#000000"/>
            <v:line style="position:absolute" from="3448,2335" to="3448,2393" stroked="true" strokeweight=".454605pt" strokecolor="#000000"/>
            <v:line style="position:absolute" from="4596,2335" to="4596,2393" stroked="true" strokeweight=".454605pt" strokecolor="#000000"/>
            <v:line style="position:absolute" from="5744,2335" to="5744,2393" stroked="true" strokeweight=".454605pt" strokecolor="#000000"/>
            <v:shape style="position:absolute;left:4808;top:807;width:728;height:200" type="#_x0000_t202" filled="false" stroked="false">
              <v:textbox inset="0,0,0,0">
                <w:txbxContent>
                  <w:p>
                    <w:pPr>
                      <w:spacing w:line="200" w:lineRule="exact" w:before="0"/>
                      <w:ind w:left="0" w:right="-12" w:firstLine="0"/>
                      <w:jc w:val="left"/>
                      <w:rPr>
                        <w:sz w:val="20"/>
                      </w:rPr>
                    </w:pPr>
                    <w:r>
                      <w:rPr>
                        <w:w w:val="90"/>
                        <w:sz w:val="20"/>
                      </w:rPr>
                      <w:t>1,325,353</w:t>
                    </w:r>
                  </w:p>
                </w:txbxContent>
              </v:textbox>
              <w10:wrap type="none"/>
            </v:shape>
            <v:shape style="position:absolute;left:2512;top:976;width:728;height:200" type="#_x0000_t202" filled="false" stroked="false">
              <v:textbox inset="0,0,0,0">
                <w:txbxContent>
                  <w:p>
                    <w:pPr>
                      <w:spacing w:line="200" w:lineRule="exact" w:before="0"/>
                      <w:ind w:left="0" w:right="-12" w:firstLine="0"/>
                      <w:jc w:val="left"/>
                      <w:rPr>
                        <w:sz w:val="20"/>
                      </w:rPr>
                    </w:pPr>
                    <w:r>
                      <w:rPr>
                        <w:w w:val="90"/>
                        <w:sz w:val="20"/>
                      </w:rPr>
                      <w:t>1,140,544</w:t>
                    </w:r>
                  </w:p>
                </w:txbxContent>
              </v:textbox>
              <w10:wrap type="none"/>
            </v:shape>
          </v:group>
        </w:pict>
      </w:r>
      <w:r>
        <w:rPr/>
      </w:r>
    </w:p>
    <w:p>
      <w:pPr>
        <w:spacing w:after="0"/>
        <w:sectPr>
          <w:type w:val="continuous"/>
          <w:pgSz w:w="7770" w:h="11740"/>
          <w:pgMar w:top="0" w:bottom="0" w:left="940" w:right="620"/>
        </w:sectPr>
      </w:pPr>
    </w:p>
    <w:p>
      <w:pPr>
        <w:pStyle w:val="BodyText"/>
        <w:spacing w:line="223" w:lineRule="exact"/>
        <w:jc w:val="right"/>
      </w:pPr>
      <w:r>
        <w:rPr>
          <w:w w:val="90"/>
        </w:rPr>
        <w:t>-92,534</w:t>
      </w:r>
    </w:p>
    <w:p>
      <w:pPr>
        <w:pStyle w:val="BodyText"/>
        <w:spacing w:before="97"/>
        <w:ind w:left="1602" w:right="1463"/>
        <w:jc w:val="center"/>
      </w:pPr>
      <w:r>
        <w:rPr/>
        <w:br w:type="column"/>
      </w:r>
      <w:r>
        <w:rPr/>
        <w:t>-206,528</w:t>
      </w:r>
    </w:p>
    <w:p>
      <w:pPr>
        <w:spacing w:after="0"/>
        <w:jc w:val="center"/>
        <w:sectPr>
          <w:type w:val="continuous"/>
          <w:pgSz w:w="7770" w:h="11740"/>
          <w:pgMar w:top="0" w:bottom="0" w:left="940" w:right="620"/>
          <w:cols w:num="2" w:equalWidth="0">
            <w:col w:w="2347" w:space="40"/>
            <w:col w:w="3823"/>
          </w:cols>
        </w:sectPr>
      </w:pPr>
    </w:p>
    <w:p>
      <w:pPr>
        <w:pStyle w:val="BodyText"/>
        <w:tabs>
          <w:tab w:pos="1499" w:val="left" w:leader="none"/>
          <w:tab w:pos="3877" w:val="left" w:leader="none"/>
        </w:tabs>
        <w:spacing w:before="48"/>
        <w:ind w:left="555"/>
      </w:pPr>
      <w:r>
        <w:rPr/>
        <w:t>Dirección</w:t>
        <w:tab/>
      </w:r>
      <w:r>
        <w:rPr>
          <w:w w:val="95"/>
        </w:rPr>
        <w:t>Administración </w:t>
      </w:r>
      <w:r>
        <w:rPr>
          <w:spacing w:val="18"/>
          <w:w w:val="95"/>
        </w:rPr>
        <w:t> </w:t>
      </w:r>
      <w:r>
        <w:rPr>
          <w:w w:val="95"/>
        </w:rPr>
        <w:t>Producción</w:t>
        <w:tab/>
        <w:t>Construcción</w:t>
      </w:r>
      <w:r>
        <w:rPr>
          <w:spacing w:val="14"/>
          <w:w w:val="95"/>
        </w:rPr>
        <w:t> </w:t>
      </w:r>
      <w:r>
        <w:rPr>
          <w:w w:val="95"/>
        </w:rPr>
        <w:t>Reproducción</w:t>
      </w:r>
    </w:p>
    <w:p>
      <w:pPr>
        <w:pStyle w:val="BodyText"/>
        <w:tabs>
          <w:tab w:pos="5281" w:val="left" w:leader="none"/>
        </w:tabs>
        <w:spacing w:before="12"/>
        <w:ind w:left="2638"/>
      </w:pPr>
      <w:r>
        <w:rPr>
          <w:color w:val="231F20"/>
        </w:rPr>
        <w:t>Ocupados</w:t>
        <w:tab/>
      </w:r>
      <w:r>
        <w:rPr>
          <w:position w:val="6"/>
        </w:rPr>
        <w:t>Social</w:t>
      </w:r>
    </w:p>
    <w:p>
      <w:pPr>
        <w:spacing w:before="71"/>
        <w:ind w:left="106" w:right="392" w:firstLine="0"/>
        <w:jc w:val="left"/>
        <w:rPr>
          <w:sz w:val="16"/>
        </w:rPr>
      </w:pPr>
      <w:r>
        <w:rPr>
          <w:w w:val="90"/>
          <w:sz w:val="16"/>
        </w:rPr>
        <w:t>Fuente:  Current Population Survey, March Supplement (CPS).</w:t>
      </w:r>
    </w:p>
    <w:p>
      <w:pPr>
        <w:spacing w:after="0"/>
        <w:jc w:val="left"/>
        <w:rPr>
          <w:sz w:val="16"/>
        </w:rPr>
        <w:sectPr>
          <w:type w:val="continuous"/>
          <w:pgSz w:w="7770" w:h="11740"/>
          <w:pgMar w:top="0" w:bottom="0" w:left="940" w:right="620"/>
        </w:sectPr>
      </w:pPr>
    </w:p>
    <w:p>
      <w:pPr>
        <w:pStyle w:val="BodyText"/>
        <w:spacing w:line="249" w:lineRule="auto" w:before="53"/>
        <w:ind w:left="110" w:right="111" w:firstLine="283"/>
        <w:jc w:val="both"/>
      </w:pPr>
      <w:r>
        <w:rPr>
          <w:color w:val="231F20"/>
        </w:rPr>
        <w:t>No cabe duda que la crisis económica no ha hecho sino acrecentar y profundizar el proceso de polarización de la estructura ocupacional que ya caracterizaba a la economía de Estados Unidos. Ahora bien, si consi- deramos además, que esta estratificación socio-ocupacional se establece también</w:t>
      </w:r>
      <w:r>
        <w:rPr>
          <w:color w:val="231F20"/>
          <w:spacing w:val="-6"/>
        </w:rPr>
        <w:t> </w:t>
      </w:r>
      <w:r>
        <w:rPr>
          <w:color w:val="231F20"/>
        </w:rPr>
        <w:t>con</w:t>
      </w:r>
      <w:r>
        <w:rPr>
          <w:color w:val="231F20"/>
          <w:spacing w:val="-5"/>
        </w:rPr>
        <w:t> </w:t>
      </w:r>
      <w:r>
        <w:rPr>
          <w:color w:val="231F20"/>
        </w:rPr>
        <w:t>base</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diferenciación</w:t>
      </w:r>
      <w:r>
        <w:rPr>
          <w:color w:val="231F20"/>
          <w:spacing w:val="-5"/>
        </w:rPr>
        <w:t> </w:t>
      </w:r>
      <w:r>
        <w:rPr>
          <w:color w:val="231F20"/>
        </w:rPr>
        <w:t>étnico-migratoria</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fuerza</w:t>
      </w:r>
      <w:r>
        <w:rPr>
          <w:color w:val="231F20"/>
          <w:spacing w:val="-5"/>
        </w:rPr>
        <w:t> </w:t>
      </w:r>
      <w:r>
        <w:rPr>
          <w:color w:val="231F20"/>
        </w:rPr>
        <w:t>de trabajo,</w:t>
      </w:r>
      <w:r>
        <w:rPr>
          <w:color w:val="231F20"/>
          <w:spacing w:val="-8"/>
        </w:rPr>
        <w:t> </w:t>
      </w:r>
      <w:r>
        <w:rPr>
          <w:color w:val="231F20"/>
        </w:rPr>
        <w:t>entonces</w:t>
      </w:r>
      <w:r>
        <w:rPr>
          <w:color w:val="231F20"/>
          <w:spacing w:val="-8"/>
        </w:rPr>
        <w:t> </w:t>
      </w:r>
      <w:r>
        <w:rPr>
          <w:color w:val="231F20"/>
        </w:rPr>
        <w:t>podemos</w:t>
      </w:r>
      <w:r>
        <w:rPr>
          <w:color w:val="231F20"/>
          <w:spacing w:val="-8"/>
        </w:rPr>
        <w:t> </w:t>
      </w:r>
      <w:r>
        <w:rPr>
          <w:color w:val="231F20"/>
        </w:rPr>
        <w:t>afirmar</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crisis</w:t>
      </w:r>
      <w:r>
        <w:rPr>
          <w:color w:val="231F20"/>
          <w:spacing w:val="-8"/>
        </w:rPr>
        <w:t> </w:t>
      </w:r>
      <w:r>
        <w:rPr>
          <w:color w:val="231F20"/>
        </w:rPr>
        <w:t>económica</w:t>
      </w:r>
      <w:r>
        <w:rPr>
          <w:color w:val="231F20"/>
          <w:spacing w:val="-8"/>
        </w:rPr>
        <w:t> </w:t>
      </w:r>
      <w:r>
        <w:rPr>
          <w:color w:val="231F20"/>
        </w:rPr>
        <w:t>ha</w:t>
      </w:r>
      <w:r>
        <w:rPr>
          <w:color w:val="231F20"/>
          <w:spacing w:val="-8"/>
        </w:rPr>
        <w:t> </w:t>
      </w:r>
      <w:r>
        <w:rPr>
          <w:color w:val="231F20"/>
        </w:rPr>
        <w:t>fortalecido un proceso de desigualdad social basada en criterios de diferenciación étnico-migratoria de la población</w:t>
      </w:r>
      <w:r>
        <w:rPr>
          <w:color w:val="231F20"/>
          <w:spacing w:val="-1"/>
        </w:rPr>
        <w:t> </w:t>
      </w:r>
      <w:r>
        <w:rPr>
          <w:color w:val="231F20"/>
        </w:rPr>
        <w:t>trabajadora</w:t>
      </w:r>
    </w:p>
    <w:p>
      <w:pPr>
        <w:pStyle w:val="BodyText"/>
        <w:spacing w:line="249" w:lineRule="auto" w:before="1"/>
        <w:ind w:left="110" w:right="111" w:firstLine="283"/>
        <w:jc w:val="both"/>
      </w:pPr>
      <w:r>
        <w:rPr>
          <w:color w:val="231F20"/>
        </w:rPr>
        <w:t>En efecto, en el caso de las ocupaciones ubicadas en la cúspide de   la pirámide laboral, vemos que en ellas se da un claro predominio de la población blanca no latina.</w:t>
      </w:r>
    </w:p>
    <w:p>
      <w:pPr>
        <w:pStyle w:val="BodyText"/>
        <w:spacing w:line="249" w:lineRule="auto" w:before="1"/>
        <w:ind w:left="110" w:right="111" w:firstLine="283"/>
        <w:jc w:val="both"/>
      </w:pPr>
      <w:r>
        <w:rPr>
          <w:color w:val="231F20"/>
        </w:rPr>
        <w:t>En concreto, aun cuando a nivel agregado este grupo étnico aporta menos</w:t>
      </w:r>
      <w:r>
        <w:rPr>
          <w:color w:val="231F20"/>
          <w:spacing w:val="-11"/>
        </w:rPr>
        <w:t> </w:t>
      </w:r>
      <w:r>
        <w:rPr>
          <w:color w:val="231F20"/>
        </w:rPr>
        <w:t>de</w:t>
      </w:r>
      <w:r>
        <w:rPr>
          <w:color w:val="231F20"/>
          <w:spacing w:val="-10"/>
        </w:rPr>
        <w:t> </w:t>
      </w:r>
      <w:r>
        <w:rPr>
          <w:color w:val="231F20"/>
        </w:rPr>
        <w:t>65</w:t>
      </w:r>
      <w:r>
        <w:rPr>
          <w:color w:val="231F20"/>
          <w:spacing w:val="-10"/>
        </w:rPr>
        <w:t> </w:t>
      </w:r>
      <w:r>
        <w:rPr>
          <w:color w:val="231F20"/>
        </w:rPr>
        <w:t>por</w:t>
      </w:r>
      <w:r>
        <w:rPr>
          <w:color w:val="231F20"/>
          <w:spacing w:val="-10"/>
        </w:rPr>
        <w:t> </w:t>
      </w:r>
      <w:r>
        <w:rPr>
          <w:color w:val="231F20"/>
        </w:rPr>
        <w:t>ciento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fuerza</w:t>
      </w:r>
      <w:r>
        <w:rPr>
          <w:color w:val="231F20"/>
          <w:spacing w:val="-10"/>
        </w:rPr>
        <w:t> </w:t>
      </w:r>
      <w:r>
        <w:rPr>
          <w:color w:val="231F20"/>
        </w:rPr>
        <w:t>de</w:t>
      </w:r>
      <w:r>
        <w:rPr>
          <w:color w:val="231F20"/>
          <w:spacing w:val="-10"/>
        </w:rPr>
        <w:t> </w:t>
      </w:r>
      <w:r>
        <w:rPr>
          <w:color w:val="231F20"/>
        </w:rPr>
        <w:t>trabajo,</w:t>
      </w:r>
      <w:r>
        <w:rPr>
          <w:color w:val="231F20"/>
          <w:spacing w:val="-11"/>
        </w:rPr>
        <w:t> </w:t>
      </w:r>
      <w:r>
        <w:rPr>
          <w:color w:val="231F20"/>
        </w:rPr>
        <w:t>en</w:t>
      </w:r>
      <w:r>
        <w:rPr>
          <w:color w:val="231F20"/>
          <w:spacing w:val="-11"/>
        </w:rPr>
        <w:t> </w:t>
      </w:r>
      <w:r>
        <w:rPr>
          <w:color w:val="231F20"/>
        </w:rPr>
        <w:t>el</w:t>
      </w:r>
      <w:r>
        <w:rPr>
          <w:color w:val="231F20"/>
          <w:spacing w:val="-10"/>
        </w:rPr>
        <w:t> </w:t>
      </w:r>
      <w:r>
        <w:rPr>
          <w:color w:val="231F20"/>
        </w:rPr>
        <w:t>caso</w:t>
      </w:r>
      <w:r>
        <w:rPr>
          <w:color w:val="231F20"/>
          <w:spacing w:val="-11"/>
        </w:rPr>
        <w:t> </w:t>
      </w:r>
      <w:r>
        <w:rPr>
          <w:color w:val="231F20"/>
        </w:rPr>
        <w:t>de</w:t>
      </w:r>
      <w:r>
        <w:rPr>
          <w:color w:val="231F20"/>
          <w:spacing w:val="-10"/>
        </w:rPr>
        <w:t> </w:t>
      </w:r>
      <w:r>
        <w:rPr>
          <w:color w:val="231F20"/>
        </w:rPr>
        <w:t>las</w:t>
      </w:r>
      <w:r>
        <w:rPr>
          <w:color w:val="231F20"/>
          <w:spacing w:val="-11"/>
        </w:rPr>
        <w:t> </w:t>
      </w:r>
      <w:r>
        <w:rPr>
          <w:color w:val="231F20"/>
        </w:rPr>
        <w:t>ocupacio- nes del más alto nivel de la jerarquía laboral (directivos, profesionales, gerentes,</w:t>
      </w:r>
      <w:r>
        <w:rPr>
          <w:color w:val="231F20"/>
          <w:spacing w:val="-9"/>
        </w:rPr>
        <w:t> </w:t>
      </w:r>
      <w:r>
        <w:rPr>
          <w:color w:val="231F20"/>
        </w:rPr>
        <w:t>etc.)</w:t>
      </w:r>
      <w:r>
        <w:rPr>
          <w:color w:val="231F20"/>
          <w:spacing w:val="-9"/>
        </w:rPr>
        <w:t> </w:t>
      </w:r>
      <w:r>
        <w:rPr>
          <w:color w:val="231F20"/>
        </w:rPr>
        <w:t>su</w:t>
      </w:r>
      <w:r>
        <w:rPr>
          <w:color w:val="231F20"/>
          <w:spacing w:val="-8"/>
        </w:rPr>
        <w:t> </w:t>
      </w:r>
      <w:r>
        <w:rPr>
          <w:color w:val="231F20"/>
        </w:rPr>
        <w:t>participación</w:t>
      </w:r>
      <w:r>
        <w:rPr>
          <w:color w:val="231F20"/>
          <w:spacing w:val="-8"/>
        </w:rPr>
        <w:t> </w:t>
      </w:r>
      <w:r>
        <w:rPr>
          <w:color w:val="231F20"/>
        </w:rPr>
        <w:t>se</w:t>
      </w:r>
      <w:r>
        <w:rPr>
          <w:color w:val="231F20"/>
          <w:spacing w:val="-8"/>
        </w:rPr>
        <w:t> </w:t>
      </w:r>
      <w:r>
        <w:rPr>
          <w:color w:val="231F20"/>
        </w:rPr>
        <w:t>eleva</w:t>
      </w:r>
      <w:r>
        <w:rPr>
          <w:color w:val="231F20"/>
          <w:spacing w:val="-9"/>
        </w:rPr>
        <w:t> </w:t>
      </w:r>
      <w:r>
        <w:rPr>
          <w:color w:val="231F20"/>
        </w:rPr>
        <w:t>a</w:t>
      </w:r>
      <w:r>
        <w:rPr>
          <w:color w:val="231F20"/>
          <w:spacing w:val="-8"/>
        </w:rPr>
        <w:t> </w:t>
      </w:r>
      <w:r>
        <w:rPr>
          <w:color w:val="231F20"/>
        </w:rPr>
        <w:t>75</w:t>
      </w:r>
      <w:r>
        <w:rPr>
          <w:color w:val="231F20"/>
          <w:spacing w:val="-8"/>
        </w:rPr>
        <w:t> </w:t>
      </w:r>
      <w:r>
        <w:rPr>
          <w:color w:val="231F20"/>
        </w:rPr>
        <w:t>por</w:t>
      </w:r>
      <w:r>
        <w:rPr>
          <w:color w:val="231F20"/>
          <w:spacing w:val="-8"/>
        </w:rPr>
        <w:t> </w:t>
      </w:r>
      <w:r>
        <w:rPr>
          <w:color w:val="231F20"/>
        </w:rPr>
        <w:t>ciento</w:t>
      </w:r>
      <w:r>
        <w:rPr>
          <w:color w:val="231F20"/>
          <w:spacing w:val="-9"/>
        </w:rPr>
        <w:t> </w:t>
      </w:r>
      <w:r>
        <w:rPr>
          <w:color w:val="231F20"/>
        </w:rPr>
        <w:t>aproximadamente (Gráfica</w:t>
      </w:r>
      <w:r>
        <w:rPr>
          <w:color w:val="231F20"/>
          <w:spacing w:val="-9"/>
        </w:rPr>
        <w:t> </w:t>
      </w:r>
      <w:r>
        <w:rPr>
          <w:color w:val="231F20"/>
        </w:rPr>
        <w:t>8).</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contrario,</w:t>
      </w:r>
      <w:r>
        <w:rPr>
          <w:color w:val="231F20"/>
          <w:spacing w:val="-9"/>
        </w:rPr>
        <w:t> </w:t>
      </w:r>
      <w:r>
        <w:rPr>
          <w:color w:val="231F20"/>
        </w:rPr>
        <w:t>los</w:t>
      </w:r>
      <w:r>
        <w:rPr>
          <w:color w:val="231F20"/>
          <w:spacing w:val="-9"/>
        </w:rPr>
        <w:t> </w:t>
      </w:r>
      <w:r>
        <w:rPr>
          <w:color w:val="231F20"/>
        </w:rPr>
        <w:t>inmigrantes</w:t>
      </w:r>
      <w:r>
        <w:rPr>
          <w:color w:val="231F20"/>
          <w:spacing w:val="-9"/>
        </w:rPr>
        <w:t> </w:t>
      </w:r>
      <w:r>
        <w:rPr>
          <w:color w:val="231F20"/>
        </w:rPr>
        <w:t>latinoamericanos,</w:t>
      </w:r>
      <w:r>
        <w:rPr>
          <w:color w:val="231F20"/>
          <w:spacing w:val="-9"/>
        </w:rPr>
        <w:t> </w:t>
      </w:r>
      <w:r>
        <w:rPr>
          <w:color w:val="231F20"/>
        </w:rPr>
        <w:t>aun</w:t>
      </w:r>
      <w:r>
        <w:rPr>
          <w:color w:val="231F20"/>
          <w:spacing w:val="-9"/>
        </w:rPr>
        <w:t> </w:t>
      </w:r>
      <w:r>
        <w:rPr>
          <w:color w:val="231F20"/>
        </w:rPr>
        <w:t>cuan- do en esos mismos años aportan 8.5 por ciento de la fuerza de trabajo ocupada, sólo podían conseguir tres por ciento de los puestos de trabajo en esta categoría</w:t>
      </w:r>
      <w:r>
        <w:rPr>
          <w:color w:val="231F20"/>
          <w:spacing w:val="-21"/>
        </w:rPr>
        <w:t> </w:t>
      </w:r>
      <w:r>
        <w:rPr>
          <w:color w:val="231F20"/>
        </w:rPr>
        <w:t>socio-ocupacional.</w:t>
      </w:r>
    </w:p>
    <w:p>
      <w:pPr>
        <w:pStyle w:val="BodyText"/>
        <w:spacing w:line="249" w:lineRule="auto" w:before="1"/>
        <w:ind w:left="110" w:right="111" w:firstLine="283"/>
        <w:jc w:val="both"/>
      </w:pPr>
      <w:r>
        <w:rPr>
          <w:color w:val="231F20"/>
        </w:rPr>
        <w:t>Asimismo, esta composición étnica de la fuerza de trabajo ocupada en estos puestos de trabajo se mantuvo más o menos invariante entre 2008 y 2012, sin haberse visto afectada mayormente por la crisis eco- nómica. O lo que es lo mismo, la crisis económica en ningún momento parece poner en cuestionamiento este predominio de blancos no latinos en puestos de dirección y actividades profesionales.</w:t>
      </w:r>
    </w:p>
    <w:p>
      <w:pPr>
        <w:pStyle w:val="BodyText"/>
        <w:spacing w:line="249" w:lineRule="auto" w:before="1"/>
        <w:ind w:left="110" w:right="111" w:firstLine="283"/>
        <w:jc w:val="both"/>
      </w:pPr>
      <w:r>
        <w:rPr>
          <w:color w:val="231F20"/>
        </w:rPr>
        <w:t>En el caso de las ocupaciones pertenecientes al extremo inferior de la pirámide laboral, por el contrario, se dan cambios y tendencias algo diferentes. En primer lugar, los datos indican que en el período más re- ciente,</w:t>
      </w:r>
      <w:r>
        <w:rPr>
          <w:color w:val="231F20"/>
          <w:spacing w:val="-11"/>
        </w:rPr>
        <w:t> </w:t>
      </w:r>
      <w:r>
        <w:rPr>
          <w:color w:val="231F20"/>
        </w:rPr>
        <w:t>2008-2012,</w:t>
      </w:r>
      <w:r>
        <w:rPr>
          <w:color w:val="231F20"/>
          <w:spacing w:val="-11"/>
        </w:rPr>
        <w:t> </w:t>
      </w:r>
      <w:r>
        <w:rPr>
          <w:color w:val="231F20"/>
        </w:rPr>
        <w:t>se</w:t>
      </w:r>
      <w:r>
        <w:rPr>
          <w:color w:val="231F20"/>
          <w:spacing w:val="-11"/>
        </w:rPr>
        <w:t> </w:t>
      </w:r>
      <w:r>
        <w:rPr>
          <w:color w:val="231F20"/>
        </w:rPr>
        <w:t>profundiza</w:t>
      </w:r>
      <w:r>
        <w:rPr>
          <w:color w:val="231F20"/>
          <w:spacing w:val="-11"/>
        </w:rPr>
        <w:t> </w:t>
      </w:r>
      <w:r>
        <w:rPr>
          <w:color w:val="231F20"/>
        </w:rPr>
        <w:t>el</w:t>
      </w:r>
      <w:r>
        <w:rPr>
          <w:color w:val="231F20"/>
          <w:spacing w:val="-11"/>
        </w:rPr>
        <w:t> </w:t>
      </w:r>
      <w:r>
        <w:rPr>
          <w:color w:val="231F20"/>
        </w:rPr>
        <w:t>proceso</w:t>
      </w:r>
      <w:r>
        <w:rPr>
          <w:color w:val="231F20"/>
          <w:spacing w:val="-11"/>
        </w:rPr>
        <w:t> </w:t>
      </w:r>
      <w:r>
        <w:rPr>
          <w:color w:val="231F20"/>
        </w:rPr>
        <w:t>de</w:t>
      </w:r>
      <w:r>
        <w:rPr>
          <w:color w:val="231F20"/>
          <w:spacing w:val="-11"/>
        </w:rPr>
        <w:t> </w:t>
      </w:r>
      <w:r>
        <w:rPr>
          <w:color w:val="231F20"/>
        </w:rPr>
        <w:t>cambio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composición étnico-migratoria de la fuerza de trabajo ocupada en estos puestos de trabajo. Mientras el volumen de inmigrantes latinoamericanos se incre- menta en 700 mil personas, en el caso de los trabajadores blancos no latinos se da la tendencia inversa, reduciendo su volumen en 350 mil personas (Gráfica 9). Esto hace que en esta categoría socio-ocupacional, la participación de los inmigrantes latinoamericanos pasara de 15.4 por ciento en 2008, a 17.7 por ciento en 2012, cifra que más que duplica su proporción</w:t>
      </w:r>
      <w:r>
        <w:rPr>
          <w:color w:val="231F20"/>
          <w:spacing w:val="-4"/>
        </w:rPr>
        <w:t> </w:t>
      </w:r>
      <w:r>
        <w:rPr>
          <w:color w:val="231F20"/>
        </w:rPr>
        <w:t>respecto</w:t>
      </w:r>
      <w:r>
        <w:rPr>
          <w:color w:val="231F20"/>
          <w:spacing w:val="-4"/>
        </w:rPr>
        <w:t> </w:t>
      </w:r>
      <w:r>
        <w:rPr>
          <w:color w:val="231F20"/>
        </w:rPr>
        <w:t>al</w:t>
      </w:r>
      <w:r>
        <w:rPr>
          <w:color w:val="231F20"/>
          <w:spacing w:val="-4"/>
        </w:rPr>
        <w:t> </w:t>
      </w:r>
      <w:r>
        <w:rPr>
          <w:color w:val="231F20"/>
        </w:rPr>
        <w:t>total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fuerza</w:t>
      </w:r>
      <w:r>
        <w:rPr>
          <w:color w:val="231F20"/>
          <w:spacing w:val="-4"/>
        </w:rPr>
        <w:t> </w:t>
      </w:r>
      <w:r>
        <w:rPr>
          <w:color w:val="231F20"/>
        </w:rPr>
        <w:t>de</w:t>
      </w:r>
      <w:r>
        <w:rPr>
          <w:color w:val="231F20"/>
          <w:spacing w:val="-4"/>
        </w:rPr>
        <w:t> </w:t>
      </w:r>
      <w:r>
        <w:rPr>
          <w:color w:val="231F20"/>
        </w:rPr>
        <w:t>trabajo</w:t>
      </w:r>
      <w:r>
        <w:rPr>
          <w:color w:val="231F20"/>
          <w:spacing w:val="-4"/>
        </w:rPr>
        <w:t> </w:t>
      </w:r>
      <w:r>
        <w:rPr>
          <w:color w:val="231F20"/>
        </w:rPr>
        <w:t>ocupada</w:t>
      </w:r>
      <w:r>
        <w:rPr>
          <w:color w:val="231F20"/>
          <w:spacing w:val="-4"/>
        </w:rPr>
        <w:t> </w:t>
      </w:r>
      <w:r>
        <w:rPr>
          <w:color w:val="231F20"/>
        </w:rPr>
        <w:t>(Gráfica</w:t>
      </w:r>
      <w:r>
        <w:rPr>
          <w:color w:val="231F20"/>
          <w:spacing w:val="-4"/>
        </w:rPr>
        <w:t> </w:t>
      </w:r>
      <w:r>
        <w:rPr>
          <w:color w:val="231F20"/>
        </w:rPr>
        <w:t>10).</w:t>
      </w:r>
    </w:p>
    <w:p>
      <w:pPr>
        <w:spacing w:after="0" w:line="249" w:lineRule="auto"/>
        <w:jc w:val="both"/>
        <w:sectPr>
          <w:pgSz w:w="7770" w:h="11740"/>
          <w:pgMar w:header="0" w:footer="474" w:top="840" w:bottom="740" w:left="740" w:right="1020"/>
        </w:sectPr>
      </w:pPr>
    </w:p>
    <w:p>
      <w:pPr>
        <w:pStyle w:val="BodyText"/>
      </w:pPr>
    </w:p>
    <w:p>
      <w:pPr>
        <w:pStyle w:val="BodyText"/>
      </w:pPr>
    </w:p>
    <w:p>
      <w:pPr>
        <w:spacing w:after="0"/>
        <w:sectPr>
          <w:footerReference w:type="default" r:id="rId186"/>
          <w:pgSz w:w="11740" w:h="7770" w:orient="landscape"/>
          <w:pgMar w:footer="0" w:header="0" w:top="680" w:bottom="280" w:left="1480" w:right="1280"/>
        </w:sectPr>
      </w:pPr>
    </w:p>
    <w:p>
      <w:pPr>
        <w:pStyle w:val="BodyText"/>
        <w:spacing w:before="3"/>
        <w:rPr>
          <w:sz w:val="18"/>
        </w:rPr>
      </w:pPr>
    </w:p>
    <w:p>
      <w:pPr>
        <w:spacing w:line="252" w:lineRule="auto" w:before="1"/>
        <w:ind w:left="111" w:right="-4" w:firstLine="0"/>
        <w:jc w:val="left"/>
        <w:rPr>
          <w:sz w:val="19"/>
        </w:rPr>
      </w:pPr>
      <w:r>
        <w:rPr>
          <w:w w:val="105"/>
          <w:sz w:val="19"/>
        </w:rPr>
        <w:t>Gráfica 8. Estados Unidos, 2008 y 2012. Población ocupada en puestos de dirección, según origen étnico y migratorio</w:t>
      </w:r>
    </w:p>
    <w:p>
      <w:pPr>
        <w:pStyle w:val="BodyText"/>
      </w:pPr>
      <w:r>
        <w:rPr/>
        <w:br w:type="column"/>
      </w:r>
      <w:r>
        <w:rPr/>
      </w:r>
    </w:p>
    <w:p>
      <w:pPr>
        <w:pStyle w:val="BodyText"/>
      </w:pPr>
    </w:p>
    <w:p>
      <w:pPr>
        <w:pStyle w:val="BodyText"/>
        <w:spacing w:before="8"/>
        <w:rPr>
          <w:sz w:val="21"/>
        </w:rPr>
      </w:pPr>
    </w:p>
    <w:p>
      <w:pPr>
        <w:pStyle w:val="BodyText"/>
        <w:spacing w:before="1"/>
        <w:ind w:left="111" w:right="-19"/>
      </w:pPr>
      <w:r>
        <w:rPr/>
        <w:t>75.8%</w:t>
      </w:r>
    </w:p>
    <w:p>
      <w:pPr>
        <w:pStyle w:val="BodyText"/>
      </w:pPr>
      <w:r>
        <w:rPr/>
        <w:br w:type="column"/>
      </w:r>
      <w:r>
        <w:rPr/>
      </w:r>
    </w:p>
    <w:p>
      <w:pPr>
        <w:pStyle w:val="BodyText"/>
      </w:pPr>
    </w:p>
    <w:p>
      <w:pPr>
        <w:pStyle w:val="BodyText"/>
        <w:spacing w:before="1"/>
        <w:rPr>
          <w:sz w:val="22"/>
        </w:rPr>
      </w:pPr>
    </w:p>
    <w:p>
      <w:pPr>
        <w:pStyle w:val="BodyText"/>
        <w:spacing w:before="1"/>
        <w:ind w:left="94"/>
      </w:pPr>
      <w:r>
        <w:rPr/>
        <w:t>74.1%</w:t>
      </w:r>
    </w:p>
    <w:p>
      <w:pPr>
        <w:spacing w:after="0"/>
        <w:sectPr>
          <w:type w:val="continuous"/>
          <w:pgSz w:w="11740" w:h="7770" w:orient="landscape"/>
          <w:pgMar w:top="0" w:bottom="0" w:left="1480" w:right="1280"/>
          <w:cols w:num="3" w:equalWidth="0">
            <w:col w:w="6898" w:space="411"/>
            <w:col w:w="629" w:space="40"/>
            <w:col w:w="1002"/>
          </w:cols>
        </w:sectPr>
      </w:pPr>
    </w:p>
    <w:p>
      <w:pPr>
        <w:pStyle w:val="BodyText"/>
        <w:spacing w:before="6"/>
        <w:rPr>
          <w:sz w:val="3"/>
        </w:rPr>
      </w:pPr>
    </w:p>
    <w:p>
      <w:pPr>
        <w:pStyle w:val="BodyText"/>
        <w:ind w:left="271"/>
      </w:pPr>
      <w:r>
        <w:rPr/>
        <w:pict>
          <v:group style="width:429.85pt;height:136pt;mso-position-horizontal-relative:char;mso-position-vertical-relative:line" coordorigin="0,0" coordsize="8597,2720">
            <v:rect style="position:absolute;left:240;top:2556;width:595;height:99" filled="true" fillcolor="#a6a6a6" stroked="false">
              <v:fill type="solid"/>
            </v:rect>
            <v:rect style="position:absolute;left:240;top:2556;width:595;height:99" filled="false" stroked="true" strokeweight=".75pt" strokecolor="#000000"/>
            <v:rect style="position:absolute;left:893;top:2542;width:590;height:114" filled="true" fillcolor="#585858" stroked="false">
              <v:fill type="solid"/>
            </v:rect>
            <v:rect style="position:absolute;left:893;top:2542;width:590;height:114" filled="false" stroked="true" strokeweight=".75pt" strokecolor="#000000"/>
            <v:rect style="position:absolute;left:1959;top:2292;width:595;height:363" filled="true" fillcolor="#a6a6a6" stroked="false">
              <v:fill type="solid"/>
            </v:rect>
            <v:rect style="position:absolute;left:1959;top:2292;width:595;height:363" filled="false" stroked="true" strokeweight=".75pt" strokecolor="#000000"/>
            <v:rect style="position:absolute;left:2611;top:2283;width:590;height:373" filled="true" fillcolor="#585858" stroked="false">
              <v:fill type="solid"/>
            </v:rect>
            <v:rect style="position:absolute;left:2611;top:2283;width:590;height:373" filled="false" stroked="true" strokeweight=".75pt" strokecolor="#000000"/>
            <v:rect style="position:absolute;left:3677;top:2532;width:590;height:123" filled="true" fillcolor="#a6a6a6" stroked="false">
              <v:fill type="solid"/>
            </v:rect>
            <v:rect style="position:absolute;left:3677;top:2532;width:590;height:123" filled="false" stroked="true" strokeweight=".75pt" strokecolor="#000000"/>
            <v:rect style="position:absolute;left:4330;top:2508;width:590;height:147" filled="true" fillcolor="#585858" stroked="false">
              <v:fill type="solid"/>
            </v:rect>
            <v:rect style="position:absolute;left:4330;top:2508;width:590;height:147" filled="false" stroked="true" strokeweight=".75pt" strokecolor="#000000"/>
            <v:rect style="position:absolute;left:5395;top:2398;width:590;height:258" filled="true" fillcolor="#a6a6a6" stroked="false">
              <v:fill type="solid"/>
            </v:rect>
            <v:rect style="position:absolute;left:5395;top:2398;width:590;height:258" filled="false" stroked="true" strokeweight=".75pt" strokecolor="#000000"/>
            <v:rect style="position:absolute;left:6043;top:2388;width:595;height:267" filled="true" fillcolor="#585858" stroked="false">
              <v:fill type="solid"/>
            </v:rect>
            <v:rect style="position:absolute;left:6043;top:2388;width:595;height:267" filled="false" stroked="true" strokeweight=".75pt" strokecolor="#000000"/>
            <v:rect style="position:absolute;left:7109;top:7;width:595;height:2648" filled="true" fillcolor="#a6a6a6" stroked="false">
              <v:fill type="solid"/>
            </v:rect>
            <v:rect style="position:absolute;left:7109;top:8;width:595;height:2648" filled="false" stroked="true" strokeweight=".75pt" strokecolor="#000000"/>
            <v:rect style="position:absolute;left:7762;top:65;width:595;height:2591" filled="true" fillcolor="#585858" stroked="false">
              <v:fill type="solid"/>
            </v:rect>
            <v:rect style="position:absolute;left:7762;top:65;width:595;height:2591" filled="false" stroked="true" strokeweight=".75pt" strokecolor="#000000"/>
            <v:line style="position:absolute" from="5,2656" to="8592,2656" stroked="true" strokeweight=".5pt" strokecolor="#000000"/>
            <v:line style="position:absolute" from="5,2657" to="5,2715" stroked="true" strokeweight=".5pt" strokecolor="#000000"/>
            <v:line style="position:absolute" from="1723,2657" to="1723,2715" stroked="true" strokeweight=".5pt" strokecolor="#000000"/>
            <v:line style="position:absolute" from="3442,2657" to="3442,2715" stroked="true" strokeweight=".5pt" strokecolor="#000000"/>
            <v:line style="position:absolute" from="5155,2657" to="5155,2715" stroked="true" strokeweight=".5pt" strokecolor="#000000"/>
            <v:line style="position:absolute" from="6874,2657" to="6874,2715" stroked="true" strokeweight=".5pt" strokecolor="#000000"/>
            <v:line style="position:absolute" from="8592,2657" to="8592,2715" stroked="true" strokeweight=".5pt" strokecolor="#000000"/>
            <v:shape style="position:absolute;left:1997;top:1971;width:1169;height:209" type="#_x0000_t202" filled="false" stroked="false">
              <v:textbox inset="0,0,0,0">
                <w:txbxContent>
                  <w:p>
                    <w:pPr>
                      <w:spacing w:line="208" w:lineRule="exact" w:before="0"/>
                      <w:ind w:left="0" w:right="0" w:firstLine="0"/>
                      <w:jc w:val="left"/>
                      <w:rPr>
                        <w:sz w:val="20"/>
                      </w:rPr>
                    </w:pPr>
                    <w:r>
                      <w:rPr>
                        <w:sz w:val="20"/>
                      </w:rPr>
                      <w:t>10.5%  </w:t>
                    </w:r>
                    <w:r>
                      <w:rPr>
                        <w:position w:val="1"/>
                        <w:sz w:val="20"/>
                      </w:rPr>
                      <w:t>10.7%</w:t>
                    </w:r>
                  </w:p>
                </w:txbxContent>
              </v:textbox>
              <w10:wrap type="none"/>
            </v:shape>
            <v:shape style="position:absolute;left:330;top:2231;width:1069;height:216" type="#_x0000_t202" filled="false" stroked="false">
              <v:textbox inset="0,0,0,0">
                <w:txbxContent>
                  <w:p>
                    <w:pPr>
                      <w:tabs>
                        <w:tab w:pos="651" w:val="left" w:leader="none"/>
                      </w:tabs>
                      <w:spacing w:line="216" w:lineRule="exact" w:before="0"/>
                      <w:ind w:left="0" w:right="0" w:firstLine="0"/>
                      <w:jc w:val="left"/>
                      <w:rPr>
                        <w:sz w:val="20"/>
                      </w:rPr>
                    </w:pPr>
                    <w:r>
                      <w:rPr>
                        <w:sz w:val="20"/>
                      </w:rPr>
                      <w:t>2.8%</w:t>
                      <w:tab/>
                    </w:r>
                    <w:r>
                      <w:rPr>
                        <w:position w:val="2"/>
                        <w:sz w:val="20"/>
                      </w:rPr>
                      <w:t>3.3%</w:t>
                    </w:r>
                  </w:p>
                </w:txbxContent>
              </v:textbox>
              <w10:wrap type="none"/>
            </v:shape>
            <v:shape style="position:absolute;left:3765;top:2220;width:417;height:200" type="#_x0000_t202" filled="false" stroked="false">
              <v:textbox inset="0,0,0,0">
                <w:txbxContent>
                  <w:p>
                    <w:pPr>
                      <w:spacing w:line="200" w:lineRule="exact" w:before="0"/>
                      <w:ind w:left="0" w:right="-20" w:firstLine="0"/>
                      <w:jc w:val="left"/>
                      <w:rPr>
                        <w:sz w:val="20"/>
                      </w:rPr>
                    </w:pPr>
                    <w:r>
                      <w:rPr>
                        <w:sz w:val="20"/>
                      </w:rPr>
                      <w:t>3.6%</w:t>
                    </w:r>
                  </w:p>
                </w:txbxContent>
              </v:textbox>
              <w10:wrap type="none"/>
            </v:shape>
            <v:shape style="position:absolute;left:4416;top:2195;width:417;height:200" type="#_x0000_t202" filled="false" stroked="false">
              <v:textbox inset="0,0,0,0">
                <w:txbxContent>
                  <w:p>
                    <w:pPr>
                      <w:spacing w:line="200" w:lineRule="exact" w:before="0"/>
                      <w:ind w:left="0" w:right="-20" w:firstLine="0"/>
                      <w:jc w:val="left"/>
                      <w:rPr>
                        <w:sz w:val="20"/>
                      </w:rPr>
                    </w:pPr>
                    <w:r>
                      <w:rPr>
                        <w:sz w:val="20"/>
                      </w:rPr>
                      <w:t>4.3%</w:t>
                    </w:r>
                  </w:p>
                </w:txbxContent>
              </v:textbox>
              <w10:wrap type="none"/>
            </v:shape>
            <v:shape style="position:absolute;left:5482;top:2077;width:1069;height:210" type="#_x0000_t202" filled="false" stroked="false">
              <v:textbox inset="0,0,0,0">
                <w:txbxContent>
                  <w:p>
                    <w:pPr>
                      <w:tabs>
                        <w:tab w:pos="651" w:val="left" w:leader="none"/>
                      </w:tabs>
                      <w:spacing w:line="210" w:lineRule="exact" w:before="0"/>
                      <w:ind w:left="0" w:right="0" w:firstLine="0"/>
                      <w:jc w:val="left"/>
                      <w:rPr>
                        <w:sz w:val="20"/>
                      </w:rPr>
                    </w:pPr>
                    <w:r>
                      <w:rPr>
                        <w:sz w:val="20"/>
                      </w:rPr>
                      <w:t>7.4%</w:t>
                      <w:tab/>
                    </w:r>
                    <w:r>
                      <w:rPr>
                        <w:position w:val="1"/>
                        <w:sz w:val="20"/>
                      </w:rPr>
                      <w:t>7.7%</w:t>
                    </w:r>
                  </w:p>
                </w:txbxContent>
              </v:textbox>
              <w10:wrap type="none"/>
            </v:shape>
          </v:group>
        </w:pict>
      </w:r>
      <w:r>
        <w:rPr/>
      </w:r>
    </w:p>
    <w:p>
      <w:pPr>
        <w:spacing w:after="0"/>
        <w:sectPr>
          <w:type w:val="continuous"/>
          <w:pgSz w:w="11740" w:h="7770" w:orient="landscape"/>
          <w:pgMar w:top="0" w:bottom="0" w:left="1480" w:right="1280"/>
        </w:sectPr>
      </w:pPr>
    </w:p>
    <w:p>
      <w:pPr>
        <w:pStyle w:val="BodyText"/>
        <w:tabs>
          <w:tab w:pos="2133" w:val="left" w:leader="none"/>
          <w:tab w:pos="3817" w:val="left" w:leader="none"/>
        </w:tabs>
        <w:spacing w:before="38"/>
        <w:ind w:left="366"/>
      </w:pPr>
      <w:r>
        <w:rPr/>
        <w:t>Inmigrantes latinos</w:t>
        <w:tab/>
        <w:t>Otros</w:t>
      </w:r>
      <w:r>
        <w:rPr>
          <w:spacing w:val="-2"/>
        </w:rPr>
        <w:t> </w:t>
      </w:r>
      <w:r>
        <w:rPr/>
        <w:t>inmigrantes</w:t>
        <w:tab/>
        <w:t>Latinos nacidos</w:t>
      </w:r>
      <w:r>
        <w:rPr>
          <w:spacing w:val="-1"/>
        </w:rPr>
        <w:t> </w:t>
      </w:r>
      <w:r>
        <w:rPr/>
        <w:t>en</w:t>
      </w:r>
    </w:p>
    <w:p>
      <w:pPr>
        <w:pStyle w:val="BodyText"/>
        <w:spacing w:before="10"/>
        <w:ind w:right="123"/>
        <w:jc w:val="right"/>
      </w:pPr>
      <w:r>
        <w:rPr/>
        <w:t>Estados Unidos</w:t>
      </w:r>
    </w:p>
    <w:p>
      <w:pPr>
        <w:pStyle w:val="BodyText"/>
        <w:spacing w:line="249" w:lineRule="auto" w:before="38"/>
        <w:ind w:left="663" w:right="-19" w:hanging="503"/>
      </w:pPr>
      <w:r>
        <w:rPr/>
        <w:br w:type="column"/>
      </w:r>
      <w:r>
        <w:rPr/>
        <w:t>Afroamericanos no latinos</w:t>
      </w:r>
    </w:p>
    <w:p>
      <w:pPr>
        <w:pStyle w:val="BodyText"/>
        <w:spacing w:before="38"/>
        <w:ind w:left="171"/>
      </w:pPr>
      <w:r>
        <w:rPr/>
        <w:br w:type="column"/>
      </w:r>
      <w:r>
        <w:rPr/>
        <w:t>Blancos no latinos</w:t>
      </w:r>
    </w:p>
    <w:p>
      <w:pPr>
        <w:spacing w:after="0"/>
        <w:sectPr>
          <w:type w:val="continuous"/>
          <w:pgSz w:w="11740" w:h="7770" w:orient="landscape"/>
          <w:pgMar w:top="0" w:bottom="0" w:left="1480" w:right="1280"/>
          <w:cols w:num="3" w:equalWidth="0">
            <w:col w:w="5318" w:space="40"/>
            <w:col w:w="1700" w:space="40"/>
            <w:col w:w="1882"/>
          </w:cols>
        </w:sectPr>
      </w:pPr>
    </w:p>
    <w:p>
      <w:pPr>
        <w:pStyle w:val="BodyText"/>
        <w:spacing w:before="4"/>
        <w:rPr>
          <w:sz w:val="15"/>
        </w:rPr>
      </w:pPr>
      <w:r>
        <w:rPr/>
        <w:pict>
          <v:shape style="position:absolute;margin-left:22.711536pt;margin-top:193.173203pt;width:12pt;height:17pt;mso-position-horizontal-relative:page;mso-position-vertical-relative:page;z-index:6616" type="#_x0000_t202" filled="false" stroked="false">
            <v:textbox inset="0,0,0,0" style="layout-flow:vertical">
              <w:txbxContent>
                <w:p>
                  <w:pPr>
                    <w:pStyle w:val="BodyText"/>
                    <w:spacing w:line="224" w:lineRule="exact"/>
                    <w:ind w:left="20" w:right="-100"/>
                  </w:pPr>
                  <w:r>
                    <w:rPr>
                      <w:color w:val="231F20"/>
                    </w:rPr>
                    <w:t>145</w:t>
                  </w:r>
                </w:p>
              </w:txbxContent>
            </v:textbox>
            <w10:wrap type="none"/>
          </v:shape>
        </w:pict>
      </w:r>
    </w:p>
    <w:p>
      <w:pPr>
        <w:pStyle w:val="BodyText"/>
        <w:tabs>
          <w:tab w:pos="1530" w:val="left" w:leader="none"/>
        </w:tabs>
        <w:spacing w:before="74"/>
        <w:ind w:left="499"/>
        <w:jc w:val="center"/>
      </w:pPr>
      <w:r>
        <w:rPr/>
        <w:pict>
          <v:group style="position:absolute;margin-left:267.727295pt;margin-top:3.580037pt;width:5.75pt;height:10pt;mso-position-horizontal-relative:page;mso-position-vertical-relative:paragraph;z-index:6568" coordorigin="5355,72" coordsize="115,200">
            <v:line style="position:absolute" from="5412,122" to="5412,221" stroked="true" strokeweight="4.982pt" strokecolor="#a6a6a6"/>
            <v:rect style="position:absolute;left:5362;top:122;width:100;height:100" filled="false" stroked="true" strokeweight=".75pt" strokecolor="#000000"/>
            <w10:wrap type="none"/>
          </v:group>
        </w:pict>
      </w:r>
      <w:r>
        <w:rPr/>
        <w:pict>
          <v:group style="position:absolute;margin-left:319.31189pt;margin-top:3.580037pt;width:5.75pt;height:10pt;mso-position-horizontal-relative:page;mso-position-vertical-relative:paragraph;z-index:-331312" coordorigin="6386,72" coordsize="115,200">
            <v:line style="position:absolute" from="6444,122" to="6444,221" stroked="true" strokeweight="4.982pt" strokecolor="#585858"/>
            <v:rect style="position:absolute;left:6394;top:122;width:100;height:100" filled="false" stroked="true" strokeweight=".75pt" strokecolor="#000000"/>
            <w10:wrap type="none"/>
          </v:group>
        </w:pict>
      </w:r>
      <w:r>
        <w:rPr/>
        <w:t>2008</w:t>
        <w:tab/>
        <w:t>2012</w:t>
      </w:r>
    </w:p>
    <w:p>
      <w:pPr>
        <w:spacing w:before="99"/>
        <w:ind w:left="111" w:right="0" w:firstLine="0"/>
        <w:jc w:val="left"/>
        <w:rPr>
          <w:sz w:val="16"/>
        </w:rPr>
      </w:pPr>
      <w:r>
        <w:rPr>
          <w:sz w:val="16"/>
        </w:rPr>
        <w:t>Fuente: Current Population Survey, March Supplement (CPS).</w:t>
      </w:r>
    </w:p>
    <w:p>
      <w:pPr>
        <w:spacing w:after="0"/>
        <w:jc w:val="left"/>
        <w:rPr>
          <w:sz w:val="16"/>
        </w:rPr>
        <w:sectPr>
          <w:type w:val="continuous"/>
          <w:pgSz w:w="11740" w:h="7770" w:orient="landscape"/>
          <w:pgMar w:top="0" w:bottom="0" w:left="1480" w:right="1280"/>
        </w:sectPr>
      </w:pPr>
    </w:p>
    <w:p>
      <w:pPr>
        <w:pStyle w:val="BodyText"/>
      </w:pPr>
    </w:p>
    <w:p>
      <w:pPr>
        <w:pStyle w:val="BodyText"/>
      </w:pPr>
    </w:p>
    <w:p>
      <w:pPr>
        <w:pStyle w:val="BodyText"/>
      </w:pPr>
    </w:p>
    <w:p>
      <w:pPr>
        <w:pStyle w:val="BodyText"/>
        <w:spacing w:before="5"/>
        <w:rPr>
          <w:sz w:val="17"/>
        </w:rPr>
      </w:pPr>
    </w:p>
    <w:p>
      <w:pPr>
        <w:spacing w:line="244" w:lineRule="auto" w:before="1"/>
        <w:ind w:left="118" w:right="52" w:firstLine="0"/>
        <w:jc w:val="left"/>
        <w:rPr>
          <w:sz w:val="18"/>
        </w:rPr>
      </w:pPr>
      <w:r>
        <w:rPr/>
        <w:pict>
          <v:rect style="position:absolute;margin-left:123.331642pt;margin-top:49.200714pt;width:33.840pt;height:134.053559pt;mso-position-horizontal-relative:page;mso-position-vertical-relative:paragraph;z-index:6784" filled="true" fillcolor="#585858" stroked="false">
            <v:fill type="solid"/>
            <w10:wrap type="none"/>
          </v:rect>
        </w:pict>
      </w:r>
      <w:r>
        <w:rPr/>
        <w:pict>
          <v:line style="position:absolute;mso-position-horizontal-relative:page;mso-position-vertical-relative:paragraph;z-index:6856" from="98.61174pt,107.0271pt" to="101.38274pt,107.0271pt" stroked="true" strokeweight=".456337pt" strokecolor="#000000">
            <w10:wrap type="none"/>
          </v:line>
        </w:pict>
      </w:r>
      <w:r>
        <w:rPr/>
        <w:pict>
          <v:line style="position:absolute;mso-position-horizontal-relative:page;mso-position-vertical-relative:paragraph;z-index:6880" from="98.61174pt,69.132881pt" to="101.38274pt,69.132881pt" stroked="true" strokeweight=".456337pt" strokecolor="#000000">
            <w10:wrap type="none"/>
          </v:line>
        </w:pict>
      </w:r>
      <w:r>
        <w:rPr/>
        <w:pict>
          <v:shape style="position:absolute;margin-left:74.975563pt;margin-top:65.401665pt;width:12pt;height:151.35pt;mso-position-horizontal-relative:page;mso-position-vertical-relative:paragraph;z-index:-330976" type="#_x0000_t202" filled="false" stroked="false">
            <v:textbox inset="0,0,0,0" style="layout-flow:vertical;mso-layout-flow-alt:bottom-to-top">
              <w:txbxContent>
                <w:p>
                  <w:pPr>
                    <w:pStyle w:val="BodyText"/>
                    <w:spacing w:line="224" w:lineRule="exact"/>
                    <w:ind w:left="20" w:right="-753"/>
                  </w:pPr>
                  <w:r>
                    <w:rPr>
                      <w:w w:val="91"/>
                    </w:rPr>
                    <w:t>Crecimiento</w:t>
                  </w:r>
                  <w:r>
                    <w:rPr>
                      <w:spacing w:val="-5"/>
                    </w:rPr>
                    <w:t> </w:t>
                  </w:r>
                  <w:r>
                    <w:rPr>
                      <w:w w:val="91"/>
                    </w:rPr>
                    <w:t>empleo</w:t>
                  </w:r>
                  <w:r>
                    <w:rPr>
                      <w:spacing w:val="-5"/>
                    </w:rPr>
                    <w:t> </w:t>
                  </w:r>
                  <w:r>
                    <w:rPr>
                      <w:w w:val="91"/>
                    </w:rPr>
                    <w:t>(miles</w:t>
                  </w:r>
                  <w:r>
                    <w:rPr>
                      <w:spacing w:val="-5"/>
                    </w:rPr>
                    <w:t> </w:t>
                  </w:r>
                  <w:r>
                    <w:rPr>
                      <w:w w:val="91"/>
                    </w:rPr>
                    <w:t>trabajadores)</w:t>
                  </w:r>
                </w:p>
              </w:txbxContent>
            </v:textbox>
            <w10:wrap type="none"/>
          </v:shape>
        </w:pict>
      </w:r>
      <w:r>
        <w:rPr>
          <w:w w:val="110"/>
          <w:sz w:val="18"/>
        </w:rPr>
        <w:t>Gráfica 9. Estados Unidos, 2008-2012. Crecimiento del empleo en puestos de reproducción social, según origen étnico y migratorio de la fuerza de trabajo (miles de personas)</w:t>
      </w:r>
    </w:p>
    <w:p>
      <w:pPr>
        <w:pStyle w:val="BodyText"/>
        <w:spacing w:before="4"/>
        <w:rPr>
          <w:sz w:val="13"/>
        </w:rPr>
      </w:pPr>
      <w:r>
        <w:rPr/>
        <w:pict>
          <v:line style="position:absolute;mso-position-horizontal-relative:page;mso-position-vertical-relative:paragraph;z-index:6640;mso-wrap-distance-left:0;mso-wrap-distance-right:0" from="98.61174pt,9.904766pt" to="101.38274pt,9.904766pt" stroked="true" strokeweight=".456337pt" strokecolor="#000000">
            <w10:wrap type="topAndBottom"/>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2"/>
        </w:rPr>
      </w:pPr>
    </w:p>
    <w:p>
      <w:pPr>
        <w:spacing w:after="0"/>
        <w:rPr>
          <w:sz w:val="22"/>
        </w:rPr>
        <w:sectPr>
          <w:footerReference w:type="default" r:id="rId187"/>
          <w:pgSz w:w="11740" w:h="7770" w:orient="landscape"/>
          <w:pgMar w:footer="0" w:header="0" w:top="0" w:bottom="280" w:left="1660" w:right="1660"/>
        </w:sectPr>
      </w:pPr>
    </w:p>
    <w:p>
      <w:pPr>
        <w:pStyle w:val="BodyText"/>
        <w:spacing w:before="5"/>
        <w:rPr>
          <w:sz w:val="11"/>
        </w:rPr>
      </w:pPr>
    </w:p>
    <w:p>
      <w:pPr>
        <w:pStyle w:val="BodyText"/>
        <w:spacing w:line="20" w:lineRule="exact"/>
        <w:ind w:left="307"/>
        <w:rPr>
          <w:sz w:val="2"/>
        </w:rPr>
      </w:pPr>
      <w:r>
        <w:rPr>
          <w:sz w:val="2"/>
        </w:rPr>
        <w:pict>
          <v:group style="width:3.3pt;height:.5pt;mso-position-horizontal-relative:char;mso-position-vertical-relative:line" coordorigin="0,0" coordsize="66,10">
            <v:line style="position:absolute" from="5,5" to="60,5" stroked="true" strokeweight=".456337pt" strokecolor="#000000"/>
          </v:group>
        </w:pict>
      </w:r>
      <w:r>
        <w:rPr>
          <w:sz w:val="2"/>
        </w:rPr>
      </w:r>
    </w:p>
    <w:p>
      <w:pPr>
        <w:tabs>
          <w:tab w:pos="2048" w:val="left" w:leader="none"/>
          <w:tab w:pos="3573" w:val="left" w:leader="none"/>
        </w:tabs>
        <w:spacing w:line="183" w:lineRule="exact" w:before="99"/>
        <w:ind w:left="455" w:right="0" w:firstLine="0"/>
        <w:jc w:val="left"/>
        <w:rPr>
          <w:sz w:val="16"/>
        </w:rPr>
      </w:pPr>
      <w:r>
        <w:rPr/>
        <w:pict>
          <v:rect style="position:absolute;margin-left:433.651642pt;margin-top:-76.770912pt;width:33.840pt;height:67.464863pt;mso-position-horizontal-relative:page;mso-position-vertical-relative:paragraph;z-index:6688" filled="true" fillcolor="#585858" stroked="false">
            <v:fill type="solid"/>
            <w10:wrap type="none"/>
          </v:rect>
        </w:pict>
      </w:r>
      <w:r>
        <w:rPr/>
        <w:pict>
          <v:rect style="position:absolute;margin-left:278.371643pt;margin-top:-140.074890pt;width:34.08pt;height:63.303069pt;mso-position-horizontal-relative:page;mso-position-vertical-relative:paragraph;z-index:6736" filled="true" fillcolor="#585858" stroked="false">
            <v:fill type="solid"/>
            <w10:wrap type="none"/>
          </v:rect>
        </w:pict>
      </w:r>
      <w:r>
        <w:rPr/>
        <w:pict>
          <v:rect style="position:absolute;margin-left:200.851639pt;margin-top:-129.998062pt;width:33.840pt;height:53.227148pt;mso-position-horizontal-relative:page;mso-position-vertical-relative:paragraph;z-index:6760" filled="true" fillcolor="#585858" stroked="false">
            <v:fill type="solid"/>
            <w10:wrap type="none"/>
          </v:rect>
        </w:pict>
      </w:r>
      <w:r>
        <w:rPr/>
        <w:pict>
          <v:line style="position:absolute;mso-position-horizontal-relative:page;mso-position-vertical-relative:paragraph;z-index:6808" from="98.61174pt,-38.658283pt" to="101.38274pt,-38.658283pt" stroked="true" strokeweight=".456337pt" strokecolor="#000000">
            <w10:wrap type="none"/>
          </v:line>
        </w:pict>
      </w:r>
      <w:r>
        <w:rPr>
          <w:w w:val="115"/>
          <w:sz w:val="16"/>
        </w:rPr>
        <w:t>Inmigrantes</w:t>
      </w:r>
      <w:r>
        <w:rPr>
          <w:spacing w:val="-11"/>
          <w:w w:val="115"/>
          <w:sz w:val="16"/>
        </w:rPr>
        <w:t> </w:t>
      </w:r>
      <w:r>
        <w:rPr>
          <w:w w:val="115"/>
          <w:sz w:val="16"/>
        </w:rPr>
        <w:t>latinos</w:t>
        <w:tab/>
        <w:t>Otros</w:t>
      </w:r>
      <w:r>
        <w:rPr>
          <w:spacing w:val="-12"/>
          <w:w w:val="115"/>
          <w:sz w:val="16"/>
        </w:rPr>
        <w:t> </w:t>
      </w:r>
      <w:r>
        <w:rPr>
          <w:w w:val="115"/>
          <w:sz w:val="16"/>
        </w:rPr>
        <w:t>inmigrantes</w:t>
        <w:tab/>
        <w:t>Latinos nacidos</w:t>
      </w:r>
      <w:r>
        <w:rPr>
          <w:spacing w:val="-31"/>
          <w:w w:val="115"/>
          <w:sz w:val="16"/>
        </w:rPr>
        <w:t> </w:t>
      </w:r>
      <w:r>
        <w:rPr>
          <w:w w:val="115"/>
          <w:sz w:val="16"/>
        </w:rPr>
        <w:t>en</w:t>
      </w:r>
    </w:p>
    <w:p>
      <w:pPr>
        <w:spacing w:line="183" w:lineRule="exact" w:before="0"/>
        <w:ind w:left="0" w:right="110" w:firstLine="0"/>
        <w:jc w:val="right"/>
        <w:rPr>
          <w:sz w:val="16"/>
        </w:rPr>
      </w:pPr>
      <w:r>
        <w:rPr>
          <w:w w:val="110"/>
          <w:sz w:val="16"/>
        </w:rPr>
        <w:t>Estados Unidos</w:t>
      </w:r>
    </w:p>
    <w:p>
      <w:pPr>
        <w:pStyle w:val="BodyText"/>
        <w:spacing w:before="10"/>
        <w:rPr>
          <w:sz w:val="21"/>
        </w:rPr>
      </w:pPr>
      <w:r>
        <w:rPr/>
        <w:br w:type="column"/>
      </w:r>
      <w:r>
        <w:rPr>
          <w:sz w:val="21"/>
        </w:rPr>
      </w:r>
    </w:p>
    <w:p>
      <w:pPr>
        <w:spacing w:before="0"/>
        <w:ind w:left="600" w:right="0" w:hanging="453"/>
        <w:jc w:val="left"/>
        <w:rPr>
          <w:sz w:val="16"/>
        </w:rPr>
      </w:pPr>
      <w:r>
        <w:rPr/>
        <w:pict>
          <v:rect style="position:absolute;margin-left:356.131653pt;margin-top:-97.930916pt;width:33.840pt;height:16.210003pt;mso-position-horizontal-relative:page;mso-position-vertical-relative:paragraph;z-index:6712" filled="true" fillcolor="#585858" stroked="false">
            <v:fill type="solid"/>
            <w10:wrap type="none"/>
          </v:rect>
        </w:pict>
      </w:r>
      <w:r>
        <w:rPr>
          <w:w w:val="110"/>
          <w:sz w:val="16"/>
        </w:rPr>
        <w:t>Afroamericanos no </w:t>
      </w:r>
      <w:r>
        <w:rPr>
          <w:w w:val="115"/>
          <w:sz w:val="16"/>
        </w:rPr>
        <w:t>latinos</w:t>
      </w:r>
    </w:p>
    <w:p>
      <w:pPr>
        <w:spacing w:line="189" w:lineRule="exact" w:before="79"/>
        <w:ind w:left="119" w:right="359" w:firstLine="0"/>
        <w:jc w:val="center"/>
        <w:rPr>
          <w:sz w:val="18"/>
        </w:rPr>
      </w:pPr>
      <w:r>
        <w:rPr/>
        <w:br w:type="column"/>
      </w:r>
      <w:r>
        <w:rPr>
          <w:w w:val="110"/>
          <w:sz w:val="18"/>
        </w:rPr>
        <w:t>-354</w:t>
      </w:r>
    </w:p>
    <w:p>
      <w:pPr>
        <w:spacing w:line="166" w:lineRule="exact" w:before="0"/>
        <w:ind w:left="119" w:right="364" w:firstLine="0"/>
        <w:jc w:val="center"/>
        <w:rPr>
          <w:sz w:val="16"/>
        </w:rPr>
      </w:pPr>
      <w:r>
        <w:rPr/>
        <w:pict>
          <v:shape style="position:absolute;margin-left:101.132942pt;margin-top:-235.098862pt;width:388.8pt;height:228.85pt;mso-position-horizontal-relative:page;mso-position-vertical-relative:paragraph;z-index:69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2"/>
                    <w:gridCol w:w="1552"/>
                    <w:gridCol w:w="1579"/>
                    <w:gridCol w:w="3077"/>
                  </w:tblGrid>
                  <w:tr>
                    <w:trPr>
                      <w:trHeight w:val="881" w:hRule="exact"/>
                    </w:trPr>
                    <w:tc>
                      <w:tcPr>
                        <w:tcW w:w="1552" w:type="dxa"/>
                        <w:tcBorders>
                          <w:left w:val="single" w:sz="4" w:space="0" w:color="000000"/>
                        </w:tcBorders>
                      </w:tcPr>
                      <w:p>
                        <w:pPr>
                          <w:pStyle w:val="TableParagraph"/>
                          <w:spacing w:before="60"/>
                          <w:ind w:left="603" w:right="606"/>
                          <w:jc w:val="center"/>
                          <w:rPr>
                            <w:sz w:val="18"/>
                          </w:rPr>
                        </w:pPr>
                        <w:r>
                          <w:rPr>
                            <w:w w:val="110"/>
                            <w:sz w:val="18"/>
                          </w:rPr>
                          <w:t>704</w:t>
                        </w:r>
                      </w:p>
                    </w:tc>
                    <w:tc>
                      <w:tcPr>
                        <w:tcW w:w="1552" w:type="dxa"/>
                      </w:tcPr>
                      <w:p>
                        <w:pPr/>
                      </w:p>
                    </w:tc>
                    <w:tc>
                      <w:tcPr>
                        <w:tcW w:w="1579" w:type="dxa"/>
                      </w:tcPr>
                      <w:p>
                        <w:pPr/>
                      </w:p>
                    </w:tc>
                    <w:tc>
                      <w:tcPr>
                        <w:tcW w:w="3077" w:type="dxa"/>
                      </w:tcPr>
                      <w:p>
                        <w:pPr/>
                      </w:p>
                    </w:tc>
                  </w:tr>
                  <w:tr>
                    <w:trPr>
                      <w:trHeight w:val="808" w:hRule="exact"/>
                    </w:trPr>
                    <w:tc>
                      <w:tcPr>
                        <w:tcW w:w="1552" w:type="dxa"/>
                        <w:tcBorders>
                          <w:left w:val="single" w:sz="4" w:space="0" w:color="000000"/>
                        </w:tcBorders>
                      </w:tcPr>
                      <w:p>
                        <w:pPr/>
                      </w:p>
                    </w:tc>
                    <w:tc>
                      <w:tcPr>
                        <w:tcW w:w="1552" w:type="dxa"/>
                      </w:tcPr>
                      <w:p>
                        <w:pPr/>
                      </w:p>
                    </w:tc>
                    <w:tc>
                      <w:tcPr>
                        <w:tcW w:w="1579" w:type="dxa"/>
                      </w:tcPr>
                      <w:p>
                        <w:pPr>
                          <w:pStyle w:val="TableParagraph"/>
                          <w:jc w:val="left"/>
                          <w:rPr>
                            <w:sz w:val="18"/>
                          </w:rPr>
                        </w:pPr>
                      </w:p>
                      <w:p>
                        <w:pPr>
                          <w:pStyle w:val="TableParagraph"/>
                          <w:jc w:val="left"/>
                          <w:rPr>
                            <w:sz w:val="18"/>
                          </w:rPr>
                        </w:pPr>
                      </w:p>
                      <w:p>
                        <w:pPr>
                          <w:pStyle w:val="TableParagraph"/>
                          <w:spacing w:before="8"/>
                          <w:jc w:val="left"/>
                          <w:rPr>
                            <w:sz w:val="15"/>
                          </w:rPr>
                        </w:pPr>
                      </w:p>
                      <w:p>
                        <w:pPr>
                          <w:pStyle w:val="TableParagraph"/>
                          <w:ind w:left="608" w:right="633"/>
                          <w:jc w:val="center"/>
                          <w:rPr>
                            <w:sz w:val="18"/>
                          </w:rPr>
                        </w:pPr>
                        <w:r>
                          <w:rPr>
                            <w:w w:val="110"/>
                            <w:sz w:val="18"/>
                          </w:rPr>
                          <w:t>332</w:t>
                        </w:r>
                      </w:p>
                    </w:tc>
                    <w:tc>
                      <w:tcPr>
                        <w:tcW w:w="3077" w:type="dxa"/>
                      </w:tcPr>
                      <w:p>
                        <w:pPr/>
                      </w:p>
                    </w:tc>
                  </w:tr>
                  <w:tr>
                    <w:trPr>
                      <w:trHeight w:val="471" w:hRule="exact"/>
                    </w:trPr>
                    <w:tc>
                      <w:tcPr>
                        <w:tcW w:w="1552" w:type="dxa"/>
                        <w:tcBorders>
                          <w:left w:val="single" w:sz="4" w:space="0" w:color="000000"/>
                        </w:tcBorders>
                      </w:tcPr>
                      <w:p>
                        <w:pPr/>
                      </w:p>
                    </w:tc>
                    <w:tc>
                      <w:tcPr>
                        <w:tcW w:w="1552" w:type="dxa"/>
                      </w:tcPr>
                      <w:p>
                        <w:pPr>
                          <w:pStyle w:val="TableParagraph"/>
                          <w:spacing w:line="195" w:lineRule="exact"/>
                          <w:ind w:left="607" w:right="607"/>
                          <w:jc w:val="center"/>
                          <w:rPr>
                            <w:sz w:val="18"/>
                          </w:rPr>
                        </w:pPr>
                        <w:r>
                          <w:rPr>
                            <w:w w:val="110"/>
                            <w:sz w:val="18"/>
                          </w:rPr>
                          <w:t>280</w:t>
                        </w:r>
                      </w:p>
                    </w:tc>
                    <w:tc>
                      <w:tcPr>
                        <w:tcW w:w="1579" w:type="dxa"/>
                      </w:tcPr>
                      <w:p>
                        <w:pPr/>
                      </w:p>
                    </w:tc>
                    <w:tc>
                      <w:tcPr>
                        <w:tcW w:w="3077" w:type="dxa"/>
                      </w:tcPr>
                      <w:p>
                        <w:pPr/>
                      </w:p>
                    </w:tc>
                  </w:tr>
                  <w:tr>
                    <w:trPr>
                      <w:trHeight w:val="885" w:hRule="exact"/>
                    </w:trPr>
                    <w:tc>
                      <w:tcPr>
                        <w:tcW w:w="1552" w:type="dxa"/>
                        <w:tcBorders>
                          <w:left w:val="single" w:sz="4" w:space="0" w:color="000000"/>
                          <w:bottom w:val="single" w:sz="4" w:space="0" w:color="000000"/>
                        </w:tcBorders>
                      </w:tcPr>
                      <w:p>
                        <w:pPr/>
                      </w:p>
                    </w:tc>
                    <w:tc>
                      <w:tcPr>
                        <w:tcW w:w="1552" w:type="dxa"/>
                        <w:tcBorders>
                          <w:bottom w:val="single" w:sz="4" w:space="0" w:color="000000"/>
                        </w:tcBorders>
                      </w:tcPr>
                      <w:p>
                        <w:pPr/>
                      </w:p>
                    </w:tc>
                    <w:tc>
                      <w:tcPr>
                        <w:tcW w:w="1579" w:type="dxa"/>
                        <w:tcBorders>
                          <w:bottom w:val="single" w:sz="4" w:space="0" w:color="000000"/>
                        </w:tcBorders>
                      </w:tcPr>
                      <w:p>
                        <w:pPr/>
                      </w:p>
                    </w:tc>
                    <w:tc>
                      <w:tcPr>
                        <w:tcW w:w="3077" w:type="dxa"/>
                        <w:tcBorders>
                          <w:bottom w:val="single" w:sz="4" w:space="0" w:color="000000"/>
                        </w:tcBorders>
                      </w:tcPr>
                      <w:p>
                        <w:pPr>
                          <w:pStyle w:val="TableParagraph"/>
                          <w:spacing w:before="5"/>
                          <w:jc w:val="left"/>
                          <w:rPr>
                            <w:sz w:val="22"/>
                          </w:rPr>
                        </w:pPr>
                      </w:p>
                      <w:p>
                        <w:pPr>
                          <w:pStyle w:val="TableParagraph"/>
                          <w:ind w:left="653"/>
                          <w:jc w:val="left"/>
                          <w:rPr>
                            <w:sz w:val="18"/>
                          </w:rPr>
                        </w:pPr>
                        <w:r>
                          <w:rPr>
                            <w:w w:val="110"/>
                            <w:sz w:val="18"/>
                          </w:rPr>
                          <w:t>85</w:t>
                        </w:r>
                      </w:p>
                    </w:tc>
                  </w:tr>
                  <w:tr>
                    <w:trPr>
                      <w:trHeight w:val="1522" w:hRule="exact"/>
                    </w:trPr>
                    <w:tc>
                      <w:tcPr>
                        <w:tcW w:w="7760" w:type="dxa"/>
                        <w:gridSpan w:val="4"/>
                        <w:tcBorders>
                          <w:top w:val="single" w:sz="4" w:space="0" w:color="000000"/>
                          <w:left w:val="single" w:sz="4" w:space="0" w:color="000000"/>
                        </w:tcBorders>
                      </w:tcPr>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tc>
                  </w:tr>
                </w:tbl>
                <w:p>
                  <w:pPr>
                    <w:pStyle w:val="BodyText"/>
                  </w:pPr>
                </w:p>
              </w:txbxContent>
            </v:textbox>
            <w10:wrap type="none"/>
          </v:shape>
        </w:pict>
      </w:r>
      <w:r>
        <w:rPr>
          <w:w w:val="115"/>
          <w:sz w:val="16"/>
        </w:rPr>
        <w:t>Blancos no latinos</w:t>
      </w:r>
    </w:p>
    <w:p>
      <w:pPr>
        <w:spacing w:after="0" w:line="166" w:lineRule="exact"/>
        <w:jc w:val="center"/>
        <w:rPr>
          <w:sz w:val="16"/>
        </w:rPr>
        <w:sectPr>
          <w:type w:val="continuous"/>
          <w:pgSz w:w="11740" w:h="7770" w:orient="landscape"/>
          <w:pgMar w:top="0" w:bottom="0" w:left="1660" w:right="1660"/>
          <w:cols w:num="3" w:equalWidth="0">
            <w:col w:w="4924" w:space="40"/>
            <w:col w:w="1533" w:space="40"/>
            <w:col w:w="1883"/>
          </w:cols>
        </w:sectPr>
      </w:pPr>
    </w:p>
    <w:p>
      <w:pPr>
        <w:pStyle w:val="BodyText"/>
        <w:spacing w:before="2"/>
        <w:rPr>
          <w:sz w:val="14"/>
        </w:rPr>
      </w:pPr>
      <w:r>
        <w:rPr/>
        <w:pict>
          <v:line style="position:absolute;mso-position-horizontal-relative:page;mso-position-vertical-relative:page;z-index:6832" from="98.61174pt,190.005127pt" to="101.38274pt,190.005127pt" stroked="true" strokeweight=".456337pt" strokecolor="#000000">
            <w10:wrap type="none"/>
          </v:line>
        </w:pict>
      </w:r>
      <w:r>
        <w:rPr/>
        <w:pict>
          <v:shape style="position:absolute;margin-left:26.963537pt;margin-top:178.527603pt;width:12pt;height:17pt;mso-position-horizontal-relative:page;mso-position-vertical-relative:page;z-index:6904" type="#_x0000_t202" filled="false" stroked="false">
            <v:textbox inset="0,0,0,0" style="layout-flow:vertical">
              <w:txbxContent>
                <w:p>
                  <w:pPr>
                    <w:pStyle w:val="BodyText"/>
                    <w:spacing w:line="224" w:lineRule="exact"/>
                    <w:ind w:left="20" w:right="-100"/>
                  </w:pPr>
                  <w:r>
                    <w:rPr>
                      <w:color w:val="231F20"/>
                    </w:rPr>
                    <w:t>146</w:t>
                  </w:r>
                </w:p>
              </w:txbxContent>
            </v:textbox>
            <w10:wrap type="none"/>
          </v:shape>
        </w:pict>
      </w:r>
    </w:p>
    <w:p>
      <w:pPr>
        <w:spacing w:before="0"/>
        <w:ind w:left="277" w:right="52" w:firstLine="0"/>
        <w:jc w:val="left"/>
        <w:rPr>
          <w:sz w:val="14"/>
        </w:rPr>
      </w:pPr>
      <w:r>
        <w:rPr>
          <w:w w:val="115"/>
          <w:sz w:val="14"/>
        </w:rPr>
        <w:t>Fuente: Current Population Survey, March Supplement (CPS).</w:t>
      </w:r>
    </w:p>
    <w:p>
      <w:pPr>
        <w:spacing w:after="0"/>
        <w:jc w:val="left"/>
        <w:rPr>
          <w:sz w:val="14"/>
        </w:rPr>
        <w:sectPr>
          <w:type w:val="continuous"/>
          <w:pgSz w:w="11740" w:h="7770" w:orient="landscape"/>
          <w:pgMar w:top="0" w:bottom="0" w:left="1660" w:right="1660"/>
        </w:sectPr>
      </w:pPr>
    </w:p>
    <w:p>
      <w:pPr>
        <w:spacing w:before="59"/>
        <w:ind w:left="140" w:right="0" w:firstLine="0"/>
        <w:jc w:val="left"/>
        <w:rPr>
          <w:sz w:val="19"/>
        </w:rPr>
      </w:pPr>
      <w:r>
        <w:rPr>
          <w:sz w:val="19"/>
        </w:rPr>
        <w:t>Gráfica 10. Estados Unidos, 2008-2012. Proporción de  trabajadores</w:t>
      </w:r>
    </w:p>
    <w:p>
      <w:pPr>
        <w:spacing w:before="12"/>
        <w:ind w:left="140" w:right="0" w:firstLine="0"/>
        <w:jc w:val="left"/>
        <w:rPr>
          <w:sz w:val="19"/>
        </w:rPr>
      </w:pPr>
      <w:r>
        <w:rPr>
          <w:sz w:val="19"/>
        </w:rPr>
        <w:t>en puestos de reproducción social que son inmigrantes  latinoamericanos</w:t>
      </w:r>
    </w:p>
    <w:p>
      <w:pPr>
        <w:pStyle w:val="BodyText"/>
        <w:spacing w:before="166"/>
        <w:ind w:right="434"/>
        <w:jc w:val="right"/>
      </w:pPr>
      <w:r>
        <w:rPr/>
        <w:pict>
          <v:group style="position:absolute;margin-left:74.965744pt;margin-top:25.04904pt;width:283.650pt;height:178.35pt;mso-position-horizontal-relative:page;mso-position-vertical-relative:paragraph;z-index:7072;mso-wrap-distance-left:0;mso-wrap-distance-right:0" coordorigin="1499,501" coordsize="5673,3567">
            <v:rect style="position:absolute;left:1788;top:2656;width:566;height:1348" filled="true" fillcolor="#585858" stroked="false">
              <v:fill type="solid"/>
            </v:rect>
            <v:rect style="position:absolute;left:2920;top:1754;width:566;height:2250" filled="true" fillcolor="#585858" stroked="false">
              <v:fill type="solid"/>
            </v:rect>
            <v:rect style="position:absolute;left:4052;top:1331;width:566;height:2673" filled="true" fillcolor="#585858" stroked="false">
              <v:fill type="solid"/>
            </v:rect>
            <v:rect style="position:absolute;left:5184;top:1231;width:566;height:2773" filled="true" fillcolor="#585858" stroked="false">
              <v:fill type="solid"/>
            </v:rect>
            <v:rect style="position:absolute;left:6321;top:501;width:561;height:3503" filled="true" fillcolor="#585858" stroked="false">
              <v:fill type="solid"/>
            </v:rect>
            <v:line style="position:absolute" from="1504,4004" to="7167,4004" stroked="true" strokeweight=".5pt" strokecolor="#000000"/>
            <v:line style="position:absolute" from="1505,4005" to="1505,4063" stroked="true" strokeweight=".483246pt" strokecolor="#000000"/>
            <v:line style="position:absolute" from="2637,4005" to="2637,4063" stroked="true" strokeweight=".483246pt" strokecolor="#000000"/>
            <v:line style="position:absolute" from="3769,4005" to="3769,4063" stroked="true" strokeweight=".483246pt" strokecolor="#000000"/>
            <v:line style="position:absolute" from="4901,4005" to="4901,4063" stroked="true" strokeweight=".483246pt" strokecolor="#000000"/>
            <v:line style="position:absolute" from="6033,4005" to="6033,4063" stroked="true" strokeweight=".483246pt" strokecolor="#000000"/>
            <v:line style="position:absolute" from="7165,4005" to="7165,4063" stroked="true" strokeweight=".483246pt" strokecolor="#000000"/>
            <v:shape style="position:absolute;left:4086;top:1020;width:500;height:200" type="#_x0000_t202" filled="false" stroked="false">
              <v:textbox inset="0,0,0,0">
                <w:txbxContent>
                  <w:p>
                    <w:pPr>
                      <w:spacing w:line="200" w:lineRule="exact" w:before="0"/>
                      <w:ind w:left="0" w:right="-11" w:firstLine="0"/>
                      <w:jc w:val="left"/>
                      <w:rPr>
                        <w:sz w:val="20"/>
                      </w:rPr>
                    </w:pPr>
                    <w:r>
                      <w:rPr>
                        <w:w w:val="95"/>
                        <w:sz w:val="20"/>
                      </w:rPr>
                      <w:t>16.8%</w:t>
                    </w:r>
                  </w:p>
                </w:txbxContent>
              </v:textbox>
              <w10:wrap type="none"/>
            </v:shape>
            <v:shape style="position:absolute;left:5219;top:918;width:500;height:200" type="#_x0000_t202" filled="false" stroked="false">
              <v:textbox inset="0,0,0,0">
                <w:txbxContent>
                  <w:p>
                    <w:pPr>
                      <w:spacing w:line="200" w:lineRule="exact" w:before="0"/>
                      <w:ind w:left="0" w:right="-11" w:firstLine="0"/>
                      <w:jc w:val="left"/>
                      <w:rPr>
                        <w:sz w:val="20"/>
                      </w:rPr>
                    </w:pPr>
                    <w:r>
                      <w:rPr>
                        <w:w w:val="95"/>
                        <w:sz w:val="20"/>
                      </w:rPr>
                      <w:t>17.0%</w:t>
                    </w:r>
                  </w:p>
                </w:txbxContent>
              </v:textbox>
              <w10:wrap type="none"/>
            </v:shape>
            <v:shape style="position:absolute;left:2953;top:1442;width:500;height:200" type="#_x0000_t202" filled="false" stroked="false">
              <v:textbox inset="0,0,0,0">
                <w:txbxContent>
                  <w:p>
                    <w:pPr>
                      <w:spacing w:line="200" w:lineRule="exact" w:before="0"/>
                      <w:ind w:left="0" w:right="-11" w:firstLine="0"/>
                      <w:jc w:val="left"/>
                      <w:rPr>
                        <w:sz w:val="20"/>
                      </w:rPr>
                    </w:pPr>
                    <w:r>
                      <w:rPr>
                        <w:w w:val="95"/>
                        <w:sz w:val="20"/>
                      </w:rPr>
                      <w:t>16.4%</w:t>
                    </w:r>
                  </w:p>
                </w:txbxContent>
              </v:textbox>
              <w10:wrap type="none"/>
            </v:shape>
            <v:shape style="position:absolute;left:1821;top:2344;width:500;height:200" type="#_x0000_t202" filled="false" stroked="false">
              <v:textbox inset="0,0,0,0">
                <w:txbxContent>
                  <w:p>
                    <w:pPr>
                      <w:spacing w:line="200" w:lineRule="exact" w:before="0"/>
                      <w:ind w:left="0" w:right="-11" w:firstLine="0"/>
                      <w:jc w:val="left"/>
                      <w:rPr>
                        <w:sz w:val="20"/>
                      </w:rPr>
                    </w:pPr>
                    <w:r>
                      <w:rPr>
                        <w:w w:val="95"/>
                        <w:sz w:val="20"/>
                      </w:rPr>
                      <w:t>15.4%</w:t>
                    </w:r>
                  </w:p>
                </w:txbxContent>
              </v:textbox>
              <w10:wrap type="none"/>
            </v:shape>
            <w10:wrap type="topAndBottom"/>
          </v:group>
        </w:pict>
      </w:r>
      <w:r>
        <w:rPr>
          <w:w w:val="95"/>
        </w:rPr>
        <w:t>17.7%</w:t>
      </w:r>
    </w:p>
    <w:p>
      <w:pPr>
        <w:pStyle w:val="BodyText"/>
        <w:tabs>
          <w:tab w:pos="1132" w:val="left" w:leader="none"/>
          <w:tab w:pos="2264" w:val="left" w:leader="none"/>
          <w:tab w:pos="3401" w:val="left" w:leader="none"/>
          <w:tab w:pos="4530" w:val="left" w:leader="none"/>
        </w:tabs>
        <w:spacing w:before="39"/>
        <w:ind w:right="490"/>
        <w:jc w:val="right"/>
      </w:pPr>
      <w:r>
        <w:rPr/>
        <w:t>2008</w:t>
        <w:tab/>
        <w:t>2009</w:t>
        <w:tab/>
        <w:t>2010</w:t>
        <w:tab/>
        <w:t>2011</w:t>
        <w:tab/>
      </w:r>
      <w:r>
        <w:rPr>
          <w:w w:val="95"/>
        </w:rPr>
        <w:t>2012</w:t>
      </w:r>
    </w:p>
    <w:p>
      <w:pPr>
        <w:pStyle w:val="BodyText"/>
        <w:rPr>
          <w:sz w:val="14"/>
        </w:rPr>
      </w:pPr>
    </w:p>
    <w:p>
      <w:pPr>
        <w:spacing w:before="0"/>
        <w:ind w:left="140" w:right="0" w:firstLine="0"/>
        <w:jc w:val="left"/>
        <w:rPr>
          <w:sz w:val="16"/>
        </w:rPr>
      </w:pPr>
      <w:r>
        <w:rPr>
          <w:sz w:val="16"/>
        </w:rPr>
        <w:t>Fuente: Current Population Survey, March Supplement (CPS).</w:t>
      </w:r>
    </w:p>
    <w:p>
      <w:pPr>
        <w:pStyle w:val="BodyText"/>
        <w:spacing w:before="7"/>
        <w:rPr>
          <w:sz w:val="10"/>
        </w:rPr>
      </w:pPr>
    </w:p>
    <w:p>
      <w:pPr>
        <w:pStyle w:val="BodyText"/>
        <w:spacing w:before="75"/>
        <w:ind w:left="403"/>
      </w:pPr>
      <w:r>
        <w:rPr>
          <w:color w:val="231F20"/>
        </w:rPr>
        <w:t>En síntesis, estos datos indican dos cosas, a saber:</w:t>
      </w:r>
    </w:p>
    <w:p>
      <w:pPr>
        <w:pStyle w:val="BodyText"/>
        <w:spacing w:before="7"/>
        <w:rPr>
          <w:sz w:val="15"/>
        </w:rPr>
      </w:pPr>
    </w:p>
    <w:p>
      <w:pPr>
        <w:pStyle w:val="ListParagraph"/>
        <w:numPr>
          <w:ilvl w:val="0"/>
          <w:numId w:val="10"/>
        </w:numPr>
        <w:tabs>
          <w:tab w:pos="480" w:val="left" w:leader="none"/>
        </w:tabs>
        <w:spacing w:line="249" w:lineRule="auto" w:before="0" w:after="0"/>
        <w:ind w:left="479" w:right="368" w:hanging="359"/>
        <w:jc w:val="both"/>
        <w:rPr>
          <w:sz w:val="20"/>
        </w:rPr>
      </w:pPr>
      <w:r>
        <w:rPr>
          <w:color w:val="231F20"/>
          <w:sz w:val="20"/>
        </w:rPr>
        <w:t>Por un lado, que los inmigrantes latinoamericanos tienden a espe- cializarse</w:t>
      </w:r>
      <w:r>
        <w:rPr>
          <w:color w:val="231F20"/>
          <w:spacing w:val="-5"/>
          <w:sz w:val="20"/>
        </w:rPr>
        <w:t> </w:t>
      </w:r>
      <w:r>
        <w:rPr>
          <w:color w:val="231F20"/>
          <w:sz w:val="20"/>
        </w:rPr>
        <w:t>en</w:t>
      </w:r>
      <w:r>
        <w:rPr>
          <w:color w:val="231F20"/>
          <w:spacing w:val="-5"/>
          <w:sz w:val="20"/>
        </w:rPr>
        <w:t> </w:t>
      </w:r>
      <w:r>
        <w:rPr>
          <w:color w:val="231F20"/>
          <w:sz w:val="20"/>
        </w:rPr>
        <w:t>este</w:t>
      </w:r>
      <w:r>
        <w:rPr>
          <w:color w:val="231F20"/>
          <w:spacing w:val="-5"/>
          <w:sz w:val="20"/>
        </w:rPr>
        <w:t> </w:t>
      </w:r>
      <w:r>
        <w:rPr>
          <w:color w:val="231F20"/>
          <w:sz w:val="20"/>
        </w:rPr>
        <w:t>tipo</w:t>
      </w:r>
      <w:r>
        <w:rPr>
          <w:color w:val="231F20"/>
          <w:spacing w:val="-5"/>
          <w:sz w:val="20"/>
        </w:rPr>
        <w:t> </w:t>
      </w:r>
      <w:r>
        <w:rPr>
          <w:color w:val="231F20"/>
          <w:sz w:val="20"/>
        </w:rPr>
        <w:t>de</w:t>
      </w:r>
      <w:r>
        <w:rPr>
          <w:color w:val="231F20"/>
          <w:spacing w:val="-5"/>
          <w:sz w:val="20"/>
        </w:rPr>
        <w:t> </w:t>
      </w:r>
      <w:r>
        <w:rPr>
          <w:color w:val="231F20"/>
          <w:sz w:val="20"/>
        </w:rPr>
        <w:t>ocupaciones,</w:t>
      </w:r>
      <w:r>
        <w:rPr>
          <w:color w:val="231F20"/>
          <w:spacing w:val="-5"/>
          <w:sz w:val="20"/>
        </w:rPr>
        <w:t> </w:t>
      </w:r>
      <w:r>
        <w:rPr>
          <w:color w:val="231F20"/>
          <w:sz w:val="20"/>
        </w:rPr>
        <w:t>haciendo</w:t>
      </w:r>
      <w:r>
        <w:rPr>
          <w:color w:val="231F20"/>
          <w:spacing w:val="-5"/>
          <w:sz w:val="20"/>
        </w:rPr>
        <w:t> </w:t>
      </w:r>
      <w:r>
        <w:rPr>
          <w:color w:val="231F20"/>
          <w:sz w:val="20"/>
        </w:rPr>
        <w:t>que</w:t>
      </w:r>
      <w:r>
        <w:rPr>
          <w:color w:val="231F20"/>
          <w:spacing w:val="-5"/>
          <w:sz w:val="20"/>
        </w:rPr>
        <w:t> </w:t>
      </w:r>
      <w:r>
        <w:rPr>
          <w:color w:val="231F20"/>
          <w:sz w:val="20"/>
        </w:rPr>
        <w:t>la</w:t>
      </w:r>
      <w:r>
        <w:rPr>
          <w:color w:val="231F20"/>
          <w:spacing w:val="-5"/>
          <w:sz w:val="20"/>
        </w:rPr>
        <w:t> </w:t>
      </w:r>
      <w:r>
        <w:rPr>
          <w:color w:val="231F20"/>
          <w:sz w:val="20"/>
        </w:rPr>
        <w:t>reproducción social de la población nativa dependa cada vez más de la provisión de trabajadores de origen</w:t>
      </w:r>
      <w:r>
        <w:rPr>
          <w:color w:val="231F20"/>
          <w:spacing w:val="-1"/>
          <w:sz w:val="20"/>
        </w:rPr>
        <w:t> </w:t>
      </w:r>
      <w:r>
        <w:rPr>
          <w:color w:val="231F20"/>
          <w:sz w:val="20"/>
        </w:rPr>
        <w:t>latinoamericano.</w:t>
      </w:r>
    </w:p>
    <w:p>
      <w:pPr>
        <w:pStyle w:val="ListParagraph"/>
        <w:numPr>
          <w:ilvl w:val="0"/>
          <w:numId w:val="10"/>
        </w:numPr>
        <w:tabs>
          <w:tab w:pos="480" w:val="left" w:leader="none"/>
        </w:tabs>
        <w:spacing w:line="249" w:lineRule="auto" w:before="1" w:after="0"/>
        <w:ind w:left="479" w:right="368" w:hanging="359"/>
        <w:jc w:val="both"/>
        <w:rPr>
          <w:sz w:val="20"/>
        </w:rPr>
      </w:pPr>
      <w:r>
        <w:rPr>
          <w:color w:val="231F20"/>
          <w:sz w:val="20"/>
        </w:rPr>
        <w:t>Por otro lado, que la crisis económica no ha hecho sino profun- dizar esta tendencia, haciendo que cada vez más la estratificación socio-ocupacional adopte la forma de una diferenciación étnico- migratoria, consolidando con ello el papel de la condición étnica y migratoria como componente de la estructuración de la desigualdad económica y social de la población en Estados</w:t>
      </w:r>
      <w:r>
        <w:rPr>
          <w:color w:val="231F20"/>
          <w:spacing w:val="-15"/>
          <w:sz w:val="20"/>
        </w:rPr>
        <w:t> </w:t>
      </w:r>
      <w:r>
        <w:rPr>
          <w:color w:val="231F20"/>
          <w:sz w:val="20"/>
        </w:rPr>
        <w:t>Unidos.</w:t>
      </w:r>
    </w:p>
    <w:p>
      <w:pPr>
        <w:pStyle w:val="Heading5"/>
        <w:ind w:left="119"/>
        <w:rPr>
          <w:i/>
        </w:rPr>
      </w:pPr>
      <w:r>
        <w:rPr>
          <w:i/>
          <w:w w:val="75"/>
        </w:rPr>
        <w:t>Crisis, migración y precarización del empleo</w:t>
      </w:r>
    </w:p>
    <w:p>
      <w:pPr>
        <w:pStyle w:val="BodyText"/>
        <w:spacing w:line="249" w:lineRule="auto" w:before="171"/>
        <w:ind w:left="119" w:right="368"/>
        <w:jc w:val="both"/>
      </w:pPr>
      <w:r>
        <w:rPr>
          <w:color w:val="231F20"/>
        </w:rPr>
        <w:t>Así como la crisis ha profundizado la desigualdad socio-ocupacional consolidando la segmentación de los puestos de trabajo y ocupaciones según la condición étnico-migratoria de la fuerza de trabajo, también ha</w:t>
      </w:r>
    </w:p>
    <w:p>
      <w:pPr>
        <w:spacing w:after="0" w:line="249" w:lineRule="auto"/>
        <w:jc w:val="both"/>
        <w:sectPr>
          <w:footerReference w:type="default" r:id="rId188"/>
          <w:pgSz w:w="7770" w:h="11740"/>
          <w:pgMar w:footer="474" w:header="0" w:top="1020" w:bottom="660" w:left="1020" w:right="480"/>
          <w:pgNumType w:start="147"/>
        </w:sectPr>
      </w:pPr>
    </w:p>
    <w:p>
      <w:pPr>
        <w:pStyle w:val="BodyText"/>
        <w:spacing w:line="249" w:lineRule="auto" w:before="62"/>
        <w:ind w:left="106" w:right="114"/>
        <w:jc w:val="both"/>
      </w:pPr>
      <w:r>
        <w:rPr>
          <w:color w:val="231F20"/>
        </w:rPr>
        <w:t>profundizado las desigualdades en cuanto a las condiciones laborales y en particular, en los niveles de protección laboral que gozan unos versus la</w:t>
      </w:r>
      <w:r>
        <w:rPr>
          <w:color w:val="231F20"/>
          <w:spacing w:val="-5"/>
        </w:rPr>
        <w:t> </w:t>
      </w:r>
      <w:r>
        <w:rPr>
          <w:color w:val="231F20"/>
        </w:rPr>
        <w:t>precariedad</w:t>
      </w:r>
      <w:r>
        <w:rPr>
          <w:color w:val="231F20"/>
          <w:spacing w:val="-5"/>
        </w:rPr>
        <w:t> </w:t>
      </w:r>
      <w:r>
        <w:rPr>
          <w:color w:val="231F20"/>
        </w:rPr>
        <w:t>que</w:t>
      </w:r>
      <w:r>
        <w:rPr>
          <w:color w:val="231F20"/>
          <w:spacing w:val="-5"/>
        </w:rPr>
        <w:t> </w:t>
      </w:r>
      <w:r>
        <w:rPr>
          <w:color w:val="231F20"/>
        </w:rPr>
        <w:t>enfrentan</w:t>
      </w:r>
      <w:r>
        <w:rPr>
          <w:color w:val="231F20"/>
          <w:spacing w:val="-5"/>
        </w:rPr>
        <w:t> </w:t>
      </w:r>
      <w:r>
        <w:rPr>
          <w:color w:val="231F20"/>
        </w:rPr>
        <w:t>otros</w:t>
      </w:r>
      <w:r>
        <w:rPr>
          <w:color w:val="231F20"/>
          <w:spacing w:val="-5"/>
        </w:rPr>
        <w:t> </w:t>
      </w:r>
      <w:r>
        <w:rPr>
          <w:color w:val="231F20"/>
        </w:rPr>
        <w:t>estamentos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fuerza</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De hecho, ambos procesos van de la mano. Los inmigrantes latinoamerica- nos, aun cuando logran mantener sus niveles de ocupación y empleo, lo hacen</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costo</w:t>
      </w:r>
      <w:r>
        <w:rPr>
          <w:color w:val="231F20"/>
          <w:spacing w:val="-10"/>
        </w:rPr>
        <w:t> </w:t>
      </w:r>
      <w:r>
        <w:rPr>
          <w:color w:val="231F20"/>
        </w:rPr>
        <w:t>importante</w:t>
      </w:r>
      <w:r>
        <w:rPr>
          <w:color w:val="231F20"/>
          <w:spacing w:val="-11"/>
        </w:rPr>
        <w:t> </w:t>
      </w:r>
      <w:r>
        <w:rPr>
          <w:color w:val="231F20"/>
        </w:rPr>
        <w:t>en</w:t>
      </w:r>
      <w:r>
        <w:rPr>
          <w:color w:val="231F20"/>
          <w:spacing w:val="-10"/>
        </w:rPr>
        <w:t> </w:t>
      </w:r>
      <w:r>
        <w:rPr>
          <w:color w:val="231F20"/>
        </w:rPr>
        <w:t>cuanto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precariedad</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condiciones laborales en las que tienen que</w:t>
      </w:r>
      <w:r>
        <w:rPr>
          <w:color w:val="231F20"/>
          <w:spacing w:val="-4"/>
        </w:rPr>
        <w:t> </w:t>
      </w:r>
      <w:r>
        <w:rPr>
          <w:color w:val="231F20"/>
        </w:rPr>
        <w:t>emplearse.</w:t>
      </w:r>
    </w:p>
    <w:p>
      <w:pPr>
        <w:pStyle w:val="BodyText"/>
        <w:spacing w:line="249" w:lineRule="auto" w:before="1"/>
        <w:ind w:left="106" w:right="114" w:firstLine="283"/>
        <w:jc w:val="both"/>
      </w:pPr>
      <w:r>
        <w:rPr>
          <w:color w:val="231F20"/>
        </w:rPr>
        <w:t>En efecto, al considerar la situación de los trabajadores en cuanto al nivel de protección o desprotección de algunos de sus derechos básicos observamos que los inmigrantes latinoamericanos son los más afectados por la crisis económica. En este caso, la proporción de trabajadores en situación de alta precariedad laboral</w:t>
      </w:r>
      <w:r>
        <w:rPr>
          <w:color w:val="231F20"/>
          <w:position w:val="7"/>
          <w:sz w:val="11"/>
        </w:rPr>
        <w:t>3 </w:t>
      </w:r>
      <w:r>
        <w:rPr>
          <w:color w:val="231F20"/>
        </w:rPr>
        <w:t>pasa de 13 por ciento en 2007, a algo más de 20 por ciento en 2009 y 2010 (Gráfica 11). Es decir, como consecuencia de la crisis económica, se llegó a una situación en don-   de uno de cada cinco trabajadores latinoamericanos estaba empleado en condiciones de alta precariedad</w:t>
      </w:r>
      <w:r>
        <w:rPr>
          <w:color w:val="231F20"/>
          <w:spacing w:val="-2"/>
        </w:rPr>
        <w:t> </w:t>
      </w:r>
      <w:r>
        <w:rPr>
          <w:color w:val="231F20"/>
        </w:rPr>
        <w:t>laboral.</w:t>
      </w:r>
    </w:p>
    <w:p>
      <w:pPr>
        <w:pStyle w:val="BodyText"/>
        <w:spacing w:line="249" w:lineRule="auto" w:before="1"/>
        <w:ind w:left="106" w:right="114" w:firstLine="283"/>
        <w:jc w:val="both"/>
      </w:pPr>
      <w:r>
        <w:rPr>
          <w:color w:val="231F20"/>
        </w:rPr>
        <w:t>En</w:t>
      </w:r>
      <w:r>
        <w:rPr>
          <w:color w:val="231F20"/>
          <w:spacing w:val="-11"/>
        </w:rPr>
        <w:t> </w:t>
      </w:r>
      <w:r>
        <w:rPr>
          <w:color w:val="231F20"/>
        </w:rPr>
        <w:t>el</w:t>
      </w:r>
      <w:r>
        <w:rPr>
          <w:color w:val="231F20"/>
          <w:spacing w:val="-11"/>
        </w:rPr>
        <w:t> </w:t>
      </w:r>
      <w:r>
        <w:rPr>
          <w:color w:val="231F20"/>
        </w:rPr>
        <w:t>caso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demás</w:t>
      </w:r>
      <w:r>
        <w:rPr>
          <w:color w:val="231F20"/>
          <w:spacing w:val="-11"/>
        </w:rPr>
        <w:t> </w:t>
      </w:r>
      <w:r>
        <w:rPr>
          <w:color w:val="231F20"/>
        </w:rPr>
        <w:t>grupos</w:t>
      </w:r>
      <w:r>
        <w:rPr>
          <w:color w:val="231F20"/>
          <w:spacing w:val="-11"/>
        </w:rPr>
        <w:t> </w:t>
      </w:r>
      <w:r>
        <w:rPr>
          <w:color w:val="231F20"/>
        </w:rPr>
        <w:t>sociales,</w:t>
      </w:r>
      <w:r>
        <w:rPr>
          <w:color w:val="231F20"/>
          <w:spacing w:val="-10"/>
        </w:rPr>
        <w:t> </w:t>
      </w:r>
      <w:r>
        <w:rPr>
          <w:color w:val="231F20"/>
        </w:rPr>
        <w:t>si</w:t>
      </w:r>
      <w:r>
        <w:rPr>
          <w:color w:val="231F20"/>
          <w:spacing w:val="-11"/>
        </w:rPr>
        <w:t> </w:t>
      </w:r>
      <w:r>
        <w:rPr>
          <w:color w:val="231F20"/>
        </w:rPr>
        <w:t>bien</w:t>
      </w:r>
      <w:r>
        <w:rPr>
          <w:color w:val="231F20"/>
          <w:spacing w:val="-11"/>
        </w:rPr>
        <w:t> </w:t>
      </w:r>
      <w:r>
        <w:rPr>
          <w:color w:val="231F20"/>
        </w:rPr>
        <w:t>hay</w:t>
      </w:r>
      <w:r>
        <w:rPr>
          <w:color w:val="231F20"/>
          <w:spacing w:val="-11"/>
        </w:rPr>
        <w:t> </w:t>
      </w:r>
      <w:r>
        <w:rPr>
          <w:color w:val="231F20"/>
        </w:rPr>
        <w:t>también</w:t>
      </w:r>
      <w:r>
        <w:rPr>
          <w:color w:val="231F20"/>
          <w:spacing w:val="-11"/>
        </w:rPr>
        <w:t> </w:t>
      </w:r>
      <w:r>
        <w:rPr>
          <w:color w:val="231F20"/>
        </w:rPr>
        <w:t>una</w:t>
      </w:r>
      <w:r>
        <w:rPr>
          <w:color w:val="231F20"/>
          <w:spacing w:val="-11"/>
        </w:rPr>
        <w:t> </w:t>
      </w:r>
      <w:r>
        <w:rPr>
          <w:color w:val="231F20"/>
        </w:rPr>
        <w:t>clara afectación derivada de la crisis económica, ésta no alcanza los mismos niveles que se detectan para los inmigrantes latinoamericanos. Entre los trabajadores afroamericanos, por ejemplo, la proporción de su fuerza de trabajo</w:t>
      </w:r>
      <w:r>
        <w:rPr>
          <w:color w:val="231F20"/>
          <w:spacing w:val="-9"/>
        </w:rPr>
        <w:t> </w:t>
      </w:r>
      <w:r>
        <w:rPr>
          <w:color w:val="231F20"/>
        </w:rPr>
        <w:t>ocupada</w:t>
      </w:r>
      <w:r>
        <w:rPr>
          <w:color w:val="231F20"/>
          <w:spacing w:val="-8"/>
        </w:rPr>
        <w:t> </w:t>
      </w:r>
      <w:r>
        <w:rPr>
          <w:color w:val="231F20"/>
        </w:rPr>
        <w:t>en</w:t>
      </w:r>
      <w:r>
        <w:rPr>
          <w:color w:val="231F20"/>
          <w:spacing w:val="-9"/>
        </w:rPr>
        <w:t> </w:t>
      </w:r>
      <w:r>
        <w:rPr>
          <w:color w:val="231F20"/>
        </w:rPr>
        <w:t>situación</w:t>
      </w:r>
      <w:r>
        <w:rPr>
          <w:color w:val="231F20"/>
          <w:spacing w:val="-8"/>
        </w:rPr>
        <w:t> </w:t>
      </w:r>
      <w:r>
        <w:rPr>
          <w:color w:val="231F20"/>
        </w:rPr>
        <w:t>de</w:t>
      </w:r>
      <w:r>
        <w:rPr>
          <w:color w:val="231F20"/>
          <w:spacing w:val="-8"/>
        </w:rPr>
        <w:t> </w:t>
      </w:r>
      <w:r>
        <w:rPr>
          <w:color w:val="231F20"/>
        </w:rPr>
        <w:t>alta</w:t>
      </w:r>
      <w:r>
        <w:rPr>
          <w:color w:val="231F20"/>
          <w:spacing w:val="-9"/>
        </w:rPr>
        <w:t> </w:t>
      </w:r>
      <w:r>
        <w:rPr>
          <w:color w:val="231F20"/>
        </w:rPr>
        <w:t>precariedad</w:t>
      </w:r>
      <w:r>
        <w:rPr>
          <w:color w:val="231F20"/>
          <w:spacing w:val="-8"/>
        </w:rPr>
        <w:t> </w:t>
      </w:r>
      <w:r>
        <w:rPr>
          <w:color w:val="231F20"/>
        </w:rPr>
        <w:t>tiende</w:t>
      </w:r>
      <w:r>
        <w:rPr>
          <w:color w:val="231F20"/>
          <w:spacing w:val="-9"/>
        </w:rPr>
        <w:t> </w:t>
      </w:r>
      <w:r>
        <w:rPr>
          <w:color w:val="231F20"/>
        </w:rPr>
        <w:t>a</w:t>
      </w:r>
      <w:r>
        <w:rPr>
          <w:color w:val="231F20"/>
          <w:spacing w:val="-8"/>
        </w:rPr>
        <w:t> </w:t>
      </w:r>
      <w:r>
        <w:rPr>
          <w:color w:val="231F20"/>
        </w:rPr>
        <w:t>mantenerse</w:t>
      </w:r>
      <w:r>
        <w:rPr>
          <w:color w:val="231F20"/>
          <w:spacing w:val="-8"/>
        </w:rPr>
        <w:t> </w:t>
      </w:r>
      <w:r>
        <w:rPr>
          <w:color w:val="231F20"/>
        </w:rPr>
        <w:t>más o menos estable, incrementándose de ocho por ciento antes de la crisis  a 10 por ciento en 2010. Asimismo, entre los trabajadores blancos no latinos, la afectación de la crisis es incluso menor. En este caso, se pasa de</w:t>
      </w:r>
      <w:r>
        <w:rPr>
          <w:color w:val="231F20"/>
          <w:spacing w:val="-9"/>
        </w:rPr>
        <w:t> </w:t>
      </w:r>
      <w:r>
        <w:rPr>
          <w:color w:val="231F20"/>
        </w:rPr>
        <w:t>cinco</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de</w:t>
      </w:r>
      <w:r>
        <w:rPr>
          <w:color w:val="231F20"/>
          <w:spacing w:val="-9"/>
        </w:rPr>
        <w:t> </w:t>
      </w:r>
      <w:r>
        <w:rPr>
          <w:color w:val="231F20"/>
        </w:rPr>
        <w:t>trabajadores</w:t>
      </w:r>
      <w:r>
        <w:rPr>
          <w:color w:val="231F20"/>
          <w:spacing w:val="-9"/>
        </w:rPr>
        <w:t> </w:t>
      </w:r>
      <w:r>
        <w:rPr>
          <w:color w:val="231F20"/>
        </w:rPr>
        <w:t>con</w:t>
      </w:r>
      <w:r>
        <w:rPr>
          <w:color w:val="231F20"/>
          <w:spacing w:val="-9"/>
        </w:rPr>
        <w:t> </w:t>
      </w:r>
      <w:r>
        <w:rPr>
          <w:color w:val="231F20"/>
        </w:rPr>
        <w:t>alta</w:t>
      </w:r>
      <w:r>
        <w:rPr>
          <w:color w:val="231F20"/>
          <w:spacing w:val="-9"/>
        </w:rPr>
        <w:t> </w:t>
      </w:r>
      <w:r>
        <w:rPr>
          <w:color w:val="231F20"/>
        </w:rPr>
        <w:t>precariedad</w:t>
      </w:r>
      <w:r>
        <w:rPr>
          <w:color w:val="231F20"/>
          <w:spacing w:val="-9"/>
        </w:rPr>
        <w:t> </w:t>
      </w:r>
      <w:r>
        <w:rPr>
          <w:color w:val="231F20"/>
        </w:rPr>
        <w:t>antes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crisis, a sólo siete por ciento en 2010. La misma situación y mismos niveles experimentan los inmigrantes provenientes de otras regiones del</w:t>
      </w:r>
      <w:r>
        <w:rPr>
          <w:color w:val="231F20"/>
          <w:spacing w:val="-17"/>
        </w:rPr>
        <w:t> </w:t>
      </w:r>
      <w:r>
        <w:rPr>
          <w:color w:val="231F20"/>
        </w:rPr>
        <w:t>mundo. En todos estos casos, se trata de cifras muy lejanas a las que prevalecen en el caso de los inmigrantes</w:t>
      </w:r>
      <w:r>
        <w:rPr>
          <w:color w:val="231F20"/>
          <w:spacing w:val="-4"/>
        </w:rPr>
        <w:t> </w:t>
      </w:r>
      <w:r>
        <w:rPr>
          <w:color w:val="231F20"/>
        </w:rPr>
        <w:t>latinoamericanos.</w:t>
      </w:r>
    </w:p>
    <w:p>
      <w:pPr>
        <w:pStyle w:val="BodyText"/>
        <w:spacing w:line="249" w:lineRule="auto" w:before="1"/>
        <w:ind w:left="106" w:right="115" w:firstLine="283"/>
        <w:jc w:val="both"/>
      </w:pPr>
      <w:r>
        <w:rPr>
          <w:color w:val="231F20"/>
        </w:rPr>
        <w:t>Asimismo, durante la fase de recuperación económica aunque se da una importante mejoría en las condiciones de protección laboral, tampo- co favorece a todos los estamentos de la fuerza de trabajo por igual.</w:t>
      </w:r>
      <w:r>
        <w:rPr>
          <w:color w:val="231F20"/>
          <w:spacing w:val="-21"/>
        </w:rPr>
        <w:t> </w:t>
      </w:r>
      <w:r>
        <w:rPr>
          <w:color w:val="231F20"/>
        </w:rPr>
        <w:t>Así, por ejemplo, en el caso de los trabajadores nativos blancos no latinos, y los inmigrantes no latinoamericanos, esta recuperación les permite reto- mar los niveles de protección laboral que tenían antes de la</w:t>
      </w:r>
      <w:r>
        <w:rPr>
          <w:color w:val="231F20"/>
          <w:spacing w:val="-5"/>
        </w:rPr>
        <w:t> </w:t>
      </w:r>
      <w:r>
        <w:rPr>
          <w:color w:val="231F20"/>
        </w:rPr>
        <w:t>crisis.</w:t>
      </w:r>
    </w:p>
    <w:p>
      <w:pPr>
        <w:pStyle w:val="BodyText"/>
      </w:pPr>
    </w:p>
    <w:p>
      <w:pPr>
        <w:spacing w:before="126"/>
        <w:ind w:left="106" w:right="114" w:firstLine="0"/>
        <w:jc w:val="both"/>
        <w:rPr>
          <w:sz w:val="14"/>
        </w:rPr>
      </w:pPr>
      <w:r>
        <w:rPr>
          <w:color w:val="231F20"/>
          <w:position w:val="5"/>
          <w:sz w:val="8"/>
        </w:rPr>
        <w:t>3</w:t>
      </w:r>
      <w:r>
        <w:rPr>
          <w:color w:val="231F20"/>
          <w:spacing w:val="9"/>
          <w:position w:val="5"/>
          <w:sz w:val="8"/>
        </w:rPr>
        <w:t> </w:t>
      </w:r>
      <w:r>
        <w:rPr>
          <w:color w:val="231F20"/>
          <w:sz w:val="14"/>
        </w:rPr>
        <w:t>La</w:t>
      </w:r>
      <w:r>
        <w:rPr>
          <w:color w:val="231F20"/>
          <w:spacing w:val="-6"/>
          <w:sz w:val="14"/>
        </w:rPr>
        <w:t> </w:t>
      </w:r>
      <w:r>
        <w:rPr>
          <w:color w:val="231F20"/>
          <w:sz w:val="14"/>
        </w:rPr>
        <w:t>precariedad</w:t>
      </w:r>
      <w:r>
        <w:rPr>
          <w:color w:val="231F20"/>
          <w:spacing w:val="-6"/>
          <w:sz w:val="14"/>
        </w:rPr>
        <w:t> </w:t>
      </w:r>
      <w:r>
        <w:rPr>
          <w:color w:val="231F20"/>
          <w:sz w:val="14"/>
        </w:rPr>
        <w:t>laboral</w:t>
      </w:r>
      <w:r>
        <w:rPr>
          <w:color w:val="231F20"/>
          <w:spacing w:val="-6"/>
          <w:sz w:val="14"/>
        </w:rPr>
        <w:t> </w:t>
      </w:r>
      <w:r>
        <w:rPr>
          <w:color w:val="231F20"/>
          <w:sz w:val="14"/>
        </w:rPr>
        <w:t>la</w:t>
      </w:r>
      <w:r>
        <w:rPr>
          <w:color w:val="231F20"/>
          <w:spacing w:val="-6"/>
          <w:sz w:val="14"/>
        </w:rPr>
        <w:t> </w:t>
      </w:r>
      <w:r>
        <w:rPr>
          <w:color w:val="231F20"/>
          <w:sz w:val="14"/>
        </w:rPr>
        <w:t>entendemos</w:t>
      </w:r>
      <w:r>
        <w:rPr>
          <w:color w:val="231F20"/>
          <w:spacing w:val="-7"/>
          <w:sz w:val="14"/>
        </w:rPr>
        <w:t> </w:t>
      </w:r>
      <w:r>
        <w:rPr>
          <w:color w:val="231F20"/>
          <w:sz w:val="14"/>
        </w:rPr>
        <w:t>como</w:t>
      </w:r>
      <w:r>
        <w:rPr>
          <w:color w:val="231F20"/>
          <w:spacing w:val="-6"/>
          <w:sz w:val="14"/>
        </w:rPr>
        <w:t> </w:t>
      </w:r>
      <w:r>
        <w:rPr>
          <w:color w:val="231F20"/>
          <w:sz w:val="14"/>
        </w:rPr>
        <w:t>la</w:t>
      </w:r>
      <w:r>
        <w:rPr>
          <w:color w:val="231F20"/>
          <w:spacing w:val="-6"/>
          <w:sz w:val="14"/>
        </w:rPr>
        <w:t> </w:t>
      </w:r>
      <w:r>
        <w:rPr>
          <w:color w:val="231F20"/>
          <w:sz w:val="14"/>
        </w:rPr>
        <w:t>situación</w:t>
      </w:r>
      <w:r>
        <w:rPr>
          <w:color w:val="231F20"/>
          <w:spacing w:val="-6"/>
          <w:sz w:val="14"/>
        </w:rPr>
        <w:t> </w:t>
      </w:r>
      <w:r>
        <w:rPr>
          <w:color w:val="231F20"/>
          <w:sz w:val="14"/>
        </w:rPr>
        <w:t>de</w:t>
      </w:r>
      <w:r>
        <w:rPr>
          <w:color w:val="231F20"/>
          <w:spacing w:val="-6"/>
          <w:sz w:val="14"/>
        </w:rPr>
        <w:t> </w:t>
      </w:r>
      <w:r>
        <w:rPr>
          <w:color w:val="231F20"/>
          <w:sz w:val="14"/>
        </w:rPr>
        <w:t>desprotección</w:t>
      </w:r>
      <w:r>
        <w:rPr>
          <w:color w:val="231F20"/>
          <w:spacing w:val="-6"/>
          <w:sz w:val="14"/>
        </w:rPr>
        <w:t> </w:t>
      </w:r>
      <w:r>
        <w:rPr>
          <w:color w:val="231F20"/>
          <w:sz w:val="14"/>
        </w:rPr>
        <w:t>y</w:t>
      </w:r>
      <w:r>
        <w:rPr>
          <w:color w:val="231F20"/>
          <w:spacing w:val="-6"/>
          <w:sz w:val="14"/>
        </w:rPr>
        <w:t> </w:t>
      </w:r>
      <w:r>
        <w:rPr>
          <w:color w:val="231F20"/>
          <w:sz w:val="14"/>
        </w:rPr>
        <w:t>vulnerabilidad</w:t>
      </w:r>
      <w:r>
        <w:rPr>
          <w:color w:val="231F20"/>
          <w:spacing w:val="-6"/>
          <w:sz w:val="14"/>
        </w:rPr>
        <w:t> </w:t>
      </w:r>
      <w:r>
        <w:rPr>
          <w:color w:val="231F20"/>
          <w:sz w:val="14"/>
        </w:rPr>
        <w:t>de</w:t>
      </w:r>
      <w:r>
        <w:rPr>
          <w:color w:val="231F20"/>
          <w:spacing w:val="-6"/>
          <w:sz w:val="14"/>
        </w:rPr>
        <w:t> </w:t>
      </w:r>
      <w:r>
        <w:rPr>
          <w:color w:val="231F20"/>
          <w:sz w:val="14"/>
        </w:rPr>
        <w:t>los</w:t>
      </w:r>
      <w:r>
        <w:rPr>
          <w:color w:val="231F20"/>
          <w:spacing w:val="-6"/>
          <w:sz w:val="14"/>
        </w:rPr>
        <w:t> </w:t>
      </w:r>
      <w:r>
        <w:rPr>
          <w:color w:val="231F20"/>
          <w:sz w:val="14"/>
        </w:rPr>
        <w:t>traba- jadores, y la medimos a partir de la conjunción de los siguientes criterios: no poseen plan de pensiones, no poseen seguro médico, trabajan por jornadas diarias y no por un contrato estable, y finalmente, en trabajos de tipo </w:t>
      </w:r>
      <w:r>
        <w:rPr>
          <w:i/>
          <w:color w:val="231F20"/>
          <w:sz w:val="14"/>
        </w:rPr>
        <w:t>part time </w:t>
      </w:r>
      <w:r>
        <w:rPr>
          <w:color w:val="231F20"/>
          <w:sz w:val="14"/>
        </w:rPr>
        <w:t>por razones económicas, pero que usualmente tenían un trabajo </w:t>
      </w:r>
      <w:r>
        <w:rPr>
          <w:i/>
          <w:color w:val="231F20"/>
          <w:sz w:val="14"/>
        </w:rPr>
        <w:t>full time</w:t>
      </w:r>
      <w:r>
        <w:rPr>
          <w:color w:val="231F20"/>
          <w:sz w:val="14"/>
        </w:rPr>
        <w:t>. De esta forma, aquellos puestos de trabajo en donde sólo se cubre a lo más una de estas condiciones, los catalogamos como de alta precariedad</w:t>
      </w:r>
      <w:r>
        <w:rPr>
          <w:color w:val="231F20"/>
          <w:spacing w:val="-3"/>
          <w:sz w:val="14"/>
        </w:rPr>
        <w:t> </w:t>
      </w:r>
      <w:r>
        <w:rPr>
          <w:color w:val="231F20"/>
          <w:sz w:val="14"/>
        </w:rPr>
        <w:t>laboral.</w:t>
      </w:r>
    </w:p>
    <w:p>
      <w:pPr>
        <w:spacing w:after="0"/>
        <w:jc w:val="both"/>
        <w:rPr>
          <w:sz w:val="14"/>
        </w:rPr>
        <w:sectPr>
          <w:pgSz w:w="7770" w:h="11740"/>
          <w:pgMar w:header="0" w:footer="474" w:top="820" w:bottom="740" w:left="740" w:right="1020"/>
        </w:sectPr>
      </w:pPr>
    </w:p>
    <w:p>
      <w:pPr>
        <w:spacing w:before="63"/>
        <w:ind w:left="112" w:right="200" w:firstLine="0"/>
        <w:jc w:val="left"/>
        <w:rPr>
          <w:sz w:val="19"/>
        </w:rPr>
      </w:pPr>
      <w:r>
        <w:rPr>
          <w:w w:val="90"/>
          <w:sz w:val="19"/>
        </w:rPr>
        <w:t>Gráfica 11. Estados Unidos, 2005-2013. Precariedad laboral e incidencia</w:t>
      </w:r>
    </w:p>
    <w:p>
      <w:pPr>
        <w:spacing w:before="7"/>
        <w:ind w:left="112" w:right="200" w:firstLine="0"/>
        <w:jc w:val="left"/>
        <w:rPr>
          <w:sz w:val="19"/>
        </w:rPr>
      </w:pPr>
      <w:r>
        <w:rPr>
          <w:w w:val="95"/>
          <w:sz w:val="19"/>
        </w:rPr>
        <w:t>de la pobreza según origen étnico y migratorio de los trabajadores y la población</w:t>
      </w:r>
    </w:p>
    <w:p>
      <w:pPr>
        <w:pStyle w:val="BodyText"/>
        <w:spacing w:before="4"/>
        <w:rPr>
          <w:sz w:val="16"/>
        </w:rPr>
      </w:pPr>
    </w:p>
    <w:p>
      <w:pPr>
        <w:spacing w:after="0"/>
        <w:rPr>
          <w:sz w:val="16"/>
        </w:rPr>
        <w:sectPr>
          <w:footerReference w:type="default" r:id="rId189"/>
          <w:pgSz w:w="7770" w:h="11740"/>
          <w:pgMar w:footer="474" w:header="0" w:top="860" w:bottom="660" w:left="880" w:right="640"/>
          <w:pgNumType w:start="149"/>
        </w:sectPr>
      </w:pPr>
    </w:p>
    <w:p>
      <w:pPr>
        <w:pStyle w:val="BodyText"/>
      </w:pPr>
    </w:p>
    <w:p>
      <w:pPr>
        <w:pStyle w:val="BodyText"/>
        <w:spacing w:before="10"/>
        <w:rPr>
          <w:sz w:val="21"/>
        </w:rPr>
      </w:pPr>
    </w:p>
    <w:p>
      <w:pPr>
        <w:spacing w:before="0"/>
        <w:ind w:left="234" w:right="-18" w:firstLine="0"/>
        <w:jc w:val="left"/>
        <w:rPr>
          <w:sz w:val="19"/>
        </w:rPr>
      </w:pPr>
      <w:r>
        <w:rPr>
          <w:w w:val="90"/>
          <w:sz w:val="19"/>
        </w:rPr>
        <w:t>30%</w:t>
      </w:r>
    </w:p>
    <w:p>
      <w:pPr>
        <w:pStyle w:val="BodyText"/>
        <w:rPr>
          <w:sz w:val="18"/>
        </w:rPr>
      </w:pPr>
      <w:r>
        <w:rPr/>
        <w:br w:type="column"/>
      </w:r>
      <w:r>
        <w:rPr>
          <w:sz w:val="18"/>
        </w:rPr>
      </w:r>
    </w:p>
    <w:p>
      <w:pPr>
        <w:pStyle w:val="BodyText"/>
        <w:rPr>
          <w:sz w:val="18"/>
        </w:rPr>
      </w:pPr>
    </w:p>
    <w:p>
      <w:pPr>
        <w:pStyle w:val="BodyText"/>
        <w:spacing w:before="11"/>
        <w:rPr>
          <w:sz w:val="15"/>
        </w:rPr>
      </w:pPr>
    </w:p>
    <w:p>
      <w:pPr>
        <w:spacing w:before="0"/>
        <w:ind w:left="149" w:right="-17" w:firstLine="0"/>
        <w:jc w:val="left"/>
        <w:rPr>
          <w:sz w:val="17"/>
        </w:rPr>
      </w:pPr>
      <w:r>
        <w:rPr>
          <w:w w:val="90"/>
          <w:sz w:val="17"/>
        </w:rPr>
        <w:t>Afro Americanos</w:t>
      </w:r>
    </w:p>
    <w:p>
      <w:pPr>
        <w:spacing w:before="80"/>
        <w:ind w:left="234" w:right="0" w:firstLine="0"/>
        <w:jc w:val="left"/>
        <w:rPr>
          <w:sz w:val="19"/>
        </w:rPr>
      </w:pPr>
      <w:r>
        <w:rPr/>
        <w:br w:type="column"/>
      </w:r>
      <w:r>
        <w:rPr>
          <w:w w:val="95"/>
          <w:sz w:val="19"/>
        </w:rPr>
        <w:t>Incidencia de la pobreza</w:t>
      </w:r>
    </w:p>
    <w:p>
      <w:pPr>
        <w:spacing w:after="0"/>
        <w:jc w:val="left"/>
        <w:rPr>
          <w:sz w:val="19"/>
        </w:rPr>
        <w:sectPr>
          <w:type w:val="continuous"/>
          <w:pgSz w:w="7770" w:h="11740"/>
          <w:pgMar w:top="0" w:bottom="0" w:left="880" w:right="640"/>
          <w:cols w:num="3" w:equalWidth="0">
            <w:col w:w="550" w:space="40"/>
            <w:col w:w="1219" w:space="247"/>
            <w:col w:w="4194"/>
          </w:cols>
        </w:sectPr>
      </w:pPr>
    </w:p>
    <w:p>
      <w:pPr>
        <w:pStyle w:val="BodyText"/>
        <w:spacing w:before="5"/>
        <w:rPr>
          <w:sz w:val="14"/>
        </w:rPr>
      </w:pPr>
    </w:p>
    <w:p>
      <w:pPr>
        <w:spacing w:after="0"/>
        <w:rPr>
          <w:sz w:val="14"/>
        </w:rPr>
        <w:sectPr>
          <w:type w:val="continuous"/>
          <w:pgSz w:w="7770" w:h="11740"/>
          <w:pgMar w:top="0" w:bottom="0" w:left="880" w:right="640"/>
        </w:sectPr>
      </w:pPr>
    </w:p>
    <w:p>
      <w:pPr>
        <w:spacing w:before="80"/>
        <w:ind w:left="234" w:right="-18" w:firstLine="0"/>
        <w:jc w:val="left"/>
        <w:rPr>
          <w:sz w:val="19"/>
        </w:rPr>
      </w:pPr>
      <w:r>
        <w:rPr/>
        <w:pict>
          <v:shape style="position:absolute;margin-left:86.591019pt;margin-top:21.143167pt;width:100.55pt;height:48pt;mso-position-horizontal-relative:page;mso-position-vertical-relative:paragraph;z-index:-330784" type="#_x0000_t202" filled="false" stroked="false">
            <v:textbox inset="0,0,0,0">
              <w:txbxContent>
                <w:p>
                  <w:pPr>
                    <w:pStyle w:val="BodyText"/>
                    <w:rPr>
                      <w:sz w:val="18"/>
                    </w:rPr>
                  </w:pPr>
                </w:p>
                <w:p>
                  <w:pPr>
                    <w:pStyle w:val="BodyText"/>
                    <w:rPr>
                      <w:sz w:val="18"/>
                    </w:rPr>
                  </w:pPr>
                </w:p>
                <w:p>
                  <w:pPr>
                    <w:pStyle w:val="BodyText"/>
                    <w:rPr>
                      <w:sz w:val="18"/>
                    </w:rPr>
                  </w:pPr>
                </w:p>
                <w:p>
                  <w:pPr>
                    <w:spacing w:before="103"/>
                    <w:ind w:left="391" w:right="0" w:firstLine="0"/>
                    <w:jc w:val="left"/>
                    <w:rPr>
                      <w:sz w:val="17"/>
                    </w:rPr>
                  </w:pPr>
                  <w:r>
                    <w:rPr>
                      <w:sz w:val="17"/>
                    </w:rPr>
                    <w:t>Otros</w:t>
                  </w:r>
                </w:p>
              </w:txbxContent>
            </v:textbox>
            <w10:wrap type="none"/>
          </v:shape>
        </w:pict>
      </w:r>
      <w:r>
        <w:rPr>
          <w:w w:val="90"/>
          <w:sz w:val="19"/>
        </w:rPr>
        <w:t>25%</w:t>
      </w:r>
    </w:p>
    <w:p>
      <w:pPr>
        <w:pStyle w:val="BodyText"/>
        <w:spacing w:before="5"/>
        <w:rPr>
          <w:sz w:val="29"/>
        </w:rPr>
      </w:pPr>
    </w:p>
    <w:p>
      <w:pPr>
        <w:spacing w:before="0"/>
        <w:ind w:left="234" w:right="-18" w:firstLine="0"/>
        <w:jc w:val="left"/>
        <w:rPr>
          <w:sz w:val="19"/>
        </w:rPr>
      </w:pPr>
      <w:r>
        <w:rPr>
          <w:w w:val="90"/>
          <w:sz w:val="19"/>
        </w:rPr>
        <w:t>20%</w:t>
      </w:r>
    </w:p>
    <w:p>
      <w:pPr>
        <w:pStyle w:val="BodyText"/>
      </w:pPr>
      <w:r>
        <w:rPr/>
        <w:br w:type="column"/>
      </w:r>
      <w:r>
        <w:rPr/>
      </w:r>
    </w:p>
    <w:p>
      <w:pPr>
        <w:pStyle w:val="BodyText"/>
        <w:spacing w:before="1"/>
        <w:rPr>
          <w:sz w:val="25"/>
        </w:rPr>
      </w:pPr>
    </w:p>
    <w:p>
      <w:pPr>
        <w:tabs>
          <w:tab w:pos="558" w:val="left" w:leader="none"/>
        </w:tabs>
        <w:spacing w:line="259" w:lineRule="auto" w:before="0"/>
        <w:ind w:left="615" w:right="2331" w:hanging="382"/>
        <w:jc w:val="left"/>
        <w:rPr>
          <w:sz w:val="19"/>
        </w:rPr>
      </w:pPr>
      <w:r>
        <w:rPr>
          <w:sz w:val="19"/>
        </w:rPr>
        <w:t>I</w:t>
        <w:tab/>
      </w:r>
      <w:r>
        <w:rPr>
          <w:w w:val="90"/>
          <w:sz w:val="19"/>
        </w:rPr>
        <w:t>grantes </w:t>
      </w:r>
      <w:r>
        <w:rPr>
          <w:sz w:val="19"/>
        </w:rPr>
        <w:t>inos</w:t>
      </w:r>
    </w:p>
    <w:p>
      <w:pPr>
        <w:spacing w:after="0" w:line="259" w:lineRule="auto"/>
        <w:jc w:val="left"/>
        <w:rPr>
          <w:sz w:val="19"/>
        </w:rPr>
        <w:sectPr>
          <w:type w:val="continuous"/>
          <w:pgSz w:w="7770" w:h="11740"/>
          <w:pgMar w:top="0" w:bottom="0" w:left="880" w:right="640"/>
          <w:cols w:num="2" w:equalWidth="0">
            <w:col w:w="550" w:space="2309"/>
            <w:col w:w="3391"/>
          </w:cols>
        </w:sectPr>
      </w:pPr>
    </w:p>
    <w:p>
      <w:pPr>
        <w:pStyle w:val="BodyText"/>
        <w:rPr>
          <w:sz w:val="11"/>
        </w:rPr>
      </w:pPr>
    </w:p>
    <w:p>
      <w:pPr>
        <w:spacing w:before="80"/>
        <w:ind w:left="234" w:right="200" w:firstLine="0"/>
        <w:jc w:val="left"/>
        <w:rPr>
          <w:sz w:val="19"/>
        </w:rPr>
      </w:pPr>
      <w:r>
        <w:rPr/>
        <w:pict>
          <v:shape style="position:absolute;margin-left:86.591019pt;margin-top:12.243282pt;width:100.55pt;height:32.4500pt;mso-position-horizontal-relative:page;mso-position-vertical-relative:paragraph;z-index:-330760" type="#_x0000_t202" filled="false" stroked="false">
            <v:textbox inset="0,0,0,0">
              <w:txbxContent>
                <w:p>
                  <w:pPr>
                    <w:spacing w:line="179" w:lineRule="exact" w:before="0"/>
                    <w:ind w:left="194" w:right="0" w:firstLine="0"/>
                    <w:jc w:val="left"/>
                    <w:rPr>
                      <w:sz w:val="17"/>
                    </w:rPr>
                  </w:pPr>
                  <w:r>
                    <w:rPr>
                      <w:sz w:val="17"/>
                    </w:rPr>
                    <w:t>Inmigrantes</w:t>
                  </w:r>
                </w:p>
              </w:txbxContent>
            </v:textbox>
            <w10:wrap type="none"/>
          </v:shape>
        </w:pict>
      </w:r>
      <w:r>
        <w:rPr>
          <w:sz w:val="19"/>
        </w:rPr>
        <w:t>15%</w:t>
      </w:r>
    </w:p>
    <w:p>
      <w:pPr>
        <w:pStyle w:val="BodyText"/>
        <w:spacing w:before="5"/>
        <w:rPr>
          <w:sz w:val="22"/>
        </w:rPr>
      </w:pPr>
    </w:p>
    <w:p>
      <w:pPr>
        <w:spacing w:after="0"/>
        <w:rPr>
          <w:sz w:val="22"/>
        </w:rPr>
        <w:sectPr>
          <w:type w:val="continuous"/>
          <w:pgSz w:w="7770" w:h="11740"/>
          <w:pgMar w:top="0" w:bottom="0" w:left="880" w:right="640"/>
        </w:sectPr>
      </w:pPr>
    </w:p>
    <w:p>
      <w:pPr>
        <w:spacing w:before="81"/>
        <w:ind w:left="234" w:right="-18" w:firstLine="0"/>
        <w:jc w:val="left"/>
        <w:rPr>
          <w:sz w:val="19"/>
        </w:rPr>
      </w:pPr>
      <w:r>
        <w:rPr/>
        <w:pict>
          <v:shape style="position:absolute;margin-left:201.498199pt;margin-top:-62.44236pt;width:16.25pt;height:48pt;mso-position-horizontal-relative:page;mso-position-vertical-relative:paragraph;z-index:-330808" type="#_x0000_t202" filled="false" stroked="false">
            <v:textbox inset="0,0,0,0">
              <w:txbxContent>
                <w:p>
                  <w:pPr>
                    <w:spacing w:line="259" w:lineRule="auto" w:before="95"/>
                    <w:ind w:left="95" w:right="-18" w:hanging="96"/>
                    <w:jc w:val="left"/>
                    <w:rPr>
                      <w:sz w:val="19"/>
                    </w:rPr>
                  </w:pPr>
                  <w:r>
                    <w:rPr>
                      <w:sz w:val="19"/>
                    </w:rPr>
                    <w:t>nmi </w:t>
                  </w:r>
                  <w:r>
                    <w:rPr>
                      <w:w w:val="90"/>
                      <w:sz w:val="19"/>
                    </w:rPr>
                    <w:t>Lat</w:t>
                  </w:r>
                </w:p>
              </w:txbxContent>
            </v:textbox>
            <w10:wrap type="none"/>
          </v:shape>
        </w:pict>
      </w:r>
      <w:r>
        <w:rPr>
          <w:w w:val="90"/>
          <w:sz w:val="19"/>
        </w:rPr>
        <w:t>10%</w:t>
      </w:r>
    </w:p>
    <w:p>
      <w:pPr>
        <w:pStyle w:val="BodyText"/>
        <w:spacing w:before="5"/>
        <w:rPr>
          <w:sz w:val="29"/>
        </w:rPr>
      </w:pPr>
    </w:p>
    <w:p>
      <w:pPr>
        <w:spacing w:before="0"/>
        <w:ind w:left="319" w:right="-17" w:firstLine="0"/>
        <w:jc w:val="left"/>
        <w:rPr>
          <w:sz w:val="19"/>
        </w:rPr>
      </w:pPr>
      <w:r>
        <w:rPr>
          <w:w w:val="90"/>
          <w:sz w:val="19"/>
        </w:rPr>
        <w:t>5%</w:t>
      </w:r>
    </w:p>
    <w:p>
      <w:pPr>
        <w:pStyle w:val="BodyText"/>
        <w:rPr>
          <w:sz w:val="18"/>
        </w:rPr>
      </w:pPr>
      <w:r>
        <w:rPr/>
        <w:br w:type="column"/>
      </w:r>
      <w:r>
        <w:rPr>
          <w:sz w:val="18"/>
        </w:rPr>
      </w:r>
    </w:p>
    <w:p>
      <w:pPr>
        <w:pStyle w:val="BodyText"/>
        <w:spacing w:before="10"/>
        <w:rPr>
          <w:sz w:val="14"/>
        </w:rPr>
      </w:pPr>
    </w:p>
    <w:p>
      <w:pPr>
        <w:spacing w:before="0"/>
        <w:ind w:left="347" w:right="3761" w:hanging="114"/>
        <w:jc w:val="left"/>
        <w:rPr>
          <w:sz w:val="17"/>
        </w:rPr>
      </w:pPr>
      <w:r>
        <w:rPr>
          <w:w w:val="95"/>
          <w:sz w:val="17"/>
        </w:rPr>
        <w:t>Blancos no</w:t>
      </w:r>
      <w:r>
        <w:rPr>
          <w:w w:val="90"/>
          <w:sz w:val="17"/>
        </w:rPr>
        <w:t> </w:t>
      </w:r>
      <w:r>
        <w:rPr>
          <w:sz w:val="17"/>
        </w:rPr>
        <w:t>Latinos</w:t>
      </w:r>
    </w:p>
    <w:p>
      <w:pPr>
        <w:spacing w:after="0"/>
        <w:jc w:val="left"/>
        <w:rPr>
          <w:sz w:val="17"/>
        </w:rPr>
        <w:sectPr>
          <w:type w:val="continuous"/>
          <w:pgSz w:w="7770" w:h="11740"/>
          <w:pgMar w:top="0" w:bottom="0" w:left="880" w:right="640"/>
          <w:cols w:num="2" w:equalWidth="0">
            <w:col w:w="550" w:space="493"/>
            <w:col w:w="5207"/>
          </w:cols>
        </w:sectPr>
      </w:pPr>
    </w:p>
    <w:p>
      <w:pPr>
        <w:pStyle w:val="BodyText"/>
        <w:spacing w:before="5"/>
        <w:rPr>
          <w:sz w:val="22"/>
        </w:rPr>
      </w:pPr>
    </w:p>
    <w:p>
      <w:pPr>
        <w:spacing w:before="81"/>
        <w:ind w:left="319" w:right="200" w:firstLine="0"/>
        <w:jc w:val="left"/>
        <w:rPr>
          <w:sz w:val="19"/>
        </w:rPr>
      </w:pPr>
      <w:r>
        <w:rPr>
          <w:sz w:val="19"/>
        </w:rPr>
        <w:t>0%</w:t>
      </w:r>
    </w:p>
    <w:p>
      <w:pPr>
        <w:tabs>
          <w:tab w:pos="1394" w:val="left" w:leader="none"/>
          <w:tab w:pos="1974" w:val="left" w:leader="none"/>
          <w:tab w:pos="2554" w:val="left" w:leader="none"/>
          <w:tab w:pos="3715" w:val="left" w:leader="none"/>
          <w:tab w:pos="4300" w:val="left" w:leader="none"/>
          <w:tab w:pos="4875" w:val="left" w:leader="none"/>
          <w:tab w:pos="5455" w:val="left" w:leader="none"/>
        </w:tabs>
        <w:spacing w:before="15"/>
        <w:ind w:left="814" w:right="200" w:firstLine="0"/>
        <w:jc w:val="left"/>
        <w:rPr>
          <w:sz w:val="19"/>
        </w:rPr>
      </w:pPr>
      <w:r>
        <w:rPr>
          <w:sz w:val="19"/>
        </w:rPr>
        <w:t>2005</w:t>
        <w:tab/>
        <w:t>2006</w:t>
        <w:tab/>
        <w:t>2007</w:t>
        <w:tab/>
        <w:t>2008</w:t>
        <w:tab/>
        <w:t>2010</w:t>
        <w:tab/>
        <w:t>2011</w:t>
        <w:tab/>
        <w:t>2012</w:t>
        <w:tab/>
        <w:t>2013</w:t>
      </w:r>
    </w:p>
    <w:p>
      <w:pPr>
        <w:pStyle w:val="BodyText"/>
        <w:spacing w:before="4"/>
        <w:rPr>
          <w:sz w:val="26"/>
        </w:rPr>
      </w:pPr>
    </w:p>
    <w:p>
      <w:pPr>
        <w:spacing w:before="80"/>
        <w:ind w:left="1502" w:right="200" w:firstLine="0"/>
        <w:jc w:val="left"/>
        <w:rPr>
          <w:sz w:val="19"/>
        </w:rPr>
      </w:pPr>
      <w:r>
        <w:rPr>
          <w:w w:val="90"/>
          <w:sz w:val="19"/>
        </w:rPr>
        <w:t>Población ocupada con alta precariedad laboral</w:t>
      </w:r>
    </w:p>
    <w:p>
      <w:pPr>
        <w:pStyle w:val="BodyText"/>
        <w:spacing w:before="10"/>
        <w:rPr>
          <w:sz w:val="8"/>
        </w:rPr>
      </w:pPr>
    </w:p>
    <w:p>
      <w:pPr>
        <w:spacing w:after="0"/>
        <w:rPr>
          <w:sz w:val="8"/>
        </w:rPr>
        <w:sectPr>
          <w:type w:val="continuous"/>
          <w:pgSz w:w="7770" w:h="11740"/>
          <w:pgMar w:top="0" w:bottom="0" w:left="880" w:right="640"/>
        </w:sectPr>
      </w:pPr>
    </w:p>
    <w:p>
      <w:pPr>
        <w:spacing w:before="81"/>
        <w:ind w:left="234" w:right="-18" w:firstLine="0"/>
        <w:jc w:val="left"/>
        <w:rPr>
          <w:sz w:val="19"/>
        </w:rPr>
      </w:pPr>
      <w:r>
        <w:rPr>
          <w:w w:val="90"/>
          <w:sz w:val="19"/>
        </w:rPr>
        <w:t>22%</w:t>
      </w:r>
    </w:p>
    <w:p>
      <w:pPr>
        <w:spacing w:before="96"/>
        <w:ind w:left="234" w:right="-18" w:firstLine="0"/>
        <w:jc w:val="left"/>
        <w:rPr>
          <w:sz w:val="19"/>
        </w:rPr>
      </w:pPr>
      <w:r>
        <w:rPr>
          <w:w w:val="90"/>
          <w:sz w:val="19"/>
        </w:rPr>
        <w:t>20%</w:t>
      </w:r>
    </w:p>
    <w:p>
      <w:pPr>
        <w:spacing w:before="96"/>
        <w:ind w:left="234" w:right="-18" w:firstLine="0"/>
        <w:jc w:val="left"/>
        <w:rPr>
          <w:sz w:val="19"/>
        </w:rPr>
      </w:pPr>
      <w:r>
        <w:rPr>
          <w:w w:val="90"/>
          <w:sz w:val="19"/>
        </w:rPr>
        <w:t>18%</w:t>
      </w:r>
    </w:p>
    <w:p>
      <w:pPr>
        <w:spacing w:before="96"/>
        <w:ind w:left="234" w:right="-18" w:firstLine="0"/>
        <w:jc w:val="left"/>
        <w:rPr>
          <w:sz w:val="19"/>
        </w:rPr>
      </w:pPr>
      <w:r>
        <w:rPr>
          <w:w w:val="90"/>
          <w:sz w:val="19"/>
        </w:rPr>
        <w:t>16%</w:t>
      </w:r>
    </w:p>
    <w:p>
      <w:pPr>
        <w:spacing w:before="96"/>
        <w:ind w:left="234" w:right="-18" w:firstLine="0"/>
        <w:jc w:val="left"/>
        <w:rPr>
          <w:sz w:val="19"/>
        </w:rPr>
      </w:pPr>
      <w:r>
        <w:rPr>
          <w:w w:val="90"/>
          <w:sz w:val="19"/>
        </w:rPr>
        <w:t>14%</w:t>
      </w:r>
    </w:p>
    <w:p>
      <w:pPr>
        <w:spacing w:before="96"/>
        <w:ind w:left="234" w:right="-18" w:firstLine="0"/>
        <w:jc w:val="left"/>
        <w:rPr>
          <w:sz w:val="19"/>
        </w:rPr>
      </w:pPr>
      <w:r>
        <w:rPr>
          <w:w w:val="90"/>
          <w:sz w:val="19"/>
        </w:rPr>
        <w:t>12%</w:t>
      </w:r>
    </w:p>
    <w:p>
      <w:pPr>
        <w:spacing w:before="96"/>
        <w:ind w:left="234" w:right="-18" w:firstLine="0"/>
        <w:jc w:val="left"/>
        <w:rPr>
          <w:sz w:val="19"/>
        </w:rPr>
      </w:pPr>
      <w:r>
        <w:rPr>
          <w:w w:val="90"/>
          <w:sz w:val="19"/>
        </w:rPr>
        <w:t>10%</w:t>
      </w:r>
    </w:p>
    <w:p>
      <w:pPr>
        <w:spacing w:before="96"/>
        <w:ind w:left="319" w:right="-17" w:firstLine="0"/>
        <w:jc w:val="left"/>
        <w:rPr>
          <w:sz w:val="19"/>
        </w:rPr>
      </w:pPr>
      <w:r>
        <w:rPr>
          <w:w w:val="90"/>
          <w:sz w:val="19"/>
        </w:rPr>
        <w:t>8%</w:t>
      </w:r>
    </w:p>
    <w:p>
      <w:pPr>
        <w:spacing w:before="96"/>
        <w:ind w:left="319" w:right="-17" w:firstLine="0"/>
        <w:jc w:val="left"/>
        <w:rPr>
          <w:sz w:val="19"/>
        </w:rPr>
      </w:pPr>
      <w:r>
        <w:rPr>
          <w:w w:val="90"/>
          <w:sz w:val="19"/>
        </w:rPr>
        <w:t>6%</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
      </w:pPr>
    </w:p>
    <w:p>
      <w:pPr>
        <w:spacing w:before="0"/>
        <w:ind w:left="234" w:right="-2" w:firstLine="0"/>
        <w:jc w:val="left"/>
        <w:rPr>
          <w:sz w:val="15"/>
        </w:rPr>
      </w:pPr>
      <w:r>
        <w:rPr>
          <w:w w:val="90"/>
          <w:sz w:val="15"/>
        </w:rPr>
        <w:t>Otros Inmigrantes</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2"/>
      </w:pPr>
    </w:p>
    <w:p>
      <w:pPr>
        <w:spacing w:before="0"/>
        <w:ind w:left="371" w:right="-11" w:hanging="138"/>
        <w:jc w:val="left"/>
        <w:rPr>
          <w:sz w:val="17"/>
        </w:rPr>
      </w:pPr>
      <w:r>
        <w:rPr/>
        <w:pict>
          <v:shape style="position:absolute;margin-left:200.751511pt;margin-top:-136.536713pt;width:17.2pt;height:108.7pt;mso-position-horizontal-relative:page;mso-position-vertical-relative:paragraph;z-index:-330736" type="#_x0000_t202" filled="false" stroked="false">
            <v:textbox inset="0,0,0,0">
              <w:txbxContent>
                <w:p>
                  <w:pPr>
                    <w:pStyle w:val="BodyText"/>
                  </w:pPr>
                </w:p>
                <w:p>
                  <w:pPr>
                    <w:pStyle w:val="BodyText"/>
                  </w:pPr>
                </w:p>
                <w:p>
                  <w:pPr>
                    <w:pStyle w:val="BodyText"/>
                  </w:pPr>
                </w:p>
                <w:p>
                  <w:pPr>
                    <w:pStyle w:val="BodyText"/>
                    <w:spacing w:before="1"/>
                    <w:rPr>
                      <w:sz w:val="23"/>
                    </w:rPr>
                  </w:pPr>
                </w:p>
                <w:p>
                  <w:pPr>
                    <w:spacing w:before="0"/>
                    <w:ind w:left="0" w:right="-18" w:firstLine="0"/>
                    <w:jc w:val="left"/>
                    <w:rPr>
                      <w:sz w:val="19"/>
                    </w:rPr>
                  </w:pPr>
                  <w:r>
                    <w:rPr>
                      <w:w w:val="90"/>
                      <w:sz w:val="19"/>
                    </w:rPr>
                    <w:t>2009</w:t>
                  </w:r>
                </w:p>
              </w:txbxContent>
            </v:textbox>
            <w10:wrap type="none"/>
          </v:shape>
        </w:pict>
      </w:r>
      <w:r>
        <w:rPr>
          <w:w w:val="90"/>
          <w:sz w:val="17"/>
        </w:rPr>
        <w:t>Inmigrantes </w:t>
      </w:r>
      <w:r>
        <w:rPr>
          <w:sz w:val="17"/>
        </w:rPr>
        <w:t>Latinos</w:t>
      </w:r>
    </w:p>
    <w:p>
      <w:pPr>
        <w:pStyle w:val="BodyText"/>
      </w:pPr>
      <w:r>
        <w:rPr/>
        <w:br w:type="column"/>
      </w:r>
      <w:r>
        <w:rPr/>
      </w:r>
    </w:p>
    <w:p>
      <w:pPr>
        <w:pStyle w:val="BodyText"/>
      </w:pPr>
    </w:p>
    <w:p>
      <w:pPr>
        <w:pStyle w:val="BodyText"/>
      </w:pPr>
    </w:p>
    <w:p>
      <w:pPr>
        <w:pStyle w:val="BodyText"/>
      </w:pPr>
    </w:p>
    <w:p>
      <w:pPr>
        <w:pStyle w:val="BodyText"/>
      </w:pPr>
    </w:p>
    <w:p>
      <w:pPr>
        <w:pStyle w:val="BodyText"/>
      </w:pPr>
    </w:p>
    <w:p>
      <w:pPr>
        <w:spacing w:line="259" w:lineRule="auto" w:before="177"/>
        <w:ind w:left="234" w:right="456" w:firstLine="252"/>
        <w:jc w:val="left"/>
        <w:rPr>
          <w:sz w:val="19"/>
        </w:rPr>
      </w:pPr>
      <w:r>
        <w:rPr>
          <w:sz w:val="19"/>
        </w:rPr>
        <w:t>Afro </w:t>
      </w:r>
      <w:r>
        <w:rPr>
          <w:w w:val="90"/>
          <w:sz w:val="19"/>
        </w:rPr>
        <w:t>Americanos</w:t>
      </w:r>
    </w:p>
    <w:p>
      <w:pPr>
        <w:spacing w:after="0" w:line="259" w:lineRule="auto"/>
        <w:jc w:val="left"/>
        <w:rPr>
          <w:sz w:val="19"/>
        </w:rPr>
        <w:sectPr>
          <w:type w:val="continuous"/>
          <w:pgSz w:w="7770" w:h="11740"/>
          <w:pgMar w:top="0" w:bottom="0" w:left="880" w:right="640"/>
          <w:cols w:num="4" w:equalWidth="0">
            <w:col w:w="550" w:space="1003"/>
            <w:col w:w="1231" w:space="884"/>
            <w:col w:w="973" w:space="72"/>
            <w:col w:w="1537"/>
          </w:cols>
        </w:sectPr>
      </w:pPr>
    </w:p>
    <w:p>
      <w:pPr>
        <w:spacing w:line="141" w:lineRule="exact" w:before="9"/>
        <w:ind w:left="0" w:right="933" w:firstLine="0"/>
        <w:jc w:val="right"/>
        <w:rPr>
          <w:sz w:val="17"/>
        </w:rPr>
      </w:pPr>
      <w:r>
        <w:rPr/>
        <w:pict>
          <v:group style="position:absolute;margin-left:49.314114pt;margin-top:71.986534pt;width:302.05pt;height:462.85pt;mso-position-horizontal-relative:page;mso-position-vertical-relative:page;z-index:-330712" coordorigin="986,1440" coordsize="6041,9257">
            <v:shape style="position:absolute;left:-58;top:11677;width:6134;height:3476" coordorigin="-58,11677" coordsize="6134,3476" path="m1575,5497l1575,2152m1526,5497l1575,5497m1526,4938l1575,4938m1526,4384l1575,4384m1526,3825l1575,3825m1526,3266l1575,3266m1526,2711l1575,2711m1526,2152l1575,2152m1575,5497l6796,5497m1575,5497l1575,5554m2157,5497l2157,5554m2734,5497l2734,5554m3316,5497l3316,5554m3897,5497l3897,5554m4475,5497l4475,5554m5056,5497l5056,5554m5638,5497l5638,5554m6215,5497l6215,5554m6796,5497l6796,5554e" filled="false" stroked="true" strokeweight=".459518pt" strokecolor="#000000">
              <v:path arrowok="t"/>
            </v:shape>
            <v:shape style="position:absolute;left:0;top:10127;width:5403;height:2256" coordorigin="0,10127" coordsize="5403,2256" path="m1864,2974l2445,3120,3027,3298,3604,3078,4767,2702,5345,2570,5926,2772,6506,2688m1864,4248l2445,4248,3027,4332,3604,4290,4186,4182,4767,4111,5345,4041,5926,4022,6506,4027m1864,2650l2445,2598,3027,2739,3604,2683,4186,2636,4767,2542,5345,2340,5926,2354,6506,2368m1864,4506l2445,4525,3027,4539,3604,4548,4186,4492,4767,4412,5345,4360,5926,4365,6506,4389e" filled="false" stroked="true" strokeweight=".919037pt" strokecolor="#000000">
              <v:path arrowok="t"/>
            </v:shape>
            <v:rect style="position:absolute;left:994;top:1447;width:6025;height:4538" filled="false" stroked="true" strokeweight=".701672pt" strokecolor="#000000"/>
            <v:shape style="position:absolute;left:4636;top:2229;width:2011;height:724" type="#_x0000_t75" stroked="false">
              <v:imagedata r:id="rId190" o:title=""/>
            </v:shape>
            <v:shape style="position:absolute;left:4653;top:3912;width:1976;height:626" type="#_x0000_t75" stroked="false">
              <v:imagedata r:id="rId191" o:title=""/>
            </v:shape>
            <v:shape style="position:absolute;left:1732;top:2483;width:2010;height:2193" type="#_x0000_t75" stroked="false">
              <v:imagedata r:id="rId192" o:title=""/>
            </v:shape>
            <v:shape style="position:absolute;left:-58;top:11678;width:6134;height:3600" coordorigin="-58,11678" coordsize="6134,3600" path="m1575,10201l1575,6733m1526,10201l1575,10201m1526,9886l1575,9886m1526,9571l1575,9571m1526,9256l1575,9256m1526,8942l1575,8942m1526,8627l1575,8627m1526,8307l1575,8307m1526,7992l1575,7992m1526,7678l1575,7678m1526,7363l1575,7363m1526,7048l1575,7048m1526,6733l1575,6733m1575,10201l6796,10201m1575,10201l1575,10257m2157,10201l2157,10257m2734,10201l2734,10257m3316,10201l3316,10257m3897,10201l3897,10257m4475,10201l4475,10257m5056,10201l5056,10257m5638,10201l5638,10257m6215,10201l6215,10257m6796,10201l6796,10257e" filled="false" stroked="true" strokeweight=".459518pt" strokecolor="#000000">
              <v:path arrowok="t"/>
            </v:shape>
            <v:shape style="position:absolute;left:1864;top:6963;width:4642;height:1291" coordorigin="1864,6963" coordsize="4642,1291" path="m1864,8138l2445,8253,3027,8204,3604,8039,4186,6963,4767,6963,5345,7194,5926,7429,6506,7612e" filled="false" stroked="true" strokeweight=".9703pt" strokecolor="#000000">
              <v:path arrowok="t"/>
            </v:shape>
            <v:line style="position:absolute" from="4766,8995" to="5346,8956" stroked="true" strokeweight=".978342pt" strokecolor="#000000">
              <v:stroke dashstyle="longDash"/>
            </v:line>
            <v:shape style="position:absolute;left:0;top:11591;width:5403;height:500" coordorigin="0,11591" coordsize="5403,500" path="m1864,9303l2445,9341,3027,9444,3604,9332,4186,9120,4767,8993m5345,8956l5926,8993,6506,9097e" filled="false" stroked="true" strokeweight=".919037pt" strokecolor="#000000">
              <v:path arrowok="t"/>
            </v:shape>
            <v:shape style="position:absolute;left:1864;top:8561;width:4642;height:460" coordorigin="1864,8561" coordsize="4642,460" path="m1864,9003l2445,9020,3027,8918,3604,8904,4186,8707,4767,8617,5345,8561,5926,8693,6506,8627e" filled="false" stroked="true" strokeweight=".977721pt" strokecolor="#000000">
              <v:path arrowok="t"/>
              <v:stroke dashstyle="dash"/>
            </v:shape>
            <v:shape style="position:absolute;left:1864;top:9083;width:4642;height:301" coordorigin="1864,9083" coordsize="4642,301" path="m1864,9355l3027,9383,3604,9350,4186,9144,4767,9083,5345,9083,5926,9129,6506,9125e" filled="false" stroked="true" strokeweight=".978382pt" strokecolor="#000000">
              <v:path arrowok="t"/>
              <v:stroke dashstyle="dash"/>
            </v:shape>
            <v:shape style="position:absolute;left:4653;top:6849;width:1976;height:940" type="#_x0000_t75" stroked="false">
              <v:imagedata r:id="rId193" o:title=""/>
            </v:shape>
            <v:shape style="position:absolute;left:1749;top:7926;width:1976;height:509" type="#_x0000_t75" stroked="false">
              <v:imagedata r:id="rId194" o:title=""/>
            </v:shape>
            <v:shape style="position:absolute;left:4052;top:2522;width:258;height:6324" type="#_x0000_t75" stroked="false">
              <v:imagedata r:id="rId195" o:title=""/>
            </v:shape>
            <v:shape style="position:absolute;left:1680;top:8846;width:5018;height:783" type="#_x0000_t75" stroked="false">
              <v:imagedata r:id="rId196" o:title=""/>
            </v:shape>
            <v:rect style="position:absolute;left:994;top:6028;width:6025;height:4660" filled="false" stroked="true" strokeweight=".700561pt" strokecolor="#000000"/>
            <w10:wrap type="none"/>
          </v:group>
        </w:pict>
      </w:r>
      <w:r>
        <w:rPr>
          <w:w w:val="90"/>
          <w:sz w:val="17"/>
        </w:rPr>
        <w:t>Blancos no</w:t>
      </w:r>
    </w:p>
    <w:p>
      <w:pPr>
        <w:tabs>
          <w:tab w:pos="4733" w:val="left" w:leader="none"/>
        </w:tabs>
        <w:spacing w:line="250" w:lineRule="exact" w:before="0"/>
        <w:ind w:left="319" w:right="200" w:firstLine="0"/>
        <w:jc w:val="left"/>
        <w:rPr>
          <w:sz w:val="17"/>
        </w:rPr>
      </w:pPr>
      <w:r>
        <w:rPr>
          <w:position w:val="9"/>
          <w:sz w:val="19"/>
        </w:rPr>
        <w:t>4%</w:t>
        <w:tab/>
      </w:r>
      <w:r>
        <w:rPr>
          <w:sz w:val="17"/>
        </w:rPr>
        <w:t>Latinos</w:t>
      </w:r>
    </w:p>
    <w:p>
      <w:pPr>
        <w:spacing w:before="11"/>
        <w:ind w:left="319" w:right="200" w:firstLine="0"/>
        <w:jc w:val="left"/>
        <w:rPr>
          <w:sz w:val="19"/>
        </w:rPr>
      </w:pPr>
      <w:r>
        <w:rPr>
          <w:sz w:val="19"/>
        </w:rPr>
        <w:t>2%</w:t>
      </w:r>
    </w:p>
    <w:p>
      <w:pPr>
        <w:spacing w:before="96"/>
        <w:ind w:left="319" w:right="200" w:firstLine="0"/>
        <w:jc w:val="left"/>
        <w:rPr>
          <w:sz w:val="19"/>
        </w:rPr>
      </w:pPr>
      <w:r>
        <w:rPr>
          <w:sz w:val="19"/>
        </w:rPr>
        <w:t>0%</w:t>
      </w:r>
    </w:p>
    <w:p>
      <w:pPr>
        <w:tabs>
          <w:tab w:pos="1394" w:val="left" w:leader="none"/>
          <w:tab w:pos="1974" w:val="left" w:leader="none"/>
          <w:tab w:pos="2554" w:val="left" w:leader="none"/>
          <w:tab w:pos="3134" w:val="left" w:leader="none"/>
          <w:tab w:pos="3715" w:val="left" w:leader="none"/>
          <w:tab w:pos="4300" w:val="left" w:leader="none"/>
          <w:tab w:pos="4875" w:val="left" w:leader="none"/>
          <w:tab w:pos="5455" w:val="left" w:leader="none"/>
        </w:tabs>
        <w:spacing w:before="15"/>
        <w:ind w:left="814" w:right="200" w:firstLine="0"/>
        <w:jc w:val="left"/>
        <w:rPr>
          <w:sz w:val="19"/>
        </w:rPr>
      </w:pPr>
      <w:r>
        <w:rPr>
          <w:sz w:val="19"/>
        </w:rPr>
        <w:t>2005</w:t>
        <w:tab/>
        <w:t>2006</w:t>
        <w:tab/>
        <w:t>2007</w:t>
        <w:tab/>
        <w:t>2008</w:t>
        <w:tab/>
        <w:t>2009</w:t>
        <w:tab/>
        <w:t>2010</w:t>
        <w:tab/>
        <w:t>2011</w:t>
        <w:tab/>
        <w:t>2012</w:t>
        <w:tab/>
        <w:t>2013</w:t>
      </w:r>
    </w:p>
    <w:p>
      <w:pPr>
        <w:pStyle w:val="BodyText"/>
        <w:spacing w:before="8"/>
        <w:rPr>
          <w:sz w:val="15"/>
        </w:rPr>
      </w:pPr>
    </w:p>
    <w:p>
      <w:pPr>
        <w:spacing w:before="0"/>
        <w:ind w:left="112" w:right="200" w:firstLine="0"/>
        <w:jc w:val="left"/>
        <w:rPr>
          <w:sz w:val="15"/>
        </w:rPr>
      </w:pPr>
      <w:r>
        <w:rPr>
          <w:w w:val="95"/>
          <w:sz w:val="15"/>
        </w:rPr>
        <w:t>Fuente: Current Population Survey, March Supplement (CPS).</w:t>
      </w:r>
    </w:p>
    <w:p>
      <w:pPr>
        <w:spacing w:after="0"/>
        <w:jc w:val="left"/>
        <w:rPr>
          <w:sz w:val="15"/>
        </w:rPr>
        <w:sectPr>
          <w:type w:val="continuous"/>
          <w:pgSz w:w="7770" w:h="11740"/>
          <w:pgMar w:top="0" w:bottom="0" w:left="880" w:right="640"/>
        </w:sectPr>
      </w:pPr>
    </w:p>
    <w:p>
      <w:pPr>
        <w:pStyle w:val="BodyText"/>
        <w:spacing w:line="249" w:lineRule="auto" w:before="46"/>
        <w:ind w:left="110" w:right="111" w:firstLine="283"/>
        <w:jc w:val="both"/>
      </w:pPr>
      <w:r>
        <w:rPr>
          <w:color w:val="231F20"/>
        </w:rPr>
        <w:t>En el caso de los trabajadores afroamericanos, por su parte, la situa- ción es algo ambigua. Si bien la recuperación económica no parece me- jorar mayormente los niveles de protección laboral, estos sin embargo, no eran muy distintos a los que prevalecían en los años previos la crisis económica.</w:t>
      </w:r>
    </w:p>
    <w:p>
      <w:pPr>
        <w:pStyle w:val="BodyText"/>
        <w:spacing w:line="249" w:lineRule="auto" w:before="1"/>
        <w:ind w:left="110" w:right="111" w:firstLine="283"/>
        <w:jc w:val="both"/>
      </w:pPr>
      <w:r>
        <w:rPr>
          <w:color w:val="231F20"/>
        </w:rPr>
        <w:t>Finalmente, en el caso de los inmigrantes latinoamericanos, aunque se logra una importante mejoría en sus condiciones laborales, el nivel  de precariedad aún se mantiene muy por encima del prevaleciente en  los años previos a la crisis. De hecho, si se considera la situación al año 2013, vemos que este estamento de la fuerza de trabajo continua siendo con</w:t>
      </w:r>
      <w:r>
        <w:rPr>
          <w:color w:val="231F20"/>
          <w:spacing w:val="-5"/>
        </w:rPr>
        <w:t> </w:t>
      </w:r>
      <w:r>
        <w:rPr>
          <w:color w:val="231F20"/>
        </w:rPr>
        <w:t>mucho,</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enfrenta</w:t>
      </w:r>
      <w:r>
        <w:rPr>
          <w:color w:val="231F20"/>
          <w:spacing w:val="-5"/>
        </w:rPr>
        <w:t> </w:t>
      </w:r>
      <w:r>
        <w:rPr>
          <w:color w:val="231F20"/>
        </w:rPr>
        <w:t>los</w:t>
      </w:r>
      <w:r>
        <w:rPr>
          <w:color w:val="231F20"/>
          <w:spacing w:val="-5"/>
        </w:rPr>
        <w:t> </w:t>
      </w:r>
      <w:r>
        <w:rPr>
          <w:color w:val="231F20"/>
        </w:rPr>
        <w:t>mayores</w:t>
      </w:r>
      <w:r>
        <w:rPr>
          <w:color w:val="231F20"/>
          <w:spacing w:val="-5"/>
        </w:rPr>
        <w:t> </w:t>
      </w:r>
      <w:r>
        <w:rPr>
          <w:color w:val="231F20"/>
        </w:rPr>
        <w:t>niveles</w:t>
      </w:r>
      <w:r>
        <w:rPr>
          <w:color w:val="231F20"/>
          <w:spacing w:val="-5"/>
        </w:rPr>
        <w:t> </w:t>
      </w:r>
      <w:r>
        <w:rPr>
          <w:color w:val="231F20"/>
        </w:rPr>
        <w:t>de</w:t>
      </w:r>
      <w:r>
        <w:rPr>
          <w:color w:val="231F20"/>
          <w:spacing w:val="-5"/>
        </w:rPr>
        <w:t> </w:t>
      </w:r>
      <w:r>
        <w:rPr>
          <w:color w:val="231F20"/>
        </w:rPr>
        <w:t>precariedad</w:t>
      </w:r>
      <w:r>
        <w:rPr>
          <w:color w:val="231F20"/>
          <w:spacing w:val="-5"/>
        </w:rPr>
        <w:t> </w:t>
      </w:r>
      <w:r>
        <w:rPr>
          <w:color w:val="231F20"/>
        </w:rPr>
        <w:t>y</w:t>
      </w:r>
      <w:r>
        <w:rPr>
          <w:color w:val="231F20"/>
          <w:spacing w:val="-5"/>
        </w:rPr>
        <w:t> </w:t>
      </w:r>
      <w:r>
        <w:rPr>
          <w:color w:val="231F20"/>
        </w:rPr>
        <w:t>despro- tección</w:t>
      </w:r>
      <w:r>
        <w:rPr>
          <w:color w:val="231F20"/>
          <w:spacing w:val="-1"/>
        </w:rPr>
        <w:t> </w:t>
      </w:r>
      <w:r>
        <w:rPr>
          <w:color w:val="231F20"/>
        </w:rPr>
        <w:t>laboral.</w:t>
      </w:r>
    </w:p>
    <w:p>
      <w:pPr>
        <w:pStyle w:val="BodyText"/>
        <w:spacing w:line="249" w:lineRule="auto" w:before="1"/>
        <w:ind w:left="110" w:right="110" w:firstLine="283"/>
        <w:jc w:val="both"/>
      </w:pPr>
      <w:r>
        <w:rPr>
          <w:color w:val="231F20"/>
        </w:rPr>
        <w:t>Esta mayor afectación que sufren los inmigrantes latinoamericanos en sus condiciones laborales, se manifiesta también en una mayor afec- tación en sus condiciones de vida. En concreto, como efecto directo de la crisis económica y precarización de sus condiciones laborales, la in- cidencia de la pobreza en este grupo sociodemográfico no sólo se in- crementa significativamente, pasándose de 20 por ciento en 2007 a 25 por ciento en 2010 y 26 por ciento en 2011, sino que además, revierte   lo que este grupo social había avanzado en los años anteriores a la cri- sis, cuando había logrado reducir la incidencia de la pobreza de 23 por ciento en 2005 a 20 por ciento en 2007. Asimismo, a partir de 2011, y a pesar de la recuperación de la actividad económica, el nivel de pobreza se mantiene estable alrededor de 25 por ciento. De esta forma, se tiene que actualmente la pobreza alcanza ya a uno de cada cuatro inmigrantes latinoamericanos residentes en Estados</w:t>
      </w:r>
      <w:r>
        <w:rPr>
          <w:color w:val="231F20"/>
          <w:spacing w:val="-10"/>
        </w:rPr>
        <w:t> </w:t>
      </w:r>
      <w:r>
        <w:rPr>
          <w:color w:val="231F20"/>
        </w:rPr>
        <w:t>Unidos.</w:t>
      </w:r>
    </w:p>
    <w:p>
      <w:pPr>
        <w:pStyle w:val="BodyText"/>
        <w:spacing w:line="249" w:lineRule="auto" w:before="1"/>
        <w:ind w:left="110" w:right="111" w:firstLine="283"/>
        <w:jc w:val="both"/>
      </w:pPr>
      <w:r>
        <w:rPr>
          <w:color w:val="231F20"/>
        </w:rPr>
        <w:t>Resulta igualmente curioso que en la población negra no hispana (afroamericanos), que ha sido tradicionalmente el grupo con mayor</w:t>
      </w:r>
      <w:r>
        <w:rPr>
          <w:color w:val="231F20"/>
          <w:spacing w:val="-22"/>
        </w:rPr>
        <w:t> </w:t>
      </w:r>
      <w:r>
        <w:rPr>
          <w:color w:val="231F20"/>
        </w:rPr>
        <w:t>inci- dencia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pobreza,</w:t>
      </w:r>
      <w:r>
        <w:rPr>
          <w:color w:val="231F20"/>
          <w:spacing w:val="-14"/>
        </w:rPr>
        <w:t> </w:t>
      </w:r>
      <w:r>
        <w:rPr>
          <w:color w:val="231F20"/>
        </w:rPr>
        <w:t>ésta</w:t>
      </w:r>
      <w:r>
        <w:rPr>
          <w:color w:val="231F20"/>
          <w:spacing w:val="-14"/>
        </w:rPr>
        <w:t> </w:t>
      </w:r>
      <w:r>
        <w:rPr>
          <w:color w:val="231F20"/>
        </w:rPr>
        <w:t>sin</w:t>
      </w:r>
      <w:r>
        <w:rPr>
          <w:color w:val="231F20"/>
          <w:spacing w:val="-14"/>
        </w:rPr>
        <w:t> </w:t>
      </w:r>
      <w:r>
        <w:rPr>
          <w:color w:val="231F20"/>
        </w:rPr>
        <w:t>embargo</w:t>
      </w:r>
      <w:r>
        <w:rPr>
          <w:color w:val="231F20"/>
          <w:spacing w:val="-14"/>
        </w:rPr>
        <w:t> </w:t>
      </w:r>
      <w:r>
        <w:rPr>
          <w:color w:val="231F20"/>
        </w:rPr>
        <w:t>no</w:t>
      </w:r>
      <w:r>
        <w:rPr>
          <w:color w:val="231F20"/>
          <w:spacing w:val="-14"/>
        </w:rPr>
        <w:t> </w:t>
      </w:r>
      <w:r>
        <w:rPr>
          <w:color w:val="231F20"/>
        </w:rPr>
        <w:t>se</w:t>
      </w:r>
      <w:r>
        <w:rPr>
          <w:color w:val="231F20"/>
          <w:spacing w:val="-14"/>
        </w:rPr>
        <w:t> </w:t>
      </w:r>
      <w:r>
        <w:rPr>
          <w:color w:val="231F20"/>
        </w:rPr>
        <w:t>haya</w:t>
      </w:r>
      <w:r>
        <w:rPr>
          <w:color w:val="231F20"/>
          <w:spacing w:val="-14"/>
        </w:rPr>
        <w:t> </w:t>
      </w:r>
      <w:r>
        <w:rPr>
          <w:color w:val="231F20"/>
        </w:rPr>
        <w:t>incrementado</w:t>
      </w:r>
      <w:r>
        <w:rPr>
          <w:color w:val="231F20"/>
          <w:spacing w:val="-14"/>
        </w:rPr>
        <w:t> </w:t>
      </w:r>
      <w:r>
        <w:rPr>
          <w:color w:val="231F20"/>
        </w:rPr>
        <w:t>significa- tivamente</w:t>
      </w:r>
      <w:r>
        <w:rPr>
          <w:color w:val="231F20"/>
          <w:spacing w:val="-11"/>
        </w:rPr>
        <w:t> </w:t>
      </w:r>
      <w:r>
        <w:rPr>
          <w:color w:val="231F20"/>
        </w:rPr>
        <w:t>como</w:t>
      </w:r>
      <w:r>
        <w:rPr>
          <w:color w:val="231F20"/>
          <w:spacing w:val="-10"/>
        </w:rPr>
        <w:t> </w:t>
      </w:r>
      <w:r>
        <w:rPr>
          <w:color w:val="231F20"/>
        </w:rPr>
        <w:t>resultado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crisis</w:t>
      </w:r>
      <w:r>
        <w:rPr>
          <w:color w:val="231F20"/>
          <w:spacing w:val="-11"/>
        </w:rPr>
        <w:t> </w:t>
      </w:r>
      <w:r>
        <w:rPr>
          <w:color w:val="231F20"/>
        </w:rPr>
        <w:t>económica.</w:t>
      </w:r>
      <w:r>
        <w:rPr>
          <w:color w:val="231F20"/>
          <w:spacing w:val="-11"/>
        </w:rPr>
        <w:t> </w:t>
      </w:r>
      <w:r>
        <w:rPr>
          <w:color w:val="231F20"/>
        </w:rPr>
        <w:t>De</w:t>
      </w:r>
      <w:r>
        <w:rPr>
          <w:color w:val="231F20"/>
          <w:spacing w:val="-10"/>
        </w:rPr>
        <w:t> </w:t>
      </w:r>
      <w:r>
        <w:rPr>
          <w:color w:val="231F20"/>
        </w:rPr>
        <w:t>hecho</w:t>
      </w:r>
      <w:r>
        <w:rPr>
          <w:color w:val="231F20"/>
          <w:spacing w:val="-10"/>
        </w:rPr>
        <w:t> </w:t>
      </w:r>
      <w:r>
        <w:rPr>
          <w:color w:val="231F20"/>
        </w:rPr>
        <w:t>la</w:t>
      </w:r>
      <w:r>
        <w:rPr>
          <w:color w:val="231F20"/>
          <w:spacing w:val="-10"/>
        </w:rPr>
        <w:t> </w:t>
      </w:r>
      <w:r>
        <w:rPr>
          <w:color w:val="231F20"/>
        </w:rPr>
        <w:t>proporción de la población afroamericana en situación de pobreza se incrementó en menos de tres puntos porcentuales entre 2006 y 2011. Sin embargo, al igual que en el caso de los inmigrantes latinoamericanos, la población afroamericana tampoco se ha visto beneficiada por la recuperación de la actividad económica, manteniéndose por sobre 28 por ciento el nivel de incidencia de la</w:t>
      </w:r>
      <w:r>
        <w:rPr>
          <w:color w:val="231F20"/>
          <w:spacing w:val="-1"/>
        </w:rPr>
        <w:t> </w:t>
      </w:r>
      <w:r>
        <w:rPr>
          <w:color w:val="231F20"/>
        </w:rPr>
        <w:t>pobreza.</w:t>
      </w:r>
    </w:p>
    <w:p>
      <w:pPr>
        <w:pStyle w:val="BodyText"/>
        <w:spacing w:line="249" w:lineRule="auto" w:before="1"/>
        <w:ind w:left="110" w:right="111" w:firstLine="283"/>
        <w:jc w:val="both"/>
      </w:pP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blanca</w:t>
      </w:r>
      <w:r>
        <w:rPr>
          <w:color w:val="231F20"/>
          <w:spacing w:val="-7"/>
        </w:rPr>
        <w:t> </w:t>
      </w:r>
      <w:r>
        <w:rPr>
          <w:color w:val="231F20"/>
        </w:rPr>
        <w:t>no</w:t>
      </w:r>
      <w:r>
        <w:rPr>
          <w:color w:val="231F20"/>
          <w:spacing w:val="-7"/>
        </w:rPr>
        <w:t> </w:t>
      </w:r>
      <w:r>
        <w:rPr>
          <w:color w:val="231F20"/>
        </w:rPr>
        <w:t>latina,</w:t>
      </w:r>
      <w:r>
        <w:rPr>
          <w:color w:val="231F20"/>
          <w:spacing w:val="-8"/>
        </w:rPr>
        <w:t> </w:t>
      </w:r>
      <w:r>
        <w:rPr>
          <w:color w:val="231F20"/>
        </w:rPr>
        <w:t>así</w:t>
      </w:r>
      <w:r>
        <w:rPr>
          <w:color w:val="231F20"/>
          <w:spacing w:val="-7"/>
        </w:rPr>
        <w:t> </w:t>
      </w:r>
      <w:r>
        <w:rPr>
          <w:color w:val="231F20"/>
        </w:rPr>
        <w:t>como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inmigran- tes</w:t>
      </w:r>
      <w:r>
        <w:rPr>
          <w:color w:val="231F20"/>
          <w:spacing w:val="-11"/>
        </w:rPr>
        <w:t> </w:t>
      </w:r>
      <w:r>
        <w:rPr>
          <w:color w:val="231F20"/>
        </w:rPr>
        <w:t>no</w:t>
      </w:r>
      <w:r>
        <w:rPr>
          <w:color w:val="231F20"/>
          <w:spacing w:val="-11"/>
        </w:rPr>
        <w:t> </w:t>
      </w:r>
      <w:r>
        <w:rPr>
          <w:color w:val="231F20"/>
        </w:rPr>
        <w:t>latinoamericanos,</w:t>
      </w:r>
      <w:r>
        <w:rPr>
          <w:color w:val="231F20"/>
          <w:spacing w:val="-11"/>
        </w:rPr>
        <w:t> </w:t>
      </w:r>
      <w:r>
        <w:rPr>
          <w:color w:val="231F20"/>
        </w:rPr>
        <w:t>en</w:t>
      </w:r>
      <w:r>
        <w:rPr>
          <w:color w:val="231F20"/>
          <w:spacing w:val="-11"/>
        </w:rPr>
        <w:t> </w:t>
      </w:r>
      <w:r>
        <w:rPr>
          <w:color w:val="231F20"/>
        </w:rPr>
        <w:t>cambio,</w:t>
      </w:r>
      <w:r>
        <w:rPr>
          <w:color w:val="231F20"/>
          <w:spacing w:val="-11"/>
        </w:rPr>
        <w:t> </w:t>
      </w:r>
      <w:r>
        <w:rPr>
          <w:color w:val="231F20"/>
        </w:rPr>
        <w:t>la</w:t>
      </w:r>
      <w:r>
        <w:rPr>
          <w:color w:val="231F20"/>
          <w:spacing w:val="-11"/>
        </w:rPr>
        <w:t> </w:t>
      </w:r>
      <w:r>
        <w:rPr>
          <w:color w:val="231F20"/>
        </w:rPr>
        <w:t>situación</w:t>
      </w:r>
      <w:r>
        <w:rPr>
          <w:color w:val="231F20"/>
          <w:spacing w:val="-10"/>
        </w:rPr>
        <w:t> </w:t>
      </w:r>
      <w:r>
        <w:rPr>
          <w:color w:val="231F20"/>
        </w:rPr>
        <w:t>es</w:t>
      </w:r>
      <w:r>
        <w:rPr>
          <w:color w:val="231F20"/>
          <w:spacing w:val="-11"/>
        </w:rPr>
        <w:t> </w:t>
      </w:r>
      <w:r>
        <w:rPr>
          <w:color w:val="231F20"/>
        </w:rPr>
        <w:t>algo</w:t>
      </w:r>
      <w:r>
        <w:rPr>
          <w:color w:val="231F20"/>
          <w:spacing w:val="-11"/>
        </w:rPr>
        <w:t> </w:t>
      </w:r>
      <w:r>
        <w:rPr>
          <w:color w:val="231F20"/>
        </w:rPr>
        <w:t>diferente.</w:t>
      </w:r>
      <w:r>
        <w:rPr>
          <w:color w:val="231F20"/>
          <w:spacing w:val="-11"/>
        </w:rPr>
        <w:t> </w:t>
      </w:r>
      <w:r>
        <w:rPr>
          <w:color w:val="231F20"/>
        </w:rPr>
        <w:t>En</w:t>
      </w:r>
      <w:r>
        <w:rPr>
          <w:color w:val="231F20"/>
          <w:spacing w:val="-11"/>
        </w:rPr>
        <w:t> </w:t>
      </w:r>
      <w:r>
        <w:rPr>
          <w:color w:val="231F20"/>
        </w:rPr>
        <w:t>este caso,</w:t>
      </w:r>
      <w:r>
        <w:rPr>
          <w:color w:val="231F20"/>
          <w:spacing w:val="-9"/>
        </w:rPr>
        <w:t> </w:t>
      </w:r>
      <w:r>
        <w:rPr>
          <w:color w:val="231F20"/>
        </w:rPr>
        <w:t>y</w:t>
      </w:r>
      <w:r>
        <w:rPr>
          <w:color w:val="231F20"/>
          <w:spacing w:val="-9"/>
        </w:rPr>
        <w:t> </w:t>
      </w:r>
      <w:r>
        <w:rPr>
          <w:color w:val="231F20"/>
        </w:rPr>
        <w:t>como</w:t>
      </w:r>
      <w:r>
        <w:rPr>
          <w:color w:val="231F20"/>
          <w:spacing w:val="-9"/>
        </w:rPr>
        <w:t> </w:t>
      </w:r>
      <w:r>
        <w:rPr>
          <w:color w:val="231F20"/>
        </w:rPr>
        <w:t>resultado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económica,</w:t>
      </w:r>
      <w:r>
        <w:rPr>
          <w:color w:val="231F20"/>
          <w:spacing w:val="-10"/>
        </w:rPr>
        <w:t> </w:t>
      </w:r>
      <w:r>
        <w:rPr>
          <w:color w:val="231F20"/>
        </w:rPr>
        <w:t>la</w:t>
      </w:r>
      <w:r>
        <w:rPr>
          <w:color w:val="231F20"/>
          <w:spacing w:val="-9"/>
        </w:rPr>
        <w:t> </w:t>
      </w:r>
      <w:r>
        <w:rPr>
          <w:color w:val="231F20"/>
        </w:rPr>
        <w:t>incidencia</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pobreza apenas se incrementa entre uno y dos puntos porcentuales, no </w:t>
      </w:r>
      <w:r>
        <w:rPr>
          <w:color w:val="231F20"/>
          <w:spacing w:val="7"/>
        </w:rPr>
        <w:t> </w:t>
      </w:r>
      <w:r>
        <w:rPr>
          <w:color w:val="231F20"/>
        </w:rPr>
        <w:t>alterando</w:t>
      </w:r>
    </w:p>
    <w:p>
      <w:pPr>
        <w:spacing w:after="0" w:line="249" w:lineRule="auto"/>
        <w:jc w:val="both"/>
        <w:sectPr>
          <w:pgSz w:w="7770" w:h="11740"/>
          <w:pgMar w:header="0" w:footer="474" w:top="820" w:bottom="740" w:left="740" w:right="1020"/>
        </w:sectPr>
      </w:pPr>
    </w:p>
    <w:p>
      <w:pPr>
        <w:pStyle w:val="BodyText"/>
        <w:spacing w:line="249" w:lineRule="auto" w:before="60"/>
        <w:ind w:left="113" w:right="108"/>
        <w:jc w:val="both"/>
      </w:pPr>
      <w:r>
        <w:rPr>
          <w:color w:val="231F20"/>
        </w:rPr>
        <w:t>en lo esencial su situación absoluta y relativa en cuanto a la dinámica de la pobreza y de sus condiciones de vida. Asimismo, si bien tampoco se ven beneficiados por la recuperación económica, ello no parece indicar mayor preocupación para este estamento social, dados los bajos niveles de incidencia de la pobreza que prevalecen entre ellos.</w:t>
      </w:r>
    </w:p>
    <w:p>
      <w:pPr>
        <w:pStyle w:val="Heading4"/>
      </w:pPr>
      <w:r>
        <w:rPr>
          <w:w w:val="85"/>
        </w:rPr>
        <w:t>Conclusiones</w:t>
      </w:r>
    </w:p>
    <w:p>
      <w:pPr>
        <w:pStyle w:val="BodyText"/>
        <w:spacing w:line="249" w:lineRule="auto" w:before="171"/>
        <w:ind w:left="113" w:right="108"/>
        <w:jc w:val="both"/>
      </w:pPr>
      <w:r>
        <w:rPr>
          <w:color w:val="231F20"/>
        </w:rPr>
        <w:t>Los</w:t>
      </w:r>
      <w:r>
        <w:rPr>
          <w:color w:val="231F20"/>
          <w:spacing w:val="-5"/>
        </w:rPr>
        <w:t> </w:t>
      </w:r>
      <w:r>
        <w:rPr>
          <w:color w:val="231F20"/>
        </w:rPr>
        <w:t>datos</w:t>
      </w:r>
      <w:r>
        <w:rPr>
          <w:color w:val="231F20"/>
          <w:spacing w:val="-5"/>
        </w:rPr>
        <w:t> </w:t>
      </w:r>
      <w:r>
        <w:rPr>
          <w:color w:val="231F20"/>
        </w:rPr>
        <w:t>que</w:t>
      </w:r>
      <w:r>
        <w:rPr>
          <w:color w:val="231F20"/>
          <w:spacing w:val="-5"/>
        </w:rPr>
        <w:t> </w:t>
      </w:r>
      <w:r>
        <w:rPr>
          <w:color w:val="231F20"/>
        </w:rPr>
        <w:t>hemos</w:t>
      </w:r>
      <w:r>
        <w:rPr>
          <w:color w:val="231F20"/>
          <w:spacing w:val="-4"/>
        </w:rPr>
        <w:t> </w:t>
      </w:r>
      <w:r>
        <w:rPr>
          <w:color w:val="231F20"/>
        </w:rPr>
        <w:t>presentado</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artículo</w:t>
      </w:r>
      <w:r>
        <w:rPr>
          <w:color w:val="231F20"/>
          <w:spacing w:val="-5"/>
        </w:rPr>
        <w:t> </w:t>
      </w:r>
      <w:r>
        <w:rPr>
          <w:color w:val="231F20"/>
        </w:rPr>
        <w:t>nos</w:t>
      </w:r>
      <w:r>
        <w:rPr>
          <w:color w:val="231F20"/>
          <w:spacing w:val="-5"/>
        </w:rPr>
        <w:t> </w:t>
      </w:r>
      <w:r>
        <w:rPr>
          <w:color w:val="231F20"/>
        </w:rPr>
        <w:t>indican</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crisis económica reciente parece afectar a los inmigrantes latinoamericanos de un modo peculiar. La mayor afectación se da en relación a la precari- zación de sus condiciones laborales, pero sin que ello implique necesa- riamente una afectación en cuanto al volumen de empleo. De hecho, en algunas actividades económicas, como lo son las ocupaciones dedicadas a la reproducción social, se incrementa la participación relativa de los inmigrantes</w:t>
      </w:r>
      <w:r>
        <w:rPr>
          <w:color w:val="231F20"/>
          <w:spacing w:val="-1"/>
        </w:rPr>
        <w:t> </w:t>
      </w:r>
      <w:r>
        <w:rPr>
          <w:color w:val="231F20"/>
        </w:rPr>
        <w:t>latinoamericanos.</w:t>
      </w:r>
    </w:p>
    <w:p>
      <w:pPr>
        <w:pStyle w:val="BodyText"/>
        <w:spacing w:line="249" w:lineRule="auto" w:before="1"/>
        <w:ind w:left="113" w:right="109" w:firstLine="283"/>
        <w:jc w:val="both"/>
      </w:pPr>
      <w:r>
        <w:rPr>
          <w:color w:val="231F20"/>
        </w:rPr>
        <w:t>En este sentido, la dependencia que muestra la sociedad norteameri- cana, respecto a la provisión de fuerza de trabajo de origen latinoameri- cano, especialmente para solventar las tareas propias de la reproducción social y cotidiana de su población, en esta época de crisis parece sus- tentarse en una mayor precarización de las condiciones de trabajo de  los inmigrantes latinoamericanos. De hecho, es precisamente la mayor vulnerabilidad e inestabilidad social que genera su condición migratoria (e indocumentada en no pocos casos), lo que parece permitir esta mayor explotación</w:t>
      </w:r>
      <w:r>
        <w:rPr>
          <w:color w:val="231F20"/>
          <w:spacing w:val="-6"/>
        </w:rPr>
        <w:t> </w:t>
      </w:r>
      <w:r>
        <w:rPr>
          <w:color w:val="231F20"/>
        </w:rPr>
        <w:t>de</w:t>
      </w:r>
      <w:r>
        <w:rPr>
          <w:color w:val="231F20"/>
          <w:spacing w:val="-5"/>
        </w:rPr>
        <w:t> </w:t>
      </w:r>
      <w:r>
        <w:rPr>
          <w:color w:val="231F20"/>
        </w:rPr>
        <w:t>esta</w:t>
      </w:r>
      <w:r>
        <w:rPr>
          <w:color w:val="231F20"/>
          <w:spacing w:val="-5"/>
        </w:rPr>
        <w:t> </w:t>
      </w:r>
      <w:r>
        <w:rPr>
          <w:color w:val="231F20"/>
        </w:rPr>
        <w:t>fuerza</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con</w:t>
      </w:r>
      <w:r>
        <w:rPr>
          <w:color w:val="231F20"/>
          <w:spacing w:val="-5"/>
        </w:rPr>
        <w:t> </w:t>
      </w:r>
      <w:r>
        <w:rPr>
          <w:color w:val="231F20"/>
        </w:rPr>
        <w:t>base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precarización</w:t>
      </w:r>
      <w:r>
        <w:rPr>
          <w:color w:val="231F20"/>
          <w:spacing w:val="-5"/>
        </w:rPr>
        <w:t> </w:t>
      </w:r>
      <w:r>
        <w:rPr>
          <w:color w:val="231F20"/>
        </w:rPr>
        <w:t>de</w:t>
      </w:r>
      <w:r>
        <w:rPr>
          <w:color w:val="231F20"/>
          <w:spacing w:val="-5"/>
        </w:rPr>
        <w:t> </w:t>
      </w:r>
      <w:r>
        <w:rPr>
          <w:color w:val="231F20"/>
        </w:rPr>
        <w:t>sus condiciones</w:t>
      </w:r>
      <w:r>
        <w:rPr>
          <w:color w:val="231F20"/>
          <w:spacing w:val="-1"/>
        </w:rPr>
        <w:t> </w:t>
      </w:r>
      <w:r>
        <w:rPr>
          <w:color w:val="231F20"/>
        </w:rPr>
        <w:t>laborales.</w:t>
      </w:r>
    </w:p>
    <w:p>
      <w:pPr>
        <w:pStyle w:val="BodyText"/>
        <w:spacing w:line="249" w:lineRule="auto" w:before="1"/>
        <w:ind w:left="113" w:right="108" w:firstLine="283"/>
        <w:jc w:val="both"/>
      </w:pPr>
      <w:r>
        <w:rPr>
          <w:color w:val="231F20"/>
        </w:rPr>
        <w:t>Una</w:t>
      </w:r>
      <w:r>
        <w:rPr>
          <w:color w:val="231F20"/>
          <w:spacing w:val="-9"/>
        </w:rPr>
        <w:t> </w:t>
      </w:r>
      <w:r>
        <w:rPr>
          <w:color w:val="231F20"/>
        </w:rPr>
        <w:t>consecuencia</w:t>
      </w:r>
      <w:r>
        <w:rPr>
          <w:color w:val="231F20"/>
          <w:spacing w:val="-10"/>
        </w:rPr>
        <w:t> </w:t>
      </w:r>
      <w:r>
        <w:rPr>
          <w:color w:val="231F20"/>
        </w:rPr>
        <w:t>directa</w:t>
      </w:r>
      <w:r>
        <w:rPr>
          <w:color w:val="231F20"/>
          <w:spacing w:val="-9"/>
        </w:rPr>
        <w:t> </w:t>
      </w:r>
      <w:r>
        <w:rPr>
          <w:color w:val="231F20"/>
        </w:rPr>
        <w:t>de</w:t>
      </w:r>
      <w:r>
        <w:rPr>
          <w:color w:val="231F20"/>
          <w:spacing w:val="-9"/>
        </w:rPr>
        <w:t> </w:t>
      </w:r>
      <w:r>
        <w:rPr>
          <w:color w:val="231F20"/>
        </w:rPr>
        <w:t>esta</w:t>
      </w:r>
      <w:r>
        <w:rPr>
          <w:color w:val="231F20"/>
          <w:spacing w:val="-9"/>
        </w:rPr>
        <w:t> </w:t>
      </w:r>
      <w:r>
        <w:rPr>
          <w:color w:val="231F20"/>
        </w:rPr>
        <w:t>precarización</w:t>
      </w:r>
      <w:r>
        <w:rPr>
          <w:color w:val="231F20"/>
          <w:spacing w:val="-9"/>
        </w:rPr>
        <w:t> </w:t>
      </w:r>
      <w:r>
        <w:rPr>
          <w:color w:val="231F20"/>
        </w:rPr>
        <w:t>del</w:t>
      </w:r>
      <w:r>
        <w:rPr>
          <w:color w:val="231F20"/>
          <w:spacing w:val="-9"/>
        </w:rPr>
        <w:t> </w:t>
      </w:r>
      <w:r>
        <w:rPr>
          <w:color w:val="231F20"/>
        </w:rPr>
        <w:t>empleo</w:t>
      </w:r>
      <w:r>
        <w:rPr>
          <w:color w:val="231F20"/>
          <w:spacing w:val="-9"/>
        </w:rPr>
        <w:t> </w:t>
      </w:r>
      <w:r>
        <w:rPr>
          <w:color w:val="231F20"/>
        </w:rPr>
        <w:t>que</w:t>
      </w:r>
      <w:r>
        <w:rPr>
          <w:color w:val="231F20"/>
          <w:spacing w:val="-9"/>
        </w:rPr>
        <w:t> </w:t>
      </w:r>
      <w:r>
        <w:rPr>
          <w:color w:val="231F20"/>
        </w:rPr>
        <w:t>afecta en mayor medida a los trabajadores inmigrantes de origen latinoameri- cano, es el significativo incremento en los niveles de incidencia de la pobreza,</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rPr>
        <w:t>ello,</w:t>
      </w:r>
      <w:r>
        <w:rPr>
          <w:color w:val="231F20"/>
          <w:spacing w:val="-6"/>
        </w:rPr>
        <w:t> </w:t>
      </w:r>
      <w:r>
        <w:rPr>
          <w:color w:val="231F20"/>
        </w:rPr>
        <w:t>el</w:t>
      </w:r>
      <w:r>
        <w:rPr>
          <w:color w:val="231F20"/>
          <w:spacing w:val="-6"/>
        </w:rPr>
        <w:t> </w:t>
      </w:r>
      <w:r>
        <w:rPr>
          <w:color w:val="231F20"/>
        </w:rPr>
        <w:t>empeoramiento</w:t>
      </w:r>
      <w:r>
        <w:rPr>
          <w:color w:val="231F20"/>
          <w:spacing w:val="-7"/>
        </w:rPr>
        <w:t> </w:t>
      </w:r>
      <w:r>
        <w:rPr>
          <w:color w:val="231F20"/>
        </w:rPr>
        <w:t>de</w:t>
      </w:r>
      <w:r>
        <w:rPr>
          <w:color w:val="231F20"/>
          <w:spacing w:val="-6"/>
        </w:rPr>
        <w:t> </w:t>
      </w:r>
      <w:r>
        <w:rPr>
          <w:color w:val="231F20"/>
        </w:rPr>
        <w:t>sus</w:t>
      </w:r>
      <w:r>
        <w:rPr>
          <w:color w:val="231F20"/>
          <w:spacing w:val="-6"/>
        </w:rPr>
        <w:t> </w:t>
      </w:r>
      <w:r>
        <w:rPr>
          <w:color w:val="231F20"/>
        </w:rPr>
        <w:t>condiciones</w:t>
      </w:r>
      <w:r>
        <w:rPr>
          <w:color w:val="231F20"/>
          <w:spacing w:val="-7"/>
        </w:rPr>
        <w:t> </w:t>
      </w:r>
      <w:r>
        <w:rPr>
          <w:color w:val="231F20"/>
        </w:rPr>
        <w:t>de</w:t>
      </w:r>
      <w:r>
        <w:rPr>
          <w:color w:val="231F20"/>
          <w:spacing w:val="-6"/>
        </w:rPr>
        <w:t> </w:t>
      </w:r>
      <w:r>
        <w:rPr>
          <w:color w:val="231F20"/>
        </w:rPr>
        <w:t>vida.</w:t>
      </w:r>
      <w:r>
        <w:rPr>
          <w:color w:val="231F20"/>
          <w:spacing w:val="-6"/>
        </w:rPr>
        <w:t> </w:t>
      </w:r>
      <w:r>
        <w:rPr>
          <w:color w:val="231F20"/>
        </w:rPr>
        <w:t>Como hemos visto, a diferencia de los demás grupos sociodemográficos, la in- cidencia de la pobreza en este grupo de la población es altamente sensi- ble</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condiciones</w:t>
      </w:r>
      <w:r>
        <w:rPr>
          <w:color w:val="231F20"/>
          <w:spacing w:val="-9"/>
        </w:rPr>
        <w:t> </w:t>
      </w:r>
      <w:r>
        <w:rPr>
          <w:color w:val="231F20"/>
        </w:rPr>
        <w:t>económicas</w:t>
      </w:r>
      <w:r>
        <w:rPr>
          <w:color w:val="231F20"/>
          <w:spacing w:val="-10"/>
        </w:rPr>
        <w:t> </w:t>
      </w:r>
      <w:r>
        <w:rPr>
          <w:color w:val="231F20"/>
        </w:rPr>
        <w:t>imperantes,</w:t>
      </w:r>
      <w:r>
        <w:rPr>
          <w:color w:val="231F20"/>
          <w:spacing w:val="-10"/>
        </w:rPr>
        <w:t> </w:t>
      </w:r>
      <w:r>
        <w:rPr>
          <w:color w:val="231F20"/>
        </w:rPr>
        <w:t>a</w:t>
      </w:r>
      <w:r>
        <w:rPr>
          <w:color w:val="231F20"/>
          <w:spacing w:val="-9"/>
        </w:rPr>
        <w:t> </w:t>
      </w:r>
      <w:r>
        <w:rPr>
          <w:color w:val="231F20"/>
        </w:rPr>
        <w:t>tal</w:t>
      </w:r>
      <w:r>
        <w:rPr>
          <w:color w:val="231F20"/>
          <w:spacing w:val="-9"/>
        </w:rPr>
        <w:t> </w:t>
      </w:r>
      <w:r>
        <w:rPr>
          <w:color w:val="231F20"/>
        </w:rPr>
        <w:t>punto</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por</w:t>
      </w:r>
      <w:r>
        <w:rPr>
          <w:color w:val="231F20"/>
          <w:spacing w:val="-9"/>
        </w:rPr>
        <w:t> </w:t>
      </w:r>
      <w:r>
        <w:rPr>
          <w:color w:val="231F20"/>
        </w:rPr>
        <w:t>lejos, el</w:t>
      </w:r>
      <w:r>
        <w:rPr>
          <w:color w:val="231F20"/>
          <w:spacing w:val="-4"/>
        </w:rPr>
        <w:t> </w:t>
      </w:r>
      <w:r>
        <w:rPr>
          <w:color w:val="231F20"/>
        </w:rPr>
        <w:t>más</w:t>
      </w:r>
      <w:r>
        <w:rPr>
          <w:color w:val="231F20"/>
          <w:spacing w:val="-4"/>
        </w:rPr>
        <w:t> </w:t>
      </w:r>
      <w:r>
        <w:rPr>
          <w:color w:val="231F20"/>
        </w:rPr>
        <w:t>afectado</w:t>
      </w:r>
      <w:r>
        <w:rPr>
          <w:color w:val="231F20"/>
          <w:spacing w:val="-4"/>
        </w:rPr>
        <w:t> </w:t>
      </w:r>
      <w:r>
        <w:rPr>
          <w:color w:val="231F20"/>
        </w:rPr>
        <w:t>por</w:t>
      </w:r>
      <w:r>
        <w:rPr>
          <w:color w:val="231F20"/>
          <w:spacing w:val="-3"/>
        </w:rPr>
        <w:t> </w:t>
      </w:r>
      <w:r>
        <w:rPr>
          <w:color w:val="231F20"/>
        </w:rPr>
        <w:t>la</w:t>
      </w:r>
      <w:r>
        <w:rPr>
          <w:color w:val="231F20"/>
          <w:spacing w:val="-4"/>
        </w:rPr>
        <w:t> </w:t>
      </w:r>
      <w:r>
        <w:rPr>
          <w:color w:val="231F20"/>
        </w:rPr>
        <w:t>crisis</w:t>
      </w:r>
      <w:r>
        <w:rPr>
          <w:color w:val="231F20"/>
          <w:spacing w:val="-4"/>
        </w:rPr>
        <w:t> </w:t>
      </w:r>
      <w:r>
        <w:rPr>
          <w:color w:val="231F20"/>
        </w:rPr>
        <w:t>económica.</w:t>
      </w:r>
      <w:r>
        <w:rPr>
          <w:color w:val="231F20"/>
          <w:spacing w:val="-4"/>
        </w:rPr>
        <w:t> </w:t>
      </w:r>
      <w:r>
        <w:rPr>
          <w:color w:val="231F20"/>
        </w:rPr>
        <w:t>Esto</w:t>
      </w:r>
      <w:r>
        <w:rPr>
          <w:color w:val="231F20"/>
          <w:spacing w:val="-4"/>
        </w:rPr>
        <w:t> </w:t>
      </w:r>
      <w:r>
        <w:rPr>
          <w:color w:val="231F20"/>
        </w:rPr>
        <w:t>no</w:t>
      </w:r>
      <w:r>
        <w:rPr>
          <w:color w:val="231F20"/>
          <w:spacing w:val="-3"/>
        </w:rPr>
        <w:t> </w:t>
      </w:r>
      <w:r>
        <w:rPr>
          <w:color w:val="231F20"/>
        </w:rPr>
        <w:t>hace</w:t>
      </w:r>
      <w:r>
        <w:rPr>
          <w:color w:val="231F20"/>
          <w:spacing w:val="-4"/>
        </w:rPr>
        <w:t> </w:t>
      </w:r>
      <w:r>
        <w:rPr>
          <w:color w:val="231F20"/>
        </w:rPr>
        <w:t>sino</w:t>
      </w:r>
      <w:r>
        <w:rPr>
          <w:color w:val="231F20"/>
          <w:spacing w:val="-3"/>
        </w:rPr>
        <w:t> </w:t>
      </w:r>
      <w:r>
        <w:rPr>
          <w:color w:val="231F20"/>
        </w:rPr>
        <w:t>ilustrar</w:t>
      </w:r>
      <w:r>
        <w:rPr>
          <w:color w:val="231F20"/>
          <w:spacing w:val="-4"/>
        </w:rPr>
        <w:t> </w:t>
      </w:r>
      <w:r>
        <w:rPr>
          <w:color w:val="231F20"/>
        </w:rPr>
        <w:t>el</w:t>
      </w:r>
      <w:r>
        <w:rPr>
          <w:color w:val="231F20"/>
          <w:spacing w:val="-4"/>
        </w:rPr>
        <w:t> </w:t>
      </w:r>
      <w:r>
        <w:rPr>
          <w:color w:val="231F20"/>
        </w:rPr>
        <w:t>alto grado</w:t>
      </w:r>
      <w:r>
        <w:rPr>
          <w:color w:val="231F20"/>
          <w:spacing w:val="-5"/>
        </w:rPr>
        <w:t> </w:t>
      </w:r>
      <w:r>
        <w:rPr>
          <w:color w:val="231F20"/>
        </w:rPr>
        <w:t>de</w:t>
      </w:r>
      <w:r>
        <w:rPr>
          <w:color w:val="231F20"/>
          <w:spacing w:val="-5"/>
        </w:rPr>
        <w:t> </w:t>
      </w:r>
      <w:r>
        <w:rPr>
          <w:color w:val="231F20"/>
        </w:rPr>
        <w:t>vulnerabilidad</w:t>
      </w:r>
      <w:r>
        <w:rPr>
          <w:color w:val="231F20"/>
          <w:spacing w:val="-5"/>
        </w:rPr>
        <w:t> </w:t>
      </w:r>
      <w:r>
        <w:rPr>
          <w:color w:val="231F20"/>
        </w:rPr>
        <w:t>social</w:t>
      </w:r>
      <w:r>
        <w:rPr>
          <w:color w:val="231F20"/>
          <w:spacing w:val="-5"/>
        </w:rPr>
        <w:t> </w:t>
      </w:r>
      <w:r>
        <w:rPr>
          <w:color w:val="231F20"/>
        </w:rPr>
        <w:t>que</w:t>
      </w:r>
      <w:r>
        <w:rPr>
          <w:color w:val="231F20"/>
          <w:spacing w:val="-5"/>
        </w:rPr>
        <w:t> </w:t>
      </w:r>
      <w:r>
        <w:rPr>
          <w:color w:val="231F20"/>
        </w:rPr>
        <w:t>caracteriza</w:t>
      </w:r>
      <w:r>
        <w:rPr>
          <w:color w:val="231F20"/>
          <w:spacing w:val="-6"/>
        </w:rPr>
        <w:t> </w:t>
      </w:r>
      <w:r>
        <w:rPr>
          <w:color w:val="231F20"/>
        </w:rPr>
        <w:t>las</w:t>
      </w:r>
      <w:r>
        <w:rPr>
          <w:color w:val="231F20"/>
          <w:spacing w:val="-5"/>
        </w:rPr>
        <w:t> </w:t>
      </w:r>
      <w:r>
        <w:rPr>
          <w:color w:val="231F20"/>
        </w:rPr>
        <w:t>condiciones</w:t>
      </w:r>
      <w:r>
        <w:rPr>
          <w:color w:val="231F20"/>
          <w:spacing w:val="-6"/>
        </w:rPr>
        <w:t> </w:t>
      </w:r>
      <w:r>
        <w:rPr>
          <w:color w:val="231F20"/>
        </w:rPr>
        <w:t>de</w:t>
      </w:r>
      <w:r>
        <w:rPr>
          <w:color w:val="231F20"/>
          <w:spacing w:val="-5"/>
        </w:rPr>
        <w:t> </w:t>
      </w:r>
      <w:r>
        <w:rPr>
          <w:color w:val="231F20"/>
        </w:rPr>
        <w:t>vida</w:t>
      </w:r>
      <w:r>
        <w:rPr>
          <w:color w:val="231F20"/>
          <w:spacing w:val="-5"/>
        </w:rPr>
        <w:t> </w:t>
      </w:r>
      <w:r>
        <w:rPr>
          <w:color w:val="231F20"/>
        </w:rPr>
        <w:t>de este grupo de la</w:t>
      </w:r>
      <w:r>
        <w:rPr>
          <w:color w:val="231F20"/>
          <w:spacing w:val="-1"/>
        </w:rPr>
        <w:t> </w:t>
      </w:r>
      <w:r>
        <w:rPr>
          <w:color w:val="231F20"/>
        </w:rPr>
        <w:t>población.</w:t>
      </w:r>
    </w:p>
    <w:p>
      <w:pPr>
        <w:pStyle w:val="BodyText"/>
        <w:spacing w:line="249" w:lineRule="auto" w:before="1"/>
        <w:ind w:left="113" w:right="108" w:firstLine="283"/>
        <w:jc w:val="both"/>
      </w:pPr>
      <w:r>
        <w:rPr>
          <w:color w:val="231F20"/>
        </w:rPr>
        <w:t>A diferencia de la población nativa afroamericana y blanca no</w:t>
      </w:r>
      <w:r>
        <w:rPr>
          <w:color w:val="231F20"/>
          <w:spacing w:val="-22"/>
        </w:rPr>
        <w:t> </w:t>
      </w:r>
      <w:r>
        <w:rPr>
          <w:color w:val="231F20"/>
        </w:rPr>
        <w:t>latina, que pueden acceder a diferentes programas públicos y gubernamentales de</w:t>
      </w:r>
      <w:r>
        <w:rPr>
          <w:color w:val="231F20"/>
          <w:spacing w:val="-9"/>
        </w:rPr>
        <w:t> </w:t>
      </w:r>
      <w:r>
        <w:rPr>
          <w:color w:val="231F20"/>
        </w:rPr>
        <w:t>protección</w:t>
      </w:r>
      <w:r>
        <w:rPr>
          <w:color w:val="231F20"/>
          <w:spacing w:val="-9"/>
        </w:rPr>
        <w:t> </w:t>
      </w:r>
      <w:r>
        <w:rPr>
          <w:color w:val="231F20"/>
        </w:rPr>
        <w:t>social</w:t>
      </w:r>
      <w:r>
        <w:rPr>
          <w:color w:val="231F20"/>
          <w:spacing w:val="-8"/>
        </w:rPr>
        <w:t> </w:t>
      </w:r>
      <w:r>
        <w:rPr>
          <w:color w:val="231F20"/>
        </w:rPr>
        <w:t>y</w:t>
      </w:r>
      <w:r>
        <w:rPr>
          <w:color w:val="231F20"/>
          <w:spacing w:val="-9"/>
        </w:rPr>
        <w:t> </w:t>
      </w:r>
      <w:r>
        <w:rPr>
          <w:color w:val="231F20"/>
        </w:rPr>
        <w:t>económica,</w:t>
      </w:r>
      <w:r>
        <w:rPr>
          <w:color w:val="231F20"/>
          <w:spacing w:val="-9"/>
        </w:rPr>
        <w:t> </w:t>
      </w:r>
      <w:r>
        <w:rPr>
          <w:color w:val="231F20"/>
        </w:rPr>
        <w:t>los</w:t>
      </w:r>
      <w:r>
        <w:rPr>
          <w:color w:val="231F20"/>
          <w:spacing w:val="-9"/>
        </w:rPr>
        <w:t> </w:t>
      </w:r>
      <w:r>
        <w:rPr>
          <w:color w:val="231F20"/>
        </w:rPr>
        <w:t>inmigrantes</w:t>
      </w:r>
      <w:r>
        <w:rPr>
          <w:color w:val="231F20"/>
          <w:spacing w:val="-9"/>
        </w:rPr>
        <w:t> </w:t>
      </w:r>
      <w:r>
        <w:rPr>
          <w:color w:val="231F20"/>
        </w:rPr>
        <w:t>latinoamericanos,</w:t>
      </w:r>
      <w:r>
        <w:rPr>
          <w:color w:val="231F20"/>
          <w:spacing w:val="-9"/>
        </w:rPr>
        <w:t> </w:t>
      </w:r>
      <w:r>
        <w:rPr>
          <w:color w:val="231F20"/>
        </w:rPr>
        <w:t>y</w:t>
      </w:r>
      <w:r>
        <w:rPr>
          <w:color w:val="231F20"/>
          <w:spacing w:val="-9"/>
        </w:rPr>
        <w:t> </w:t>
      </w:r>
      <w:r>
        <w:rPr>
          <w:color w:val="231F20"/>
        </w:rPr>
        <w:t>en especial los que están en situación indocumentada, están desprotegidos frente a los diversos riesgos que les impone la dinámica económica, </w:t>
      </w:r>
      <w:r>
        <w:rPr>
          <w:color w:val="231F20"/>
          <w:spacing w:val="14"/>
        </w:rPr>
        <w:t> </w:t>
      </w:r>
      <w:r>
        <w:rPr>
          <w:color w:val="231F20"/>
        </w:rPr>
        <w:t>es-</w:t>
      </w:r>
    </w:p>
    <w:p>
      <w:pPr>
        <w:spacing w:after="0" w:line="249" w:lineRule="auto"/>
        <w:jc w:val="both"/>
        <w:sectPr>
          <w:footerReference w:type="default" r:id="rId197"/>
          <w:pgSz w:w="7770" w:h="11740"/>
          <w:pgMar w:footer="474" w:header="0" w:top="840" w:bottom="660" w:left="1020" w:right="740"/>
          <w:pgNumType w:start="151"/>
        </w:sectPr>
      </w:pPr>
    </w:p>
    <w:p>
      <w:pPr>
        <w:pStyle w:val="BodyText"/>
        <w:spacing w:line="249" w:lineRule="auto" w:before="60"/>
        <w:ind w:left="110" w:right="111"/>
        <w:jc w:val="both"/>
      </w:pPr>
      <w:r>
        <w:rPr>
          <w:color w:val="231F20"/>
        </w:rPr>
        <w:t>pecialmente en estos contextos de crisis. Por ello, la única estrategia</w:t>
      </w:r>
      <w:r>
        <w:rPr>
          <w:color w:val="231F20"/>
          <w:spacing w:val="-19"/>
        </w:rPr>
        <w:t> </w:t>
      </w:r>
      <w:r>
        <w:rPr>
          <w:color w:val="231F20"/>
        </w:rPr>
        <w:t>que pueden acceder es la de asumir una mayor explotación de su fuerza de trabajo, misma que es por lejos, la principal y en muchos casos, la única fuente</w:t>
      </w:r>
      <w:r>
        <w:rPr>
          <w:color w:val="231F20"/>
          <w:spacing w:val="-8"/>
        </w:rPr>
        <w:t> </w:t>
      </w:r>
      <w:r>
        <w:rPr>
          <w:color w:val="231F20"/>
        </w:rPr>
        <w:t>de</w:t>
      </w:r>
      <w:r>
        <w:rPr>
          <w:color w:val="231F20"/>
          <w:spacing w:val="-8"/>
        </w:rPr>
        <w:t> </w:t>
      </w:r>
      <w:r>
        <w:rPr>
          <w:color w:val="231F20"/>
        </w:rPr>
        <w:t>ingresos</w:t>
      </w:r>
      <w:r>
        <w:rPr>
          <w:color w:val="231F20"/>
          <w:spacing w:val="-9"/>
        </w:rPr>
        <w:t> </w:t>
      </w:r>
      <w:r>
        <w:rPr>
          <w:color w:val="231F20"/>
        </w:rPr>
        <w:t>y</w:t>
      </w:r>
      <w:r>
        <w:rPr>
          <w:color w:val="231F20"/>
          <w:spacing w:val="-8"/>
        </w:rPr>
        <w:t> </w:t>
      </w:r>
      <w:r>
        <w:rPr>
          <w:color w:val="231F20"/>
        </w:rPr>
        <w:t>recursos</w:t>
      </w:r>
      <w:r>
        <w:rPr>
          <w:color w:val="231F20"/>
          <w:spacing w:val="-8"/>
        </w:rPr>
        <w:t> </w:t>
      </w:r>
      <w:r>
        <w:rPr>
          <w:color w:val="231F20"/>
        </w:rPr>
        <w:t>económicos</w:t>
      </w:r>
      <w:r>
        <w:rPr>
          <w:color w:val="231F20"/>
          <w:spacing w:val="-9"/>
        </w:rPr>
        <w:t> </w:t>
      </w:r>
      <w:r>
        <w:rPr>
          <w:color w:val="231F20"/>
        </w:rPr>
        <w:t>para</w:t>
      </w:r>
      <w:r>
        <w:rPr>
          <w:color w:val="231F20"/>
          <w:spacing w:val="-8"/>
        </w:rPr>
        <w:t> </w:t>
      </w:r>
      <w:r>
        <w:rPr>
          <w:color w:val="231F20"/>
        </w:rPr>
        <w:t>su</w:t>
      </w:r>
      <w:r>
        <w:rPr>
          <w:color w:val="231F20"/>
          <w:spacing w:val="-8"/>
        </w:rPr>
        <w:t> </w:t>
      </w:r>
      <w:r>
        <w:rPr>
          <w:color w:val="231F20"/>
        </w:rPr>
        <w:t>sustento</w:t>
      </w:r>
      <w:r>
        <w:rPr>
          <w:color w:val="231F20"/>
          <w:spacing w:val="-8"/>
        </w:rPr>
        <w:t> </w:t>
      </w:r>
      <w:r>
        <w:rPr>
          <w:color w:val="231F20"/>
        </w:rPr>
        <w:t>diario</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sus familias. Sin embargo, en contextos de crisis como la actual, esta mayor explotación de su fuerza de trabajo ha de hacerse en situación de mayor precariedad y desprotección laboral, reproduciendo y profundizando</w:t>
      </w:r>
      <w:r>
        <w:rPr>
          <w:color w:val="231F20"/>
          <w:spacing w:val="-15"/>
        </w:rPr>
        <w:t> </w:t>
      </w:r>
      <w:r>
        <w:rPr>
          <w:color w:val="231F20"/>
        </w:rPr>
        <w:t>así, las condiciones de vulnerabilidad social y económica que afecta desde siempre a este grupo</w:t>
      </w:r>
      <w:r>
        <w:rPr>
          <w:color w:val="231F20"/>
          <w:spacing w:val="-12"/>
        </w:rPr>
        <w:t> </w:t>
      </w:r>
      <w:r>
        <w:rPr>
          <w:color w:val="231F20"/>
        </w:rPr>
        <w:t>sociodemográfico</w:t>
      </w:r>
      <w:r>
        <w:rPr/>
        <w:t>.</w:t>
      </w:r>
    </w:p>
    <w:p>
      <w:pPr>
        <w:pStyle w:val="BodyText"/>
        <w:spacing w:line="249" w:lineRule="auto" w:before="1"/>
        <w:ind w:left="110" w:right="111" w:firstLine="283"/>
        <w:jc w:val="both"/>
      </w:pPr>
      <w:r>
        <w:rPr>
          <w:color w:val="231F20"/>
        </w:rPr>
        <w:t>Ahora bien, para entender y dimensionar estos impactos de la crisis sobre la condición de vida y trabajo de los inmigrantes, es necesario en- marcarlos en un contexto más amplio que considere como aspecto cen- tral, la situación de dependencia de la sociedad norteamericana respec- to a la inmigración latinoamericana (y en general, de la proveniente de los países en desarrollo). En concreto, los inmigrantes latinoamericanos aportan</w:t>
      </w:r>
      <w:r>
        <w:rPr>
          <w:color w:val="231F20"/>
          <w:spacing w:val="-14"/>
        </w:rPr>
        <w:t> </w:t>
      </w:r>
      <w:r>
        <w:rPr>
          <w:color w:val="231F20"/>
        </w:rPr>
        <w:t>no</w:t>
      </w:r>
      <w:r>
        <w:rPr>
          <w:color w:val="231F20"/>
          <w:spacing w:val="-13"/>
        </w:rPr>
        <w:t> </w:t>
      </w:r>
      <w:r>
        <w:rPr>
          <w:color w:val="231F20"/>
        </w:rPr>
        <w:t>sólo</w:t>
      </w:r>
      <w:r>
        <w:rPr>
          <w:color w:val="231F20"/>
          <w:spacing w:val="-13"/>
        </w:rPr>
        <w:t> </w:t>
      </w:r>
      <w:r>
        <w:rPr>
          <w:color w:val="231F20"/>
        </w:rPr>
        <w:t>fuerza</w:t>
      </w:r>
      <w:r>
        <w:rPr>
          <w:color w:val="231F20"/>
          <w:spacing w:val="-13"/>
        </w:rPr>
        <w:t> </w:t>
      </w:r>
      <w:r>
        <w:rPr>
          <w:color w:val="231F20"/>
        </w:rPr>
        <w:t>de</w:t>
      </w:r>
      <w:r>
        <w:rPr>
          <w:color w:val="231F20"/>
          <w:spacing w:val="-13"/>
        </w:rPr>
        <w:t> </w:t>
      </w:r>
      <w:r>
        <w:rPr>
          <w:color w:val="231F20"/>
        </w:rPr>
        <w:t>trabajo</w:t>
      </w:r>
      <w:r>
        <w:rPr>
          <w:color w:val="231F20"/>
          <w:spacing w:val="-14"/>
        </w:rPr>
        <w:t> </w:t>
      </w:r>
      <w:r>
        <w:rPr>
          <w:color w:val="231F20"/>
        </w:rPr>
        <w:t>en</w:t>
      </w:r>
      <w:r>
        <w:rPr>
          <w:color w:val="231F20"/>
          <w:spacing w:val="-14"/>
        </w:rPr>
        <w:t> </w:t>
      </w:r>
      <w:r>
        <w:rPr>
          <w:color w:val="231F20"/>
        </w:rPr>
        <w:t>general,</w:t>
      </w:r>
      <w:r>
        <w:rPr>
          <w:color w:val="231F20"/>
          <w:spacing w:val="-13"/>
        </w:rPr>
        <w:t> </w:t>
      </w:r>
      <w:r>
        <w:rPr>
          <w:color w:val="231F20"/>
        </w:rPr>
        <w:t>misma</w:t>
      </w:r>
      <w:r>
        <w:rPr>
          <w:color w:val="231F20"/>
          <w:spacing w:val="-14"/>
        </w:rPr>
        <w:t> </w:t>
      </w:r>
      <w:r>
        <w:rPr>
          <w:color w:val="231F20"/>
        </w:rPr>
        <w:t>que</w:t>
      </w:r>
      <w:r>
        <w:rPr>
          <w:color w:val="231F20"/>
          <w:spacing w:val="-13"/>
        </w:rPr>
        <w:t> </w:t>
      </w:r>
      <w:r>
        <w:rPr>
          <w:color w:val="231F20"/>
        </w:rPr>
        <w:t>permite</w:t>
      </w:r>
      <w:r>
        <w:rPr>
          <w:color w:val="231F20"/>
          <w:spacing w:val="-13"/>
        </w:rPr>
        <w:t> </w:t>
      </w:r>
      <w:r>
        <w:rPr>
          <w:color w:val="231F20"/>
        </w:rPr>
        <w:t>llenar</w:t>
      </w:r>
      <w:r>
        <w:rPr>
          <w:color w:val="231F20"/>
          <w:spacing w:val="-14"/>
        </w:rPr>
        <w:t> </w:t>
      </w:r>
      <w:r>
        <w:rPr>
          <w:color w:val="231F20"/>
        </w:rPr>
        <w:t>los vacíos demográficos que deja el envejecimiento de la población nativa, sino</w:t>
      </w:r>
      <w:r>
        <w:rPr>
          <w:color w:val="231F20"/>
          <w:spacing w:val="-5"/>
        </w:rPr>
        <w:t> </w:t>
      </w:r>
      <w:r>
        <w:rPr>
          <w:color w:val="231F20"/>
        </w:rPr>
        <w:t>particularmente,</w:t>
      </w:r>
      <w:r>
        <w:rPr>
          <w:color w:val="231F20"/>
          <w:spacing w:val="-6"/>
        </w:rPr>
        <w:t> </w:t>
      </w:r>
      <w:r>
        <w:rPr>
          <w:color w:val="231F20"/>
        </w:rPr>
        <w:t>aportan</w:t>
      </w:r>
      <w:r>
        <w:rPr>
          <w:color w:val="231F20"/>
          <w:spacing w:val="-6"/>
        </w:rPr>
        <w:t> </w:t>
      </w:r>
      <w:r>
        <w:rPr>
          <w:color w:val="231F20"/>
        </w:rPr>
        <w:t>la</w:t>
      </w:r>
      <w:r>
        <w:rPr>
          <w:color w:val="231F20"/>
          <w:spacing w:val="-6"/>
        </w:rPr>
        <w:t> </w:t>
      </w:r>
      <w:r>
        <w:rPr>
          <w:color w:val="231F20"/>
        </w:rPr>
        <w:t>mano</w:t>
      </w:r>
      <w:r>
        <w:rPr>
          <w:color w:val="231F20"/>
          <w:spacing w:val="-6"/>
        </w:rPr>
        <w:t> </w:t>
      </w:r>
      <w:r>
        <w:rPr>
          <w:color w:val="231F20"/>
        </w:rPr>
        <w:t>de</w:t>
      </w:r>
      <w:r>
        <w:rPr>
          <w:color w:val="231F20"/>
          <w:spacing w:val="-6"/>
        </w:rPr>
        <w:t> </w:t>
      </w:r>
      <w:r>
        <w:rPr>
          <w:color w:val="231F20"/>
        </w:rPr>
        <w:t>obra</w:t>
      </w:r>
      <w:r>
        <w:rPr>
          <w:color w:val="231F20"/>
          <w:spacing w:val="-6"/>
        </w:rPr>
        <w:t> </w:t>
      </w:r>
      <w:r>
        <w:rPr>
          <w:color w:val="231F20"/>
        </w:rPr>
        <w:t>necesaria</w:t>
      </w:r>
      <w:r>
        <w:rPr>
          <w:color w:val="231F20"/>
          <w:spacing w:val="-6"/>
        </w:rPr>
        <w:t> </w:t>
      </w:r>
      <w:r>
        <w:rPr>
          <w:color w:val="231F20"/>
        </w:rPr>
        <w:t>para</w:t>
      </w:r>
      <w:r>
        <w:rPr>
          <w:color w:val="231F20"/>
          <w:spacing w:val="-6"/>
        </w:rPr>
        <w:t> </w:t>
      </w:r>
      <w:r>
        <w:rPr>
          <w:color w:val="231F20"/>
        </w:rPr>
        <w:t>sustentar</w:t>
      </w:r>
      <w:r>
        <w:rPr>
          <w:color w:val="231F20"/>
          <w:spacing w:val="-5"/>
        </w:rPr>
        <w:t> </w:t>
      </w:r>
      <w:r>
        <w:rPr>
          <w:color w:val="231F20"/>
        </w:rPr>
        <w:t>la reproducción social y cotidiana de la población nativa, especialmente de estratos</w:t>
      </w:r>
      <w:r>
        <w:rPr>
          <w:color w:val="231F20"/>
          <w:spacing w:val="-10"/>
        </w:rPr>
        <w:t> </w:t>
      </w:r>
      <w:r>
        <w:rPr>
          <w:color w:val="231F20"/>
        </w:rPr>
        <w:t>sociales</w:t>
      </w:r>
      <w:r>
        <w:rPr>
          <w:color w:val="231F20"/>
          <w:spacing w:val="-9"/>
        </w:rPr>
        <w:t> </w:t>
      </w:r>
      <w:r>
        <w:rPr>
          <w:color w:val="231F20"/>
        </w:rPr>
        <w:t>medios</w:t>
      </w:r>
      <w:r>
        <w:rPr>
          <w:color w:val="231F20"/>
          <w:spacing w:val="-10"/>
        </w:rPr>
        <w:t> </w:t>
      </w:r>
      <w:r>
        <w:rPr>
          <w:color w:val="231F20"/>
        </w:rPr>
        <w:t>y</w:t>
      </w:r>
      <w:r>
        <w:rPr>
          <w:color w:val="231F20"/>
          <w:spacing w:val="-9"/>
        </w:rPr>
        <w:t> </w:t>
      </w:r>
      <w:r>
        <w:rPr>
          <w:color w:val="231F20"/>
        </w:rPr>
        <w:t>altos</w:t>
      </w:r>
      <w:r>
        <w:rPr>
          <w:color w:val="231F20"/>
          <w:spacing w:val="-10"/>
        </w:rPr>
        <w:t> </w:t>
      </w:r>
      <w:r>
        <w:rPr>
          <w:color w:val="231F20"/>
        </w:rPr>
        <w:t>(Canales,</w:t>
      </w:r>
      <w:r>
        <w:rPr>
          <w:color w:val="231F20"/>
          <w:spacing w:val="-9"/>
        </w:rPr>
        <w:t> </w:t>
      </w:r>
      <w:r>
        <w:rPr>
          <w:color w:val="231F20"/>
        </w:rPr>
        <w:t>2013).</w:t>
      </w:r>
      <w:r>
        <w:rPr>
          <w:color w:val="231F20"/>
          <w:spacing w:val="-9"/>
        </w:rPr>
        <w:t> </w:t>
      </w:r>
      <w:r>
        <w:rPr>
          <w:color w:val="231F20"/>
        </w:rPr>
        <w:t>Se</w:t>
      </w:r>
      <w:r>
        <w:rPr>
          <w:color w:val="231F20"/>
          <w:spacing w:val="-9"/>
        </w:rPr>
        <w:t> </w:t>
      </w:r>
      <w:r>
        <w:rPr>
          <w:color w:val="231F20"/>
        </w:rPr>
        <w:t>trata</w:t>
      </w:r>
      <w:r>
        <w:rPr>
          <w:color w:val="231F20"/>
          <w:spacing w:val="-10"/>
        </w:rPr>
        <w:t> </w:t>
      </w:r>
      <w:r>
        <w:rPr>
          <w:color w:val="231F20"/>
        </w:rPr>
        <w:t>de</w:t>
      </w:r>
      <w:r>
        <w:rPr>
          <w:color w:val="231F20"/>
          <w:spacing w:val="-9"/>
        </w:rPr>
        <w:t> </w:t>
      </w:r>
      <w:r>
        <w:rPr>
          <w:color w:val="231F20"/>
        </w:rPr>
        <w:t>una</w:t>
      </w:r>
      <w:r>
        <w:rPr>
          <w:color w:val="231F20"/>
          <w:spacing w:val="-9"/>
        </w:rPr>
        <w:t> </w:t>
      </w:r>
      <w:r>
        <w:rPr>
          <w:color w:val="231F20"/>
        </w:rPr>
        <w:t>demanda creciente</w:t>
      </w:r>
      <w:r>
        <w:rPr>
          <w:color w:val="231F20"/>
          <w:spacing w:val="-9"/>
        </w:rPr>
        <w:t> </w:t>
      </w:r>
      <w:r>
        <w:rPr>
          <w:color w:val="231F20"/>
        </w:rPr>
        <w:t>de</w:t>
      </w:r>
      <w:r>
        <w:rPr>
          <w:color w:val="231F20"/>
          <w:spacing w:val="-8"/>
        </w:rPr>
        <w:t> </w:t>
      </w:r>
      <w:r>
        <w:rPr>
          <w:color w:val="231F20"/>
        </w:rPr>
        <w:t>mano</w:t>
      </w:r>
      <w:r>
        <w:rPr>
          <w:color w:val="231F20"/>
          <w:spacing w:val="-9"/>
        </w:rPr>
        <w:t> </w:t>
      </w:r>
      <w:r>
        <w:rPr>
          <w:color w:val="231F20"/>
        </w:rPr>
        <w:t>de</w:t>
      </w:r>
      <w:r>
        <w:rPr>
          <w:color w:val="231F20"/>
          <w:spacing w:val="-8"/>
        </w:rPr>
        <w:t> </w:t>
      </w:r>
      <w:r>
        <w:rPr>
          <w:color w:val="231F20"/>
        </w:rPr>
        <w:t>obra</w:t>
      </w:r>
      <w:r>
        <w:rPr>
          <w:color w:val="231F20"/>
          <w:spacing w:val="-8"/>
        </w:rPr>
        <w:t> </w:t>
      </w:r>
      <w:r>
        <w:rPr>
          <w:color w:val="231F20"/>
        </w:rPr>
        <w:t>para</w:t>
      </w:r>
      <w:r>
        <w:rPr>
          <w:color w:val="231F20"/>
          <w:spacing w:val="-8"/>
        </w:rPr>
        <w:t> </w:t>
      </w:r>
      <w:r>
        <w:rPr>
          <w:color w:val="231F20"/>
        </w:rPr>
        <w:t>servicios</w:t>
      </w:r>
      <w:r>
        <w:rPr>
          <w:color w:val="231F20"/>
          <w:spacing w:val="-8"/>
        </w:rPr>
        <w:t> </w:t>
      </w:r>
      <w:r>
        <w:rPr>
          <w:color w:val="231F20"/>
        </w:rPr>
        <w:t>personales,</w:t>
      </w:r>
      <w:r>
        <w:rPr>
          <w:color w:val="231F20"/>
          <w:spacing w:val="-8"/>
        </w:rPr>
        <w:t> </w:t>
      </w:r>
      <w:r>
        <w:rPr>
          <w:color w:val="231F20"/>
        </w:rPr>
        <w:t>tales</w:t>
      </w:r>
      <w:r>
        <w:rPr>
          <w:color w:val="231F20"/>
          <w:spacing w:val="-9"/>
        </w:rPr>
        <w:t> </w:t>
      </w:r>
      <w:r>
        <w:rPr>
          <w:color w:val="231F20"/>
        </w:rPr>
        <w:t>como,</w:t>
      </w:r>
      <w:r>
        <w:rPr>
          <w:color w:val="231F20"/>
          <w:spacing w:val="-9"/>
        </w:rPr>
        <w:t> </w:t>
      </w:r>
      <w:r>
        <w:rPr>
          <w:color w:val="231F20"/>
        </w:rPr>
        <w:t>servicio doméstico, preparación de alimentos, limpieza y mantenimiento, indus- tria</w:t>
      </w:r>
      <w:r>
        <w:rPr>
          <w:color w:val="231F20"/>
          <w:spacing w:val="-10"/>
        </w:rPr>
        <w:t> </w:t>
      </w:r>
      <w:r>
        <w:rPr>
          <w:color w:val="231F20"/>
        </w:rPr>
        <w:t>del</w:t>
      </w:r>
      <w:r>
        <w:rPr>
          <w:color w:val="231F20"/>
          <w:spacing w:val="-10"/>
        </w:rPr>
        <w:t> </w:t>
      </w:r>
      <w:r>
        <w:rPr>
          <w:color w:val="231F20"/>
        </w:rPr>
        <w:t>cuidado,</w:t>
      </w:r>
      <w:r>
        <w:rPr>
          <w:color w:val="231F20"/>
          <w:spacing w:val="-11"/>
        </w:rPr>
        <w:t> </w:t>
      </w:r>
      <w:r>
        <w:rPr>
          <w:color w:val="231F20"/>
        </w:rPr>
        <w:t>y</w:t>
      </w:r>
      <w:r>
        <w:rPr>
          <w:color w:val="231F20"/>
          <w:spacing w:val="-10"/>
        </w:rPr>
        <w:t> </w:t>
      </w:r>
      <w:r>
        <w:rPr>
          <w:color w:val="231F20"/>
        </w:rPr>
        <w:t>en</w:t>
      </w:r>
      <w:r>
        <w:rPr>
          <w:color w:val="231F20"/>
          <w:spacing w:val="-10"/>
        </w:rPr>
        <w:t> </w:t>
      </w:r>
      <w:r>
        <w:rPr>
          <w:color w:val="231F20"/>
        </w:rPr>
        <w:t>general,</w:t>
      </w:r>
      <w:r>
        <w:rPr>
          <w:color w:val="231F20"/>
          <w:spacing w:val="-10"/>
        </w:rPr>
        <w:t> </w:t>
      </w:r>
      <w:r>
        <w:rPr>
          <w:color w:val="231F20"/>
        </w:rPr>
        <w:t>en</w:t>
      </w:r>
      <w:r>
        <w:rPr>
          <w:color w:val="231F20"/>
          <w:spacing w:val="-10"/>
        </w:rPr>
        <w:t> </w:t>
      </w:r>
      <w:r>
        <w:rPr>
          <w:color w:val="231F20"/>
        </w:rPr>
        <w:t>diversos</w:t>
      </w:r>
      <w:r>
        <w:rPr>
          <w:color w:val="231F20"/>
          <w:spacing w:val="-10"/>
        </w:rPr>
        <w:t> </w:t>
      </w:r>
      <w:r>
        <w:rPr>
          <w:color w:val="231F20"/>
        </w:rPr>
        <w:t>trabajos</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pueden</w:t>
      </w:r>
      <w:r>
        <w:rPr>
          <w:color w:val="231F20"/>
          <w:spacing w:val="-10"/>
        </w:rPr>
        <w:t> </w:t>
      </w:r>
      <w:r>
        <w:rPr>
          <w:color w:val="231F20"/>
        </w:rPr>
        <w:t>circuns- cribir a los ámbitos privados y públicos de la reproducción social de la población (Hondagneu-Sotelo, 2007; Ehrenteich y Hochschild,</w:t>
      </w:r>
      <w:r>
        <w:rPr>
          <w:color w:val="231F20"/>
          <w:spacing w:val="-11"/>
        </w:rPr>
        <w:t> </w:t>
      </w:r>
      <w:r>
        <w:rPr>
          <w:color w:val="231F20"/>
        </w:rPr>
        <w:t>2004).</w:t>
      </w:r>
    </w:p>
    <w:p>
      <w:pPr>
        <w:pStyle w:val="BodyText"/>
        <w:spacing w:line="249" w:lineRule="auto" w:before="1"/>
        <w:ind w:left="110" w:right="111" w:firstLine="283"/>
        <w:jc w:val="both"/>
      </w:pPr>
      <w:r>
        <w:rPr>
          <w:color w:val="231F20"/>
        </w:rPr>
        <w:t>Al respecto, los datos presentados en este artículo son elocuentes. Con la crisis económica no sólo no se ha reducido el volumen de tra- bajadores latinoamericanos, sino que además ellos tienden a concentrar su importancia absoluta y relativa en determinadas ocupaciones que se corresponden precisamente con las tareas que sustentan la reproducción social y cotidiana de la población de estratos medios y altos. Sin embar- go,</w:t>
      </w:r>
      <w:r>
        <w:rPr>
          <w:color w:val="231F20"/>
          <w:spacing w:val="-6"/>
        </w:rPr>
        <w:t> </w:t>
      </w:r>
      <w:r>
        <w:rPr>
          <w:color w:val="231F20"/>
        </w:rPr>
        <w:t>como</w:t>
      </w:r>
      <w:r>
        <w:rPr>
          <w:color w:val="231F20"/>
          <w:spacing w:val="-7"/>
        </w:rPr>
        <w:t> </w:t>
      </w:r>
      <w:r>
        <w:rPr>
          <w:color w:val="231F20"/>
        </w:rPr>
        <w:t>consecuencia</w:t>
      </w:r>
      <w:r>
        <w:rPr>
          <w:color w:val="231F20"/>
          <w:spacing w:val="-7"/>
        </w:rPr>
        <w:t> </w:t>
      </w:r>
      <w:r>
        <w:rPr>
          <w:color w:val="231F20"/>
        </w:rPr>
        <w:t>de</w:t>
      </w:r>
      <w:r>
        <w:rPr>
          <w:color w:val="231F20"/>
          <w:spacing w:val="-6"/>
        </w:rPr>
        <w:t> </w:t>
      </w:r>
      <w:r>
        <w:rPr>
          <w:color w:val="231F20"/>
        </w:rPr>
        <w:t>ese</w:t>
      </w:r>
      <w:r>
        <w:rPr>
          <w:color w:val="231F20"/>
          <w:spacing w:val="-7"/>
        </w:rPr>
        <w:t> </w:t>
      </w:r>
      <w:r>
        <w:rPr>
          <w:color w:val="231F20"/>
        </w:rPr>
        <w:t>mismo</w:t>
      </w:r>
      <w:r>
        <w:rPr>
          <w:color w:val="231F20"/>
          <w:spacing w:val="-7"/>
        </w:rPr>
        <w:t> </w:t>
      </w:r>
      <w:r>
        <w:rPr>
          <w:color w:val="231F20"/>
        </w:rPr>
        <w:t>proceso,</w:t>
      </w:r>
      <w:r>
        <w:rPr>
          <w:color w:val="231F20"/>
          <w:spacing w:val="-6"/>
        </w:rPr>
        <w:t> </w:t>
      </w:r>
      <w:r>
        <w:rPr>
          <w:color w:val="231F20"/>
        </w:rPr>
        <w:t>vemos</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crisis</w:t>
      </w:r>
      <w:r>
        <w:rPr>
          <w:color w:val="231F20"/>
          <w:spacing w:val="-7"/>
        </w:rPr>
        <w:t> </w:t>
      </w:r>
      <w:r>
        <w:rPr>
          <w:color w:val="231F20"/>
        </w:rPr>
        <w:t>habría afectado directamente sus condiciones laborales y por ese medio, sus niveles</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aumentando</w:t>
      </w:r>
      <w:r>
        <w:rPr>
          <w:color w:val="231F20"/>
          <w:spacing w:val="-5"/>
        </w:rPr>
        <w:t> </w:t>
      </w:r>
      <w:r>
        <w:rPr>
          <w:color w:val="231F20"/>
        </w:rPr>
        <w:t>la</w:t>
      </w:r>
      <w:r>
        <w:rPr>
          <w:color w:val="231F20"/>
          <w:spacing w:val="-5"/>
        </w:rPr>
        <w:t> </w:t>
      </w:r>
      <w:r>
        <w:rPr>
          <w:color w:val="231F20"/>
        </w:rPr>
        <w:t>proporción</w:t>
      </w:r>
      <w:r>
        <w:rPr>
          <w:color w:val="231F20"/>
          <w:spacing w:val="-5"/>
        </w:rPr>
        <w:t> </w:t>
      </w:r>
      <w:r>
        <w:rPr>
          <w:color w:val="231F20"/>
        </w:rPr>
        <w:t>de</w:t>
      </w:r>
      <w:r>
        <w:rPr>
          <w:color w:val="231F20"/>
          <w:spacing w:val="-5"/>
        </w:rPr>
        <w:t> </w:t>
      </w:r>
      <w:r>
        <w:rPr>
          <w:color w:val="231F20"/>
        </w:rPr>
        <w:t>ellos</w:t>
      </w:r>
      <w:r>
        <w:rPr>
          <w:color w:val="231F20"/>
          <w:spacing w:val="-5"/>
        </w:rPr>
        <w:t> </w:t>
      </w:r>
      <w:r>
        <w:rPr>
          <w:color w:val="231F20"/>
        </w:rPr>
        <w:t>en</w:t>
      </w:r>
      <w:r>
        <w:rPr>
          <w:color w:val="231F20"/>
          <w:spacing w:val="-5"/>
        </w:rPr>
        <w:t> </w:t>
      </w:r>
      <w:r>
        <w:rPr>
          <w:color w:val="231F20"/>
        </w:rPr>
        <w:t>situaciones</w:t>
      </w:r>
      <w:r>
        <w:rPr>
          <w:color w:val="231F20"/>
          <w:spacing w:val="-5"/>
        </w:rPr>
        <w:t> </w:t>
      </w:r>
      <w:r>
        <w:rPr>
          <w:color w:val="231F20"/>
        </w:rPr>
        <w:t>de</w:t>
      </w:r>
      <w:r>
        <w:rPr>
          <w:color w:val="231F20"/>
          <w:spacing w:val="-5"/>
        </w:rPr>
        <w:t> </w:t>
      </w:r>
      <w:r>
        <w:rPr>
          <w:color w:val="231F20"/>
        </w:rPr>
        <w:t>alta precariedad laboral, así como en situación de</w:t>
      </w:r>
      <w:r>
        <w:rPr>
          <w:color w:val="231F20"/>
          <w:spacing w:val="-12"/>
        </w:rPr>
        <w:t> </w:t>
      </w:r>
      <w:r>
        <w:rPr>
          <w:color w:val="231F20"/>
        </w:rPr>
        <w:t>pobreza.</w:t>
      </w:r>
    </w:p>
    <w:p>
      <w:pPr>
        <w:pStyle w:val="BodyText"/>
        <w:spacing w:line="249" w:lineRule="auto" w:before="1"/>
        <w:ind w:left="110" w:right="111" w:firstLine="283"/>
        <w:jc w:val="both"/>
      </w:pPr>
      <w:r>
        <w:rPr>
          <w:color w:val="231F20"/>
        </w:rPr>
        <w:t>El corolario de ello, parece claro y obvio. Dada la dependencia de la sociedad norteamericana respecto a la provisión de mano de obra no ca- lificada</w:t>
      </w:r>
      <w:r>
        <w:rPr>
          <w:color w:val="231F20"/>
          <w:spacing w:val="-5"/>
        </w:rPr>
        <w:t> </w:t>
      </w:r>
      <w:r>
        <w:rPr>
          <w:color w:val="231F20"/>
        </w:rPr>
        <w:t>para</w:t>
      </w:r>
      <w:r>
        <w:rPr>
          <w:color w:val="231F20"/>
          <w:spacing w:val="-5"/>
        </w:rPr>
        <w:t> </w:t>
      </w:r>
      <w:r>
        <w:rPr>
          <w:color w:val="231F20"/>
        </w:rPr>
        <w:t>asegurar</w:t>
      </w:r>
      <w:r>
        <w:rPr>
          <w:color w:val="231F20"/>
          <w:spacing w:val="-5"/>
        </w:rPr>
        <w:t> </w:t>
      </w:r>
      <w:r>
        <w:rPr>
          <w:color w:val="231F20"/>
        </w:rPr>
        <w:t>la</w:t>
      </w:r>
      <w:r>
        <w:rPr>
          <w:color w:val="231F20"/>
          <w:spacing w:val="-5"/>
        </w:rPr>
        <w:t> </w:t>
      </w:r>
      <w:r>
        <w:rPr>
          <w:color w:val="231F20"/>
        </w:rPr>
        <w:t>reproducción</w:t>
      </w:r>
      <w:r>
        <w:rPr>
          <w:color w:val="231F20"/>
          <w:spacing w:val="-5"/>
        </w:rPr>
        <w:t> </w:t>
      </w:r>
      <w:r>
        <w:rPr>
          <w:color w:val="231F20"/>
        </w:rPr>
        <w:t>social</w:t>
      </w:r>
      <w:r>
        <w:rPr>
          <w:color w:val="231F20"/>
          <w:spacing w:val="-5"/>
        </w:rPr>
        <w:t> </w:t>
      </w:r>
      <w:r>
        <w:rPr>
          <w:color w:val="231F20"/>
        </w:rPr>
        <w:t>y</w:t>
      </w:r>
      <w:r>
        <w:rPr>
          <w:color w:val="231F20"/>
          <w:spacing w:val="-5"/>
        </w:rPr>
        <w:t> </w:t>
      </w:r>
      <w:r>
        <w:rPr>
          <w:color w:val="231F20"/>
        </w:rPr>
        <w:t>cotidiana</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población, y por tanto, de mantener un estilo de vida global y postmoderno, resulta lógico</w:t>
      </w:r>
      <w:r>
        <w:rPr>
          <w:color w:val="231F20"/>
          <w:spacing w:val="-8"/>
        </w:rPr>
        <w:t> </w:t>
      </w:r>
      <w:r>
        <w:rPr>
          <w:color w:val="231F20"/>
        </w:rPr>
        <w:t>que</w:t>
      </w:r>
      <w:r>
        <w:rPr>
          <w:color w:val="231F20"/>
          <w:spacing w:val="-7"/>
        </w:rPr>
        <w:t> </w:t>
      </w:r>
      <w:r>
        <w:rPr>
          <w:color w:val="231F20"/>
        </w:rPr>
        <w:t>quienes</w:t>
      </w:r>
      <w:r>
        <w:rPr>
          <w:color w:val="231F20"/>
          <w:spacing w:val="-7"/>
        </w:rPr>
        <w:t> </w:t>
      </w:r>
      <w:r>
        <w:rPr>
          <w:color w:val="231F20"/>
        </w:rPr>
        <w:t>se</w:t>
      </w:r>
      <w:r>
        <w:rPr>
          <w:color w:val="231F20"/>
          <w:spacing w:val="-7"/>
        </w:rPr>
        <w:t> </w:t>
      </w:r>
      <w:r>
        <w:rPr>
          <w:color w:val="231F20"/>
        </w:rPr>
        <w:t>emplean</w:t>
      </w:r>
      <w:r>
        <w:rPr>
          <w:color w:val="231F20"/>
          <w:spacing w:val="-8"/>
        </w:rPr>
        <w:t> </w:t>
      </w:r>
      <w:r>
        <w:rPr>
          <w:color w:val="231F20"/>
        </w:rPr>
        <w:t>en</w:t>
      </w:r>
      <w:r>
        <w:rPr>
          <w:color w:val="231F20"/>
          <w:spacing w:val="-8"/>
        </w:rPr>
        <w:t> </w:t>
      </w:r>
      <w:r>
        <w:rPr>
          <w:color w:val="231F20"/>
        </w:rPr>
        <w:t>esas</w:t>
      </w:r>
      <w:r>
        <w:rPr>
          <w:color w:val="231F20"/>
          <w:spacing w:val="-8"/>
        </w:rPr>
        <w:t> </w:t>
      </w:r>
      <w:r>
        <w:rPr>
          <w:color w:val="231F20"/>
        </w:rPr>
        <w:t>tareas</w:t>
      </w:r>
      <w:r>
        <w:rPr>
          <w:color w:val="231F20"/>
          <w:spacing w:val="-8"/>
        </w:rPr>
        <w:t> </w:t>
      </w:r>
      <w:r>
        <w:rPr>
          <w:color w:val="231F20"/>
        </w:rPr>
        <w:t>(preferentemente</w:t>
      </w:r>
      <w:r>
        <w:rPr>
          <w:color w:val="231F20"/>
          <w:spacing w:val="-7"/>
        </w:rPr>
        <w:t> </w:t>
      </w:r>
      <w:r>
        <w:rPr>
          <w:color w:val="231F20"/>
        </w:rPr>
        <w:t>inmigran-</w:t>
      </w:r>
    </w:p>
    <w:p>
      <w:pPr>
        <w:spacing w:after="0" w:line="249" w:lineRule="auto"/>
        <w:jc w:val="both"/>
        <w:sectPr>
          <w:pgSz w:w="7770" w:h="11740"/>
          <w:pgMar w:header="0" w:footer="474" w:top="840" w:bottom="740" w:left="740" w:right="1020"/>
        </w:sectPr>
      </w:pPr>
    </w:p>
    <w:p>
      <w:pPr>
        <w:pStyle w:val="BodyText"/>
        <w:spacing w:line="249" w:lineRule="auto" w:before="60"/>
        <w:ind w:left="113" w:right="107"/>
        <w:jc w:val="both"/>
      </w:pPr>
      <w:r>
        <w:rPr>
          <w:color w:val="231F20"/>
        </w:rPr>
        <w:t>tes</w:t>
      </w:r>
      <w:r>
        <w:rPr>
          <w:color w:val="231F20"/>
          <w:spacing w:val="-5"/>
        </w:rPr>
        <w:t> </w:t>
      </w:r>
      <w:r>
        <w:rPr>
          <w:color w:val="231F20"/>
        </w:rPr>
        <w:t>latinoamericanos),</w:t>
      </w:r>
      <w:r>
        <w:rPr>
          <w:color w:val="231F20"/>
          <w:spacing w:val="-5"/>
        </w:rPr>
        <w:t> </w:t>
      </w:r>
      <w:r>
        <w:rPr>
          <w:color w:val="231F20"/>
        </w:rPr>
        <w:t>tiendan</w:t>
      </w:r>
      <w:r>
        <w:rPr>
          <w:color w:val="231F20"/>
          <w:spacing w:val="-5"/>
        </w:rPr>
        <w:t> </w:t>
      </w:r>
      <w:r>
        <w:rPr>
          <w:color w:val="231F20"/>
        </w:rPr>
        <w:t>a</w:t>
      </w:r>
      <w:r>
        <w:rPr>
          <w:color w:val="231F20"/>
          <w:spacing w:val="-5"/>
        </w:rPr>
        <w:t> </w:t>
      </w:r>
      <w:r>
        <w:rPr>
          <w:color w:val="231F20"/>
        </w:rPr>
        <w:t>mantener</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veces</w:t>
      </w:r>
      <w:r>
        <w:rPr>
          <w:color w:val="231F20"/>
          <w:spacing w:val="-5"/>
        </w:rPr>
        <w:t> </w:t>
      </w:r>
      <w:r>
        <w:rPr>
          <w:color w:val="231F20"/>
        </w:rPr>
        <w:t>expandir</w:t>
      </w:r>
      <w:r>
        <w:rPr>
          <w:color w:val="231F20"/>
          <w:spacing w:val="-5"/>
        </w:rPr>
        <w:t> </w:t>
      </w:r>
      <w:r>
        <w:rPr>
          <w:color w:val="231F20"/>
        </w:rPr>
        <w:t>sus</w:t>
      </w:r>
      <w:r>
        <w:rPr>
          <w:color w:val="231F20"/>
          <w:spacing w:val="-5"/>
        </w:rPr>
        <w:t> </w:t>
      </w:r>
      <w:r>
        <w:rPr>
          <w:color w:val="231F20"/>
        </w:rPr>
        <w:t>puestos de</w:t>
      </w:r>
      <w:r>
        <w:rPr>
          <w:color w:val="231F20"/>
          <w:spacing w:val="-6"/>
        </w:rPr>
        <w:t> </w:t>
      </w:r>
      <w:r>
        <w:rPr>
          <w:color w:val="231F20"/>
        </w:rPr>
        <w:t>trabajo,</w:t>
      </w:r>
      <w:r>
        <w:rPr>
          <w:color w:val="231F20"/>
          <w:spacing w:val="-7"/>
        </w:rPr>
        <w:t> </w:t>
      </w:r>
      <w:r>
        <w:rPr>
          <w:color w:val="231F20"/>
        </w:rPr>
        <w:t>pero</w:t>
      </w:r>
      <w:r>
        <w:rPr>
          <w:color w:val="231F20"/>
          <w:spacing w:val="-6"/>
        </w:rPr>
        <w:t> </w:t>
      </w:r>
      <w:r>
        <w:rPr>
          <w:color w:val="231F20"/>
        </w:rPr>
        <w:t>a</w:t>
      </w:r>
      <w:r>
        <w:rPr>
          <w:color w:val="231F20"/>
          <w:spacing w:val="-6"/>
        </w:rPr>
        <w:t> </w:t>
      </w:r>
      <w:r>
        <w:rPr>
          <w:color w:val="231F20"/>
        </w:rPr>
        <w:t>costa</w:t>
      </w:r>
      <w:r>
        <w:rPr>
          <w:color w:val="231F20"/>
          <w:spacing w:val="-7"/>
        </w:rPr>
        <w:t> </w:t>
      </w:r>
      <w:r>
        <w:rPr>
          <w:color w:val="231F20"/>
        </w:rPr>
        <w:t>de</w:t>
      </w:r>
      <w:r>
        <w:rPr>
          <w:color w:val="231F20"/>
          <w:spacing w:val="-6"/>
        </w:rPr>
        <w:t> </w:t>
      </w:r>
      <w:r>
        <w:rPr>
          <w:color w:val="231F20"/>
        </w:rPr>
        <w:t>una</w:t>
      </w:r>
      <w:r>
        <w:rPr>
          <w:color w:val="231F20"/>
          <w:spacing w:val="-6"/>
        </w:rPr>
        <w:t> </w:t>
      </w:r>
      <w:r>
        <w:rPr>
          <w:color w:val="231F20"/>
        </w:rPr>
        <w:t>mayor</w:t>
      </w:r>
      <w:r>
        <w:rPr>
          <w:color w:val="231F20"/>
          <w:spacing w:val="-7"/>
        </w:rPr>
        <w:t> </w:t>
      </w:r>
      <w:r>
        <w:rPr>
          <w:color w:val="231F20"/>
        </w:rPr>
        <w:t>inestabilidad</w:t>
      </w:r>
      <w:r>
        <w:rPr>
          <w:color w:val="231F20"/>
          <w:spacing w:val="-7"/>
        </w:rPr>
        <w:t> </w:t>
      </w:r>
      <w:r>
        <w:rPr>
          <w:color w:val="231F20"/>
        </w:rPr>
        <w:t>y</w:t>
      </w:r>
      <w:r>
        <w:rPr>
          <w:color w:val="231F20"/>
          <w:spacing w:val="-6"/>
        </w:rPr>
        <w:t> </w:t>
      </w:r>
      <w:r>
        <w:rPr>
          <w:color w:val="231F20"/>
        </w:rPr>
        <w:t>precariedad</w:t>
      </w:r>
      <w:r>
        <w:rPr>
          <w:color w:val="231F20"/>
          <w:spacing w:val="-6"/>
        </w:rPr>
        <w:t> </w:t>
      </w:r>
      <w:r>
        <w:rPr>
          <w:color w:val="231F20"/>
        </w:rPr>
        <w:t>laboral. O</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lo</w:t>
      </w:r>
      <w:r>
        <w:rPr>
          <w:color w:val="231F20"/>
          <w:spacing w:val="-8"/>
        </w:rPr>
        <w:t> </w:t>
      </w:r>
      <w:r>
        <w:rPr>
          <w:color w:val="231F20"/>
        </w:rPr>
        <w:t>mismo,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costo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reproducción</w:t>
      </w:r>
      <w:r>
        <w:rPr>
          <w:color w:val="231F20"/>
          <w:spacing w:val="-8"/>
        </w:rPr>
        <w:t> </w:t>
      </w:r>
      <w:r>
        <w:rPr>
          <w:color w:val="231F20"/>
        </w:rPr>
        <w:t>social</w:t>
      </w:r>
      <w:r>
        <w:rPr>
          <w:color w:val="231F20"/>
          <w:spacing w:val="-7"/>
        </w:rPr>
        <w:t> </w:t>
      </w:r>
      <w:r>
        <w:rPr>
          <w:color w:val="231F20"/>
        </w:rPr>
        <w:t>en</w:t>
      </w:r>
      <w:r>
        <w:rPr>
          <w:color w:val="231F20"/>
          <w:spacing w:val="-8"/>
        </w:rPr>
        <w:t> </w:t>
      </w:r>
      <w:r>
        <w:rPr>
          <w:color w:val="231F20"/>
        </w:rPr>
        <w:t>contextos de crisis económica, es en parte transferido a este sector de la fuerza de trabajo. De ese modo, los sectores medios y altos de la sociedad nor- teamericana pueden mantener un estilo de vida, aún en estos contextos de crisis, porque para ello pueden disponer de una mano de obra cuyas condiciones</w:t>
      </w:r>
      <w:r>
        <w:rPr>
          <w:color w:val="231F20"/>
          <w:spacing w:val="-8"/>
        </w:rPr>
        <w:t> </w:t>
      </w:r>
      <w:r>
        <w:rPr>
          <w:color w:val="231F20"/>
        </w:rPr>
        <w:t>de</w:t>
      </w:r>
      <w:r>
        <w:rPr>
          <w:color w:val="231F20"/>
          <w:spacing w:val="-7"/>
        </w:rPr>
        <w:t> </w:t>
      </w:r>
      <w:r>
        <w:rPr>
          <w:color w:val="231F20"/>
        </w:rPr>
        <w:t>vulnerabilidad</w:t>
      </w:r>
      <w:r>
        <w:rPr>
          <w:color w:val="231F20"/>
          <w:spacing w:val="-7"/>
        </w:rPr>
        <w:t> </w:t>
      </w:r>
      <w:r>
        <w:rPr>
          <w:color w:val="231F20"/>
        </w:rPr>
        <w:t>social,</w:t>
      </w:r>
      <w:r>
        <w:rPr>
          <w:color w:val="231F20"/>
          <w:spacing w:val="-7"/>
        </w:rPr>
        <w:t> </w:t>
      </w:r>
      <w:r>
        <w:rPr>
          <w:color w:val="231F20"/>
        </w:rPr>
        <w:t>les</w:t>
      </w:r>
      <w:r>
        <w:rPr>
          <w:color w:val="231F20"/>
          <w:spacing w:val="-8"/>
        </w:rPr>
        <w:t> </w:t>
      </w:r>
      <w:r>
        <w:rPr>
          <w:color w:val="231F20"/>
        </w:rPr>
        <w:t>impide</w:t>
      </w:r>
      <w:r>
        <w:rPr>
          <w:color w:val="231F20"/>
          <w:spacing w:val="-8"/>
        </w:rPr>
        <w:t> </w:t>
      </w:r>
      <w:r>
        <w:rPr>
          <w:color w:val="231F20"/>
        </w:rPr>
        <w:t>negociar</w:t>
      </w:r>
      <w:r>
        <w:rPr>
          <w:color w:val="231F20"/>
          <w:spacing w:val="-7"/>
        </w:rPr>
        <w:t> </w:t>
      </w:r>
      <w:r>
        <w:rPr>
          <w:color w:val="231F20"/>
        </w:rPr>
        <w:t>en</w:t>
      </w:r>
      <w:r>
        <w:rPr>
          <w:color w:val="231F20"/>
          <w:spacing w:val="-8"/>
        </w:rPr>
        <w:t> </w:t>
      </w:r>
      <w:r>
        <w:rPr>
          <w:color w:val="231F20"/>
        </w:rPr>
        <w:t>mejores</w:t>
      </w:r>
      <w:r>
        <w:rPr>
          <w:color w:val="231F20"/>
          <w:spacing w:val="-8"/>
        </w:rPr>
        <w:t> </w:t>
      </w:r>
      <w:r>
        <w:rPr>
          <w:color w:val="231F20"/>
        </w:rPr>
        <w:t>tér- minos las condiciones laborales de su</w:t>
      </w:r>
      <w:r>
        <w:rPr>
          <w:color w:val="231F20"/>
          <w:spacing w:val="-5"/>
        </w:rPr>
        <w:t> </w:t>
      </w:r>
      <w:r>
        <w:rPr>
          <w:color w:val="231F20"/>
        </w:rPr>
        <w:t>actividad.</w:t>
      </w:r>
    </w:p>
    <w:p>
      <w:pPr>
        <w:pStyle w:val="BodyText"/>
        <w:spacing w:line="249" w:lineRule="auto" w:before="1"/>
        <w:ind w:left="113" w:right="107" w:firstLine="283"/>
        <w:jc w:val="both"/>
      </w:pPr>
      <w:r>
        <w:rPr>
          <w:color w:val="231F20"/>
        </w:rPr>
        <w:t>Esto permite explicar estos dos datos aparentemente contradictorios. Por un lado, la mayor precarización de las condiciones de vida y trabajo de la población migrante, pero por otro lado, la ausencia de un retor-   no masivo. No regresan porque aún en esas peores condiciones, pueden mantener e incluso expandir sus puestos de trabajo. Lo relevante, sin embargo, es que esto no hace sino ilustrar cómo en contextos de crisis económica, la reproducción social y mantenimiento del estilo de vida  de los sectores medios y altos, se sustenta en una mayor explotación de aquellos</w:t>
      </w:r>
      <w:r>
        <w:rPr>
          <w:color w:val="231F20"/>
          <w:spacing w:val="-9"/>
        </w:rPr>
        <w:t> </w:t>
      </w:r>
      <w:r>
        <w:rPr>
          <w:color w:val="231F20"/>
        </w:rPr>
        <w:t>estratos</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fuerza</w:t>
      </w:r>
      <w:r>
        <w:rPr>
          <w:color w:val="231F20"/>
          <w:spacing w:val="-8"/>
        </w:rPr>
        <w:t> </w:t>
      </w:r>
      <w:r>
        <w:rPr>
          <w:color w:val="231F20"/>
        </w:rPr>
        <w:t>de</w:t>
      </w:r>
      <w:r>
        <w:rPr>
          <w:color w:val="231F20"/>
          <w:spacing w:val="-8"/>
        </w:rPr>
        <w:t> </w:t>
      </w:r>
      <w:r>
        <w:rPr>
          <w:color w:val="231F20"/>
        </w:rPr>
        <w:t>trabajo</w:t>
      </w:r>
      <w:r>
        <w:rPr>
          <w:color w:val="231F20"/>
          <w:spacing w:val="-9"/>
        </w:rPr>
        <w:t> </w:t>
      </w:r>
      <w:r>
        <w:rPr>
          <w:color w:val="231F20"/>
        </w:rPr>
        <w:t>particularmente</w:t>
      </w:r>
      <w:r>
        <w:rPr>
          <w:color w:val="231F20"/>
          <w:spacing w:val="-8"/>
        </w:rPr>
        <w:t> </w:t>
      </w:r>
      <w:r>
        <w:rPr>
          <w:color w:val="231F20"/>
        </w:rPr>
        <w:t>más</w:t>
      </w:r>
      <w:r>
        <w:rPr>
          <w:color w:val="231F20"/>
          <w:spacing w:val="-8"/>
        </w:rPr>
        <w:t> </w:t>
      </w:r>
      <w:r>
        <w:rPr>
          <w:color w:val="231F20"/>
        </w:rPr>
        <w:t>vulnerables, como</w:t>
      </w:r>
      <w:r>
        <w:rPr>
          <w:color w:val="231F20"/>
          <w:spacing w:val="-9"/>
        </w:rPr>
        <w:t> </w:t>
      </w:r>
      <w:r>
        <w:rPr>
          <w:color w:val="231F20"/>
        </w:rPr>
        <w:t>lo</w:t>
      </w:r>
      <w:r>
        <w:rPr>
          <w:color w:val="231F20"/>
          <w:spacing w:val="-9"/>
        </w:rPr>
        <w:t> </w:t>
      </w:r>
      <w:r>
        <w:rPr>
          <w:color w:val="231F20"/>
        </w:rPr>
        <w:t>son</w:t>
      </w:r>
      <w:r>
        <w:rPr>
          <w:color w:val="231F20"/>
          <w:spacing w:val="-8"/>
        </w:rPr>
        <w:t> </w:t>
      </w:r>
      <w:r>
        <w:rPr>
          <w:color w:val="231F20"/>
        </w:rPr>
        <w:t>los</w:t>
      </w:r>
      <w:r>
        <w:rPr>
          <w:color w:val="231F20"/>
          <w:spacing w:val="-9"/>
        </w:rPr>
        <w:t> </w:t>
      </w:r>
      <w:r>
        <w:rPr>
          <w:color w:val="231F20"/>
        </w:rPr>
        <w:t>inmigrantes</w:t>
      </w:r>
      <w:r>
        <w:rPr>
          <w:color w:val="231F20"/>
          <w:spacing w:val="-9"/>
        </w:rPr>
        <w:t> </w:t>
      </w:r>
      <w:r>
        <w:rPr>
          <w:color w:val="231F20"/>
        </w:rPr>
        <w:t>en</w:t>
      </w:r>
      <w:r>
        <w:rPr>
          <w:color w:val="231F20"/>
          <w:spacing w:val="-9"/>
        </w:rPr>
        <w:t> </w:t>
      </w:r>
      <w:r>
        <w:rPr>
          <w:color w:val="231F20"/>
        </w:rPr>
        <w:t>general,</w:t>
      </w:r>
      <w:r>
        <w:rPr>
          <w:color w:val="231F20"/>
          <w:spacing w:val="-9"/>
        </w:rPr>
        <w:t> </w:t>
      </w:r>
      <w:r>
        <w:rPr>
          <w:color w:val="231F20"/>
        </w:rPr>
        <w:t>y</w:t>
      </w:r>
      <w:r>
        <w:rPr>
          <w:color w:val="231F20"/>
          <w:spacing w:val="-8"/>
        </w:rPr>
        <w:t> </w:t>
      </w:r>
      <w:r>
        <w:rPr>
          <w:color w:val="231F20"/>
        </w:rPr>
        <w:t>latinoamericanos</w:t>
      </w:r>
      <w:r>
        <w:rPr>
          <w:color w:val="231F20"/>
          <w:spacing w:val="-10"/>
        </w:rPr>
        <w:t> </w:t>
      </w:r>
      <w:r>
        <w:rPr>
          <w:color w:val="231F20"/>
        </w:rPr>
        <w:t>en</w:t>
      </w:r>
      <w:r>
        <w:rPr>
          <w:color w:val="231F20"/>
          <w:spacing w:val="-9"/>
        </w:rPr>
        <w:t> </w:t>
      </w:r>
      <w:r>
        <w:rPr>
          <w:color w:val="231F20"/>
        </w:rPr>
        <w:t>particular.</w:t>
      </w:r>
    </w:p>
    <w:p>
      <w:pPr>
        <w:pStyle w:val="BodyText"/>
        <w:spacing w:before="9"/>
        <w:rPr>
          <w:sz w:val="28"/>
        </w:rPr>
      </w:pPr>
    </w:p>
    <w:p>
      <w:pPr>
        <w:pStyle w:val="Heading4"/>
        <w:spacing w:before="0"/>
      </w:pPr>
      <w:r>
        <w:rPr>
          <w:w w:val="85"/>
        </w:rPr>
        <w:t>Bibliografía</w:t>
      </w:r>
    </w:p>
    <w:p>
      <w:pPr>
        <w:pStyle w:val="BodyText"/>
        <w:spacing w:before="7"/>
        <w:rPr>
          <w:b/>
          <w:sz w:val="28"/>
        </w:rPr>
      </w:pPr>
    </w:p>
    <w:p>
      <w:pPr>
        <w:spacing w:line="254" w:lineRule="auto" w:before="0"/>
        <w:ind w:left="113" w:right="108" w:firstLine="0"/>
        <w:jc w:val="both"/>
        <w:rPr>
          <w:sz w:val="18"/>
        </w:rPr>
      </w:pPr>
      <w:r>
        <w:rPr>
          <w:sz w:val="18"/>
        </w:rPr>
        <w:t>Canales, Alejandro I. (2013) “Migración y desarrollo en las sociedades avanza- das. Una mirada desde América Latina”, en </w:t>
      </w:r>
      <w:r>
        <w:rPr>
          <w:i/>
          <w:sz w:val="18"/>
        </w:rPr>
        <w:t>POLIS, Revista Latinoamericana</w:t>
      </w:r>
      <w:r>
        <w:rPr>
          <w:sz w:val="18"/>
        </w:rPr>
        <w:t>, núm. 35, Santiago, Chile.</w:t>
      </w:r>
    </w:p>
    <w:p>
      <w:pPr>
        <w:spacing w:line="254" w:lineRule="auto" w:before="57"/>
        <w:ind w:left="113" w:right="108" w:firstLine="0"/>
        <w:jc w:val="both"/>
        <w:rPr>
          <w:sz w:val="18"/>
        </w:rPr>
      </w:pPr>
      <w:r>
        <w:rPr>
          <w:sz w:val="18"/>
        </w:rPr>
        <w:t>Canales, Alejandro I. (2012) “La migración mexicana frente a la crisis</w:t>
      </w:r>
      <w:r>
        <w:rPr>
          <w:spacing w:val="-23"/>
          <w:sz w:val="18"/>
        </w:rPr>
        <w:t> </w:t>
      </w:r>
      <w:r>
        <w:rPr>
          <w:sz w:val="18"/>
        </w:rPr>
        <w:t>económi- ca</w:t>
      </w:r>
      <w:r>
        <w:rPr>
          <w:spacing w:val="-10"/>
          <w:sz w:val="18"/>
        </w:rPr>
        <w:t> </w:t>
      </w:r>
      <w:r>
        <w:rPr>
          <w:sz w:val="18"/>
        </w:rPr>
        <w:t>actual.</w:t>
      </w:r>
      <w:r>
        <w:rPr>
          <w:spacing w:val="-10"/>
          <w:sz w:val="18"/>
        </w:rPr>
        <w:t> </w:t>
      </w:r>
      <w:r>
        <w:rPr>
          <w:sz w:val="18"/>
        </w:rPr>
        <w:t>Crónica</w:t>
      </w:r>
      <w:r>
        <w:rPr>
          <w:spacing w:val="-10"/>
          <w:sz w:val="18"/>
        </w:rPr>
        <w:t> </w:t>
      </w:r>
      <w:r>
        <w:rPr>
          <w:sz w:val="18"/>
        </w:rPr>
        <w:t>de</w:t>
      </w:r>
      <w:r>
        <w:rPr>
          <w:spacing w:val="-10"/>
          <w:sz w:val="18"/>
        </w:rPr>
        <w:t> </w:t>
      </w:r>
      <w:r>
        <w:rPr>
          <w:sz w:val="18"/>
        </w:rPr>
        <w:t>un</w:t>
      </w:r>
      <w:r>
        <w:rPr>
          <w:spacing w:val="-10"/>
          <w:sz w:val="18"/>
        </w:rPr>
        <w:t> </w:t>
      </w:r>
      <w:r>
        <w:rPr>
          <w:sz w:val="18"/>
        </w:rPr>
        <w:t>retorno</w:t>
      </w:r>
      <w:r>
        <w:rPr>
          <w:spacing w:val="-10"/>
          <w:sz w:val="18"/>
        </w:rPr>
        <w:t> </w:t>
      </w:r>
      <w:r>
        <w:rPr>
          <w:sz w:val="18"/>
        </w:rPr>
        <w:t>moderado”,</w:t>
      </w:r>
      <w:r>
        <w:rPr>
          <w:spacing w:val="-10"/>
          <w:sz w:val="18"/>
        </w:rPr>
        <w:t> </w:t>
      </w:r>
      <w:r>
        <w:rPr>
          <w:sz w:val="18"/>
        </w:rPr>
        <w:t>en</w:t>
      </w:r>
      <w:r>
        <w:rPr>
          <w:spacing w:val="-10"/>
          <w:sz w:val="18"/>
        </w:rPr>
        <w:t> </w:t>
      </w:r>
      <w:r>
        <w:rPr>
          <w:i/>
          <w:sz w:val="18"/>
        </w:rPr>
        <w:t>REMHU,</w:t>
      </w:r>
      <w:r>
        <w:rPr>
          <w:i/>
          <w:spacing w:val="-10"/>
          <w:sz w:val="18"/>
        </w:rPr>
        <w:t> </w:t>
      </w:r>
      <w:r>
        <w:rPr>
          <w:i/>
          <w:sz w:val="18"/>
        </w:rPr>
        <w:t>Revista</w:t>
      </w:r>
      <w:r>
        <w:rPr>
          <w:i/>
          <w:spacing w:val="-10"/>
          <w:sz w:val="18"/>
        </w:rPr>
        <w:t> </w:t>
      </w:r>
      <w:r>
        <w:rPr>
          <w:i/>
          <w:sz w:val="18"/>
        </w:rPr>
        <w:t>Interdisciplinar </w:t>
      </w:r>
      <w:r>
        <w:rPr>
          <w:i/>
          <w:sz w:val="18"/>
        </w:rPr>
        <w:t>da Mobilidade Humana</w:t>
      </w:r>
      <w:r>
        <w:rPr>
          <w:sz w:val="18"/>
        </w:rPr>
        <w:t>. vol. 20, núm. 39, jul./dez, Sao</w:t>
      </w:r>
      <w:r>
        <w:rPr>
          <w:spacing w:val="-15"/>
          <w:sz w:val="18"/>
        </w:rPr>
        <w:t> </w:t>
      </w:r>
      <w:r>
        <w:rPr>
          <w:sz w:val="18"/>
        </w:rPr>
        <w:t>Paulo.</w:t>
      </w:r>
    </w:p>
    <w:p>
      <w:pPr>
        <w:spacing w:line="254" w:lineRule="auto" w:before="57"/>
        <w:ind w:left="113" w:right="108" w:firstLine="0"/>
        <w:jc w:val="both"/>
        <w:rPr>
          <w:sz w:val="18"/>
        </w:rPr>
      </w:pPr>
      <w:r>
        <w:rPr>
          <w:sz w:val="18"/>
        </w:rPr>
        <w:t>Ehrenteich, Barbara y Arlie Russel Hochschild (2004) </w:t>
      </w:r>
      <w:r>
        <w:rPr>
          <w:i/>
          <w:sz w:val="18"/>
        </w:rPr>
        <w:t>Global Woman. Nannies, </w:t>
      </w:r>
      <w:r>
        <w:rPr>
          <w:i/>
          <w:sz w:val="18"/>
        </w:rPr>
        <w:t>Maids and Sex Workers in the New Economy</w:t>
      </w:r>
      <w:r>
        <w:rPr>
          <w:sz w:val="18"/>
        </w:rPr>
        <w:t>, New York: Henry Holt and Com- pany.</w:t>
      </w:r>
    </w:p>
    <w:p>
      <w:pPr>
        <w:spacing w:line="254" w:lineRule="auto" w:before="57"/>
        <w:ind w:left="113" w:right="107" w:firstLine="0"/>
        <w:jc w:val="both"/>
        <w:rPr>
          <w:sz w:val="18"/>
        </w:rPr>
      </w:pPr>
      <w:r>
        <w:rPr>
          <w:sz w:val="18"/>
        </w:rPr>
        <w:t>Fix, Michael, Demetrios G. Papademetriou, Jeanne Batalova, Aaron Terrazas, Serena </w:t>
      </w:r>
      <w:r>
        <w:rPr>
          <w:spacing w:val="-3"/>
          <w:sz w:val="18"/>
        </w:rPr>
        <w:t>Yi-Ying </w:t>
      </w:r>
      <w:r>
        <w:rPr>
          <w:sz w:val="18"/>
        </w:rPr>
        <w:t>Lin y Michelle Mittelstadt (2009) </w:t>
      </w:r>
      <w:r>
        <w:rPr>
          <w:i/>
          <w:sz w:val="18"/>
        </w:rPr>
        <w:t>Migration and the Global Re- </w:t>
      </w:r>
      <w:r>
        <w:rPr>
          <w:i/>
          <w:sz w:val="18"/>
        </w:rPr>
        <w:t>cession</w:t>
      </w:r>
      <w:r>
        <w:rPr>
          <w:sz w:val="18"/>
        </w:rPr>
        <w:t>, Washington DC: Migration Policy Institute, septiembre.</w:t>
      </w:r>
    </w:p>
    <w:p>
      <w:pPr>
        <w:spacing w:line="254" w:lineRule="auto" w:before="57"/>
        <w:ind w:left="113" w:right="108" w:firstLine="0"/>
        <w:jc w:val="both"/>
        <w:rPr>
          <w:sz w:val="18"/>
        </w:rPr>
      </w:pPr>
      <w:r>
        <w:rPr>
          <w:sz w:val="18"/>
        </w:rPr>
        <w:t>García y Griego, Manuel y Francisco Giner de los Ríos (1985) “Es vulnerable la economía mexicana a la aplicación de políticas migratorias estadounidenses?”, en García y Griego, Manuel y Gustavo Vega (comps.), </w:t>
      </w:r>
      <w:r>
        <w:rPr>
          <w:i/>
          <w:sz w:val="18"/>
        </w:rPr>
        <w:t>México-Estados Unidos, </w:t>
      </w:r>
      <w:r>
        <w:rPr>
          <w:i/>
          <w:sz w:val="18"/>
        </w:rPr>
        <w:t>1984</w:t>
      </w:r>
      <w:r>
        <w:rPr>
          <w:sz w:val="18"/>
        </w:rPr>
        <w:t>, México: El Colegio de México.</w:t>
      </w:r>
    </w:p>
    <w:p>
      <w:pPr>
        <w:spacing w:before="57"/>
        <w:ind w:left="113" w:right="0" w:firstLine="0"/>
        <w:jc w:val="both"/>
        <w:rPr>
          <w:i/>
          <w:sz w:val="18"/>
        </w:rPr>
      </w:pPr>
      <w:r>
        <w:rPr>
          <w:sz w:val="18"/>
        </w:rPr>
        <w:t>Hondagneu-Sotelo,  Pierrete  (2007)  </w:t>
      </w:r>
      <w:r>
        <w:rPr>
          <w:i/>
          <w:sz w:val="18"/>
        </w:rPr>
        <w:t>Doméstica:  Immigrant  Workers Cleaning</w:t>
      </w:r>
    </w:p>
    <w:p>
      <w:pPr>
        <w:spacing w:after="0"/>
        <w:jc w:val="both"/>
        <w:rPr>
          <w:sz w:val="18"/>
        </w:rPr>
        <w:sectPr>
          <w:footerReference w:type="default" r:id="rId198"/>
          <w:pgSz w:w="7770" w:h="11740"/>
          <w:pgMar w:footer="474" w:header="0" w:top="840" w:bottom="660" w:left="1020" w:right="740"/>
          <w:pgNumType w:start="153"/>
        </w:sectPr>
      </w:pPr>
    </w:p>
    <w:p>
      <w:pPr>
        <w:spacing w:line="254" w:lineRule="auto" w:before="61"/>
        <w:ind w:left="110" w:right="111" w:firstLine="0"/>
        <w:jc w:val="both"/>
        <w:rPr>
          <w:sz w:val="18"/>
        </w:rPr>
      </w:pPr>
      <w:r>
        <w:rPr>
          <w:i/>
          <w:sz w:val="18"/>
        </w:rPr>
        <w:t>and caring in the Shadows of Affluence</w:t>
      </w:r>
      <w:r>
        <w:rPr>
          <w:sz w:val="18"/>
        </w:rPr>
        <w:t>, Los Angeles: University of California Press.</w:t>
      </w:r>
    </w:p>
    <w:p>
      <w:pPr>
        <w:spacing w:line="254" w:lineRule="auto" w:before="57"/>
        <w:ind w:left="110" w:right="111" w:firstLine="0"/>
        <w:jc w:val="both"/>
        <w:rPr>
          <w:sz w:val="18"/>
        </w:rPr>
      </w:pPr>
      <w:r>
        <w:rPr>
          <w:sz w:val="18"/>
        </w:rPr>
        <w:t>Kochhar, Rakesh (2009) </w:t>
      </w:r>
      <w:r>
        <w:rPr>
          <w:i/>
          <w:sz w:val="18"/>
        </w:rPr>
        <w:t>Unemployment Rises Sharply Among Latino Immi- </w:t>
      </w:r>
      <w:r>
        <w:rPr>
          <w:i/>
          <w:sz w:val="18"/>
        </w:rPr>
        <w:t>grants in 2008, </w:t>
      </w:r>
      <w:r>
        <w:rPr>
          <w:sz w:val="18"/>
        </w:rPr>
        <w:t>Pew Hispanic Center, Washington DC: </w:t>
      </w:r>
      <w:hyperlink r:id="rId199">
        <w:r>
          <w:rPr>
            <w:sz w:val="18"/>
          </w:rPr>
          <w:t>http://pewhispanic.org/</w:t>
        </w:r>
      </w:hyperlink>
      <w:r>
        <w:rPr>
          <w:sz w:val="18"/>
        </w:rPr>
        <w:t> files/reports/102.pdf</w:t>
      </w:r>
    </w:p>
    <w:p>
      <w:pPr>
        <w:spacing w:line="254" w:lineRule="auto" w:before="57"/>
        <w:ind w:left="110" w:right="111" w:firstLine="0"/>
        <w:jc w:val="both"/>
        <w:rPr>
          <w:sz w:val="18"/>
        </w:rPr>
      </w:pPr>
      <w:r>
        <w:rPr>
          <w:sz w:val="18"/>
        </w:rPr>
        <w:t>Krugman, Paul (2009) “La crisis paso a paso”, en </w:t>
      </w:r>
      <w:r>
        <w:rPr>
          <w:i/>
          <w:sz w:val="18"/>
        </w:rPr>
        <w:t>La crisis económica mundial</w:t>
      </w:r>
      <w:r>
        <w:rPr>
          <w:sz w:val="18"/>
        </w:rPr>
        <w:t>, México: Debate.</w:t>
      </w:r>
    </w:p>
    <w:p>
      <w:pPr>
        <w:spacing w:line="254" w:lineRule="auto" w:before="57"/>
        <w:ind w:left="110" w:right="111" w:firstLine="0"/>
        <w:jc w:val="both"/>
        <w:rPr>
          <w:sz w:val="18"/>
        </w:rPr>
      </w:pPr>
      <w:r>
        <w:rPr>
          <w:sz w:val="18"/>
        </w:rPr>
        <w:t>Martínez</w:t>
      </w:r>
      <w:r>
        <w:rPr>
          <w:spacing w:val="-9"/>
          <w:sz w:val="18"/>
        </w:rPr>
        <w:t> </w:t>
      </w:r>
      <w:r>
        <w:rPr>
          <w:sz w:val="18"/>
        </w:rPr>
        <w:t>Pizarro,</w:t>
      </w:r>
      <w:r>
        <w:rPr>
          <w:spacing w:val="-9"/>
          <w:sz w:val="18"/>
        </w:rPr>
        <w:t> </w:t>
      </w:r>
      <w:r>
        <w:rPr>
          <w:sz w:val="18"/>
        </w:rPr>
        <w:t>Jorge,</w:t>
      </w:r>
      <w:r>
        <w:rPr>
          <w:spacing w:val="-9"/>
          <w:sz w:val="18"/>
        </w:rPr>
        <w:t> </w:t>
      </w:r>
      <w:r>
        <w:rPr>
          <w:sz w:val="18"/>
        </w:rPr>
        <w:t>Leandro</w:t>
      </w:r>
      <w:r>
        <w:rPr>
          <w:spacing w:val="-9"/>
          <w:sz w:val="18"/>
        </w:rPr>
        <w:t> </w:t>
      </w:r>
      <w:r>
        <w:rPr>
          <w:sz w:val="18"/>
        </w:rPr>
        <w:t>Reboiras</w:t>
      </w:r>
      <w:r>
        <w:rPr>
          <w:spacing w:val="-9"/>
          <w:sz w:val="18"/>
        </w:rPr>
        <w:t> </w:t>
      </w:r>
      <w:r>
        <w:rPr>
          <w:sz w:val="18"/>
        </w:rPr>
        <w:t>Finardi</w:t>
      </w:r>
      <w:r>
        <w:rPr>
          <w:spacing w:val="-9"/>
          <w:sz w:val="18"/>
        </w:rPr>
        <w:t> </w:t>
      </w:r>
      <w:r>
        <w:rPr>
          <w:sz w:val="18"/>
        </w:rPr>
        <w:t>y</w:t>
      </w:r>
      <w:r>
        <w:rPr>
          <w:spacing w:val="-9"/>
          <w:sz w:val="18"/>
        </w:rPr>
        <w:t> </w:t>
      </w:r>
      <w:r>
        <w:rPr>
          <w:sz w:val="18"/>
        </w:rPr>
        <w:t>Magdalena</w:t>
      </w:r>
      <w:r>
        <w:rPr>
          <w:spacing w:val="-9"/>
          <w:sz w:val="18"/>
        </w:rPr>
        <w:t> </w:t>
      </w:r>
      <w:r>
        <w:rPr>
          <w:sz w:val="18"/>
        </w:rPr>
        <w:t>Soffia</w:t>
      </w:r>
      <w:r>
        <w:rPr>
          <w:spacing w:val="-9"/>
          <w:sz w:val="18"/>
        </w:rPr>
        <w:t> </w:t>
      </w:r>
      <w:r>
        <w:rPr>
          <w:sz w:val="18"/>
        </w:rPr>
        <w:t>Contrucci (2009)</w:t>
      </w:r>
      <w:r>
        <w:rPr>
          <w:spacing w:val="-7"/>
          <w:sz w:val="18"/>
        </w:rPr>
        <w:t> </w:t>
      </w:r>
      <w:r>
        <w:rPr>
          <w:i/>
          <w:sz w:val="18"/>
        </w:rPr>
        <w:t>Los</w:t>
      </w:r>
      <w:r>
        <w:rPr>
          <w:i/>
          <w:spacing w:val="-7"/>
          <w:sz w:val="18"/>
        </w:rPr>
        <w:t> </w:t>
      </w:r>
      <w:r>
        <w:rPr>
          <w:i/>
          <w:sz w:val="18"/>
        </w:rPr>
        <w:t>derechos</w:t>
      </w:r>
      <w:r>
        <w:rPr>
          <w:i/>
          <w:spacing w:val="-8"/>
          <w:sz w:val="18"/>
        </w:rPr>
        <w:t> </w:t>
      </w:r>
      <w:r>
        <w:rPr>
          <w:i/>
          <w:sz w:val="18"/>
        </w:rPr>
        <w:t>concedidos:</w:t>
      </w:r>
      <w:r>
        <w:rPr>
          <w:i/>
          <w:spacing w:val="-8"/>
          <w:sz w:val="18"/>
        </w:rPr>
        <w:t> </w:t>
      </w:r>
      <w:r>
        <w:rPr>
          <w:i/>
          <w:sz w:val="18"/>
        </w:rPr>
        <w:t>crisis</w:t>
      </w:r>
      <w:r>
        <w:rPr>
          <w:i/>
          <w:spacing w:val="-8"/>
          <w:sz w:val="18"/>
        </w:rPr>
        <w:t> </w:t>
      </w:r>
      <w:r>
        <w:rPr>
          <w:i/>
          <w:sz w:val="18"/>
        </w:rPr>
        <w:t>económica</w:t>
      </w:r>
      <w:r>
        <w:rPr>
          <w:i/>
          <w:spacing w:val="-8"/>
          <w:sz w:val="18"/>
        </w:rPr>
        <w:t> </w:t>
      </w:r>
      <w:r>
        <w:rPr>
          <w:i/>
          <w:sz w:val="18"/>
        </w:rPr>
        <w:t>mundial</w:t>
      </w:r>
      <w:r>
        <w:rPr>
          <w:i/>
          <w:spacing w:val="-7"/>
          <w:sz w:val="18"/>
        </w:rPr>
        <w:t> </w:t>
      </w:r>
      <w:r>
        <w:rPr>
          <w:i/>
          <w:sz w:val="18"/>
        </w:rPr>
        <w:t>y</w:t>
      </w:r>
      <w:r>
        <w:rPr>
          <w:i/>
          <w:spacing w:val="-7"/>
          <w:sz w:val="18"/>
        </w:rPr>
        <w:t> </w:t>
      </w:r>
      <w:r>
        <w:rPr>
          <w:i/>
          <w:sz w:val="18"/>
        </w:rPr>
        <w:t>migración</w:t>
      </w:r>
      <w:r>
        <w:rPr>
          <w:i/>
          <w:spacing w:val="-7"/>
          <w:sz w:val="18"/>
        </w:rPr>
        <w:t> </w:t>
      </w:r>
      <w:r>
        <w:rPr>
          <w:i/>
          <w:sz w:val="18"/>
        </w:rPr>
        <w:t>interna- </w:t>
      </w:r>
      <w:r>
        <w:rPr>
          <w:i/>
          <w:sz w:val="18"/>
        </w:rPr>
        <w:t>cional</w:t>
      </w:r>
      <w:r>
        <w:rPr>
          <w:sz w:val="18"/>
        </w:rPr>
        <w:t>, Serie Población y Desarrollo núm. 89, Santiago de Chile:</w:t>
      </w:r>
      <w:r>
        <w:rPr>
          <w:spacing w:val="-29"/>
          <w:sz w:val="18"/>
        </w:rPr>
        <w:t> </w:t>
      </w:r>
      <w:r>
        <w:rPr>
          <w:sz w:val="18"/>
        </w:rPr>
        <w:t>Cepal.</w:t>
      </w:r>
    </w:p>
    <w:p>
      <w:pPr>
        <w:spacing w:line="254" w:lineRule="auto" w:before="57"/>
        <w:ind w:left="110" w:right="111" w:firstLine="0"/>
        <w:jc w:val="both"/>
        <w:rPr>
          <w:sz w:val="18"/>
        </w:rPr>
      </w:pPr>
      <w:r>
        <w:rPr>
          <w:sz w:val="18"/>
        </w:rPr>
        <w:t>Ocampo, José Antonio (2009) “Latin America and the Global Financial Crisis”, en </w:t>
      </w:r>
      <w:r>
        <w:rPr>
          <w:i/>
          <w:sz w:val="18"/>
        </w:rPr>
        <w:t>Cambridge Journal of Economics</w:t>
      </w:r>
      <w:r>
        <w:rPr>
          <w:sz w:val="18"/>
        </w:rPr>
        <w:t>, vol. 33, junio.</w:t>
      </w:r>
    </w:p>
    <w:p>
      <w:pPr>
        <w:spacing w:line="254" w:lineRule="auto" w:before="57"/>
        <w:ind w:left="110" w:right="111" w:firstLine="0"/>
        <w:jc w:val="both"/>
        <w:rPr>
          <w:sz w:val="18"/>
        </w:rPr>
      </w:pPr>
      <w:r>
        <w:rPr>
          <w:sz w:val="18"/>
        </w:rPr>
        <w:t>Orozco, Manuel (2009) </w:t>
      </w:r>
      <w:r>
        <w:rPr>
          <w:i/>
          <w:sz w:val="18"/>
        </w:rPr>
        <w:t>Understanding the continuing effect of the economic </w:t>
      </w:r>
      <w:r>
        <w:rPr>
          <w:i/>
          <w:sz w:val="18"/>
        </w:rPr>
        <w:t>crisis on remittances to Latin America and the Caribbean</w:t>
      </w:r>
      <w:r>
        <w:rPr>
          <w:sz w:val="18"/>
        </w:rPr>
        <w:t>, Report to IDB-MIF.</w:t>
      </w:r>
    </w:p>
    <w:p>
      <w:pPr>
        <w:spacing w:line="254" w:lineRule="auto" w:before="57"/>
        <w:ind w:left="110" w:right="111" w:firstLine="0"/>
        <w:jc w:val="both"/>
        <w:rPr>
          <w:sz w:val="18"/>
        </w:rPr>
      </w:pPr>
      <w:r>
        <w:rPr>
          <w:sz w:val="18"/>
        </w:rPr>
        <w:t>Papademetriou, Demetrios y Aarón Terrazas (2009) </w:t>
      </w:r>
      <w:r>
        <w:rPr>
          <w:i/>
          <w:sz w:val="18"/>
        </w:rPr>
        <w:t>Immigrants and the Cur- </w:t>
      </w:r>
      <w:r>
        <w:rPr>
          <w:i/>
          <w:sz w:val="18"/>
        </w:rPr>
        <w:t>rent Economic Crisis: Research Evidence, Policy Challenges, and Implications</w:t>
      </w:r>
      <w:r>
        <w:rPr>
          <w:sz w:val="18"/>
        </w:rPr>
        <w:t>, Washington:</w:t>
      </w:r>
      <w:r>
        <w:rPr>
          <w:spacing w:val="-18"/>
          <w:sz w:val="18"/>
        </w:rPr>
        <w:t> </w:t>
      </w:r>
      <w:r>
        <w:rPr>
          <w:sz w:val="18"/>
        </w:rPr>
        <w:t>Migration</w:t>
      </w:r>
      <w:r>
        <w:rPr>
          <w:spacing w:val="-17"/>
          <w:sz w:val="18"/>
        </w:rPr>
        <w:t> </w:t>
      </w:r>
      <w:r>
        <w:rPr>
          <w:sz w:val="18"/>
        </w:rPr>
        <w:t>Policy</w:t>
      </w:r>
      <w:r>
        <w:rPr>
          <w:spacing w:val="-18"/>
          <w:sz w:val="18"/>
        </w:rPr>
        <w:t> </w:t>
      </w:r>
      <w:r>
        <w:rPr>
          <w:sz w:val="18"/>
        </w:rPr>
        <w:t>Institute,</w:t>
      </w:r>
      <w:r>
        <w:rPr>
          <w:spacing w:val="-18"/>
          <w:sz w:val="18"/>
        </w:rPr>
        <w:t> </w:t>
      </w:r>
      <w:r>
        <w:rPr>
          <w:sz w:val="18"/>
        </w:rPr>
        <w:t>consultado</w:t>
      </w:r>
      <w:r>
        <w:rPr>
          <w:spacing w:val="-18"/>
          <w:sz w:val="18"/>
        </w:rPr>
        <w:t> </w:t>
      </w:r>
      <w:r>
        <w:rPr>
          <w:sz w:val="18"/>
        </w:rPr>
        <w:t>en</w:t>
      </w:r>
      <w:r>
        <w:rPr>
          <w:spacing w:val="-18"/>
          <w:sz w:val="18"/>
        </w:rPr>
        <w:t> </w:t>
      </w:r>
      <w:hyperlink r:id="rId200">
        <w:r>
          <w:rPr>
            <w:sz w:val="18"/>
          </w:rPr>
          <w:t>www.migrationpolicy.org/</w:t>
        </w:r>
      </w:hyperlink>
      <w:r>
        <w:rPr>
          <w:sz w:val="18"/>
        </w:rPr>
        <w:t> pubs/lmi_recessionJan09.pdf</w:t>
      </w:r>
    </w:p>
    <w:p>
      <w:pPr>
        <w:spacing w:line="254" w:lineRule="auto" w:before="57"/>
        <w:ind w:left="110" w:right="111" w:firstLine="0"/>
        <w:jc w:val="both"/>
        <w:rPr>
          <w:sz w:val="18"/>
        </w:rPr>
      </w:pPr>
      <w:r>
        <w:rPr>
          <w:sz w:val="18"/>
        </w:rPr>
        <w:t>Parella Rubio, Sonia (2003) </w:t>
      </w:r>
      <w:r>
        <w:rPr>
          <w:i/>
          <w:spacing w:val="-4"/>
          <w:sz w:val="18"/>
        </w:rPr>
        <w:t>Mujer, </w:t>
      </w:r>
      <w:r>
        <w:rPr>
          <w:i/>
          <w:sz w:val="18"/>
        </w:rPr>
        <w:t>inmigrante y trabajadora: la triple discrimi- </w:t>
      </w:r>
      <w:r>
        <w:rPr>
          <w:i/>
          <w:sz w:val="18"/>
        </w:rPr>
        <w:t>nación</w:t>
      </w:r>
      <w:r>
        <w:rPr>
          <w:sz w:val="18"/>
        </w:rPr>
        <w:t>, Madrid: Anthropos.</w:t>
      </w:r>
    </w:p>
    <w:p>
      <w:pPr>
        <w:spacing w:line="254" w:lineRule="auto" w:before="57"/>
        <w:ind w:left="110" w:right="111" w:firstLine="0"/>
        <w:jc w:val="both"/>
        <w:rPr>
          <w:sz w:val="18"/>
        </w:rPr>
      </w:pPr>
      <w:r>
        <w:rPr>
          <w:sz w:val="18"/>
        </w:rPr>
        <w:t>Ratha,</w:t>
      </w:r>
      <w:r>
        <w:rPr>
          <w:spacing w:val="-10"/>
          <w:sz w:val="18"/>
        </w:rPr>
        <w:t> </w:t>
      </w:r>
      <w:r>
        <w:rPr>
          <w:sz w:val="18"/>
        </w:rPr>
        <w:t>Dilip</w:t>
      </w:r>
      <w:r>
        <w:rPr>
          <w:spacing w:val="-9"/>
          <w:sz w:val="18"/>
        </w:rPr>
        <w:t> </w:t>
      </w:r>
      <w:r>
        <w:rPr>
          <w:sz w:val="18"/>
        </w:rPr>
        <w:t>y</w:t>
      </w:r>
      <w:r>
        <w:rPr>
          <w:spacing w:val="-10"/>
          <w:sz w:val="18"/>
        </w:rPr>
        <w:t> </w:t>
      </w:r>
      <w:r>
        <w:rPr>
          <w:sz w:val="18"/>
        </w:rPr>
        <w:t>Sanket</w:t>
      </w:r>
      <w:r>
        <w:rPr>
          <w:spacing w:val="-9"/>
          <w:sz w:val="18"/>
        </w:rPr>
        <w:t> </w:t>
      </w:r>
      <w:r>
        <w:rPr>
          <w:sz w:val="18"/>
        </w:rPr>
        <w:t>Mohapatra</w:t>
      </w:r>
      <w:r>
        <w:rPr>
          <w:spacing w:val="-9"/>
          <w:sz w:val="18"/>
        </w:rPr>
        <w:t> </w:t>
      </w:r>
      <w:r>
        <w:rPr>
          <w:sz w:val="18"/>
        </w:rPr>
        <w:t>(2009)</w:t>
      </w:r>
      <w:r>
        <w:rPr>
          <w:spacing w:val="-10"/>
          <w:sz w:val="18"/>
        </w:rPr>
        <w:t> </w:t>
      </w:r>
      <w:r>
        <w:rPr>
          <w:sz w:val="18"/>
        </w:rPr>
        <w:t>“Revised</w:t>
      </w:r>
      <w:r>
        <w:rPr>
          <w:spacing w:val="-10"/>
          <w:sz w:val="18"/>
        </w:rPr>
        <w:t> </w:t>
      </w:r>
      <w:r>
        <w:rPr>
          <w:sz w:val="18"/>
        </w:rPr>
        <w:t>Outlook</w:t>
      </w:r>
      <w:r>
        <w:rPr>
          <w:spacing w:val="-9"/>
          <w:sz w:val="18"/>
        </w:rPr>
        <w:t> </w:t>
      </w:r>
      <w:r>
        <w:rPr>
          <w:sz w:val="18"/>
        </w:rPr>
        <w:t>for</w:t>
      </w:r>
      <w:r>
        <w:rPr>
          <w:spacing w:val="-10"/>
          <w:sz w:val="18"/>
        </w:rPr>
        <w:t> </w:t>
      </w:r>
      <w:r>
        <w:rPr>
          <w:sz w:val="18"/>
        </w:rPr>
        <w:t>Remittance</w:t>
      </w:r>
      <w:r>
        <w:rPr>
          <w:spacing w:val="-10"/>
          <w:sz w:val="18"/>
        </w:rPr>
        <w:t> </w:t>
      </w:r>
      <w:r>
        <w:rPr>
          <w:sz w:val="18"/>
        </w:rPr>
        <w:t>Flows 2009-2011: Remittances expected to fall by 5 to 8 percent in 2009”, en </w:t>
      </w:r>
      <w:r>
        <w:rPr>
          <w:i/>
          <w:sz w:val="18"/>
        </w:rPr>
        <w:t>Migra- </w:t>
      </w:r>
      <w:r>
        <w:rPr>
          <w:i/>
          <w:sz w:val="18"/>
        </w:rPr>
        <w:t>tion and Development Brief 9</w:t>
      </w:r>
      <w:r>
        <w:rPr>
          <w:sz w:val="18"/>
        </w:rPr>
        <w:t>, Migration and Remittances </w:t>
      </w:r>
      <w:r>
        <w:rPr>
          <w:spacing w:val="-4"/>
          <w:sz w:val="18"/>
        </w:rPr>
        <w:t>Team </w:t>
      </w:r>
      <w:r>
        <w:rPr>
          <w:sz w:val="18"/>
        </w:rPr>
        <w:t>Development Prospects Group, </w:t>
      </w:r>
      <w:r>
        <w:rPr>
          <w:spacing w:val="-3"/>
          <w:sz w:val="18"/>
        </w:rPr>
        <w:t>World </w:t>
      </w:r>
      <w:r>
        <w:rPr>
          <w:sz w:val="18"/>
        </w:rPr>
        <w:t>Bank,</w:t>
      </w:r>
      <w:r>
        <w:rPr>
          <w:spacing w:val="-20"/>
          <w:sz w:val="18"/>
        </w:rPr>
        <w:t> </w:t>
      </w:r>
      <w:r>
        <w:rPr>
          <w:sz w:val="18"/>
        </w:rPr>
        <w:t>March.</w:t>
      </w:r>
    </w:p>
    <w:p>
      <w:pPr>
        <w:spacing w:before="57"/>
        <w:ind w:left="110" w:right="0" w:firstLine="0"/>
        <w:jc w:val="both"/>
        <w:rPr>
          <w:sz w:val="18"/>
        </w:rPr>
      </w:pPr>
      <w:r>
        <w:rPr>
          <w:sz w:val="18"/>
        </w:rPr>
        <w:t>Sarmiento Palacio, Eduardo (2009) “Causas y evolución de la crisis mundial”, en</w:t>
      </w:r>
    </w:p>
    <w:p>
      <w:pPr>
        <w:spacing w:before="13"/>
        <w:ind w:left="110" w:right="0" w:firstLine="0"/>
        <w:jc w:val="both"/>
        <w:rPr>
          <w:sz w:val="18"/>
        </w:rPr>
      </w:pPr>
      <w:r>
        <w:rPr>
          <w:i/>
          <w:sz w:val="18"/>
        </w:rPr>
        <w:t>La crisis económica mundial</w:t>
      </w:r>
      <w:r>
        <w:rPr>
          <w:sz w:val="18"/>
        </w:rPr>
        <w:t>, México: Editorial Debate.</w:t>
      </w:r>
    </w:p>
    <w:p>
      <w:pPr>
        <w:spacing w:line="254" w:lineRule="auto" w:before="69"/>
        <w:ind w:left="110" w:right="111" w:firstLine="0"/>
        <w:jc w:val="both"/>
        <w:rPr>
          <w:sz w:val="18"/>
        </w:rPr>
      </w:pPr>
      <w:r>
        <w:rPr>
          <w:sz w:val="18"/>
        </w:rPr>
        <w:t>SELA (2009) </w:t>
      </w:r>
      <w:r>
        <w:rPr>
          <w:i/>
          <w:sz w:val="18"/>
        </w:rPr>
        <w:t>Recesión global, migraciones y remesas: efectos sobre las eco- </w:t>
      </w:r>
      <w:r>
        <w:rPr>
          <w:i/>
          <w:sz w:val="18"/>
        </w:rPr>
        <w:t>nomías de América Latina y El Caribe</w:t>
      </w:r>
      <w:r>
        <w:rPr>
          <w:sz w:val="18"/>
        </w:rPr>
        <w:t>, Sistema Económico Latinoamericano, Caracas: Mmyo. SP/Di núms. 5-9/Rev. 1</w:t>
      </w:r>
    </w:p>
    <w:p>
      <w:pPr>
        <w:spacing w:line="254" w:lineRule="auto" w:before="57"/>
        <w:ind w:left="110" w:right="111" w:firstLine="0"/>
        <w:jc w:val="both"/>
        <w:rPr>
          <w:sz w:val="18"/>
        </w:rPr>
      </w:pPr>
      <w:r>
        <w:rPr>
          <w:sz w:val="18"/>
        </w:rPr>
        <w:t>Solimano, Andrés (2009) </w:t>
      </w:r>
      <w:r>
        <w:rPr>
          <w:i/>
          <w:sz w:val="18"/>
        </w:rPr>
        <w:t>Remesas, movilidad de capital humano y desarrollo </w:t>
      </w:r>
      <w:r>
        <w:rPr>
          <w:i/>
          <w:sz w:val="18"/>
        </w:rPr>
        <w:t>económico: la experiencia latinoamericana</w:t>
      </w:r>
      <w:r>
        <w:rPr>
          <w:sz w:val="18"/>
        </w:rPr>
        <w:t>, Documento de trabajo. CIDOB, Barcelona: septiembre 14.</w:t>
      </w:r>
    </w:p>
    <w:p>
      <w:pPr>
        <w:spacing w:line="254" w:lineRule="auto" w:before="57"/>
        <w:ind w:left="110" w:right="112" w:firstLine="0"/>
        <w:jc w:val="both"/>
        <w:rPr>
          <w:sz w:val="18"/>
        </w:rPr>
      </w:pPr>
      <w:r>
        <w:rPr>
          <w:sz w:val="18"/>
        </w:rPr>
        <w:t>Stiglitz, Joseph E. (2012) </w:t>
      </w:r>
      <w:r>
        <w:rPr>
          <w:i/>
          <w:sz w:val="18"/>
        </w:rPr>
        <w:t>El precio de la desigualdad. El uno por ciento de la </w:t>
      </w:r>
      <w:r>
        <w:rPr>
          <w:i/>
          <w:sz w:val="18"/>
        </w:rPr>
        <w:t>población tiene lo que el 99 por ciento necesita</w:t>
      </w:r>
      <w:r>
        <w:rPr>
          <w:sz w:val="18"/>
        </w:rPr>
        <w:t>, México: Taurus.</w:t>
      </w:r>
    </w:p>
    <w:p>
      <w:pPr>
        <w:spacing w:line="254" w:lineRule="auto" w:before="57"/>
        <w:ind w:left="110" w:right="111" w:firstLine="0"/>
        <w:jc w:val="both"/>
        <w:rPr>
          <w:sz w:val="18"/>
        </w:rPr>
      </w:pPr>
      <w:r>
        <w:rPr>
          <w:sz w:val="18"/>
        </w:rPr>
        <w:t>Stiglitz, Joseph (2009) “Crisis mundial, protección social y empleo”, en </w:t>
      </w:r>
      <w:r>
        <w:rPr>
          <w:i/>
          <w:sz w:val="18"/>
        </w:rPr>
        <w:t>Revista </w:t>
      </w:r>
      <w:r>
        <w:rPr>
          <w:i/>
          <w:sz w:val="18"/>
        </w:rPr>
        <w:t>Internacional del Trabajo</w:t>
      </w:r>
      <w:r>
        <w:rPr>
          <w:sz w:val="18"/>
        </w:rPr>
        <w:t>, vol. 128, núms. 1-2, Ginebra: Organización Interna- cional del Trabajo.</w:t>
      </w:r>
    </w:p>
    <w:p>
      <w:pPr>
        <w:spacing w:line="254" w:lineRule="auto" w:before="57"/>
        <w:ind w:left="110" w:right="113" w:firstLine="0"/>
        <w:jc w:val="both"/>
        <w:rPr>
          <w:sz w:val="18"/>
        </w:rPr>
      </w:pPr>
      <w:r>
        <w:rPr>
          <w:sz w:val="18"/>
        </w:rPr>
        <w:t>Zlolniski, Christian (2006) </w:t>
      </w:r>
      <w:r>
        <w:rPr>
          <w:i/>
          <w:sz w:val="18"/>
        </w:rPr>
        <w:t>Janitors, Street Vendors, and Activists: The Lives of </w:t>
      </w:r>
      <w:r>
        <w:rPr>
          <w:i/>
          <w:sz w:val="18"/>
        </w:rPr>
        <w:t>Mexican immigrants in Silicon Valley</w:t>
      </w:r>
      <w:r>
        <w:rPr>
          <w:sz w:val="18"/>
        </w:rPr>
        <w:t>, Berkeley: University of California Press.</w:t>
      </w:r>
    </w:p>
    <w:p>
      <w:pPr>
        <w:spacing w:after="0" w:line="254" w:lineRule="auto"/>
        <w:jc w:val="both"/>
        <w:rPr>
          <w:sz w:val="18"/>
        </w:rPr>
        <w:sectPr>
          <w:pgSz w:w="7770" w:h="11740"/>
          <w:pgMar w:header="0" w:footer="474" w:top="860" w:bottom="740" w:left="740" w:right="1020"/>
        </w:sectPr>
      </w:pPr>
    </w:p>
    <w:p>
      <w:pPr>
        <w:pStyle w:val="Heading1"/>
        <w:ind w:left="515" w:right="107" w:firstLine="775"/>
        <w:jc w:val="right"/>
      </w:pPr>
      <w:r>
        <w:rPr>
          <w:color w:val="231F20"/>
          <w:w w:val="75"/>
        </w:rPr>
        <w:t>El efecto de la segregación residencial socioeconómica sobre el empleo: diferencias </w:t>
      </w:r>
      <w:r>
        <w:rPr>
          <w:color w:val="231F20"/>
          <w:w w:val="80"/>
        </w:rPr>
        <w:t>por género en la Ciudad de México</w:t>
      </w:r>
    </w:p>
    <w:p>
      <w:pPr>
        <w:pStyle w:val="BodyText"/>
        <w:spacing w:before="4"/>
        <w:rPr>
          <w:sz w:val="50"/>
        </w:rPr>
      </w:pPr>
    </w:p>
    <w:p>
      <w:pPr>
        <w:pStyle w:val="Heading3"/>
        <w:ind w:left="3600"/>
      </w:pPr>
      <w:r>
        <w:rPr>
          <w:color w:val="231F20"/>
        </w:rPr>
        <w:t>Landy Sánchez Peña*</w:t>
      </w:r>
    </w:p>
    <w:p>
      <w:pPr>
        <w:pStyle w:val="BodyText"/>
        <w:rPr>
          <w:sz w:val="26"/>
        </w:rPr>
      </w:pPr>
    </w:p>
    <w:p>
      <w:pPr>
        <w:pStyle w:val="BodyText"/>
        <w:rPr>
          <w:sz w:val="26"/>
        </w:rPr>
      </w:pPr>
    </w:p>
    <w:p>
      <w:pPr>
        <w:pStyle w:val="Heading4"/>
        <w:spacing w:before="155"/>
        <w:ind w:right="792"/>
        <w:jc w:val="left"/>
      </w:pPr>
      <w:r>
        <w:rPr>
          <w:w w:val="85"/>
        </w:rPr>
        <w:t>Introducción</w:t>
      </w:r>
    </w:p>
    <w:p>
      <w:pPr>
        <w:pStyle w:val="BodyText"/>
        <w:rPr>
          <w:b/>
        </w:rPr>
      </w:pPr>
    </w:p>
    <w:p>
      <w:pPr>
        <w:pStyle w:val="BodyText"/>
        <w:spacing w:before="7"/>
        <w:rPr>
          <w:b/>
          <w:sz w:val="24"/>
        </w:rPr>
      </w:pPr>
    </w:p>
    <w:p>
      <w:pPr>
        <w:pStyle w:val="BodyText"/>
        <w:spacing w:line="249" w:lineRule="auto" w:before="75"/>
        <w:ind w:left="113" w:right="109"/>
        <w:jc w:val="both"/>
      </w:pPr>
      <w:r>
        <w:rPr>
          <w:color w:val="231F20"/>
        </w:rPr>
        <w:t>Históricamente, los relativos bajos niveles de segregación residencial, patrones de movilidad social y el gradual aumento de los servicios edu- cativos, de salud y urbanos contribuyeron a disminuir el impacto que la concentración espacial de la pobreza tenía sobre las oportunidades de vida de los individuos en la Ciudad de México. Sin embargo, debido a los</w:t>
      </w:r>
      <w:r>
        <w:rPr>
          <w:color w:val="231F20"/>
          <w:spacing w:val="-5"/>
        </w:rPr>
        <w:t> </w:t>
      </w:r>
      <w:r>
        <w:rPr>
          <w:color w:val="231F20"/>
        </w:rPr>
        <w:t>cambios</w:t>
      </w:r>
      <w:r>
        <w:rPr>
          <w:color w:val="231F20"/>
          <w:spacing w:val="-5"/>
        </w:rPr>
        <w:t> </w:t>
      </w:r>
      <w:r>
        <w:rPr>
          <w:color w:val="231F20"/>
        </w:rPr>
        <w:t>económicos</w:t>
      </w:r>
      <w:r>
        <w:rPr>
          <w:color w:val="231F20"/>
          <w:spacing w:val="-6"/>
        </w:rPr>
        <w:t> </w:t>
      </w:r>
      <w:r>
        <w:rPr>
          <w:color w:val="231F20"/>
        </w:rPr>
        <w:t>y</w:t>
      </w:r>
      <w:r>
        <w:rPr>
          <w:color w:val="231F20"/>
          <w:spacing w:val="-5"/>
        </w:rPr>
        <w:t> </w:t>
      </w:r>
      <w:r>
        <w:rPr>
          <w:color w:val="231F20"/>
        </w:rPr>
        <w:t>políticos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pasadas</w:t>
      </w:r>
      <w:r>
        <w:rPr>
          <w:color w:val="231F20"/>
          <w:spacing w:val="-5"/>
        </w:rPr>
        <w:t> </w:t>
      </w:r>
      <w:r>
        <w:rPr>
          <w:color w:val="231F20"/>
        </w:rPr>
        <w:t>dos</w:t>
      </w:r>
      <w:r>
        <w:rPr>
          <w:color w:val="231F20"/>
          <w:spacing w:val="-5"/>
        </w:rPr>
        <w:t> </w:t>
      </w:r>
      <w:r>
        <w:rPr>
          <w:color w:val="231F20"/>
        </w:rPr>
        <w:t>décadas,</w:t>
      </w:r>
      <w:r>
        <w:rPr>
          <w:color w:val="231F20"/>
          <w:spacing w:val="-5"/>
        </w:rPr>
        <w:t> </w:t>
      </w:r>
      <w:r>
        <w:rPr>
          <w:color w:val="231F20"/>
        </w:rPr>
        <w:t>la</w:t>
      </w:r>
      <w:r>
        <w:rPr>
          <w:color w:val="231F20"/>
          <w:spacing w:val="-5"/>
        </w:rPr>
        <w:t> </w:t>
      </w:r>
      <w:r>
        <w:rPr>
          <w:color w:val="231F20"/>
        </w:rPr>
        <w:t>segre- gación</w:t>
      </w:r>
      <w:r>
        <w:rPr>
          <w:color w:val="231F20"/>
          <w:spacing w:val="-6"/>
        </w:rPr>
        <w:t> </w:t>
      </w:r>
      <w:r>
        <w:rPr>
          <w:color w:val="231F20"/>
        </w:rPr>
        <w:t>residencial</w:t>
      </w:r>
      <w:r>
        <w:rPr>
          <w:color w:val="231F20"/>
          <w:spacing w:val="-6"/>
        </w:rPr>
        <w:t> </w:t>
      </w:r>
      <w:r>
        <w:rPr>
          <w:color w:val="231F20"/>
        </w:rPr>
        <w:t>ha</w:t>
      </w:r>
      <w:r>
        <w:rPr>
          <w:color w:val="231F20"/>
          <w:spacing w:val="-6"/>
        </w:rPr>
        <w:t> </w:t>
      </w:r>
      <w:r>
        <w:rPr>
          <w:color w:val="231F20"/>
        </w:rPr>
        <w:t>ido</w:t>
      </w:r>
      <w:r>
        <w:rPr>
          <w:color w:val="231F20"/>
          <w:spacing w:val="-7"/>
        </w:rPr>
        <w:t> </w:t>
      </w:r>
      <w:r>
        <w:rPr>
          <w:color w:val="231F20"/>
        </w:rPr>
        <w:t>en</w:t>
      </w:r>
      <w:r>
        <w:rPr>
          <w:color w:val="231F20"/>
          <w:spacing w:val="-7"/>
        </w:rPr>
        <w:t> </w:t>
      </w:r>
      <w:r>
        <w:rPr>
          <w:color w:val="231F20"/>
        </w:rPr>
        <w:t>aumento</w:t>
      </w:r>
      <w:r>
        <w:rPr>
          <w:color w:val="231F20"/>
          <w:spacing w:val="-7"/>
        </w:rPr>
        <w:t> </w:t>
      </w:r>
      <w:r>
        <w:rPr>
          <w:color w:val="231F20"/>
        </w:rPr>
        <w:t>en</w:t>
      </w:r>
      <w:r>
        <w:rPr>
          <w:color w:val="231F20"/>
          <w:spacing w:val="-7"/>
        </w:rPr>
        <w:t> </w:t>
      </w:r>
      <w:r>
        <w:rPr>
          <w:color w:val="231F20"/>
        </w:rPr>
        <w:t>esta</w:t>
      </w:r>
      <w:r>
        <w:rPr>
          <w:color w:val="231F20"/>
          <w:spacing w:val="-7"/>
        </w:rPr>
        <w:t> </w:t>
      </w:r>
      <w:r>
        <w:rPr>
          <w:color w:val="231F20"/>
        </w:rPr>
        <w:t>metrópoli</w:t>
      </w:r>
      <w:r>
        <w:rPr>
          <w:color w:val="231F20"/>
          <w:spacing w:val="-7"/>
        </w:rPr>
        <w:t> </w:t>
      </w:r>
      <w:r>
        <w:rPr>
          <w:color w:val="231F20"/>
        </w:rPr>
        <w:t>y</w:t>
      </w:r>
      <w:r>
        <w:rPr>
          <w:color w:val="231F20"/>
          <w:spacing w:val="-6"/>
        </w:rPr>
        <w:t> </w:t>
      </w:r>
      <w:r>
        <w:rPr>
          <w:color w:val="231F20"/>
        </w:rPr>
        <w:t>es</w:t>
      </w:r>
      <w:r>
        <w:rPr>
          <w:color w:val="231F20"/>
          <w:spacing w:val="-7"/>
        </w:rPr>
        <w:t> </w:t>
      </w:r>
      <w:r>
        <w:rPr>
          <w:color w:val="231F20"/>
        </w:rPr>
        <w:t>probable</w:t>
      </w:r>
      <w:r>
        <w:rPr>
          <w:color w:val="231F20"/>
          <w:spacing w:val="-6"/>
        </w:rPr>
        <w:t> </w:t>
      </w:r>
      <w:r>
        <w:rPr>
          <w:color w:val="231F20"/>
        </w:rPr>
        <w:t>que contribuya</w:t>
      </w:r>
      <w:r>
        <w:rPr>
          <w:color w:val="231F20"/>
          <w:spacing w:val="-9"/>
        </w:rPr>
        <w:t> </w:t>
      </w:r>
      <w:r>
        <w:rPr>
          <w:color w:val="231F20"/>
        </w:rPr>
        <w:t>a</w:t>
      </w:r>
      <w:r>
        <w:rPr>
          <w:color w:val="231F20"/>
          <w:spacing w:val="-8"/>
        </w:rPr>
        <w:t> </w:t>
      </w:r>
      <w:r>
        <w:rPr>
          <w:color w:val="231F20"/>
        </w:rPr>
        <w:t>exacerbar</w:t>
      </w:r>
      <w:r>
        <w:rPr>
          <w:color w:val="231F20"/>
          <w:spacing w:val="-8"/>
        </w:rPr>
        <w:t> </w:t>
      </w:r>
      <w:r>
        <w:rPr>
          <w:color w:val="231F20"/>
        </w:rPr>
        <w:t>los</w:t>
      </w:r>
      <w:r>
        <w:rPr>
          <w:color w:val="231F20"/>
          <w:spacing w:val="-8"/>
        </w:rPr>
        <w:t> </w:t>
      </w:r>
      <w:r>
        <w:rPr>
          <w:color w:val="231F20"/>
        </w:rPr>
        <w:t>efectos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disminuyendo</w:t>
      </w:r>
      <w:r>
        <w:rPr>
          <w:color w:val="231F20"/>
          <w:spacing w:val="-8"/>
        </w:rPr>
        <w:t> </w:t>
      </w:r>
      <w:r>
        <w:rPr>
          <w:color w:val="231F20"/>
        </w:rPr>
        <w:t>el</w:t>
      </w:r>
      <w:r>
        <w:rPr>
          <w:color w:val="231F20"/>
          <w:spacing w:val="-8"/>
        </w:rPr>
        <w:t> </w:t>
      </w:r>
      <w:r>
        <w:rPr>
          <w:color w:val="231F20"/>
        </w:rPr>
        <w:t>acceso de los residentes urbanos a bienes públicos, a la vez que incrementa la vulnerabilidad de los vecindarios a las crisis</w:t>
      </w:r>
      <w:r>
        <w:rPr>
          <w:color w:val="231F20"/>
          <w:spacing w:val="-3"/>
        </w:rPr>
        <w:t> </w:t>
      </w:r>
      <w:r>
        <w:rPr>
          <w:color w:val="231F20"/>
        </w:rPr>
        <w:t>económicas.</w:t>
      </w:r>
    </w:p>
    <w:p>
      <w:pPr>
        <w:pStyle w:val="BodyText"/>
        <w:spacing w:line="249" w:lineRule="auto" w:before="1"/>
        <w:ind w:left="113" w:right="107" w:firstLine="283"/>
        <w:jc w:val="both"/>
      </w:pPr>
      <w:r>
        <w:rPr>
          <w:color w:val="231F20"/>
        </w:rPr>
        <w:t>Mientras</w:t>
      </w:r>
      <w:r>
        <w:rPr>
          <w:color w:val="231F20"/>
          <w:spacing w:val="-11"/>
        </w:rPr>
        <w:t> </w:t>
      </w:r>
      <w:r>
        <w:rPr>
          <w:color w:val="231F20"/>
        </w:rPr>
        <w:t>que</w:t>
      </w:r>
      <w:r>
        <w:rPr>
          <w:color w:val="231F20"/>
          <w:spacing w:val="-12"/>
        </w:rPr>
        <w:t> </w:t>
      </w:r>
      <w:r>
        <w:rPr>
          <w:color w:val="231F20"/>
        </w:rPr>
        <w:t>una</w:t>
      </w:r>
      <w:r>
        <w:rPr>
          <w:color w:val="231F20"/>
          <w:spacing w:val="-12"/>
        </w:rPr>
        <w:t> </w:t>
      </w:r>
      <w:r>
        <w:rPr>
          <w:color w:val="231F20"/>
        </w:rPr>
        <w:t>extensa</w:t>
      </w:r>
      <w:r>
        <w:rPr>
          <w:color w:val="231F20"/>
          <w:spacing w:val="-12"/>
        </w:rPr>
        <w:t> </w:t>
      </w:r>
      <w:r>
        <w:rPr>
          <w:color w:val="231F20"/>
        </w:rPr>
        <w:t>literatura</w:t>
      </w:r>
      <w:r>
        <w:rPr>
          <w:color w:val="231F20"/>
          <w:spacing w:val="-12"/>
        </w:rPr>
        <w:t> </w:t>
      </w:r>
      <w:r>
        <w:rPr>
          <w:color w:val="231F20"/>
        </w:rPr>
        <w:t>sobre</w:t>
      </w:r>
      <w:r>
        <w:rPr>
          <w:color w:val="231F20"/>
          <w:spacing w:val="-11"/>
        </w:rPr>
        <w:t> </w:t>
      </w:r>
      <w:r>
        <w:rPr>
          <w:color w:val="231F20"/>
        </w:rPr>
        <w:t>ciudades</w:t>
      </w:r>
      <w:r>
        <w:rPr>
          <w:color w:val="231F20"/>
          <w:spacing w:val="-12"/>
        </w:rPr>
        <w:t> </w:t>
      </w:r>
      <w:r>
        <w:rPr>
          <w:color w:val="231F20"/>
        </w:rPr>
        <w:t>de</w:t>
      </w:r>
      <w:r>
        <w:rPr>
          <w:color w:val="231F20"/>
          <w:spacing w:val="-12"/>
        </w:rPr>
        <w:t> </w:t>
      </w:r>
      <w:r>
        <w:rPr>
          <w:color w:val="231F20"/>
        </w:rPr>
        <w:t>Estados</w:t>
      </w:r>
      <w:r>
        <w:rPr>
          <w:color w:val="231F20"/>
          <w:spacing w:val="-12"/>
        </w:rPr>
        <w:t> </w:t>
      </w:r>
      <w:r>
        <w:rPr>
          <w:color w:val="231F20"/>
        </w:rPr>
        <w:t>Unidos y Europa ha documentado los efectos negativos de la segregación resi- dencial</w:t>
      </w:r>
      <w:r>
        <w:rPr>
          <w:color w:val="231F20"/>
          <w:spacing w:val="-5"/>
        </w:rPr>
        <w:t> </w:t>
      </w:r>
      <w:r>
        <w:rPr>
          <w:color w:val="231F20"/>
        </w:rPr>
        <w:t>sobre</w:t>
      </w:r>
      <w:r>
        <w:rPr>
          <w:color w:val="231F20"/>
          <w:spacing w:val="-5"/>
        </w:rPr>
        <w:t> </w:t>
      </w:r>
      <w:r>
        <w:rPr>
          <w:color w:val="231F20"/>
        </w:rPr>
        <w:t>las</w:t>
      </w:r>
      <w:r>
        <w:rPr>
          <w:color w:val="231F20"/>
          <w:spacing w:val="-5"/>
        </w:rPr>
        <w:t> </w:t>
      </w:r>
      <w:r>
        <w:rPr>
          <w:color w:val="231F20"/>
        </w:rPr>
        <w:t>oportunidades</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residentes,</w:t>
      </w:r>
      <w:r>
        <w:rPr>
          <w:color w:val="231F20"/>
          <w:spacing w:val="-5"/>
        </w:rPr>
        <w:t> </w:t>
      </w:r>
      <w:r>
        <w:rPr>
          <w:color w:val="231F20"/>
        </w:rPr>
        <w:t>los</w:t>
      </w:r>
      <w:r>
        <w:rPr>
          <w:color w:val="231F20"/>
          <w:spacing w:val="-5"/>
        </w:rPr>
        <w:t> </w:t>
      </w:r>
      <w:r>
        <w:rPr>
          <w:color w:val="231F20"/>
        </w:rPr>
        <w:t>estudios</w:t>
      </w:r>
      <w:r>
        <w:rPr>
          <w:color w:val="231F20"/>
          <w:spacing w:val="-5"/>
        </w:rPr>
        <w:t> </w:t>
      </w:r>
      <w:r>
        <w:rPr>
          <w:color w:val="231F20"/>
        </w:rPr>
        <w:t>en metrópolis</w:t>
      </w:r>
      <w:r>
        <w:rPr>
          <w:color w:val="231F20"/>
          <w:spacing w:val="-8"/>
        </w:rPr>
        <w:t> </w:t>
      </w:r>
      <w:r>
        <w:rPr>
          <w:color w:val="231F20"/>
        </w:rPr>
        <w:t>en</w:t>
      </w:r>
      <w:r>
        <w:rPr>
          <w:color w:val="231F20"/>
          <w:spacing w:val="-8"/>
        </w:rPr>
        <w:t> </w:t>
      </w:r>
      <w:r>
        <w:rPr>
          <w:color w:val="231F20"/>
        </w:rPr>
        <w:t>países</w:t>
      </w:r>
      <w:r>
        <w:rPr>
          <w:color w:val="231F20"/>
          <w:spacing w:val="-7"/>
        </w:rPr>
        <w:t> </w:t>
      </w:r>
      <w:r>
        <w:rPr>
          <w:color w:val="231F20"/>
        </w:rPr>
        <w:t>en</w:t>
      </w:r>
      <w:r>
        <w:rPr>
          <w:color w:val="231F20"/>
          <w:spacing w:val="-8"/>
        </w:rPr>
        <w:t> </w:t>
      </w:r>
      <w:r>
        <w:rPr>
          <w:color w:val="231F20"/>
        </w:rPr>
        <w:t>desarrollo</w:t>
      </w:r>
      <w:r>
        <w:rPr>
          <w:color w:val="231F20"/>
          <w:spacing w:val="-7"/>
        </w:rPr>
        <w:t> </w:t>
      </w:r>
      <w:r>
        <w:rPr>
          <w:color w:val="231F20"/>
        </w:rPr>
        <w:t>son</w:t>
      </w:r>
      <w:r>
        <w:rPr>
          <w:color w:val="231F20"/>
          <w:spacing w:val="-7"/>
        </w:rPr>
        <w:t> </w:t>
      </w:r>
      <w:r>
        <w:rPr>
          <w:color w:val="231F20"/>
        </w:rPr>
        <w:t>escasos;</w:t>
      </w:r>
      <w:r>
        <w:rPr>
          <w:color w:val="231F20"/>
          <w:spacing w:val="-8"/>
        </w:rPr>
        <w:t> </w:t>
      </w:r>
      <w:r>
        <w:rPr>
          <w:color w:val="231F20"/>
        </w:rPr>
        <w:t>particularmente</w:t>
      </w:r>
      <w:r>
        <w:rPr>
          <w:color w:val="231F20"/>
          <w:spacing w:val="-8"/>
        </w:rPr>
        <w:t> </w:t>
      </w:r>
      <w:r>
        <w:rPr>
          <w:color w:val="231F20"/>
        </w:rPr>
        <w:t>en</w:t>
      </w:r>
      <w:r>
        <w:rPr>
          <w:color w:val="231F20"/>
          <w:spacing w:val="-8"/>
        </w:rPr>
        <w:t> </w:t>
      </w:r>
      <w:r>
        <w:rPr>
          <w:color w:val="231F20"/>
        </w:rPr>
        <w:t>países donde</w:t>
      </w:r>
      <w:r>
        <w:rPr>
          <w:color w:val="231F20"/>
          <w:spacing w:val="-4"/>
        </w:rPr>
        <w:t> </w:t>
      </w:r>
      <w:r>
        <w:rPr>
          <w:color w:val="231F20"/>
        </w:rPr>
        <w:t>el</w:t>
      </w:r>
      <w:r>
        <w:rPr>
          <w:color w:val="231F20"/>
          <w:spacing w:val="-4"/>
        </w:rPr>
        <w:t> </w:t>
      </w:r>
      <w:r>
        <w:rPr>
          <w:color w:val="231F20"/>
        </w:rPr>
        <w:t>nivel</w:t>
      </w:r>
      <w:r>
        <w:rPr>
          <w:color w:val="231F20"/>
          <w:spacing w:val="-4"/>
        </w:rPr>
        <w:t> </w:t>
      </w:r>
      <w:r>
        <w:rPr>
          <w:color w:val="231F20"/>
        </w:rPr>
        <w:t>socioeconómico</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la</w:t>
      </w:r>
      <w:r>
        <w:rPr>
          <w:color w:val="231F20"/>
          <w:spacing w:val="-4"/>
        </w:rPr>
        <w:t> </w:t>
      </w:r>
      <w:r>
        <w:rPr>
          <w:color w:val="231F20"/>
        </w:rPr>
        <w:t>raza</w:t>
      </w:r>
      <w:r>
        <w:rPr>
          <w:color w:val="231F20"/>
          <w:spacing w:val="-4"/>
        </w:rPr>
        <w:t> </w:t>
      </w:r>
      <w:r>
        <w:rPr>
          <w:color w:val="231F20"/>
        </w:rPr>
        <w:t>constituye</w:t>
      </w:r>
      <w:r>
        <w:rPr>
          <w:color w:val="231F20"/>
          <w:spacing w:val="-5"/>
        </w:rPr>
        <w:t> </w:t>
      </w:r>
      <w:r>
        <w:rPr>
          <w:color w:val="231F20"/>
        </w:rPr>
        <w:t>la</w:t>
      </w:r>
      <w:r>
        <w:rPr>
          <w:color w:val="231F20"/>
          <w:spacing w:val="-4"/>
        </w:rPr>
        <w:t> </w:t>
      </w:r>
      <w:r>
        <w:rPr>
          <w:color w:val="231F20"/>
        </w:rPr>
        <w:t>dimensión</w:t>
      </w:r>
      <w:r>
        <w:rPr>
          <w:color w:val="231F20"/>
          <w:spacing w:val="-4"/>
        </w:rPr>
        <w:t> </w:t>
      </w:r>
      <w:r>
        <w:rPr>
          <w:color w:val="231F20"/>
        </w:rPr>
        <w:t>cen- tral de la segregación. En este sentido, cabe preguntarse si en contextos urbanos</w:t>
      </w:r>
      <w:r>
        <w:rPr>
          <w:color w:val="231F20"/>
          <w:spacing w:val="-8"/>
        </w:rPr>
        <w:t> </w:t>
      </w:r>
      <w:r>
        <w:rPr>
          <w:color w:val="231F20"/>
        </w:rPr>
        <w:t>como</w:t>
      </w:r>
      <w:r>
        <w:rPr>
          <w:color w:val="231F20"/>
          <w:spacing w:val="-9"/>
        </w:rPr>
        <w:t> </w:t>
      </w:r>
      <w:r>
        <w:rPr>
          <w:color w:val="231F20"/>
        </w:rPr>
        <w:t>el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Ciudad</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¿constituye</w:t>
      </w:r>
      <w:r>
        <w:rPr>
          <w:color w:val="231F20"/>
          <w:spacing w:val="-9"/>
        </w:rPr>
        <w:t> </w:t>
      </w:r>
      <w:r>
        <w:rPr>
          <w:color w:val="231F20"/>
        </w:rPr>
        <w:t>la</w:t>
      </w:r>
      <w:r>
        <w:rPr>
          <w:color w:val="231F20"/>
          <w:spacing w:val="-8"/>
        </w:rPr>
        <w:t> </w:t>
      </w:r>
      <w:r>
        <w:rPr>
          <w:color w:val="231F20"/>
        </w:rPr>
        <w:t>segregación</w:t>
      </w:r>
      <w:r>
        <w:rPr>
          <w:color w:val="231F20"/>
          <w:spacing w:val="-8"/>
        </w:rPr>
        <w:t> </w:t>
      </w:r>
      <w:r>
        <w:rPr>
          <w:color w:val="231F20"/>
        </w:rPr>
        <w:t>resi- dencial</w:t>
      </w:r>
      <w:r>
        <w:rPr>
          <w:color w:val="231F20"/>
          <w:spacing w:val="-5"/>
        </w:rPr>
        <w:t> </w:t>
      </w:r>
      <w:r>
        <w:rPr>
          <w:color w:val="231F20"/>
        </w:rPr>
        <w:t>un</w:t>
      </w:r>
      <w:r>
        <w:rPr>
          <w:color w:val="231F20"/>
          <w:spacing w:val="-5"/>
        </w:rPr>
        <w:t> </w:t>
      </w:r>
      <w:r>
        <w:rPr>
          <w:color w:val="231F20"/>
        </w:rPr>
        <w:t>mecanismo</w:t>
      </w:r>
      <w:r>
        <w:rPr>
          <w:color w:val="231F20"/>
          <w:spacing w:val="-5"/>
        </w:rPr>
        <w:t> </w:t>
      </w:r>
      <w:r>
        <w:rPr>
          <w:color w:val="231F20"/>
        </w:rPr>
        <w:t>que</w:t>
      </w:r>
      <w:r>
        <w:rPr>
          <w:color w:val="231F20"/>
          <w:spacing w:val="-5"/>
        </w:rPr>
        <w:t> </w:t>
      </w:r>
      <w:r>
        <w:rPr>
          <w:color w:val="231F20"/>
        </w:rPr>
        <w:t>profundiza</w:t>
      </w:r>
      <w:r>
        <w:rPr>
          <w:color w:val="231F20"/>
          <w:spacing w:val="-5"/>
        </w:rPr>
        <w:t> </w:t>
      </w:r>
      <w:r>
        <w:rPr>
          <w:color w:val="231F20"/>
        </w:rPr>
        <w:t>las</w:t>
      </w:r>
      <w:r>
        <w:rPr>
          <w:color w:val="231F20"/>
          <w:spacing w:val="-5"/>
        </w:rPr>
        <w:t> </w:t>
      </w:r>
      <w:r>
        <w:rPr>
          <w:color w:val="231F20"/>
        </w:rPr>
        <w:t>desventajas</w:t>
      </w:r>
      <w:r>
        <w:rPr>
          <w:color w:val="231F20"/>
          <w:spacing w:val="-5"/>
        </w:rPr>
        <w:t> </w:t>
      </w:r>
      <w:r>
        <w:rPr>
          <w:color w:val="231F20"/>
        </w:rPr>
        <w:t>sociales?</w:t>
      </w:r>
      <w:r>
        <w:rPr>
          <w:color w:val="231F20"/>
          <w:spacing w:val="-4"/>
        </w:rPr>
        <w:t> </w:t>
      </w:r>
      <w:r>
        <w:rPr>
          <w:color w:val="231F20"/>
        </w:rPr>
        <w:t>¿afecta</w:t>
      </w:r>
      <w:r>
        <w:rPr>
          <w:color w:val="231F20"/>
          <w:spacing w:val="-5"/>
        </w:rPr>
        <w:t> </w:t>
      </w:r>
      <w:r>
        <w:rPr>
          <w:color w:val="231F20"/>
        </w:rPr>
        <w:t>a algunos individuos más que a</w:t>
      </w:r>
      <w:r>
        <w:rPr>
          <w:color w:val="231F20"/>
          <w:spacing w:val="-3"/>
        </w:rPr>
        <w:t> </w:t>
      </w:r>
      <w:r>
        <w:rPr>
          <w:color w:val="231F20"/>
        </w:rPr>
        <w:t>otros?</w:t>
      </w:r>
    </w:p>
    <w:p>
      <w:pPr>
        <w:pStyle w:val="BodyText"/>
        <w:spacing w:line="249" w:lineRule="auto" w:before="1"/>
        <w:ind w:left="113" w:right="108" w:firstLine="283"/>
        <w:jc w:val="both"/>
      </w:pPr>
      <w:r>
        <w:rPr>
          <w:color w:val="231F20"/>
        </w:rPr>
        <w:t>Este trabajo considera estas preguntas al analizar la asociación entre segregación</w:t>
      </w:r>
      <w:r>
        <w:rPr>
          <w:color w:val="231F20"/>
          <w:spacing w:val="-9"/>
        </w:rPr>
        <w:t> </w:t>
      </w:r>
      <w:r>
        <w:rPr>
          <w:color w:val="231F20"/>
        </w:rPr>
        <w:t>residencial</w:t>
      </w:r>
      <w:r>
        <w:rPr>
          <w:color w:val="231F20"/>
          <w:spacing w:val="-9"/>
        </w:rPr>
        <w:t> </w:t>
      </w:r>
      <w:r>
        <w:rPr>
          <w:color w:val="231F20"/>
        </w:rPr>
        <w:t>socio-económica</w:t>
      </w:r>
      <w:r>
        <w:rPr>
          <w:color w:val="231F20"/>
          <w:spacing w:val="-9"/>
        </w:rPr>
        <w:t> </w:t>
      </w:r>
      <w:r>
        <w:rPr>
          <w:color w:val="231F20"/>
        </w:rPr>
        <w:t>y</w:t>
      </w:r>
      <w:r>
        <w:rPr>
          <w:color w:val="231F20"/>
          <w:spacing w:val="-9"/>
        </w:rPr>
        <w:t> </w:t>
      </w:r>
      <w:r>
        <w:rPr>
          <w:color w:val="231F20"/>
        </w:rPr>
        <w:t>empleo</w:t>
      </w:r>
      <w:r>
        <w:rPr>
          <w:color w:val="231F20"/>
          <w:spacing w:val="-10"/>
        </w:rPr>
        <w:t> </w:t>
      </w:r>
      <w:r>
        <w:rPr>
          <w:color w:val="231F20"/>
        </w:rPr>
        <w:t>precario</w:t>
      </w:r>
      <w:r>
        <w:rPr>
          <w:color w:val="231F20"/>
          <w:spacing w:val="-10"/>
        </w:rPr>
        <w:t> </w:t>
      </w:r>
      <w:r>
        <w:rPr>
          <w:color w:val="231F20"/>
        </w:rPr>
        <w:t>en</w:t>
      </w:r>
      <w:r>
        <w:rPr>
          <w:color w:val="231F20"/>
          <w:spacing w:val="-10"/>
        </w:rPr>
        <w:t> </w:t>
      </w:r>
      <w:r>
        <w:rPr>
          <w:color w:val="231F20"/>
        </w:rPr>
        <w:t>la</w:t>
      </w:r>
      <w:r>
        <w:rPr>
          <w:color w:val="231F20"/>
          <w:spacing w:val="-9"/>
        </w:rPr>
        <w:t> </w:t>
      </w:r>
      <w:r>
        <w:rPr>
          <w:color w:val="231F20"/>
        </w:rPr>
        <w:t>Ciudad de México. Para ello se aprovecha la estructura jerárquica de la</w:t>
      </w:r>
      <w:r>
        <w:rPr>
          <w:color w:val="231F20"/>
          <w:spacing w:val="23"/>
        </w:rPr>
        <w:t> </w:t>
      </w:r>
      <w:r>
        <w:rPr>
          <w:color w:val="231F20"/>
        </w:rPr>
        <w:t>muestra</w:t>
      </w:r>
    </w:p>
    <w:p>
      <w:pPr>
        <w:pStyle w:val="BodyText"/>
        <w:spacing w:before="3"/>
        <w:rPr>
          <w:sz w:val="24"/>
        </w:rPr>
      </w:pPr>
    </w:p>
    <w:p>
      <w:pPr>
        <w:spacing w:before="82"/>
        <w:ind w:left="113" w:right="103" w:firstLine="0"/>
        <w:jc w:val="left"/>
        <w:rPr>
          <w:sz w:val="14"/>
        </w:rPr>
      </w:pPr>
      <w:r>
        <w:rPr>
          <w:color w:val="231F20"/>
          <w:sz w:val="14"/>
        </w:rPr>
        <w:t>* Profesora-investigadora del Centro de Estudios Demográficos, Urbanos y Ambientales de El Colegio de México.</w:t>
      </w:r>
    </w:p>
    <w:p>
      <w:pPr>
        <w:spacing w:after="0"/>
        <w:jc w:val="left"/>
        <w:rPr>
          <w:sz w:val="14"/>
        </w:rPr>
        <w:sectPr>
          <w:footerReference w:type="default" r:id="rId201"/>
          <w:pgSz w:w="7770" w:h="11740"/>
          <w:pgMar w:footer="474" w:header="0" w:top="820" w:bottom="660" w:left="1020" w:right="740"/>
          <w:pgNumType w:start="155"/>
        </w:sectPr>
      </w:pPr>
    </w:p>
    <w:p>
      <w:pPr>
        <w:pStyle w:val="BodyText"/>
        <w:spacing w:line="249" w:lineRule="auto" w:before="60"/>
        <w:ind w:left="105" w:right="111"/>
        <w:jc w:val="right"/>
      </w:pPr>
      <w:r>
        <w:rPr>
          <w:color w:val="231F20"/>
        </w:rPr>
        <w:t>censal de 2000 y se examina hasta dónde la segregación</w:t>
      </w:r>
      <w:r>
        <w:rPr>
          <w:color w:val="231F20"/>
          <w:spacing w:val="38"/>
        </w:rPr>
        <w:t> </w:t>
      </w:r>
      <w:r>
        <w:rPr>
          <w:color w:val="231F20"/>
        </w:rPr>
        <w:t>residencial</w:t>
      </w:r>
      <w:r>
        <w:rPr>
          <w:color w:val="231F20"/>
          <w:spacing w:val="8"/>
        </w:rPr>
        <w:t> </w:t>
      </w:r>
      <w:r>
        <w:rPr>
          <w:color w:val="231F20"/>
        </w:rPr>
        <w:t>in- fluye sobre las oportunidades de los individuos de estar</w:t>
      </w:r>
      <w:r>
        <w:rPr>
          <w:color w:val="231F20"/>
          <w:spacing w:val="42"/>
        </w:rPr>
        <w:t> </w:t>
      </w:r>
      <w:r>
        <w:rPr>
          <w:color w:val="231F20"/>
        </w:rPr>
        <w:t>empleados</w:t>
      </w:r>
      <w:r>
        <w:rPr>
          <w:color w:val="231F20"/>
          <w:spacing w:val="15"/>
        </w:rPr>
        <w:t> </w:t>
      </w:r>
      <w:r>
        <w:rPr>
          <w:color w:val="231F20"/>
        </w:rPr>
        <w:t>sin seguridad</w:t>
      </w:r>
      <w:r>
        <w:rPr>
          <w:color w:val="231F20"/>
          <w:spacing w:val="-4"/>
        </w:rPr>
        <w:t> </w:t>
      </w:r>
      <w:r>
        <w:rPr>
          <w:color w:val="231F20"/>
        </w:rPr>
        <w:t>social,</w:t>
      </w:r>
      <w:r>
        <w:rPr>
          <w:color w:val="231F20"/>
          <w:spacing w:val="-4"/>
        </w:rPr>
        <w:t> </w:t>
      </w:r>
      <w:r>
        <w:rPr>
          <w:color w:val="231F20"/>
        </w:rPr>
        <w:t>así</w:t>
      </w:r>
      <w:r>
        <w:rPr>
          <w:color w:val="231F20"/>
          <w:spacing w:val="-4"/>
        </w:rPr>
        <w:t> </w:t>
      </w:r>
      <w:r>
        <w:rPr>
          <w:color w:val="231F20"/>
        </w:rPr>
        <w:t>como</w:t>
      </w:r>
      <w:r>
        <w:rPr>
          <w:color w:val="231F20"/>
          <w:spacing w:val="-4"/>
        </w:rPr>
        <w:t> </w:t>
      </w:r>
      <w:r>
        <w:rPr>
          <w:color w:val="231F20"/>
        </w:rPr>
        <w:t>sobre</w:t>
      </w:r>
      <w:r>
        <w:rPr>
          <w:color w:val="231F20"/>
          <w:spacing w:val="-4"/>
        </w:rPr>
        <w:t> </w:t>
      </w:r>
      <w:r>
        <w:rPr>
          <w:color w:val="231F20"/>
        </w:rPr>
        <w:t>sus</w:t>
      </w:r>
      <w:r>
        <w:rPr>
          <w:color w:val="231F20"/>
          <w:spacing w:val="-4"/>
        </w:rPr>
        <w:t> </w:t>
      </w:r>
      <w:r>
        <w:rPr>
          <w:color w:val="231F20"/>
        </w:rPr>
        <w:t>ingresos</w:t>
      </w:r>
      <w:r>
        <w:rPr>
          <w:color w:val="231F20"/>
          <w:spacing w:val="-4"/>
        </w:rPr>
        <w:t> </w:t>
      </w:r>
      <w:r>
        <w:rPr>
          <w:color w:val="231F20"/>
        </w:rPr>
        <w:t>por</w:t>
      </w:r>
      <w:r>
        <w:rPr>
          <w:color w:val="231F20"/>
          <w:spacing w:val="-4"/>
        </w:rPr>
        <w:t> </w:t>
      </w:r>
      <w:r>
        <w:rPr>
          <w:color w:val="231F20"/>
        </w:rPr>
        <w:t>hora</w:t>
      </w:r>
      <w:r>
        <w:rPr>
          <w:color w:val="231F20"/>
          <w:spacing w:val="-4"/>
        </w:rPr>
        <w:t> </w:t>
      </w:r>
      <w:r>
        <w:rPr>
          <w:color w:val="231F20"/>
        </w:rPr>
        <w:t>después</w:t>
      </w:r>
      <w:r>
        <w:rPr>
          <w:color w:val="231F20"/>
          <w:spacing w:val="-4"/>
        </w:rPr>
        <w:t> </w:t>
      </w:r>
      <w:r>
        <w:rPr>
          <w:color w:val="231F20"/>
        </w:rPr>
        <w:t>que</w:t>
      </w:r>
      <w:r>
        <w:rPr>
          <w:color w:val="231F20"/>
          <w:spacing w:val="-4"/>
        </w:rPr>
        <w:t> </w:t>
      </w:r>
      <w:r>
        <w:rPr>
          <w:color w:val="231F20"/>
        </w:rPr>
        <w:t>otras características personales son tomadas en cuenta. Más allá de</w:t>
      </w:r>
      <w:r>
        <w:rPr>
          <w:color w:val="231F20"/>
          <w:spacing w:val="18"/>
        </w:rPr>
        <w:t> </w:t>
      </w:r>
      <w:r>
        <w:rPr>
          <w:color w:val="231F20"/>
        </w:rPr>
        <w:t>sólo</w:t>
      </w:r>
      <w:r>
        <w:rPr>
          <w:color w:val="231F20"/>
          <w:spacing w:val="8"/>
        </w:rPr>
        <w:t> </w:t>
      </w:r>
      <w:r>
        <w:rPr>
          <w:color w:val="231F20"/>
        </w:rPr>
        <w:t>con- siderar la relación promedio entre segregación y trabajo</w:t>
      </w:r>
      <w:r>
        <w:rPr>
          <w:color w:val="231F20"/>
          <w:spacing w:val="16"/>
        </w:rPr>
        <w:t> </w:t>
      </w:r>
      <w:r>
        <w:rPr>
          <w:color w:val="231F20"/>
        </w:rPr>
        <w:t>precario,</w:t>
      </w:r>
      <w:r>
        <w:rPr>
          <w:color w:val="231F20"/>
          <w:spacing w:val="21"/>
        </w:rPr>
        <w:t> </w:t>
      </w:r>
      <w:r>
        <w:rPr>
          <w:color w:val="231F20"/>
        </w:rPr>
        <w:t>este trabajo</w:t>
      </w:r>
      <w:r>
        <w:rPr>
          <w:color w:val="231F20"/>
          <w:spacing w:val="15"/>
        </w:rPr>
        <w:t> </w:t>
      </w:r>
      <w:r>
        <w:rPr>
          <w:color w:val="231F20"/>
        </w:rPr>
        <w:t>se</w:t>
      </w:r>
      <w:r>
        <w:rPr>
          <w:color w:val="231F20"/>
          <w:spacing w:val="16"/>
        </w:rPr>
        <w:t> </w:t>
      </w:r>
      <w:r>
        <w:rPr>
          <w:color w:val="231F20"/>
        </w:rPr>
        <w:t>concentra</w:t>
      </w:r>
      <w:r>
        <w:rPr>
          <w:color w:val="231F20"/>
          <w:spacing w:val="15"/>
        </w:rPr>
        <w:t> </w:t>
      </w:r>
      <w:r>
        <w:rPr>
          <w:color w:val="231F20"/>
        </w:rPr>
        <w:t>en</w:t>
      </w:r>
      <w:r>
        <w:rPr>
          <w:color w:val="231F20"/>
          <w:spacing w:val="16"/>
        </w:rPr>
        <w:t> </w:t>
      </w:r>
      <w:r>
        <w:rPr>
          <w:color w:val="231F20"/>
        </w:rPr>
        <w:t>las</w:t>
      </w:r>
      <w:r>
        <w:rPr>
          <w:color w:val="231F20"/>
          <w:spacing w:val="16"/>
        </w:rPr>
        <w:t> </w:t>
      </w:r>
      <w:r>
        <w:rPr>
          <w:color w:val="231F20"/>
        </w:rPr>
        <w:t>diferencias</w:t>
      </w:r>
      <w:r>
        <w:rPr>
          <w:color w:val="231F20"/>
          <w:spacing w:val="16"/>
        </w:rPr>
        <w:t> </w:t>
      </w:r>
      <w:r>
        <w:rPr>
          <w:color w:val="231F20"/>
        </w:rPr>
        <w:t>por</w:t>
      </w:r>
      <w:r>
        <w:rPr>
          <w:color w:val="231F20"/>
          <w:spacing w:val="16"/>
        </w:rPr>
        <w:t> </w:t>
      </w:r>
      <w:r>
        <w:rPr>
          <w:color w:val="231F20"/>
        </w:rPr>
        <w:t>género</w:t>
      </w:r>
      <w:r>
        <w:rPr>
          <w:color w:val="231F20"/>
          <w:spacing w:val="16"/>
        </w:rPr>
        <w:t> </w:t>
      </w:r>
      <w:r>
        <w:rPr>
          <w:color w:val="231F20"/>
        </w:rPr>
        <w:t>en</w:t>
      </w:r>
      <w:r>
        <w:rPr>
          <w:color w:val="231F20"/>
          <w:spacing w:val="16"/>
        </w:rPr>
        <w:t> </w:t>
      </w:r>
      <w:r>
        <w:rPr>
          <w:color w:val="231F20"/>
        </w:rPr>
        <w:t>esta</w:t>
      </w:r>
      <w:r>
        <w:rPr>
          <w:color w:val="231F20"/>
          <w:spacing w:val="16"/>
        </w:rPr>
        <w:t> </w:t>
      </w:r>
      <w:r>
        <w:rPr>
          <w:color w:val="231F20"/>
        </w:rPr>
        <w:t>relación</w:t>
      </w:r>
      <w:r>
        <w:rPr>
          <w:color w:val="231F20"/>
          <w:spacing w:val="16"/>
        </w:rPr>
        <w:t> </w:t>
      </w:r>
      <w:r>
        <w:rPr>
          <w:color w:val="231F20"/>
        </w:rPr>
        <w:t>a</w:t>
      </w:r>
      <w:r>
        <w:rPr>
          <w:color w:val="231F20"/>
          <w:spacing w:val="16"/>
        </w:rPr>
        <w:t> </w:t>
      </w:r>
      <w:r>
        <w:rPr>
          <w:color w:val="231F20"/>
        </w:rPr>
        <w:t>la luz de teorías que sugieren que las mujeres enfrentan</w:t>
      </w:r>
      <w:r>
        <w:rPr>
          <w:color w:val="231F20"/>
          <w:spacing w:val="24"/>
        </w:rPr>
        <w:t> </w:t>
      </w:r>
      <w:r>
        <w:rPr>
          <w:color w:val="231F20"/>
        </w:rPr>
        <w:t>mayores</w:t>
      </w:r>
      <w:r>
        <w:rPr>
          <w:color w:val="231F20"/>
          <w:spacing w:val="13"/>
        </w:rPr>
        <w:t> </w:t>
      </w:r>
      <w:r>
        <w:rPr>
          <w:color w:val="231F20"/>
        </w:rPr>
        <w:t>desven- tajas que los hombres en barrios altamente segregados. En</w:t>
      </w:r>
      <w:r>
        <w:rPr>
          <w:color w:val="231F20"/>
          <w:spacing w:val="5"/>
        </w:rPr>
        <w:t> </w:t>
      </w:r>
      <w:r>
        <w:rPr>
          <w:color w:val="231F20"/>
        </w:rPr>
        <w:t>este</w:t>
      </w:r>
      <w:r>
        <w:rPr>
          <w:color w:val="231F20"/>
          <w:spacing w:val="6"/>
        </w:rPr>
        <w:t> </w:t>
      </w:r>
      <w:r>
        <w:rPr>
          <w:color w:val="231F20"/>
        </w:rPr>
        <w:t>sentido,</w:t>
      </w:r>
      <w:r>
        <w:rPr>
          <w:color w:val="231F20"/>
          <w:spacing w:val="-1"/>
        </w:rPr>
        <w:t> </w:t>
      </w:r>
      <w:r>
        <w:rPr>
          <w:color w:val="231F20"/>
        </w:rPr>
        <w:t>este capítulo enfatiza la dimensión espacial-contextual de</w:t>
      </w:r>
      <w:r>
        <w:rPr>
          <w:color w:val="231F20"/>
          <w:spacing w:val="19"/>
        </w:rPr>
        <w:t> </w:t>
      </w:r>
      <w:r>
        <w:rPr>
          <w:color w:val="231F20"/>
        </w:rPr>
        <w:t>los</w:t>
      </w:r>
      <w:r>
        <w:rPr>
          <w:color w:val="231F20"/>
          <w:spacing w:val="10"/>
        </w:rPr>
        <w:t> </w:t>
      </w:r>
      <w:r>
        <w:rPr>
          <w:color w:val="231F20"/>
        </w:rPr>
        <w:t>mercados de trabajo, en tanto que busca mostrar cómo los procesos</w:t>
      </w:r>
      <w:r>
        <w:rPr>
          <w:color w:val="231F20"/>
          <w:spacing w:val="10"/>
        </w:rPr>
        <w:t> </w:t>
      </w:r>
      <w:r>
        <w:rPr>
          <w:color w:val="231F20"/>
        </w:rPr>
        <w:t>de</w:t>
      </w:r>
      <w:r>
        <w:rPr>
          <w:color w:val="231F20"/>
          <w:spacing w:val="6"/>
        </w:rPr>
        <w:t> </w:t>
      </w:r>
      <w:r>
        <w:rPr>
          <w:color w:val="231F20"/>
        </w:rPr>
        <w:t>estratifica- 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geografía</w:t>
      </w:r>
      <w:r>
        <w:rPr>
          <w:color w:val="231F20"/>
          <w:spacing w:val="-10"/>
        </w:rPr>
        <w:t> </w:t>
      </w:r>
      <w:r>
        <w:rPr>
          <w:color w:val="231F20"/>
        </w:rPr>
        <w:t>urbana</w:t>
      </w:r>
      <w:r>
        <w:rPr>
          <w:color w:val="231F20"/>
          <w:spacing w:val="-10"/>
        </w:rPr>
        <w:t> </w:t>
      </w:r>
      <w:r>
        <w:rPr>
          <w:color w:val="231F20"/>
        </w:rPr>
        <w:t>constituyen</w:t>
      </w:r>
      <w:r>
        <w:rPr>
          <w:color w:val="231F20"/>
          <w:spacing w:val="-10"/>
        </w:rPr>
        <w:t> </w:t>
      </w:r>
      <w:r>
        <w:rPr>
          <w:color w:val="231F20"/>
        </w:rPr>
        <w:t>un</w:t>
      </w:r>
      <w:r>
        <w:rPr>
          <w:color w:val="231F20"/>
          <w:spacing w:val="-10"/>
        </w:rPr>
        <w:t> </w:t>
      </w:r>
      <w:r>
        <w:rPr>
          <w:color w:val="231F20"/>
        </w:rPr>
        <w:t>mecanismo</w:t>
      </w:r>
      <w:r>
        <w:rPr>
          <w:color w:val="231F20"/>
          <w:spacing w:val="-10"/>
        </w:rPr>
        <w:t> </w:t>
      </w:r>
      <w:r>
        <w:rPr>
          <w:color w:val="231F20"/>
        </w:rPr>
        <w:t>que</w:t>
      </w:r>
      <w:r>
        <w:rPr>
          <w:color w:val="231F20"/>
          <w:spacing w:val="-10"/>
        </w:rPr>
        <w:t> </w:t>
      </w:r>
      <w:r>
        <w:rPr>
          <w:color w:val="231F20"/>
        </w:rPr>
        <w:t>puede</w:t>
      </w:r>
      <w:r>
        <w:rPr>
          <w:color w:val="231F20"/>
          <w:spacing w:val="-10"/>
        </w:rPr>
        <w:t> </w:t>
      </w:r>
      <w:r>
        <w:rPr>
          <w:color w:val="231F20"/>
        </w:rPr>
        <w:t>generar y reforzar inequidades ocupacionales. Esta mirada</w:t>
      </w:r>
      <w:r>
        <w:rPr>
          <w:color w:val="231F20"/>
          <w:spacing w:val="21"/>
        </w:rPr>
        <w:t> </w:t>
      </w:r>
      <w:r>
        <w:rPr>
          <w:color w:val="231F20"/>
        </w:rPr>
        <w:t>busca</w:t>
      </w:r>
      <w:r>
        <w:rPr>
          <w:color w:val="231F20"/>
          <w:spacing w:val="28"/>
        </w:rPr>
        <w:t> </w:t>
      </w:r>
      <w:r>
        <w:rPr>
          <w:color w:val="231F20"/>
        </w:rPr>
        <w:t>complemen- tar los análisis que enfatizan los factores estructurales</w:t>
      </w:r>
      <w:r>
        <w:rPr>
          <w:color w:val="231F20"/>
          <w:spacing w:val="24"/>
        </w:rPr>
        <w:t> </w:t>
      </w:r>
      <w:r>
        <w:rPr>
          <w:color w:val="231F20"/>
        </w:rPr>
        <w:t>e</w:t>
      </w:r>
      <w:r>
        <w:rPr>
          <w:color w:val="231F20"/>
          <w:spacing w:val="15"/>
        </w:rPr>
        <w:t> </w:t>
      </w:r>
      <w:r>
        <w:rPr>
          <w:color w:val="231F20"/>
        </w:rPr>
        <w:t>institucionales del mercado de trabajo al subrayar una dimensión distinta</w:t>
      </w:r>
      <w:r>
        <w:rPr>
          <w:color w:val="231F20"/>
          <w:spacing w:val="24"/>
        </w:rPr>
        <w:t> </w:t>
      </w:r>
      <w:r>
        <w:rPr>
          <w:color w:val="231F20"/>
        </w:rPr>
        <w:t>del</w:t>
      </w:r>
      <w:r>
        <w:rPr>
          <w:color w:val="231F20"/>
          <w:spacing w:val="8"/>
        </w:rPr>
        <w:t> </w:t>
      </w:r>
      <w:r>
        <w:rPr>
          <w:color w:val="231F20"/>
        </w:rPr>
        <w:t>deterioro de las condiciones laborales experimentado por importantes</w:t>
      </w:r>
      <w:r>
        <w:rPr>
          <w:color w:val="231F20"/>
          <w:spacing w:val="35"/>
        </w:rPr>
        <w:t> </w:t>
      </w:r>
      <w:r>
        <w:rPr>
          <w:color w:val="231F20"/>
        </w:rPr>
        <w:t>grupos</w:t>
      </w:r>
      <w:r>
        <w:rPr>
          <w:color w:val="231F20"/>
          <w:spacing w:val="20"/>
        </w:rPr>
        <w:t> </w:t>
      </w:r>
      <w:r>
        <w:rPr>
          <w:color w:val="231F20"/>
        </w:rPr>
        <w:t>de trabajadores en el periodo reciente. Siguiendo a autores</w:t>
      </w:r>
      <w:r>
        <w:rPr>
          <w:color w:val="231F20"/>
          <w:spacing w:val="44"/>
        </w:rPr>
        <w:t> </w:t>
      </w:r>
      <w:r>
        <w:rPr>
          <w:color w:val="231F20"/>
        </w:rPr>
        <w:t>como</w:t>
      </w:r>
      <w:r>
        <w:rPr>
          <w:color w:val="231F20"/>
          <w:spacing w:val="20"/>
        </w:rPr>
        <w:t> </w:t>
      </w:r>
      <w:r>
        <w:rPr>
          <w:color w:val="231F20"/>
        </w:rPr>
        <w:t>Wilson (1987) Massey y Denton (1993) y Kaztman (2002), se sugiere</w:t>
      </w:r>
      <w:r>
        <w:rPr>
          <w:color w:val="231F20"/>
          <w:spacing w:val="13"/>
        </w:rPr>
        <w:t> </w:t>
      </w:r>
      <w:r>
        <w:rPr>
          <w:color w:val="231F20"/>
        </w:rPr>
        <w:t>que</w:t>
      </w:r>
      <w:r>
        <w:rPr>
          <w:color w:val="231F20"/>
          <w:spacing w:val="15"/>
        </w:rPr>
        <w:t> </w:t>
      </w:r>
      <w:r>
        <w:rPr>
          <w:color w:val="231F20"/>
        </w:rPr>
        <w:t>las limitadas</w:t>
      </w:r>
      <w:r>
        <w:rPr>
          <w:color w:val="231F20"/>
          <w:spacing w:val="-8"/>
        </w:rPr>
        <w:t> </w:t>
      </w:r>
      <w:r>
        <w:rPr>
          <w:color w:val="231F20"/>
        </w:rPr>
        <w:t>y</w:t>
      </w:r>
      <w:r>
        <w:rPr>
          <w:color w:val="231F20"/>
          <w:spacing w:val="-7"/>
        </w:rPr>
        <w:t> </w:t>
      </w:r>
      <w:r>
        <w:rPr>
          <w:color w:val="231F20"/>
        </w:rPr>
        <w:t>segmentadas</w:t>
      </w:r>
      <w:r>
        <w:rPr>
          <w:color w:val="231F20"/>
          <w:spacing w:val="-7"/>
        </w:rPr>
        <w:t> </w:t>
      </w:r>
      <w:r>
        <w:rPr>
          <w:color w:val="231F20"/>
        </w:rPr>
        <w:t>opciones</w:t>
      </w:r>
      <w:r>
        <w:rPr>
          <w:color w:val="231F20"/>
          <w:spacing w:val="-7"/>
        </w:rPr>
        <w:t> </w:t>
      </w:r>
      <w:r>
        <w:rPr>
          <w:color w:val="231F20"/>
        </w:rPr>
        <w:t>laborales</w:t>
      </w:r>
      <w:r>
        <w:rPr>
          <w:color w:val="231F20"/>
          <w:spacing w:val="-8"/>
        </w:rPr>
        <w:t> </w:t>
      </w:r>
      <w:r>
        <w:rPr>
          <w:color w:val="231F20"/>
        </w:rPr>
        <w:t>de</w:t>
      </w:r>
      <w:r>
        <w:rPr>
          <w:color w:val="231F20"/>
          <w:spacing w:val="-7"/>
        </w:rPr>
        <w:t> </w:t>
      </w:r>
      <w:r>
        <w:rPr>
          <w:color w:val="231F20"/>
        </w:rPr>
        <w:t>los</w:t>
      </w:r>
      <w:r>
        <w:rPr>
          <w:color w:val="231F20"/>
          <w:spacing w:val="-8"/>
        </w:rPr>
        <w:t> </w:t>
      </w:r>
      <w:r>
        <w:rPr>
          <w:color w:val="231F20"/>
        </w:rPr>
        <w:t>pobres</w:t>
      </w:r>
      <w:r>
        <w:rPr>
          <w:color w:val="231F20"/>
          <w:spacing w:val="-7"/>
        </w:rPr>
        <w:t> </w:t>
      </w:r>
      <w:r>
        <w:rPr>
          <w:color w:val="231F20"/>
        </w:rPr>
        <w:t>urbanos</w:t>
      </w:r>
      <w:r>
        <w:rPr>
          <w:color w:val="231F20"/>
          <w:spacing w:val="-7"/>
        </w:rPr>
        <w:t> </w:t>
      </w:r>
      <w:r>
        <w:rPr>
          <w:color w:val="231F20"/>
        </w:rPr>
        <w:t>se</w:t>
      </w:r>
      <w:r>
        <w:rPr>
          <w:color w:val="231F20"/>
          <w:spacing w:val="-7"/>
        </w:rPr>
        <w:t> </w:t>
      </w:r>
      <w:r>
        <w:rPr>
          <w:color w:val="231F20"/>
        </w:rPr>
        <w:t>ven deterioradas aún más por la segregación residencial, la cual</w:t>
      </w:r>
      <w:r>
        <w:rPr>
          <w:color w:val="231F20"/>
          <w:spacing w:val="45"/>
        </w:rPr>
        <w:t> </w:t>
      </w:r>
      <w:r>
        <w:rPr>
          <w:color w:val="231F20"/>
        </w:rPr>
        <w:t>actúa</w:t>
      </w:r>
      <w:r>
        <w:rPr>
          <w:color w:val="231F20"/>
          <w:spacing w:val="4"/>
        </w:rPr>
        <w:t> </w:t>
      </w:r>
      <w:r>
        <w:rPr>
          <w:color w:val="231F20"/>
        </w:rPr>
        <w:t>como un mecanismo acumulativo o multiplicador de sus desventajas</w:t>
      </w:r>
      <w:r>
        <w:rPr>
          <w:color w:val="231F20"/>
          <w:spacing w:val="-14"/>
        </w:rPr>
        <w:t> </w:t>
      </w:r>
      <w:r>
        <w:rPr>
          <w:color w:val="231F20"/>
        </w:rPr>
        <w:t>sociales.</w:t>
      </w:r>
    </w:p>
    <w:p>
      <w:pPr>
        <w:pStyle w:val="BodyText"/>
        <w:spacing w:line="249" w:lineRule="auto" w:before="1"/>
        <w:ind w:left="110" w:right="111" w:firstLine="283"/>
        <w:jc w:val="both"/>
      </w:pPr>
      <w:r>
        <w:rPr>
          <w:color w:val="231F20"/>
        </w:rPr>
        <w:t>Hasta dónde la segregación residencial tiene efectos negativos para los habitantes de la Ciudad de México es todavía una pregunta por res- ponderse. Por un lado, los históricos patrones de crecimiento urbano,  las instituciones sociales y los niveles de pobreza generalizados pueden diluir los perjudiciales efectos esperados. Por otro lado, la creciente des- igualdad</w:t>
      </w:r>
      <w:r>
        <w:rPr>
          <w:color w:val="231F20"/>
          <w:spacing w:val="-7"/>
        </w:rPr>
        <w:t> </w:t>
      </w:r>
      <w:r>
        <w:rPr>
          <w:color w:val="231F20"/>
        </w:rPr>
        <w:t>urbana</w:t>
      </w:r>
      <w:r>
        <w:rPr>
          <w:color w:val="231F20"/>
          <w:spacing w:val="-7"/>
        </w:rPr>
        <w:t> </w:t>
      </w:r>
      <w:r>
        <w:rPr>
          <w:color w:val="231F20"/>
        </w:rPr>
        <w:t>y</w:t>
      </w:r>
      <w:r>
        <w:rPr>
          <w:color w:val="231F20"/>
          <w:spacing w:val="-7"/>
        </w:rPr>
        <w:t> </w:t>
      </w:r>
      <w:r>
        <w:rPr>
          <w:color w:val="231F20"/>
        </w:rPr>
        <w:t>cambios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mercados</w:t>
      </w:r>
      <w:r>
        <w:rPr>
          <w:color w:val="231F20"/>
          <w:spacing w:val="-7"/>
        </w:rPr>
        <w:t> </w:t>
      </w:r>
      <w:r>
        <w:rPr>
          <w:color w:val="231F20"/>
        </w:rPr>
        <w:t>inmobiliarios,</w:t>
      </w:r>
      <w:r>
        <w:rPr>
          <w:color w:val="231F20"/>
          <w:spacing w:val="-8"/>
        </w:rPr>
        <w:t> </w:t>
      </w:r>
      <w:r>
        <w:rPr>
          <w:color w:val="231F20"/>
        </w:rPr>
        <w:t>así</w:t>
      </w:r>
      <w:r>
        <w:rPr>
          <w:color w:val="231F20"/>
          <w:spacing w:val="-7"/>
        </w:rPr>
        <w:t> </w:t>
      </w:r>
      <w:r>
        <w:rPr>
          <w:color w:val="231F20"/>
        </w:rPr>
        <w:t>como</w:t>
      </w:r>
      <w:r>
        <w:rPr>
          <w:color w:val="231F20"/>
          <w:spacing w:val="-7"/>
        </w:rPr>
        <w:t> </w:t>
      </w:r>
      <w:r>
        <w:rPr>
          <w:color w:val="231F20"/>
        </w:rPr>
        <w:t>en</w:t>
      </w:r>
      <w:r>
        <w:rPr>
          <w:color w:val="231F20"/>
          <w:spacing w:val="-7"/>
        </w:rPr>
        <w:t> </w:t>
      </w:r>
      <w:r>
        <w:rPr>
          <w:color w:val="231F20"/>
        </w:rPr>
        <w:t>la regulación urbana pueden transformar a la segregación residencial en</w:t>
      </w:r>
      <w:r>
        <w:rPr>
          <w:color w:val="231F20"/>
          <w:spacing w:val="-22"/>
        </w:rPr>
        <w:t> </w:t>
      </w:r>
      <w:r>
        <w:rPr>
          <w:color w:val="231F20"/>
        </w:rPr>
        <w:t>un mecanismo adicional que profundice las desventajas sociales. Más aún, ésta puede tener efectos diferentes entre hombres y mujeres dado sus patrones de empleo y grado de dependencia en los</w:t>
      </w:r>
      <w:r>
        <w:rPr>
          <w:color w:val="231F20"/>
          <w:spacing w:val="-3"/>
        </w:rPr>
        <w:t> </w:t>
      </w:r>
      <w:r>
        <w:rPr>
          <w:color w:val="231F20"/>
        </w:rPr>
        <w:t>barrios.</w:t>
      </w:r>
    </w:p>
    <w:p>
      <w:pPr>
        <w:pStyle w:val="BodyText"/>
        <w:spacing w:line="249" w:lineRule="auto" w:before="1"/>
        <w:ind w:left="110" w:right="111" w:firstLine="283"/>
        <w:jc w:val="both"/>
      </w:pPr>
      <w:r>
        <w:rPr>
          <w:color w:val="231F20"/>
        </w:rPr>
        <w:t>En este capítulo, primero se revisan brevemente las tendencias de segregación residencial socioeconómica en la Ciudad de México entre 1990 y 2000. En un segundo momento, se hace una revisión teórica del vínculo entre segregación residencial y empleo. Tercero, se presenta la metodología empleada para después discutir los resultados del análisis estadístico realizado. Finalmente se discuten las implicaciones y limi- taciones de este trabajo tanto en términos del estudio de la desigualdad como de la dimensión territorial de los mercados de trabajo.</w:t>
      </w:r>
    </w:p>
    <w:p>
      <w:pPr>
        <w:spacing w:after="0" w:line="249" w:lineRule="auto"/>
        <w:jc w:val="both"/>
        <w:sectPr>
          <w:pgSz w:w="7770" w:h="11740"/>
          <w:pgMar w:header="0" w:footer="474" w:top="820" w:bottom="740" w:left="740" w:right="1020"/>
        </w:sectPr>
      </w:pPr>
    </w:p>
    <w:p>
      <w:pPr>
        <w:pStyle w:val="Heading4"/>
        <w:spacing w:before="47"/>
      </w:pPr>
      <w:r>
        <w:rPr>
          <w:w w:val="75"/>
        </w:rPr>
        <w:t>Precariedad laboral y desigualdad en el México urbano</w:t>
      </w:r>
    </w:p>
    <w:p>
      <w:pPr>
        <w:pStyle w:val="BodyText"/>
        <w:spacing w:line="249" w:lineRule="auto" w:before="171"/>
        <w:ind w:left="113" w:right="109"/>
        <w:jc w:val="both"/>
      </w:pPr>
      <w:r>
        <w:rPr>
          <w:color w:val="231F20"/>
        </w:rPr>
        <w:t>Después de casi tres décadas de ajuste estructural y limitado crecimien- to económico, las oportunidades de empleo para grandes sectores de la población en la Ciudad de México se han deteriorado en términos de salarios, protección social y estabilidad. De esta manera, en el año 2000 los ingresos promedios de aquellos en la parte baja de la distribución  del mercado de trabajo, se mantuvo por debajo de sus niveles salariales en 1982 en términos reales. Asimismo, las posibilidades de obtener un empleo formal decrecieron durante los noventa al mismo tiempo que la proporción de la fuerza laboral empleada en condiciones críticas</w:t>
      </w:r>
      <w:r>
        <w:rPr>
          <w:color w:val="231F20"/>
          <w:spacing w:val="-28"/>
        </w:rPr>
        <w:t> </w:t>
      </w:r>
      <w:r>
        <w:rPr>
          <w:color w:val="231F20"/>
        </w:rPr>
        <w:t>aumen- taron (Garcia y Oliveira,</w:t>
      </w:r>
      <w:r>
        <w:rPr>
          <w:color w:val="231F20"/>
          <w:spacing w:val="-9"/>
        </w:rPr>
        <w:t> </w:t>
      </w:r>
      <w:r>
        <w:rPr>
          <w:color w:val="231F20"/>
        </w:rPr>
        <w:t>2003)</w:t>
      </w:r>
    </w:p>
    <w:p>
      <w:pPr>
        <w:pStyle w:val="BodyText"/>
        <w:spacing w:line="249" w:lineRule="auto" w:before="1"/>
        <w:ind w:left="113" w:right="107" w:firstLine="283"/>
        <w:jc w:val="both"/>
      </w:pPr>
      <w:r>
        <w:rPr>
          <w:color w:val="231F20"/>
        </w:rPr>
        <w:t>A lo largo del país, dicho deterioro no resultó sólo del pobre des- empeño económico del país sino también de la creciente polarización ocupacional. Aunque los bajos salarios permanecieron como un rasgo central de los mercados de trabajo en México, la desigualdad salarial entre los trabajadores de baja y alta jerarquía creció, de tal forma que, después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crisis</w:t>
      </w:r>
      <w:r>
        <w:rPr>
          <w:color w:val="231F20"/>
          <w:spacing w:val="-11"/>
        </w:rPr>
        <w:t> </w:t>
      </w:r>
      <w:r>
        <w:rPr>
          <w:color w:val="231F20"/>
        </w:rPr>
        <w:t>de</w:t>
      </w:r>
      <w:r>
        <w:rPr>
          <w:color w:val="231F20"/>
          <w:spacing w:val="-10"/>
        </w:rPr>
        <w:t> </w:t>
      </w:r>
      <w:r>
        <w:rPr>
          <w:color w:val="231F20"/>
        </w:rPr>
        <w:t>1995,</w:t>
      </w:r>
      <w:r>
        <w:rPr>
          <w:color w:val="231F20"/>
          <w:spacing w:val="-10"/>
        </w:rPr>
        <w:t> </w:t>
      </w:r>
      <w:r>
        <w:rPr>
          <w:color w:val="231F20"/>
        </w:rPr>
        <w:t>los</w:t>
      </w:r>
      <w:r>
        <w:rPr>
          <w:color w:val="231F20"/>
          <w:spacing w:val="-10"/>
        </w:rPr>
        <w:t> </w:t>
      </w:r>
      <w:r>
        <w:rPr>
          <w:color w:val="231F20"/>
        </w:rPr>
        <w:t>incrementos</w:t>
      </w:r>
      <w:r>
        <w:rPr>
          <w:color w:val="231F20"/>
          <w:spacing w:val="-11"/>
        </w:rPr>
        <w:t> </w:t>
      </w:r>
      <w:r>
        <w:rPr>
          <w:color w:val="231F20"/>
        </w:rPr>
        <w:t>salariales</w:t>
      </w:r>
      <w:r>
        <w:rPr>
          <w:color w:val="231F20"/>
          <w:spacing w:val="-10"/>
        </w:rPr>
        <w:t> </w:t>
      </w:r>
      <w:r>
        <w:rPr>
          <w:color w:val="231F20"/>
        </w:rPr>
        <w:t>fueron</w:t>
      </w:r>
      <w:r>
        <w:rPr>
          <w:color w:val="231F20"/>
          <w:spacing w:val="-10"/>
        </w:rPr>
        <w:t> </w:t>
      </w:r>
      <w:r>
        <w:rPr>
          <w:color w:val="231F20"/>
        </w:rPr>
        <w:t>capturados por</w:t>
      </w:r>
      <w:r>
        <w:rPr>
          <w:color w:val="231F20"/>
          <w:spacing w:val="-6"/>
        </w:rPr>
        <w:t> </w:t>
      </w:r>
      <w:r>
        <w:rPr>
          <w:color w:val="231F20"/>
        </w:rPr>
        <w:t>los</w:t>
      </w:r>
      <w:r>
        <w:rPr>
          <w:color w:val="231F20"/>
          <w:spacing w:val="-7"/>
        </w:rPr>
        <w:t> </w:t>
      </w:r>
      <w:r>
        <w:rPr>
          <w:color w:val="231F20"/>
        </w:rPr>
        <w:t>trabajadores</w:t>
      </w:r>
      <w:r>
        <w:rPr>
          <w:color w:val="231F20"/>
          <w:spacing w:val="-6"/>
        </w:rPr>
        <w:t> </w:t>
      </w:r>
      <w:r>
        <w:rPr>
          <w:color w:val="231F20"/>
        </w:rPr>
        <w:t>más</w:t>
      </w:r>
      <w:r>
        <w:rPr>
          <w:color w:val="231F20"/>
          <w:spacing w:val="-7"/>
        </w:rPr>
        <w:t> </w:t>
      </w:r>
      <w:r>
        <w:rPr>
          <w:color w:val="231F20"/>
        </w:rPr>
        <w:t>educados</w:t>
      </w:r>
      <w:r>
        <w:rPr>
          <w:color w:val="231F20"/>
          <w:spacing w:val="-7"/>
        </w:rPr>
        <w:t> </w:t>
      </w:r>
      <w:r>
        <w:rPr>
          <w:color w:val="231F20"/>
        </w:rPr>
        <w:t>(Salas</w:t>
      </w:r>
      <w:r>
        <w:rPr>
          <w:color w:val="231F20"/>
          <w:spacing w:val="-6"/>
        </w:rPr>
        <w:t> </w:t>
      </w:r>
      <w:r>
        <w:rPr>
          <w:color w:val="231F20"/>
        </w:rPr>
        <w:t>y</w:t>
      </w:r>
      <w:r>
        <w:rPr>
          <w:color w:val="231F20"/>
          <w:spacing w:val="-6"/>
        </w:rPr>
        <w:t> </w:t>
      </w:r>
      <w:r>
        <w:rPr>
          <w:color w:val="231F20"/>
        </w:rPr>
        <w:t>Zepeda,</w:t>
      </w:r>
      <w:r>
        <w:rPr>
          <w:color w:val="231F20"/>
          <w:spacing w:val="-7"/>
        </w:rPr>
        <w:t> </w:t>
      </w:r>
      <w:r>
        <w:rPr>
          <w:color w:val="231F20"/>
        </w:rPr>
        <w:t>2006;</w:t>
      </w:r>
      <w:r>
        <w:rPr>
          <w:color w:val="231F20"/>
          <w:spacing w:val="-6"/>
        </w:rPr>
        <w:t> </w:t>
      </w:r>
      <w:r>
        <w:rPr>
          <w:color w:val="231F20"/>
        </w:rPr>
        <w:t>Ros</w:t>
      </w:r>
      <w:r>
        <w:rPr>
          <w:color w:val="231F20"/>
          <w:spacing w:val="-7"/>
        </w:rPr>
        <w:t> </w:t>
      </w:r>
      <w:r>
        <w:rPr>
          <w:color w:val="231F20"/>
        </w:rPr>
        <w:t>y</w:t>
      </w:r>
      <w:r>
        <w:rPr>
          <w:color w:val="231F20"/>
          <w:spacing w:val="-6"/>
        </w:rPr>
        <w:t> </w:t>
      </w:r>
      <w:r>
        <w:rPr>
          <w:color w:val="231F20"/>
        </w:rPr>
        <w:t>Buillon, 2002). La desigualdad salarial se mantuvo alta aun cuando la inequi- dad en el ingreso entre los hogares disminuyó (Andalon y Lopez-Calva, 2003); de hecho, la desigualdad salarial es el factor que más contribuye a la desigualdad total en el país (Hanson, 2003) tal y como ocurre en la mayoría de los países</w:t>
      </w:r>
      <w:r>
        <w:rPr>
          <w:color w:val="231F20"/>
          <w:spacing w:val="-2"/>
        </w:rPr>
        <w:t> </w:t>
      </w:r>
      <w:r>
        <w:rPr>
          <w:color w:val="231F20"/>
        </w:rPr>
        <w:t>latinoamericanos.</w:t>
      </w:r>
    </w:p>
    <w:p>
      <w:pPr>
        <w:pStyle w:val="BodyText"/>
        <w:spacing w:line="249" w:lineRule="auto" w:before="1"/>
        <w:ind w:left="113" w:right="108" w:firstLine="283"/>
        <w:jc w:val="both"/>
      </w:pPr>
      <w:r>
        <w:rPr>
          <w:color w:val="231F20"/>
        </w:rPr>
        <w:t>La</w:t>
      </w:r>
      <w:r>
        <w:rPr>
          <w:color w:val="231F20"/>
          <w:spacing w:val="-5"/>
        </w:rPr>
        <w:t> </w:t>
      </w:r>
      <w:r>
        <w:rPr>
          <w:color w:val="231F20"/>
        </w:rPr>
        <w:t>desigualdad</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Ciudad</w:t>
      </w:r>
      <w:r>
        <w:rPr>
          <w:color w:val="231F20"/>
          <w:spacing w:val="-5"/>
        </w:rPr>
        <w:t> </w:t>
      </w:r>
      <w:r>
        <w:rPr>
          <w:color w:val="231F20"/>
        </w:rPr>
        <w:t>de</w:t>
      </w:r>
      <w:r>
        <w:rPr>
          <w:color w:val="231F20"/>
          <w:spacing w:val="-5"/>
        </w:rPr>
        <w:t> </w:t>
      </w:r>
      <w:r>
        <w:rPr>
          <w:color w:val="231F20"/>
        </w:rPr>
        <w:t>México</w:t>
      </w:r>
      <w:r>
        <w:rPr>
          <w:color w:val="231F20"/>
          <w:spacing w:val="-4"/>
        </w:rPr>
        <w:t> </w:t>
      </w:r>
      <w:r>
        <w:rPr>
          <w:color w:val="231F20"/>
        </w:rPr>
        <w:t>fue</w:t>
      </w:r>
      <w:r>
        <w:rPr>
          <w:color w:val="231F20"/>
          <w:spacing w:val="-5"/>
        </w:rPr>
        <w:t> </w:t>
      </w:r>
      <w:r>
        <w:rPr>
          <w:color w:val="231F20"/>
        </w:rPr>
        <w:t>todavía</w:t>
      </w:r>
      <w:r>
        <w:rPr>
          <w:color w:val="231F20"/>
          <w:spacing w:val="-5"/>
        </w:rPr>
        <w:t> </w:t>
      </w:r>
      <w:r>
        <w:rPr>
          <w:color w:val="231F20"/>
        </w:rPr>
        <w:t>más</w:t>
      </w:r>
      <w:r>
        <w:rPr>
          <w:color w:val="231F20"/>
          <w:spacing w:val="-5"/>
        </w:rPr>
        <w:t> </w:t>
      </w:r>
      <w:r>
        <w:rPr>
          <w:color w:val="231F20"/>
        </w:rPr>
        <w:t>pronunciada que la del promedio del país o la experimentada en otras regiones del mismo.</w:t>
      </w:r>
      <w:r>
        <w:rPr>
          <w:color w:val="231F20"/>
          <w:spacing w:val="-7"/>
        </w:rPr>
        <w:t> </w:t>
      </w:r>
      <w:r>
        <w:rPr>
          <w:color w:val="231F20"/>
        </w:rPr>
        <w:t>Entre</w:t>
      </w:r>
      <w:r>
        <w:rPr>
          <w:color w:val="231F20"/>
          <w:spacing w:val="-7"/>
        </w:rPr>
        <w:t> </w:t>
      </w:r>
      <w:r>
        <w:rPr>
          <w:color w:val="231F20"/>
        </w:rPr>
        <w:t>1989</w:t>
      </w:r>
      <w:r>
        <w:rPr>
          <w:color w:val="231F20"/>
          <w:spacing w:val="-6"/>
        </w:rPr>
        <w:t> </w:t>
      </w:r>
      <w:r>
        <w:rPr>
          <w:color w:val="231F20"/>
        </w:rPr>
        <w:t>y</w:t>
      </w:r>
      <w:r>
        <w:rPr>
          <w:color w:val="231F20"/>
          <w:spacing w:val="-6"/>
        </w:rPr>
        <w:t> </w:t>
      </w:r>
      <w:r>
        <w:rPr>
          <w:color w:val="231F20"/>
        </w:rPr>
        <w:t>2000,</w:t>
      </w:r>
      <w:r>
        <w:rPr>
          <w:color w:val="231F20"/>
          <w:spacing w:val="-6"/>
        </w:rPr>
        <w:t> </w:t>
      </w:r>
      <w:r>
        <w:rPr>
          <w:color w:val="231F20"/>
        </w:rPr>
        <w:t>el</w:t>
      </w:r>
      <w:r>
        <w:rPr>
          <w:color w:val="231F20"/>
          <w:spacing w:val="-7"/>
        </w:rPr>
        <w:t> </w:t>
      </w:r>
      <w:r>
        <w:rPr>
          <w:color w:val="231F20"/>
        </w:rPr>
        <w:t>coeficiente</w:t>
      </w:r>
      <w:r>
        <w:rPr>
          <w:color w:val="231F20"/>
          <w:spacing w:val="-7"/>
        </w:rPr>
        <w:t> </w:t>
      </w:r>
      <w:r>
        <w:rPr>
          <w:color w:val="231F20"/>
        </w:rPr>
        <w:t>de</w:t>
      </w:r>
      <w:r>
        <w:rPr>
          <w:color w:val="231F20"/>
          <w:spacing w:val="-7"/>
        </w:rPr>
        <w:t> </w:t>
      </w:r>
      <w:r>
        <w:rPr>
          <w:color w:val="231F20"/>
        </w:rPr>
        <w:t>Gini</w:t>
      </w:r>
      <w:r>
        <w:rPr>
          <w:color w:val="231F20"/>
          <w:spacing w:val="-7"/>
        </w:rPr>
        <w:t> </w:t>
      </w:r>
      <w:r>
        <w:rPr>
          <w:color w:val="231F20"/>
        </w:rPr>
        <w:t>creció</w:t>
      </w:r>
      <w:r>
        <w:rPr>
          <w:color w:val="231F20"/>
          <w:spacing w:val="-7"/>
        </w:rPr>
        <w:t> </w:t>
      </w:r>
      <w:r>
        <w:rPr>
          <w:color w:val="231F20"/>
        </w:rPr>
        <w:t>de</w:t>
      </w:r>
      <w:r>
        <w:rPr>
          <w:color w:val="231F20"/>
          <w:spacing w:val="-7"/>
        </w:rPr>
        <w:t> </w:t>
      </w:r>
      <w:r>
        <w:rPr>
          <w:color w:val="231F20"/>
        </w:rPr>
        <w:t>0.417</w:t>
      </w:r>
      <w:r>
        <w:rPr>
          <w:color w:val="231F20"/>
          <w:spacing w:val="-6"/>
        </w:rPr>
        <w:t> </w:t>
      </w:r>
      <w:r>
        <w:rPr>
          <w:color w:val="231F20"/>
        </w:rPr>
        <w:t>a</w:t>
      </w:r>
      <w:r>
        <w:rPr>
          <w:color w:val="231F20"/>
          <w:spacing w:val="-7"/>
        </w:rPr>
        <w:t> </w:t>
      </w:r>
      <w:r>
        <w:rPr>
          <w:color w:val="231F20"/>
        </w:rPr>
        <w:t>0.516 en</w:t>
      </w:r>
      <w:r>
        <w:rPr>
          <w:color w:val="231F20"/>
          <w:spacing w:val="-9"/>
        </w:rPr>
        <w:t> </w:t>
      </w:r>
      <w:r>
        <w:rPr>
          <w:color w:val="231F20"/>
        </w:rPr>
        <w:t>la</w:t>
      </w:r>
      <w:r>
        <w:rPr>
          <w:color w:val="231F20"/>
          <w:spacing w:val="-9"/>
        </w:rPr>
        <w:t> </w:t>
      </w:r>
      <w:r>
        <w:rPr>
          <w:color w:val="231F20"/>
        </w:rPr>
        <w:t>Ciudad</w:t>
      </w:r>
      <w:r>
        <w:rPr>
          <w:color w:val="231F20"/>
          <w:spacing w:val="-9"/>
        </w:rPr>
        <w:t> </w:t>
      </w:r>
      <w:r>
        <w:rPr>
          <w:color w:val="231F20"/>
        </w:rPr>
        <w:t>de</w:t>
      </w:r>
      <w:r>
        <w:rPr>
          <w:color w:val="231F20"/>
          <w:spacing w:val="-9"/>
        </w:rPr>
        <w:t> </w:t>
      </w:r>
      <w:r>
        <w:rPr>
          <w:color w:val="231F20"/>
        </w:rPr>
        <w:t>México;</w:t>
      </w:r>
      <w:r>
        <w:rPr>
          <w:color w:val="231F20"/>
          <w:spacing w:val="-8"/>
        </w:rPr>
        <w:t> </w:t>
      </w:r>
      <w:r>
        <w:rPr>
          <w:color w:val="231F20"/>
        </w:rPr>
        <w:t>mientras</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nivel</w:t>
      </w:r>
      <w:r>
        <w:rPr>
          <w:color w:val="231F20"/>
          <w:spacing w:val="-9"/>
        </w:rPr>
        <w:t> </w:t>
      </w:r>
      <w:r>
        <w:rPr>
          <w:color w:val="231F20"/>
        </w:rPr>
        <w:t>nacional</w:t>
      </w:r>
      <w:r>
        <w:rPr>
          <w:color w:val="231F20"/>
          <w:spacing w:val="-9"/>
        </w:rPr>
        <w:t> </w:t>
      </w:r>
      <w:r>
        <w:rPr>
          <w:color w:val="231F20"/>
        </w:rPr>
        <w:t>se</w:t>
      </w:r>
      <w:r>
        <w:rPr>
          <w:color w:val="231F20"/>
          <w:spacing w:val="-9"/>
        </w:rPr>
        <w:t> </w:t>
      </w:r>
      <w:r>
        <w:rPr>
          <w:color w:val="231F20"/>
        </w:rPr>
        <w:t>movió</w:t>
      </w:r>
      <w:r>
        <w:rPr>
          <w:color w:val="231F20"/>
          <w:spacing w:val="-9"/>
        </w:rPr>
        <w:t> </w:t>
      </w:r>
      <w:r>
        <w:rPr>
          <w:color w:val="231F20"/>
        </w:rPr>
        <w:t>de</w:t>
      </w:r>
      <w:r>
        <w:rPr>
          <w:color w:val="231F20"/>
          <w:spacing w:val="-9"/>
        </w:rPr>
        <w:t> </w:t>
      </w:r>
      <w:r>
        <w:rPr>
          <w:color w:val="231F20"/>
        </w:rPr>
        <w:t>0.406 a</w:t>
      </w:r>
      <w:r>
        <w:rPr>
          <w:color w:val="231F20"/>
          <w:spacing w:val="-4"/>
        </w:rPr>
        <w:t> </w:t>
      </w:r>
      <w:r>
        <w:rPr>
          <w:color w:val="231F20"/>
        </w:rPr>
        <w:t>0.461.</w:t>
      </w:r>
      <w:r>
        <w:rPr>
          <w:color w:val="231F20"/>
          <w:spacing w:val="-4"/>
        </w:rPr>
        <w:t> </w:t>
      </w:r>
      <w:r>
        <w:rPr>
          <w:color w:val="231F20"/>
        </w:rPr>
        <w:t>La</w:t>
      </w:r>
      <w:r>
        <w:rPr>
          <w:color w:val="231F20"/>
          <w:spacing w:val="-4"/>
        </w:rPr>
        <w:t> </w:t>
      </w:r>
      <w:r>
        <w:rPr>
          <w:color w:val="231F20"/>
        </w:rPr>
        <w:t>diferencia</w:t>
      </w:r>
      <w:r>
        <w:rPr>
          <w:color w:val="231F20"/>
          <w:spacing w:val="-4"/>
        </w:rPr>
        <w:t> </w:t>
      </w:r>
      <w:r>
        <w:rPr>
          <w:color w:val="231F20"/>
        </w:rPr>
        <w:t>salarial</w:t>
      </w:r>
      <w:r>
        <w:rPr>
          <w:color w:val="231F20"/>
          <w:spacing w:val="-3"/>
        </w:rPr>
        <w:t> </w:t>
      </w:r>
      <w:r>
        <w:rPr>
          <w:color w:val="231F20"/>
        </w:rPr>
        <w:t>se</w:t>
      </w:r>
      <w:r>
        <w:rPr>
          <w:color w:val="231F20"/>
          <w:spacing w:val="-4"/>
        </w:rPr>
        <w:t> </w:t>
      </w:r>
      <w:r>
        <w:rPr>
          <w:color w:val="231F20"/>
        </w:rPr>
        <w:t>incrementó</w:t>
      </w:r>
      <w:r>
        <w:rPr>
          <w:color w:val="231F20"/>
          <w:spacing w:val="-4"/>
        </w:rPr>
        <w:t> </w:t>
      </w:r>
      <w:r>
        <w:rPr>
          <w:color w:val="231F20"/>
        </w:rPr>
        <w:t>sobre</w:t>
      </w:r>
      <w:r>
        <w:rPr>
          <w:color w:val="231F20"/>
          <w:spacing w:val="-3"/>
        </w:rPr>
        <w:t> </w:t>
      </w:r>
      <w:r>
        <w:rPr>
          <w:color w:val="231F20"/>
        </w:rPr>
        <w:t>todo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parte</w:t>
      </w:r>
      <w:r>
        <w:rPr>
          <w:color w:val="231F20"/>
          <w:spacing w:val="-4"/>
        </w:rPr>
        <w:t> </w:t>
      </w:r>
      <w:r>
        <w:rPr>
          <w:color w:val="231F20"/>
        </w:rPr>
        <w:t>supe- rior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distribución,</w:t>
      </w:r>
      <w:r>
        <w:rPr>
          <w:color w:val="231F20"/>
          <w:spacing w:val="-4"/>
        </w:rPr>
        <w:t> </w:t>
      </w:r>
      <w:r>
        <w:rPr>
          <w:color w:val="231F20"/>
        </w:rPr>
        <w:t>aumentándose</w:t>
      </w:r>
      <w:r>
        <w:rPr>
          <w:color w:val="231F20"/>
          <w:spacing w:val="-5"/>
        </w:rPr>
        <w:t> </w:t>
      </w:r>
      <w:r>
        <w:rPr>
          <w:color w:val="231F20"/>
        </w:rPr>
        <w:t>la</w:t>
      </w:r>
      <w:r>
        <w:rPr>
          <w:color w:val="231F20"/>
          <w:spacing w:val="-4"/>
        </w:rPr>
        <w:t> </w:t>
      </w:r>
      <w:r>
        <w:rPr>
          <w:color w:val="231F20"/>
        </w:rPr>
        <w:t>brecha</w:t>
      </w:r>
      <w:r>
        <w:rPr>
          <w:color w:val="231F20"/>
          <w:spacing w:val="-4"/>
        </w:rPr>
        <w:t> </w:t>
      </w:r>
      <w:r>
        <w:rPr>
          <w:color w:val="231F20"/>
        </w:rPr>
        <w:t>entre</w:t>
      </w:r>
      <w:r>
        <w:rPr>
          <w:color w:val="231F20"/>
          <w:spacing w:val="-4"/>
        </w:rPr>
        <w:t> </w:t>
      </w:r>
      <w:r>
        <w:rPr>
          <w:color w:val="231F20"/>
        </w:rPr>
        <w:t>el</w:t>
      </w:r>
      <w:r>
        <w:rPr>
          <w:color w:val="231F20"/>
          <w:spacing w:val="-4"/>
        </w:rPr>
        <w:t> </w:t>
      </w:r>
      <w:r>
        <w:rPr>
          <w:color w:val="231F20"/>
        </w:rPr>
        <w:t>noveno</w:t>
      </w:r>
      <w:r>
        <w:rPr>
          <w:color w:val="231F20"/>
          <w:spacing w:val="-4"/>
        </w:rPr>
        <w:t> </w:t>
      </w:r>
      <w:r>
        <w:rPr>
          <w:color w:val="231F20"/>
        </w:rPr>
        <w:t>y</w:t>
      </w:r>
      <w:r>
        <w:rPr>
          <w:color w:val="231F20"/>
          <w:spacing w:val="-4"/>
        </w:rPr>
        <w:t> </w:t>
      </w:r>
      <w:r>
        <w:rPr>
          <w:color w:val="231F20"/>
        </w:rPr>
        <w:t>décimo percentil y los trabajadores de la Ciudad de México, en la parte superior de la distribución, se beneficiaron aún más y lo hicieron en una propor- ción mayor que en otras zonas del país (Freije </w:t>
      </w:r>
      <w:r>
        <w:rPr>
          <w:i/>
          <w:color w:val="231F20"/>
        </w:rPr>
        <w:t>et al</w:t>
      </w:r>
      <w:r>
        <w:rPr>
          <w:color w:val="231F20"/>
        </w:rPr>
        <w:t>.,</w:t>
      </w:r>
      <w:r>
        <w:rPr>
          <w:color w:val="231F20"/>
          <w:spacing w:val="-7"/>
        </w:rPr>
        <w:t> </w:t>
      </w:r>
      <w:r>
        <w:rPr>
          <w:color w:val="231F20"/>
        </w:rPr>
        <w:t>2004).</w:t>
      </w:r>
    </w:p>
    <w:p>
      <w:pPr>
        <w:pStyle w:val="BodyText"/>
        <w:spacing w:line="249" w:lineRule="auto" w:before="1"/>
        <w:ind w:left="113" w:right="107" w:firstLine="283"/>
        <w:jc w:val="both"/>
      </w:pPr>
      <w:r>
        <w:rPr>
          <w:color w:val="231F20"/>
        </w:rPr>
        <w:t>En</w:t>
      </w:r>
      <w:r>
        <w:rPr>
          <w:color w:val="231F20"/>
          <w:spacing w:val="-8"/>
        </w:rPr>
        <w:t> </w:t>
      </w:r>
      <w:r>
        <w:rPr>
          <w:color w:val="231F20"/>
        </w:rPr>
        <w:t>términos</w:t>
      </w:r>
      <w:r>
        <w:rPr>
          <w:color w:val="231F20"/>
          <w:spacing w:val="-8"/>
        </w:rPr>
        <w:t> </w:t>
      </w:r>
      <w:r>
        <w:rPr>
          <w:color w:val="231F20"/>
        </w:rPr>
        <w:t>generales,</w:t>
      </w:r>
      <w:r>
        <w:rPr>
          <w:color w:val="231F20"/>
          <w:spacing w:val="-7"/>
        </w:rPr>
        <w:t> </w:t>
      </w:r>
      <w:r>
        <w:rPr>
          <w:color w:val="231F20"/>
        </w:rPr>
        <w:t>el</w:t>
      </w:r>
      <w:r>
        <w:rPr>
          <w:color w:val="231F20"/>
          <w:spacing w:val="-7"/>
        </w:rPr>
        <w:t> </w:t>
      </w:r>
      <w:r>
        <w:rPr>
          <w:color w:val="231F20"/>
        </w:rPr>
        <w:t>mercado</w:t>
      </w:r>
      <w:r>
        <w:rPr>
          <w:color w:val="231F20"/>
          <w:spacing w:val="-7"/>
        </w:rPr>
        <w:t> </w:t>
      </w:r>
      <w:r>
        <w:rPr>
          <w:color w:val="231F20"/>
        </w:rPr>
        <w:t>de</w:t>
      </w:r>
      <w:r>
        <w:rPr>
          <w:color w:val="231F20"/>
          <w:spacing w:val="-7"/>
        </w:rPr>
        <w:t> </w:t>
      </w:r>
      <w:r>
        <w:rPr>
          <w:color w:val="231F20"/>
        </w:rPr>
        <w:t>trabajo</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Ciudad</w:t>
      </w:r>
      <w:r>
        <w:rPr>
          <w:color w:val="231F20"/>
          <w:spacing w:val="-7"/>
        </w:rPr>
        <w:t> </w:t>
      </w:r>
      <w:r>
        <w:rPr>
          <w:color w:val="231F20"/>
        </w:rPr>
        <w:t>de</w:t>
      </w:r>
      <w:r>
        <w:rPr>
          <w:color w:val="231F20"/>
          <w:spacing w:val="-7"/>
        </w:rPr>
        <w:t> </w:t>
      </w:r>
      <w:r>
        <w:rPr>
          <w:color w:val="231F20"/>
        </w:rPr>
        <w:t>México mostró una creciente tendencia a la polarización tanto en su estructura ocupacional como en sus ingresos. Dichas transformaciones se</w:t>
      </w:r>
      <w:r>
        <w:rPr>
          <w:color w:val="231F20"/>
          <w:spacing w:val="-35"/>
        </w:rPr>
        <w:t> </w:t>
      </w:r>
      <w:r>
        <w:rPr>
          <w:color w:val="231F20"/>
        </w:rPr>
        <w:t>interrela- cionaron</w:t>
      </w:r>
      <w:r>
        <w:rPr>
          <w:color w:val="231F20"/>
          <w:spacing w:val="-6"/>
        </w:rPr>
        <w:t> </w:t>
      </w:r>
      <w:r>
        <w:rPr>
          <w:color w:val="231F20"/>
        </w:rPr>
        <w:t>con</w:t>
      </w:r>
      <w:r>
        <w:rPr>
          <w:color w:val="231F20"/>
          <w:spacing w:val="-6"/>
        </w:rPr>
        <w:t> </w:t>
      </w:r>
      <w:r>
        <w:rPr>
          <w:color w:val="231F20"/>
        </w:rPr>
        <w:t>sus</w:t>
      </w:r>
      <w:r>
        <w:rPr>
          <w:color w:val="231F20"/>
          <w:spacing w:val="-6"/>
        </w:rPr>
        <w:t> </w:t>
      </w:r>
      <w:r>
        <w:rPr>
          <w:color w:val="231F20"/>
        </w:rPr>
        <w:t>patrones</w:t>
      </w:r>
      <w:r>
        <w:rPr>
          <w:color w:val="231F20"/>
          <w:spacing w:val="-6"/>
        </w:rPr>
        <w:t> </w:t>
      </w:r>
      <w:r>
        <w:rPr>
          <w:color w:val="231F20"/>
        </w:rPr>
        <w:t>de</w:t>
      </w:r>
      <w:r>
        <w:rPr>
          <w:color w:val="231F20"/>
          <w:spacing w:val="-6"/>
        </w:rPr>
        <w:t> </w:t>
      </w:r>
      <w:r>
        <w:rPr>
          <w:color w:val="231F20"/>
        </w:rPr>
        <w:t>crecimiento</w:t>
      </w:r>
      <w:r>
        <w:rPr>
          <w:color w:val="231F20"/>
          <w:spacing w:val="-6"/>
        </w:rPr>
        <w:t> </w:t>
      </w:r>
      <w:r>
        <w:rPr>
          <w:color w:val="231F20"/>
        </w:rPr>
        <w:t>urbano</w:t>
      </w:r>
      <w:r>
        <w:rPr>
          <w:color w:val="231F20"/>
          <w:spacing w:val="-6"/>
        </w:rPr>
        <w:t> </w:t>
      </w:r>
      <w:r>
        <w:rPr>
          <w:color w:val="231F20"/>
        </w:rPr>
        <w:t>y</w:t>
      </w:r>
      <w:r>
        <w:rPr>
          <w:color w:val="231F20"/>
          <w:spacing w:val="-6"/>
        </w:rPr>
        <w:t> </w:t>
      </w:r>
      <w:r>
        <w:rPr>
          <w:color w:val="231F20"/>
        </w:rPr>
        <w:t>vivienda.</w:t>
      </w:r>
      <w:r>
        <w:rPr>
          <w:color w:val="231F20"/>
          <w:spacing w:val="-6"/>
        </w:rPr>
        <w:t> </w:t>
      </w:r>
      <w:r>
        <w:rPr>
          <w:color w:val="231F20"/>
        </w:rPr>
        <w:t>Durante</w:t>
      </w:r>
      <w:r>
        <w:rPr>
          <w:color w:val="231F20"/>
          <w:spacing w:val="-5"/>
        </w:rPr>
        <w:t> </w:t>
      </w:r>
      <w:r>
        <w:rPr>
          <w:color w:val="231F20"/>
        </w:rPr>
        <w:t>los noventa, el deterioro de las condiciones de empleo también impactó el acceso de los hogares a la vivienda de interés social ya sea por sus bajos ingresos o por la carencia de prestaciones laborales. Adicionalmente,</w:t>
      </w:r>
      <w:r>
        <w:rPr>
          <w:color w:val="231F20"/>
          <w:spacing w:val="47"/>
        </w:rPr>
        <w:t> </w:t>
      </w:r>
      <w:r>
        <w:rPr>
          <w:color w:val="231F20"/>
        </w:rPr>
        <w:t>la</w:t>
      </w:r>
    </w:p>
    <w:p>
      <w:pPr>
        <w:spacing w:after="0" w:line="249" w:lineRule="auto"/>
        <w:jc w:val="both"/>
        <w:sectPr>
          <w:footerReference w:type="default" r:id="rId202"/>
          <w:pgSz w:w="7770" w:h="11740"/>
          <w:pgMar w:footer="474" w:header="0" w:top="840" w:bottom="660" w:left="1020" w:right="740"/>
          <w:pgNumType w:start="157"/>
        </w:sectPr>
      </w:pPr>
    </w:p>
    <w:p>
      <w:pPr>
        <w:pStyle w:val="BodyText"/>
        <w:spacing w:line="249" w:lineRule="auto" w:before="60"/>
        <w:ind w:left="110" w:right="111"/>
        <w:jc w:val="both"/>
      </w:pPr>
      <w:r>
        <w:rPr>
          <w:color w:val="231F20"/>
        </w:rPr>
        <w:t>liberalización</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mercados</w:t>
      </w:r>
      <w:r>
        <w:rPr>
          <w:color w:val="231F20"/>
          <w:spacing w:val="-8"/>
        </w:rPr>
        <w:t> </w:t>
      </w:r>
      <w:r>
        <w:rPr>
          <w:color w:val="231F20"/>
        </w:rPr>
        <w:t>de</w:t>
      </w:r>
      <w:r>
        <w:rPr>
          <w:color w:val="231F20"/>
          <w:spacing w:val="-7"/>
        </w:rPr>
        <w:t> </w:t>
      </w:r>
      <w:r>
        <w:rPr>
          <w:color w:val="231F20"/>
        </w:rPr>
        <w:t>suelo</w:t>
      </w:r>
      <w:r>
        <w:rPr>
          <w:color w:val="231F20"/>
          <w:spacing w:val="-7"/>
        </w:rPr>
        <w:t> </w:t>
      </w:r>
      <w:r>
        <w:rPr>
          <w:color w:val="231F20"/>
        </w:rPr>
        <w:t>urbanos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reducción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tole- rancia estatal a los asentamientos irregulares, disminuyendo con ello las oportunidades de vivienda de los pobres urbanos (Duhau,</w:t>
      </w:r>
      <w:r>
        <w:rPr>
          <w:color w:val="231F20"/>
          <w:spacing w:val="-1"/>
        </w:rPr>
        <w:t> </w:t>
      </w:r>
      <w:r>
        <w:rPr>
          <w:color w:val="231F20"/>
        </w:rPr>
        <w:t>2003).</w:t>
      </w:r>
    </w:p>
    <w:p>
      <w:pPr>
        <w:pStyle w:val="BodyText"/>
        <w:spacing w:line="249" w:lineRule="auto" w:before="1"/>
        <w:ind w:left="110" w:right="111" w:firstLine="283"/>
        <w:jc w:val="both"/>
      </w:pPr>
      <w:r>
        <w:rPr>
          <w:color w:val="231F20"/>
        </w:rPr>
        <w:t>Como sucedió en otros países latinoamericanos, estos escenarios</w:t>
      </w:r>
      <w:r>
        <w:rPr>
          <w:color w:val="231F20"/>
          <w:spacing w:val="-26"/>
        </w:rPr>
        <w:t> </w:t>
      </w:r>
      <w:r>
        <w:rPr>
          <w:color w:val="231F20"/>
        </w:rPr>
        <w:t>han llamado la atención sobre los procesos de desigualdad espacial</w:t>
      </w:r>
      <w:r>
        <w:rPr>
          <w:color w:val="231F20"/>
          <w:spacing w:val="-31"/>
        </w:rPr>
        <w:t> </w:t>
      </w:r>
      <w:r>
        <w:rPr>
          <w:color w:val="231F20"/>
        </w:rPr>
        <w:t>ocurrien- do en las áreas urbanas de México, particularmente cuando diversos es- tudios han mostrado que la segregación residencial socioeconómica se ha incrementado en las últimas décadas en las principales metrópolis</w:t>
      </w:r>
      <w:r>
        <w:rPr>
          <w:color w:val="231F20"/>
          <w:spacing w:val="-22"/>
        </w:rPr>
        <w:t> </w:t>
      </w:r>
      <w:r>
        <w:rPr>
          <w:color w:val="231F20"/>
        </w:rPr>
        <w:t>del país (Ariza y Solís, 2009; Sánchez Peña, 2012). Específicamente, en el caso de la Zona Metropolitana de la Ciudad de México, la segregación residencial por ingresos aumentó entre 1990 y 2000 en ocho por ciento, cuando se considera cuán desigualmente distribuidos están los estratos de ingreso bajo, medio y alto (Sánchez Peña, 2012). Asimismo, el estu- dio muestra que el decil de ingresos más altos no sólo es el que está más segregado</w:t>
      </w:r>
      <w:r>
        <w:rPr>
          <w:color w:val="231F20"/>
          <w:spacing w:val="-11"/>
        </w:rPr>
        <w:t> </w:t>
      </w:r>
      <w:r>
        <w:rPr>
          <w:color w:val="231F20"/>
        </w:rPr>
        <w:t>sino</w:t>
      </w:r>
      <w:r>
        <w:rPr>
          <w:color w:val="231F20"/>
          <w:spacing w:val="-11"/>
        </w:rPr>
        <w:t> </w:t>
      </w:r>
      <w:r>
        <w:rPr>
          <w:color w:val="231F20"/>
        </w:rPr>
        <w:t>es</w:t>
      </w:r>
      <w:r>
        <w:rPr>
          <w:color w:val="231F20"/>
          <w:spacing w:val="-11"/>
        </w:rPr>
        <w:t> </w:t>
      </w:r>
      <w:r>
        <w:rPr>
          <w:color w:val="231F20"/>
        </w:rPr>
        <w:t>quién</w:t>
      </w:r>
      <w:r>
        <w:rPr>
          <w:color w:val="231F20"/>
          <w:spacing w:val="-11"/>
        </w:rPr>
        <w:t> </w:t>
      </w:r>
      <w:r>
        <w:rPr>
          <w:color w:val="231F20"/>
        </w:rPr>
        <w:t>más</w:t>
      </w:r>
      <w:r>
        <w:rPr>
          <w:color w:val="231F20"/>
          <w:spacing w:val="-11"/>
        </w:rPr>
        <w:t> </w:t>
      </w:r>
      <w:r>
        <w:rPr>
          <w:color w:val="231F20"/>
        </w:rPr>
        <w:t>contribuyó</w:t>
      </w:r>
      <w:r>
        <w:rPr>
          <w:color w:val="231F20"/>
          <w:spacing w:val="-12"/>
        </w:rPr>
        <w:t> </w:t>
      </w:r>
      <w:r>
        <w:rPr>
          <w:color w:val="231F20"/>
        </w:rPr>
        <w:t>al</w:t>
      </w:r>
      <w:r>
        <w:rPr>
          <w:color w:val="231F20"/>
          <w:spacing w:val="-11"/>
        </w:rPr>
        <w:t> </w:t>
      </w:r>
      <w:r>
        <w:rPr>
          <w:color w:val="231F20"/>
        </w:rPr>
        <w:t>incremento</w:t>
      </w:r>
      <w:r>
        <w:rPr>
          <w:color w:val="231F20"/>
          <w:spacing w:val="-12"/>
        </w:rPr>
        <w:t> </w:t>
      </w:r>
      <w:r>
        <w:rPr>
          <w:color w:val="231F20"/>
        </w:rPr>
        <w:t>observado</w:t>
      </w:r>
      <w:r>
        <w:rPr>
          <w:color w:val="231F20"/>
          <w:spacing w:val="-11"/>
        </w:rPr>
        <w:t> </w:t>
      </w:r>
      <w:r>
        <w:rPr>
          <w:color w:val="231F20"/>
        </w:rPr>
        <w:t>durante ese periodo (Sánchez Peña,</w:t>
      </w:r>
      <w:r>
        <w:rPr>
          <w:color w:val="231F20"/>
          <w:spacing w:val="-5"/>
        </w:rPr>
        <w:t> </w:t>
      </w:r>
      <w:r>
        <w:rPr>
          <w:color w:val="231F20"/>
        </w:rPr>
        <w:t>2012).</w:t>
      </w:r>
    </w:p>
    <w:p>
      <w:pPr>
        <w:pStyle w:val="Heading4"/>
        <w:ind w:left="110"/>
      </w:pPr>
      <w:r>
        <w:rPr>
          <w:w w:val="75"/>
        </w:rPr>
        <w:t>Segregación residencial y empleo</w:t>
      </w:r>
    </w:p>
    <w:p>
      <w:pPr>
        <w:pStyle w:val="BodyText"/>
        <w:spacing w:line="249" w:lineRule="auto" w:before="171"/>
        <w:ind w:left="110" w:right="110"/>
        <w:jc w:val="both"/>
      </w:pPr>
      <w:r>
        <w:rPr>
          <w:color w:val="231F20"/>
        </w:rPr>
        <w:t>Existe</w:t>
      </w:r>
      <w:r>
        <w:rPr>
          <w:color w:val="231F20"/>
          <w:spacing w:val="-8"/>
        </w:rPr>
        <w:t> </w:t>
      </w:r>
      <w:r>
        <w:rPr>
          <w:color w:val="231F20"/>
        </w:rPr>
        <w:t>un</w:t>
      </w:r>
      <w:r>
        <w:rPr>
          <w:color w:val="231F20"/>
          <w:spacing w:val="-7"/>
        </w:rPr>
        <w:t> </w:t>
      </w:r>
      <w:r>
        <w:rPr>
          <w:color w:val="231F20"/>
        </w:rPr>
        <w:t>debate</w:t>
      </w:r>
      <w:r>
        <w:rPr>
          <w:color w:val="231F20"/>
          <w:spacing w:val="-7"/>
        </w:rPr>
        <w:t> </w:t>
      </w:r>
      <w:r>
        <w:rPr>
          <w:color w:val="231F20"/>
        </w:rPr>
        <w:t>sobre</w:t>
      </w:r>
      <w:r>
        <w:rPr>
          <w:color w:val="231F20"/>
          <w:spacing w:val="-7"/>
        </w:rPr>
        <w:t> </w:t>
      </w:r>
      <w:r>
        <w:rPr>
          <w:color w:val="231F20"/>
        </w:rPr>
        <w:t>si</w:t>
      </w:r>
      <w:r>
        <w:rPr>
          <w:color w:val="231F20"/>
          <w:spacing w:val="-7"/>
        </w:rPr>
        <w:t> </w:t>
      </w:r>
      <w:r>
        <w:rPr>
          <w:color w:val="231F20"/>
        </w:rPr>
        <w:t>la</w:t>
      </w:r>
      <w:r>
        <w:rPr>
          <w:color w:val="231F20"/>
          <w:spacing w:val="-7"/>
        </w:rPr>
        <w:t> </w:t>
      </w:r>
      <w:r>
        <w:rPr>
          <w:color w:val="231F20"/>
        </w:rPr>
        <w:t>concentración</w:t>
      </w:r>
      <w:r>
        <w:rPr>
          <w:color w:val="231F20"/>
          <w:spacing w:val="-8"/>
        </w:rPr>
        <w:t> </w:t>
      </w:r>
      <w:r>
        <w:rPr>
          <w:color w:val="231F20"/>
        </w:rPr>
        <w:t>espacial</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pobreza</w:t>
      </w:r>
      <w:r>
        <w:rPr>
          <w:color w:val="231F20"/>
          <w:spacing w:val="-7"/>
        </w:rPr>
        <w:t> </w:t>
      </w:r>
      <w:r>
        <w:rPr>
          <w:color w:val="231F20"/>
        </w:rPr>
        <w:t>impacta las oportunidades de vida de los pobres urbanos. La pregunta emerge   de una larga discusión sobre “las trampas de la pobreza”, la transmisión intergeneracional de la pobreza </w:t>
      </w:r>
      <w:r>
        <w:rPr>
          <w:color w:val="231F20"/>
          <w:spacing w:val="-7"/>
        </w:rPr>
        <w:t>y, </w:t>
      </w:r>
      <w:r>
        <w:rPr>
          <w:color w:val="231F20"/>
        </w:rPr>
        <w:t>en particular, hasta dónde vivir en</w:t>
      </w:r>
      <w:r>
        <w:rPr>
          <w:color w:val="231F20"/>
          <w:spacing w:val="-15"/>
        </w:rPr>
        <w:t> </w:t>
      </w:r>
      <w:r>
        <w:rPr>
          <w:color w:val="231F20"/>
        </w:rPr>
        <w:t>una comunidad pobre (localidad, vecindario, etc.) tiene efecto perjudicial en sus residentes, más allá de las características de los individuos y los ho- gares. De hecho, la investigación sociológica ha regresado a explorar los llamados efectos contextuales desde finales de los ochenta. Estudios hechos sobre todo en Estados Unidos y más recientemente en Europa, han</w:t>
      </w:r>
      <w:r>
        <w:rPr>
          <w:color w:val="231F20"/>
          <w:spacing w:val="-12"/>
        </w:rPr>
        <w:t> </w:t>
      </w:r>
      <w:r>
        <w:rPr>
          <w:color w:val="231F20"/>
        </w:rPr>
        <w:t>documentado</w:t>
      </w:r>
      <w:r>
        <w:rPr>
          <w:color w:val="231F20"/>
          <w:spacing w:val="-12"/>
        </w:rPr>
        <w:t> </w:t>
      </w:r>
      <w:r>
        <w:rPr>
          <w:color w:val="231F20"/>
        </w:rPr>
        <w:t>mayoritariamente</w:t>
      </w:r>
      <w:r>
        <w:rPr>
          <w:color w:val="231F20"/>
          <w:spacing w:val="-12"/>
        </w:rPr>
        <w:t> </w:t>
      </w:r>
      <w:r>
        <w:rPr>
          <w:color w:val="231F20"/>
        </w:rPr>
        <w:t>efectos</w:t>
      </w:r>
      <w:r>
        <w:rPr>
          <w:color w:val="231F20"/>
          <w:spacing w:val="-12"/>
        </w:rPr>
        <w:t> </w:t>
      </w:r>
      <w:r>
        <w:rPr>
          <w:color w:val="231F20"/>
        </w:rPr>
        <w:t>negativos</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segregación residencial tiene sobre resultados individuales y colectivos, aunque con diferente</w:t>
      </w:r>
      <w:r>
        <w:rPr>
          <w:color w:val="231F20"/>
          <w:spacing w:val="-4"/>
        </w:rPr>
        <w:t> </w:t>
      </w:r>
      <w:r>
        <w:rPr>
          <w:color w:val="231F20"/>
        </w:rPr>
        <w:t>intensidad</w:t>
      </w:r>
      <w:r>
        <w:rPr>
          <w:color w:val="231F20"/>
          <w:spacing w:val="-4"/>
        </w:rPr>
        <w:t> </w:t>
      </w:r>
      <w:r>
        <w:rPr>
          <w:color w:val="231F20"/>
        </w:rPr>
        <w:t>y</w:t>
      </w:r>
      <w:r>
        <w:rPr>
          <w:color w:val="231F20"/>
          <w:spacing w:val="-3"/>
        </w:rPr>
        <w:t> </w:t>
      </w:r>
      <w:r>
        <w:rPr>
          <w:color w:val="231F20"/>
        </w:rPr>
        <w:t>robustez.</w:t>
      </w:r>
      <w:r>
        <w:rPr>
          <w:color w:val="231F20"/>
          <w:spacing w:val="-15"/>
        </w:rPr>
        <w:t> </w:t>
      </w:r>
      <w:r>
        <w:rPr>
          <w:color w:val="231F20"/>
        </w:rPr>
        <w:t>Así,</w:t>
      </w:r>
      <w:r>
        <w:rPr>
          <w:color w:val="231F20"/>
          <w:spacing w:val="-3"/>
        </w:rPr>
        <w:t> </w:t>
      </w:r>
      <w:r>
        <w:rPr>
          <w:color w:val="231F20"/>
        </w:rPr>
        <w:t>la</w:t>
      </w:r>
      <w:r>
        <w:rPr>
          <w:color w:val="231F20"/>
          <w:spacing w:val="-4"/>
        </w:rPr>
        <w:t> </w:t>
      </w:r>
      <w:r>
        <w:rPr>
          <w:color w:val="231F20"/>
        </w:rPr>
        <w:t>segregación</w:t>
      </w:r>
      <w:r>
        <w:rPr>
          <w:color w:val="231F20"/>
          <w:spacing w:val="-3"/>
        </w:rPr>
        <w:t> </w:t>
      </w:r>
      <w:r>
        <w:rPr>
          <w:color w:val="231F20"/>
        </w:rPr>
        <w:t>residencial</w:t>
      </w:r>
      <w:r>
        <w:rPr>
          <w:color w:val="231F20"/>
          <w:spacing w:val="-3"/>
        </w:rPr>
        <w:t> </w:t>
      </w:r>
      <w:r>
        <w:rPr>
          <w:color w:val="231F20"/>
        </w:rPr>
        <w:t>racial</w:t>
      </w:r>
      <w:r>
        <w:rPr>
          <w:color w:val="231F20"/>
          <w:spacing w:val="-4"/>
        </w:rPr>
        <w:t> </w:t>
      </w:r>
      <w:r>
        <w:rPr>
          <w:color w:val="231F20"/>
        </w:rPr>
        <w:t>y/o socioeconómica ha sido negativamente asociada con el logro educativo, las horas trabajadas y las probabilidades de empleo por cuenta propia; mientras que tiende a incrementar el riesgo de embarazo adolecente, de ser</w:t>
      </w:r>
      <w:r>
        <w:rPr>
          <w:color w:val="231F20"/>
          <w:spacing w:val="-5"/>
        </w:rPr>
        <w:t> </w:t>
      </w:r>
      <w:r>
        <w:rPr>
          <w:color w:val="231F20"/>
        </w:rPr>
        <w:t>víctima</w:t>
      </w:r>
      <w:r>
        <w:rPr>
          <w:color w:val="231F20"/>
          <w:spacing w:val="-5"/>
        </w:rPr>
        <w:t> </w:t>
      </w:r>
      <w:r>
        <w:rPr>
          <w:color w:val="231F20"/>
        </w:rPr>
        <w:t>del</w:t>
      </w:r>
      <w:r>
        <w:rPr>
          <w:color w:val="231F20"/>
          <w:spacing w:val="-5"/>
        </w:rPr>
        <w:t> </w:t>
      </w:r>
      <w:r>
        <w:rPr>
          <w:color w:val="231F20"/>
        </w:rPr>
        <w:t>crimen</w:t>
      </w:r>
      <w:r>
        <w:rPr>
          <w:color w:val="231F20"/>
          <w:spacing w:val="-6"/>
        </w:rPr>
        <w:t> </w:t>
      </w:r>
      <w:r>
        <w:rPr>
          <w:color w:val="231F20"/>
        </w:rPr>
        <w:t>y</w:t>
      </w:r>
      <w:r>
        <w:rPr>
          <w:color w:val="231F20"/>
          <w:spacing w:val="-5"/>
        </w:rPr>
        <w:t> </w:t>
      </w:r>
      <w:r>
        <w:rPr>
          <w:color w:val="231F20"/>
        </w:rPr>
        <w:t>del</w:t>
      </w:r>
      <w:r>
        <w:rPr>
          <w:color w:val="231F20"/>
          <w:spacing w:val="-5"/>
        </w:rPr>
        <w:t> </w:t>
      </w:r>
      <w:r>
        <w:rPr>
          <w:color w:val="231F20"/>
        </w:rPr>
        <w:t>desempleo.</w:t>
      </w:r>
      <w:r>
        <w:rPr>
          <w:color w:val="231F20"/>
          <w:spacing w:val="-6"/>
        </w:rPr>
        <w:t> </w:t>
      </w:r>
      <w:r>
        <w:rPr>
          <w:color w:val="231F20"/>
        </w:rPr>
        <w:t>(Wilson,</w:t>
      </w:r>
      <w:r>
        <w:rPr>
          <w:color w:val="231F20"/>
          <w:spacing w:val="-6"/>
        </w:rPr>
        <w:t> </w:t>
      </w:r>
      <w:r>
        <w:rPr>
          <w:color w:val="231F20"/>
        </w:rPr>
        <w:t>1987;</w:t>
      </w:r>
      <w:r>
        <w:rPr>
          <w:color w:val="231F20"/>
          <w:spacing w:val="-5"/>
        </w:rPr>
        <w:t> </w:t>
      </w:r>
      <w:r>
        <w:rPr>
          <w:color w:val="231F20"/>
        </w:rPr>
        <w:t>Massey</w:t>
      </w:r>
      <w:r>
        <w:rPr>
          <w:color w:val="231F20"/>
          <w:spacing w:val="-5"/>
        </w:rPr>
        <w:t> </w:t>
      </w:r>
      <w:r>
        <w:rPr>
          <w:color w:val="231F20"/>
        </w:rPr>
        <w:t>y</w:t>
      </w:r>
      <w:r>
        <w:rPr>
          <w:color w:val="231F20"/>
          <w:spacing w:val="-5"/>
        </w:rPr>
        <w:t> </w:t>
      </w:r>
      <w:r>
        <w:rPr>
          <w:color w:val="231F20"/>
        </w:rPr>
        <w:t>Egger, 1990; Sampson y Wilson, 1996; Massey y Fisher, 2000; </w:t>
      </w:r>
      <w:r>
        <w:rPr>
          <w:color w:val="231F20"/>
          <w:spacing w:val="-8"/>
        </w:rPr>
        <w:t>Van </w:t>
      </w:r>
      <w:r>
        <w:rPr>
          <w:color w:val="231F20"/>
        </w:rPr>
        <w:t>Ham </w:t>
      </w:r>
      <w:r>
        <w:rPr>
          <w:i/>
          <w:color w:val="231F20"/>
        </w:rPr>
        <w:t>et al.</w:t>
      </w:r>
      <w:r>
        <w:rPr>
          <w:color w:val="231F20"/>
        </w:rPr>
        <w:t>, 2001).</w:t>
      </w:r>
      <w:r>
        <w:rPr>
          <w:color w:val="231F20"/>
          <w:spacing w:val="-16"/>
        </w:rPr>
        <w:t> </w:t>
      </w:r>
      <w:r>
        <w:rPr>
          <w:color w:val="231F20"/>
        </w:rPr>
        <w:t>Además,</w:t>
      </w:r>
      <w:r>
        <w:rPr>
          <w:color w:val="231F20"/>
          <w:spacing w:val="-5"/>
        </w:rPr>
        <w:t> </w:t>
      </w:r>
      <w:r>
        <w:rPr>
          <w:color w:val="231F20"/>
        </w:rPr>
        <w:t>los</w:t>
      </w:r>
      <w:r>
        <w:rPr>
          <w:color w:val="231F20"/>
          <w:spacing w:val="-5"/>
        </w:rPr>
        <w:t> </w:t>
      </w:r>
      <w:r>
        <w:rPr>
          <w:color w:val="231F20"/>
        </w:rPr>
        <w:t>estudios</w:t>
      </w:r>
      <w:r>
        <w:rPr>
          <w:color w:val="231F20"/>
          <w:spacing w:val="-6"/>
        </w:rPr>
        <w:t> </w:t>
      </w:r>
      <w:r>
        <w:rPr>
          <w:color w:val="231F20"/>
        </w:rPr>
        <w:t>también</w:t>
      </w:r>
      <w:r>
        <w:rPr>
          <w:color w:val="231F20"/>
          <w:spacing w:val="-5"/>
        </w:rPr>
        <w:t> </w:t>
      </w:r>
      <w:r>
        <w:rPr>
          <w:color w:val="231F20"/>
        </w:rPr>
        <w:t>sugieren</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concentración</w:t>
      </w:r>
      <w:r>
        <w:rPr>
          <w:color w:val="231F20"/>
          <w:spacing w:val="-5"/>
        </w:rPr>
        <w:t> </w:t>
      </w:r>
      <w:r>
        <w:rPr>
          <w:color w:val="231F20"/>
        </w:rPr>
        <w:t>de</w:t>
      </w:r>
      <w:r>
        <w:rPr>
          <w:color w:val="231F20"/>
          <w:spacing w:val="-5"/>
        </w:rPr>
        <w:t> </w:t>
      </w:r>
      <w:r>
        <w:rPr>
          <w:color w:val="231F20"/>
        </w:rPr>
        <w:t>la pobreza también reduce la confianza social (Secor y O’Loughlint, 2005) y la participación política (Cohen y Dawson,</w:t>
      </w:r>
      <w:r>
        <w:rPr>
          <w:color w:val="231F20"/>
          <w:spacing w:val="-6"/>
        </w:rPr>
        <w:t> </w:t>
      </w:r>
      <w:r>
        <w:rPr>
          <w:color w:val="231F20"/>
        </w:rPr>
        <w:t>1993).</w:t>
      </w:r>
    </w:p>
    <w:p>
      <w:pPr>
        <w:pStyle w:val="BodyText"/>
        <w:spacing w:line="249" w:lineRule="auto" w:before="1"/>
        <w:ind w:left="110" w:right="111" w:firstLine="283"/>
        <w:jc w:val="both"/>
      </w:pPr>
      <w:r>
        <w:rPr>
          <w:color w:val="231F20"/>
        </w:rPr>
        <w:t>El menor número de estudios existentes en América Latina sobre los efectos de la segregación apuntan en la misma dirección, a pesar de  las</w:t>
      </w:r>
    </w:p>
    <w:p>
      <w:pPr>
        <w:spacing w:after="0" w:line="249" w:lineRule="auto"/>
        <w:jc w:val="both"/>
        <w:sectPr>
          <w:pgSz w:w="7770" w:h="11740"/>
          <w:pgMar w:header="0" w:footer="474" w:top="840" w:bottom="740" w:left="740" w:right="1020"/>
        </w:sectPr>
      </w:pPr>
    </w:p>
    <w:p>
      <w:pPr>
        <w:pStyle w:val="BodyText"/>
        <w:spacing w:line="249" w:lineRule="auto" w:before="60"/>
        <w:ind w:left="113" w:right="107"/>
        <w:jc w:val="both"/>
      </w:pPr>
      <w:r>
        <w:rPr>
          <w:color w:val="231F20"/>
        </w:rPr>
        <w:t>importantes diferencias tanto institucionales como en la distribución de los ingresos. Katzman (2002) sugiere que más elevados niveles de seg- regación residencial socioeconómica podrían dañar las posibilidades de movilidad social de los pobres urbanos, generando trampas de pobreza. El autor encontró que la segregación socioeconómica en Montevideo, Uruguay daña el logro educativo de los jóvenes y su inserción laboral, mientras que incrementa su probabilidad de desempleo y embarazo ado- lescente (Katzman, 2001). Sabatini </w:t>
      </w:r>
      <w:r>
        <w:rPr>
          <w:i/>
          <w:color w:val="231F20"/>
        </w:rPr>
        <w:t>et al</w:t>
      </w:r>
      <w:r>
        <w:rPr>
          <w:color w:val="231F20"/>
        </w:rPr>
        <w:t>. (2001) señalan similares re- sultados en Santiago, Chile; mientras que Flores  (2008) encontró que  la segregación socioeconómica está asociada con peores resultados en los exámenes en matemáticas y lectura. Mientras que otros estudios señalan que la concentración espacial de la pobreza daña la capacidad organizacional</w:t>
      </w:r>
      <w:r>
        <w:rPr>
          <w:color w:val="231F20"/>
          <w:spacing w:val="-6"/>
        </w:rPr>
        <w:t> </w:t>
      </w:r>
      <w:r>
        <w:rPr>
          <w:color w:val="231F20"/>
        </w:rPr>
        <w:t>y</w:t>
      </w:r>
      <w:r>
        <w:rPr>
          <w:color w:val="231F20"/>
          <w:spacing w:val="-6"/>
        </w:rPr>
        <w:t> </w:t>
      </w:r>
      <w:r>
        <w:rPr>
          <w:color w:val="231F20"/>
        </w:rPr>
        <w:t>movilidad</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pobres</w:t>
      </w:r>
      <w:r>
        <w:rPr>
          <w:color w:val="231F20"/>
          <w:spacing w:val="-6"/>
        </w:rPr>
        <w:t> </w:t>
      </w:r>
      <w:r>
        <w:rPr>
          <w:color w:val="231F20"/>
        </w:rPr>
        <w:t>y</w:t>
      </w:r>
      <w:r>
        <w:rPr>
          <w:color w:val="231F20"/>
          <w:spacing w:val="-6"/>
        </w:rPr>
        <w:t> </w:t>
      </w:r>
      <w:r>
        <w:rPr>
          <w:color w:val="231F20"/>
        </w:rPr>
        <w:t>aumenta</w:t>
      </w:r>
      <w:r>
        <w:rPr>
          <w:color w:val="231F20"/>
          <w:spacing w:val="-6"/>
        </w:rPr>
        <w:t> </w:t>
      </w:r>
      <w:r>
        <w:rPr>
          <w:color w:val="231F20"/>
        </w:rPr>
        <w:t>su</w:t>
      </w:r>
      <w:r>
        <w:rPr>
          <w:color w:val="231F20"/>
          <w:spacing w:val="-6"/>
        </w:rPr>
        <w:t> </w:t>
      </w:r>
      <w:r>
        <w:rPr>
          <w:color w:val="231F20"/>
        </w:rPr>
        <w:t>exposición</w:t>
      </w:r>
      <w:r>
        <w:rPr>
          <w:color w:val="231F20"/>
          <w:spacing w:val="-7"/>
        </w:rPr>
        <w:t> </w:t>
      </w:r>
      <w:r>
        <w:rPr>
          <w:color w:val="231F20"/>
        </w:rPr>
        <w:t>al</w:t>
      </w:r>
      <w:r>
        <w:rPr>
          <w:color w:val="231F20"/>
          <w:spacing w:val="-6"/>
        </w:rPr>
        <w:t> </w:t>
      </w:r>
      <w:r>
        <w:rPr>
          <w:color w:val="231F20"/>
        </w:rPr>
        <w:t>cri- men (Rodríguez, 2001). Investigaciones realizadas en ciudades brasile- ñas señalan que la segregación por ingresos reduce el acceso a servicios públicos, más allá del ingreso de las familias (Torres y Marques, 2004) y dicha segregación está asociada con menores tasas de participación política (Ribeiro y Dos Santos,</w:t>
      </w:r>
      <w:r>
        <w:rPr>
          <w:color w:val="231F20"/>
          <w:spacing w:val="-8"/>
        </w:rPr>
        <w:t> </w:t>
      </w:r>
      <w:r>
        <w:rPr>
          <w:color w:val="231F20"/>
        </w:rPr>
        <w:t>2003).</w:t>
      </w:r>
    </w:p>
    <w:p>
      <w:pPr>
        <w:pStyle w:val="BodyText"/>
        <w:spacing w:line="249" w:lineRule="auto" w:before="1"/>
        <w:ind w:left="113" w:right="108" w:firstLine="283"/>
        <w:jc w:val="both"/>
      </w:pPr>
      <w:r>
        <w:rPr>
          <w:color w:val="231F20"/>
        </w:rPr>
        <w:t>A pesar de las diferencias en los niveles de segregación, la li- teratura coincide en identificar  los  mecanismos  a  través  de  los  cuales la segregación residencial puede impactar las oportunidades de vida de los individuos. En relación con sus efectos sobre el empleo, los estudios señalan tres formas centrales: instituciones y recursos materia- les, redes sociales o capital social, y prácticas culturales y modelos de roles.</w:t>
      </w:r>
    </w:p>
    <w:p>
      <w:pPr>
        <w:pStyle w:val="BodyText"/>
        <w:spacing w:line="249" w:lineRule="auto" w:before="1"/>
        <w:ind w:left="113" w:right="107" w:firstLine="283"/>
        <w:jc w:val="both"/>
      </w:pPr>
      <w:r>
        <w:rPr>
          <w:color w:val="231F20"/>
        </w:rPr>
        <w:t>Primero, los vecindarios segregados podrían estar material e insti- tucionalmente privados del acceso a los servicios públicos, facilidades de salud y educativas, así como fuentes de empleo. Dichos faltantes ex- presaría no sólo la pobreza de sus residentes sino también la falta de poder político, de tal forma que su aislamiento geográfico reflejaría y exacerbaría sus desventajas sociales. Los estudios muestran, por ejem- plo, que los pobres urbanos tienden a recibir peores y menos frecuentes servicios urbanos en términos de recolección de basura, vigilancia poli- ciaca, dotación de agua y electricidad y sus condiciones habitacionales son peores en general (Venkatesh, 2002; Torres y Marques, 2004; Ro- dríguez, 2001). De hecho, investigaciones en Latinoamérica han enfa- tizado que la incapacidad del Estado para proveer servicios básicos a toda la población de las ciudades, constituye un elemento central que contribuye a aumentar las desventajas que enfrentan los habitantes de los  vecindarios  segregados  (Schteingart,  2001).  Además,  la literatu-</w:t>
      </w:r>
    </w:p>
    <w:p>
      <w:pPr>
        <w:spacing w:after="0" w:line="249" w:lineRule="auto"/>
        <w:jc w:val="both"/>
        <w:sectPr>
          <w:footerReference w:type="default" r:id="rId203"/>
          <w:pgSz w:w="7770" w:h="11740"/>
          <w:pgMar w:footer="474" w:header="0" w:top="840" w:bottom="660" w:left="1020" w:right="740"/>
          <w:pgNumType w:start="159"/>
        </w:sectPr>
      </w:pPr>
    </w:p>
    <w:p>
      <w:pPr>
        <w:pStyle w:val="BodyText"/>
        <w:spacing w:line="249" w:lineRule="auto" w:before="60"/>
        <w:ind w:left="110" w:right="111"/>
        <w:jc w:val="both"/>
      </w:pPr>
      <w:r>
        <w:rPr>
          <w:color w:val="231F20"/>
        </w:rPr>
        <w:t>ra en Estados Unidos ha enfatizado que el desajuste espacial (</w:t>
      </w:r>
      <w:r>
        <w:rPr>
          <w:i/>
          <w:color w:val="231F20"/>
        </w:rPr>
        <w:t>spatial </w:t>
      </w:r>
      <w:r>
        <w:rPr>
          <w:i/>
          <w:color w:val="231F20"/>
        </w:rPr>
        <w:t>mismatch</w:t>
      </w:r>
      <w:r>
        <w:rPr>
          <w:color w:val="231F20"/>
        </w:rPr>
        <w:t>) entre los barrios segregados de la población negra y la lo- calización de las fuentes de empleo (desajuste aumentado por deficien- tes sistemas públicos de transporte) contribuye a aumentar las tasas de desempleo de dicho grupo poblacional (Kasarda, 1995; Cooke, 1997). Asimismo, la manera en que los residentes de las ciudades y los acto- res sociales imaginan las geografías residenciales y dan sentido a és-   tas contribuye a amplificar los efectos del vecindario de residencia.    Por ejemplo, Tilly </w:t>
      </w:r>
      <w:r>
        <w:rPr>
          <w:i/>
          <w:color w:val="231F20"/>
        </w:rPr>
        <w:t>et al</w:t>
      </w:r>
      <w:r>
        <w:rPr>
          <w:color w:val="231F20"/>
        </w:rPr>
        <w:t>. (2001) muestra que empleadores en Detroit, Atlanta, Boston y Los Angeles usan el vecindario de procedencia de los solicitantes de empleo y la composición racial de dicho barrio como una señal de la calidad de la fuerza laboral. Dichos supuestos influyen tanto en</w:t>
      </w:r>
      <w:r>
        <w:rPr>
          <w:color w:val="231F20"/>
          <w:spacing w:val="-5"/>
        </w:rPr>
        <w:t> </w:t>
      </w:r>
      <w:r>
        <w:rPr>
          <w:color w:val="231F20"/>
        </w:rPr>
        <w:t>las</w:t>
      </w:r>
      <w:r>
        <w:rPr>
          <w:color w:val="231F20"/>
          <w:spacing w:val="-5"/>
        </w:rPr>
        <w:t> </w:t>
      </w:r>
      <w:r>
        <w:rPr>
          <w:color w:val="231F20"/>
        </w:rPr>
        <w:t>decisiones</w:t>
      </w:r>
      <w:r>
        <w:rPr>
          <w:color w:val="231F20"/>
          <w:spacing w:val="-4"/>
        </w:rPr>
        <w:t> </w:t>
      </w:r>
      <w:r>
        <w:rPr>
          <w:color w:val="231F20"/>
        </w:rPr>
        <w:t>de</w:t>
      </w:r>
      <w:r>
        <w:rPr>
          <w:color w:val="231F20"/>
          <w:spacing w:val="-4"/>
        </w:rPr>
        <w:t> </w:t>
      </w:r>
      <w:r>
        <w:rPr>
          <w:color w:val="231F20"/>
        </w:rPr>
        <w:t>localización</w:t>
      </w:r>
      <w:r>
        <w:rPr>
          <w:color w:val="231F20"/>
          <w:spacing w:val="-5"/>
        </w:rPr>
        <w:t> </w:t>
      </w:r>
      <w:r>
        <w:rPr>
          <w:color w:val="231F20"/>
        </w:rPr>
        <w:t>de</w:t>
      </w:r>
      <w:r>
        <w:rPr>
          <w:color w:val="231F20"/>
          <w:spacing w:val="-4"/>
        </w:rPr>
        <w:t> </w:t>
      </w:r>
      <w:r>
        <w:rPr>
          <w:color w:val="231F20"/>
        </w:rPr>
        <w:t>las</w:t>
      </w:r>
      <w:r>
        <w:rPr>
          <w:color w:val="231F20"/>
          <w:spacing w:val="-5"/>
        </w:rPr>
        <w:t> </w:t>
      </w:r>
      <w:r>
        <w:rPr>
          <w:color w:val="231F20"/>
        </w:rPr>
        <w:t>compañías</w:t>
      </w:r>
      <w:r>
        <w:rPr>
          <w:color w:val="231F20"/>
          <w:spacing w:val="-5"/>
        </w:rPr>
        <w:t> </w:t>
      </w:r>
      <w:r>
        <w:rPr>
          <w:color w:val="231F20"/>
        </w:rPr>
        <w:t>como</w:t>
      </w:r>
      <w:r>
        <w:rPr>
          <w:color w:val="231F20"/>
          <w:spacing w:val="-5"/>
        </w:rPr>
        <w:t> </w:t>
      </w:r>
      <w:r>
        <w:rPr>
          <w:color w:val="231F20"/>
        </w:rPr>
        <w:t>en</w:t>
      </w:r>
      <w:r>
        <w:rPr>
          <w:color w:val="231F20"/>
          <w:spacing w:val="-5"/>
        </w:rPr>
        <w:t> </w:t>
      </w:r>
      <w:r>
        <w:rPr>
          <w:color w:val="231F20"/>
        </w:rPr>
        <w:t>sus</w:t>
      </w:r>
      <w:r>
        <w:rPr>
          <w:color w:val="231F20"/>
          <w:spacing w:val="-4"/>
        </w:rPr>
        <w:t> </w:t>
      </w:r>
      <w:r>
        <w:rPr>
          <w:color w:val="231F20"/>
        </w:rPr>
        <w:t>prácticas de contratación.</w:t>
      </w:r>
    </w:p>
    <w:p>
      <w:pPr>
        <w:pStyle w:val="BodyText"/>
        <w:spacing w:line="249" w:lineRule="auto" w:before="1"/>
        <w:ind w:left="110" w:right="110" w:firstLine="283"/>
        <w:jc w:val="both"/>
      </w:pPr>
      <w:r>
        <w:rPr>
          <w:color w:val="231F20"/>
        </w:rPr>
        <w:t>Segundo, la mayoría de los estudios subrayan el papel de las redes basadas en el vecindario en canalizar a los individuos hacia segmentos específicos del mercado laboral (Lommtz, 1977; Granovetter, 1995;</w:t>
      </w:r>
      <w:r>
        <w:rPr>
          <w:color w:val="231F20"/>
          <w:spacing w:val="-35"/>
        </w:rPr>
        <w:t> </w:t>
      </w:r>
      <w:r>
        <w:rPr>
          <w:color w:val="231F20"/>
        </w:rPr>
        <w:t>Lin, 1999; Elliott, 2000 y 2001; Hanson y Pratt, 1992; McPherson </w:t>
      </w:r>
      <w:r>
        <w:rPr>
          <w:i/>
          <w:color w:val="231F20"/>
        </w:rPr>
        <w:t>et al</w:t>
      </w:r>
      <w:r>
        <w:rPr>
          <w:color w:val="231F20"/>
        </w:rPr>
        <w:t>., 2001). Por ejemplo, estudios realizados en Estados Unidos mostraron que las altas tasas de desempleo experimentadas en barrios negros seg- regados rompieron las redes laborales, dado que un número menor de sus residentes puede transmitir información sobre oportunidades de em- pleo</w:t>
      </w:r>
      <w:r>
        <w:rPr>
          <w:color w:val="231F20"/>
          <w:spacing w:val="-9"/>
        </w:rPr>
        <w:t> </w:t>
      </w:r>
      <w:r>
        <w:rPr>
          <w:color w:val="231F20"/>
        </w:rPr>
        <w:t>o</w:t>
      </w:r>
      <w:r>
        <w:rPr>
          <w:color w:val="231F20"/>
          <w:spacing w:val="-9"/>
        </w:rPr>
        <w:t> </w:t>
      </w:r>
      <w:r>
        <w:rPr>
          <w:color w:val="231F20"/>
        </w:rPr>
        <w:t>dar</w:t>
      </w:r>
      <w:r>
        <w:rPr>
          <w:color w:val="231F20"/>
          <w:spacing w:val="-9"/>
        </w:rPr>
        <w:t> </w:t>
      </w:r>
      <w:r>
        <w:rPr>
          <w:color w:val="231F20"/>
        </w:rPr>
        <w:t>recomendaciones</w:t>
      </w:r>
      <w:r>
        <w:rPr>
          <w:color w:val="231F20"/>
          <w:spacing w:val="-9"/>
        </w:rPr>
        <w:t> </w:t>
      </w:r>
      <w:r>
        <w:rPr>
          <w:color w:val="231F20"/>
        </w:rPr>
        <w:t>para</w:t>
      </w:r>
      <w:r>
        <w:rPr>
          <w:color w:val="231F20"/>
          <w:spacing w:val="-9"/>
        </w:rPr>
        <w:t> </w:t>
      </w:r>
      <w:r>
        <w:rPr>
          <w:color w:val="231F20"/>
        </w:rPr>
        <w:t>conseguirlos</w:t>
      </w:r>
      <w:r>
        <w:rPr>
          <w:color w:val="231F20"/>
          <w:spacing w:val="-9"/>
        </w:rPr>
        <w:t> </w:t>
      </w:r>
      <w:r>
        <w:rPr>
          <w:color w:val="231F20"/>
        </w:rPr>
        <w:t>(Wilson,</w:t>
      </w:r>
      <w:r>
        <w:rPr>
          <w:color w:val="231F20"/>
          <w:spacing w:val="-9"/>
        </w:rPr>
        <w:t> </w:t>
      </w:r>
      <w:r>
        <w:rPr>
          <w:color w:val="231F20"/>
        </w:rPr>
        <w:t>1987;</w:t>
      </w:r>
      <w:r>
        <w:rPr>
          <w:color w:val="231F20"/>
          <w:spacing w:val="-12"/>
        </w:rPr>
        <w:t> </w:t>
      </w:r>
      <w:r>
        <w:rPr>
          <w:color w:val="231F20"/>
        </w:rPr>
        <w:t>Wacquant, 1989). Dado que muchos estudios sugieren que los pobres, las minorías y las mujeres tienden a depender fuertemente de las redes basadas en    el vecindario para conseguir empleos, en la literatura ampliamente se sugiere que los residentes de los vecindarios segregados verán limitadas sus</w:t>
      </w:r>
      <w:r>
        <w:rPr>
          <w:color w:val="231F20"/>
          <w:spacing w:val="-6"/>
        </w:rPr>
        <w:t> </w:t>
      </w:r>
      <w:r>
        <w:rPr>
          <w:color w:val="231F20"/>
        </w:rPr>
        <w:t>oportunidades</w:t>
      </w:r>
      <w:r>
        <w:rPr>
          <w:color w:val="231F20"/>
          <w:spacing w:val="-6"/>
        </w:rPr>
        <w:t> </w:t>
      </w:r>
      <w:r>
        <w:rPr>
          <w:color w:val="231F20"/>
        </w:rPr>
        <w:t>laborales</w:t>
      </w:r>
      <w:r>
        <w:rPr>
          <w:color w:val="231F20"/>
          <w:spacing w:val="-7"/>
        </w:rPr>
        <w:t> </w:t>
      </w:r>
      <w:r>
        <w:rPr>
          <w:color w:val="231F20"/>
        </w:rPr>
        <w:t>debido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composición</w:t>
      </w:r>
      <w:r>
        <w:rPr>
          <w:color w:val="231F20"/>
          <w:spacing w:val="-7"/>
        </w:rPr>
        <w:t> </w:t>
      </w:r>
      <w:r>
        <w:rPr>
          <w:color w:val="231F20"/>
        </w:rPr>
        <w:t>de</w:t>
      </w:r>
      <w:r>
        <w:rPr>
          <w:color w:val="231F20"/>
          <w:spacing w:val="-6"/>
        </w:rPr>
        <w:t> </w:t>
      </w:r>
      <w:r>
        <w:rPr>
          <w:color w:val="231F20"/>
        </w:rPr>
        <w:t>sus</w:t>
      </w:r>
      <w:r>
        <w:rPr>
          <w:color w:val="231F20"/>
          <w:spacing w:val="-6"/>
        </w:rPr>
        <w:t> </w:t>
      </w:r>
      <w:r>
        <w:rPr>
          <w:color w:val="231F20"/>
        </w:rPr>
        <w:t>redes</w:t>
      </w:r>
      <w:r>
        <w:rPr>
          <w:color w:val="231F20"/>
          <w:spacing w:val="-6"/>
        </w:rPr>
        <w:t> </w:t>
      </w:r>
      <w:r>
        <w:rPr>
          <w:color w:val="231F20"/>
        </w:rPr>
        <w:t>(Green </w:t>
      </w:r>
      <w:r>
        <w:rPr>
          <w:i/>
          <w:color w:val="231F20"/>
        </w:rPr>
        <w:t>et al</w:t>
      </w:r>
      <w:r>
        <w:rPr>
          <w:color w:val="231F20"/>
        </w:rPr>
        <w:t>., 1995; Elliott, 2000; Lomnitz, 1977). Así, los residentes de pobres comunidades segregadas, sus contactos barriales más probablemente los conducirán</w:t>
      </w:r>
      <w:r>
        <w:rPr>
          <w:color w:val="231F20"/>
          <w:spacing w:val="-5"/>
        </w:rPr>
        <w:t> </w:t>
      </w:r>
      <w:r>
        <w:rPr>
          <w:color w:val="231F20"/>
        </w:rPr>
        <w:t>a</w:t>
      </w:r>
      <w:r>
        <w:rPr>
          <w:color w:val="231F20"/>
          <w:spacing w:val="-4"/>
        </w:rPr>
        <w:t> </w:t>
      </w:r>
      <w:r>
        <w:rPr>
          <w:color w:val="231F20"/>
        </w:rPr>
        <w:t>ocupaciones</w:t>
      </w:r>
      <w:r>
        <w:rPr>
          <w:color w:val="231F20"/>
          <w:spacing w:val="-4"/>
        </w:rPr>
        <w:t> </w:t>
      </w:r>
      <w:r>
        <w:rPr>
          <w:color w:val="231F20"/>
        </w:rPr>
        <w:t>con</w:t>
      </w:r>
      <w:r>
        <w:rPr>
          <w:color w:val="231F20"/>
          <w:spacing w:val="-4"/>
        </w:rPr>
        <w:t> </w:t>
      </w:r>
      <w:r>
        <w:rPr>
          <w:color w:val="231F20"/>
        </w:rPr>
        <w:t>bajos</w:t>
      </w:r>
      <w:r>
        <w:rPr>
          <w:color w:val="231F20"/>
          <w:spacing w:val="-4"/>
        </w:rPr>
        <w:t> </w:t>
      </w:r>
      <w:r>
        <w:rPr>
          <w:color w:val="231F20"/>
        </w:rPr>
        <w:t>ingresos</w:t>
      </w:r>
      <w:r>
        <w:rPr>
          <w:color w:val="231F20"/>
          <w:spacing w:val="-5"/>
        </w:rPr>
        <w:t> </w:t>
      </w:r>
      <w:r>
        <w:rPr>
          <w:color w:val="231F20"/>
        </w:rPr>
        <w:t>y</w:t>
      </w:r>
      <w:r>
        <w:rPr>
          <w:color w:val="231F20"/>
          <w:spacing w:val="-4"/>
        </w:rPr>
        <w:t> </w:t>
      </w:r>
      <w:r>
        <w:rPr>
          <w:color w:val="231F20"/>
        </w:rPr>
        <w:t>a</w:t>
      </w:r>
      <w:r>
        <w:rPr>
          <w:color w:val="231F20"/>
          <w:spacing w:val="-4"/>
        </w:rPr>
        <w:t> </w:t>
      </w:r>
      <w:r>
        <w:rPr>
          <w:color w:val="231F20"/>
        </w:rPr>
        <w:t>segmentos</w:t>
      </w:r>
      <w:r>
        <w:rPr>
          <w:color w:val="231F20"/>
          <w:spacing w:val="-4"/>
        </w:rPr>
        <w:t> </w:t>
      </w:r>
      <w:r>
        <w:rPr>
          <w:color w:val="231F20"/>
        </w:rPr>
        <w:t>del</w:t>
      </w:r>
      <w:r>
        <w:rPr>
          <w:color w:val="231F20"/>
          <w:spacing w:val="-4"/>
        </w:rPr>
        <w:t> </w:t>
      </w:r>
      <w:r>
        <w:rPr>
          <w:color w:val="231F20"/>
        </w:rPr>
        <w:t>mercado laboral segregados por género, raza o condición migratoria. De acuerdo con esta literatura, las mujeres podrían experimentar una doble desven- taja tanto por su mayor dependencia en las redes barriales como por las dinámicas de género que privan en dichas redes. La homofilia por sexo en las redes sociales acentúa los roles de género. Para las mujeres, ésta tiende a acentuar su participación en actividades relacionadas con la cri- anza de los niños, que a su vez lleva a las mujeres a depender más en redes familiares o en otro tipo de flujos de información organizados al- rededor</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trabajo</w:t>
      </w:r>
      <w:r>
        <w:rPr>
          <w:color w:val="231F20"/>
          <w:spacing w:val="-6"/>
        </w:rPr>
        <w:t> </w:t>
      </w:r>
      <w:r>
        <w:rPr>
          <w:color w:val="231F20"/>
        </w:rPr>
        <w:t>doméstico,</w:t>
      </w:r>
      <w:r>
        <w:rPr>
          <w:color w:val="231F20"/>
          <w:spacing w:val="-6"/>
        </w:rPr>
        <w:t> </w:t>
      </w:r>
      <w:r>
        <w:rPr>
          <w:color w:val="231F20"/>
        </w:rPr>
        <w:t>en</w:t>
      </w:r>
      <w:r>
        <w:rPr>
          <w:color w:val="231F20"/>
          <w:spacing w:val="-6"/>
        </w:rPr>
        <w:t> </w:t>
      </w:r>
      <w:r>
        <w:rPr>
          <w:color w:val="231F20"/>
        </w:rPr>
        <w:t>lugar</w:t>
      </w:r>
      <w:r>
        <w:rPr>
          <w:color w:val="231F20"/>
          <w:spacing w:val="-6"/>
        </w:rPr>
        <w:t> </w:t>
      </w:r>
      <w:r>
        <w:rPr>
          <w:color w:val="231F20"/>
        </w:rPr>
        <w:t>de</w:t>
      </w:r>
      <w:r>
        <w:rPr>
          <w:color w:val="231F20"/>
          <w:spacing w:val="-5"/>
        </w:rPr>
        <w:t> </w:t>
      </w:r>
      <w:r>
        <w:rPr>
          <w:color w:val="231F20"/>
        </w:rPr>
        <w:t>redes</w:t>
      </w:r>
      <w:r>
        <w:rPr>
          <w:color w:val="231F20"/>
          <w:spacing w:val="-5"/>
        </w:rPr>
        <w:t> </w:t>
      </w:r>
      <w:r>
        <w:rPr>
          <w:color w:val="231F20"/>
        </w:rPr>
        <w:t>organizadas</w:t>
      </w:r>
      <w:r>
        <w:rPr>
          <w:color w:val="231F20"/>
          <w:spacing w:val="-5"/>
        </w:rPr>
        <w:t> </w:t>
      </w:r>
      <w:r>
        <w:rPr>
          <w:color w:val="231F20"/>
        </w:rPr>
        <w:t>alrededor</w:t>
      </w:r>
    </w:p>
    <w:p>
      <w:pPr>
        <w:spacing w:after="0" w:line="249" w:lineRule="auto"/>
        <w:jc w:val="both"/>
        <w:sectPr>
          <w:pgSz w:w="7770" w:h="11740"/>
          <w:pgMar w:header="0" w:footer="474" w:top="840" w:bottom="740" w:left="740" w:right="1020"/>
        </w:sectPr>
      </w:pPr>
    </w:p>
    <w:p>
      <w:pPr>
        <w:pStyle w:val="BodyText"/>
        <w:spacing w:line="249" w:lineRule="auto" w:before="60"/>
        <w:ind w:left="113" w:right="107"/>
        <w:jc w:val="both"/>
      </w:pPr>
      <w:r>
        <w:rPr>
          <w:color w:val="231F20"/>
        </w:rPr>
        <w:t>del trabajo como en el caso de los hombres (Smith-Lovin y McPher- son, 1993). Dichas actividades muy frecuentemente ocurren dentro de las fronteras de los vecindarios, sobre todo para las mujeres de menores recursos económicos. De esta manera, no es sólo que las mujeres pasen más tiempo en casa, sino que el tipo de actividades en las que toman parte</w:t>
      </w:r>
      <w:r>
        <w:rPr>
          <w:color w:val="231F20"/>
          <w:spacing w:val="-9"/>
        </w:rPr>
        <w:t> </w:t>
      </w:r>
      <w:r>
        <w:rPr>
          <w:color w:val="231F20"/>
        </w:rPr>
        <w:t>refuerza</w:t>
      </w:r>
      <w:r>
        <w:rPr>
          <w:color w:val="231F20"/>
          <w:spacing w:val="-10"/>
        </w:rPr>
        <w:t> </w:t>
      </w:r>
      <w:r>
        <w:rPr>
          <w:color w:val="231F20"/>
        </w:rPr>
        <w:t>su</w:t>
      </w:r>
      <w:r>
        <w:rPr>
          <w:color w:val="231F20"/>
          <w:spacing w:val="-9"/>
        </w:rPr>
        <w:t> </w:t>
      </w:r>
      <w:r>
        <w:rPr>
          <w:color w:val="231F20"/>
        </w:rPr>
        <w:t>vínculo</w:t>
      </w:r>
      <w:r>
        <w:rPr>
          <w:color w:val="231F20"/>
          <w:spacing w:val="-10"/>
        </w:rPr>
        <w:t> </w:t>
      </w:r>
      <w:r>
        <w:rPr>
          <w:color w:val="231F20"/>
        </w:rPr>
        <w:t>con</w:t>
      </w:r>
      <w:r>
        <w:rPr>
          <w:color w:val="231F20"/>
          <w:spacing w:val="-10"/>
        </w:rPr>
        <w:t> </w:t>
      </w:r>
      <w:r>
        <w:rPr>
          <w:color w:val="231F20"/>
        </w:rPr>
        <w:t>sus</w:t>
      </w:r>
      <w:r>
        <w:rPr>
          <w:color w:val="231F20"/>
          <w:spacing w:val="-9"/>
        </w:rPr>
        <w:t> </w:t>
      </w:r>
      <w:r>
        <w:rPr>
          <w:color w:val="231F20"/>
        </w:rPr>
        <w:t>vecinos.</w:t>
      </w:r>
      <w:r>
        <w:rPr>
          <w:color w:val="231F20"/>
          <w:spacing w:val="-20"/>
        </w:rPr>
        <w:t> </w:t>
      </w:r>
      <w:r>
        <w:rPr>
          <w:color w:val="231F20"/>
        </w:rPr>
        <w:t>Así,</w:t>
      </w:r>
      <w:r>
        <w:rPr>
          <w:color w:val="231F20"/>
          <w:spacing w:val="-9"/>
        </w:rPr>
        <w:t> </w:t>
      </w:r>
      <w:r>
        <w:rPr>
          <w:color w:val="231F20"/>
        </w:rPr>
        <w:t>Parks</w:t>
      </w:r>
      <w:r>
        <w:rPr>
          <w:color w:val="231F20"/>
          <w:spacing w:val="-9"/>
        </w:rPr>
        <w:t> </w:t>
      </w:r>
      <w:r>
        <w:rPr>
          <w:color w:val="231F20"/>
        </w:rPr>
        <w:t>(2004)</w:t>
      </w:r>
      <w:r>
        <w:rPr>
          <w:color w:val="231F20"/>
          <w:spacing w:val="-9"/>
        </w:rPr>
        <w:t> </w:t>
      </w:r>
      <w:r>
        <w:rPr>
          <w:color w:val="231F20"/>
        </w:rPr>
        <w:t>encontró</w:t>
      </w:r>
      <w:r>
        <w:rPr>
          <w:color w:val="231F20"/>
          <w:spacing w:val="-10"/>
        </w:rPr>
        <w:t> </w:t>
      </w:r>
      <w:r>
        <w:rPr>
          <w:color w:val="231F20"/>
        </w:rPr>
        <w:t>que las</w:t>
      </w:r>
      <w:r>
        <w:rPr>
          <w:color w:val="231F20"/>
          <w:spacing w:val="-10"/>
        </w:rPr>
        <w:t> </w:t>
      </w:r>
      <w:r>
        <w:rPr>
          <w:color w:val="231F20"/>
        </w:rPr>
        <w:t>mujeres</w:t>
      </w:r>
      <w:r>
        <w:rPr>
          <w:color w:val="231F20"/>
          <w:spacing w:val="-10"/>
        </w:rPr>
        <w:t> </w:t>
      </w:r>
      <w:r>
        <w:rPr>
          <w:color w:val="231F20"/>
        </w:rPr>
        <w:t>que</w:t>
      </w:r>
      <w:r>
        <w:rPr>
          <w:color w:val="231F20"/>
          <w:spacing w:val="-9"/>
        </w:rPr>
        <w:t> </w:t>
      </w:r>
      <w:r>
        <w:rPr>
          <w:color w:val="231F20"/>
        </w:rPr>
        <w:t>viven</w:t>
      </w:r>
      <w:r>
        <w:rPr>
          <w:color w:val="231F20"/>
          <w:spacing w:val="-9"/>
        </w:rPr>
        <w:t> </w:t>
      </w:r>
      <w:r>
        <w:rPr>
          <w:color w:val="231F20"/>
        </w:rPr>
        <w:t>en</w:t>
      </w:r>
      <w:r>
        <w:rPr>
          <w:color w:val="231F20"/>
          <w:spacing w:val="-10"/>
        </w:rPr>
        <w:t> </w:t>
      </w:r>
      <w:r>
        <w:rPr>
          <w:color w:val="231F20"/>
        </w:rPr>
        <w:t>enclaves</w:t>
      </w:r>
      <w:r>
        <w:rPr>
          <w:color w:val="231F20"/>
          <w:spacing w:val="-10"/>
        </w:rPr>
        <w:t> </w:t>
      </w:r>
      <w:r>
        <w:rPr>
          <w:color w:val="231F20"/>
        </w:rPr>
        <w:t>étnicos</w:t>
      </w:r>
      <w:r>
        <w:rPr>
          <w:color w:val="231F20"/>
          <w:spacing w:val="-10"/>
        </w:rPr>
        <w:t> </w:t>
      </w:r>
      <w:r>
        <w:rPr>
          <w:color w:val="231F20"/>
        </w:rPr>
        <w:t>en</w:t>
      </w:r>
      <w:r>
        <w:rPr>
          <w:color w:val="231F20"/>
          <w:spacing w:val="-10"/>
        </w:rPr>
        <w:t> </w:t>
      </w:r>
      <w:r>
        <w:rPr>
          <w:color w:val="231F20"/>
        </w:rPr>
        <w:t>Estados</w:t>
      </w:r>
      <w:r>
        <w:rPr>
          <w:color w:val="231F20"/>
          <w:spacing w:val="-10"/>
        </w:rPr>
        <w:t> </w:t>
      </w:r>
      <w:r>
        <w:rPr>
          <w:color w:val="231F20"/>
        </w:rPr>
        <w:t>Unidos</w:t>
      </w:r>
      <w:r>
        <w:rPr>
          <w:color w:val="231F20"/>
          <w:spacing w:val="-9"/>
        </w:rPr>
        <w:t> </w:t>
      </w:r>
      <w:r>
        <w:rPr>
          <w:color w:val="231F20"/>
        </w:rPr>
        <w:t>tienen</w:t>
      </w:r>
      <w:r>
        <w:rPr>
          <w:color w:val="231F20"/>
          <w:spacing w:val="-10"/>
        </w:rPr>
        <w:t> </w:t>
      </w:r>
      <w:r>
        <w:rPr>
          <w:color w:val="231F20"/>
        </w:rPr>
        <w:t>may- ores</w:t>
      </w:r>
      <w:r>
        <w:rPr>
          <w:color w:val="231F20"/>
          <w:spacing w:val="-7"/>
        </w:rPr>
        <w:t> </w:t>
      </w:r>
      <w:r>
        <w:rPr>
          <w:color w:val="231F20"/>
        </w:rPr>
        <w:t>probabilidades</w:t>
      </w:r>
      <w:r>
        <w:rPr>
          <w:color w:val="231F20"/>
          <w:spacing w:val="-7"/>
        </w:rPr>
        <w:t> </w:t>
      </w:r>
      <w:r>
        <w:rPr>
          <w:color w:val="231F20"/>
        </w:rPr>
        <w:t>de</w:t>
      </w:r>
      <w:r>
        <w:rPr>
          <w:color w:val="231F20"/>
          <w:spacing w:val="-7"/>
        </w:rPr>
        <w:t> </w:t>
      </w:r>
      <w:r>
        <w:rPr>
          <w:color w:val="231F20"/>
        </w:rPr>
        <w:t>trabajar</w:t>
      </w:r>
      <w:r>
        <w:rPr>
          <w:color w:val="231F20"/>
          <w:spacing w:val="-8"/>
        </w:rPr>
        <w:t> </w:t>
      </w:r>
      <w:r>
        <w:rPr>
          <w:color w:val="231F20"/>
        </w:rPr>
        <w:t>en</w:t>
      </w:r>
      <w:r>
        <w:rPr>
          <w:color w:val="231F20"/>
          <w:spacing w:val="-8"/>
        </w:rPr>
        <w:t> </w:t>
      </w:r>
      <w:r>
        <w:rPr>
          <w:color w:val="231F20"/>
        </w:rPr>
        <w:t>dicho</w:t>
      </w:r>
      <w:r>
        <w:rPr>
          <w:color w:val="231F20"/>
          <w:spacing w:val="-7"/>
        </w:rPr>
        <w:t> </w:t>
      </w:r>
      <w:r>
        <w:rPr>
          <w:color w:val="231F20"/>
        </w:rPr>
        <w:t>nicho</w:t>
      </w:r>
      <w:r>
        <w:rPr>
          <w:color w:val="231F20"/>
          <w:spacing w:val="-7"/>
        </w:rPr>
        <w:t> </w:t>
      </w:r>
      <w:r>
        <w:rPr>
          <w:color w:val="231F20"/>
        </w:rPr>
        <w:t>que</w:t>
      </w:r>
      <w:r>
        <w:rPr>
          <w:color w:val="231F20"/>
          <w:spacing w:val="-7"/>
        </w:rPr>
        <w:t> </w:t>
      </w:r>
      <w:r>
        <w:rPr>
          <w:color w:val="231F20"/>
        </w:rPr>
        <w:t>los</w:t>
      </w:r>
      <w:r>
        <w:rPr>
          <w:color w:val="231F20"/>
          <w:spacing w:val="-8"/>
        </w:rPr>
        <w:t> </w:t>
      </w:r>
      <w:r>
        <w:rPr>
          <w:color w:val="231F20"/>
        </w:rPr>
        <w:t>hombres;</w:t>
      </w:r>
      <w:r>
        <w:rPr>
          <w:color w:val="231F20"/>
          <w:spacing w:val="-7"/>
        </w:rPr>
        <w:t> </w:t>
      </w:r>
      <w:r>
        <w:rPr>
          <w:color w:val="231F20"/>
        </w:rPr>
        <w:t>mientras que estudios realizados en México muestran que las mujeres de barrios con alta pobreza tienden a estar a cargo de obtener los servicios básicos para sus viviendas, además de sus tareas familiares, lo cual limita el tipo de empleos que pueden tener (Salazar,</w:t>
      </w:r>
      <w:r>
        <w:rPr>
          <w:color w:val="231F20"/>
          <w:spacing w:val="-11"/>
        </w:rPr>
        <w:t> </w:t>
      </w:r>
      <w:r>
        <w:rPr>
          <w:color w:val="231F20"/>
        </w:rPr>
        <w:t>1999).</w:t>
      </w:r>
    </w:p>
    <w:p>
      <w:pPr>
        <w:pStyle w:val="BodyText"/>
        <w:spacing w:line="249" w:lineRule="auto" w:before="1"/>
        <w:ind w:left="113" w:right="108" w:firstLine="283"/>
        <w:jc w:val="both"/>
      </w:pPr>
      <w:r>
        <w:rPr>
          <w:color w:val="231F20"/>
        </w:rPr>
        <w:t>Aun cuando la literatura señala fundamentalmente las desventajas enfrentadas</w:t>
      </w:r>
      <w:r>
        <w:rPr>
          <w:color w:val="231F20"/>
          <w:spacing w:val="-5"/>
        </w:rPr>
        <w:t> </w:t>
      </w:r>
      <w:r>
        <w:rPr>
          <w:color w:val="231F20"/>
        </w:rPr>
        <w:t>por</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la</w:t>
      </w:r>
      <w:r>
        <w:rPr>
          <w:color w:val="231F20"/>
          <w:spacing w:val="-5"/>
        </w:rPr>
        <w:t> </w:t>
      </w:r>
      <w:r>
        <w:rPr>
          <w:color w:val="231F20"/>
        </w:rPr>
        <w:t>investigación</w:t>
      </w:r>
      <w:r>
        <w:rPr>
          <w:color w:val="231F20"/>
          <w:spacing w:val="-5"/>
        </w:rPr>
        <w:t> </w:t>
      </w:r>
      <w:r>
        <w:rPr>
          <w:color w:val="231F20"/>
        </w:rPr>
        <w:t>también</w:t>
      </w:r>
      <w:r>
        <w:rPr>
          <w:color w:val="231F20"/>
          <w:spacing w:val="-5"/>
        </w:rPr>
        <w:t> </w:t>
      </w:r>
      <w:r>
        <w:rPr>
          <w:color w:val="231F20"/>
        </w:rPr>
        <w:t>muestra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em- pleo de los hombres también está moldeado por la se-gregación residen- cial. Estudios encontraron que los hombres negros en Estados Unidos experimentan</w:t>
      </w:r>
      <w:r>
        <w:rPr>
          <w:color w:val="231F20"/>
          <w:spacing w:val="-6"/>
        </w:rPr>
        <w:t> </w:t>
      </w:r>
      <w:r>
        <w:rPr>
          <w:color w:val="231F20"/>
        </w:rPr>
        <w:t>tasas</w:t>
      </w:r>
      <w:r>
        <w:rPr>
          <w:color w:val="231F20"/>
          <w:spacing w:val="-5"/>
        </w:rPr>
        <w:t> </w:t>
      </w:r>
      <w:r>
        <w:rPr>
          <w:color w:val="231F20"/>
        </w:rPr>
        <w:t>de</w:t>
      </w:r>
      <w:r>
        <w:rPr>
          <w:color w:val="231F20"/>
          <w:spacing w:val="-5"/>
        </w:rPr>
        <w:t> </w:t>
      </w:r>
      <w:r>
        <w:rPr>
          <w:color w:val="231F20"/>
        </w:rPr>
        <w:t>desempleo</w:t>
      </w:r>
      <w:r>
        <w:rPr>
          <w:color w:val="231F20"/>
          <w:spacing w:val="-5"/>
        </w:rPr>
        <w:t> </w:t>
      </w:r>
      <w:r>
        <w:rPr>
          <w:color w:val="231F20"/>
        </w:rPr>
        <w:t>mayores</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negras, pero que dichas diferencias son todavía más pronunciadas entre los bar- rios segregados (Wilson, 1987). En el caso mexicano, algunos estudios sugieren</w:t>
      </w:r>
      <w:r>
        <w:rPr>
          <w:color w:val="231F20"/>
          <w:spacing w:val="-8"/>
        </w:rPr>
        <w:t> </w:t>
      </w:r>
      <w:r>
        <w:rPr>
          <w:color w:val="231F20"/>
        </w:rPr>
        <w:t>que</w:t>
      </w:r>
      <w:r>
        <w:rPr>
          <w:color w:val="231F20"/>
          <w:spacing w:val="-8"/>
        </w:rPr>
        <w:t> </w:t>
      </w:r>
      <w:r>
        <w:rPr>
          <w:color w:val="231F20"/>
        </w:rPr>
        <w:t>las</w:t>
      </w:r>
      <w:r>
        <w:rPr>
          <w:color w:val="231F20"/>
          <w:spacing w:val="-9"/>
        </w:rPr>
        <w:t> </w:t>
      </w:r>
      <w:r>
        <w:rPr>
          <w:color w:val="231F20"/>
        </w:rPr>
        <w:t>oportunidades</w:t>
      </w:r>
      <w:r>
        <w:rPr>
          <w:color w:val="231F20"/>
          <w:spacing w:val="-8"/>
        </w:rPr>
        <w:t> </w:t>
      </w:r>
      <w:r>
        <w:rPr>
          <w:color w:val="231F20"/>
        </w:rPr>
        <w:t>de</w:t>
      </w:r>
      <w:r>
        <w:rPr>
          <w:color w:val="231F20"/>
          <w:spacing w:val="-8"/>
        </w:rPr>
        <w:t> </w:t>
      </w:r>
      <w:r>
        <w:rPr>
          <w:color w:val="231F20"/>
        </w:rPr>
        <w:t>empleo</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hombres</w:t>
      </w:r>
      <w:r>
        <w:rPr>
          <w:color w:val="231F20"/>
          <w:spacing w:val="-8"/>
        </w:rPr>
        <w:t> </w:t>
      </w:r>
      <w:r>
        <w:rPr>
          <w:color w:val="231F20"/>
        </w:rPr>
        <w:t>de</w:t>
      </w:r>
      <w:r>
        <w:rPr>
          <w:color w:val="231F20"/>
          <w:spacing w:val="-8"/>
        </w:rPr>
        <w:t> </w:t>
      </w:r>
      <w:r>
        <w:rPr>
          <w:color w:val="231F20"/>
        </w:rPr>
        <w:t>menor</w:t>
      </w:r>
      <w:r>
        <w:rPr>
          <w:color w:val="231F20"/>
          <w:spacing w:val="-9"/>
        </w:rPr>
        <w:t> </w:t>
      </w:r>
      <w:r>
        <w:rPr>
          <w:color w:val="231F20"/>
        </w:rPr>
        <w:t>nivel socioeconómico han tendido a deteriorarse como consecuencia de los cambios en la estructura productiva de la ciudad y su desplazamiento de ciertos</w:t>
      </w:r>
      <w:r>
        <w:rPr>
          <w:color w:val="231F20"/>
          <w:spacing w:val="-4"/>
        </w:rPr>
        <w:t> </w:t>
      </w:r>
      <w:r>
        <w:rPr>
          <w:color w:val="231F20"/>
        </w:rPr>
        <w:t>sectores</w:t>
      </w:r>
      <w:r>
        <w:rPr>
          <w:color w:val="231F20"/>
          <w:spacing w:val="-3"/>
        </w:rPr>
        <w:t> </w:t>
      </w:r>
      <w:r>
        <w:rPr>
          <w:color w:val="231F20"/>
        </w:rPr>
        <w:t>por</w:t>
      </w:r>
      <w:r>
        <w:rPr>
          <w:color w:val="231F20"/>
          <w:spacing w:val="-3"/>
        </w:rPr>
        <w:t> </w:t>
      </w:r>
      <w:r>
        <w:rPr>
          <w:color w:val="231F20"/>
        </w:rPr>
        <w:t>las</w:t>
      </w:r>
      <w:r>
        <w:rPr>
          <w:color w:val="231F20"/>
          <w:spacing w:val="-4"/>
        </w:rPr>
        <w:t> </w:t>
      </w:r>
      <w:r>
        <w:rPr>
          <w:color w:val="231F20"/>
        </w:rPr>
        <w:t>mujeres</w:t>
      </w:r>
      <w:r>
        <w:rPr>
          <w:color w:val="231F20"/>
          <w:spacing w:val="-4"/>
        </w:rPr>
        <w:t> </w:t>
      </w:r>
      <w:r>
        <w:rPr>
          <w:color w:val="231F20"/>
        </w:rPr>
        <w:t>(Ariza,</w:t>
      </w:r>
      <w:r>
        <w:rPr>
          <w:color w:val="231F20"/>
          <w:spacing w:val="-3"/>
        </w:rPr>
        <w:t> </w:t>
      </w:r>
      <w:r>
        <w:rPr>
          <w:color w:val="231F20"/>
        </w:rPr>
        <w:t>2006).</w:t>
      </w:r>
      <w:r>
        <w:rPr>
          <w:color w:val="231F20"/>
          <w:spacing w:val="-13"/>
        </w:rPr>
        <w:t> </w:t>
      </w:r>
      <w:r>
        <w:rPr>
          <w:color w:val="231F20"/>
        </w:rPr>
        <w:t>Aunque</w:t>
      </w:r>
      <w:r>
        <w:rPr>
          <w:color w:val="231F20"/>
          <w:spacing w:val="-3"/>
        </w:rPr>
        <w:t> </w:t>
      </w:r>
      <w:r>
        <w:rPr>
          <w:color w:val="231F20"/>
        </w:rPr>
        <w:t>aún</w:t>
      </w:r>
      <w:r>
        <w:rPr>
          <w:color w:val="231F20"/>
          <w:spacing w:val="-4"/>
        </w:rPr>
        <w:t> </w:t>
      </w:r>
      <w:r>
        <w:rPr>
          <w:color w:val="231F20"/>
        </w:rPr>
        <w:t>es</w:t>
      </w:r>
      <w:r>
        <w:rPr>
          <w:color w:val="231F20"/>
          <w:spacing w:val="-4"/>
        </w:rPr>
        <w:t> </w:t>
      </w:r>
      <w:r>
        <w:rPr>
          <w:color w:val="231F20"/>
        </w:rPr>
        <w:t>poco</w:t>
      </w:r>
      <w:r>
        <w:rPr>
          <w:color w:val="231F20"/>
          <w:spacing w:val="-3"/>
        </w:rPr>
        <w:t> </w:t>
      </w:r>
      <w:r>
        <w:rPr>
          <w:color w:val="231F20"/>
        </w:rPr>
        <w:t>claro cómo sería la asociación entre segregación y los patrones de empleo por género en</w:t>
      </w:r>
      <w:r>
        <w:rPr>
          <w:color w:val="231F20"/>
          <w:spacing w:val="-8"/>
        </w:rPr>
        <w:t> </w:t>
      </w:r>
      <w:r>
        <w:rPr>
          <w:color w:val="231F20"/>
        </w:rPr>
        <w:t>México.</w:t>
      </w:r>
    </w:p>
    <w:p>
      <w:pPr>
        <w:pStyle w:val="BodyText"/>
        <w:spacing w:line="249" w:lineRule="auto" w:before="1"/>
        <w:ind w:left="113" w:right="108" w:firstLine="283"/>
        <w:jc w:val="both"/>
      </w:pPr>
      <w:r>
        <w:rPr>
          <w:color w:val="231F20"/>
        </w:rPr>
        <w:t>La investigación también apunta hacia un tercer mecanismo a través del cual la segregación residencial podría afectar el empleo de los indi- viduos: el conocimiento que las personas tienen sobre las posibilidades de empleo disponibles, así como sus expectativas sobre qué salarios es- perar y cuáles trabajos son apropiados para su género, edad o condición migratoria, están moldeadas por interacciones cotidianas ocurriendo en- tre</w:t>
      </w:r>
      <w:r>
        <w:rPr>
          <w:color w:val="231F20"/>
          <w:spacing w:val="-6"/>
        </w:rPr>
        <w:t> </w:t>
      </w:r>
      <w:r>
        <w:rPr>
          <w:color w:val="231F20"/>
        </w:rPr>
        <w:t>sus</w:t>
      </w:r>
      <w:r>
        <w:rPr>
          <w:color w:val="231F20"/>
          <w:spacing w:val="-5"/>
        </w:rPr>
        <w:t> </w:t>
      </w:r>
      <w:r>
        <w:rPr>
          <w:color w:val="231F20"/>
        </w:rPr>
        <w:t>redes</w:t>
      </w:r>
      <w:r>
        <w:rPr>
          <w:color w:val="231F20"/>
          <w:spacing w:val="-5"/>
        </w:rPr>
        <w:t> </w:t>
      </w:r>
      <w:r>
        <w:rPr>
          <w:color w:val="231F20"/>
        </w:rPr>
        <w:t>sociales</w:t>
      </w:r>
      <w:r>
        <w:rPr>
          <w:color w:val="231F20"/>
          <w:spacing w:val="-5"/>
        </w:rPr>
        <w:t> </w:t>
      </w:r>
      <w:r>
        <w:rPr>
          <w:color w:val="231F20"/>
        </w:rPr>
        <w:t>y</w:t>
      </w:r>
      <w:r>
        <w:rPr>
          <w:color w:val="231F20"/>
          <w:spacing w:val="-5"/>
        </w:rPr>
        <w:t> </w:t>
      </w:r>
      <w:r>
        <w:rPr>
          <w:color w:val="231F20"/>
        </w:rPr>
        <w:t>en</w:t>
      </w:r>
      <w:r>
        <w:rPr>
          <w:color w:val="231F20"/>
          <w:spacing w:val="-6"/>
        </w:rPr>
        <w:t> </w:t>
      </w:r>
      <w:r>
        <w:rPr>
          <w:color w:val="231F20"/>
        </w:rPr>
        <w:t>pequeña</w:t>
      </w:r>
      <w:r>
        <w:rPr>
          <w:color w:val="231F20"/>
          <w:spacing w:val="-5"/>
        </w:rPr>
        <w:t> </w:t>
      </w:r>
      <w:r>
        <w:rPr>
          <w:color w:val="231F20"/>
        </w:rPr>
        <w:t>escala</w:t>
      </w:r>
      <w:r>
        <w:rPr>
          <w:color w:val="231F20"/>
          <w:spacing w:val="-6"/>
        </w:rPr>
        <w:t> </w:t>
      </w:r>
      <w:r>
        <w:rPr>
          <w:color w:val="231F20"/>
        </w:rPr>
        <w:t>dentro</w:t>
      </w:r>
      <w:r>
        <w:rPr>
          <w:color w:val="231F20"/>
          <w:spacing w:val="-5"/>
        </w:rPr>
        <w:t> </w:t>
      </w:r>
      <w:r>
        <w:rPr>
          <w:color w:val="231F20"/>
        </w:rPr>
        <w:t>de</w:t>
      </w:r>
      <w:r>
        <w:rPr>
          <w:color w:val="231F20"/>
          <w:spacing w:val="-5"/>
        </w:rPr>
        <w:t> </w:t>
      </w:r>
      <w:r>
        <w:rPr>
          <w:color w:val="231F20"/>
        </w:rPr>
        <w:t>espacios</w:t>
      </w:r>
      <w:r>
        <w:rPr>
          <w:color w:val="231F20"/>
          <w:spacing w:val="-6"/>
        </w:rPr>
        <w:t> </w:t>
      </w:r>
      <w:r>
        <w:rPr>
          <w:color w:val="231F20"/>
        </w:rPr>
        <w:t>delimitados (Hanson y Pratt, 1992). Así, Fernández-Kelly (1995: 20) sostiene que el espacio importa porque la ubicación física y social de las personas</w:t>
      </w:r>
      <w:r>
        <w:rPr>
          <w:color w:val="231F20"/>
          <w:spacing w:val="-32"/>
        </w:rPr>
        <w:t> </w:t>
      </w:r>
      <w:r>
        <w:rPr>
          <w:color w:val="231F20"/>
        </w:rPr>
        <w:t>altera los flujos de capital social, por ejemplo, al definir su membrecía en cier- tas</w:t>
      </w:r>
      <w:r>
        <w:rPr>
          <w:color w:val="231F20"/>
          <w:spacing w:val="-8"/>
        </w:rPr>
        <w:t> </w:t>
      </w:r>
      <w:r>
        <w:rPr>
          <w:color w:val="231F20"/>
        </w:rPr>
        <w:t>redes</w:t>
      </w:r>
      <w:r>
        <w:rPr>
          <w:color w:val="231F20"/>
          <w:spacing w:val="-8"/>
        </w:rPr>
        <w:t> </w:t>
      </w:r>
      <w:r>
        <w:rPr>
          <w:color w:val="231F20"/>
        </w:rPr>
        <w:t>sociales,</w:t>
      </w:r>
      <w:r>
        <w:rPr>
          <w:color w:val="231F20"/>
          <w:spacing w:val="-8"/>
        </w:rPr>
        <w:t> </w:t>
      </w:r>
      <w:r>
        <w:rPr>
          <w:color w:val="231F20"/>
        </w:rPr>
        <w:t>el</w:t>
      </w:r>
      <w:r>
        <w:rPr>
          <w:color w:val="231F20"/>
          <w:spacing w:val="-8"/>
        </w:rPr>
        <w:t> </w:t>
      </w:r>
      <w:r>
        <w:rPr>
          <w:color w:val="231F20"/>
        </w:rPr>
        <w:t>tiempo</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intercambios</w:t>
      </w:r>
      <w:r>
        <w:rPr>
          <w:color w:val="231F20"/>
          <w:spacing w:val="-9"/>
        </w:rPr>
        <w:t> </w:t>
      </w:r>
      <w:r>
        <w:rPr>
          <w:color w:val="231F20"/>
        </w:rPr>
        <w:t>dentro</w:t>
      </w:r>
      <w:r>
        <w:rPr>
          <w:color w:val="231F20"/>
          <w:spacing w:val="-8"/>
        </w:rPr>
        <w:t> </w:t>
      </w:r>
      <w:r>
        <w:rPr>
          <w:color w:val="231F20"/>
        </w:rPr>
        <w:t>de</w:t>
      </w:r>
      <w:r>
        <w:rPr>
          <w:color w:val="231F20"/>
          <w:spacing w:val="-8"/>
        </w:rPr>
        <w:t> </w:t>
      </w:r>
      <w:r>
        <w:rPr>
          <w:color w:val="231F20"/>
        </w:rPr>
        <w:t>ellas,</w:t>
      </w:r>
      <w:r>
        <w:rPr>
          <w:color w:val="231F20"/>
          <w:spacing w:val="-9"/>
        </w:rPr>
        <w:t> </w:t>
      </w:r>
      <w:r>
        <w:rPr>
          <w:color w:val="231F20"/>
        </w:rPr>
        <w:t>así</w:t>
      </w:r>
      <w:r>
        <w:rPr>
          <w:color w:val="231F20"/>
          <w:spacing w:val="-8"/>
        </w:rPr>
        <w:t> </w:t>
      </w:r>
      <w:r>
        <w:rPr>
          <w:color w:val="231F20"/>
        </w:rPr>
        <w:t>como prove-yendo</w:t>
      </w:r>
      <w:r>
        <w:rPr>
          <w:color w:val="231F20"/>
          <w:spacing w:val="-10"/>
        </w:rPr>
        <w:t> </w:t>
      </w:r>
      <w:r>
        <w:rPr>
          <w:color w:val="231F20"/>
        </w:rPr>
        <w:t>un</w:t>
      </w:r>
      <w:r>
        <w:rPr>
          <w:color w:val="231F20"/>
          <w:spacing w:val="-10"/>
        </w:rPr>
        <w:t> </w:t>
      </w:r>
      <w:r>
        <w:rPr>
          <w:color w:val="231F20"/>
        </w:rPr>
        <w:t>referente</w:t>
      </w:r>
      <w:r>
        <w:rPr>
          <w:color w:val="231F20"/>
          <w:spacing w:val="-10"/>
        </w:rPr>
        <w:t> </w:t>
      </w:r>
      <w:r>
        <w:rPr>
          <w:color w:val="231F20"/>
        </w:rPr>
        <w:t>tangible</w:t>
      </w:r>
      <w:r>
        <w:rPr>
          <w:color w:val="231F20"/>
          <w:spacing w:val="-11"/>
        </w:rPr>
        <w:t> </w:t>
      </w:r>
      <w:r>
        <w:rPr>
          <w:color w:val="231F20"/>
        </w:rPr>
        <w:t>a</w:t>
      </w:r>
      <w:r>
        <w:rPr>
          <w:color w:val="231F20"/>
          <w:spacing w:val="-10"/>
        </w:rPr>
        <w:t> </w:t>
      </w:r>
      <w:r>
        <w:rPr>
          <w:color w:val="231F20"/>
        </w:rPr>
        <w:t>las</w:t>
      </w:r>
      <w:r>
        <w:rPr>
          <w:color w:val="231F20"/>
          <w:spacing w:val="-10"/>
        </w:rPr>
        <w:t> </w:t>
      </w:r>
      <w:r>
        <w:rPr>
          <w:color w:val="231F20"/>
        </w:rPr>
        <w:t>experiencias</w:t>
      </w:r>
      <w:r>
        <w:rPr>
          <w:color w:val="231F20"/>
          <w:spacing w:val="-11"/>
        </w:rPr>
        <w:t> </w:t>
      </w:r>
      <w:r>
        <w:rPr>
          <w:color w:val="231F20"/>
        </w:rPr>
        <w:t>cotidianas</w:t>
      </w:r>
      <w:r>
        <w:rPr>
          <w:color w:val="231F20"/>
          <w:spacing w:val="-11"/>
        </w:rPr>
        <w:t> </w:t>
      </w:r>
      <w:r>
        <w:rPr>
          <w:color w:val="231F20"/>
        </w:rPr>
        <w:t>y</w:t>
      </w:r>
      <w:r>
        <w:rPr>
          <w:color w:val="231F20"/>
          <w:spacing w:val="-10"/>
        </w:rPr>
        <w:t> </w:t>
      </w:r>
      <w:r>
        <w:rPr>
          <w:color w:val="231F20"/>
        </w:rPr>
        <w:t>dándole forma a la reciprocidad.</w:t>
      </w:r>
    </w:p>
    <w:p>
      <w:pPr>
        <w:pStyle w:val="BodyText"/>
        <w:spacing w:line="249" w:lineRule="auto" w:before="1"/>
        <w:ind w:left="113" w:right="108" w:firstLine="283"/>
        <w:jc w:val="both"/>
      </w:pPr>
      <w:r>
        <w:rPr>
          <w:color w:val="231F20"/>
        </w:rPr>
        <w:t>Más aún, el contexto vecinal influye sobre las imágenes de los tra- bajos deseables a través de los procesos de socialización    locali-zada y</w:t>
      </w:r>
    </w:p>
    <w:p>
      <w:pPr>
        <w:spacing w:after="0" w:line="249" w:lineRule="auto"/>
        <w:jc w:val="both"/>
        <w:sectPr>
          <w:footerReference w:type="default" r:id="rId204"/>
          <w:pgSz w:w="7770" w:h="11740"/>
          <w:pgMar w:footer="474" w:header="0" w:top="840" w:bottom="660" w:left="1020" w:right="740"/>
          <w:pgNumType w:start="161"/>
        </w:sectPr>
      </w:pPr>
    </w:p>
    <w:p>
      <w:pPr>
        <w:pStyle w:val="BodyText"/>
        <w:spacing w:line="249" w:lineRule="auto" w:before="60"/>
        <w:ind w:left="110" w:right="111"/>
        <w:jc w:val="both"/>
      </w:pPr>
      <w:r>
        <w:rPr>
          <w:color w:val="231F20"/>
        </w:rPr>
        <w:t>formación de identidad (Wial, 1991). Como Fernández-Kelly (1995) sugiere, el capital cultural es localmente aprendido y reproducido. Este repertorio</w:t>
      </w:r>
      <w:r>
        <w:rPr>
          <w:color w:val="231F20"/>
          <w:spacing w:val="-7"/>
        </w:rPr>
        <w:t> </w:t>
      </w:r>
      <w:r>
        <w:rPr>
          <w:color w:val="231F20"/>
        </w:rPr>
        <w:t>influye</w:t>
      </w:r>
      <w:r>
        <w:rPr>
          <w:color w:val="231F20"/>
          <w:spacing w:val="-7"/>
        </w:rPr>
        <w:t> </w:t>
      </w:r>
      <w:r>
        <w:rPr>
          <w:color w:val="231F20"/>
        </w:rPr>
        <w:t>sobre</w:t>
      </w:r>
      <w:r>
        <w:rPr>
          <w:color w:val="231F20"/>
          <w:spacing w:val="-7"/>
        </w:rPr>
        <w:t> </w:t>
      </w:r>
      <w:r>
        <w:rPr>
          <w:color w:val="231F20"/>
        </w:rPr>
        <w:t>las</w:t>
      </w:r>
      <w:r>
        <w:rPr>
          <w:color w:val="231F20"/>
          <w:spacing w:val="-7"/>
        </w:rPr>
        <w:t> </w:t>
      </w:r>
      <w:r>
        <w:rPr>
          <w:color w:val="231F20"/>
        </w:rPr>
        <w:t>interacciones</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individuos</w:t>
      </w:r>
      <w:r>
        <w:rPr>
          <w:color w:val="231F20"/>
          <w:spacing w:val="-7"/>
        </w:rPr>
        <w:t> </w:t>
      </w:r>
      <w:r>
        <w:rPr>
          <w:color w:val="231F20"/>
        </w:rPr>
        <w:t>y</w:t>
      </w:r>
      <w:r>
        <w:rPr>
          <w:color w:val="231F20"/>
          <w:spacing w:val="-7"/>
        </w:rPr>
        <w:t> </w:t>
      </w:r>
      <w:r>
        <w:rPr>
          <w:color w:val="231F20"/>
        </w:rPr>
        <w:t>dentro</w:t>
      </w:r>
      <w:r>
        <w:rPr>
          <w:color w:val="231F20"/>
          <w:spacing w:val="-7"/>
        </w:rPr>
        <w:t> </w:t>
      </w:r>
      <w:r>
        <w:rPr>
          <w:color w:val="231F20"/>
        </w:rPr>
        <w:t>de las</w:t>
      </w:r>
      <w:r>
        <w:rPr>
          <w:color w:val="231F20"/>
          <w:spacing w:val="-8"/>
        </w:rPr>
        <w:t> </w:t>
      </w:r>
      <w:r>
        <w:rPr>
          <w:color w:val="231F20"/>
        </w:rPr>
        <w:t>redes</w:t>
      </w:r>
      <w:r>
        <w:rPr>
          <w:color w:val="231F20"/>
          <w:spacing w:val="-7"/>
        </w:rPr>
        <w:t> </w:t>
      </w:r>
      <w:r>
        <w:rPr>
          <w:color w:val="231F20"/>
        </w:rPr>
        <w:t>sociales,</w:t>
      </w:r>
      <w:r>
        <w:rPr>
          <w:color w:val="231F20"/>
          <w:spacing w:val="-7"/>
        </w:rPr>
        <w:t> </w:t>
      </w:r>
      <w:r>
        <w:rPr>
          <w:color w:val="231F20"/>
        </w:rPr>
        <w:t>así</w:t>
      </w:r>
      <w:r>
        <w:rPr>
          <w:color w:val="231F20"/>
          <w:spacing w:val="-8"/>
        </w:rPr>
        <w:t> </w:t>
      </w:r>
      <w:r>
        <w:rPr>
          <w:color w:val="231F20"/>
        </w:rPr>
        <w:t>como</w:t>
      </w:r>
      <w:r>
        <w:rPr>
          <w:color w:val="231F20"/>
          <w:spacing w:val="-8"/>
        </w:rPr>
        <w:t> </w:t>
      </w:r>
      <w:r>
        <w:rPr>
          <w:color w:val="231F20"/>
        </w:rPr>
        <w:t>en</w:t>
      </w:r>
      <w:r>
        <w:rPr>
          <w:color w:val="231F20"/>
          <w:spacing w:val="-8"/>
        </w:rPr>
        <w:t> </w:t>
      </w:r>
      <w:r>
        <w:rPr>
          <w:color w:val="231F20"/>
        </w:rPr>
        <w:t>su</w:t>
      </w:r>
      <w:r>
        <w:rPr>
          <w:color w:val="231F20"/>
          <w:spacing w:val="-7"/>
        </w:rPr>
        <w:t> </w:t>
      </w:r>
      <w:r>
        <w:rPr>
          <w:color w:val="231F20"/>
        </w:rPr>
        <w:t>inserción</w:t>
      </w:r>
      <w:r>
        <w:rPr>
          <w:color w:val="231F20"/>
          <w:spacing w:val="-8"/>
        </w:rPr>
        <w:t> </w:t>
      </w:r>
      <w:r>
        <w:rPr>
          <w:color w:val="231F20"/>
        </w:rPr>
        <w:t>en</w:t>
      </w:r>
      <w:r>
        <w:rPr>
          <w:color w:val="231F20"/>
          <w:spacing w:val="-8"/>
        </w:rPr>
        <w:t> </w:t>
      </w:r>
      <w:r>
        <w:rPr>
          <w:color w:val="231F20"/>
        </w:rPr>
        <w:t>el</w:t>
      </w:r>
      <w:r>
        <w:rPr>
          <w:color w:val="231F20"/>
          <w:spacing w:val="-7"/>
        </w:rPr>
        <w:t> </w:t>
      </w:r>
      <w:r>
        <w:rPr>
          <w:color w:val="231F20"/>
        </w:rPr>
        <w:t>mercado</w:t>
      </w:r>
      <w:r>
        <w:rPr>
          <w:color w:val="231F20"/>
          <w:spacing w:val="-8"/>
        </w:rPr>
        <w:t> </w:t>
      </w:r>
      <w:r>
        <w:rPr>
          <w:color w:val="231F20"/>
        </w:rPr>
        <w:t>de</w:t>
      </w:r>
      <w:r>
        <w:rPr>
          <w:color w:val="231F20"/>
          <w:spacing w:val="-7"/>
        </w:rPr>
        <w:t> </w:t>
      </w:r>
      <w:r>
        <w:rPr>
          <w:color w:val="231F20"/>
        </w:rPr>
        <w:t>trabajo.</w:t>
      </w:r>
      <w:r>
        <w:rPr>
          <w:color w:val="231F20"/>
          <w:spacing w:val="-8"/>
        </w:rPr>
        <w:t> </w:t>
      </w:r>
      <w:r>
        <w:rPr>
          <w:color w:val="231F20"/>
        </w:rPr>
        <w:t>Los individuos</w:t>
      </w:r>
      <w:r>
        <w:rPr>
          <w:color w:val="231F20"/>
          <w:spacing w:val="-10"/>
        </w:rPr>
        <w:t> </w:t>
      </w:r>
      <w:r>
        <w:rPr>
          <w:color w:val="231F20"/>
        </w:rPr>
        <w:t>se</w:t>
      </w:r>
      <w:r>
        <w:rPr>
          <w:color w:val="231F20"/>
          <w:spacing w:val="-9"/>
        </w:rPr>
        <w:t> </w:t>
      </w:r>
      <w:r>
        <w:rPr>
          <w:color w:val="231F20"/>
        </w:rPr>
        <w:t>asocian</w:t>
      </w:r>
      <w:r>
        <w:rPr>
          <w:color w:val="231F20"/>
          <w:spacing w:val="-10"/>
        </w:rPr>
        <w:t> </w:t>
      </w:r>
      <w:r>
        <w:rPr>
          <w:color w:val="231F20"/>
        </w:rPr>
        <w:t>así</w:t>
      </w:r>
      <w:r>
        <w:rPr>
          <w:color w:val="231F20"/>
          <w:spacing w:val="-10"/>
        </w:rPr>
        <w:t> </w:t>
      </w:r>
      <w:r>
        <w:rPr>
          <w:color w:val="231F20"/>
        </w:rPr>
        <w:t>mismos</w:t>
      </w:r>
      <w:r>
        <w:rPr>
          <w:color w:val="231F20"/>
          <w:spacing w:val="-10"/>
        </w:rPr>
        <w:t> </w:t>
      </w:r>
      <w:r>
        <w:rPr>
          <w:color w:val="231F20"/>
        </w:rPr>
        <w:t>con</w:t>
      </w:r>
      <w:r>
        <w:rPr>
          <w:color w:val="231F20"/>
          <w:spacing w:val="-10"/>
        </w:rPr>
        <w:t> </w:t>
      </w:r>
      <w:r>
        <w:rPr>
          <w:color w:val="231F20"/>
        </w:rPr>
        <w:t>ocupaciones</w:t>
      </w:r>
      <w:r>
        <w:rPr>
          <w:color w:val="231F20"/>
          <w:spacing w:val="-10"/>
        </w:rPr>
        <w:t> </w:t>
      </w:r>
      <w:r>
        <w:rPr>
          <w:color w:val="231F20"/>
        </w:rPr>
        <w:t>y</w:t>
      </w:r>
      <w:r>
        <w:rPr>
          <w:color w:val="231F20"/>
          <w:spacing w:val="-9"/>
        </w:rPr>
        <w:t> </w:t>
      </w:r>
      <w:r>
        <w:rPr>
          <w:color w:val="231F20"/>
        </w:rPr>
        <w:t>empleos</w:t>
      </w:r>
      <w:r>
        <w:rPr>
          <w:color w:val="231F20"/>
          <w:spacing w:val="-10"/>
        </w:rPr>
        <w:t> </w:t>
      </w:r>
      <w:r>
        <w:rPr>
          <w:color w:val="231F20"/>
        </w:rPr>
        <w:t>o</w:t>
      </w:r>
      <w:r>
        <w:rPr>
          <w:color w:val="231F20"/>
          <w:spacing w:val="-9"/>
        </w:rPr>
        <w:t> </w:t>
      </w:r>
      <w:r>
        <w:rPr>
          <w:color w:val="231F20"/>
        </w:rPr>
        <w:t>metas</w:t>
      </w:r>
      <w:r>
        <w:rPr>
          <w:color w:val="231F20"/>
          <w:spacing w:val="-10"/>
        </w:rPr>
        <w:t> </w:t>
      </w:r>
      <w:r>
        <w:rPr>
          <w:color w:val="231F20"/>
        </w:rPr>
        <w:t>ed- ucativas</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marcadores</w:t>
      </w:r>
      <w:r>
        <w:rPr>
          <w:color w:val="231F20"/>
          <w:spacing w:val="-11"/>
        </w:rPr>
        <w:t> </w:t>
      </w:r>
      <w:r>
        <w:rPr>
          <w:color w:val="231F20"/>
        </w:rPr>
        <w:t>simbólicos</w:t>
      </w:r>
      <w:r>
        <w:rPr>
          <w:color w:val="231F20"/>
          <w:spacing w:val="-10"/>
        </w:rPr>
        <w:t> </w:t>
      </w:r>
      <w:r>
        <w:rPr>
          <w:color w:val="231F20"/>
        </w:rPr>
        <w:t>tales</w:t>
      </w:r>
      <w:r>
        <w:rPr>
          <w:color w:val="231F20"/>
          <w:spacing w:val="-11"/>
        </w:rPr>
        <w:t> </w:t>
      </w:r>
      <w:r>
        <w:rPr>
          <w:color w:val="231F20"/>
        </w:rPr>
        <w:t>como</w:t>
      </w:r>
      <w:r>
        <w:rPr>
          <w:color w:val="231F20"/>
          <w:spacing w:val="-11"/>
        </w:rPr>
        <w:t> </w:t>
      </w:r>
      <w:r>
        <w:rPr>
          <w:color w:val="231F20"/>
        </w:rPr>
        <w:t>comportamientos, actitudes o incluso rasgos materiales (Fernández-Kelly, 1995). Dichos marcadores simbólicos pueden facilitar u obstruir su incorporación en ciertos segmentos del mercado de trabajo (Zukin, 1995; Bauder,</w:t>
      </w:r>
      <w:r>
        <w:rPr>
          <w:color w:val="231F20"/>
          <w:spacing w:val="-20"/>
        </w:rPr>
        <w:t> </w:t>
      </w:r>
      <w:r>
        <w:rPr>
          <w:color w:val="231F20"/>
        </w:rPr>
        <w:t>2001).</w:t>
      </w:r>
    </w:p>
    <w:p>
      <w:pPr>
        <w:pStyle w:val="BodyText"/>
        <w:spacing w:line="249" w:lineRule="auto" w:before="1"/>
        <w:ind w:left="110" w:right="111" w:firstLine="283"/>
        <w:jc w:val="both"/>
      </w:pPr>
      <w:r>
        <w:rPr>
          <w:color w:val="231F20"/>
        </w:rPr>
        <w:t>Los tres mecanismos aquí revisados sugieren diferentes efectos por género en la relación entre segregación residencial socioeconómica y empleo. Más allá de las propias diferencias en el mercado laboral, la teoría</w:t>
      </w:r>
      <w:r>
        <w:rPr>
          <w:color w:val="231F20"/>
          <w:spacing w:val="-12"/>
        </w:rPr>
        <w:t> </w:t>
      </w:r>
      <w:r>
        <w:rPr>
          <w:color w:val="231F20"/>
        </w:rPr>
        <w:t>sugeriría</w:t>
      </w:r>
      <w:r>
        <w:rPr>
          <w:color w:val="231F20"/>
          <w:spacing w:val="-11"/>
        </w:rPr>
        <w:t> </w:t>
      </w:r>
      <w:r>
        <w:rPr>
          <w:color w:val="231F20"/>
        </w:rPr>
        <w:t>que</w:t>
      </w:r>
      <w:r>
        <w:rPr>
          <w:color w:val="231F20"/>
          <w:spacing w:val="-11"/>
        </w:rPr>
        <w:t> </w:t>
      </w:r>
      <w:r>
        <w:rPr>
          <w:color w:val="231F20"/>
        </w:rPr>
        <w:t>esta</w:t>
      </w:r>
      <w:r>
        <w:rPr>
          <w:color w:val="231F20"/>
          <w:spacing w:val="-12"/>
        </w:rPr>
        <w:t> </w:t>
      </w:r>
      <w:r>
        <w:rPr>
          <w:color w:val="231F20"/>
        </w:rPr>
        <w:t>relación</w:t>
      </w:r>
      <w:r>
        <w:rPr>
          <w:color w:val="231F20"/>
          <w:spacing w:val="-12"/>
        </w:rPr>
        <w:t> </w:t>
      </w:r>
      <w:r>
        <w:rPr>
          <w:color w:val="231F20"/>
        </w:rPr>
        <w:t>variaría</w:t>
      </w:r>
      <w:r>
        <w:rPr>
          <w:color w:val="231F20"/>
          <w:spacing w:val="-12"/>
        </w:rPr>
        <w:t> </w:t>
      </w:r>
      <w:r>
        <w:rPr>
          <w:color w:val="231F20"/>
        </w:rPr>
        <w:t>por</w:t>
      </w:r>
      <w:r>
        <w:rPr>
          <w:color w:val="231F20"/>
          <w:spacing w:val="-11"/>
        </w:rPr>
        <w:t> </w:t>
      </w:r>
      <w:r>
        <w:rPr>
          <w:color w:val="231F20"/>
        </w:rPr>
        <w:t>género</w:t>
      </w:r>
      <w:r>
        <w:rPr>
          <w:color w:val="231F20"/>
          <w:spacing w:val="-11"/>
        </w:rPr>
        <w:t> </w:t>
      </w:r>
      <w:r>
        <w:rPr>
          <w:color w:val="231F20"/>
        </w:rPr>
        <w:t>debido</w:t>
      </w:r>
      <w:r>
        <w:rPr>
          <w:color w:val="231F20"/>
          <w:spacing w:val="-11"/>
        </w:rPr>
        <w:t> </w:t>
      </w:r>
      <w:r>
        <w:rPr>
          <w:color w:val="231F20"/>
        </w:rPr>
        <w:t>a</w:t>
      </w:r>
      <w:r>
        <w:rPr>
          <w:color w:val="231F20"/>
          <w:spacing w:val="-11"/>
        </w:rPr>
        <w:t> </w:t>
      </w:r>
      <w:r>
        <w:rPr>
          <w:color w:val="231F20"/>
        </w:rPr>
        <w:t>las</w:t>
      </w:r>
      <w:r>
        <w:rPr>
          <w:color w:val="231F20"/>
          <w:spacing w:val="-12"/>
        </w:rPr>
        <w:t> </w:t>
      </w:r>
      <w:r>
        <w:rPr>
          <w:color w:val="231F20"/>
        </w:rPr>
        <w:t>distintas formas en que hombres y mujeres participan de las dinámicas vecinales, la variante composición de sus redes sociales, así como sus diferentes grados de articulación con su área de residencia. Basada en esta litera- tura,</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trabajo</w:t>
      </w:r>
      <w:r>
        <w:rPr>
          <w:color w:val="231F20"/>
          <w:spacing w:val="-7"/>
        </w:rPr>
        <w:t> </w:t>
      </w:r>
      <w:r>
        <w:rPr>
          <w:color w:val="231F20"/>
        </w:rPr>
        <w:t>se</w:t>
      </w:r>
      <w:r>
        <w:rPr>
          <w:color w:val="231F20"/>
          <w:spacing w:val="-7"/>
        </w:rPr>
        <w:t> </w:t>
      </w:r>
      <w:r>
        <w:rPr>
          <w:color w:val="231F20"/>
        </w:rPr>
        <w:t>explora</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entre</w:t>
      </w:r>
      <w:r>
        <w:rPr>
          <w:color w:val="231F20"/>
          <w:spacing w:val="-7"/>
        </w:rPr>
        <w:t> </w:t>
      </w:r>
      <w:r>
        <w:rPr>
          <w:color w:val="231F20"/>
        </w:rPr>
        <w:t>segregación</w:t>
      </w:r>
      <w:r>
        <w:rPr>
          <w:color w:val="231F20"/>
          <w:spacing w:val="-6"/>
        </w:rPr>
        <w:t> </w:t>
      </w:r>
      <w:r>
        <w:rPr>
          <w:color w:val="231F20"/>
        </w:rPr>
        <w:t>residencial</w:t>
      </w:r>
      <w:r>
        <w:rPr>
          <w:color w:val="231F20"/>
          <w:spacing w:val="-7"/>
        </w:rPr>
        <w:t> </w:t>
      </w:r>
      <w:r>
        <w:rPr>
          <w:color w:val="231F20"/>
        </w:rPr>
        <w:t>y su efecto sobre el empleo precario de los individuos, particularmente si existen diferencias por</w:t>
      </w:r>
      <w:r>
        <w:rPr>
          <w:color w:val="231F20"/>
          <w:spacing w:val="-1"/>
        </w:rPr>
        <w:t> </w:t>
      </w:r>
      <w:r>
        <w:rPr>
          <w:color w:val="231F20"/>
        </w:rPr>
        <w:t>género.</w:t>
      </w:r>
    </w:p>
    <w:p>
      <w:pPr>
        <w:pStyle w:val="Heading4"/>
        <w:ind w:left="110"/>
      </w:pPr>
      <w:r>
        <w:rPr>
          <w:w w:val="75"/>
        </w:rPr>
        <w:t>Preguntas, datos y métodos</w:t>
      </w:r>
    </w:p>
    <w:p>
      <w:pPr>
        <w:pStyle w:val="BodyText"/>
        <w:spacing w:line="249" w:lineRule="auto" w:before="171"/>
        <w:ind w:left="110" w:right="111"/>
        <w:jc w:val="both"/>
      </w:pPr>
      <w:r>
        <w:rPr>
          <w:color w:val="231F20"/>
        </w:rPr>
        <w:t>Los datos para este capítulo provienen de la muestra censal de 2000, proveniente</w:t>
      </w:r>
      <w:r>
        <w:rPr>
          <w:color w:val="231F20"/>
          <w:spacing w:val="-10"/>
        </w:rPr>
        <w:t> </w:t>
      </w:r>
      <w:r>
        <w:rPr>
          <w:color w:val="231F20"/>
        </w:rPr>
        <w:t>del</w:t>
      </w:r>
      <w:r>
        <w:rPr>
          <w:color w:val="231F20"/>
          <w:spacing w:val="-10"/>
        </w:rPr>
        <w:t> </w:t>
      </w:r>
      <w:r>
        <w:rPr>
          <w:color w:val="231F20"/>
        </w:rPr>
        <w:t>levantamiento</w:t>
      </w:r>
      <w:r>
        <w:rPr>
          <w:color w:val="231F20"/>
          <w:spacing w:val="-10"/>
        </w:rPr>
        <w:t> </w:t>
      </w:r>
      <w:r>
        <w:rPr>
          <w:color w:val="231F20"/>
        </w:rPr>
        <w:t>del</w:t>
      </w:r>
      <w:r>
        <w:rPr>
          <w:color w:val="231F20"/>
          <w:spacing w:val="-10"/>
        </w:rPr>
        <w:t> </w:t>
      </w:r>
      <w:r>
        <w:rPr>
          <w:color w:val="231F20"/>
        </w:rPr>
        <w:t>cuestionario</w:t>
      </w:r>
      <w:r>
        <w:rPr>
          <w:color w:val="231F20"/>
          <w:spacing w:val="-10"/>
        </w:rPr>
        <w:t> </w:t>
      </w:r>
      <w:r>
        <w:rPr>
          <w:color w:val="231F20"/>
        </w:rPr>
        <w:t>ampliado,</w:t>
      </w:r>
      <w:r>
        <w:rPr>
          <w:color w:val="231F20"/>
          <w:spacing w:val="-10"/>
        </w:rPr>
        <w:t> </w:t>
      </w:r>
      <w:r>
        <w:rPr>
          <w:color w:val="231F20"/>
        </w:rPr>
        <w:t>el</w:t>
      </w:r>
      <w:r>
        <w:rPr>
          <w:color w:val="231F20"/>
          <w:spacing w:val="-10"/>
        </w:rPr>
        <w:t> </w:t>
      </w:r>
      <w:r>
        <w:rPr>
          <w:color w:val="231F20"/>
        </w:rPr>
        <w:t>cual</w:t>
      </w:r>
      <w:r>
        <w:rPr>
          <w:color w:val="231F20"/>
          <w:spacing w:val="-10"/>
        </w:rPr>
        <w:t> </w:t>
      </w:r>
      <w:r>
        <w:rPr>
          <w:color w:val="231F20"/>
        </w:rPr>
        <w:t>cubrió</w:t>
      </w:r>
      <w:r>
        <w:rPr>
          <w:color w:val="231F20"/>
          <w:spacing w:val="-10"/>
        </w:rPr>
        <w:t> </w:t>
      </w:r>
      <w:r>
        <w:rPr>
          <w:color w:val="231F20"/>
        </w:rPr>
        <w:t>a diez</w:t>
      </w:r>
      <w:r>
        <w:rPr>
          <w:color w:val="231F20"/>
          <w:spacing w:val="-8"/>
        </w:rPr>
        <w:t> </w:t>
      </w:r>
      <w:r>
        <w:rPr>
          <w:color w:val="231F20"/>
        </w:rPr>
        <w:t>por</w:t>
      </w:r>
      <w:r>
        <w:rPr>
          <w:color w:val="231F20"/>
          <w:spacing w:val="-8"/>
        </w:rPr>
        <w:t> </w:t>
      </w:r>
      <w:r>
        <w:rPr>
          <w:color w:val="231F20"/>
        </w:rPr>
        <w:t>ciento</w:t>
      </w:r>
      <w:r>
        <w:rPr>
          <w:color w:val="231F20"/>
          <w:spacing w:val="-9"/>
        </w:rPr>
        <w:t> </w:t>
      </w:r>
      <w:r>
        <w:rPr>
          <w:color w:val="231F20"/>
        </w:rPr>
        <w:t>de</w:t>
      </w:r>
      <w:r>
        <w:rPr>
          <w:color w:val="231F20"/>
          <w:spacing w:val="-8"/>
        </w:rPr>
        <w:t> </w:t>
      </w:r>
      <w:r>
        <w:rPr>
          <w:color w:val="231F20"/>
        </w:rPr>
        <w:t>las</w:t>
      </w:r>
      <w:r>
        <w:rPr>
          <w:color w:val="231F20"/>
          <w:spacing w:val="-9"/>
        </w:rPr>
        <w:t> </w:t>
      </w:r>
      <w:r>
        <w:rPr>
          <w:color w:val="231F20"/>
        </w:rPr>
        <w:t>viviendas</w:t>
      </w:r>
      <w:r>
        <w:rPr>
          <w:color w:val="231F20"/>
          <w:spacing w:val="-8"/>
        </w:rPr>
        <w:t> </w:t>
      </w:r>
      <w:r>
        <w:rPr>
          <w:color w:val="231F20"/>
        </w:rPr>
        <w:t>y</w:t>
      </w:r>
      <w:r>
        <w:rPr>
          <w:color w:val="231F20"/>
          <w:spacing w:val="-8"/>
        </w:rPr>
        <w:t> </w:t>
      </w:r>
      <w:r>
        <w:rPr>
          <w:color w:val="231F20"/>
        </w:rPr>
        <w:t>contenía</w:t>
      </w:r>
      <w:r>
        <w:rPr>
          <w:color w:val="231F20"/>
          <w:spacing w:val="-9"/>
        </w:rPr>
        <w:t> </w:t>
      </w:r>
      <w:r>
        <w:rPr>
          <w:color w:val="231F20"/>
        </w:rPr>
        <w:t>información</w:t>
      </w:r>
      <w:r>
        <w:rPr>
          <w:color w:val="231F20"/>
          <w:spacing w:val="-9"/>
        </w:rPr>
        <w:t> </w:t>
      </w:r>
      <w:r>
        <w:rPr>
          <w:color w:val="231F20"/>
        </w:rPr>
        <w:t>sobre</w:t>
      </w:r>
      <w:r>
        <w:rPr>
          <w:color w:val="231F20"/>
          <w:spacing w:val="-8"/>
        </w:rPr>
        <w:t> </w:t>
      </w:r>
      <w:r>
        <w:rPr>
          <w:color w:val="231F20"/>
        </w:rPr>
        <w:t>las</w:t>
      </w:r>
      <w:r>
        <w:rPr>
          <w:color w:val="231F20"/>
          <w:spacing w:val="-9"/>
        </w:rPr>
        <w:t> </w:t>
      </w:r>
      <w:r>
        <w:rPr>
          <w:color w:val="231F20"/>
        </w:rPr>
        <w:t>caracte- rísticas demográficas de los individuos, arreglos residenciales, vivienda, así como empleo e ingresos. El censo es la única fuente que permite hacer estimaciones de la segregación residencial a escalas pequeñas, a nivel de área geoestadística básica (Ageb).</w:t>
      </w:r>
      <w:r>
        <w:rPr>
          <w:color w:val="231F20"/>
          <w:position w:val="7"/>
          <w:sz w:val="11"/>
        </w:rPr>
        <w:t>1 </w:t>
      </w:r>
      <w:r>
        <w:rPr>
          <w:color w:val="231F20"/>
        </w:rPr>
        <w:t>Aun cuando la densidad po- blacional</w:t>
      </w:r>
      <w:r>
        <w:rPr>
          <w:color w:val="231F20"/>
          <w:spacing w:val="-10"/>
        </w:rPr>
        <w:t> </w:t>
      </w:r>
      <w:r>
        <w:rPr>
          <w:color w:val="231F20"/>
        </w:rPr>
        <w:t>varía</w:t>
      </w:r>
      <w:r>
        <w:rPr>
          <w:color w:val="231F20"/>
          <w:spacing w:val="-10"/>
        </w:rPr>
        <w:t> </w:t>
      </w:r>
      <w:r>
        <w:rPr>
          <w:color w:val="231F20"/>
        </w:rPr>
        <w:t>de</w:t>
      </w:r>
      <w:r>
        <w:rPr>
          <w:color w:val="231F20"/>
          <w:spacing w:val="-10"/>
        </w:rPr>
        <w:t> </w:t>
      </w:r>
      <w:r>
        <w:rPr>
          <w:color w:val="231F20"/>
        </w:rPr>
        <w:t>manera</w:t>
      </w:r>
      <w:r>
        <w:rPr>
          <w:color w:val="231F20"/>
          <w:spacing w:val="-10"/>
        </w:rPr>
        <w:t> </w:t>
      </w:r>
      <w:r>
        <w:rPr>
          <w:color w:val="231F20"/>
        </w:rPr>
        <w:t>importante</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las</w:t>
      </w:r>
      <w:r>
        <w:rPr>
          <w:color w:val="231F20"/>
          <w:spacing w:val="-21"/>
        </w:rPr>
        <w:t> </w:t>
      </w:r>
      <w:r>
        <w:rPr>
          <w:color w:val="231F20"/>
        </w:rPr>
        <w:t>Ageb,</w:t>
      </w:r>
      <w:r>
        <w:rPr>
          <w:color w:val="231F20"/>
          <w:spacing w:val="-10"/>
        </w:rPr>
        <w:t> </w:t>
      </w:r>
      <w:r>
        <w:rPr>
          <w:color w:val="231F20"/>
        </w:rPr>
        <w:t>estas</w:t>
      </w:r>
      <w:r>
        <w:rPr>
          <w:color w:val="231F20"/>
          <w:spacing w:val="-10"/>
        </w:rPr>
        <w:t> </w:t>
      </w:r>
      <w:r>
        <w:rPr>
          <w:color w:val="231F20"/>
        </w:rPr>
        <w:t>unidades pequeñas representan un área geográfica pequeña que los hogares habi- tan</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puede</w:t>
      </w:r>
      <w:r>
        <w:rPr>
          <w:color w:val="231F20"/>
          <w:spacing w:val="-5"/>
        </w:rPr>
        <w:t> </w:t>
      </w:r>
      <w:r>
        <w:rPr>
          <w:color w:val="231F20"/>
        </w:rPr>
        <w:t>ser</w:t>
      </w:r>
      <w:r>
        <w:rPr>
          <w:color w:val="231F20"/>
          <w:spacing w:val="-5"/>
        </w:rPr>
        <w:t> </w:t>
      </w:r>
      <w:r>
        <w:rPr>
          <w:color w:val="231F20"/>
        </w:rPr>
        <w:t>empleada</w:t>
      </w:r>
      <w:r>
        <w:rPr>
          <w:color w:val="231F20"/>
          <w:spacing w:val="-6"/>
        </w:rPr>
        <w:t> </w:t>
      </w:r>
      <w:r>
        <w:rPr>
          <w:color w:val="231F20"/>
        </w:rPr>
        <w:t>como</w:t>
      </w:r>
      <w:r>
        <w:rPr>
          <w:color w:val="231F20"/>
          <w:spacing w:val="-5"/>
        </w:rPr>
        <w:t> </w:t>
      </w:r>
      <w:r>
        <w:rPr>
          <w:i/>
          <w:color w:val="231F20"/>
        </w:rPr>
        <w:t>proxy</w:t>
      </w:r>
      <w:r>
        <w:rPr>
          <w:i/>
          <w:color w:val="231F20"/>
          <w:spacing w:val="-5"/>
        </w:rPr>
        <w:t> </w:t>
      </w:r>
      <w:r>
        <w:rPr>
          <w:color w:val="231F20"/>
        </w:rPr>
        <w:t>de</w:t>
      </w:r>
      <w:r>
        <w:rPr>
          <w:color w:val="231F20"/>
          <w:spacing w:val="-5"/>
        </w:rPr>
        <w:t> </w:t>
      </w:r>
      <w:r>
        <w:rPr>
          <w:color w:val="231F20"/>
        </w:rPr>
        <w:t>un</w:t>
      </w:r>
      <w:r>
        <w:rPr>
          <w:color w:val="231F20"/>
          <w:spacing w:val="-5"/>
        </w:rPr>
        <w:t> </w:t>
      </w:r>
      <w:r>
        <w:rPr>
          <w:color w:val="231F20"/>
        </w:rPr>
        <w:t>vecindario.</w:t>
      </w:r>
      <w:r>
        <w:rPr>
          <w:color w:val="231F20"/>
          <w:spacing w:val="-5"/>
        </w:rPr>
        <w:t> </w:t>
      </w:r>
      <w:r>
        <w:rPr>
          <w:color w:val="231F20"/>
        </w:rPr>
        <w:t>Obviamente ésta es sólo una cruda aproximación al concepto de vecindario como espacio de interacción social entre los residentes, pero las Ageb son to- davía una aproximación razonable en tanto que múltiples estudios han documentado que la proximidad física promueve las interacciones entre los residentes y que los vecinos constituyen una buena proporción de</w:t>
      </w:r>
      <w:r>
        <w:rPr>
          <w:color w:val="231F20"/>
          <w:spacing w:val="-25"/>
        </w:rPr>
        <w:t> </w:t>
      </w:r>
      <w:r>
        <w:rPr>
          <w:color w:val="231F20"/>
        </w:rPr>
        <w:t>los</w:t>
      </w:r>
    </w:p>
    <w:p>
      <w:pPr>
        <w:spacing w:before="176"/>
        <w:ind w:left="110" w:right="111" w:firstLine="0"/>
        <w:jc w:val="both"/>
        <w:rPr>
          <w:sz w:val="14"/>
        </w:rPr>
      </w:pPr>
      <w:r>
        <w:rPr>
          <w:color w:val="231F20"/>
          <w:position w:val="5"/>
          <w:sz w:val="8"/>
        </w:rPr>
        <w:t>1 </w:t>
      </w:r>
      <w:r>
        <w:rPr>
          <w:color w:val="231F20"/>
          <w:sz w:val="14"/>
        </w:rPr>
        <w:t>En zonas altamente urbanizadas, las Ageb pueden incluir entre 20 y 50 manzanas y sus límites están claramente</w:t>
      </w:r>
      <w:r>
        <w:rPr>
          <w:color w:val="231F20"/>
          <w:spacing w:val="-7"/>
          <w:sz w:val="14"/>
        </w:rPr>
        <w:t> </w:t>
      </w:r>
      <w:r>
        <w:rPr>
          <w:color w:val="231F20"/>
          <w:sz w:val="14"/>
        </w:rPr>
        <w:t>delimitados</w:t>
      </w:r>
      <w:r>
        <w:rPr>
          <w:color w:val="231F20"/>
          <w:spacing w:val="-7"/>
          <w:sz w:val="14"/>
        </w:rPr>
        <w:t> </w:t>
      </w:r>
      <w:r>
        <w:rPr>
          <w:color w:val="231F20"/>
          <w:sz w:val="14"/>
        </w:rPr>
        <w:t>por</w:t>
      </w:r>
      <w:r>
        <w:rPr>
          <w:color w:val="231F20"/>
          <w:spacing w:val="-7"/>
          <w:sz w:val="14"/>
        </w:rPr>
        <w:t> </w:t>
      </w:r>
      <w:r>
        <w:rPr>
          <w:color w:val="231F20"/>
          <w:sz w:val="14"/>
        </w:rPr>
        <w:t>avenidas,</w:t>
      </w:r>
      <w:r>
        <w:rPr>
          <w:color w:val="231F20"/>
          <w:spacing w:val="-7"/>
          <w:sz w:val="14"/>
        </w:rPr>
        <w:t> </w:t>
      </w:r>
      <w:r>
        <w:rPr>
          <w:color w:val="231F20"/>
          <w:sz w:val="14"/>
        </w:rPr>
        <w:t>ríos</w:t>
      </w:r>
      <w:r>
        <w:rPr>
          <w:color w:val="231F20"/>
          <w:spacing w:val="-7"/>
          <w:sz w:val="14"/>
        </w:rPr>
        <w:t> </w:t>
      </w:r>
      <w:r>
        <w:rPr>
          <w:color w:val="231F20"/>
          <w:sz w:val="14"/>
        </w:rPr>
        <w:t>u</w:t>
      </w:r>
      <w:r>
        <w:rPr>
          <w:color w:val="231F20"/>
          <w:spacing w:val="-7"/>
          <w:sz w:val="14"/>
        </w:rPr>
        <w:t> </w:t>
      </w:r>
      <w:r>
        <w:rPr>
          <w:color w:val="231F20"/>
          <w:sz w:val="14"/>
        </w:rPr>
        <w:t>otro</w:t>
      </w:r>
      <w:r>
        <w:rPr>
          <w:color w:val="231F20"/>
          <w:spacing w:val="-7"/>
          <w:sz w:val="14"/>
        </w:rPr>
        <w:t> </w:t>
      </w:r>
      <w:r>
        <w:rPr>
          <w:color w:val="231F20"/>
          <w:sz w:val="14"/>
        </w:rPr>
        <w:t>tipo</w:t>
      </w:r>
      <w:r>
        <w:rPr>
          <w:color w:val="231F20"/>
          <w:spacing w:val="-7"/>
          <w:sz w:val="14"/>
        </w:rPr>
        <w:t> </w:t>
      </w:r>
      <w:r>
        <w:rPr>
          <w:color w:val="231F20"/>
          <w:sz w:val="14"/>
        </w:rPr>
        <w:t>de</w:t>
      </w:r>
      <w:r>
        <w:rPr>
          <w:color w:val="231F20"/>
          <w:spacing w:val="-7"/>
          <w:sz w:val="14"/>
        </w:rPr>
        <w:t> </w:t>
      </w:r>
      <w:r>
        <w:rPr>
          <w:color w:val="231F20"/>
          <w:sz w:val="14"/>
        </w:rPr>
        <w:t>barreras</w:t>
      </w:r>
      <w:r>
        <w:rPr>
          <w:color w:val="231F20"/>
          <w:spacing w:val="-7"/>
          <w:sz w:val="14"/>
        </w:rPr>
        <w:t> </w:t>
      </w:r>
      <w:r>
        <w:rPr>
          <w:color w:val="231F20"/>
          <w:sz w:val="14"/>
        </w:rPr>
        <w:t>físicas;</w:t>
      </w:r>
      <w:r>
        <w:rPr>
          <w:color w:val="231F20"/>
          <w:spacing w:val="-7"/>
          <w:sz w:val="14"/>
        </w:rPr>
        <w:t> </w:t>
      </w:r>
      <w:r>
        <w:rPr>
          <w:color w:val="231F20"/>
          <w:sz w:val="14"/>
        </w:rPr>
        <w:t>es</w:t>
      </w:r>
      <w:r>
        <w:rPr>
          <w:color w:val="231F20"/>
          <w:spacing w:val="-7"/>
          <w:sz w:val="14"/>
        </w:rPr>
        <w:t> </w:t>
      </w:r>
      <w:r>
        <w:rPr>
          <w:color w:val="231F20"/>
          <w:sz w:val="14"/>
        </w:rPr>
        <w:t>decir</w:t>
      </w:r>
      <w:r>
        <w:rPr>
          <w:color w:val="231F20"/>
          <w:spacing w:val="-7"/>
          <w:sz w:val="14"/>
        </w:rPr>
        <w:t> </w:t>
      </w:r>
      <w:r>
        <w:rPr>
          <w:color w:val="231F20"/>
          <w:sz w:val="14"/>
        </w:rPr>
        <w:t>que</w:t>
      </w:r>
      <w:r>
        <w:rPr>
          <w:color w:val="231F20"/>
          <w:spacing w:val="-7"/>
          <w:sz w:val="14"/>
        </w:rPr>
        <w:t> </w:t>
      </w:r>
      <w:r>
        <w:rPr>
          <w:color w:val="231F20"/>
          <w:sz w:val="14"/>
        </w:rPr>
        <w:t>las</w:t>
      </w:r>
      <w:r>
        <w:rPr>
          <w:color w:val="231F20"/>
          <w:spacing w:val="-14"/>
          <w:sz w:val="14"/>
        </w:rPr>
        <w:t> </w:t>
      </w:r>
      <w:r>
        <w:rPr>
          <w:color w:val="231F20"/>
          <w:sz w:val="14"/>
        </w:rPr>
        <w:t>Ageb</w:t>
      </w:r>
      <w:r>
        <w:rPr>
          <w:color w:val="231F20"/>
          <w:spacing w:val="-7"/>
          <w:sz w:val="14"/>
        </w:rPr>
        <w:t> </w:t>
      </w:r>
      <w:r>
        <w:rPr>
          <w:color w:val="231F20"/>
          <w:sz w:val="14"/>
        </w:rPr>
        <w:t>no</w:t>
      </w:r>
      <w:r>
        <w:rPr>
          <w:color w:val="231F20"/>
          <w:spacing w:val="-7"/>
          <w:sz w:val="14"/>
        </w:rPr>
        <w:t> </w:t>
      </w:r>
      <w:r>
        <w:rPr>
          <w:color w:val="231F20"/>
          <w:sz w:val="14"/>
        </w:rPr>
        <w:t>pueden estar particionadas por obstáculos físicos que interrumpan los flujos cotidianos. La muestra censal fue obtenida tomando primero una muestra de las Ageb y luego muestreando dentro de ellas una o más manzanas (dependiendo de la densidad poblacional de la</w:t>
      </w:r>
      <w:r>
        <w:rPr>
          <w:color w:val="231F20"/>
          <w:spacing w:val="-1"/>
          <w:sz w:val="14"/>
        </w:rPr>
        <w:t> </w:t>
      </w:r>
      <w:r>
        <w:rPr>
          <w:color w:val="231F20"/>
          <w:sz w:val="14"/>
        </w:rPr>
        <w:t>unidad).</w:t>
      </w:r>
    </w:p>
    <w:p>
      <w:pPr>
        <w:spacing w:after="0"/>
        <w:jc w:val="both"/>
        <w:rPr>
          <w:sz w:val="14"/>
        </w:rPr>
        <w:sectPr>
          <w:pgSz w:w="7770" w:h="11740"/>
          <w:pgMar w:header="0" w:footer="474" w:top="840" w:bottom="740" w:left="740" w:right="1020"/>
        </w:sectPr>
      </w:pPr>
    </w:p>
    <w:p>
      <w:pPr>
        <w:pStyle w:val="BodyText"/>
        <w:spacing w:line="249" w:lineRule="auto" w:before="60"/>
        <w:ind w:left="113" w:right="34"/>
      </w:pPr>
      <w:r>
        <w:rPr>
          <w:color w:val="231F20"/>
        </w:rPr>
        <w:t>vínculos sociales que las personas sostienen, aún en áreas metropolitanas grandes (Fernández y Su, 2004; McPherson </w:t>
      </w:r>
      <w:r>
        <w:rPr>
          <w:i/>
          <w:color w:val="231F20"/>
        </w:rPr>
        <w:t>et al</w:t>
      </w:r>
      <w:r>
        <w:rPr>
          <w:color w:val="231F20"/>
        </w:rPr>
        <w:t>., 2001).</w:t>
      </w:r>
    </w:p>
    <w:p>
      <w:pPr>
        <w:pStyle w:val="BodyText"/>
        <w:spacing w:line="249" w:lineRule="auto" w:before="1"/>
        <w:ind w:left="113" w:right="107" w:firstLine="283"/>
        <w:jc w:val="both"/>
      </w:pPr>
      <w:r>
        <w:rPr>
          <w:color w:val="231F20"/>
        </w:rPr>
        <w:t>Para</w:t>
      </w:r>
      <w:r>
        <w:rPr>
          <w:color w:val="231F20"/>
          <w:spacing w:val="-10"/>
        </w:rPr>
        <w:t> </w:t>
      </w:r>
      <w:r>
        <w:rPr>
          <w:color w:val="231F20"/>
        </w:rPr>
        <w:t>considerar</w:t>
      </w:r>
      <w:r>
        <w:rPr>
          <w:color w:val="231F20"/>
          <w:spacing w:val="-11"/>
        </w:rPr>
        <w:t> </w:t>
      </w:r>
      <w:r>
        <w:rPr>
          <w:color w:val="231F20"/>
        </w:rPr>
        <w:t>el</w:t>
      </w:r>
      <w:r>
        <w:rPr>
          <w:color w:val="231F20"/>
          <w:spacing w:val="-10"/>
        </w:rPr>
        <w:t> </w:t>
      </w:r>
      <w:r>
        <w:rPr>
          <w:color w:val="231F20"/>
        </w:rPr>
        <w:t>efecto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segregación</w:t>
      </w:r>
      <w:r>
        <w:rPr>
          <w:color w:val="231F20"/>
          <w:spacing w:val="-10"/>
        </w:rPr>
        <w:t> </w:t>
      </w:r>
      <w:r>
        <w:rPr>
          <w:color w:val="231F20"/>
        </w:rPr>
        <w:t>residencial</w:t>
      </w:r>
      <w:r>
        <w:rPr>
          <w:color w:val="231F20"/>
          <w:spacing w:val="-10"/>
        </w:rPr>
        <w:t> </w:t>
      </w:r>
      <w:r>
        <w:rPr>
          <w:color w:val="231F20"/>
        </w:rPr>
        <w:t>socioeconómi- ca sobre el empleo, se implementó un modelo jerárquico lineal de dos niveles donde el empleo es una función de las características de los</w:t>
      </w:r>
      <w:r>
        <w:rPr>
          <w:color w:val="231F20"/>
          <w:spacing w:val="-25"/>
        </w:rPr>
        <w:t> </w:t>
      </w:r>
      <w:r>
        <w:rPr>
          <w:color w:val="231F20"/>
        </w:rPr>
        <w:t>indi- viduos y del vecindario en el que residen. Los modelos jerárquicos son particularmente apropiados para analizar datos donde las personas están anidadas dentro de contextos como escuelas, empresas o vecindarios:  en lugar de realizar el análisis a nivel individual o agregado, un modelo de dos niveles permite la descomposición de la variación en la variable dependiente entre las unidades de segundo nivel y dentro de ellas. Pre- cisamente porque los modelos jerárquicos distinguen entre individuos   y sus contextos, pueden ser empleados para examinar el efecto del con- texto sobre atributos individuales; hasta qué punto la relación entre un atributo y un resultado individual varían a través de los contextos y si el mismo contexto tiene resultados distintos para los diferentes individuos (Raudenbush y Bryk, 2002).</w:t>
      </w:r>
    </w:p>
    <w:p>
      <w:pPr>
        <w:pStyle w:val="BodyText"/>
        <w:spacing w:line="249" w:lineRule="auto" w:before="1"/>
        <w:ind w:left="113" w:right="107" w:firstLine="283"/>
        <w:jc w:val="both"/>
      </w:pPr>
      <w:r>
        <w:rPr>
          <w:color w:val="231F20"/>
        </w:rPr>
        <w:t>En este artículo se analizan los efectos de la segregación residencial primero sobre la probabilidad de tener un empleo sin seguridad social</w:t>
      </w:r>
      <w:r>
        <w:rPr>
          <w:color w:val="231F20"/>
          <w:position w:val="7"/>
          <w:sz w:val="11"/>
        </w:rPr>
        <w:t>2   </w:t>
      </w:r>
      <w:r>
        <w:rPr>
          <w:color w:val="231F20"/>
        </w:rPr>
        <w:t>y segundo, sobre el ingreso laboral por hora. Los modelos jerárquicos examinan los efectos promedio de la segregación residencial socio- económica</w:t>
      </w:r>
      <w:r>
        <w:rPr>
          <w:color w:val="231F20"/>
          <w:spacing w:val="-12"/>
        </w:rPr>
        <w:t> </w:t>
      </w:r>
      <w:r>
        <w:rPr>
          <w:color w:val="231F20"/>
        </w:rPr>
        <w:t>sobre</w:t>
      </w:r>
      <w:r>
        <w:rPr>
          <w:color w:val="231F20"/>
          <w:spacing w:val="-11"/>
        </w:rPr>
        <w:t> </w:t>
      </w:r>
      <w:r>
        <w:rPr>
          <w:color w:val="231F20"/>
        </w:rPr>
        <w:t>la</w:t>
      </w:r>
      <w:r>
        <w:rPr>
          <w:color w:val="231F20"/>
          <w:spacing w:val="-11"/>
        </w:rPr>
        <w:t> </w:t>
      </w:r>
      <w:r>
        <w:rPr>
          <w:color w:val="231F20"/>
        </w:rPr>
        <w:t>calidad</w:t>
      </w:r>
      <w:r>
        <w:rPr>
          <w:color w:val="231F20"/>
          <w:spacing w:val="-12"/>
        </w:rPr>
        <w:t> </w:t>
      </w:r>
      <w:r>
        <w:rPr>
          <w:color w:val="231F20"/>
        </w:rPr>
        <w:t>del</w:t>
      </w:r>
      <w:r>
        <w:rPr>
          <w:color w:val="231F20"/>
          <w:spacing w:val="-11"/>
        </w:rPr>
        <w:t> </w:t>
      </w:r>
      <w:r>
        <w:rPr>
          <w:color w:val="231F20"/>
        </w:rPr>
        <w:t>empleo</w:t>
      </w:r>
      <w:r>
        <w:rPr>
          <w:color w:val="231F20"/>
          <w:spacing w:val="-12"/>
        </w:rPr>
        <w:t> </w:t>
      </w:r>
      <w:r>
        <w:rPr>
          <w:color w:val="231F20"/>
        </w:rPr>
        <w:t>y</w:t>
      </w:r>
      <w:r>
        <w:rPr>
          <w:color w:val="231F20"/>
          <w:spacing w:val="-11"/>
        </w:rPr>
        <w:t> </w:t>
      </w:r>
      <w:r>
        <w:rPr>
          <w:color w:val="231F20"/>
        </w:rPr>
        <w:t>si</w:t>
      </w:r>
      <w:r>
        <w:rPr>
          <w:color w:val="231F20"/>
          <w:spacing w:val="-11"/>
        </w:rPr>
        <w:t> </w:t>
      </w:r>
      <w:r>
        <w:rPr>
          <w:color w:val="231F20"/>
        </w:rPr>
        <w:t>existen</w:t>
      </w:r>
      <w:r>
        <w:rPr>
          <w:color w:val="231F20"/>
          <w:spacing w:val="-12"/>
        </w:rPr>
        <w:t> </w:t>
      </w:r>
      <w:r>
        <w:rPr>
          <w:color w:val="231F20"/>
        </w:rPr>
        <w:t>diferencias</w:t>
      </w:r>
      <w:r>
        <w:rPr>
          <w:color w:val="231F20"/>
          <w:spacing w:val="-12"/>
        </w:rPr>
        <w:t> </w:t>
      </w:r>
      <w:r>
        <w:rPr>
          <w:color w:val="231F20"/>
        </w:rPr>
        <w:t>por</w:t>
      </w:r>
      <w:r>
        <w:rPr>
          <w:color w:val="231F20"/>
          <w:spacing w:val="-11"/>
        </w:rPr>
        <w:t> </w:t>
      </w:r>
      <w:r>
        <w:rPr>
          <w:color w:val="231F20"/>
        </w:rPr>
        <w:t>género en dichos efectos. Para cada una de las varia-bles dependientes se anali- za:</w:t>
      </w:r>
      <w:r>
        <w:rPr>
          <w:color w:val="231F20"/>
          <w:spacing w:val="-7"/>
        </w:rPr>
        <w:t> </w:t>
      </w:r>
      <w:r>
        <w:rPr>
          <w:color w:val="231F20"/>
        </w:rPr>
        <w:t>i)</w:t>
      </w:r>
      <w:r>
        <w:rPr>
          <w:color w:val="231F20"/>
          <w:spacing w:val="-6"/>
        </w:rPr>
        <w:t> </w:t>
      </w:r>
      <w:r>
        <w:rPr>
          <w:color w:val="231F20"/>
        </w:rPr>
        <w:t>si</w:t>
      </w:r>
      <w:r>
        <w:rPr>
          <w:color w:val="231F20"/>
          <w:spacing w:val="-6"/>
        </w:rPr>
        <w:t> </w:t>
      </w:r>
      <w:r>
        <w:rPr>
          <w:color w:val="231F20"/>
        </w:rPr>
        <w:t>existe</w:t>
      </w:r>
      <w:r>
        <w:rPr>
          <w:color w:val="231F20"/>
          <w:spacing w:val="-7"/>
        </w:rPr>
        <w:t> </w:t>
      </w:r>
      <w:r>
        <w:rPr>
          <w:color w:val="231F20"/>
        </w:rPr>
        <w:t>una</w:t>
      </w:r>
      <w:r>
        <w:rPr>
          <w:color w:val="231F20"/>
          <w:spacing w:val="-6"/>
        </w:rPr>
        <w:t> </w:t>
      </w:r>
      <w:r>
        <w:rPr>
          <w:color w:val="231F20"/>
        </w:rPr>
        <w:t>diferencia</w:t>
      </w:r>
      <w:r>
        <w:rPr>
          <w:color w:val="231F20"/>
          <w:spacing w:val="-7"/>
        </w:rPr>
        <w:t> </w:t>
      </w:r>
      <w:r>
        <w:rPr>
          <w:color w:val="231F20"/>
        </w:rPr>
        <w:t>significativa</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nivel</w:t>
      </w:r>
      <w:r>
        <w:rPr>
          <w:color w:val="231F20"/>
          <w:spacing w:val="-7"/>
        </w:rPr>
        <w:t> </w:t>
      </w:r>
      <w:r>
        <w:rPr>
          <w:color w:val="231F20"/>
        </w:rPr>
        <w:t>o</w:t>
      </w:r>
      <w:r>
        <w:rPr>
          <w:color w:val="231F20"/>
          <w:spacing w:val="-6"/>
        </w:rPr>
        <w:t> </w:t>
      </w:r>
      <w:r>
        <w:rPr>
          <w:color w:val="231F20"/>
        </w:rPr>
        <w:t>la</w:t>
      </w:r>
      <w:r>
        <w:rPr>
          <w:color w:val="231F20"/>
          <w:spacing w:val="-7"/>
        </w:rPr>
        <w:t> </w:t>
      </w:r>
      <w:r>
        <w:rPr>
          <w:color w:val="231F20"/>
        </w:rPr>
        <w:t>probabilidad</w:t>
      </w:r>
      <w:r>
        <w:rPr>
          <w:color w:val="231F20"/>
          <w:spacing w:val="-7"/>
        </w:rPr>
        <w:t> </w:t>
      </w:r>
      <w:r>
        <w:rPr>
          <w:color w:val="231F20"/>
        </w:rPr>
        <w:t>de precariedad laboral a través de las áreas residenciales; ii) la magnitud de la asociación entre segre-gación residencial y empleo precario, después de controlar por las características individuales de los trabajadores, y</w:t>
      </w:r>
      <w:r>
        <w:rPr>
          <w:color w:val="231F20"/>
          <w:spacing w:val="-18"/>
        </w:rPr>
        <w:t> </w:t>
      </w:r>
      <w:r>
        <w:rPr>
          <w:color w:val="231F20"/>
        </w:rPr>
        <w:t>iii) la interacción entre composición del vecindario (segregación) y género, a fin de estimar si los efectos del vecindario son diferentes entre</w:t>
      </w:r>
      <w:r>
        <w:rPr>
          <w:color w:val="231F20"/>
          <w:spacing w:val="-34"/>
        </w:rPr>
        <w:t> </w:t>
      </w:r>
      <w:r>
        <w:rPr>
          <w:color w:val="231F20"/>
        </w:rPr>
        <w:t>mujeres y hombres.</w:t>
      </w:r>
    </w:p>
    <w:p>
      <w:pPr>
        <w:pStyle w:val="BodyText"/>
        <w:spacing w:line="249" w:lineRule="auto" w:before="1"/>
        <w:ind w:left="113" w:right="108" w:firstLine="343"/>
        <w:jc w:val="both"/>
      </w:pPr>
      <w:r>
        <w:rPr>
          <w:color w:val="231F20"/>
        </w:rPr>
        <w:t>Como variables explicativas se introdujeron en el primer nivel car- acterísticas individuales que trabajos individuales han vinculado con la calidad del empleo: educación, sexo, edad, estatus marital, arreglo fa- miliar, la presencia de niños menores de 12 años, así como el tipo de ocupación. El análisis estadístico está limitado a los individuos entre 16 y 65 años y que declararon algún tipo de ingreso laboral monetario. En el segundo nivel, como características de los vecindarios, se incluyo el cociente de localización de la pobreza como una medida de segregación residencial. Este indicador calcula si la proporción de hogares pobres en</w:t>
      </w:r>
    </w:p>
    <w:p>
      <w:pPr>
        <w:pStyle w:val="BodyText"/>
        <w:rPr>
          <w:sz w:val="17"/>
        </w:rPr>
      </w:pPr>
    </w:p>
    <w:p>
      <w:pPr>
        <w:spacing w:before="1"/>
        <w:ind w:left="113" w:right="792" w:firstLine="0"/>
        <w:jc w:val="left"/>
        <w:rPr>
          <w:sz w:val="14"/>
        </w:rPr>
      </w:pPr>
      <w:r>
        <w:rPr>
          <w:color w:val="231F20"/>
          <w:position w:val="5"/>
          <w:sz w:val="8"/>
        </w:rPr>
        <w:t>2  </w:t>
      </w:r>
      <w:r>
        <w:rPr>
          <w:color w:val="231F20"/>
          <w:sz w:val="14"/>
        </w:rPr>
        <w:t>Sin seguro médico o sin pensiones.</w:t>
      </w:r>
    </w:p>
    <w:p>
      <w:pPr>
        <w:spacing w:after="0"/>
        <w:jc w:val="left"/>
        <w:rPr>
          <w:sz w:val="14"/>
        </w:rPr>
        <w:sectPr>
          <w:footerReference w:type="default" r:id="rId205"/>
          <w:pgSz w:w="7770" w:h="11740"/>
          <w:pgMar w:footer="474" w:header="0" w:top="840" w:bottom="660" w:left="1020" w:right="740"/>
          <w:pgNumType w:start="163"/>
        </w:sectPr>
      </w:pPr>
    </w:p>
    <w:p>
      <w:pPr>
        <w:pStyle w:val="BodyText"/>
        <w:spacing w:line="249" w:lineRule="auto" w:before="60"/>
        <w:ind w:left="110" w:right="111"/>
        <w:jc w:val="both"/>
        <w:rPr>
          <w:sz w:val="11"/>
        </w:rPr>
      </w:pPr>
      <w:r>
        <w:rPr>
          <w:color w:val="231F20"/>
        </w:rPr>
        <w:t>la Ageb es más cercana o lejana a la proporción de hogares pobres en la ciudad,</w:t>
      </w:r>
      <w:r>
        <w:rPr>
          <w:color w:val="231F20"/>
          <w:spacing w:val="-7"/>
        </w:rPr>
        <w:t> </w:t>
      </w:r>
      <w:r>
        <w:rPr>
          <w:color w:val="231F20"/>
        </w:rPr>
        <w:t>un</w:t>
      </w:r>
      <w:r>
        <w:rPr>
          <w:color w:val="231F20"/>
          <w:spacing w:val="-7"/>
        </w:rPr>
        <w:t> </w:t>
      </w:r>
      <w:r>
        <w:rPr>
          <w:color w:val="231F20"/>
        </w:rPr>
        <w:t>número</w:t>
      </w:r>
      <w:r>
        <w:rPr>
          <w:color w:val="231F20"/>
          <w:spacing w:val="-7"/>
        </w:rPr>
        <w:t> </w:t>
      </w:r>
      <w:r>
        <w:rPr>
          <w:color w:val="231F20"/>
        </w:rPr>
        <w:t>mayor</w:t>
      </w:r>
      <w:r>
        <w:rPr>
          <w:color w:val="231F20"/>
          <w:spacing w:val="-7"/>
        </w:rPr>
        <w:t> </w:t>
      </w:r>
      <w:r>
        <w:rPr>
          <w:color w:val="231F20"/>
        </w:rPr>
        <w:t>de</w:t>
      </w:r>
      <w:r>
        <w:rPr>
          <w:color w:val="231F20"/>
          <w:spacing w:val="-7"/>
        </w:rPr>
        <w:t> </w:t>
      </w:r>
      <w:r>
        <w:rPr>
          <w:color w:val="231F20"/>
        </w:rPr>
        <w:t>uno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cociente</w:t>
      </w:r>
      <w:r>
        <w:rPr>
          <w:color w:val="231F20"/>
          <w:spacing w:val="-7"/>
        </w:rPr>
        <w:t> </w:t>
      </w:r>
      <w:r>
        <w:rPr>
          <w:color w:val="231F20"/>
        </w:rPr>
        <w:t>de</w:t>
      </w:r>
      <w:r>
        <w:rPr>
          <w:color w:val="231F20"/>
          <w:spacing w:val="-7"/>
        </w:rPr>
        <w:t> </w:t>
      </w:r>
      <w:r>
        <w:rPr>
          <w:color w:val="231F20"/>
        </w:rPr>
        <w:t>concentración</w:t>
      </w:r>
      <w:r>
        <w:rPr>
          <w:color w:val="231F20"/>
          <w:spacing w:val="-7"/>
        </w:rPr>
        <w:t> </w:t>
      </w:r>
      <w:r>
        <w:rPr>
          <w:color w:val="231F20"/>
        </w:rPr>
        <w:t>implica que esa Ageb tiene una proporción mayor de la que le correspondería si la población estuviese equitativamente distribuida en la ciudad.</w:t>
      </w:r>
      <w:r>
        <w:rPr>
          <w:color w:val="231F20"/>
          <w:spacing w:val="-2"/>
        </w:rPr>
        <w:t> </w:t>
      </w:r>
      <w:r>
        <w:rPr>
          <w:color w:val="231F20"/>
          <w:position w:val="7"/>
          <w:sz w:val="11"/>
        </w:rPr>
        <w:t>3</w:t>
      </w:r>
    </w:p>
    <w:p>
      <w:pPr>
        <w:pStyle w:val="BodyText"/>
        <w:spacing w:line="249" w:lineRule="auto" w:before="1"/>
        <w:ind w:left="110" w:right="111" w:firstLine="283"/>
        <w:jc w:val="both"/>
      </w:pPr>
      <w:r>
        <w:rPr>
          <w:color w:val="231F20"/>
        </w:rPr>
        <w:t>Es importante señalar algunas limitaciones del análisis. Claramente los alcances del estudio están restringidos por la disponibilidad de in- formación disponible, siendo el censo la única fuente que permite tener información</w:t>
      </w:r>
      <w:r>
        <w:rPr>
          <w:color w:val="231F20"/>
          <w:spacing w:val="-7"/>
        </w:rPr>
        <w:t> </w:t>
      </w:r>
      <w:r>
        <w:rPr>
          <w:color w:val="231F20"/>
        </w:rPr>
        <w:t>sobre</w:t>
      </w:r>
      <w:r>
        <w:rPr>
          <w:color w:val="231F20"/>
          <w:spacing w:val="-6"/>
        </w:rPr>
        <w:t> </w:t>
      </w:r>
      <w:r>
        <w:rPr>
          <w:color w:val="231F20"/>
        </w:rPr>
        <w:t>la</w:t>
      </w:r>
      <w:r>
        <w:rPr>
          <w:color w:val="231F20"/>
          <w:spacing w:val="-6"/>
        </w:rPr>
        <w:t> </w:t>
      </w:r>
      <w:r>
        <w:rPr>
          <w:color w:val="231F20"/>
        </w:rPr>
        <w:t>segregación</w:t>
      </w:r>
      <w:r>
        <w:rPr>
          <w:color w:val="231F20"/>
          <w:spacing w:val="-6"/>
        </w:rPr>
        <w:t> </w:t>
      </w:r>
      <w:r>
        <w:rPr>
          <w:color w:val="231F20"/>
        </w:rPr>
        <w:t>residencial</w:t>
      </w:r>
      <w:r>
        <w:rPr>
          <w:color w:val="231F20"/>
          <w:spacing w:val="-6"/>
        </w:rPr>
        <w:t> </w:t>
      </w:r>
      <w:r>
        <w:rPr>
          <w:color w:val="231F20"/>
        </w:rPr>
        <w:t>en</w:t>
      </w:r>
      <w:r>
        <w:rPr>
          <w:color w:val="231F20"/>
          <w:spacing w:val="-6"/>
        </w:rPr>
        <w:t> </w:t>
      </w:r>
      <w:r>
        <w:rPr>
          <w:color w:val="231F20"/>
        </w:rPr>
        <w:t>pequeña</w:t>
      </w:r>
      <w:r>
        <w:rPr>
          <w:color w:val="231F20"/>
          <w:spacing w:val="-6"/>
        </w:rPr>
        <w:t> </w:t>
      </w:r>
      <w:r>
        <w:rPr>
          <w:color w:val="231F20"/>
        </w:rPr>
        <w:t>escala</w:t>
      </w:r>
      <w:r>
        <w:rPr>
          <w:color w:val="231F20"/>
          <w:spacing w:val="-6"/>
        </w:rPr>
        <w:t> </w:t>
      </w:r>
      <w:r>
        <w:rPr>
          <w:color w:val="231F20"/>
        </w:rPr>
        <w:t>y</w:t>
      </w:r>
      <w:r>
        <w:rPr>
          <w:color w:val="231F20"/>
          <w:spacing w:val="-6"/>
        </w:rPr>
        <w:t> </w:t>
      </w:r>
      <w:r>
        <w:rPr>
          <w:color w:val="231F20"/>
        </w:rPr>
        <w:t>al</w:t>
      </w:r>
      <w:r>
        <w:rPr>
          <w:color w:val="231F20"/>
          <w:spacing w:val="-6"/>
        </w:rPr>
        <w:t> </w:t>
      </w:r>
      <w:r>
        <w:rPr>
          <w:color w:val="231F20"/>
        </w:rPr>
        <w:t>mis- mo tiempo información sobre el empleo de los individuos. Otras fuentes como la ENOE o la ENIGH que captan mejor el empleo o el ingreso, no permiten conocer el nivel de segregación socioeconómica del área de residencia de los individuos en escalas pequeñas más allá del estado o</w:t>
      </w:r>
      <w:r>
        <w:rPr>
          <w:color w:val="231F20"/>
          <w:spacing w:val="-12"/>
        </w:rPr>
        <w:t> </w:t>
      </w:r>
      <w:r>
        <w:rPr>
          <w:color w:val="231F20"/>
        </w:rPr>
        <w:t>el área metropolitana en la que</w:t>
      </w:r>
      <w:r>
        <w:rPr>
          <w:color w:val="231F20"/>
          <w:spacing w:val="-3"/>
        </w:rPr>
        <w:t> </w:t>
      </w:r>
      <w:r>
        <w:rPr>
          <w:color w:val="231F20"/>
        </w:rPr>
        <w:t>residen.</w:t>
      </w:r>
    </w:p>
    <w:p>
      <w:pPr>
        <w:pStyle w:val="BodyText"/>
        <w:spacing w:line="249" w:lineRule="auto" w:before="1"/>
        <w:ind w:left="110" w:right="111" w:firstLine="283"/>
        <w:jc w:val="both"/>
      </w:pPr>
      <w:r>
        <w:rPr>
          <w:color w:val="231F20"/>
        </w:rPr>
        <w:t>Los modelos multinivel permiten sobreponerse a algunas limitacio- nes de los datos. Por un lado, las características individuales asociadas con el empleo precario están incluidas en los modelos; dichas variables dan cuenta de la composición observada de esos barrios. Por ejemplo, los habitantes de barrios de muy alta pobreza podrían tener muy bajos niveles educativos, al incluir la escolaridad de los individuos se excluye la posibilidad de que la asociación entre segregación residencial e in- gresos</w:t>
      </w:r>
      <w:r>
        <w:rPr>
          <w:color w:val="231F20"/>
          <w:spacing w:val="-11"/>
        </w:rPr>
        <w:t> </w:t>
      </w:r>
      <w:r>
        <w:rPr>
          <w:color w:val="231F20"/>
        </w:rPr>
        <w:t>por</w:t>
      </w:r>
      <w:r>
        <w:rPr>
          <w:color w:val="231F20"/>
          <w:spacing w:val="-11"/>
        </w:rPr>
        <w:t> </w:t>
      </w:r>
      <w:r>
        <w:rPr>
          <w:color w:val="231F20"/>
        </w:rPr>
        <w:t>hora</w:t>
      </w:r>
      <w:r>
        <w:rPr>
          <w:color w:val="231F20"/>
          <w:spacing w:val="-11"/>
        </w:rPr>
        <w:t> </w:t>
      </w:r>
      <w:r>
        <w:rPr>
          <w:color w:val="231F20"/>
        </w:rPr>
        <w:t>se</w:t>
      </w:r>
      <w:r>
        <w:rPr>
          <w:color w:val="231F20"/>
          <w:spacing w:val="-11"/>
        </w:rPr>
        <w:t> </w:t>
      </w:r>
      <w:r>
        <w:rPr>
          <w:color w:val="231F20"/>
        </w:rPr>
        <w:t>deba</w:t>
      </w:r>
      <w:r>
        <w:rPr>
          <w:color w:val="231F20"/>
          <w:spacing w:val="-11"/>
        </w:rPr>
        <w:t> </w:t>
      </w:r>
      <w:r>
        <w:rPr>
          <w:color w:val="231F20"/>
        </w:rPr>
        <w:t>al</w:t>
      </w:r>
      <w:r>
        <w:rPr>
          <w:color w:val="231F20"/>
          <w:spacing w:val="-11"/>
        </w:rPr>
        <w:t> </w:t>
      </w:r>
      <w:r>
        <w:rPr>
          <w:color w:val="231F20"/>
        </w:rPr>
        <w:t>hecho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trabajadores</w:t>
      </w:r>
      <w:r>
        <w:rPr>
          <w:color w:val="231F20"/>
          <w:spacing w:val="-11"/>
        </w:rPr>
        <w:t> </w:t>
      </w:r>
      <w:r>
        <w:rPr>
          <w:color w:val="231F20"/>
        </w:rPr>
        <w:t>de</w:t>
      </w:r>
      <w:r>
        <w:rPr>
          <w:color w:val="231F20"/>
          <w:spacing w:val="-11"/>
        </w:rPr>
        <w:t> </w:t>
      </w:r>
      <w:r>
        <w:rPr>
          <w:color w:val="231F20"/>
        </w:rPr>
        <w:t>baja</w:t>
      </w:r>
      <w:r>
        <w:rPr>
          <w:color w:val="231F20"/>
          <w:spacing w:val="-11"/>
        </w:rPr>
        <w:t> </w:t>
      </w:r>
      <w:r>
        <w:rPr>
          <w:color w:val="231F20"/>
        </w:rPr>
        <w:t>educación</w:t>
      </w:r>
      <w:r>
        <w:rPr>
          <w:color w:val="231F20"/>
          <w:spacing w:val="-11"/>
        </w:rPr>
        <w:t> </w:t>
      </w:r>
      <w:r>
        <w:rPr>
          <w:color w:val="231F20"/>
        </w:rPr>
        <w:t>se hayan concentrado en esos barrios, dado que el modelo ya habrá consid- erado</w:t>
      </w:r>
      <w:r>
        <w:rPr>
          <w:color w:val="231F20"/>
          <w:spacing w:val="-9"/>
        </w:rPr>
        <w:t> </w:t>
      </w:r>
      <w:r>
        <w:rPr>
          <w:color w:val="231F20"/>
        </w:rPr>
        <w:t>esa</w:t>
      </w:r>
      <w:r>
        <w:rPr>
          <w:color w:val="231F20"/>
          <w:spacing w:val="-9"/>
        </w:rPr>
        <w:t> </w:t>
      </w:r>
      <w:r>
        <w:rPr>
          <w:color w:val="231F20"/>
        </w:rPr>
        <w:t>característica</w:t>
      </w:r>
      <w:r>
        <w:rPr>
          <w:color w:val="231F20"/>
          <w:spacing w:val="-10"/>
        </w:rPr>
        <w:t> </w:t>
      </w:r>
      <w:r>
        <w:rPr>
          <w:color w:val="231F20"/>
        </w:rPr>
        <w:t>a</w:t>
      </w:r>
      <w:r>
        <w:rPr>
          <w:color w:val="231F20"/>
          <w:spacing w:val="-9"/>
        </w:rPr>
        <w:t> </w:t>
      </w:r>
      <w:r>
        <w:rPr>
          <w:color w:val="231F20"/>
        </w:rPr>
        <w:t>nivel</w:t>
      </w:r>
      <w:r>
        <w:rPr>
          <w:color w:val="231F20"/>
          <w:spacing w:val="-9"/>
        </w:rPr>
        <w:t> </w:t>
      </w:r>
      <w:r>
        <w:rPr>
          <w:color w:val="231F20"/>
        </w:rPr>
        <w:t>individual.</w:t>
      </w:r>
      <w:r>
        <w:rPr>
          <w:color w:val="231F20"/>
          <w:spacing w:val="-10"/>
        </w:rPr>
        <w:t> </w:t>
      </w:r>
      <w:r>
        <w:rPr>
          <w:color w:val="231F20"/>
        </w:rPr>
        <w:t>Intuitivamente,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estamos haciendo</w:t>
      </w:r>
      <w:r>
        <w:rPr>
          <w:color w:val="231F20"/>
          <w:spacing w:val="-4"/>
        </w:rPr>
        <w:t> </w:t>
      </w:r>
      <w:r>
        <w:rPr>
          <w:color w:val="231F20"/>
        </w:rPr>
        <w:t>con</w:t>
      </w:r>
      <w:r>
        <w:rPr>
          <w:color w:val="231F20"/>
          <w:spacing w:val="-4"/>
        </w:rPr>
        <w:t> </w:t>
      </w:r>
      <w:r>
        <w:rPr>
          <w:color w:val="231F20"/>
        </w:rPr>
        <w:t>estos</w:t>
      </w:r>
      <w:r>
        <w:rPr>
          <w:color w:val="231F20"/>
          <w:spacing w:val="-4"/>
        </w:rPr>
        <w:t> </w:t>
      </w:r>
      <w:r>
        <w:rPr>
          <w:color w:val="231F20"/>
        </w:rPr>
        <w:t>modelos</w:t>
      </w:r>
      <w:r>
        <w:rPr>
          <w:color w:val="231F20"/>
          <w:spacing w:val="-4"/>
        </w:rPr>
        <w:t> </w:t>
      </w:r>
      <w:r>
        <w:rPr>
          <w:color w:val="231F20"/>
        </w:rPr>
        <w:t>es</w:t>
      </w:r>
      <w:r>
        <w:rPr>
          <w:color w:val="231F20"/>
          <w:spacing w:val="-4"/>
        </w:rPr>
        <w:t> </w:t>
      </w:r>
      <w:r>
        <w:rPr>
          <w:color w:val="231F20"/>
        </w:rPr>
        <w:t>comparar</w:t>
      </w:r>
      <w:r>
        <w:rPr>
          <w:color w:val="231F20"/>
          <w:spacing w:val="-4"/>
        </w:rPr>
        <w:t> </w:t>
      </w:r>
      <w:r>
        <w:rPr>
          <w:color w:val="231F20"/>
        </w:rPr>
        <w:t>individuos</w:t>
      </w:r>
      <w:r>
        <w:rPr>
          <w:color w:val="231F20"/>
          <w:spacing w:val="-5"/>
        </w:rPr>
        <w:t> </w:t>
      </w:r>
      <w:r>
        <w:rPr>
          <w:color w:val="231F20"/>
        </w:rPr>
        <w:t>con</w:t>
      </w:r>
      <w:r>
        <w:rPr>
          <w:color w:val="231F20"/>
          <w:spacing w:val="-4"/>
        </w:rPr>
        <w:t> </w:t>
      </w:r>
      <w:r>
        <w:rPr>
          <w:color w:val="231F20"/>
        </w:rPr>
        <w:t>exactamente</w:t>
      </w:r>
      <w:r>
        <w:rPr>
          <w:color w:val="231F20"/>
          <w:spacing w:val="-5"/>
        </w:rPr>
        <w:t> </w:t>
      </w:r>
      <w:r>
        <w:rPr>
          <w:color w:val="231F20"/>
        </w:rPr>
        <w:t>las mismas características pero que viven en zonas de distinto nivel de seg- regación. Conceptualmente, ello implica preguntarse sobre los efectos acumulativos que la segregación puede producir: los individuos pueden ganar poco y vivir en zonas de alta pobreza porque tienen determinadas características individuales, pero el lugar que habitan puede contribuir a perpetuar esas</w:t>
      </w:r>
      <w:r>
        <w:rPr>
          <w:color w:val="231F20"/>
          <w:spacing w:val="-1"/>
        </w:rPr>
        <w:t> </w:t>
      </w:r>
      <w:r>
        <w:rPr>
          <w:color w:val="231F20"/>
        </w:rPr>
        <w:t>diferencias.</w:t>
      </w:r>
    </w:p>
    <w:p>
      <w:pPr>
        <w:pStyle w:val="BodyText"/>
        <w:spacing w:line="249" w:lineRule="auto" w:before="1"/>
        <w:ind w:left="110" w:right="111" w:firstLine="283"/>
        <w:jc w:val="both"/>
      </w:pPr>
      <w:r>
        <w:rPr>
          <w:color w:val="231F20"/>
        </w:rPr>
        <w:t>Claramente analizar el vínculo causal entre segregación y empleo precario requeriría de datos longitudinales a nivel individual y del vecindario, con los cuales no contamos. De ahí que este trabajo no pre- tenda</w:t>
      </w:r>
      <w:r>
        <w:rPr>
          <w:color w:val="231F20"/>
          <w:spacing w:val="-7"/>
        </w:rPr>
        <w:t> </w:t>
      </w:r>
      <w:r>
        <w:rPr>
          <w:color w:val="231F20"/>
        </w:rPr>
        <w:t>hacer</w:t>
      </w:r>
      <w:r>
        <w:rPr>
          <w:color w:val="231F20"/>
          <w:spacing w:val="-6"/>
        </w:rPr>
        <w:t> </w:t>
      </w:r>
      <w:r>
        <w:rPr>
          <w:color w:val="231F20"/>
        </w:rPr>
        <w:t>eso</w:t>
      </w:r>
      <w:r>
        <w:rPr>
          <w:color w:val="231F20"/>
          <w:spacing w:val="-7"/>
        </w:rPr>
        <w:t> </w:t>
      </w:r>
      <w:r>
        <w:rPr>
          <w:color w:val="231F20"/>
        </w:rPr>
        <w:t>sino</w:t>
      </w:r>
      <w:r>
        <w:rPr>
          <w:color w:val="231F20"/>
          <w:spacing w:val="-6"/>
        </w:rPr>
        <w:t> </w:t>
      </w:r>
      <w:r>
        <w:rPr>
          <w:color w:val="231F20"/>
        </w:rPr>
        <w:t>sólo</w:t>
      </w:r>
      <w:r>
        <w:rPr>
          <w:color w:val="231F20"/>
          <w:spacing w:val="-6"/>
        </w:rPr>
        <w:t> </w:t>
      </w:r>
      <w:r>
        <w:rPr>
          <w:color w:val="231F20"/>
        </w:rPr>
        <w:t>examinar</w:t>
      </w:r>
      <w:r>
        <w:rPr>
          <w:color w:val="231F20"/>
          <w:spacing w:val="-7"/>
        </w:rPr>
        <w:t> </w:t>
      </w:r>
      <w:r>
        <w:rPr>
          <w:color w:val="231F20"/>
        </w:rPr>
        <w:t>el</w:t>
      </w:r>
      <w:r>
        <w:rPr>
          <w:color w:val="231F20"/>
          <w:spacing w:val="-6"/>
        </w:rPr>
        <w:t> </w:t>
      </w:r>
      <w:r>
        <w:rPr>
          <w:color w:val="231F20"/>
        </w:rPr>
        <w:t>grado</w:t>
      </w:r>
      <w:r>
        <w:rPr>
          <w:color w:val="231F20"/>
          <w:spacing w:val="-6"/>
        </w:rPr>
        <w:t> </w:t>
      </w:r>
      <w:r>
        <w:rPr>
          <w:color w:val="231F20"/>
        </w:rPr>
        <w:t>de</w:t>
      </w:r>
      <w:r>
        <w:rPr>
          <w:color w:val="231F20"/>
          <w:spacing w:val="-6"/>
        </w:rPr>
        <w:t> </w:t>
      </w:r>
      <w:r>
        <w:rPr>
          <w:color w:val="231F20"/>
        </w:rPr>
        <w:t>asociación</w:t>
      </w:r>
      <w:r>
        <w:rPr>
          <w:color w:val="231F20"/>
          <w:spacing w:val="-7"/>
        </w:rPr>
        <w:t> </w:t>
      </w:r>
      <w:r>
        <w:rPr>
          <w:color w:val="231F20"/>
        </w:rPr>
        <w:t>entre</w:t>
      </w:r>
      <w:r>
        <w:rPr>
          <w:color w:val="231F20"/>
          <w:spacing w:val="-7"/>
        </w:rPr>
        <w:t> </w:t>
      </w:r>
      <w:r>
        <w:rPr>
          <w:color w:val="231F20"/>
        </w:rPr>
        <w:t>estas</w:t>
      </w:r>
      <w:r>
        <w:rPr>
          <w:color w:val="231F20"/>
          <w:spacing w:val="-7"/>
        </w:rPr>
        <w:t> </w:t>
      </w:r>
      <w:r>
        <w:rPr>
          <w:color w:val="231F20"/>
        </w:rPr>
        <w:t>dos variables, después de controlar por una serie de atributos individuales. De hecho, su principal interés es analizar las diferencias por género  </w:t>
      </w:r>
      <w:r>
        <w:rPr>
          <w:color w:val="231F20"/>
          <w:spacing w:val="40"/>
        </w:rPr>
        <w:t> </w:t>
      </w:r>
      <w:r>
        <w:rPr>
          <w:color w:val="231F20"/>
        </w:rPr>
        <w:t>en</w:t>
      </w:r>
    </w:p>
    <w:p>
      <w:pPr>
        <w:pStyle w:val="BodyText"/>
        <w:rPr>
          <w:sz w:val="24"/>
        </w:rPr>
      </w:pPr>
    </w:p>
    <w:p>
      <w:pPr>
        <w:spacing w:before="0"/>
        <w:ind w:left="110" w:right="111" w:firstLine="0"/>
        <w:jc w:val="both"/>
        <w:rPr>
          <w:sz w:val="14"/>
        </w:rPr>
      </w:pPr>
      <w:r>
        <w:rPr>
          <w:color w:val="231F20"/>
          <w:position w:val="5"/>
          <w:sz w:val="8"/>
        </w:rPr>
        <w:t>3 </w:t>
      </w:r>
      <w:r>
        <w:rPr>
          <w:color w:val="231F20"/>
          <w:sz w:val="14"/>
        </w:rPr>
        <w:t>La condición de pobreza de los hogares fue definida usando la línea de pobreza de capacidades esta- blecida por el gobierno federal para el año 2000, es decir, aquella que define como pobres a aquellos hogares incapaces de satisfacer sus necesidades de educación, salud y alimentación (Comité Técnico para la Medición de la Pobreza, 2005). Siguiendo esta definición y de acuerdo a la muestra censal, 30 por ciento de los hogares en la ciudad eran pobres.</w:t>
      </w:r>
    </w:p>
    <w:p>
      <w:pPr>
        <w:spacing w:after="0"/>
        <w:jc w:val="both"/>
        <w:rPr>
          <w:sz w:val="14"/>
        </w:rPr>
        <w:sectPr>
          <w:pgSz w:w="7770" w:h="11740"/>
          <w:pgMar w:header="0" w:footer="474" w:top="840" w:bottom="740" w:left="740" w:right="1020"/>
        </w:sectPr>
      </w:pPr>
    </w:p>
    <w:p>
      <w:pPr>
        <w:pStyle w:val="BodyText"/>
        <w:spacing w:line="249" w:lineRule="auto" w:before="60"/>
        <w:ind w:left="113" w:right="107"/>
        <w:jc w:val="both"/>
      </w:pPr>
      <w:r>
        <w:rPr>
          <w:color w:val="231F20"/>
        </w:rPr>
        <w:t>esa asociación: dado que los vecindarios no están segregados por gé- nero, no es posible afirmar que los patrones observados en esa relación se deban a la composición de los vecindarios. Sin embargo, hombres y mujeres</w:t>
      </w:r>
      <w:r>
        <w:rPr>
          <w:color w:val="231F20"/>
          <w:spacing w:val="-8"/>
        </w:rPr>
        <w:t> </w:t>
      </w:r>
      <w:r>
        <w:rPr>
          <w:color w:val="231F20"/>
        </w:rPr>
        <w:t>sí</w:t>
      </w:r>
      <w:r>
        <w:rPr>
          <w:color w:val="231F20"/>
          <w:spacing w:val="-7"/>
        </w:rPr>
        <w:t> </w:t>
      </w:r>
      <w:r>
        <w:rPr>
          <w:color w:val="231F20"/>
        </w:rPr>
        <w:t>tienen</w:t>
      </w:r>
      <w:r>
        <w:rPr>
          <w:color w:val="231F20"/>
          <w:spacing w:val="-8"/>
        </w:rPr>
        <w:t> </w:t>
      </w:r>
      <w:r>
        <w:rPr>
          <w:color w:val="231F20"/>
        </w:rPr>
        <w:t>patrones</w:t>
      </w:r>
      <w:r>
        <w:rPr>
          <w:color w:val="231F20"/>
          <w:spacing w:val="-7"/>
        </w:rPr>
        <w:t> </w:t>
      </w:r>
      <w:r>
        <w:rPr>
          <w:color w:val="231F20"/>
        </w:rPr>
        <w:t>distintos</w:t>
      </w:r>
      <w:r>
        <w:rPr>
          <w:color w:val="231F20"/>
          <w:spacing w:val="-7"/>
        </w:rPr>
        <w:t> </w:t>
      </w:r>
      <w:r>
        <w:rPr>
          <w:color w:val="231F20"/>
        </w:rPr>
        <w:t>de</w:t>
      </w:r>
      <w:r>
        <w:rPr>
          <w:color w:val="231F20"/>
          <w:spacing w:val="-7"/>
        </w:rPr>
        <w:t> </w:t>
      </w:r>
      <w:r>
        <w:rPr>
          <w:color w:val="231F20"/>
        </w:rPr>
        <w:t>participación</w:t>
      </w:r>
      <w:r>
        <w:rPr>
          <w:color w:val="231F20"/>
          <w:spacing w:val="-7"/>
        </w:rPr>
        <w:t> </w:t>
      </w:r>
      <w:r>
        <w:rPr>
          <w:color w:val="231F20"/>
        </w:rPr>
        <w:t>laboral</w:t>
      </w:r>
      <w:r>
        <w:rPr>
          <w:color w:val="231F20"/>
          <w:spacing w:val="-8"/>
        </w:rPr>
        <w:t> </w:t>
      </w:r>
      <w:r>
        <w:rPr>
          <w:color w:val="231F20"/>
        </w:rPr>
        <w:t>a</w:t>
      </w:r>
      <w:r>
        <w:rPr>
          <w:color w:val="231F20"/>
          <w:spacing w:val="-7"/>
        </w:rPr>
        <w:t> </w:t>
      </w:r>
      <w:r>
        <w:rPr>
          <w:color w:val="231F20"/>
        </w:rPr>
        <w:t>través</w:t>
      </w:r>
      <w:r>
        <w:rPr>
          <w:color w:val="231F20"/>
          <w:spacing w:val="-8"/>
        </w:rPr>
        <w:t> </w:t>
      </w:r>
      <w:r>
        <w:rPr>
          <w:color w:val="231F20"/>
        </w:rPr>
        <w:t>de</w:t>
      </w:r>
      <w:r>
        <w:rPr>
          <w:color w:val="231F20"/>
          <w:spacing w:val="-7"/>
        </w:rPr>
        <w:t> </w:t>
      </w:r>
      <w:r>
        <w:rPr>
          <w:color w:val="231F20"/>
        </w:rPr>
        <w:t>la ciudad,</w:t>
      </w:r>
      <w:r>
        <w:rPr>
          <w:color w:val="231F20"/>
          <w:spacing w:val="-9"/>
        </w:rPr>
        <w:t> </w:t>
      </w:r>
      <w:r>
        <w:rPr>
          <w:color w:val="231F20"/>
        </w:rPr>
        <w:t>una</w:t>
      </w:r>
      <w:r>
        <w:rPr>
          <w:color w:val="231F20"/>
          <w:spacing w:val="-8"/>
        </w:rPr>
        <w:t> </w:t>
      </w:r>
      <w:r>
        <w:rPr>
          <w:color w:val="231F20"/>
        </w:rPr>
        <w:t>posibilidad</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cual</w:t>
      </w:r>
      <w:r>
        <w:rPr>
          <w:color w:val="231F20"/>
          <w:spacing w:val="-8"/>
        </w:rPr>
        <w:t> </w:t>
      </w:r>
      <w:r>
        <w:rPr>
          <w:color w:val="231F20"/>
        </w:rPr>
        <w:t>damos</w:t>
      </w:r>
      <w:r>
        <w:rPr>
          <w:color w:val="231F20"/>
          <w:spacing w:val="-8"/>
        </w:rPr>
        <w:t> </w:t>
      </w:r>
      <w:r>
        <w:rPr>
          <w:color w:val="231F20"/>
        </w:rPr>
        <w:t>cuenta</w:t>
      </w:r>
      <w:r>
        <w:rPr>
          <w:color w:val="231F20"/>
          <w:spacing w:val="-8"/>
        </w:rPr>
        <w:t> </w:t>
      </w:r>
      <w:r>
        <w:rPr>
          <w:color w:val="231F20"/>
        </w:rPr>
        <w:t>estadísticamente</w:t>
      </w:r>
      <w:r>
        <w:rPr>
          <w:color w:val="231F20"/>
          <w:spacing w:val="-9"/>
        </w:rPr>
        <w:t> </w:t>
      </w:r>
      <w:r>
        <w:rPr>
          <w:color w:val="231F20"/>
        </w:rPr>
        <w:t>a</w:t>
      </w:r>
      <w:r>
        <w:rPr>
          <w:color w:val="231F20"/>
          <w:spacing w:val="-8"/>
        </w:rPr>
        <w:t> </w:t>
      </w:r>
      <w:r>
        <w:rPr>
          <w:color w:val="231F20"/>
        </w:rPr>
        <w:t>través de modelos de selección de</w:t>
      </w:r>
      <w:r>
        <w:rPr>
          <w:color w:val="231F20"/>
          <w:spacing w:val="-17"/>
        </w:rPr>
        <w:t> </w:t>
      </w:r>
      <w:r>
        <w:rPr>
          <w:color w:val="231F20"/>
        </w:rPr>
        <w:t>Heckman.</w:t>
      </w:r>
    </w:p>
    <w:p>
      <w:pPr>
        <w:pStyle w:val="Heading4"/>
        <w:spacing w:line="240" w:lineRule="exact" w:before="166"/>
        <w:ind w:right="1397"/>
        <w:jc w:val="left"/>
      </w:pPr>
      <w:r>
        <w:rPr>
          <w:w w:val="75"/>
        </w:rPr>
        <w:t>Características de los vecindarios en la Ciudad de México: descripciones a partir de la muestra censal</w:t>
      </w:r>
    </w:p>
    <w:p>
      <w:pPr>
        <w:pStyle w:val="BodyText"/>
        <w:spacing w:line="249" w:lineRule="auto" w:before="175"/>
        <w:ind w:left="113" w:right="108"/>
        <w:jc w:val="both"/>
      </w:pPr>
      <w:r>
        <w:rPr>
          <w:color w:val="231F20"/>
        </w:rPr>
        <w:t>Los</w:t>
      </w:r>
      <w:r>
        <w:rPr>
          <w:color w:val="231F20"/>
          <w:spacing w:val="-11"/>
        </w:rPr>
        <w:t> </w:t>
      </w:r>
      <w:r>
        <w:rPr>
          <w:color w:val="231F20"/>
        </w:rPr>
        <w:t>Cuadros</w:t>
      </w:r>
      <w:r>
        <w:rPr>
          <w:color w:val="231F20"/>
          <w:spacing w:val="-11"/>
        </w:rPr>
        <w:t> </w:t>
      </w:r>
      <w:r>
        <w:rPr>
          <w:color w:val="231F20"/>
        </w:rPr>
        <w:t>1a,</w:t>
      </w:r>
      <w:r>
        <w:rPr>
          <w:color w:val="231F20"/>
          <w:spacing w:val="-11"/>
        </w:rPr>
        <w:t> </w:t>
      </w:r>
      <w:r>
        <w:rPr>
          <w:color w:val="231F20"/>
        </w:rPr>
        <w:t>1b,</w:t>
      </w:r>
      <w:r>
        <w:rPr>
          <w:color w:val="231F20"/>
          <w:spacing w:val="-11"/>
        </w:rPr>
        <w:t> </w:t>
      </w:r>
      <w:r>
        <w:rPr>
          <w:color w:val="231F20"/>
        </w:rPr>
        <w:t>1c,</w:t>
      </w:r>
      <w:r>
        <w:rPr>
          <w:color w:val="231F20"/>
          <w:spacing w:val="-11"/>
        </w:rPr>
        <w:t> </w:t>
      </w:r>
      <w:r>
        <w:rPr>
          <w:color w:val="231F20"/>
        </w:rPr>
        <w:t>1d</w:t>
      </w:r>
      <w:r>
        <w:rPr>
          <w:color w:val="231F20"/>
          <w:spacing w:val="-11"/>
        </w:rPr>
        <w:t> </w:t>
      </w:r>
      <w:r>
        <w:rPr>
          <w:color w:val="231F20"/>
        </w:rPr>
        <w:t>caracterizan</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áreas</w:t>
      </w:r>
      <w:r>
        <w:rPr>
          <w:color w:val="231F20"/>
          <w:spacing w:val="-11"/>
        </w:rPr>
        <w:t> </w:t>
      </w:r>
      <w:r>
        <w:rPr>
          <w:color w:val="231F20"/>
        </w:rPr>
        <w:t>residenciales</w:t>
      </w:r>
      <w:r>
        <w:rPr>
          <w:color w:val="231F20"/>
          <w:spacing w:val="-11"/>
        </w:rPr>
        <w:t> </w:t>
      </w:r>
      <w:r>
        <w:rPr>
          <w:color w:val="231F20"/>
        </w:rPr>
        <w:t>de</w:t>
      </w:r>
      <w:r>
        <w:rPr>
          <w:color w:val="231F20"/>
          <w:spacing w:val="-11"/>
        </w:rPr>
        <w:t> </w:t>
      </w:r>
      <w:r>
        <w:rPr>
          <w:color w:val="231F20"/>
        </w:rPr>
        <w:t>acuer- do a su nivel socioeconómico, según los datos de la muestra censal de 2000. El primer grupo comprende a las Ageb donde 25 por ciento de los hogares</w:t>
      </w:r>
      <w:r>
        <w:rPr>
          <w:color w:val="231F20"/>
          <w:spacing w:val="-4"/>
        </w:rPr>
        <w:t> </w:t>
      </w:r>
      <w:r>
        <w:rPr>
          <w:color w:val="231F20"/>
        </w:rPr>
        <w:t>o</w:t>
      </w:r>
      <w:r>
        <w:rPr>
          <w:color w:val="231F20"/>
          <w:spacing w:val="-4"/>
        </w:rPr>
        <w:t> </w:t>
      </w:r>
      <w:r>
        <w:rPr>
          <w:color w:val="231F20"/>
        </w:rPr>
        <w:t>menos</w:t>
      </w:r>
      <w:r>
        <w:rPr>
          <w:color w:val="231F20"/>
          <w:spacing w:val="-5"/>
        </w:rPr>
        <w:t> </w:t>
      </w:r>
      <w:r>
        <w:rPr>
          <w:color w:val="231F20"/>
        </w:rPr>
        <w:t>eran</w:t>
      </w:r>
      <w:r>
        <w:rPr>
          <w:color w:val="231F20"/>
          <w:spacing w:val="-4"/>
        </w:rPr>
        <w:t> </w:t>
      </w:r>
      <w:r>
        <w:rPr>
          <w:color w:val="231F20"/>
        </w:rPr>
        <w:t>pobres,</w:t>
      </w:r>
      <w:r>
        <w:rPr>
          <w:color w:val="231F20"/>
          <w:spacing w:val="-4"/>
        </w:rPr>
        <w:t> </w:t>
      </w:r>
      <w:r>
        <w:rPr>
          <w:color w:val="231F20"/>
        </w:rPr>
        <w:t>mientras</w:t>
      </w:r>
      <w:r>
        <w:rPr>
          <w:color w:val="231F20"/>
          <w:spacing w:val="-5"/>
        </w:rPr>
        <w:t> </w:t>
      </w:r>
      <w:r>
        <w:rPr>
          <w:color w:val="231F20"/>
        </w:rPr>
        <w:t>que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segundo</w:t>
      </w:r>
      <w:r>
        <w:rPr>
          <w:color w:val="231F20"/>
          <w:spacing w:val="-4"/>
        </w:rPr>
        <w:t> </w:t>
      </w:r>
      <w:r>
        <w:rPr>
          <w:color w:val="231F20"/>
        </w:rPr>
        <w:t>grupo</w:t>
      </w:r>
      <w:r>
        <w:rPr>
          <w:color w:val="231F20"/>
          <w:spacing w:val="-4"/>
        </w:rPr>
        <w:t> </w:t>
      </w:r>
      <w:r>
        <w:rPr>
          <w:color w:val="231F20"/>
        </w:rPr>
        <w:t>entre</w:t>
      </w:r>
      <w:r>
        <w:rPr>
          <w:color w:val="231F20"/>
          <w:spacing w:val="-4"/>
        </w:rPr>
        <w:t> </w:t>
      </w:r>
      <w:r>
        <w:rPr>
          <w:color w:val="231F20"/>
        </w:rPr>
        <w:t>25 y 35 por ciento de los hogares lo eran. Dado que el promedio de</w:t>
      </w:r>
      <w:r>
        <w:rPr>
          <w:color w:val="231F20"/>
          <w:spacing w:val="-31"/>
        </w:rPr>
        <w:t> </w:t>
      </w:r>
      <w:r>
        <w:rPr>
          <w:color w:val="231F20"/>
        </w:rPr>
        <w:t>pobreza en la ciudad fue de 30 por ciento este último grupo pude considerarse representativo de un barrio “prototípico” si los hogares pobres estuvie- sen</w:t>
      </w:r>
      <w:r>
        <w:rPr>
          <w:color w:val="231F20"/>
          <w:spacing w:val="-5"/>
        </w:rPr>
        <w:t> </w:t>
      </w:r>
      <w:r>
        <w:rPr>
          <w:color w:val="231F20"/>
        </w:rPr>
        <w:t>distribuidos</w:t>
      </w:r>
      <w:r>
        <w:rPr>
          <w:color w:val="231F20"/>
          <w:spacing w:val="-5"/>
        </w:rPr>
        <w:t> </w:t>
      </w:r>
      <w:r>
        <w:rPr>
          <w:color w:val="231F20"/>
        </w:rPr>
        <w:t>equitativamente</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metrópoli.</w:t>
      </w:r>
      <w:r>
        <w:rPr>
          <w:color w:val="231F20"/>
          <w:spacing w:val="-5"/>
        </w:rPr>
        <w:t> </w:t>
      </w:r>
      <w:r>
        <w:rPr>
          <w:color w:val="231F20"/>
        </w:rPr>
        <w:t>El</w:t>
      </w:r>
      <w:r>
        <w:rPr>
          <w:color w:val="231F20"/>
          <w:spacing w:val="-5"/>
        </w:rPr>
        <w:t> </w:t>
      </w:r>
      <w:r>
        <w:rPr>
          <w:color w:val="231F20"/>
        </w:rPr>
        <w:t>tercer</w:t>
      </w:r>
      <w:r>
        <w:rPr>
          <w:color w:val="231F20"/>
          <w:spacing w:val="-5"/>
        </w:rPr>
        <w:t> </w:t>
      </w:r>
      <w:r>
        <w:rPr>
          <w:color w:val="231F20"/>
        </w:rPr>
        <w:t>grupo representa Ageb con una concentración de pobreza mediana (de 35 a 60 por ciento) y el cuarto grupo representa áreas de alta concentración de pobreza (donde más de 60 por ciento de los hogares son</w:t>
      </w:r>
      <w:r>
        <w:rPr>
          <w:color w:val="231F20"/>
          <w:spacing w:val="-5"/>
        </w:rPr>
        <w:t> </w:t>
      </w:r>
      <w:r>
        <w:rPr>
          <w:color w:val="231F20"/>
        </w:rPr>
        <w:t>pobres).</w:t>
      </w:r>
    </w:p>
    <w:p>
      <w:pPr>
        <w:pStyle w:val="BodyText"/>
        <w:spacing w:line="249" w:lineRule="auto" w:before="1"/>
        <w:ind w:left="113" w:right="107" w:firstLine="283"/>
        <w:jc w:val="both"/>
      </w:pPr>
      <w:r>
        <w:rPr>
          <w:color w:val="231F20"/>
        </w:rPr>
        <w:t>El</w:t>
      </w:r>
      <w:r>
        <w:rPr>
          <w:color w:val="231F20"/>
          <w:spacing w:val="-8"/>
        </w:rPr>
        <w:t> </w:t>
      </w:r>
      <w:r>
        <w:rPr>
          <w:color w:val="231F20"/>
        </w:rPr>
        <w:t>primer</w:t>
      </w:r>
      <w:r>
        <w:rPr>
          <w:color w:val="231F20"/>
          <w:spacing w:val="-8"/>
        </w:rPr>
        <w:t> </w:t>
      </w:r>
      <w:r>
        <w:rPr>
          <w:color w:val="231F20"/>
        </w:rPr>
        <w:t>conjunto</w:t>
      </w:r>
      <w:r>
        <w:rPr>
          <w:color w:val="231F20"/>
          <w:spacing w:val="-8"/>
        </w:rPr>
        <w:t> </w:t>
      </w:r>
      <w:r>
        <w:rPr>
          <w:color w:val="231F20"/>
        </w:rPr>
        <w:t>de</w:t>
      </w:r>
      <w:r>
        <w:rPr>
          <w:color w:val="231F20"/>
          <w:spacing w:val="-8"/>
        </w:rPr>
        <w:t> </w:t>
      </w:r>
      <w:r>
        <w:rPr>
          <w:color w:val="231F20"/>
        </w:rPr>
        <w:t>variables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Cuadro</w:t>
      </w:r>
      <w:r>
        <w:rPr>
          <w:color w:val="231F20"/>
          <w:spacing w:val="-8"/>
        </w:rPr>
        <w:t> </w:t>
      </w:r>
      <w:r>
        <w:rPr>
          <w:color w:val="231F20"/>
        </w:rPr>
        <w:t>1</w:t>
      </w:r>
      <w:r>
        <w:rPr>
          <w:color w:val="231F20"/>
          <w:spacing w:val="-8"/>
        </w:rPr>
        <w:t> </w:t>
      </w:r>
      <w:r>
        <w:rPr>
          <w:color w:val="231F20"/>
        </w:rPr>
        <w:t>mide</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ingre- so y desigualdad. Las diferencias de ingreso promedio </w:t>
      </w:r>
      <w:r>
        <w:rPr>
          <w:i/>
          <w:color w:val="231F20"/>
        </w:rPr>
        <w:t>per cápita </w:t>
      </w:r>
      <w:r>
        <w:rPr>
          <w:color w:val="231F20"/>
        </w:rPr>
        <w:t>de los hogares son evidentes: éste es cinco veces más alto en los barrios menos segregados</w:t>
      </w:r>
      <w:r>
        <w:rPr>
          <w:color w:val="231F20"/>
          <w:spacing w:val="-8"/>
        </w:rPr>
        <w:t> </w:t>
      </w:r>
      <w:r>
        <w:rPr>
          <w:color w:val="231F20"/>
        </w:rPr>
        <w:t>que</w:t>
      </w:r>
      <w:r>
        <w:rPr>
          <w:color w:val="231F20"/>
          <w:spacing w:val="-8"/>
        </w:rPr>
        <w:t> </w:t>
      </w:r>
      <w:r>
        <w:rPr>
          <w:color w:val="231F20"/>
        </w:rPr>
        <w:t>en</w:t>
      </w:r>
      <w:r>
        <w:rPr>
          <w:color w:val="231F20"/>
          <w:spacing w:val="-9"/>
        </w:rPr>
        <w:t> </w:t>
      </w:r>
      <w:r>
        <w:rPr>
          <w:color w:val="231F20"/>
        </w:rPr>
        <w:t>los</w:t>
      </w:r>
      <w:r>
        <w:rPr>
          <w:color w:val="231F20"/>
          <w:spacing w:val="-9"/>
        </w:rPr>
        <w:t> </w:t>
      </w:r>
      <w:r>
        <w:rPr>
          <w:color w:val="231F20"/>
        </w:rPr>
        <w:t>que</w:t>
      </w:r>
      <w:r>
        <w:rPr>
          <w:color w:val="231F20"/>
          <w:spacing w:val="-8"/>
        </w:rPr>
        <w:t> </w:t>
      </w:r>
      <w:r>
        <w:rPr>
          <w:color w:val="231F20"/>
        </w:rPr>
        <w:t>más</w:t>
      </w:r>
      <w:r>
        <w:rPr>
          <w:color w:val="231F20"/>
          <w:spacing w:val="-9"/>
        </w:rPr>
        <w:t> </w:t>
      </w:r>
      <w:r>
        <w:rPr>
          <w:color w:val="231F20"/>
        </w:rPr>
        <w:t>concentran</w:t>
      </w:r>
      <w:r>
        <w:rPr>
          <w:color w:val="231F20"/>
          <w:spacing w:val="-9"/>
        </w:rPr>
        <w:t> </w:t>
      </w:r>
      <w:r>
        <w:rPr>
          <w:color w:val="231F20"/>
        </w:rPr>
        <w:t>la</w:t>
      </w:r>
      <w:r>
        <w:rPr>
          <w:color w:val="231F20"/>
          <w:spacing w:val="-8"/>
        </w:rPr>
        <w:t> </w:t>
      </w:r>
      <w:r>
        <w:rPr>
          <w:color w:val="231F20"/>
        </w:rPr>
        <w:t>pobreza;</w:t>
      </w:r>
      <w:r>
        <w:rPr>
          <w:color w:val="231F20"/>
          <w:spacing w:val="-8"/>
        </w:rPr>
        <w:t> </w:t>
      </w:r>
      <w:r>
        <w:rPr>
          <w:color w:val="231F20"/>
        </w:rPr>
        <w:t>aunque</w:t>
      </w:r>
      <w:r>
        <w:rPr>
          <w:color w:val="231F20"/>
          <w:spacing w:val="-9"/>
        </w:rPr>
        <w:t> </w:t>
      </w:r>
      <w:r>
        <w:rPr>
          <w:color w:val="231F20"/>
        </w:rPr>
        <w:t>también</w:t>
      </w:r>
      <w:r>
        <w:rPr>
          <w:color w:val="231F20"/>
          <w:spacing w:val="-8"/>
        </w:rPr>
        <w:t> </w:t>
      </w:r>
      <w:r>
        <w:rPr>
          <w:color w:val="231F20"/>
        </w:rPr>
        <w:t>es importante</w:t>
      </w:r>
      <w:r>
        <w:rPr>
          <w:color w:val="231F20"/>
          <w:spacing w:val="-5"/>
        </w:rPr>
        <w:t> </w:t>
      </w:r>
      <w:r>
        <w:rPr>
          <w:color w:val="231F20"/>
        </w:rPr>
        <w:t>notar</w:t>
      </w:r>
      <w:r>
        <w:rPr>
          <w:color w:val="231F20"/>
          <w:spacing w:val="-4"/>
        </w:rPr>
        <w:t> </w:t>
      </w:r>
      <w:r>
        <w:rPr>
          <w:color w:val="231F20"/>
        </w:rPr>
        <w:t>que</w:t>
      </w:r>
      <w:r>
        <w:rPr>
          <w:color w:val="231F20"/>
          <w:spacing w:val="-4"/>
        </w:rPr>
        <w:t> </w:t>
      </w:r>
      <w:r>
        <w:rPr>
          <w:color w:val="231F20"/>
        </w:rPr>
        <w:t>existen</w:t>
      </w:r>
      <w:r>
        <w:rPr>
          <w:color w:val="231F20"/>
          <w:spacing w:val="-4"/>
        </w:rPr>
        <w:t> </w:t>
      </w:r>
      <w:r>
        <w:rPr>
          <w:color w:val="231F20"/>
        </w:rPr>
        <w:t>importantes</w:t>
      </w:r>
      <w:r>
        <w:rPr>
          <w:color w:val="231F20"/>
          <w:spacing w:val="-5"/>
        </w:rPr>
        <w:t> </w:t>
      </w:r>
      <w:r>
        <w:rPr>
          <w:color w:val="231F20"/>
        </w:rPr>
        <w:t>variaciones</w:t>
      </w:r>
      <w:r>
        <w:rPr>
          <w:color w:val="231F20"/>
          <w:spacing w:val="-4"/>
        </w:rPr>
        <w:t> </w:t>
      </w:r>
      <w:r>
        <w:rPr>
          <w:color w:val="231F20"/>
        </w:rPr>
        <w:t>entre</w:t>
      </w:r>
      <w:r>
        <w:rPr>
          <w:color w:val="231F20"/>
          <w:spacing w:val="-4"/>
        </w:rPr>
        <w:t> </w:t>
      </w:r>
      <w:r>
        <w:rPr>
          <w:color w:val="231F20"/>
        </w:rPr>
        <w:t>y</w:t>
      </w:r>
      <w:r>
        <w:rPr>
          <w:color w:val="231F20"/>
          <w:spacing w:val="-4"/>
        </w:rPr>
        <w:t> </w:t>
      </w:r>
      <w:r>
        <w:rPr>
          <w:color w:val="231F20"/>
        </w:rPr>
        <w:t>dentro</w:t>
      </w:r>
      <w:r>
        <w:rPr>
          <w:color w:val="231F20"/>
          <w:spacing w:val="-4"/>
        </w:rPr>
        <w:t> </w:t>
      </w:r>
      <w:r>
        <w:rPr>
          <w:color w:val="231F20"/>
        </w:rPr>
        <w:t>cada área residencial. Así, la media de desviación logarítmica sugiere que existe una mayor desigualdad en las dos primeras categorías, reflejando una mayor heterogeneidad en la composición por hogar de esas áreas residenciales. Por otro lado, en términos de la composición demográfica de las Ageb, el Cuadro 1 muestra que la escolaridad promedio de los re- sidentes disminuye conforme aumenta el número de hogares pobres, tal y como podría</w:t>
      </w:r>
      <w:r>
        <w:rPr>
          <w:color w:val="231F20"/>
          <w:spacing w:val="-1"/>
        </w:rPr>
        <w:t> </w:t>
      </w:r>
      <w:r>
        <w:rPr>
          <w:color w:val="231F20"/>
        </w:rPr>
        <w:t>esperarse.</w:t>
      </w:r>
    </w:p>
    <w:p>
      <w:pPr>
        <w:pStyle w:val="BodyText"/>
        <w:spacing w:line="249" w:lineRule="auto" w:before="1"/>
        <w:ind w:left="113" w:right="108" w:firstLine="283"/>
        <w:jc w:val="both"/>
      </w:pPr>
      <w:r>
        <w:rPr>
          <w:color w:val="231F20"/>
        </w:rPr>
        <w:t>Más aún, dicha tabla también muestra que la composición étnica del lugar también juega un papel, en tanto que la proporción de residentes indígenas aumenta notablemente en áreas altamente segregadas. Si bien ello</w:t>
      </w:r>
      <w:r>
        <w:rPr>
          <w:color w:val="231F20"/>
          <w:spacing w:val="-11"/>
        </w:rPr>
        <w:t> </w:t>
      </w:r>
      <w:r>
        <w:rPr>
          <w:color w:val="231F20"/>
        </w:rPr>
        <w:t>refleja</w:t>
      </w:r>
      <w:r>
        <w:rPr>
          <w:color w:val="231F20"/>
          <w:spacing w:val="-11"/>
        </w:rPr>
        <w:t> </w:t>
      </w:r>
      <w:r>
        <w:rPr>
          <w:color w:val="231F20"/>
        </w:rPr>
        <w:t>los</w:t>
      </w:r>
      <w:r>
        <w:rPr>
          <w:color w:val="231F20"/>
          <w:spacing w:val="-11"/>
        </w:rPr>
        <w:t> </w:t>
      </w:r>
      <w:r>
        <w:rPr>
          <w:color w:val="231F20"/>
        </w:rPr>
        <w:t>bajos</w:t>
      </w:r>
      <w:r>
        <w:rPr>
          <w:color w:val="231F20"/>
          <w:spacing w:val="-11"/>
        </w:rPr>
        <w:t> </w:t>
      </w:r>
      <w:r>
        <w:rPr>
          <w:color w:val="231F20"/>
        </w:rPr>
        <w:t>ingresos</w:t>
      </w:r>
      <w:r>
        <w:rPr>
          <w:color w:val="231F20"/>
          <w:spacing w:val="-11"/>
        </w:rPr>
        <w:t> </w:t>
      </w:r>
      <w:r>
        <w:rPr>
          <w:color w:val="231F20"/>
        </w:rPr>
        <w:t>de</w:t>
      </w:r>
      <w:r>
        <w:rPr>
          <w:color w:val="231F20"/>
          <w:spacing w:val="-11"/>
        </w:rPr>
        <w:t> </w:t>
      </w:r>
      <w:r>
        <w:rPr>
          <w:color w:val="231F20"/>
        </w:rPr>
        <w:t>este</w:t>
      </w:r>
      <w:r>
        <w:rPr>
          <w:color w:val="231F20"/>
          <w:spacing w:val="-11"/>
        </w:rPr>
        <w:t> </w:t>
      </w:r>
      <w:r>
        <w:rPr>
          <w:color w:val="231F20"/>
        </w:rPr>
        <w:t>grupo</w:t>
      </w:r>
      <w:r>
        <w:rPr>
          <w:color w:val="231F20"/>
          <w:spacing w:val="-11"/>
        </w:rPr>
        <w:t> </w:t>
      </w:r>
      <w:r>
        <w:rPr>
          <w:color w:val="231F20"/>
        </w:rPr>
        <w:t>poblacional,</w:t>
      </w:r>
      <w:r>
        <w:rPr>
          <w:color w:val="231F20"/>
          <w:spacing w:val="-11"/>
        </w:rPr>
        <w:t> </w:t>
      </w:r>
      <w:r>
        <w:rPr>
          <w:color w:val="231F20"/>
        </w:rPr>
        <w:t>su</w:t>
      </w:r>
      <w:r>
        <w:rPr>
          <w:color w:val="231F20"/>
          <w:spacing w:val="-11"/>
        </w:rPr>
        <w:t> </w:t>
      </w:r>
      <w:r>
        <w:rPr>
          <w:color w:val="231F20"/>
        </w:rPr>
        <w:t>concentración en unos cuantos barrios también apunta a indicios de segregación étnica en la</w:t>
      </w:r>
      <w:r>
        <w:rPr>
          <w:color w:val="231F20"/>
          <w:spacing w:val="-1"/>
        </w:rPr>
        <w:t> </w:t>
      </w:r>
      <w:r>
        <w:rPr>
          <w:color w:val="231F20"/>
        </w:rPr>
        <w:t>ciudad.</w:t>
      </w:r>
    </w:p>
    <w:p>
      <w:pPr>
        <w:spacing w:after="0" w:line="249" w:lineRule="auto"/>
        <w:jc w:val="both"/>
        <w:sectPr>
          <w:footerReference w:type="default" r:id="rId206"/>
          <w:pgSz w:w="7770" w:h="11740"/>
          <w:pgMar w:footer="474" w:header="0" w:top="840" w:bottom="660" w:left="1020" w:right="740"/>
          <w:pgNumType w:start="165"/>
        </w:sectPr>
      </w:pPr>
    </w:p>
    <w:p>
      <w:pPr>
        <w:spacing w:before="58"/>
        <w:ind w:left="199" w:right="0" w:firstLine="0"/>
        <w:jc w:val="left"/>
        <w:rPr>
          <w:sz w:val="19"/>
        </w:rPr>
      </w:pPr>
      <w:r>
        <w:rPr/>
        <w:pict>
          <v:group style="position:absolute;margin-left:38.017998pt;margin-top:17.279137pt;width:298.150pt;height:.5pt;mso-position-horizontal-relative:page;mso-position-vertical-relative:paragraph;z-index:7216;mso-wrap-distance-left:0;mso-wrap-distance-right:0" coordorigin="760,346" coordsize="5963,10">
            <v:line style="position:absolute" from="765,351" to="4141,351" stroked="true" strokeweight=".48pt" strokecolor="#000000"/>
            <v:line style="position:absolute" from="4141,351" to="4150,351" stroked="true" strokeweight=".48pt" strokecolor="#000000"/>
            <v:line style="position:absolute" from="4150,351" to="6718,351" stroked="true" strokeweight=".48pt" strokecolor="#000000"/>
            <w10:wrap type="topAndBottom"/>
          </v:group>
        </w:pict>
      </w:r>
      <w:r>
        <w:rPr>
          <w:sz w:val="19"/>
        </w:rPr>
        <w:t>Cuadro 1a. Características de las áreas residenciales por niveles de pobreza</w:t>
      </w:r>
    </w:p>
    <w:p>
      <w:pPr>
        <w:spacing w:before="0"/>
        <w:ind w:left="0" w:right="849" w:firstLine="0"/>
        <w:jc w:val="right"/>
        <w:rPr>
          <w:sz w:val="19"/>
        </w:rPr>
      </w:pPr>
      <w:r>
        <w:rPr>
          <w:sz w:val="19"/>
        </w:rPr>
        <w:t>25% o menos</w:t>
      </w:r>
    </w:p>
    <w:p>
      <w:pPr>
        <w:tabs>
          <w:tab w:pos="3649" w:val="left" w:leader="none"/>
          <w:tab w:pos="4486" w:val="left" w:leader="none"/>
        </w:tabs>
        <w:spacing w:before="12"/>
        <w:ind w:left="105" w:right="0" w:firstLine="0"/>
        <w:jc w:val="left"/>
        <w:rPr>
          <w:sz w:val="19"/>
        </w:rPr>
      </w:pPr>
      <w:r>
        <w:rPr>
          <w:w w:val="98"/>
          <w:sz w:val="19"/>
          <w:u w:val="single"/>
        </w:rPr>
        <w:t> </w:t>
      </w:r>
      <w:r>
        <w:rPr>
          <w:sz w:val="19"/>
          <w:u w:val="single"/>
        </w:rPr>
        <w:tab/>
        <w:t>Media</w:t>
        <w:tab/>
        <w:t>Desviación</w:t>
      </w:r>
      <w:r>
        <w:rPr>
          <w:spacing w:val="-9"/>
          <w:sz w:val="19"/>
          <w:u w:val="single"/>
        </w:rPr>
        <w:t> </w:t>
      </w:r>
      <w:r>
        <w:rPr>
          <w:sz w:val="19"/>
          <w:u w:val="single"/>
        </w:rPr>
        <w:t>estándar</w:t>
      </w:r>
    </w:p>
    <w:p>
      <w:pPr>
        <w:spacing w:before="64" w:after="37"/>
        <w:ind w:left="199" w:right="242" w:firstLine="0"/>
        <w:jc w:val="left"/>
        <w:rPr>
          <w:i/>
          <w:sz w:val="19"/>
        </w:rPr>
      </w:pPr>
      <w:r>
        <w:rPr>
          <w:i/>
          <w:sz w:val="19"/>
        </w:rPr>
        <w:t>Indicadores de pobreza</w:t>
      </w: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2"/>
        <w:gridCol w:w="1417"/>
        <w:gridCol w:w="1194"/>
      </w:tblGrid>
      <w:tr>
        <w:trPr>
          <w:trHeight w:val="250" w:hRule="exact"/>
        </w:trPr>
        <w:tc>
          <w:tcPr>
            <w:tcW w:w="3342" w:type="dxa"/>
          </w:tcPr>
          <w:p>
            <w:pPr>
              <w:pStyle w:val="TableParagraph"/>
              <w:spacing w:before="17"/>
              <w:ind w:left="94"/>
              <w:jc w:val="left"/>
              <w:rPr>
                <w:sz w:val="19"/>
              </w:rPr>
            </w:pPr>
            <w:r>
              <w:rPr>
                <w:sz w:val="19"/>
              </w:rPr>
              <w:t>Ingreso diario per cápita del hogar</w:t>
            </w:r>
          </w:p>
        </w:tc>
        <w:tc>
          <w:tcPr>
            <w:tcW w:w="1417" w:type="dxa"/>
          </w:tcPr>
          <w:p>
            <w:pPr>
              <w:pStyle w:val="TableParagraph"/>
              <w:spacing w:before="17"/>
              <w:ind w:right="727"/>
              <w:rPr>
                <w:sz w:val="19"/>
              </w:rPr>
            </w:pPr>
            <w:r>
              <w:rPr>
                <w:w w:val="95"/>
                <w:sz w:val="19"/>
              </w:rPr>
              <w:t>127.23</w:t>
            </w:r>
          </w:p>
        </w:tc>
        <w:tc>
          <w:tcPr>
            <w:tcW w:w="1194" w:type="dxa"/>
          </w:tcPr>
          <w:p>
            <w:pPr>
              <w:pStyle w:val="TableParagraph"/>
              <w:spacing w:before="17"/>
              <w:ind w:right="35"/>
              <w:rPr>
                <w:sz w:val="19"/>
              </w:rPr>
            </w:pPr>
            <w:r>
              <w:rPr>
                <w:w w:val="95"/>
                <w:sz w:val="19"/>
              </w:rPr>
              <w:t>73.92</w:t>
            </w:r>
          </w:p>
        </w:tc>
      </w:tr>
      <w:tr>
        <w:trPr>
          <w:trHeight w:val="233" w:hRule="exact"/>
        </w:trPr>
        <w:tc>
          <w:tcPr>
            <w:tcW w:w="3342" w:type="dxa"/>
          </w:tcPr>
          <w:p>
            <w:pPr>
              <w:pStyle w:val="TableParagraph"/>
              <w:spacing w:line="216" w:lineRule="exact"/>
              <w:ind w:left="94"/>
              <w:jc w:val="left"/>
              <w:rPr>
                <w:sz w:val="19"/>
              </w:rPr>
            </w:pPr>
            <w:r>
              <w:rPr>
                <w:sz w:val="19"/>
              </w:rPr>
              <w:t>Proporción de hogares pobres</w:t>
            </w:r>
          </w:p>
        </w:tc>
        <w:tc>
          <w:tcPr>
            <w:tcW w:w="1417" w:type="dxa"/>
          </w:tcPr>
          <w:p>
            <w:pPr>
              <w:pStyle w:val="TableParagraph"/>
              <w:spacing w:line="216" w:lineRule="exact"/>
              <w:ind w:right="727"/>
              <w:rPr>
                <w:sz w:val="19"/>
              </w:rPr>
            </w:pPr>
            <w:r>
              <w:rPr>
                <w:w w:val="95"/>
                <w:sz w:val="19"/>
              </w:rPr>
              <w:t>0.16</w:t>
            </w:r>
          </w:p>
        </w:tc>
        <w:tc>
          <w:tcPr>
            <w:tcW w:w="1194" w:type="dxa"/>
          </w:tcPr>
          <w:p>
            <w:pPr>
              <w:pStyle w:val="TableParagraph"/>
              <w:spacing w:line="216" w:lineRule="exact"/>
              <w:ind w:right="35"/>
              <w:rPr>
                <w:sz w:val="19"/>
              </w:rPr>
            </w:pPr>
            <w:r>
              <w:rPr>
                <w:w w:val="95"/>
                <w:sz w:val="19"/>
              </w:rPr>
              <w:t>0.07</w:t>
            </w:r>
          </w:p>
        </w:tc>
      </w:tr>
      <w:tr>
        <w:trPr>
          <w:trHeight w:val="259" w:hRule="exact"/>
        </w:trPr>
        <w:tc>
          <w:tcPr>
            <w:tcW w:w="3342" w:type="dxa"/>
          </w:tcPr>
          <w:p>
            <w:pPr>
              <w:pStyle w:val="TableParagraph"/>
              <w:ind w:left="94"/>
              <w:jc w:val="left"/>
              <w:rPr>
                <w:sz w:val="19"/>
              </w:rPr>
            </w:pPr>
            <w:r>
              <w:rPr>
                <w:sz w:val="19"/>
              </w:rPr>
              <w:t>Desviación logarítmica media (ingresos)</w:t>
            </w:r>
          </w:p>
        </w:tc>
        <w:tc>
          <w:tcPr>
            <w:tcW w:w="1417" w:type="dxa"/>
          </w:tcPr>
          <w:p>
            <w:pPr>
              <w:pStyle w:val="TableParagraph"/>
              <w:ind w:right="727"/>
              <w:rPr>
                <w:sz w:val="19"/>
              </w:rPr>
            </w:pPr>
            <w:r>
              <w:rPr>
                <w:w w:val="95"/>
                <w:sz w:val="19"/>
              </w:rPr>
              <w:t>0.35</w:t>
            </w:r>
          </w:p>
        </w:tc>
        <w:tc>
          <w:tcPr>
            <w:tcW w:w="1194" w:type="dxa"/>
          </w:tcPr>
          <w:p>
            <w:pPr>
              <w:pStyle w:val="TableParagraph"/>
              <w:ind w:right="35"/>
              <w:rPr>
                <w:sz w:val="19"/>
              </w:rPr>
            </w:pPr>
            <w:r>
              <w:rPr>
                <w:w w:val="95"/>
                <w:sz w:val="19"/>
              </w:rPr>
              <w:t>0.16</w:t>
            </w:r>
          </w:p>
        </w:tc>
      </w:tr>
      <w:tr>
        <w:trPr>
          <w:trHeight w:val="281" w:hRule="exact"/>
        </w:trPr>
        <w:tc>
          <w:tcPr>
            <w:tcW w:w="3342" w:type="dxa"/>
          </w:tcPr>
          <w:p>
            <w:pPr>
              <w:pStyle w:val="TableParagraph"/>
              <w:spacing w:before="24"/>
              <w:ind w:left="94"/>
              <w:jc w:val="left"/>
              <w:rPr>
                <w:i/>
                <w:sz w:val="19"/>
              </w:rPr>
            </w:pPr>
            <w:r>
              <w:rPr>
                <w:i/>
                <w:sz w:val="19"/>
              </w:rPr>
              <w:t>Salarios y horas de trabajo</w:t>
            </w:r>
          </w:p>
        </w:tc>
        <w:tc>
          <w:tcPr>
            <w:tcW w:w="1417" w:type="dxa"/>
          </w:tcPr>
          <w:p>
            <w:pPr/>
          </w:p>
        </w:tc>
        <w:tc>
          <w:tcPr>
            <w:tcW w:w="1194" w:type="dxa"/>
          </w:tcPr>
          <w:p>
            <w:pPr/>
          </w:p>
        </w:tc>
      </w:tr>
      <w:tr>
        <w:trPr>
          <w:trHeight w:val="257" w:hRule="exact"/>
        </w:trPr>
        <w:tc>
          <w:tcPr>
            <w:tcW w:w="3342" w:type="dxa"/>
          </w:tcPr>
          <w:p>
            <w:pPr>
              <w:pStyle w:val="TableParagraph"/>
              <w:spacing w:before="21"/>
              <w:ind w:left="94"/>
              <w:jc w:val="left"/>
              <w:rPr>
                <w:sz w:val="19"/>
              </w:rPr>
            </w:pPr>
            <w:r>
              <w:rPr>
                <w:sz w:val="19"/>
              </w:rPr>
              <w:t>Media de horas trabajadas al mes</w:t>
            </w:r>
          </w:p>
        </w:tc>
        <w:tc>
          <w:tcPr>
            <w:tcW w:w="1417" w:type="dxa"/>
          </w:tcPr>
          <w:p>
            <w:pPr>
              <w:pStyle w:val="TableParagraph"/>
              <w:spacing w:before="21"/>
              <w:ind w:right="727"/>
              <w:rPr>
                <w:sz w:val="19"/>
              </w:rPr>
            </w:pPr>
            <w:r>
              <w:rPr>
                <w:w w:val="95"/>
                <w:sz w:val="19"/>
              </w:rPr>
              <w:t>178.67</w:t>
            </w:r>
          </w:p>
        </w:tc>
        <w:tc>
          <w:tcPr>
            <w:tcW w:w="1194" w:type="dxa"/>
          </w:tcPr>
          <w:p>
            <w:pPr>
              <w:pStyle w:val="TableParagraph"/>
              <w:spacing w:before="21"/>
              <w:ind w:right="35"/>
              <w:rPr>
                <w:sz w:val="19"/>
              </w:rPr>
            </w:pPr>
            <w:r>
              <w:rPr>
                <w:w w:val="95"/>
                <w:sz w:val="19"/>
              </w:rPr>
              <w:t>19.03</w:t>
            </w:r>
          </w:p>
        </w:tc>
      </w:tr>
      <w:tr>
        <w:trPr>
          <w:trHeight w:val="235" w:hRule="exact"/>
        </w:trPr>
        <w:tc>
          <w:tcPr>
            <w:tcW w:w="3342" w:type="dxa"/>
          </w:tcPr>
          <w:p>
            <w:pPr>
              <w:pStyle w:val="TableParagraph"/>
              <w:ind w:left="94"/>
              <w:jc w:val="left"/>
              <w:rPr>
                <w:sz w:val="19"/>
              </w:rPr>
            </w:pPr>
            <w:r>
              <w:rPr>
                <w:sz w:val="19"/>
              </w:rPr>
              <w:t>Mediana de ingresos laborales por hora</w:t>
            </w:r>
          </w:p>
        </w:tc>
        <w:tc>
          <w:tcPr>
            <w:tcW w:w="1417" w:type="dxa"/>
          </w:tcPr>
          <w:p>
            <w:pPr>
              <w:pStyle w:val="TableParagraph"/>
              <w:ind w:right="727"/>
              <w:rPr>
                <w:sz w:val="19"/>
              </w:rPr>
            </w:pPr>
            <w:r>
              <w:rPr>
                <w:w w:val="95"/>
                <w:sz w:val="19"/>
              </w:rPr>
              <w:t>24.93</w:t>
            </w:r>
          </w:p>
        </w:tc>
        <w:tc>
          <w:tcPr>
            <w:tcW w:w="1194" w:type="dxa"/>
          </w:tcPr>
          <w:p>
            <w:pPr>
              <w:pStyle w:val="TableParagraph"/>
              <w:ind w:right="35"/>
              <w:rPr>
                <w:sz w:val="19"/>
              </w:rPr>
            </w:pPr>
            <w:r>
              <w:rPr>
                <w:w w:val="95"/>
                <w:sz w:val="19"/>
              </w:rPr>
              <w:t>17.14</w:t>
            </w:r>
          </w:p>
        </w:tc>
      </w:tr>
      <w:tr>
        <w:trPr>
          <w:trHeight w:val="463" w:hRule="exact"/>
        </w:trPr>
        <w:tc>
          <w:tcPr>
            <w:tcW w:w="3342" w:type="dxa"/>
          </w:tcPr>
          <w:p>
            <w:pPr>
              <w:pStyle w:val="TableParagraph"/>
              <w:ind w:left="94"/>
              <w:jc w:val="left"/>
              <w:rPr>
                <w:i/>
                <w:sz w:val="19"/>
              </w:rPr>
            </w:pPr>
            <w:r>
              <w:rPr>
                <w:i/>
                <w:sz w:val="19"/>
              </w:rPr>
              <w:t>Sociodemográficas</w:t>
            </w:r>
          </w:p>
          <w:p>
            <w:pPr>
              <w:pStyle w:val="TableParagraph"/>
              <w:spacing w:before="12"/>
              <w:ind w:left="94"/>
              <w:jc w:val="left"/>
              <w:rPr>
                <w:sz w:val="19"/>
              </w:rPr>
            </w:pPr>
            <w:r>
              <w:rPr>
                <w:sz w:val="19"/>
              </w:rPr>
              <w:t>Escolaridad promedio</w:t>
            </w:r>
          </w:p>
        </w:tc>
        <w:tc>
          <w:tcPr>
            <w:tcW w:w="1417" w:type="dxa"/>
          </w:tcPr>
          <w:p>
            <w:pPr>
              <w:pStyle w:val="TableParagraph"/>
              <w:jc w:val="left"/>
              <w:rPr>
                <w:i/>
                <w:sz w:val="20"/>
              </w:rPr>
            </w:pPr>
          </w:p>
          <w:p>
            <w:pPr>
              <w:pStyle w:val="TableParagraph"/>
              <w:ind w:right="727"/>
              <w:rPr>
                <w:sz w:val="19"/>
              </w:rPr>
            </w:pPr>
            <w:r>
              <w:rPr>
                <w:w w:val="95"/>
                <w:sz w:val="19"/>
              </w:rPr>
              <w:t>11.78</w:t>
            </w:r>
          </w:p>
        </w:tc>
        <w:tc>
          <w:tcPr>
            <w:tcW w:w="1194" w:type="dxa"/>
          </w:tcPr>
          <w:p>
            <w:pPr>
              <w:pStyle w:val="TableParagraph"/>
              <w:jc w:val="left"/>
              <w:rPr>
                <w:i/>
                <w:sz w:val="20"/>
              </w:rPr>
            </w:pPr>
          </w:p>
          <w:p>
            <w:pPr>
              <w:pStyle w:val="TableParagraph"/>
              <w:ind w:right="35"/>
              <w:rPr>
                <w:sz w:val="19"/>
              </w:rPr>
            </w:pPr>
            <w:r>
              <w:rPr>
                <w:w w:val="95"/>
                <w:sz w:val="19"/>
              </w:rPr>
              <w:t>1.68</w:t>
            </w:r>
          </w:p>
        </w:tc>
      </w:tr>
      <w:tr>
        <w:trPr>
          <w:trHeight w:val="252" w:hRule="exact"/>
        </w:trPr>
        <w:tc>
          <w:tcPr>
            <w:tcW w:w="3342" w:type="dxa"/>
          </w:tcPr>
          <w:p>
            <w:pPr>
              <w:pStyle w:val="TableParagraph"/>
              <w:spacing w:line="216" w:lineRule="exact"/>
              <w:ind w:left="94"/>
              <w:jc w:val="left"/>
              <w:rPr>
                <w:sz w:val="19"/>
              </w:rPr>
            </w:pPr>
            <w:r>
              <w:rPr>
                <w:sz w:val="19"/>
              </w:rPr>
              <w:t>Porcentaje de población indígena</w:t>
            </w:r>
          </w:p>
        </w:tc>
        <w:tc>
          <w:tcPr>
            <w:tcW w:w="1417" w:type="dxa"/>
          </w:tcPr>
          <w:p>
            <w:pPr>
              <w:pStyle w:val="TableParagraph"/>
              <w:spacing w:line="216" w:lineRule="exact"/>
              <w:ind w:right="727"/>
              <w:rPr>
                <w:sz w:val="19"/>
              </w:rPr>
            </w:pPr>
            <w:r>
              <w:rPr>
                <w:w w:val="95"/>
                <w:sz w:val="19"/>
              </w:rPr>
              <w:t>2.75</w:t>
            </w:r>
          </w:p>
        </w:tc>
        <w:tc>
          <w:tcPr>
            <w:tcW w:w="1194" w:type="dxa"/>
          </w:tcPr>
          <w:p>
            <w:pPr>
              <w:pStyle w:val="TableParagraph"/>
              <w:spacing w:line="216" w:lineRule="exact"/>
              <w:ind w:right="35"/>
              <w:rPr>
                <w:sz w:val="19"/>
              </w:rPr>
            </w:pPr>
            <w:r>
              <w:rPr>
                <w:w w:val="95"/>
                <w:sz w:val="19"/>
              </w:rPr>
              <w:t>3.86</w:t>
            </w:r>
          </w:p>
        </w:tc>
      </w:tr>
      <w:tr>
        <w:trPr>
          <w:trHeight w:val="274" w:hRule="exact"/>
        </w:trPr>
        <w:tc>
          <w:tcPr>
            <w:tcW w:w="3342" w:type="dxa"/>
          </w:tcPr>
          <w:p>
            <w:pPr>
              <w:pStyle w:val="TableParagraph"/>
              <w:spacing w:before="19"/>
              <w:ind w:left="94"/>
              <w:jc w:val="left"/>
              <w:rPr>
                <w:i/>
                <w:sz w:val="19"/>
              </w:rPr>
            </w:pPr>
            <w:r>
              <w:rPr>
                <w:i/>
                <w:sz w:val="19"/>
              </w:rPr>
              <w:t>Empleo (promedios)</w:t>
            </w:r>
          </w:p>
        </w:tc>
        <w:tc>
          <w:tcPr>
            <w:tcW w:w="1417" w:type="dxa"/>
          </w:tcPr>
          <w:p>
            <w:pPr/>
          </w:p>
        </w:tc>
        <w:tc>
          <w:tcPr>
            <w:tcW w:w="1194" w:type="dxa"/>
          </w:tcPr>
          <w:p>
            <w:pPr/>
          </w:p>
        </w:tc>
      </w:tr>
      <w:tr>
        <w:trPr>
          <w:trHeight w:val="252" w:hRule="exact"/>
        </w:trPr>
        <w:tc>
          <w:tcPr>
            <w:tcW w:w="3342" w:type="dxa"/>
          </w:tcPr>
          <w:p>
            <w:pPr>
              <w:pStyle w:val="TableParagraph"/>
              <w:spacing w:before="19"/>
              <w:ind w:left="94"/>
              <w:jc w:val="left"/>
              <w:rPr>
                <w:sz w:val="19"/>
              </w:rPr>
            </w:pPr>
            <w:r>
              <w:rPr>
                <w:sz w:val="19"/>
              </w:rPr>
              <w:t>% empleo informal</w:t>
            </w:r>
          </w:p>
        </w:tc>
        <w:tc>
          <w:tcPr>
            <w:tcW w:w="1417" w:type="dxa"/>
          </w:tcPr>
          <w:p>
            <w:pPr>
              <w:pStyle w:val="TableParagraph"/>
              <w:spacing w:before="19"/>
              <w:ind w:right="727"/>
              <w:rPr>
                <w:sz w:val="19"/>
              </w:rPr>
            </w:pPr>
            <w:r>
              <w:rPr>
                <w:w w:val="95"/>
                <w:sz w:val="19"/>
              </w:rPr>
              <w:t>30.28</w:t>
            </w:r>
          </w:p>
        </w:tc>
        <w:tc>
          <w:tcPr>
            <w:tcW w:w="1194" w:type="dxa"/>
          </w:tcPr>
          <w:p>
            <w:pPr>
              <w:pStyle w:val="TableParagraph"/>
              <w:spacing w:before="19"/>
              <w:ind w:right="35"/>
              <w:rPr>
                <w:sz w:val="19"/>
              </w:rPr>
            </w:pPr>
            <w:r>
              <w:rPr>
                <w:w w:val="95"/>
                <w:sz w:val="19"/>
              </w:rPr>
              <w:t>11.37</w:t>
            </w:r>
          </w:p>
        </w:tc>
      </w:tr>
      <w:tr>
        <w:trPr>
          <w:trHeight w:val="233" w:hRule="exact"/>
        </w:trPr>
        <w:tc>
          <w:tcPr>
            <w:tcW w:w="3342" w:type="dxa"/>
          </w:tcPr>
          <w:p>
            <w:pPr>
              <w:pStyle w:val="TableParagraph"/>
              <w:spacing w:line="216" w:lineRule="exact"/>
              <w:ind w:left="94"/>
              <w:jc w:val="left"/>
              <w:rPr>
                <w:sz w:val="19"/>
              </w:rPr>
            </w:pPr>
            <w:r>
              <w:rPr>
                <w:sz w:val="19"/>
              </w:rPr>
              <w:t>% trabajadores por cuenta propia</w:t>
            </w:r>
          </w:p>
        </w:tc>
        <w:tc>
          <w:tcPr>
            <w:tcW w:w="1417" w:type="dxa"/>
          </w:tcPr>
          <w:p>
            <w:pPr>
              <w:pStyle w:val="TableParagraph"/>
              <w:spacing w:line="216" w:lineRule="exact"/>
              <w:ind w:right="729"/>
              <w:rPr>
                <w:sz w:val="19"/>
              </w:rPr>
            </w:pPr>
            <w:r>
              <w:rPr>
                <w:w w:val="95"/>
                <w:sz w:val="19"/>
              </w:rPr>
              <w:t>18.4</w:t>
            </w:r>
          </w:p>
        </w:tc>
        <w:tc>
          <w:tcPr>
            <w:tcW w:w="1194" w:type="dxa"/>
          </w:tcPr>
          <w:p>
            <w:pPr>
              <w:pStyle w:val="TableParagraph"/>
              <w:spacing w:line="216" w:lineRule="exact"/>
              <w:ind w:right="35"/>
              <w:rPr>
                <w:sz w:val="19"/>
              </w:rPr>
            </w:pPr>
            <w:r>
              <w:rPr>
                <w:w w:val="95"/>
                <w:sz w:val="19"/>
              </w:rPr>
              <w:t>7.28</w:t>
            </w:r>
          </w:p>
        </w:tc>
      </w:tr>
      <w:tr>
        <w:trPr>
          <w:trHeight w:val="235" w:hRule="exact"/>
        </w:trPr>
        <w:tc>
          <w:tcPr>
            <w:tcW w:w="3342" w:type="dxa"/>
          </w:tcPr>
          <w:p>
            <w:pPr>
              <w:pStyle w:val="TableParagraph"/>
              <w:ind w:left="94"/>
              <w:jc w:val="left"/>
              <w:rPr>
                <w:sz w:val="19"/>
              </w:rPr>
            </w:pPr>
            <w:r>
              <w:rPr>
                <w:sz w:val="19"/>
              </w:rPr>
              <w:t>% trabajadores asalariados</w:t>
            </w:r>
          </w:p>
        </w:tc>
        <w:tc>
          <w:tcPr>
            <w:tcW w:w="1417" w:type="dxa"/>
          </w:tcPr>
          <w:p>
            <w:pPr>
              <w:pStyle w:val="TableParagraph"/>
              <w:ind w:right="727"/>
              <w:rPr>
                <w:sz w:val="19"/>
              </w:rPr>
            </w:pPr>
            <w:r>
              <w:rPr>
                <w:w w:val="95"/>
                <w:sz w:val="19"/>
              </w:rPr>
              <w:t>76.03</w:t>
            </w:r>
          </w:p>
        </w:tc>
        <w:tc>
          <w:tcPr>
            <w:tcW w:w="1194" w:type="dxa"/>
          </w:tcPr>
          <w:p>
            <w:pPr>
              <w:pStyle w:val="TableParagraph"/>
              <w:ind w:right="35"/>
              <w:rPr>
                <w:sz w:val="19"/>
              </w:rPr>
            </w:pPr>
            <w:r>
              <w:rPr>
                <w:w w:val="95"/>
                <w:sz w:val="19"/>
              </w:rPr>
              <w:t>8.57</w:t>
            </w:r>
          </w:p>
        </w:tc>
      </w:tr>
      <w:tr>
        <w:trPr>
          <w:trHeight w:val="233" w:hRule="exact"/>
        </w:trPr>
        <w:tc>
          <w:tcPr>
            <w:tcW w:w="3342" w:type="dxa"/>
          </w:tcPr>
          <w:p>
            <w:pPr>
              <w:pStyle w:val="TableParagraph"/>
              <w:ind w:left="94"/>
              <w:jc w:val="left"/>
              <w:rPr>
                <w:sz w:val="19"/>
              </w:rPr>
            </w:pPr>
            <w:r>
              <w:rPr>
                <w:sz w:val="19"/>
              </w:rPr>
              <w:t>% trabajadores familiares</w:t>
            </w:r>
          </w:p>
        </w:tc>
        <w:tc>
          <w:tcPr>
            <w:tcW w:w="1417" w:type="dxa"/>
          </w:tcPr>
          <w:p>
            <w:pPr>
              <w:pStyle w:val="TableParagraph"/>
              <w:ind w:right="727"/>
              <w:rPr>
                <w:sz w:val="19"/>
              </w:rPr>
            </w:pPr>
            <w:r>
              <w:rPr>
                <w:w w:val="95"/>
                <w:sz w:val="19"/>
              </w:rPr>
              <w:t>1.15</w:t>
            </w:r>
          </w:p>
        </w:tc>
        <w:tc>
          <w:tcPr>
            <w:tcW w:w="1194" w:type="dxa"/>
          </w:tcPr>
          <w:p>
            <w:pPr>
              <w:pStyle w:val="TableParagraph"/>
              <w:ind w:right="35"/>
              <w:rPr>
                <w:sz w:val="19"/>
              </w:rPr>
            </w:pPr>
            <w:r>
              <w:rPr>
                <w:w w:val="95"/>
                <w:sz w:val="19"/>
              </w:rPr>
              <w:t>1.79</w:t>
            </w:r>
          </w:p>
        </w:tc>
      </w:tr>
      <w:tr>
        <w:trPr>
          <w:trHeight w:val="233" w:hRule="exact"/>
        </w:trPr>
        <w:tc>
          <w:tcPr>
            <w:tcW w:w="3342" w:type="dxa"/>
          </w:tcPr>
          <w:p>
            <w:pPr>
              <w:pStyle w:val="TableParagraph"/>
              <w:spacing w:line="216" w:lineRule="exact"/>
              <w:ind w:left="94"/>
              <w:jc w:val="left"/>
              <w:rPr>
                <w:sz w:val="19"/>
              </w:rPr>
            </w:pPr>
            <w:r>
              <w:rPr>
                <w:sz w:val="19"/>
              </w:rPr>
              <w:t>% desempleados</w:t>
            </w:r>
          </w:p>
        </w:tc>
        <w:tc>
          <w:tcPr>
            <w:tcW w:w="1417" w:type="dxa"/>
          </w:tcPr>
          <w:p>
            <w:pPr>
              <w:pStyle w:val="TableParagraph"/>
              <w:spacing w:line="216" w:lineRule="exact"/>
              <w:ind w:right="727"/>
              <w:rPr>
                <w:sz w:val="19"/>
              </w:rPr>
            </w:pPr>
            <w:r>
              <w:rPr>
                <w:w w:val="95"/>
                <w:sz w:val="19"/>
              </w:rPr>
              <w:t>2.02</w:t>
            </w:r>
          </w:p>
        </w:tc>
        <w:tc>
          <w:tcPr>
            <w:tcW w:w="1194" w:type="dxa"/>
          </w:tcPr>
          <w:p>
            <w:pPr>
              <w:pStyle w:val="TableParagraph"/>
              <w:spacing w:line="216" w:lineRule="exact"/>
              <w:ind w:right="35"/>
              <w:rPr>
                <w:sz w:val="19"/>
              </w:rPr>
            </w:pPr>
            <w:r>
              <w:rPr>
                <w:w w:val="95"/>
                <w:sz w:val="19"/>
              </w:rPr>
              <w:t>2.27</w:t>
            </w:r>
          </w:p>
        </w:tc>
      </w:tr>
      <w:tr>
        <w:trPr>
          <w:trHeight w:val="254" w:hRule="exact"/>
        </w:trPr>
        <w:tc>
          <w:tcPr>
            <w:tcW w:w="3342" w:type="dxa"/>
          </w:tcPr>
          <w:p>
            <w:pPr>
              <w:pStyle w:val="TableParagraph"/>
              <w:ind w:left="94"/>
              <w:jc w:val="left"/>
              <w:rPr>
                <w:sz w:val="19"/>
              </w:rPr>
            </w:pPr>
            <w:r>
              <w:rPr>
                <w:sz w:val="19"/>
              </w:rPr>
              <w:t>% trabajadores marginales</w:t>
            </w:r>
          </w:p>
        </w:tc>
        <w:tc>
          <w:tcPr>
            <w:tcW w:w="1417" w:type="dxa"/>
          </w:tcPr>
          <w:p>
            <w:pPr>
              <w:pStyle w:val="TableParagraph"/>
              <w:ind w:right="727"/>
              <w:rPr>
                <w:sz w:val="19"/>
              </w:rPr>
            </w:pPr>
            <w:r>
              <w:rPr>
                <w:w w:val="95"/>
                <w:sz w:val="19"/>
              </w:rPr>
              <w:t>27.63</w:t>
            </w:r>
          </w:p>
        </w:tc>
        <w:tc>
          <w:tcPr>
            <w:tcW w:w="1194" w:type="dxa"/>
          </w:tcPr>
          <w:p>
            <w:pPr>
              <w:pStyle w:val="TableParagraph"/>
              <w:ind w:right="35"/>
              <w:rPr>
                <w:sz w:val="19"/>
              </w:rPr>
            </w:pPr>
            <w:r>
              <w:rPr>
                <w:w w:val="95"/>
                <w:sz w:val="19"/>
              </w:rPr>
              <w:t>8.65</w:t>
            </w:r>
          </w:p>
        </w:tc>
      </w:tr>
      <w:tr>
        <w:trPr>
          <w:trHeight w:val="271" w:hRule="exact"/>
        </w:trPr>
        <w:tc>
          <w:tcPr>
            <w:tcW w:w="3342" w:type="dxa"/>
          </w:tcPr>
          <w:p>
            <w:pPr>
              <w:pStyle w:val="TableParagraph"/>
              <w:spacing w:before="19"/>
              <w:ind w:left="94"/>
              <w:jc w:val="left"/>
              <w:rPr>
                <w:i/>
                <w:sz w:val="19"/>
              </w:rPr>
            </w:pPr>
            <w:r>
              <w:rPr>
                <w:i/>
                <w:sz w:val="19"/>
              </w:rPr>
              <w:t>Género y composición del hogar</w:t>
            </w:r>
          </w:p>
        </w:tc>
        <w:tc>
          <w:tcPr>
            <w:tcW w:w="1417" w:type="dxa"/>
          </w:tcPr>
          <w:p>
            <w:pPr/>
          </w:p>
        </w:tc>
        <w:tc>
          <w:tcPr>
            <w:tcW w:w="1194" w:type="dxa"/>
          </w:tcPr>
          <w:p>
            <w:pPr/>
          </w:p>
        </w:tc>
      </w:tr>
      <w:tr>
        <w:trPr>
          <w:trHeight w:val="252" w:hRule="exact"/>
        </w:trPr>
        <w:tc>
          <w:tcPr>
            <w:tcW w:w="3342" w:type="dxa"/>
          </w:tcPr>
          <w:p>
            <w:pPr>
              <w:pStyle w:val="TableParagraph"/>
              <w:spacing w:before="17"/>
              <w:ind w:left="94"/>
              <w:jc w:val="left"/>
              <w:rPr>
                <w:sz w:val="19"/>
              </w:rPr>
            </w:pPr>
            <w:r>
              <w:rPr>
                <w:sz w:val="19"/>
              </w:rPr>
              <w:t>% participación laboral femenina</w:t>
            </w:r>
          </w:p>
        </w:tc>
        <w:tc>
          <w:tcPr>
            <w:tcW w:w="1417" w:type="dxa"/>
          </w:tcPr>
          <w:p>
            <w:pPr>
              <w:pStyle w:val="TableParagraph"/>
              <w:spacing w:before="17"/>
              <w:ind w:right="727"/>
              <w:rPr>
                <w:sz w:val="19"/>
              </w:rPr>
            </w:pPr>
            <w:r>
              <w:rPr>
                <w:w w:val="95"/>
                <w:sz w:val="19"/>
              </w:rPr>
              <w:t>56</w:t>
            </w:r>
          </w:p>
        </w:tc>
        <w:tc>
          <w:tcPr>
            <w:tcW w:w="1194" w:type="dxa"/>
          </w:tcPr>
          <w:p>
            <w:pPr>
              <w:pStyle w:val="TableParagraph"/>
              <w:spacing w:before="17"/>
              <w:ind w:right="36"/>
              <w:rPr>
                <w:sz w:val="19"/>
              </w:rPr>
            </w:pPr>
            <w:r>
              <w:rPr>
                <w:w w:val="98"/>
                <w:sz w:val="19"/>
              </w:rPr>
              <w:t>8</w:t>
            </w:r>
          </w:p>
        </w:tc>
      </w:tr>
      <w:tr>
        <w:trPr>
          <w:trHeight w:val="233" w:hRule="exact"/>
        </w:trPr>
        <w:tc>
          <w:tcPr>
            <w:tcW w:w="3342" w:type="dxa"/>
          </w:tcPr>
          <w:p>
            <w:pPr>
              <w:pStyle w:val="TableParagraph"/>
              <w:ind w:left="94"/>
              <w:jc w:val="left"/>
              <w:rPr>
                <w:sz w:val="19"/>
              </w:rPr>
            </w:pPr>
            <w:r>
              <w:rPr>
                <w:sz w:val="19"/>
              </w:rPr>
              <w:t>% jefatura de hogar femenina</w:t>
            </w:r>
          </w:p>
        </w:tc>
        <w:tc>
          <w:tcPr>
            <w:tcW w:w="1417" w:type="dxa"/>
          </w:tcPr>
          <w:p>
            <w:pPr>
              <w:pStyle w:val="TableParagraph"/>
              <w:ind w:right="727"/>
              <w:rPr>
                <w:sz w:val="19"/>
              </w:rPr>
            </w:pPr>
            <w:r>
              <w:rPr>
                <w:w w:val="95"/>
                <w:sz w:val="19"/>
              </w:rPr>
              <w:t>26.35</w:t>
            </w:r>
          </w:p>
        </w:tc>
        <w:tc>
          <w:tcPr>
            <w:tcW w:w="1194" w:type="dxa"/>
          </w:tcPr>
          <w:p>
            <w:pPr>
              <w:pStyle w:val="TableParagraph"/>
              <w:ind w:right="35"/>
              <w:rPr>
                <w:sz w:val="19"/>
              </w:rPr>
            </w:pPr>
            <w:r>
              <w:rPr>
                <w:w w:val="95"/>
                <w:sz w:val="19"/>
              </w:rPr>
              <w:t>10.82</w:t>
            </w:r>
          </w:p>
        </w:tc>
      </w:tr>
      <w:tr>
        <w:trPr>
          <w:trHeight w:val="252" w:hRule="exact"/>
        </w:trPr>
        <w:tc>
          <w:tcPr>
            <w:tcW w:w="3342" w:type="dxa"/>
          </w:tcPr>
          <w:p>
            <w:pPr>
              <w:pStyle w:val="TableParagraph"/>
              <w:spacing w:line="216" w:lineRule="exact"/>
              <w:ind w:left="94"/>
              <w:jc w:val="left"/>
              <w:rPr>
                <w:sz w:val="19"/>
              </w:rPr>
            </w:pPr>
            <w:r>
              <w:rPr>
                <w:sz w:val="19"/>
              </w:rPr>
              <w:t>Tamaño promedio del hogar</w:t>
            </w:r>
          </w:p>
        </w:tc>
        <w:tc>
          <w:tcPr>
            <w:tcW w:w="1417" w:type="dxa"/>
          </w:tcPr>
          <w:p>
            <w:pPr>
              <w:pStyle w:val="TableParagraph"/>
              <w:spacing w:line="216" w:lineRule="exact"/>
              <w:ind w:right="728"/>
              <w:rPr>
                <w:sz w:val="19"/>
              </w:rPr>
            </w:pPr>
            <w:r>
              <w:rPr>
                <w:w w:val="95"/>
                <w:sz w:val="19"/>
              </w:rPr>
              <w:t>3.8</w:t>
            </w:r>
          </w:p>
        </w:tc>
        <w:tc>
          <w:tcPr>
            <w:tcW w:w="1194" w:type="dxa"/>
          </w:tcPr>
          <w:p>
            <w:pPr>
              <w:pStyle w:val="TableParagraph"/>
              <w:spacing w:line="216" w:lineRule="exact"/>
              <w:ind w:right="35"/>
              <w:rPr>
                <w:sz w:val="19"/>
              </w:rPr>
            </w:pPr>
            <w:r>
              <w:rPr>
                <w:w w:val="95"/>
                <w:sz w:val="19"/>
              </w:rPr>
              <w:t>0.54</w:t>
            </w:r>
          </w:p>
        </w:tc>
      </w:tr>
      <w:tr>
        <w:trPr>
          <w:trHeight w:val="274" w:hRule="exact"/>
        </w:trPr>
        <w:tc>
          <w:tcPr>
            <w:tcW w:w="3342" w:type="dxa"/>
          </w:tcPr>
          <w:p>
            <w:pPr>
              <w:pStyle w:val="TableParagraph"/>
              <w:spacing w:before="19"/>
              <w:ind w:left="94"/>
              <w:jc w:val="left"/>
              <w:rPr>
                <w:i/>
                <w:sz w:val="19"/>
              </w:rPr>
            </w:pPr>
            <w:r>
              <w:rPr>
                <w:i/>
                <w:sz w:val="19"/>
              </w:rPr>
              <w:t>Vivienda</w:t>
            </w:r>
          </w:p>
        </w:tc>
        <w:tc>
          <w:tcPr>
            <w:tcW w:w="1417" w:type="dxa"/>
          </w:tcPr>
          <w:p>
            <w:pPr/>
          </w:p>
        </w:tc>
        <w:tc>
          <w:tcPr>
            <w:tcW w:w="1194" w:type="dxa"/>
          </w:tcPr>
          <w:p>
            <w:pPr/>
          </w:p>
        </w:tc>
      </w:tr>
      <w:tr>
        <w:trPr>
          <w:trHeight w:val="252" w:hRule="exact"/>
        </w:trPr>
        <w:tc>
          <w:tcPr>
            <w:tcW w:w="3342" w:type="dxa"/>
          </w:tcPr>
          <w:p>
            <w:pPr>
              <w:pStyle w:val="TableParagraph"/>
              <w:spacing w:before="19"/>
              <w:ind w:left="94"/>
              <w:jc w:val="left"/>
              <w:rPr>
                <w:sz w:val="19"/>
              </w:rPr>
            </w:pPr>
            <w:r>
              <w:rPr>
                <w:sz w:val="19"/>
              </w:rPr>
              <w:t>% con todos los servicios</w:t>
            </w:r>
          </w:p>
        </w:tc>
        <w:tc>
          <w:tcPr>
            <w:tcW w:w="1417" w:type="dxa"/>
          </w:tcPr>
          <w:p>
            <w:pPr>
              <w:pStyle w:val="TableParagraph"/>
              <w:spacing w:before="19"/>
              <w:ind w:right="727"/>
              <w:rPr>
                <w:sz w:val="19"/>
              </w:rPr>
            </w:pPr>
            <w:r>
              <w:rPr>
                <w:w w:val="95"/>
                <w:sz w:val="19"/>
              </w:rPr>
              <w:t>80.44</w:t>
            </w:r>
          </w:p>
        </w:tc>
        <w:tc>
          <w:tcPr>
            <w:tcW w:w="1194" w:type="dxa"/>
          </w:tcPr>
          <w:p>
            <w:pPr>
              <w:pStyle w:val="TableParagraph"/>
              <w:spacing w:before="19"/>
              <w:ind w:right="35"/>
              <w:rPr>
                <w:sz w:val="19"/>
              </w:rPr>
            </w:pPr>
            <w:r>
              <w:rPr>
                <w:w w:val="95"/>
                <w:sz w:val="19"/>
              </w:rPr>
              <w:t>17.97</w:t>
            </w:r>
          </w:p>
        </w:tc>
      </w:tr>
      <w:tr>
        <w:trPr>
          <w:trHeight w:val="233" w:hRule="exact"/>
        </w:trPr>
        <w:tc>
          <w:tcPr>
            <w:tcW w:w="3342" w:type="dxa"/>
          </w:tcPr>
          <w:p>
            <w:pPr>
              <w:pStyle w:val="TableParagraph"/>
              <w:spacing w:line="216" w:lineRule="exact"/>
              <w:ind w:left="94"/>
              <w:jc w:val="left"/>
              <w:rPr>
                <w:sz w:val="19"/>
              </w:rPr>
            </w:pPr>
            <w:r>
              <w:rPr>
                <w:sz w:val="19"/>
              </w:rPr>
              <w:t>% vivienda propia</w:t>
            </w:r>
          </w:p>
        </w:tc>
        <w:tc>
          <w:tcPr>
            <w:tcW w:w="1417" w:type="dxa"/>
          </w:tcPr>
          <w:p>
            <w:pPr>
              <w:pStyle w:val="TableParagraph"/>
              <w:spacing w:line="216" w:lineRule="exact"/>
              <w:ind w:right="727"/>
              <w:rPr>
                <w:sz w:val="19"/>
              </w:rPr>
            </w:pPr>
            <w:r>
              <w:rPr>
                <w:w w:val="95"/>
                <w:sz w:val="19"/>
              </w:rPr>
              <w:t>75.27</w:t>
            </w:r>
          </w:p>
        </w:tc>
        <w:tc>
          <w:tcPr>
            <w:tcW w:w="1194" w:type="dxa"/>
          </w:tcPr>
          <w:p>
            <w:pPr>
              <w:pStyle w:val="TableParagraph"/>
              <w:spacing w:line="216" w:lineRule="exact"/>
              <w:ind w:right="35"/>
              <w:rPr>
                <w:sz w:val="19"/>
              </w:rPr>
            </w:pPr>
            <w:r>
              <w:rPr>
                <w:w w:val="95"/>
                <w:sz w:val="19"/>
              </w:rPr>
              <w:t>19.65</w:t>
            </w:r>
          </w:p>
        </w:tc>
      </w:tr>
      <w:tr>
        <w:trPr>
          <w:trHeight w:val="233" w:hRule="exact"/>
        </w:trPr>
        <w:tc>
          <w:tcPr>
            <w:tcW w:w="3342" w:type="dxa"/>
          </w:tcPr>
          <w:p>
            <w:pPr>
              <w:pStyle w:val="TableParagraph"/>
              <w:ind w:left="94"/>
              <w:jc w:val="left"/>
              <w:rPr>
                <w:sz w:val="19"/>
              </w:rPr>
            </w:pPr>
            <w:r>
              <w:rPr>
                <w:sz w:val="19"/>
              </w:rPr>
              <w:t>% renta</w:t>
            </w:r>
          </w:p>
        </w:tc>
        <w:tc>
          <w:tcPr>
            <w:tcW w:w="1417" w:type="dxa"/>
          </w:tcPr>
          <w:p>
            <w:pPr>
              <w:pStyle w:val="TableParagraph"/>
              <w:ind w:right="727"/>
              <w:rPr>
                <w:sz w:val="19"/>
              </w:rPr>
            </w:pPr>
            <w:r>
              <w:rPr>
                <w:w w:val="95"/>
                <w:sz w:val="19"/>
              </w:rPr>
              <w:t>20.41</w:t>
            </w:r>
          </w:p>
        </w:tc>
        <w:tc>
          <w:tcPr>
            <w:tcW w:w="1194" w:type="dxa"/>
          </w:tcPr>
          <w:p>
            <w:pPr>
              <w:pStyle w:val="TableParagraph"/>
              <w:ind w:right="35"/>
              <w:rPr>
                <w:sz w:val="19"/>
              </w:rPr>
            </w:pPr>
            <w:r>
              <w:rPr>
                <w:w w:val="95"/>
                <w:sz w:val="19"/>
              </w:rPr>
              <w:t>15.25</w:t>
            </w:r>
          </w:p>
        </w:tc>
      </w:tr>
      <w:tr>
        <w:trPr>
          <w:trHeight w:val="233" w:hRule="exact"/>
        </w:trPr>
        <w:tc>
          <w:tcPr>
            <w:tcW w:w="3342" w:type="dxa"/>
          </w:tcPr>
          <w:p>
            <w:pPr>
              <w:pStyle w:val="TableParagraph"/>
              <w:spacing w:line="216" w:lineRule="exact"/>
              <w:ind w:left="94"/>
              <w:jc w:val="left"/>
              <w:rPr>
                <w:sz w:val="19"/>
              </w:rPr>
            </w:pPr>
            <w:r>
              <w:rPr>
                <w:sz w:val="19"/>
              </w:rPr>
              <w:t>% unidades cinco años de edad o menos</w:t>
            </w:r>
          </w:p>
        </w:tc>
        <w:tc>
          <w:tcPr>
            <w:tcW w:w="1417" w:type="dxa"/>
          </w:tcPr>
          <w:p>
            <w:pPr>
              <w:pStyle w:val="TableParagraph"/>
              <w:spacing w:line="216" w:lineRule="exact"/>
              <w:ind w:right="727"/>
              <w:rPr>
                <w:sz w:val="19"/>
              </w:rPr>
            </w:pPr>
            <w:r>
              <w:rPr>
                <w:w w:val="95"/>
                <w:sz w:val="19"/>
              </w:rPr>
              <w:t>10.58</w:t>
            </w:r>
          </w:p>
        </w:tc>
        <w:tc>
          <w:tcPr>
            <w:tcW w:w="1194" w:type="dxa"/>
          </w:tcPr>
          <w:p>
            <w:pPr>
              <w:pStyle w:val="TableParagraph"/>
              <w:spacing w:line="216" w:lineRule="exact"/>
              <w:ind w:right="36"/>
              <w:rPr>
                <w:sz w:val="19"/>
              </w:rPr>
            </w:pPr>
            <w:r>
              <w:rPr>
                <w:w w:val="95"/>
                <w:sz w:val="19"/>
              </w:rPr>
              <w:t>19.9</w:t>
            </w:r>
          </w:p>
        </w:tc>
      </w:tr>
      <w:tr>
        <w:trPr>
          <w:trHeight w:val="235" w:hRule="exact"/>
        </w:trPr>
        <w:tc>
          <w:tcPr>
            <w:tcW w:w="3342" w:type="dxa"/>
          </w:tcPr>
          <w:p>
            <w:pPr>
              <w:pStyle w:val="TableParagraph"/>
              <w:ind w:left="94"/>
              <w:jc w:val="left"/>
              <w:rPr>
                <w:sz w:val="19"/>
              </w:rPr>
            </w:pPr>
            <w:r>
              <w:rPr>
                <w:sz w:val="19"/>
              </w:rPr>
              <w:t>% unidades 10 años de edad o menos</w:t>
            </w:r>
          </w:p>
        </w:tc>
        <w:tc>
          <w:tcPr>
            <w:tcW w:w="1417" w:type="dxa"/>
          </w:tcPr>
          <w:p>
            <w:pPr>
              <w:pStyle w:val="TableParagraph"/>
              <w:ind w:right="727"/>
              <w:rPr>
                <w:sz w:val="19"/>
              </w:rPr>
            </w:pPr>
            <w:r>
              <w:rPr>
                <w:w w:val="95"/>
                <w:sz w:val="19"/>
              </w:rPr>
              <w:t>46.45</w:t>
            </w:r>
          </w:p>
        </w:tc>
        <w:tc>
          <w:tcPr>
            <w:tcW w:w="1194" w:type="dxa"/>
          </w:tcPr>
          <w:p>
            <w:pPr>
              <w:pStyle w:val="TableParagraph"/>
              <w:ind w:right="35"/>
              <w:rPr>
                <w:sz w:val="19"/>
              </w:rPr>
            </w:pPr>
            <w:r>
              <w:rPr>
                <w:w w:val="95"/>
                <w:sz w:val="19"/>
              </w:rPr>
              <w:t>41.05</w:t>
            </w:r>
          </w:p>
        </w:tc>
      </w:tr>
      <w:tr>
        <w:trPr>
          <w:trHeight w:val="230" w:hRule="exact"/>
        </w:trPr>
        <w:tc>
          <w:tcPr>
            <w:tcW w:w="3342" w:type="dxa"/>
            <w:tcBorders>
              <w:bottom w:val="single" w:sz="4" w:space="0" w:color="000000"/>
            </w:tcBorders>
          </w:tcPr>
          <w:p>
            <w:pPr>
              <w:pStyle w:val="TableParagraph"/>
              <w:ind w:left="94"/>
              <w:jc w:val="left"/>
              <w:rPr>
                <w:sz w:val="19"/>
              </w:rPr>
            </w:pPr>
            <w:r>
              <w:rPr>
                <w:sz w:val="19"/>
              </w:rPr>
              <w:t>N*</w:t>
            </w:r>
          </w:p>
        </w:tc>
        <w:tc>
          <w:tcPr>
            <w:tcW w:w="1417" w:type="dxa"/>
            <w:tcBorders>
              <w:bottom w:val="single" w:sz="4" w:space="0" w:color="000000"/>
            </w:tcBorders>
          </w:tcPr>
          <w:p>
            <w:pPr>
              <w:pStyle w:val="TableParagraph"/>
              <w:ind w:right="727"/>
              <w:rPr>
                <w:sz w:val="19"/>
              </w:rPr>
            </w:pPr>
            <w:r>
              <w:rPr>
                <w:w w:val="95"/>
                <w:sz w:val="19"/>
              </w:rPr>
              <w:t>265</w:t>
            </w:r>
          </w:p>
        </w:tc>
        <w:tc>
          <w:tcPr>
            <w:tcW w:w="1194" w:type="dxa"/>
            <w:tcBorders>
              <w:bottom w:val="single" w:sz="4" w:space="0" w:color="000000"/>
            </w:tcBorders>
          </w:tcPr>
          <w:p>
            <w:pPr/>
          </w:p>
        </w:tc>
      </w:tr>
      <w:tr>
        <w:trPr>
          <w:trHeight w:val="285" w:hRule="exact"/>
        </w:trPr>
        <w:tc>
          <w:tcPr>
            <w:tcW w:w="3342" w:type="dxa"/>
            <w:tcBorders>
              <w:top w:val="single" w:sz="4" w:space="0" w:color="000000"/>
            </w:tcBorders>
          </w:tcPr>
          <w:p>
            <w:pPr>
              <w:pStyle w:val="TableParagraph"/>
              <w:spacing w:line="183" w:lineRule="exact"/>
              <w:ind w:left="94"/>
              <w:jc w:val="left"/>
              <w:rPr>
                <w:sz w:val="16"/>
              </w:rPr>
            </w:pPr>
            <w:r>
              <w:rPr>
                <w:sz w:val="16"/>
              </w:rPr>
              <w:t>* A través de todas las variables.</w:t>
            </w:r>
          </w:p>
        </w:tc>
        <w:tc>
          <w:tcPr>
            <w:tcW w:w="1417" w:type="dxa"/>
            <w:tcBorders>
              <w:top w:val="single" w:sz="4" w:space="0" w:color="000000"/>
            </w:tcBorders>
          </w:tcPr>
          <w:p>
            <w:pPr/>
          </w:p>
        </w:tc>
        <w:tc>
          <w:tcPr>
            <w:tcW w:w="1194" w:type="dxa"/>
            <w:tcBorders>
              <w:top w:val="single" w:sz="4" w:space="0" w:color="000000"/>
            </w:tcBorders>
          </w:tcPr>
          <w:p>
            <w:pPr/>
          </w:p>
        </w:tc>
      </w:tr>
    </w:tbl>
    <w:p>
      <w:pPr>
        <w:pStyle w:val="BodyText"/>
        <w:spacing w:line="249" w:lineRule="auto" w:before="86"/>
        <w:ind w:left="206" w:right="191" w:firstLine="283"/>
        <w:jc w:val="both"/>
      </w:pPr>
      <w:r>
        <w:rPr>
          <w:color w:val="231F20"/>
        </w:rPr>
        <w:t>Por otro lado, es notorio que la participación femenina en la fuerza de trabajo, así como el número promedio de trabajadores por hogar</w:t>
      </w:r>
      <w:r>
        <w:rPr>
          <w:color w:val="231F20"/>
          <w:spacing w:val="-26"/>
        </w:rPr>
        <w:t> </w:t>
      </w:r>
      <w:r>
        <w:rPr>
          <w:color w:val="231F20"/>
        </w:rPr>
        <w:t>tam- bién se incrementa conforme aumentan los niveles de segregación; lo cual coincide con lo señalado por estudios que sugieren que los hogares pobres han aumentado su oferta de mano de obra para compensar sus decrecientes ingresos desde los años ochenta (García y Oliveira,</w:t>
      </w:r>
      <w:r>
        <w:rPr>
          <w:color w:val="231F20"/>
          <w:spacing w:val="-11"/>
        </w:rPr>
        <w:t> </w:t>
      </w:r>
      <w:r>
        <w:rPr>
          <w:color w:val="231F20"/>
        </w:rPr>
        <w:t>2003).</w:t>
      </w:r>
    </w:p>
    <w:p>
      <w:pPr>
        <w:spacing w:after="0" w:line="249" w:lineRule="auto"/>
        <w:jc w:val="both"/>
        <w:sectPr>
          <w:pgSz w:w="7770" w:h="11740"/>
          <w:pgMar w:header="0" w:footer="474" w:top="1040" w:bottom="740" w:left="660" w:right="940"/>
        </w:sectPr>
      </w:pPr>
    </w:p>
    <w:p>
      <w:pPr>
        <w:spacing w:before="70"/>
        <w:ind w:left="142" w:right="242" w:firstLine="0"/>
        <w:jc w:val="left"/>
        <w:rPr>
          <w:sz w:val="19"/>
        </w:rPr>
      </w:pPr>
      <w:r>
        <w:rPr/>
        <w:pict>
          <v:group style="position:absolute;margin-left:52.190804pt;margin-top:17.879229pt;width:298.150pt;height:.5pt;mso-position-horizontal-relative:page;mso-position-vertical-relative:paragraph;z-index:7240;mso-wrap-distance-left:0;mso-wrap-distance-right:0" coordorigin="1044,358" coordsize="5963,10">
            <v:line style="position:absolute" from="1049,363" to="4435,363" stroked="true" strokeweight=".48pt" strokecolor="#000000"/>
            <v:line style="position:absolute" from="4435,363" to="4444,363" stroked="true" strokeweight=".48pt" strokecolor="#000000"/>
            <v:line style="position:absolute" from="4444,363" to="7002,363" stroked="true" strokeweight=".48pt" strokecolor="#000000"/>
            <w10:wrap type="topAndBottom"/>
          </v:group>
        </w:pict>
      </w:r>
      <w:r>
        <w:rPr>
          <w:sz w:val="19"/>
        </w:rPr>
        <w:t>Cuadro 1b. Características de las áreas residenciales por niveles de pobreza</w:t>
      </w:r>
    </w:p>
    <w:p>
      <w:pPr>
        <w:spacing w:before="0"/>
        <w:ind w:left="0" w:right="809" w:firstLine="0"/>
        <w:jc w:val="right"/>
        <w:rPr>
          <w:sz w:val="19"/>
        </w:rPr>
      </w:pPr>
      <w:r>
        <w:rPr>
          <w:sz w:val="19"/>
        </w:rPr>
        <w:t>25.01% a 35%</w:t>
      </w:r>
    </w:p>
    <w:p>
      <w:pPr>
        <w:tabs>
          <w:tab w:pos="3637" w:val="left" w:leader="none"/>
          <w:tab w:pos="4448" w:val="left" w:leader="none"/>
        </w:tabs>
        <w:spacing w:before="12"/>
        <w:ind w:left="108" w:right="0" w:firstLine="0"/>
        <w:jc w:val="left"/>
        <w:rPr>
          <w:sz w:val="19"/>
        </w:rPr>
      </w:pPr>
      <w:r>
        <w:rPr>
          <w:w w:val="98"/>
          <w:sz w:val="19"/>
          <w:u w:val="single"/>
        </w:rPr>
        <w:t> </w:t>
      </w:r>
      <w:r>
        <w:rPr>
          <w:sz w:val="19"/>
          <w:u w:val="single"/>
        </w:rPr>
        <w:tab/>
        <w:t>Media</w:t>
        <w:tab/>
        <w:t>Desviación</w:t>
      </w:r>
      <w:r>
        <w:rPr>
          <w:spacing w:val="-3"/>
          <w:sz w:val="19"/>
          <w:u w:val="single"/>
        </w:rPr>
        <w:t> </w:t>
      </w:r>
      <w:r>
        <w:rPr>
          <w:sz w:val="19"/>
          <w:u w:val="single"/>
        </w:rPr>
        <w:t>estándar</w:t>
      </w:r>
      <w:r>
        <w:rPr>
          <w:spacing w:val="-24"/>
          <w:sz w:val="19"/>
          <w:u w:val="single"/>
        </w:rPr>
        <w:t> </w:t>
      </w:r>
    </w:p>
    <w:p>
      <w:pPr>
        <w:spacing w:before="60" w:after="37"/>
        <w:ind w:left="142" w:right="242" w:firstLine="0"/>
        <w:jc w:val="left"/>
        <w:rPr>
          <w:i/>
          <w:sz w:val="19"/>
        </w:rPr>
      </w:pPr>
      <w:r>
        <w:rPr>
          <w:i/>
          <w:sz w:val="19"/>
        </w:rPr>
        <w:t>Indicadores de pobreza</w:t>
      </w: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2"/>
        <w:gridCol w:w="1423"/>
        <w:gridCol w:w="1218"/>
      </w:tblGrid>
      <w:tr>
        <w:trPr>
          <w:trHeight w:val="250" w:hRule="exact"/>
        </w:trPr>
        <w:tc>
          <w:tcPr>
            <w:tcW w:w="3312" w:type="dxa"/>
          </w:tcPr>
          <w:p>
            <w:pPr>
              <w:pStyle w:val="TableParagraph"/>
              <w:spacing w:before="17"/>
              <w:ind w:left="33"/>
              <w:jc w:val="left"/>
              <w:rPr>
                <w:sz w:val="19"/>
              </w:rPr>
            </w:pPr>
            <w:r>
              <w:rPr>
                <w:sz w:val="19"/>
              </w:rPr>
              <w:t>Ingreso diario per cápita del hogar</w:t>
            </w:r>
          </w:p>
        </w:tc>
        <w:tc>
          <w:tcPr>
            <w:tcW w:w="1423" w:type="dxa"/>
          </w:tcPr>
          <w:p>
            <w:pPr>
              <w:pStyle w:val="TableParagraph"/>
              <w:spacing w:before="17"/>
              <w:ind w:right="716"/>
              <w:rPr>
                <w:sz w:val="19"/>
              </w:rPr>
            </w:pPr>
            <w:r>
              <w:rPr>
                <w:w w:val="95"/>
                <w:sz w:val="19"/>
              </w:rPr>
              <w:t>76.14</w:t>
            </w:r>
          </w:p>
        </w:tc>
        <w:tc>
          <w:tcPr>
            <w:tcW w:w="1218" w:type="dxa"/>
          </w:tcPr>
          <w:p>
            <w:pPr>
              <w:pStyle w:val="TableParagraph"/>
              <w:spacing w:before="17"/>
              <w:ind w:right="68"/>
              <w:rPr>
                <w:sz w:val="19"/>
              </w:rPr>
            </w:pPr>
            <w:r>
              <w:rPr>
                <w:w w:val="95"/>
                <w:sz w:val="19"/>
              </w:rPr>
              <w:t>54.27</w:t>
            </w:r>
          </w:p>
        </w:tc>
      </w:tr>
      <w:tr>
        <w:trPr>
          <w:trHeight w:val="228" w:hRule="exact"/>
        </w:trPr>
        <w:tc>
          <w:tcPr>
            <w:tcW w:w="3312" w:type="dxa"/>
          </w:tcPr>
          <w:p>
            <w:pPr>
              <w:pStyle w:val="TableParagraph"/>
              <w:spacing w:line="216" w:lineRule="exact"/>
              <w:ind w:left="33"/>
              <w:jc w:val="left"/>
              <w:rPr>
                <w:sz w:val="19"/>
              </w:rPr>
            </w:pPr>
            <w:r>
              <w:rPr>
                <w:sz w:val="19"/>
              </w:rPr>
              <w:t>Proporción de hogares pobres</w:t>
            </w:r>
          </w:p>
        </w:tc>
        <w:tc>
          <w:tcPr>
            <w:tcW w:w="1423" w:type="dxa"/>
          </w:tcPr>
          <w:p>
            <w:pPr>
              <w:pStyle w:val="TableParagraph"/>
              <w:spacing w:line="216" w:lineRule="exact"/>
              <w:ind w:right="716"/>
              <w:rPr>
                <w:sz w:val="19"/>
              </w:rPr>
            </w:pPr>
            <w:r>
              <w:rPr>
                <w:w w:val="95"/>
                <w:sz w:val="19"/>
              </w:rPr>
              <w:t>0.3</w:t>
            </w:r>
          </w:p>
        </w:tc>
        <w:tc>
          <w:tcPr>
            <w:tcW w:w="1218" w:type="dxa"/>
          </w:tcPr>
          <w:p>
            <w:pPr>
              <w:pStyle w:val="TableParagraph"/>
              <w:spacing w:line="216" w:lineRule="exact"/>
              <w:ind w:right="68"/>
              <w:rPr>
                <w:sz w:val="19"/>
              </w:rPr>
            </w:pPr>
            <w:r>
              <w:rPr>
                <w:w w:val="95"/>
                <w:sz w:val="19"/>
              </w:rPr>
              <w:t>0.03</w:t>
            </w:r>
          </w:p>
        </w:tc>
      </w:tr>
      <w:tr>
        <w:trPr>
          <w:trHeight w:val="250" w:hRule="exact"/>
        </w:trPr>
        <w:tc>
          <w:tcPr>
            <w:tcW w:w="3312" w:type="dxa"/>
          </w:tcPr>
          <w:p>
            <w:pPr>
              <w:pStyle w:val="TableParagraph"/>
              <w:spacing w:line="214" w:lineRule="exact"/>
              <w:ind w:left="33"/>
              <w:jc w:val="left"/>
              <w:rPr>
                <w:sz w:val="19"/>
              </w:rPr>
            </w:pPr>
            <w:r>
              <w:rPr>
                <w:sz w:val="19"/>
              </w:rPr>
              <w:t>Desviación logarítmica media (ingresos)</w:t>
            </w:r>
          </w:p>
        </w:tc>
        <w:tc>
          <w:tcPr>
            <w:tcW w:w="1423" w:type="dxa"/>
          </w:tcPr>
          <w:p>
            <w:pPr>
              <w:pStyle w:val="TableParagraph"/>
              <w:spacing w:line="214" w:lineRule="exact"/>
              <w:ind w:right="716"/>
              <w:rPr>
                <w:sz w:val="19"/>
              </w:rPr>
            </w:pPr>
            <w:r>
              <w:rPr>
                <w:w w:val="95"/>
                <w:sz w:val="19"/>
              </w:rPr>
              <w:t>0.37</w:t>
            </w:r>
          </w:p>
        </w:tc>
        <w:tc>
          <w:tcPr>
            <w:tcW w:w="1218" w:type="dxa"/>
          </w:tcPr>
          <w:p>
            <w:pPr>
              <w:pStyle w:val="TableParagraph"/>
              <w:spacing w:line="214" w:lineRule="exact"/>
              <w:ind w:right="68"/>
              <w:rPr>
                <w:sz w:val="19"/>
              </w:rPr>
            </w:pPr>
            <w:r>
              <w:rPr>
                <w:w w:val="95"/>
                <w:sz w:val="19"/>
              </w:rPr>
              <w:t>0.19</w:t>
            </w:r>
          </w:p>
        </w:tc>
      </w:tr>
      <w:tr>
        <w:trPr>
          <w:trHeight w:val="271" w:hRule="exact"/>
        </w:trPr>
        <w:tc>
          <w:tcPr>
            <w:tcW w:w="3312" w:type="dxa"/>
          </w:tcPr>
          <w:p>
            <w:pPr>
              <w:pStyle w:val="TableParagraph"/>
              <w:spacing w:before="19"/>
              <w:ind w:left="33"/>
              <w:jc w:val="left"/>
              <w:rPr>
                <w:i/>
                <w:sz w:val="19"/>
              </w:rPr>
            </w:pPr>
            <w:r>
              <w:rPr>
                <w:i/>
                <w:sz w:val="19"/>
              </w:rPr>
              <w:t>Salarios y horas de trabajo</w:t>
            </w:r>
          </w:p>
        </w:tc>
        <w:tc>
          <w:tcPr>
            <w:tcW w:w="1423" w:type="dxa"/>
          </w:tcPr>
          <w:p>
            <w:pPr/>
          </w:p>
        </w:tc>
        <w:tc>
          <w:tcPr>
            <w:tcW w:w="1218" w:type="dxa"/>
          </w:tcPr>
          <w:p>
            <w:pPr/>
          </w:p>
        </w:tc>
      </w:tr>
      <w:tr>
        <w:trPr>
          <w:trHeight w:val="250" w:hRule="exact"/>
        </w:trPr>
        <w:tc>
          <w:tcPr>
            <w:tcW w:w="3312" w:type="dxa"/>
          </w:tcPr>
          <w:p>
            <w:pPr>
              <w:pStyle w:val="TableParagraph"/>
              <w:spacing w:before="17"/>
              <w:ind w:left="33"/>
              <w:jc w:val="left"/>
              <w:rPr>
                <w:sz w:val="19"/>
              </w:rPr>
            </w:pPr>
            <w:r>
              <w:rPr>
                <w:sz w:val="19"/>
              </w:rPr>
              <w:t>Media de horas trabajadas al mes</w:t>
            </w:r>
          </w:p>
        </w:tc>
        <w:tc>
          <w:tcPr>
            <w:tcW w:w="1423" w:type="dxa"/>
          </w:tcPr>
          <w:p>
            <w:pPr>
              <w:pStyle w:val="TableParagraph"/>
              <w:spacing w:before="17"/>
              <w:ind w:right="716"/>
              <w:rPr>
                <w:sz w:val="19"/>
              </w:rPr>
            </w:pPr>
            <w:r>
              <w:rPr>
                <w:w w:val="95"/>
                <w:sz w:val="19"/>
              </w:rPr>
              <w:t>180.36</w:t>
            </w:r>
          </w:p>
        </w:tc>
        <w:tc>
          <w:tcPr>
            <w:tcW w:w="1218" w:type="dxa"/>
          </w:tcPr>
          <w:p>
            <w:pPr>
              <w:pStyle w:val="TableParagraph"/>
              <w:spacing w:before="17"/>
              <w:ind w:right="68"/>
              <w:rPr>
                <w:sz w:val="19"/>
              </w:rPr>
            </w:pPr>
            <w:r>
              <w:rPr>
                <w:w w:val="95"/>
                <w:sz w:val="19"/>
              </w:rPr>
              <w:t>10.64</w:t>
            </w:r>
          </w:p>
        </w:tc>
      </w:tr>
      <w:tr>
        <w:trPr>
          <w:trHeight w:val="252" w:hRule="exact"/>
        </w:trPr>
        <w:tc>
          <w:tcPr>
            <w:tcW w:w="3312" w:type="dxa"/>
          </w:tcPr>
          <w:p>
            <w:pPr>
              <w:pStyle w:val="TableParagraph"/>
              <w:spacing w:line="216" w:lineRule="exact"/>
              <w:ind w:left="33"/>
              <w:jc w:val="left"/>
              <w:rPr>
                <w:sz w:val="19"/>
              </w:rPr>
            </w:pPr>
            <w:r>
              <w:rPr>
                <w:sz w:val="19"/>
              </w:rPr>
              <w:t>Mediana de ingresos laborales por hora</w:t>
            </w:r>
          </w:p>
        </w:tc>
        <w:tc>
          <w:tcPr>
            <w:tcW w:w="1423" w:type="dxa"/>
          </w:tcPr>
          <w:p>
            <w:pPr>
              <w:pStyle w:val="TableParagraph"/>
              <w:spacing w:line="216" w:lineRule="exact"/>
              <w:ind w:right="716"/>
              <w:rPr>
                <w:sz w:val="19"/>
              </w:rPr>
            </w:pPr>
            <w:r>
              <w:rPr>
                <w:w w:val="95"/>
                <w:sz w:val="19"/>
              </w:rPr>
              <w:t>14.88</w:t>
            </w:r>
          </w:p>
        </w:tc>
        <w:tc>
          <w:tcPr>
            <w:tcW w:w="1218" w:type="dxa"/>
          </w:tcPr>
          <w:p>
            <w:pPr>
              <w:pStyle w:val="TableParagraph"/>
              <w:spacing w:line="216" w:lineRule="exact"/>
              <w:ind w:right="68"/>
              <w:rPr>
                <w:sz w:val="19"/>
              </w:rPr>
            </w:pPr>
            <w:r>
              <w:rPr>
                <w:w w:val="95"/>
                <w:sz w:val="19"/>
              </w:rPr>
              <w:t>2.39</w:t>
            </w:r>
          </w:p>
        </w:tc>
      </w:tr>
      <w:tr>
        <w:trPr>
          <w:trHeight w:val="271" w:hRule="exact"/>
        </w:trPr>
        <w:tc>
          <w:tcPr>
            <w:tcW w:w="3312" w:type="dxa"/>
          </w:tcPr>
          <w:p>
            <w:pPr>
              <w:pStyle w:val="TableParagraph"/>
              <w:spacing w:before="19"/>
              <w:ind w:left="33"/>
              <w:jc w:val="left"/>
              <w:rPr>
                <w:i/>
                <w:sz w:val="19"/>
              </w:rPr>
            </w:pPr>
            <w:r>
              <w:rPr>
                <w:i/>
                <w:sz w:val="19"/>
              </w:rPr>
              <w:t>Sociodemográficas</w:t>
            </w:r>
          </w:p>
        </w:tc>
        <w:tc>
          <w:tcPr>
            <w:tcW w:w="1423" w:type="dxa"/>
          </w:tcPr>
          <w:p>
            <w:pPr/>
          </w:p>
        </w:tc>
        <w:tc>
          <w:tcPr>
            <w:tcW w:w="1218" w:type="dxa"/>
          </w:tcPr>
          <w:p>
            <w:pPr/>
          </w:p>
        </w:tc>
      </w:tr>
      <w:tr>
        <w:trPr>
          <w:trHeight w:val="250" w:hRule="exact"/>
        </w:trPr>
        <w:tc>
          <w:tcPr>
            <w:tcW w:w="3312" w:type="dxa"/>
          </w:tcPr>
          <w:p>
            <w:pPr>
              <w:pStyle w:val="TableParagraph"/>
              <w:spacing w:before="17"/>
              <w:ind w:left="33"/>
              <w:jc w:val="left"/>
              <w:rPr>
                <w:sz w:val="19"/>
              </w:rPr>
            </w:pPr>
            <w:r>
              <w:rPr>
                <w:sz w:val="19"/>
              </w:rPr>
              <w:t>Escolaridad promedio</w:t>
            </w:r>
          </w:p>
        </w:tc>
        <w:tc>
          <w:tcPr>
            <w:tcW w:w="1423" w:type="dxa"/>
          </w:tcPr>
          <w:p>
            <w:pPr>
              <w:pStyle w:val="TableParagraph"/>
              <w:spacing w:before="17"/>
              <w:ind w:right="716"/>
              <w:rPr>
                <w:sz w:val="19"/>
              </w:rPr>
            </w:pPr>
            <w:r>
              <w:rPr>
                <w:w w:val="95"/>
                <w:sz w:val="19"/>
              </w:rPr>
              <w:t>10.19</w:t>
            </w:r>
          </w:p>
        </w:tc>
        <w:tc>
          <w:tcPr>
            <w:tcW w:w="1218" w:type="dxa"/>
          </w:tcPr>
          <w:p>
            <w:pPr>
              <w:pStyle w:val="TableParagraph"/>
              <w:spacing w:before="17"/>
              <w:ind w:right="69"/>
              <w:rPr>
                <w:sz w:val="19"/>
              </w:rPr>
            </w:pPr>
            <w:r>
              <w:rPr>
                <w:w w:val="95"/>
                <w:sz w:val="19"/>
              </w:rPr>
              <w:t>0.8</w:t>
            </w:r>
          </w:p>
        </w:tc>
      </w:tr>
      <w:tr>
        <w:trPr>
          <w:trHeight w:val="252" w:hRule="exact"/>
        </w:trPr>
        <w:tc>
          <w:tcPr>
            <w:tcW w:w="3312" w:type="dxa"/>
          </w:tcPr>
          <w:p>
            <w:pPr>
              <w:pStyle w:val="TableParagraph"/>
              <w:spacing w:line="216" w:lineRule="exact"/>
              <w:ind w:left="33"/>
              <w:jc w:val="left"/>
              <w:rPr>
                <w:sz w:val="19"/>
              </w:rPr>
            </w:pPr>
            <w:r>
              <w:rPr>
                <w:sz w:val="19"/>
              </w:rPr>
              <w:t>Porcentaje de población indígena</w:t>
            </w:r>
          </w:p>
        </w:tc>
        <w:tc>
          <w:tcPr>
            <w:tcW w:w="1423" w:type="dxa"/>
          </w:tcPr>
          <w:p>
            <w:pPr>
              <w:pStyle w:val="TableParagraph"/>
              <w:spacing w:line="216" w:lineRule="exact"/>
              <w:ind w:right="716"/>
              <w:rPr>
                <w:sz w:val="19"/>
              </w:rPr>
            </w:pPr>
            <w:r>
              <w:rPr>
                <w:w w:val="95"/>
                <w:sz w:val="19"/>
              </w:rPr>
              <w:t>2.76</w:t>
            </w:r>
          </w:p>
        </w:tc>
        <w:tc>
          <w:tcPr>
            <w:tcW w:w="1218" w:type="dxa"/>
          </w:tcPr>
          <w:p>
            <w:pPr>
              <w:pStyle w:val="TableParagraph"/>
              <w:spacing w:line="216" w:lineRule="exact"/>
              <w:ind w:right="68"/>
              <w:rPr>
                <w:sz w:val="19"/>
              </w:rPr>
            </w:pPr>
            <w:r>
              <w:rPr>
                <w:w w:val="95"/>
                <w:sz w:val="19"/>
              </w:rPr>
              <w:t>2.57</w:t>
            </w:r>
          </w:p>
        </w:tc>
      </w:tr>
      <w:tr>
        <w:trPr>
          <w:trHeight w:val="271" w:hRule="exact"/>
        </w:trPr>
        <w:tc>
          <w:tcPr>
            <w:tcW w:w="3312" w:type="dxa"/>
          </w:tcPr>
          <w:p>
            <w:pPr>
              <w:pStyle w:val="TableParagraph"/>
              <w:spacing w:before="19"/>
              <w:ind w:left="33"/>
              <w:jc w:val="left"/>
              <w:rPr>
                <w:i/>
                <w:sz w:val="19"/>
              </w:rPr>
            </w:pPr>
            <w:r>
              <w:rPr>
                <w:i/>
                <w:sz w:val="19"/>
              </w:rPr>
              <w:t>Empleo (promedios)</w:t>
            </w:r>
          </w:p>
        </w:tc>
        <w:tc>
          <w:tcPr>
            <w:tcW w:w="1423" w:type="dxa"/>
          </w:tcPr>
          <w:p>
            <w:pPr/>
          </w:p>
        </w:tc>
        <w:tc>
          <w:tcPr>
            <w:tcW w:w="1218" w:type="dxa"/>
          </w:tcPr>
          <w:p>
            <w:pPr/>
          </w:p>
        </w:tc>
      </w:tr>
      <w:tr>
        <w:trPr>
          <w:trHeight w:val="250" w:hRule="exact"/>
        </w:trPr>
        <w:tc>
          <w:tcPr>
            <w:tcW w:w="3312" w:type="dxa"/>
          </w:tcPr>
          <w:p>
            <w:pPr>
              <w:pStyle w:val="TableParagraph"/>
              <w:spacing w:before="17"/>
              <w:ind w:left="33"/>
              <w:jc w:val="left"/>
              <w:rPr>
                <w:sz w:val="19"/>
              </w:rPr>
            </w:pPr>
            <w:r>
              <w:rPr>
                <w:sz w:val="19"/>
              </w:rPr>
              <w:t>% empleo informal</w:t>
            </w:r>
          </w:p>
        </w:tc>
        <w:tc>
          <w:tcPr>
            <w:tcW w:w="1423" w:type="dxa"/>
          </w:tcPr>
          <w:p>
            <w:pPr>
              <w:pStyle w:val="TableParagraph"/>
              <w:spacing w:before="17"/>
              <w:ind w:right="716"/>
              <w:rPr>
                <w:sz w:val="19"/>
              </w:rPr>
            </w:pPr>
            <w:r>
              <w:rPr>
                <w:w w:val="95"/>
                <w:sz w:val="19"/>
              </w:rPr>
              <w:t>34.54</w:t>
            </w:r>
          </w:p>
        </w:tc>
        <w:tc>
          <w:tcPr>
            <w:tcW w:w="1218" w:type="dxa"/>
          </w:tcPr>
          <w:p>
            <w:pPr>
              <w:pStyle w:val="TableParagraph"/>
              <w:spacing w:before="17"/>
              <w:ind w:right="68"/>
              <w:rPr>
                <w:sz w:val="19"/>
              </w:rPr>
            </w:pPr>
            <w:r>
              <w:rPr>
                <w:w w:val="95"/>
                <w:sz w:val="19"/>
              </w:rPr>
              <w:t>7.76</w:t>
            </w:r>
          </w:p>
        </w:tc>
      </w:tr>
      <w:tr>
        <w:trPr>
          <w:trHeight w:val="230" w:hRule="exact"/>
        </w:trPr>
        <w:tc>
          <w:tcPr>
            <w:tcW w:w="3312" w:type="dxa"/>
          </w:tcPr>
          <w:p>
            <w:pPr>
              <w:pStyle w:val="TableParagraph"/>
              <w:spacing w:line="216" w:lineRule="exact"/>
              <w:ind w:left="33"/>
              <w:jc w:val="left"/>
              <w:rPr>
                <w:sz w:val="19"/>
              </w:rPr>
            </w:pPr>
            <w:r>
              <w:rPr>
                <w:sz w:val="19"/>
              </w:rPr>
              <w:t>% trabajadores por cuenta propia</w:t>
            </w:r>
          </w:p>
        </w:tc>
        <w:tc>
          <w:tcPr>
            <w:tcW w:w="1423" w:type="dxa"/>
          </w:tcPr>
          <w:p>
            <w:pPr>
              <w:pStyle w:val="TableParagraph"/>
              <w:spacing w:line="216" w:lineRule="exact"/>
              <w:ind w:right="716"/>
              <w:rPr>
                <w:sz w:val="19"/>
              </w:rPr>
            </w:pPr>
            <w:r>
              <w:rPr>
                <w:w w:val="95"/>
                <w:sz w:val="19"/>
              </w:rPr>
              <w:t>21.03</w:t>
            </w:r>
          </w:p>
        </w:tc>
        <w:tc>
          <w:tcPr>
            <w:tcW w:w="1218" w:type="dxa"/>
          </w:tcPr>
          <w:p>
            <w:pPr>
              <w:pStyle w:val="TableParagraph"/>
              <w:spacing w:line="216" w:lineRule="exact"/>
              <w:ind w:right="68"/>
              <w:rPr>
                <w:sz w:val="19"/>
              </w:rPr>
            </w:pPr>
            <w:r>
              <w:rPr>
                <w:w w:val="95"/>
                <w:sz w:val="19"/>
              </w:rPr>
              <w:t>5.54</w:t>
            </w:r>
          </w:p>
        </w:tc>
      </w:tr>
      <w:tr>
        <w:trPr>
          <w:trHeight w:val="230" w:hRule="exact"/>
        </w:trPr>
        <w:tc>
          <w:tcPr>
            <w:tcW w:w="3312" w:type="dxa"/>
          </w:tcPr>
          <w:p>
            <w:pPr>
              <w:pStyle w:val="TableParagraph"/>
              <w:spacing w:line="216" w:lineRule="exact"/>
              <w:ind w:left="33"/>
              <w:jc w:val="left"/>
              <w:rPr>
                <w:sz w:val="19"/>
              </w:rPr>
            </w:pPr>
            <w:r>
              <w:rPr>
                <w:sz w:val="19"/>
              </w:rPr>
              <w:t>% trabajadores asalariados</w:t>
            </w:r>
          </w:p>
        </w:tc>
        <w:tc>
          <w:tcPr>
            <w:tcW w:w="1423" w:type="dxa"/>
          </w:tcPr>
          <w:p>
            <w:pPr>
              <w:pStyle w:val="TableParagraph"/>
              <w:spacing w:line="216" w:lineRule="exact"/>
              <w:ind w:right="716"/>
              <w:rPr>
                <w:sz w:val="19"/>
              </w:rPr>
            </w:pPr>
            <w:r>
              <w:rPr>
                <w:w w:val="95"/>
                <w:sz w:val="19"/>
              </w:rPr>
              <w:t>74.67</w:t>
            </w:r>
          </w:p>
        </w:tc>
        <w:tc>
          <w:tcPr>
            <w:tcW w:w="1218" w:type="dxa"/>
          </w:tcPr>
          <w:p>
            <w:pPr>
              <w:pStyle w:val="TableParagraph"/>
              <w:spacing w:line="216" w:lineRule="exact"/>
              <w:ind w:right="69"/>
              <w:rPr>
                <w:sz w:val="19"/>
              </w:rPr>
            </w:pPr>
            <w:r>
              <w:rPr>
                <w:w w:val="95"/>
                <w:sz w:val="19"/>
              </w:rPr>
              <w:t>5.7</w:t>
            </w:r>
          </w:p>
        </w:tc>
      </w:tr>
      <w:tr>
        <w:trPr>
          <w:trHeight w:val="230" w:hRule="exact"/>
        </w:trPr>
        <w:tc>
          <w:tcPr>
            <w:tcW w:w="3312" w:type="dxa"/>
          </w:tcPr>
          <w:p>
            <w:pPr>
              <w:pStyle w:val="TableParagraph"/>
              <w:spacing w:line="216" w:lineRule="exact"/>
              <w:ind w:left="33"/>
              <w:jc w:val="left"/>
              <w:rPr>
                <w:sz w:val="19"/>
              </w:rPr>
            </w:pPr>
            <w:r>
              <w:rPr>
                <w:sz w:val="19"/>
              </w:rPr>
              <w:t>% trabajadores familiares</w:t>
            </w:r>
          </w:p>
        </w:tc>
        <w:tc>
          <w:tcPr>
            <w:tcW w:w="1423" w:type="dxa"/>
          </w:tcPr>
          <w:p>
            <w:pPr>
              <w:pStyle w:val="TableParagraph"/>
              <w:spacing w:line="216" w:lineRule="exact"/>
              <w:ind w:right="716"/>
              <w:rPr>
                <w:sz w:val="19"/>
              </w:rPr>
            </w:pPr>
            <w:r>
              <w:rPr>
                <w:w w:val="95"/>
                <w:sz w:val="19"/>
              </w:rPr>
              <w:t>1.48</w:t>
            </w:r>
          </w:p>
        </w:tc>
        <w:tc>
          <w:tcPr>
            <w:tcW w:w="1218" w:type="dxa"/>
          </w:tcPr>
          <w:p>
            <w:pPr>
              <w:pStyle w:val="TableParagraph"/>
              <w:spacing w:line="216" w:lineRule="exact"/>
              <w:ind w:right="68"/>
              <w:rPr>
                <w:sz w:val="19"/>
              </w:rPr>
            </w:pPr>
            <w:r>
              <w:rPr>
                <w:w w:val="95"/>
                <w:sz w:val="19"/>
              </w:rPr>
              <w:t>1.85</w:t>
            </w:r>
          </w:p>
        </w:tc>
      </w:tr>
      <w:tr>
        <w:trPr>
          <w:trHeight w:val="230" w:hRule="exact"/>
        </w:trPr>
        <w:tc>
          <w:tcPr>
            <w:tcW w:w="3312" w:type="dxa"/>
          </w:tcPr>
          <w:p>
            <w:pPr>
              <w:pStyle w:val="TableParagraph"/>
              <w:spacing w:line="216" w:lineRule="exact"/>
              <w:ind w:left="33"/>
              <w:jc w:val="left"/>
              <w:rPr>
                <w:sz w:val="19"/>
              </w:rPr>
            </w:pPr>
            <w:r>
              <w:rPr>
                <w:sz w:val="19"/>
              </w:rPr>
              <w:t>% desempleados</w:t>
            </w:r>
          </w:p>
        </w:tc>
        <w:tc>
          <w:tcPr>
            <w:tcW w:w="1423" w:type="dxa"/>
          </w:tcPr>
          <w:p>
            <w:pPr>
              <w:pStyle w:val="TableParagraph"/>
              <w:spacing w:line="216" w:lineRule="exact"/>
              <w:ind w:right="716"/>
              <w:rPr>
                <w:sz w:val="19"/>
              </w:rPr>
            </w:pPr>
            <w:r>
              <w:rPr>
                <w:w w:val="95"/>
                <w:sz w:val="19"/>
              </w:rPr>
              <w:t>2.05</w:t>
            </w:r>
          </w:p>
        </w:tc>
        <w:tc>
          <w:tcPr>
            <w:tcW w:w="1218" w:type="dxa"/>
          </w:tcPr>
          <w:p>
            <w:pPr>
              <w:pStyle w:val="TableParagraph"/>
              <w:spacing w:line="216" w:lineRule="exact"/>
              <w:ind w:right="69"/>
              <w:rPr>
                <w:sz w:val="19"/>
              </w:rPr>
            </w:pPr>
            <w:r>
              <w:rPr>
                <w:w w:val="95"/>
                <w:sz w:val="19"/>
              </w:rPr>
              <w:t>1.5</w:t>
            </w:r>
          </w:p>
        </w:tc>
      </w:tr>
      <w:tr>
        <w:trPr>
          <w:trHeight w:val="254" w:hRule="exact"/>
        </w:trPr>
        <w:tc>
          <w:tcPr>
            <w:tcW w:w="3312" w:type="dxa"/>
          </w:tcPr>
          <w:p>
            <w:pPr>
              <w:pStyle w:val="TableParagraph"/>
              <w:spacing w:line="216" w:lineRule="exact"/>
              <w:ind w:left="33"/>
              <w:jc w:val="left"/>
              <w:rPr>
                <w:sz w:val="19"/>
              </w:rPr>
            </w:pPr>
            <w:r>
              <w:rPr>
                <w:sz w:val="19"/>
              </w:rPr>
              <w:t>% trabajadores marginales</w:t>
            </w:r>
          </w:p>
        </w:tc>
        <w:tc>
          <w:tcPr>
            <w:tcW w:w="1423" w:type="dxa"/>
          </w:tcPr>
          <w:p>
            <w:pPr>
              <w:pStyle w:val="TableParagraph"/>
              <w:spacing w:line="216" w:lineRule="exact"/>
              <w:ind w:right="716"/>
              <w:rPr>
                <w:sz w:val="19"/>
              </w:rPr>
            </w:pPr>
            <w:r>
              <w:rPr>
                <w:w w:val="95"/>
                <w:sz w:val="19"/>
              </w:rPr>
              <w:t>33.67</w:t>
            </w:r>
          </w:p>
        </w:tc>
        <w:tc>
          <w:tcPr>
            <w:tcW w:w="1218" w:type="dxa"/>
          </w:tcPr>
          <w:p>
            <w:pPr>
              <w:pStyle w:val="TableParagraph"/>
              <w:spacing w:line="216" w:lineRule="exact"/>
              <w:ind w:right="68"/>
              <w:rPr>
                <w:sz w:val="19"/>
              </w:rPr>
            </w:pPr>
            <w:r>
              <w:rPr>
                <w:w w:val="95"/>
                <w:sz w:val="19"/>
              </w:rPr>
              <w:t>6.61</w:t>
            </w:r>
          </w:p>
        </w:tc>
      </w:tr>
      <w:tr>
        <w:trPr>
          <w:trHeight w:val="281" w:hRule="exact"/>
        </w:trPr>
        <w:tc>
          <w:tcPr>
            <w:tcW w:w="3312" w:type="dxa"/>
          </w:tcPr>
          <w:p>
            <w:pPr>
              <w:pStyle w:val="TableParagraph"/>
              <w:spacing w:before="21"/>
              <w:ind w:left="33"/>
              <w:jc w:val="left"/>
              <w:rPr>
                <w:i/>
                <w:sz w:val="19"/>
              </w:rPr>
            </w:pPr>
            <w:r>
              <w:rPr>
                <w:i/>
                <w:sz w:val="19"/>
              </w:rPr>
              <w:t>Género y composición del hogar</w:t>
            </w:r>
          </w:p>
        </w:tc>
        <w:tc>
          <w:tcPr>
            <w:tcW w:w="1423" w:type="dxa"/>
          </w:tcPr>
          <w:p>
            <w:pPr/>
          </w:p>
        </w:tc>
        <w:tc>
          <w:tcPr>
            <w:tcW w:w="1218" w:type="dxa"/>
          </w:tcPr>
          <w:p>
            <w:pPr/>
          </w:p>
        </w:tc>
      </w:tr>
      <w:tr>
        <w:trPr>
          <w:trHeight w:val="257" w:hRule="exact"/>
        </w:trPr>
        <w:tc>
          <w:tcPr>
            <w:tcW w:w="3312" w:type="dxa"/>
          </w:tcPr>
          <w:p>
            <w:pPr>
              <w:pStyle w:val="TableParagraph"/>
              <w:spacing w:before="24"/>
              <w:ind w:left="33"/>
              <w:jc w:val="left"/>
              <w:rPr>
                <w:sz w:val="19"/>
              </w:rPr>
            </w:pPr>
            <w:r>
              <w:rPr>
                <w:sz w:val="19"/>
              </w:rPr>
              <w:t>% participación laboral femenina</w:t>
            </w:r>
          </w:p>
        </w:tc>
        <w:tc>
          <w:tcPr>
            <w:tcW w:w="1423" w:type="dxa"/>
          </w:tcPr>
          <w:p>
            <w:pPr>
              <w:pStyle w:val="TableParagraph"/>
              <w:spacing w:before="24"/>
              <w:ind w:right="716"/>
              <w:rPr>
                <w:sz w:val="19"/>
              </w:rPr>
            </w:pPr>
            <w:r>
              <w:rPr>
                <w:w w:val="95"/>
                <w:sz w:val="19"/>
              </w:rPr>
              <w:t>60</w:t>
            </w:r>
          </w:p>
        </w:tc>
        <w:tc>
          <w:tcPr>
            <w:tcW w:w="1218" w:type="dxa"/>
          </w:tcPr>
          <w:p>
            <w:pPr>
              <w:pStyle w:val="TableParagraph"/>
              <w:spacing w:before="24"/>
              <w:ind w:right="70"/>
              <w:rPr>
                <w:sz w:val="19"/>
              </w:rPr>
            </w:pPr>
            <w:r>
              <w:rPr>
                <w:w w:val="98"/>
                <w:sz w:val="19"/>
              </w:rPr>
              <w:t>5</w:t>
            </w:r>
          </w:p>
        </w:tc>
      </w:tr>
      <w:tr>
        <w:trPr>
          <w:trHeight w:val="228" w:hRule="exact"/>
        </w:trPr>
        <w:tc>
          <w:tcPr>
            <w:tcW w:w="3312" w:type="dxa"/>
          </w:tcPr>
          <w:p>
            <w:pPr>
              <w:pStyle w:val="TableParagraph"/>
              <w:spacing w:line="216" w:lineRule="exact"/>
              <w:ind w:left="33"/>
              <w:jc w:val="left"/>
              <w:rPr>
                <w:sz w:val="19"/>
              </w:rPr>
            </w:pPr>
            <w:r>
              <w:rPr>
                <w:sz w:val="19"/>
              </w:rPr>
              <w:t>% jefatura de hogar femenina</w:t>
            </w:r>
          </w:p>
        </w:tc>
        <w:tc>
          <w:tcPr>
            <w:tcW w:w="1423" w:type="dxa"/>
          </w:tcPr>
          <w:p>
            <w:pPr>
              <w:pStyle w:val="TableParagraph"/>
              <w:spacing w:line="216" w:lineRule="exact"/>
              <w:ind w:right="716"/>
              <w:rPr>
                <w:sz w:val="19"/>
              </w:rPr>
            </w:pPr>
            <w:r>
              <w:rPr>
                <w:w w:val="95"/>
                <w:sz w:val="19"/>
              </w:rPr>
              <w:t>23.58</w:t>
            </w:r>
          </w:p>
        </w:tc>
        <w:tc>
          <w:tcPr>
            <w:tcW w:w="1218" w:type="dxa"/>
          </w:tcPr>
          <w:p>
            <w:pPr>
              <w:pStyle w:val="TableParagraph"/>
              <w:spacing w:line="216" w:lineRule="exact"/>
              <w:ind w:right="68"/>
              <w:rPr>
                <w:sz w:val="19"/>
              </w:rPr>
            </w:pPr>
            <w:r>
              <w:rPr>
                <w:w w:val="95"/>
                <w:sz w:val="19"/>
              </w:rPr>
              <w:t>8.26</w:t>
            </w:r>
          </w:p>
        </w:tc>
      </w:tr>
      <w:tr>
        <w:trPr>
          <w:trHeight w:val="247" w:hRule="exact"/>
        </w:trPr>
        <w:tc>
          <w:tcPr>
            <w:tcW w:w="3312" w:type="dxa"/>
          </w:tcPr>
          <w:p>
            <w:pPr>
              <w:pStyle w:val="TableParagraph"/>
              <w:spacing w:line="214" w:lineRule="exact"/>
              <w:ind w:left="33"/>
              <w:jc w:val="left"/>
              <w:rPr>
                <w:sz w:val="19"/>
              </w:rPr>
            </w:pPr>
            <w:r>
              <w:rPr>
                <w:sz w:val="19"/>
              </w:rPr>
              <w:t>Tamaño promedio del hogar</w:t>
            </w:r>
          </w:p>
        </w:tc>
        <w:tc>
          <w:tcPr>
            <w:tcW w:w="1423" w:type="dxa"/>
          </w:tcPr>
          <w:p>
            <w:pPr>
              <w:pStyle w:val="TableParagraph"/>
              <w:spacing w:line="214" w:lineRule="exact"/>
              <w:ind w:right="716"/>
              <w:rPr>
                <w:sz w:val="19"/>
              </w:rPr>
            </w:pPr>
            <w:r>
              <w:rPr>
                <w:w w:val="95"/>
                <w:sz w:val="19"/>
              </w:rPr>
              <w:t>4.13</w:t>
            </w:r>
          </w:p>
        </w:tc>
        <w:tc>
          <w:tcPr>
            <w:tcW w:w="1218" w:type="dxa"/>
          </w:tcPr>
          <w:p>
            <w:pPr>
              <w:pStyle w:val="TableParagraph"/>
              <w:spacing w:line="214" w:lineRule="exact"/>
              <w:ind w:right="68"/>
              <w:rPr>
                <w:sz w:val="19"/>
              </w:rPr>
            </w:pPr>
            <w:r>
              <w:rPr>
                <w:w w:val="95"/>
                <w:sz w:val="19"/>
              </w:rPr>
              <w:t>0.41</w:t>
            </w:r>
          </w:p>
        </w:tc>
      </w:tr>
      <w:tr>
        <w:trPr>
          <w:trHeight w:val="269" w:hRule="exact"/>
        </w:trPr>
        <w:tc>
          <w:tcPr>
            <w:tcW w:w="3312" w:type="dxa"/>
          </w:tcPr>
          <w:p>
            <w:pPr>
              <w:pStyle w:val="TableParagraph"/>
              <w:spacing w:before="17"/>
              <w:ind w:left="33"/>
              <w:jc w:val="left"/>
              <w:rPr>
                <w:i/>
                <w:sz w:val="19"/>
              </w:rPr>
            </w:pPr>
            <w:r>
              <w:rPr>
                <w:i/>
                <w:sz w:val="19"/>
              </w:rPr>
              <w:t>Vivienda</w:t>
            </w:r>
          </w:p>
        </w:tc>
        <w:tc>
          <w:tcPr>
            <w:tcW w:w="1423" w:type="dxa"/>
          </w:tcPr>
          <w:p>
            <w:pPr/>
          </w:p>
        </w:tc>
        <w:tc>
          <w:tcPr>
            <w:tcW w:w="1218" w:type="dxa"/>
          </w:tcPr>
          <w:p>
            <w:pPr/>
          </w:p>
        </w:tc>
      </w:tr>
      <w:tr>
        <w:trPr>
          <w:trHeight w:val="250" w:hRule="exact"/>
        </w:trPr>
        <w:tc>
          <w:tcPr>
            <w:tcW w:w="3312" w:type="dxa"/>
          </w:tcPr>
          <w:p>
            <w:pPr>
              <w:pStyle w:val="TableParagraph"/>
              <w:spacing w:before="17"/>
              <w:ind w:left="33"/>
              <w:jc w:val="left"/>
              <w:rPr>
                <w:sz w:val="19"/>
              </w:rPr>
            </w:pPr>
            <w:r>
              <w:rPr>
                <w:sz w:val="19"/>
              </w:rPr>
              <w:t>% con todos los servicios</w:t>
            </w:r>
          </w:p>
        </w:tc>
        <w:tc>
          <w:tcPr>
            <w:tcW w:w="1423" w:type="dxa"/>
          </w:tcPr>
          <w:p>
            <w:pPr>
              <w:pStyle w:val="TableParagraph"/>
              <w:spacing w:before="17"/>
              <w:ind w:right="716"/>
              <w:rPr>
                <w:sz w:val="19"/>
              </w:rPr>
            </w:pPr>
            <w:r>
              <w:rPr>
                <w:w w:val="95"/>
                <w:sz w:val="19"/>
              </w:rPr>
              <w:t>66.04</w:t>
            </w:r>
          </w:p>
        </w:tc>
        <w:tc>
          <w:tcPr>
            <w:tcW w:w="1218" w:type="dxa"/>
          </w:tcPr>
          <w:p>
            <w:pPr>
              <w:pStyle w:val="TableParagraph"/>
              <w:spacing w:before="17"/>
              <w:ind w:right="68"/>
              <w:rPr>
                <w:sz w:val="19"/>
              </w:rPr>
            </w:pPr>
            <w:r>
              <w:rPr>
                <w:w w:val="95"/>
                <w:sz w:val="19"/>
              </w:rPr>
              <w:t>16.09</w:t>
            </w:r>
          </w:p>
        </w:tc>
      </w:tr>
      <w:tr>
        <w:trPr>
          <w:trHeight w:val="230" w:hRule="exact"/>
        </w:trPr>
        <w:tc>
          <w:tcPr>
            <w:tcW w:w="3312" w:type="dxa"/>
          </w:tcPr>
          <w:p>
            <w:pPr>
              <w:pStyle w:val="TableParagraph"/>
              <w:spacing w:line="216" w:lineRule="exact"/>
              <w:ind w:left="33"/>
              <w:jc w:val="left"/>
              <w:rPr>
                <w:sz w:val="19"/>
              </w:rPr>
            </w:pPr>
            <w:r>
              <w:rPr>
                <w:sz w:val="19"/>
              </w:rPr>
              <w:t>% vivienda propia</w:t>
            </w:r>
          </w:p>
        </w:tc>
        <w:tc>
          <w:tcPr>
            <w:tcW w:w="1423" w:type="dxa"/>
          </w:tcPr>
          <w:p>
            <w:pPr>
              <w:pStyle w:val="TableParagraph"/>
              <w:spacing w:line="216" w:lineRule="exact"/>
              <w:ind w:right="716"/>
              <w:rPr>
                <w:sz w:val="19"/>
              </w:rPr>
            </w:pPr>
            <w:r>
              <w:rPr>
                <w:w w:val="95"/>
                <w:sz w:val="19"/>
              </w:rPr>
              <w:t>77.74</w:t>
            </w:r>
          </w:p>
        </w:tc>
        <w:tc>
          <w:tcPr>
            <w:tcW w:w="1218" w:type="dxa"/>
          </w:tcPr>
          <w:p>
            <w:pPr>
              <w:pStyle w:val="TableParagraph"/>
              <w:spacing w:line="216" w:lineRule="exact"/>
              <w:ind w:right="68"/>
              <w:rPr>
                <w:sz w:val="19"/>
              </w:rPr>
            </w:pPr>
            <w:r>
              <w:rPr>
                <w:w w:val="95"/>
                <w:sz w:val="19"/>
              </w:rPr>
              <w:t>16.23</w:t>
            </w:r>
          </w:p>
        </w:tc>
      </w:tr>
      <w:tr>
        <w:trPr>
          <w:trHeight w:val="228" w:hRule="exact"/>
        </w:trPr>
        <w:tc>
          <w:tcPr>
            <w:tcW w:w="3312" w:type="dxa"/>
          </w:tcPr>
          <w:p>
            <w:pPr>
              <w:pStyle w:val="TableParagraph"/>
              <w:spacing w:line="216" w:lineRule="exact"/>
              <w:ind w:left="33"/>
              <w:jc w:val="left"/>
              <w:rPr>
                <w:sz w:val="19"/>
              </w:rPr>
            </w:pPr>
            <w:r>
              <w:rPr>
                <w:sz w:val="19"/>
              </w:rPr>
              <w:t>% renta</w:t>
            </w:r>
          </w:p>
        </w:tc>
        <w:tc>
          <w:tcPr>
            <w:tcW w:w="1423" w:type="dxa"/>
          </w:tcPr>
          <w:p>
            <w:pPr>
              <w:pStyle w:val="TableParagraph"/>
              <w:spacing w:line="216" w:lineRule="exact"/>
              <w:ind w:right="716"/>
              <w:rPr>
                <w:sz w:val="19"/>
              </w:rPr>
            </w:pPr>
            <w:r>
              <w:rPr>
                <w:w w:val="95"/>
                <w:sz w:val="19"/>
              </w:rPr>
              <w:t>17.53</w:t>
            </w:r>
          </w:p>
        </w:tc>
        <w:tc>
          <w:tcPr>
            <w:tcW w:w="1218" w:type="dxa"/>
          </w:tcPr>
          <w:p>
            <w:pPr>
              <w:pStyle w:val="TableParagraph"/>
              <w:spacing w:line="216" w:lineRule="exact"/>
              <w:ind w:right="68"/>
              <w:rPr>
                <w:sz w:val="19"/>
              </w:rPr>
            </w:pPr>
            <w:r>
              <w:rPr>
                <w:w w:val="95"/>
                <w:sz w:val="19"/>
              </w:rPr>
              <w:t>10.45</w:t>
            </w:r>
          </w:p>
        </w:tc>
      </w:tr>
      <w:tr>
        <w:trPr>
          <w:trHeight w:val="228" w:hRule="exact"/>
        </w:trPr>
        <w:tc>
          <w:tcPr>
            <w:tcW w:w="3312" w:type="dxa"/>
          </w:tcPr>
          <w:p>
            <w:pPr>
              <w:pStyle w:val="TableParagraph"/>
              <w:spacing w:line="214" w:lineRule="exact"/>
              <w:ind w:left="33"/>
              <w:jc w:val="left"/>
              <w:rPr>
                <w:sz w:val="19"/>
              </w:rPr>
            </w:pPr>
            <w:r>
              <w:rPr>
                <w:sz w:val="19"/>
              </w:rPr>
              <w:t>% unidades cinco años de edad o menos</w:t>
            </w:r>
          </w:p>
        </w:tc>
        <w:tc>
          <w:tcPr>
            <w:tcW w:w="1423" w:type="dxa"/>
          </w:tcPr>
          <w:p>
            <w:pPr>
              <w:pStyle w:val="TableParagraph"/>
              <w:spacing w:line="214" w:lineRule="exact"/>
              <w:ind w:right="716"/>
              <w:rPr>
                <w:sz w:val="19"/>
              </w:rPr>
            </w:pPr>
            <w:r>
              <w:rPr>
                <w:w w:val="95"/>
                <w:sz w:val="19"/>
              </w:rPr>
              <w:t>12.43</w:t>
            </w:r>
          </w:p>
        </w:tc>
        <w:tc>
          <w:tcPr>
            <w:tcW w:w="1218" w:type="dxa"/>
          </w:tcPr>
          <w:p>
            <w:pPr>
              <w:pStyle w:val="TableParagraph"/>
              <w:spacing w:line="214" w:lineRule="exact"/>
              <w:ind w:right="68"/>
              <w:rPr>
                <w:sz w:val="19"/>
              </w:rPr>
            </w:pPr>
            <w:r>
              <w:rPr>
                <w:w w:val="95"/>
                <w:sz w:val="19"/>
              </w:rPr>
              <w:t>13.02</w:t>
            </w:r>
          </w:p>
        </w:tc>
      </w:tr>
      <w:tr>
        <w:trPr>
          <w:trHeight w:val="230" w:hRule="exact"/>
        </w:trPr>
        <w:tc>
          <w:tcPr>
            <w:tcW w:w="3312" w:type="dxa"/>
          </w:tcPr>
          <w:p>
            <w:pPr>
              <w:pStyle w:val="TableParagraph"/>
              <w:spacing w:line="216" w:lineRule="exact"/>
              <w:ind w:left="33"/>
              <w:jc w:val="left"/>
              <w:rPr>
                <w:sz w:val="19"/>
              </w:rPr>
            </w:pPr>
            <w:r>
              <w:rPr>
                <w:sz w:val="19"/>
              </w:rPr>
              <w:t>% unidades 10 años de edad o menos</w:t>
            </w:r>
          </w:p>
        </w:tc>
        <w:tc>
          <w:tcPr>
            <w:tcW w:w="1423" w:type="dxa"/>
          </w:tcPr>
          <w:p>
            <w:pPr>
              <w:pStyle w:val="TableParagraph"/>
              <w:spacing w:line="216" w:lineRule="exact"/>
              <w:ind w:right="716"/>
              <w:rPr>
                <w:sz w:val="19"/>
              </w:rPr>
            </w:pPr>
            <w:r>
              <w:rPr>
                <w:w w:val="95"/>
                <w:sz w:val="19"/>
              </w:rPr>
              <w:t>56.68</w:t>
            </w:r>
          </w:p>
        </w:tc>
        <w:tc>
          <w:tcPr>
            <w:tcW w:w="1218" w:type="dxa"/>
          </w:tcPr>
          <w:p>
            <w:pPr>
              <w:pStyle w:val="TableParagraph"/>
              <w:spacing w:line="216" w:lineRule="exact"/>
              <w:ind w:right="68"/>
              <w:rPr>
                <w:sz w:val="19"/>
              </w:rPr>
            </w:pPr>
            <w:r>
              <w:rPr>
                <w:w w:val="95"/>
                <w:sz w:val="19"/>
              </w:rPr>
              <w:t>33.62</w:t>
            </w:r>
          </w:p>
        </w:tc>
      </w:tr>
      <w:tr>
        <w:trPr>
          <w:trHeight w:val="228" w:hRule="exact"/>
        </w:trPr>
        <w:tc>
          <w:tcPr>
            <w:tcW w:w="3312" w:type="dxa"/>
            <w:tcBorders>
              <w:bottom w:val="single" w:sz="4" w:space="0" w:color="000000"/>
            </w:tcBorders>
          </w:tcPr>
          <w:p>
            <w:pPr>
              <w:pStyle w:val="TableParagraph"/>
              <w:spacing w:line="216" w:lineRule="exact"/>
              <w:ind w:left="33"/>
              <w:jc w:val="left"/>
              <w:rPr>
                <w:sz w:val="19"/>
              </w:rPr>
            </w:pPr>
            <w:r>
              <w:rPr>
                <w:sz w:val="19"/>
              </w:rPr>
              <w:t>N*</w:t>
            </w:r>
          </w:p>
        </w:tc>
        <w:tc>
          <w:tcPr>
            <w:tcW w:w="1423" w:type="dxa"/>
            <w:tcBorders>
              <w:bottom w:val="single" w:sz="4" w:space="0" w:color="000000"/>
            </w:tcBorders>
          </w:tcPr>
          <w:p>
            <w:pPr>
              <w:pStyle w:val="TableParagraph"/>
              <w:spacing w:line="216" w:lineRule="exact"/>
              <w:ind w:right="716"/>
              <w:rPr>
                <w:sz w:val="19"/>
              </w:rPr>
            </w:pPr>
            <w:r>
              <w:rPr>
                <w:w w:val="95"/>
                <w:sz w:val="19"/>
              </w:rPr>
              <w:t>182</w:t>
            </w:r>
          </w:p>
        </w:tc>
        <w:tc>
          <w:tcPr>
            <w:tcW w:w="1218" w:type="dxa"/>
            <w:tcBorders>
              <w:bottom w:val="single" w:sz="4" w:space="0" w:color="000000"/>
            </w:tcBorders>
          </w:tcPr>
          <w:p>
            <w:pPr/>
          </w:p>
        </w:tc>
      </w:tr>
    </w:tbl>
    <w:p>
      <w:pPr>
        <w:spacing w:line="179" w:lineRule="exact" w:before="0"/>
        <w:ind w:left="142" w:right="242" w:firstLine="0"/>
        <w:jc w:val="left"/>
        <w:rPr>
          <w:sz w:val="16"/>
        </w:rPr>
      </w:pPr>
      <w:r>
        <w:rPr>
          <w:sz w:val="16"/>
        </w:rPr>
        <w:t>* A través de todas las variables.</w:t>
      </w:r>
    </w:p>
    <w:p>
      <w:pPr>
        <w:pStyle w:val="BodyText"/>
        <w:spacing w:line="249" w:lineRule="auto" w:before="92"/>
        <w:ind w:left="193" w:right="188" w:firstLine="283"/>
        <w:jc w:val="both"/>
      </w:pPr>
      <w:r>
        <w:rPr>
          <w:color w:val="231F20"/>
        </w:rPr>
        <w:t>Sin embargo, el porcentaje de hogares encabezados por mujeres es mayor en las Ageb con menores niveles de pobreza que en aquellos con altos niveles. Ello concuerda con investigaciones que señalan que ma- dres solteras frecuentemente conforman arreglos residenciales con otros familiares</w:t>
      </w:r>
      <w:r>
        <w:rPr>
          <w:color w:val="231F20"/>
          <w:spacing w:val="-10"/>
        </w:rPr>
        <w:t> </w:t>
      </w:r>
      <w:r>
        <w:rPr>
          <w:color w:val="231F20"/>
        </w:rPr>
        <w:t>(padres,</w:t>
      </w:r>
      <w:r>
        <w:rPr>
          <w:color w:val="231F20"/>
          <w:spacing w:val="-9"/>
        </w:rPr>
        <w:t> </w:t>
      </w:r>
      <w:r>
        <w:rPr>
          <w:color w:val="231F20"/>
        </w:rPr>
        <w:t>hermanas,</w:t>
      </w:r>
      <w:r>
        <w:rPr>
          <w:color w:val="231F20"/>
          <w:spacing w:val="-9"/>
        </w:rPr>
        <w:t> </w:t>
      </w:r>
      <w:r>
        <w:rPr>
          <w:color w:val="231F20"/>
        </w:rPr>
        <w:t>tías)</w:t>
      </w:r>
      <w:r>
        <w:rPr>
          <w:color w:val="231F20"/>
          <w:spacing w:val="-9"/>
        </w:rPr>
        <w:t> </w:t>
      </w:r>
      <w:r>
        <w:rPr>
          <w:color w:val="231F20"/>
        </w:rPr>
        <w:t>a</w:t>
      </w:r>
      <w:r>
        <w:rPr>
          <w:color w:val="231F20"/>
          <w:spacing w:val="-9"/>
        </w:rPr>
        <w:t> </w:t>
      </w:r>
      <w:r>
        <w:rPr>
          <w:color w:val="231F20"/>
        </w:rPr>
        <w:t>fin</w:t>
      </w:r>
      <w:r>
        <w:rPr>
          <w:color w:val="231F20"/>
          <w:spacing w:val="-9"/>
        </w:rPr>
        <w:t> </w:t>
      </w:r>
      <w:r>
        <w:rPr>
          <w:color w:val="231F20"/>
        </w:rPr>
        <w:t>de</w:t>
      </w:r>
      <w:r>
        <w:rPr>
          <w:color w:val="231F20"/>
          <w:spacing w:val="-9"/>
        </w:rPr>
        <w:t> </w:t>
      </w:r>
      <w:r>
        <w:rPr>
          <w:color w:val="231F20"/>
        </w:rPr>
        <w:t>lidiar</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necesidades</w:t>
      </w:r>
      <w:r>
        <w:rPr>
          <w:color w:val="231F20"/>
          <w:spacing w:val="-9"/>
        </w:rPr>
        <w:t> </w:t>
      </w:r>
      <w:r>
        <w:rPr>
          <w:color w:val="231F20"/>
        </w:rPr>
        <w:t>eco- nómicas y con las demandas</w:t>
      </w:r>
      <w:r>
        <w:rPr>
          <w:color w:val="231F20"/>
          <w:spacing w:val="-2"/>
        </w:rPr>
        <w:t> </w:t>
      </w:r>
      <w:r>
        <w:rPr>
          <w:color w:val="231F20"/>
        </w:rPr>
        <w:t>domésticas.</w:t>
      </w:r>
    </w:p>
    <w:p>
      <w:pPr>
        <w:spacing w:after="0" w:line="249" w:lineRule="auto"/>
        <w:jc w:val="both"/>
        <w:sectPr>
          <w:footerReference w:type="default" r:id="rId207"/>
          <w:pgSz w:w="7770" w:h="11740"/>
          <w:pgMar w:footer="474" w:header="0" w:top="1000" w:bottom="660" w:left="940" w:right="660"/>
        </w:sectPr>
      </w:pPr>
    </w:p>
    <w:p>
      <w:pPr>
        <w:spacing w:before="70"/>
        <w:ind w:left="175" w:right="0" w:firstLine="0"/>
        <w:jc w:val="left"/>
        <w:rPr>
          <w:sz w:val="19"/>
        </w:rPr>
      </w:pPr>
      <w:r>
        <w:rPr/>
        <w:pict>
          <v:group style="position:absolute;margin-left:38.020042pt;margin-top:17.879229pt;width:298.150pt;height:.5pt;mso-position-horizontal-relative:page;mso-position-vertical-relative:paragraph;z-index:7264;mso-wrap-distance-left:0;mso-wrap-distance-right:0" coordorigin="760,358" coordsize="5963,10">
            <v:line style="position:absolute" from="765,363" to="4204,363" stroked="true" strokeweight=".48pt" strokecolor="#000000"/>
            <v:line style="position:absolute" from="4204,363" to="4213,363" stroked="true" strokeweight=".48pt" strokecolor="#000000"/>
            <v:line style="position:absolute" from="4213,363" to="6718,363" stroked="true" strokeweight=".48pt" strokecolor="#000000"/>
            <w10:wrap type="topAndBottom"/>
          </v:group>
        </w:pict>
      </w:r>
      <w:r>
        <w:rPr>
          <w:sz w:val="19"/>
        </w:rPr>
        <w:t>Cuadro 1c. Características de las áreas residenciales por niveles de pobreza</w:t>
      </w:r>
    </w:p>
    <w:p>
      <w:pPr>
        <w:spacing w:before="0"/>
        <w:ind w:left="0" w:right="751" w:firstLine="0"/>
        <w:jc w:val="right"/>
        <w:rPr>
          <w:sz w:val="19"/>
        </w:rPr>
      </w:pPr>
      <w:r>
        <w:rPr>
          <w:sz w:val="19"/>
        </w:rPr>
        <w:t>35.01% a 60%</w:t>
      </w:r>
    </w:p>
    <w:p>
      <w:pPr>
        <w:tabs>
          <w:tab w:pos="3687" w:val="left" w:leader="none"/>
          <w:tab w:pos="4502" w:val="left" w:leader="none"/>
        </w:tabs>
        <w:spacing w:before="12"/>
        <w:ind w:left="105" w:right="0" w:firstLine="0"/>
        <w:jc w:val="left"/>
        <w:rPr>
          <w:sz w:val="19"/>
        </w:rPr>
      </w:pPr>
      <w:r>
        <w:rPr>
          <w:w w:val="99"/>
          <w:sz w:val="19"/>
          <w:u w:val="single"/>
        </w:rPr>
        <w:t> </w:t>
      </w:r>
      <w:r>
        <w:rPr>
          <w:sz w:val="19"/>
          <w:u w:val="single"/>
        </w:rPr>
        <w:tab/>
        <w:t>Media</w:t>
        <w:tab/>
        <w:t>Desviación</w:t>
      </w:r>
      <w:r>
        <w:rPr>
          <w:spacing w:val="5"/>
          <w:sz w:val="19"/>
          <w:u w:val="single"/>
        </w:rPr>
        <w:t> </w:t>
      </w:r>
      <w:r>
        <w:rPr>
          <w:sz w:val="19"/>
          <w:u w:val="single"/>
        </w:rPr>
        <w:t>estándar</w:t>
      </w:r>
    </w:p>
    <w:p>
      <w:pPr>
        <w:spacing w:before="60" w:after="37"/>
        <w:ind w:left="175" w:right="242" w:firstLine="0"/>
        <w:jc w:val="left"/>
        <w:rPr>
          <w:i/>
          <w:sz w:val="19"/>
        </w:rPr>
      </w:pPr>
      <w:r>
        <w:rPr>
          <w:i/>
          <w:sz w:val="19"/>
        </w:rPr>
        <w:t>Indicadores de pobreza</w:t>
      </w: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64"/>
        <w:gridCol w:w="1430"/>
        <w:gridCol w:w="1159"/>
      </w:tblGrid>
      <w:tr>
        <w:trPr>
          <w:trHeight w:val="250" w:hRule="exact"/>
        </w:trPr>
        <w:tc>
          <w:tcPr>
            <w:tcW w:w="3364" w:type="dxa"/>
          </w:tcPr>
          <w:p>
            <w:pPr>
              <w:pStyle w:val="TableParagraph"/>
              <w:spacing w:before="17"/>
              <w:ind w:left="70"/>
              <w:jc w:val="left"/>
              <w:rPr>
                <w:sz w:val="19"/>
              </w:rPr>
            </w:pPr>
            <w:r>
              <w:rPr>
                <w:sz w:val="19"/>
              </w:rPr>
              <w:t>Ingreso diario per cápita del hogar</w:t>
            </w:r>
          </w:p>
        </w:tc>
        <w:tc>
          <w:tcPr>
            <w:tcW w:w="1430" w:type="dxa"/>
          </w:tcPr>
          <w:p>
            <w:pPr>
              <w:pStyle w:val="TableParagraph"/>
              <w:spacing w:before="17"/>
              <w:ind w:right="719"/>
              <w:rPr>
                <w:sz w:val="19"/>
              </w:rPr>
            </w:pPr>
            <w:r>
              <w:rPr>
                <w:sz w:val="19"/>
              </w:rPr>
              <w:t>41.58</w:t>
            </w:r>
          </w:p>
        </w:tc>
        <w:tc>
          <w:tcPr>
            <w:tcW w:w="1159" w:type="dxa"/>
          </w:tcPr>
          <w:p>
            <w:pPr>
              <w:pStyle w:val="TableParagraph"/>
              <w:spacing w:before="17"/>
              <w:ind w:right="4"/>
              <w:rPr>
                <w:sz w:val="19"/>
              </w:rPr>
            </w:pPr>
            <w:r>
              <w:rPr>
                <w:sz w:val="19"/>
              </w:rPr>
              <w:t>13.39</w:t>
            </w:r>
          </w:p>
        </w:tc>
      </w:tr>
      <w:tr>
        <w:trPr>
          <w:trHeight w:val="228" w:hRule="exact"/>
        </w:trPr>
        <w:tc>
          <w:tcPr>
            <w:tcW w:w="3364" w:type="dxa"/>
          </w:tcPr>
          <w:p>
            <w:pPr>
              <w:pStyle w:val="TableParagraph"/>
              <w:spacing w:line="216" w:lineRule="exact"/>
              <w:ind w:left="70"/>
              <w:jc w:val="left"/>
              <w:rPr>
                <w:sz w:val="19"/>
              </w:rPr>
            </w:pPr>
            <w:r>
              <w:rPr>
                <w:sz w:val="19"/>
              </w:rPr>
              <w:t>Proporción de hogares pobres</w:t>
            </w:r>
          </w:p>
        </w:tc>
        <w:tc>
          <w:tcPr>
            <w:tcW w:w="1430" w:type="dxa"/>
          </w:tcPr>
          <w:p>
            <w:pPr>
              <w:pStyle w:val="TableParagraph"/>
              <w:spacing w:line="216" w:lineRule="exact"/>
              <w:ind w:right="719"/>
              <w:rPr>
                <w:sz w:val="19"/>
              </w:rPr>
            </w:pPr>
            <w:r>
              <w:rPr>
                <w:sz w:val="19"/>
              </w:rPr>
              <w:t>0.46</w:t>
            </w:r>
          </w:p>
        </w:tc>
        <w:tc>
          <w:tcPr>
            <w:tcW w:w="1159" w:type="dxa"/>
          </w:tcPr>
          <w:p>
            <w:pPr>
              <w:pStyle w:val="TableParagraph"/>
              <w:spacing w:line="216" w:lineRule="exact"/>
              <w:ind w:right="4"/>
              <w:rPr>
                <w:sz w:val="19"/>
              </w:rPr>
            </w:pPr>
            <w:r>
              <w:rPr>
                <w:sz w:val="19"/>
              </w:rPr>
              <w:t>0.07</w:t>
            </w:r>
          </w:p>
        </w:tc>
      </w:tr>
      <w:tr>
        <w:trPr>
          <w:trHeight w:val="257" w:hRule="exact"/>
        </w:trPr>
        <w:tc>
          <w:tcPr>
            <w:tcW w:w="3364" w:type="dxa"/>
          </w:tcPr>
          <w:p>
            <w:pPr>
              <w:pStyle w:val="TableParagraph"/>
              <w:spacing w:line="214" w:lineRule="exact"/>
              <w:ind w:left="70"/>
              <w:jc w:val="left"/>
              <w:rPr>
                <w:sz w:val="19"/>
              </w:rPr>
            </w:pPr>
            <w:r>
              <w:rPr>
                <w:sz w:val="19"/>
              </w:rPr>
              <w:t>Desviación logarítmica media (ingresos)</w:t>
            </w:r>
          </w:p>
        </w:tc>
        <w:tc>
          <w:tcPr>
            <w:tcW w:w="1430" w:type="dxa"/>
          </w:tcPr>
          <w:p>
            <w:pPr>
              <w:pStyle w:val="TableParagraph"/>
              <w:spacing w:line="214" w:lineRule="exact"/>
              <w:ind w:right="719"/>
              <w:rPr>
                <w:sz w:val="19"/>
              </w:rPr>
            </w:pPr>
            <w:r>
              <w:rPr>
                <w:sz w:val="19"/>
              </w:rPr>
              <w:t>0.26</w:t>
            </w:r>
          </w:p>
        </w:tc>
        <w:tc>
          <w:tcPr>
            <w:tcW w:w="1159" w:type="dxa"/>
          </w:tcPr>
          <w:p>
            <w:pPr>
              <w:pStyle w:val="TableParagraph"/>
              <w:spacing w:line="214" w:lineRule="exact"/>
              <w:ind w:right="4"/>
              <w:rPr>
                <w:sz w:val="19"/>
              </w:rPr>
            </w:pPr>
            <w:r>
              <w:rPr>
                <w:sz w:val="19"/>
              </w:rPr>
              <w:t>0.15</w:t>
            </w:r>
          </w:p>
        </w:tc>
      </w:tr>
      <w:tr>
        <w:trPr>
          <w:trHeight w:val="286" w:hRule="exact"/>
        </w:trPr>
        <w:tc>
          <w:tcPr>
            <w:tcW w:w="3364" w:type="dxa"/>
          </w:tcPr>
          <w:p>
            <w:pPr>
              <w:pStyle w:val="TableParagraph"/>
              <w:spacing w:before="26"/>
              <w:ind w:left="70"/>
              <w:jc w:val="left"/>
              <w:rPr>
                <w:i/>
                <w:sz w:val="19"/>
              </w:rPr>
            </w:pPr>
            <w:r>
              <w:rPr>
                <w:i/>
                <w:sz w:val="19"/>
              </w:rPr>
              <w:t>Salarios y horas de trabajo</w:t>
            </w:r>
          </w:p>
        </w:tc>
        <w:tc>
          <w:tcPr>
            <w:tcW w:w="1430" w:type="dxa"/>
          </w:tcPr>
          <w:p>
            <w:pPr/>
          </w:p>
        </w:tc>
        <w:tc>
          <w:tcPr>
            <w:tcW w:w="1159" w:type="dxa"/>
          </w:tcPr>
          <w:p>
            <w:pPr/>
          </w:p>
        </w:tc>
      </w:tr>
      <w:tr>
        <w:trPr>
          <w:trHeight w:val="257" w:hRule="exact"/>
        </w:trPr>
        <w:tc>
          <w:tcPr>
            <w:tcW w:w="3364" w:type="dxa"/>
          </w:tcPr>
          <w:p>
            <w:pPr>
              <w:pStyle w:val="TableParagraph"/>
              <w:spacing w:before="24"/>
              <w:ind w:left="70"/>
              <w:jc w:val="left"/>
              <w:rPr>
                <w:sz w:val="19"/>
              </w:rPr>
            </w:pPr>
            <w:r>
              <w:rPr>
                <w:sz w:val="19"/>
              </w:rPr>
              <w:t>Media de horas trabajadas al mes</w:t>
            </w:r>
          </w:p>
        </w:tc>
        <w:tc>
          <w:tcPr>
            <w:tcW w:w="1430" w:type="dxa"/>
          </w:tcPr>
          <w:p>
            <w:pPr>
              <w:pStyle w:val="TableParagraph"/>
              <w:spacing w:before="24"/>
              <w:ind w:right="719"/>
              <w:rPr>
                <w:sz w:val="19"/>
              </w:rPr>
            </w:pPr>
            <w:r>
              <w:rPr>
                <w:sz w:val="19"/>
              </w:rPr>
              <w:t>188.18</w:t>
            </w:r>
          </w:p>
        </w:tc>
        <w:tc>
          <w:tcPr>
            <w:tcW w:w="1159" w:type="dxa"/>
          </w:tcPr>
          <w:p>
            <w:pPr>
              <w:pStyle w:val="TableParagraph"/>
              <w:spacing w:before="24"/>
              <w:ind w:right="4"/>
              <w:rPr>
                <w:sz w:val="19"/>
              </w:rPr>
            </w:pPr>
            <w:r>
              <w:rPr>
                <w:sz w:val="19"/>
              </w:rPr>
              <w:t>16.45</w:t>
            </w:r>
          </w:p>
        </w:tc>
      </w:tr>
      <w:tr>
        <w:trPr>
          <w:trHeight w:val="252" w:hRule="exact"/>
        </w:trPr>
        <w:tc>
          <w:tcPr>
            <w:tcW w:w="3364" w:type="dxa"/>
          </w:tcPr>
          <w:p>
            <w:pPr>
              <w:pStyle w:val="TableParagraph"/>
              <w:spacing w:line="216" w:lineRule="exact"/>
              <w:ind w:left="70"/>
              <w:jc w:val="left"/>
              <w:rPr>
                <w:sz w:val="19"/>
              </w:rPr>
            </w:pPr>
            <w:r>
              <w:rPr>
                <w:sz w:val="19"/>
              </w:rPr>
              <w:t>Mediana de ingresos laborales por hora</w:t>
            </w:r>
          </w:p>
        </w:tc>
        <w:tc>
          <w:tcPr>
            <w:tcW w:w="1430" w:type="dxa"/>
          </w:tcPr>
          <w:p>
            <w:pPr>
              <w:pStyle w:val="TableParagraph"/>
              <w:spacing w:line="216" w:lineRule="exact"/>
              <w:ind w:right="719"/>
              <w:rPr>
                <w:sz w:val="19"/>
              </w:rPr>
            </w:pPr>
            <w:r>
              <w:rPr>
                <w:sz w:val="19"/>
              </w:rPr>
              <w:t>11.55</w:t>
            </w:r>
          </w:p>
        </w:tc>
        <w:tc>
          <w:tcPr>
            <w:tcW w:w="1159" w:type="dxa"/>
          </w:tcPr>
          <w:p>
            <w:pPr>
              <w:pStyle w:val="TableParagraph"/>
              <w:spacing w:line="216" w:lineRule="exact"/>
              <w:ind w:right="4"/>
              <w:rPr>
                <w:sz w:val="19"/>
              </w:rPr>
            </w:pPr>
            <w:r>
              <w:rPr>
                <w:sz w:val="19"/>
              </w:rPr>
              <w:t>2.75</w:t>
            </w:r>
          </w:p>
        </w:tc>
      </w:tr>
      <w:tr>
        <w:trPr>
          <w:trHeight w:val="271" w:hRule="exact"/>
        </w:trPr>
        <w:tc>
          <w:tcPr>
            <w:tcW w:w="3364" w:type="dxa"/>
          </w:tcPr>
          <w:p>
            <w:pPr>
              <w:pStyle w:val="TableParagraph"/>
              <w:spacing w:before="19"/>
              <w:ind w:left="70"/>
              <w:jc w:val="left"/>
              <w:rPr>
                <w:i/>
                <w:sz w:val="19"/>
              </w:rPr>
            </w:pPr>
            <w:r>
              <w:rPr>
                <w:i/>
                <w:sz w:val="19"/>
              </w:rPr>
              <w:t>Sociodemográficas</w:t>
            </w:r>
          </w:p>
        </w:tc>
        <w:tc>
          <w:tcPr>
            <w:tcW w:w="1430" w:type="dxa"/>
          </w:tcPr>
          <w:p>
            <w:pPr/>
          </w:p>
        </w:tc>
        <w:tc>
          <w:tcPr>
            <w:tcW w:w="1159" w:type="dxa"/>
          </w:tcPr>
          <w:p>
            <w:pPr/>
          </w:p>
        </w:tc>
      </w:tr>
      <w:tr>
        <w:trPr>
          <w:trHeight w:val="250" w:hRule="exact"/>
        </w:trPr>
        <w:tc>
          <w:tcPr>
            <w:tcW w:w="3364" w:type="dxa"/>
          </w:tcPr>
          <w:p>
            <w:pPr>
              <w:pStyle w:val="TableParagraph"/>
              <w:spacing w:before="17"/>
              <w:ind w:left="70"/>
              <w:jc w:val="left"/>
              <w:rPr>
                <w:sz w:val="19"/>
              </w:rPr>
            </w:pPr>
            <w:r>
              <w:rPr>
                <w:sz w:val="19"/>
              </w:rPr>
              <w:t>Escolaridad promedio</w:t>
            </w:r>
          </w:p>
        </w:tc>
        <w:tc>
          <w:tcPr>
            <w:tcW w:w="1430" w:type="dxa"/>
          </w:tcPr>
          <w:p>
            <w:pPr>
              <w:pStyle w:val="TableParagraph"/>
              <w:spacing w:before="17"/>
              <w:ind w:right="719"/>
              <w:rPr>
                <w:sz w:val="19"/>
              </w:rPr>
            </w:pPr>
            <w:r>
              <w:rPr>
                <w:sz w:val="19"/>
              </w:rPr>
              <w:t>8.57</w:t>
            </w:r>
          </w:p>
        </w:tc>
        <w:tc>
          <w:tcPr>
            <w:tcW w:w="1159" w:type="dxa"/>
          </w:tcPr>
          <w:p>
            <w:pPr>
              <w:pStyle w:val="TableParagraph"/>
              <w:spacing w:before="17"/>
              <w:ind w:right="4"/>
              <w:rPr>
                <w:sz w:val="19"/>
              </w:rPr>
            </w:pPr>
            <w:r>
              <w:rPr>
                <w:w w:val="95"/>
                <w:sz w:val="19"/>
              </w:rPr>
              <w:t>1.2</w:t>
            </w:r>
          </w:p>
        </w:tc>
      </w:tr>
      <w:tr>
        <w:trPr>
          <w:trHeight w:val="250" w:hRule="exact"/>
        </w:trPr>
        <w:tc>
          <w:tcPr>
            <w:tcW w:w="3364" w:type="dxa"/>
          </w:tcPr>
          <w:p>
            <w:pPr>
              <w:pStyle w:val="TableParagraph"/>
              <w:spacing w:line="216" w:lineRule="exact"/>
              <w:ind w:left="70"/>
              <w:jc w:val="left"/>
              <w:rPr>
                <w:sz w:val="19"/>
              </w:rPr>
            </w:pPr>
            <w:r>
              <w:rPr>
                <w:sz w:val="19"/>
              </w:rPr>
              <w:t>Porcentaje de población indígena</w:t>
            </w:r>
          </w:p>
        </w:tc>
        <w:tc>
          <w:tcPr>
            <w:tcW w:w="1430" w:type="dxa"/>
          </w:tcPr>
          <w:p>
            <w:pPr>
              <w:pStyle w:val="TableParagraph"/>
              <w:spacing w:line="216" w:lineRule="exact"/>
              <w:ind w:right="719"/>
              <w:rPr>
                <w:sz w:val="19"/>
              </w:rPr>
            </w:pPr>
            <w:r>
              <w:rPr>
                <w:sz w:val="19"/>
              </w:rPr>
              <w:t>3.99</w:t>
            </w:r>
          </w:p>
        </w:tc>
        <w:tc>
          <w:tcPr>
            <w:tcW w:w="1159" w:type="dxa"/>
          </w:tcPr>
          <w:p>
            <w:pPr>
              <w:pStyle w:val="TableParagraph"/>
              <w:spacing w:line="216" w:lineRule="exact"/>
              <w:ind w:right="4"/>
              <w:rPr>
                <w:sz w:val="19"/>
              </w:rPr>
            </w:pPr>
            <w:r>
              <w:rPr>
                <w:sz w:val="19"/>
              </w:rPr>
              <w:t>5.51</w:t>
            </w:r>
          </w:p>
        </w:tc>
      </w:tr>
      <w:tr>
        <w:trPr>
          <w:trHeight w:val="271" w:hRule="exact"/>
        </w:trPr>
        <w:tc>
          <w:tcPr>
            <w:tcW w:w="3364" w:type="dxa"/>
          </w:tcPr>
          <w:p>
            <w:pPr>
              <w:pStyle w:val="TableParagraph"/>
              <w:spacing w:before="17"/>
              <w:ind w:left="70"/>
              <w:jc w:val="left"/>
              <w:rPr>
                <w:i/>
                <w:sz w:val="19"/>
              </w:rPr>
            </w:pPr>
            <w:r>
              <w:rPr>
                <w:i/>
                <w:sz w:val="19"/>
              </w:rPr>
              <w:t>Empleo (promedios)</w:t>
            </w:r>
          </w:p>
        </w:tc>
        <w:tc>
          <w:tcPr>
            <w:tcW w:w="1430" w:type="dxa"/>
          </w:tcPr>
          <w:p>
            <w:pPr/>
          </w:p>
        </w:tc>
        <w:tc>
          <w:tcPr>
            <w:tcW w:w="1159" w:type="dxa"/>
          </w:tcPr>
          <w:p>
            <w:pPr/>
          </w:p>
        </w:tc>
      </w:tr>
      <w:tr>
        <w:trPr>
          <w:trHeight w:val="252" w:hRule="exact"/>
        </w:trPr>
        <w:tc>
          <w:tcPr>
            <w:tcW w:w="3364" w:type="dxa"/>
          </w:tcPr>
          <w:p>
            <w:pPr>
              <w:pStyle w:val="TableParagraph"/>
              <w:spacing w:before="19"/>
              <w:ind w:left="70"/>
              <w:jc w:val="left"/>
              <w:rPr>
                <w:sz w:val="19"/>
              </w:rPr>
            </w:pPr>
            <w:r>
              <w:rPr>
                <w:sz w:val="19"/>
              </w:rPr>
              <w:t>% empleo informal</w:t>
            </w:r>
          </w:p>
        </w:tc>
        <w:tc>
          <w:tcPr>
            <w:tcW w:w="1430" w:type="dxa"/>
          </w:tcPr>
          <w:p>
            <w:pPr>
              <w:pStyle w:val="TableParagraph"/>
              <w:spacing w:before="19"/>
              <w:ind w:right="719"/>
              <w:rPr>
                <w:sz w:val="19"/>
              </w:rPr>
            </w:pPr>
            <w:r>
              <w:rPr>
                <w:sz w:val="19"/>
              </w:rPr>
              <w:t>41.44</w:t>
            </w:r>
          </w:p>
        </w:tc>
        <w:tc>
          <w:tcPr>
            <w:tcW w:w="1159" w:type="dxa"/>
          </w:tcPr>
          <w:p>
            <w:pPr>
              <w:pStyle w:val="TableParagraph"/>
              <w:spacing w:before="19"/>
              <w:ind w:right="4"/>
              <w:rPr>
                <w:sz w:val="19"/>
              </w:rPr>
            </w:pPr>
            <w:r>
              <w:rPr>
                <w:sz w:val="19"/>
              </w:rPr>
              <w:t>13.32</w:t>
            </w:r>
          </w:p>
        </w:tc>
      </w:tr>
      <w:tr>
        <w:trPr>
          <w:trHeight w:val="230" w:hRule="exact"/>
        </w:trPr>
        <w:tc>
          <w:tcPr>
            <w:tcW w:w="3364" w:type="dxa"/>
          </w:tcPr>
          <w:p>
            <w:pPr>
              <w:pStyle w:val="TableParagraph"/>
              <w:spacing w:line="216" w:lineRule="exact"/>
              <w:ind w:left="70"/>
              <w:jc w:val="left"/>
              <w:rPr>
                <w:sz w:val="19"/>
              </w:rPr>
            </w:pPr>
            <w:r>
              <w:rPr>
                <w:sz w:val="19"/>
              </w:rPr>
              <w:t>% trabajadores por cuenta propia</w:t>
            </w:r>
          </w:p>
        </w:tc>
        <w:tc>
          <w:tcPr>
            <w:tcW w:w="1430" w:type="dxa"/>
          </w:tcPr>
          <w:p>
            <w:pPr>
              <w:pStyle w:val="TableParagraph"/>
              <w:spacing w:line="216" w:lineRule="exact"/>
              <w:ind w:right="719"/>
              <w:rPr>
                <w:sz w:val="19"/>
              </w:rPr>
            </w:pPr>
            <w:r>
              <w:rPr>
                <w:sz w:val="19"/>
              </w:rPr>
              <w:t>23.39</w:t>
            </w:r>
          </w:p>
        </w:tc>
        <w:tc>
          <w:tcPr>
            <w:tcW w:w="1159" w:type="dxa"/>
          </w:tcPr>
          <w:p>
            <w:pPr>
              <w:pStyle w:val="TableParagraph"/>
              <w:spacing w:line="216" w:lineRule="exact"/>
              <w:ind w:right="4"/>
              <w:rPr>
                <w:sz w:val="19"/>
              </w:rPr>
            </w:pPr>
            <w:r>
              <w:rPr>
                <w:sz w:val="19"/>
              </w:rPr>
              <w:t>10.68</w:t>
            </w:r>
          </w:p>
        </w:tc>
      </w:tr>
      <w:tr>
        <w:trPr>
          <w:trHeight w:val="230" w:hRule="exact"/>
        </w:trPr>
        <w:tc>
          <w:tcPr>
            <w:tcW w:w="3364" w:type="dxa"/>
          </w:tcPr>
          <w:p>
            <w:pPr>
              <w:pStyle w:val="TableParagraph"/>
              <w:spacing w:line="216" w:lineRule="exact"/>
              <w:ind w:left="70"/>
              <w:jc w:val="left"/>
              <w:rPr>
                <w:sz w:val="19"/>
              </w:rPr>
            </w:pPr>
            <w:r>
              <w:rPr>
                <w:sz w:val="19"/>
              </w:rPr>
              <w:t>% trabajadores asalariados</w:t>
            </w:r>
          </w:p>
        </w:tc>
        <w:tc>
          <w:tcPr>
            <w:tcW w:w="1430" w:type="dxa"/>
          </w:tcPr>
          <w:p>
            <w:pPr>
              <w:pStyle w:val="TableParagraph"/>
              <w:spacing w:line="216" w:lineRule="exact"/>
              <w:ind w:right="719"/>
              <w:rPr>
                <w:sz w:val="19"/>
              </w:rPr>
            </w:pPr>
            <w:r>
              <w:rPr>
                <w:sz w:val="19"/>
              </w:rPr>
              <w:t>73.21</w:t>
            </w:r>
          </w:p>
        </w:tc>
        <w:tc>
          <w:tcPr>
            <w:tcW w:w="1159" w:type="dxa"/>
          </w:tcPr>
          <w:p>
            <w:pPr>
              <w:pStyle w:val="TableParagraph"/>
              <w:spacing w:line="216" w:lineRule="exact"/>
              <w:ind w:right="4"/>
              <w:rPr>
                <w:sz w:val="19"/>
              </w:rPr>
            </w:pPr>
            <w:r>
              <w:rPr>
                <w:sz w:val="19"/>
              </w:rPr>
              <w:t>12.37</w:t>
            </w:r>
          </w:p>
        </w:tc>
      </w:tr>
      <w:tr>
        <w:trPr>
          <w:trHeight w:val="228" w:hRule="exact"/>
        </w:trPr>
        <w:tc>
          <w:tcPr>
            <w:tcW w:w="3364" w:type="dxa"/>
          </w:tcPr>
          <w:p>
            <w:pPr>
              <w:pStyle w:val="TableParagraph"/>
              <w:spacing w:line="216" w:lineRule="exact"/>
              <w:ind w:left="70"/>
              <w:jc w:val="left"/>
              <w:rPr>
                <w:sz w:val="19"/>
              </w:rPr>
            </w:pPr>
            <w:r>
              <w:rPr>
                <w:sz w:val="19"/>
              </w:rPr>
              <w:t>% trabajadores familiares</w:t>
            </w:r>
          </w:p>
        </w:tc>
        <w:tc>
          <w:tcPr>
            <w:tcW w:w="1430" w:type="dxa"/>
          </w:tcPr>
          <w:p>
            <w:pPr>
              <w:pStyle w:val="TableParagraph"/>
              <w:spacing w:line="216" w:lineRule="exact"/>
              <w:ind w:right="719"/>
              <w:rPr>
                <w:sz w:val="19"/>
              </w:rPr>
            </w:pPr>
            <w:r>
              <w:rPr>
                <w:sz w:val="19"/>
              </w:rPr>
              <w:t>1.92</w:t>
            </w:r>
          </w:p>
        </w:tc>
        <w:tc>
          <w:tcPr>
            <w:tcW w:w="1159" w:type="dxa"/>
          </w:tcPr>
          <w:p>
            <w:pPr>
              <w:pStyle w:val="TableParagraph"/>
              <w:spacing w:line="216" w:lineRule="exact"/>
              <w:ind w:right="4"/>
              <w:rPr>
                <w:sz w:val="19"/>
              </w:rPr>
            </w:pPr>
            <w:r>
              <w:rPr>
                <w:sz w:val="19"/>
              </w:rPr>
              <w:t>3.11</w:t>
            </w:r>
          </w:p>
        </w:tc>
      </w:tr>
      <w:tr>
        <w:trPr>
          <w:trHeight w:val="228" w:hRule="exact"/>
        </w:trPr>
        <w:tc>
          <w:tcPr>
            <w:tcW w:w="3364" w:type="dxa"/>
          </w:tcPr>
          <w:p>
            <w:pPr>
              <w:pStyle w:val="TableParagraph"/>
              <w:spacing w:line="214" w:lineRule="exact"/>
              <w:ind w:left="70"/>
              <w:jc w:val="left"/>
              <w:rPr>
                <w:sz w:val="19"/>
              </w:rPr>
            </w:pPr>
            <w:r>
              <w:rPr>
                <w:sz w:val="19"/>
              </w:rPr>
              <w:t>% desempleados</w:t>
            </w:r>
          </w:p>
        </w:tc>
        <w:tc>
          <w:tcPr>
            <w:tcW w:w="1430" w:type="dxa"/>
          </w:tcPr>
          <w:p>
            <w:pPr>
              <w:pStyle w:val="TableParagraph"/>
              <w:spacing w:line="214" w:lineRule="exact"/>
              <w:ind w:right="719"/>
              <w:rPr>
                <w:sz w:val="19"/>
              </w:rPr>
            </w:pPr>
            <w:r>
              <w:rPr>
                <w:sz w:val="19"/>
              </w:rPr>
              <w:t>1.77</w:t>
            </w:r>
          </w:p>
        </w:tc>
        <w:tc>
          <w:tcPr>
            <w:tcW w:w="1159" w:type="dxa"/>
          </w:tcPr>
          <w:p>
            <w:pPr>
              <w:pStyle w:val="TableParagraph"/>
              <w:spacing w:line="214" w:lineRule="exact"/>
              <w:ind w:right="4"/>
              <w:rPr>
                <w:sz w:val="19"/>
              </w:rPr>
            </w:pPr>
            <w:r>
              <w:rPr>
                <w:sz w:val="19"/>
              </w:rPr>
              <w:t>2.02</w:t>
            </w:r>
          </w:p>
        </w:tc>
      </w:tr>
      <w:tr>
        <w:trPr>
          <w:trHeight w:val="252" w:hRule="exact"/>
        </w:trPr>
        <w:tc>
          <w:tcPr>
            <w:tcW w:w="3364" w:type="dxa"/>
          </w:tcPr>
          <w:p>
            <w:pPr>
              <w:pStyle w:val="TableParagraph"/>
              <w:spacing w:line="216" w:lineRule="exact"/>
              <w:ind w:left="70"/>
              <w:jc w:val="left"/>
              <w:rPr>
                <w:sz w:val="19"/>
              </w:rPr>
            </w:pPr>
            <w:r>
              <w:rPr>
                <w:sz w:val="19"/>
              </w:rPr>
              <w:t>% trabajadores marginales</w:t>
            </w:r>
          </w:p>
        </w:tc>
        <w:tc>
          <w:tcPr>
            <w:tcW w:w="1430" w:type="dxa"/>
          </w:tcPr>
          <w:p>
            <w:pPr>
              <w:pStyle w:val="TableParagraph"/>
              <w:spacing w:line="216" w:lineRule="exact"/>
              <w:ind w:right="719"/>
              <w:rPr>
                <w:sz w:val="19"/>
              </w:rPr>
            </w:pPr>
            <w:r>
              <w:rPr>
                <w:sz w:val="19"/>
              </w:rPr>
              <w:t>40.69</w:t>
            </w:r>
          </w:p>
        </w:tc>
        <w:tc>
          <w:tcPr>
            <w:tcW w:w="1159" w:type="dxa"/>
          </w:tcPr>
          <w:p>
            <w:pPr>
              <w:pStyle w:val="TableParagraph"/>
              <w:spacing w:line="216" w:lineRule="exact"/>
              <w:ind w:right="4"/>
              <w:rPr>
                <w:sz w:val="19"/>
              </w:rPr>
            </w:pPr>
            <w:r>
              <w:rPr>
                <w:sz w:val="19"/>
              </w:rPr>
              <w:t>11.17</w:t>
            </w:r>
          </w:p>
        </w:tc>
      </w:tr>
      <w:tr>
        <w:trPr>
          <w:trHeight w:val="271" w:hRule="exact"/>
        </w:trPr>
        <w:tc>
          <w:tcPr>
            <w:tcW w:w="3364" w:type="dxa"/>
          </w:tcPr>
          <w:p>
            <w:pPr>
              <w:pStyle w:val="TableParagraph"/>
              <w:spacing w:before="19"/>
              <w:ind w:left="70"/>
              <w:jc w:val="left"/>
              <w:rPr>
                <w:i/>
                <w:sz w:val="19"/>
              </w:rPr>
            </w:pPr>
            <w:r>
              <w:rPr>
                <w:i/>
                <w:sz w:val="19"/>
              </w:rPr>
              <w:t>Género y composición del hogar</w:t>
            </w:r>
          </w:p>
        </w:tc>
        <w:tc>
          <w:tcPr>
            <w:tcW w:w="1430" w:type="dxa"/>
          </w:tcPr>
          <w:p>
            <w:pPr/>
          </w:p>
        </w:tc>
        <w:tc>
          <w:tcPr>
            <w:tcW w:w="1159" w:type="dxa"/>
          </w:tcPr>
          <w:p>
            <w:pPr/>
          </w:p>
        </w:tc>
      </w:tr>
      <w:tr>
        <w:trPr>
          <w:trHeight w:val="250" w:hRule="exact"/>
        </w:trPr>
        <w:tc>
          <w:tcPr>
            <w:tcW w:w="3364" w:type="dxa"/>
          </w:tcPr>
          <w:p>
            <w:pPr>
              <w:pStyle w:val="TableParagraph"/>
              <w:spacing w:before="17"/>
              <w:ind w:left="70"/>
              <w:jc w:val="left"/>
              <w:rPr>
                <w:sz w:val="19"/>
              </w:rPr>
            </w:pPr>
            <w:r>
              <w:rPr>
                <w:sz w:val="19"/>
              </w:rPr>
              <w:t>% participación laboral femenina</w:t>
            </w:r>
          </w:p>
        </w:tc>
        <w:tc>
          <w:tcPr>
            <w:tcW w:w="1430" w:type="dxa"/>
          </w:tcPr>
          <w:p>
            <w:pPr>
              <w:pStyle w:val="TableParagraph"/>
              <w:spacing w:before="17"/>
              <w:ind w:right="719"/>
              <w:rPr>
                <w:sz w:val="19"/>
              </w:rPr>
            </w:pPr>
            <w:r>
              <w:rPr>
                <w:sz w:val="19"/>
              </w:rPr>
              <w:t>67</w:t>
            </w:r>
          </w:p>
        </w:tc>
        <w:tc>
          <w:tcPr>
            <w:tcW w:w="1159" w:type="dxa"/>
          </w:tcPr>
          <w:p>
            <w:pPr>
              <w:pStyle w:val="TableParagraph"/>
              <w:spacing w:before="17"/>
              <w:ind w:right="5"/>
              <w:rPr>
                <w:sz w:val="19"/>
              </w:rPr>
            </w:pPr>
            <w:r>
              <w:rPr>
                <w:w w:val="99"/>
                <w:sz w:val="19"/>
              </w:rPr>
              <w:t>8</w:t>
            </w:r>
          </w:p>
        </w:tc>
      </w:tr>
      <w:tr>
        <w:trPr>
          <w:trHeight w:val="230" w:hRule="exact"/>
        </w:trPr>
        <w:tc>
          <w:tcPr>
            <w:tcW w:w="3364" w:type="dxa"/>
          </w:tcPr>
          <w:p>
            <w:pPr>
              <w:pStyle w:val="TableParagraph"/>
              <w:spacing w:line="216" w:lineRule="exact"/>
              <w:ind w:left="70"/>
              <w:jc w:val="left"/>
              <w:rPr>
                <w:sz w:val="19"/>
              </w:rPr>
            </w:pPr>
            <w:r>
              <w:rPr>
                <w:sz w:val="19"/>
              </w:rPr>
              <w:t>% jefatura de hogar femenina</w:t>
            </w:r>
          </w:p>
        </w:tc>
        <w:tc>
          <w:tcPr>
            <w:tcW w:w="1430" w:type="dxa"/>
          </w:tcPr>
          <w:p>
            <w:pPr>
              <w:pStyle w:val="TableParagraph"/>
              <w:spacing w:line="216" w:lineRule="exact"/>
              <w:ind w:right="719"/>
              <w:rPr>
                <w:sz w:val="19"/>
              </w:rPr>
            </w:pPr>
            <w:r>
              <w:rPr>
                <w:sz w:val="19"/>
              </w:rPr>
              <w:t>18.99</w:t>
            </w:r>
          </w:p>
        </w:tc>
        <w:tc>
          <w:tcPr>
            <w:tcW w:w="1159" w:type="dxa"/>
          </w:tcPr>
          <w:p>
            <w:pPr>
              <w:pStyle w:val="TableParagraph"/>
              <w:spacing w:line="216" w:lineRule="exact"/>
              <w:ind w:right="4"/>
              <w:rPr>
                <w:sz w:val="19"/>
              </w:rPr>
            </w:pPr>
            <w:r>
              <w:rPr>
                <w:sz w:val="19"/>
              </w:rPr>
              <w:t>9.99</w:t>
            </w:r>
          </w:p>
        </w:tc>
      </w:tr>
      <w:tr>
        <w:trPr>
          <w:trHeight w:val="252" w:hRule="exact"/>
        </w:trPr>
        <w:tc>
          <w:tcPr>
            <w:tcW w:w="3364" w:type="dxa"/>
          </w:tcPr>
          <w:p>
            <w:pPr>
              <w:pStyle w:val="TableParagraph"/>
              <w:spacing w:line="216" w:lineRule="exact"/>
              <w:ind w:left="70"/>
              <w:jc w:val="left"/>
              <w:rPr>
                <w:sz w:val="19"/>
              </w:rPr>
            </w:pPr>
            <w:r>
              <w:rPr>
                <w:sz w:val="19"/>
              </w:rPr>
              <w:t>Tamaño promedio del hogar</w:t>
            </w:r>
          </w:p>
        </w:tc>
        <w:tc>
          <w:tcPr>
            <w:tcW w:w="1430" w:type="dxa"/>
          </w:tcPr>
          <w:p>
            <w:pPr>
              <w:pStyle w:val="TableParagraph"/>
              <w:spacing w:line="216" w:lineRule="exact"/>
              <w:ind w:right="719"/>
              <w:rPr>
                <w:sz w:val="19"/>
              </w:rPr>
            </w:pPr>
            <w:r>
              <w:rPr>
                <w:sz w:val="19"/>
              </w:rPr>
              <w:t>4.36</w:t>
            </w:r>
          </w:p>
        </w:tc>
        <w:tc>
          <w:tcPr>
            <w:tcW w:w="1159" w:type="dxa"/>
          </w:tcPr>
          <w:p>
            <w:pPr>
              <w:pStyle w:val="TableParagraph"/>
              <w:spacing w:line="216" w:lineRule="exact"/>
              <w:ind w:right="4"/>
              <w:rPr>
                <w:sz w:val="19"/>
              </w:rPr>
            </w:pPr>
            <w:r>
              <w:rPr>
                <w:sz w:val="19"/>
              </w:rPr>
              <w:t>0.45</w:t>
            </w:r>
          </w:p>
        </w:tc>
      </w:tr>
      <w:tr>
        <w:trPr>
          <w:trHeight w:val="271" w:hRule="exact"/>
        </w:trPr>
        <w:tc>
          <w:tcPr>
            <w:tcW w:w="3364" w:type="dxa"/>
          </w:tcPr>
          <w:p>
            <w:pPr>
              <w:pStyle w:val="TableParagraph"/>
              <w:spacing w:before="19"/>
              <w:ind w:left="70"/>
              <w:jc w:val="left"/>
              <w:rPr>
                <w:i/>
                <w:sz w:val="19"/>
              </w:rPr>
            </w:pPr>
            <w:r>
              <w:rPr>
                <w:i/>
                <w:sz w:val="19"/>
              </w:rPr>
              <w:t>Vivienda</w:t>
            </w:r>
          </w:p>
        </w:tc>
        <w:tc>
          <w:tcPr>
            <w:tcW w:w="1430" w:type="dxa"/>
          </w:tcPr>
          <w:p>
            <w:pPr/>
          </w:p>
        </w:tc>
        <w:tc>
          <w:tcPr>
            <w:tcW w:w="1159" w:type="dxa"/>
          </w:tcPr>
          <w:p>
            <w:pPr/>
          </w:p>
        </w:tc>
      </w:tr>
      <w:tr>
        <w:trPr>
          <w:trHeight w:val="250" w:hRule="exact"/>
        </w:trPr>
        <w:tc>
          <w:tcPr>
            <w:tcW w:w="3364" w:type="dxa"/>
          </w:tcPr>
          <w:p>
            <w:pPr>
              <w:pStyle w:val="TableParagraph"/>
              <w:spacing w:before="17"/>
              <w:ind w:left="70"/>
              <w:jc w:val="left"/>
              <w:rPr>
                <w:sz w:val="19"/>
              </w:rPr>
            </w:pPr>
            <w:r>
              <w:rPr>
                <w:sz w:val="19"/>
              </w:rPr>
              <w:t>% con todos los servicios</w:t>
            </w:r>
          </w:p>
        </w:tc>
        <w:tc>
          <w:tcPr>
            <w:tcW w:w="1430" w:type="dxa"/>
          </w:tcPr>
          <w:p>
            <w:pPr>
              <w:pStyle w:val="TableParagraph"/>
              <w:spacing w:before="17"/>
              <w:ind w:right="721"/>
              <w:rPr>
                <w:sz w:val="19"/>
              </w:rPr>
            </w:pPr>
            <w:r>
              <w:rPr>
                <w:w w:val="95"/>
                <w:sz w:val="19"/>
              </w:rPr>
              <w:t>40.7</w:t>
            </w:r>
          </w:p>
        </w:tc>
        <w:tc>
          <w:tcPr>
            <w:tcW w:w="1159" w:type="dxa"/>
          </w:tcPr>
          <w:p>
            <w:pPr>
              <w:pStyle w:val="TableParagraph"/>
              <w:spacing w:before="17"/>
              <w:ind w:right="4"/>
              <w:rPr>
                <w:sz w:val="19"/>
              </w:rPr>
            </w:pPr>
            <w:r>
              <w:rPr>
                <w:sz w:val="19"/>
              </w:rPr>
              <w:t>25.22</w:t>
            </w:r>
          </w:p>
        </w:tc>
      </w:tr>
      <w:tr>
        <w:trPr>
          <w:trHeight w:val="230" w:hRule="exact"/>
        </w:trPr>
        <w:tc>
          <w:tcPr>
            <w:tcW w:w="3364" w:type="dxa"/>
          </w:tcPr>
          <w:p>
            <w:pPr>
              <w:pStyle w:val="TableParagraph"/>
              <w:spacing w:line="216" w:lineRule="exact"/>
              <w:ind w:left="70"/>
              <w:jc w:val="left"/>
              <w:rPr>
                <w:sz w:val="19"/>
              </w:rPr>
            </w:pPr>
            <w:r>
              <w:rPr>
                <w:sz w:val="19"/>
              </w:rPr>
              <w:t>% vivienda propia</w:t>
            </w:r>
          </w:p>
        </w:tc>
        <w:tc>
          <w:tcPr>
            <w:tcW w:w="1430" w:type="dxa"/>
          </w:tcPr>
          <w:p>
            <w:pPr>
              <w:pStyle w:val="TableParagraph"/>
              <w:spacing w:line="216" w:lineRule="exact"/>
              <w:ind w:right="721"/>
              <w:rPr>
                <w:sz w:val="19"/>
              </w:rPr>
            </w:pPr>
            <w:r>
              <w:rPr>
                <w:w w:val="95"/>
                <w:sz w:val="19"/>
              </w:rPr>
              <w:t>85.4</w:t>
            </w:r>
          </w:p>
        </w:tc>
        <w:tc>
          <w:tcPr>
            <w:tcW w:w="1159" w:type="dxa"/>
          </w:tcPr>
          <w:p>
            <w:pPr>
              <w:pStyle w:val="TableParagraph"/>
              <w:spacing w:line="216" w:lineRule="exact"/>
              <w:ind w:right="4"/>
              <w:rPr>
                <w:sz w:val="19"/>
              </w:rPr>
            </w:pPr>
            <w:r>
              <w:rPr>
                <w:sz w:val="19"/>
              </w:rPr>
              <w:t>18.09</w:t>
            </w:r>
          </w:p>
        </w:tc>
      </w:tr>
      <w:tr>
        <w:trPr>
          <w:trHeight w:val="230" w:hRule="exact"/>
        </w:trPr>
        <w:tc>
          <w:tcPr>
            <w:tcW w:w="3364" w:type="dxa"/>
          </w:tcPr>
          <w:p>
            <w:pPr>
              <w:pStyle w:val="TableParagraph"/>
              <w:spacing w:line="216" w:lineRule="exact"/>
              <w:ind w:left="70"/>
              <w:jc w:val="left"/>
              <w:rPr>
                <w:sz w:val="19"/>
              </w:rPr>
            </w:pPr>
            <w:r>
              <w:rPr>
                <w:sz w:val="19"/>
              </w:rPr>
              <w:t>% renta</w:t>
            </w:r>
          </w:p>
        </w:tc>
        <w:tc>
          <w:tcPr>
            <w:tcW w:w="1430" w:type="dxa"/>
          </w:tcPr>
          <w:p>
            <w:pPr>
              <w:pStyle w:val="TableParagraph"/>
              <w:spacing w:line="216" w:lineRule="exact"/>
              <w:ind w:right="719"/>
              <w:rPr>
                <w:sz w:val="19"/>
              </w:rPr>
            </w:pPr>
            <w:r>
              <w:rPr>
                <w:sz w:val="19"/>
              </w:rPr>
              <w:t>10.57</w:t>
            </w:r>
          </w:p>
        </w:tc>
        <w:tc>
          <w:tcPr>
            <w:tcW w:w="1159" w:type="dxa"/>
          </w:tcPr>
          <w:p>
            <w:pPr>
              <w:pStyle w:val="TableParagraph"/>
              <w:spacing w:line="216" w:lineRule="exact"/>
              <w:ind w:right="4"/>
              <w:rPr>
                <w:sz w:val="19"/>
              </w:rPr>
            </w:pPr>
            <w:r>
              <w:rPr>
                <w:sz w:val="19"/>
              </w:rPr>
              <w:t>10.51</w:t>
            </w:r>
          </w:p>
        </w:tc>
      </w:tr>
      <w:tr>
        <w:trPr>
          <w:trHeight w:val="230" w:hRule="exact"/>
        </w:trPr>
        <w:tc>
          <w:tcPr>
            <w:tcW w:w="3364" w:type="dxa"/>
          </w:tcPr>
          <w:p>
            <w:pPr>
              <w:pStyle w:val="TableParagraph"/>
              <w:spacing w:line="216" w:lineRule="exact"/>
              <w:ind w:left="70"/>
              <w:jc w:val="left"/>
              <w:rPr>
                <w:sz w:val="19"/>
              </w:rPr>
            </w:pPr>
            <w:r>
              <w:rPr>
                <w:sz w:val="19"/>
              </w:rPr>
              <w:t>% unidades cinco años de edad o menos</w:t>
            </w:r>
          </w:p>
        </w:tc>
        <w:tc>
          <w:tcPr>
            <w:tcW w:w="1430" w:type="dxa"/>
          </w:tcPr>
          <w:p>
            <w:pPr>
              <w:pStyle w:val="TableParagraph"/>
              <w:spacing w:line="216" w:lineRule="exact"/>
              <w:ind w:right="719"/>
              <w:rPr>
                <w:sz w:val="19"/>
              </w:rPr>
            </w:pPr>
            <w:r>
              <w:rPr>
                <w:sz w:val="19"/>
              </w:rPr>
              <w:t>28.62</w:t>
            </w:r>
          </w:p>
        </w:tc>
        <w:tc>
          <w:tcPr>
            <w:tcW w:w="1159" w:type="dxa"/>
          </w:tcPr>
          <w:p>
            <w:pPr>
              <w:pStyle w:val="TableParagraph"/>
              <w:spacing w:line="216" w:lineRule="exact"/>
              <w:ind w:right="5"/>
              <w:rPr>
                <w:sz w:val="19"/>
              </w:rPr>
            </w:pPr>
            <w:r>
              <w:rPr>
                <w:w w:val="95"/>
                <w:sz w:val="19"/>
              </w:rPr>
              <w:t>23.3</w:t>
            </w:r>
          </w:p>
        </w:tc>
      </w:tr>
      <w:tr>
        <w:trPr>
          <w:trHeight w:val="230" w:hRule="exact"/>
        </w:trPr>
        <w:tc>
          <w:tcPr>
            <w:tcW w:w="3364" w:type="dxa"/>
          </w:tcPr>
          <w:p>
            <w:pPr>
              <w:pStyle w:val="TableParagraph"/>
              <w:spacing w:line="216" w:lineRule="exact"/>
              <w:ind w:left="70"/>
              <w:jc w:val="left"/>
              <w:rPr>
                <w:sz w:val="19"/>
              </w:rPr>
            </w:pPr>
            <w:r>
              <w:rPr>
                <w:sz w:val="19"/>
              </w:rPr>
              <w:t>% unidades 10 años de edad o menos</w:t>
            </w:r>
          </w:p>
        </w:tc>
        <w:tc>
          <w:tcPr>
            <w:tcW w:w="1430" w:type="dxa"/>
          </w:tcPr>
          <w:p>
            <w:pPr>
              <w:pStyle w:val="TableParagraph"/>
              <w:spacing w:line="216" w:lineRule="exact"/>
              <w:ind w:right="719"/>
              <w:rPr>
                <w:sz w:val="19"/>
              </w:rPr>
            </w:pPr>
            <w:r>
              <w:rPr>
                <w:sz w:val="19"/>
              </w:rPr>
              <w:t>65.01</w:t>
            </w:r>
          </w:p>
        </w:tc>
        <w:tc>
          <w:tcPr>
            <w:tcW w:w="1159" w:type="dxa"/>
          </w:tcPr>
          <w:p>
            <w:pPr>
              <w:pStyle w:val="TableParagraph"/>
              <w:spacing w:line="216" w:lineRule="exact"/>
              <w:ind w:right="4"/>
              <w:rPr>
                <w:sz w:val="19"/>
              </w:rPr>
            </w:pPr>
            <w:r>
              <w:rPr>
                <w:sz w:val="19"/>
              </w:rPr>
              <w:t>72.61</w:t>
            </w:r>
          </w:p>
        </w:tc>
      </w:tr>
      <w:tr>
        <w:trPr>
          <w:trHeight w:val="228" w:hRule="exact"/>
        </w:trPr>
        <w:tc>
          <w:tcPr>
            <w:tcW w:w="3364" w:type="dxa"/>
            <w:tcBorders>
              <w:bottom w:val="single" w:sz="4" w:space="0" w:color="000000"/>
            </w:tcBorders>
          </w:tcPr>
          <w:p>
            <w:pPr>
              <w:pStyle w:val="TableParagraph"/>
              <w:spacing w:line="216" w:lineRule="exact"/>
              <w:ind w:left="70"/>
              <w:jc w:val="left"/>
              <w:rPr>
                <w:sz w:val="19"/>
              </w:rPr>
            </w:pPr>
            <w:r>
              <w:rPr>
                <w:sz w:val="19"/>
              </w:rPr>
              <w:t>N*</w:t>
            </w:r>
          </w:p>
        </w:tc>
        <w:tc>
          <w:tcPr>
            <w:tcW w:w="1430" w:type="dxa"/>
            <w:tcBorders>
              <w:bottom w:val="single" w:sz="4" w:space="0" w:color="000000"/>
            </w:tcBorders>
          </w:tcPr>
          <w:p>
            <w:pPr>
              <w:pStyle w:val="TableParagraph"/>
              <w:spacing w:line="216" w:lineRule="exact"/>
              <w:ind w:right="719"/>
              <w:rPr>
                <w:sz w:val="19"/>
              </w:rPr>
            </w:pPr>
            <w:r>
              <w:rPr>
                <w:sz w:val="19"/>
              </w:rPr>
              <w:t>246</w:t>
            </w:r>
          </w:p>
        </w:tc>
        <w:tc>
          <w:tcPr>
            <w:tcW w:w="1159" w:type="dxa"/>
            <w:tcBorders>
              <w:bottom w:val="single" w:sz="4" w:space="0" w:color="000000"/>
            </w:tcBorders>
          </w:tcPr>
          <w:p>
            <w:pPr/>
          </w:p>
        </w:tc>
      </w:tr>
    </w:tbl>
    <w:p>
      <w:pPr>
        <w:spacing w:line="179" w:lineRule="exact" w:before="0"/>
        <w:ind w:left="175" w:right="242" w:firstLine="0"/>
        <w:jc w:val="left"/>
        <w:rPr>
          <w:sz w:val="16"/>
        </w:rPr>
      </w:pPr>
      <w:r>
        <w:rPr>
          <w:sz w:val="16"/>
        </w:rPr>
        <w:t>* A través de todas las variables.</w:t>
      </w:r>
    </w:p>
    <w:p>
      <w:pPr>
        <w:pStyle w:val="BodyText"/>
        <w:spacing w:line="249" w:lineRule="auto" w:before="117"/>
        <w:ind w:left="190" w:right="191" w:firstLine="283"/>
        <w:jc w:val="both"/>
      </w:pPr>
      <w:r>
        <w:rPr>
          <w:color w:val="231F20"/>
        </w:rPr>
        <w:t>Si se observan los datos sobre empleo es notorio el patrón existente entre segregación y precariedad laboral: mientras mayor la segregación, más alto la proporción de individuos con un trabajo sin prestaciones sociales, con bajos ingresos, así como también mayor el porcentaje de trabajadores familiares sin pago, jornadas laborales largas y auto-em- pleados. Esta pauta confirma lo que se esperaba, al igual que lo hace</w:t>
      </w:r>
    </w:p>
    <w:p>
      <w:pPr>
        <w:spacing w:after="0" w:line="249" w:lineRule="auto"/>
        <w:jc w:val="both"/>
        <w:sectPr>
          <w:footerReference w:type="default" r:id="rId208"/>
          <w:pgSz w:w="7770" w:h="11740"/>
          <w:pgMar w:footer="926" w:header="0" w:top="1000" w:bottom="1120" w:left="660" w:right="940"/>
        </w:sectPr>
      </w:pPr>
    </w:p>
    <w:p>
      <w:pPr>
        <w:pStyle w:val="BodyText"/>
        <w:spacing w:line="249" w:lineRule="auto" w:before="60"/>
        <w:ind w:left="193" w:right="208"/>
        <w:jc w:val="both"/>
      </w:pPr>
      <w:r>
        <w:rPr>
          <w:color w:val="231F20"/>
        </w:rPr>
        <w:t>la tendencia a que el desempleo sea menor en áreas más segregadas; confirmando estudios pasados que sugieren que los trabajadores de me- nor nivel socioeconómico no pueden costear estar desocupados (Salas y Zepeda 2006).</w:t>
      </w:r>
    </w:p>
    <w:p>
      <w:pPr>
        <w:pStyle w:val="BodyText"/>
        <w:spacing w:before="6"/>
        <w:rPr>
          <w:sz w:val="15"/>
        </w:rPr>
      </w:pPr>
    </w:p>
    <w:p>
      <w:pPr>
        <w:spacing w:before="81"/>
        <w:ind w:left="125" w:right="0" w:firstLine="0"/>
        <w:jc w:val="left"/>
        <w:rPr>
          <w:sz w:val="19"/>
        </w:rPr>
      </w:pPr>
      <w:r>
        <w:rPr/>
        <w:pict>
          <v:group style="position:absolute;margin-left:52.020798pt;margin-top:18.429136pt;width:298.5pt;height:.5pt;mso-position-horizontal-relative:page;mso-position-vertical-relative:paragraph;z-index:7288;mso-wrap-distance-left:0;mso-wrap-distance-right:0" coordorigin="1040,369" coordsize="5970,10">
            <v:line style="position:absolute" from="1045,374" to="4434,374" stroked="true" strokeweight=".48pt" strokecolor="#000000"/>
            <v:line style="position:absolute" from="4434,374" to="4444,374" stroked="true" strokeweight=".48pt" strokecolor="#000000"/>
            <v:line style="position:absolute" from="4444,374" to="7005,374" stroked="true" strokeweight=".48pt" strokecolor="#000000"/>
            <w10:wrap type="topAndBottom"/>
          </v:group>
        </w:pict>
      </w:r>
      <w:r>
        <w:rPr>
          <w:sz w:val="19"/>
        </w:rPr>
        <w:t>Cuadro 1d. Características de las áreas residenciales por niveles de pobreza</w:t>
      </w:r>
    </w:p>
    <w:p>
      <w:pPr>
        <w:spacing w:before="0"/>
        <w:ind w:left="0" w:right="837" w:firstLine="0"/>
        <w:jc w:val="right"/>
        <w:rPr>
          <w:sz w:val="19"/>
        </w:rPr>
      </w:pPr>
      <w:r>
        <w:rPr>
          <w:sz w:val="19"/>
        </w:rPr>
        <w:t>60.01% o más</w:t>
      </w:r>
    </w:p>
    <w:p>
      <w:pPr>
        <w:tabs>
          <w:tab w:pos="3637" w:val="left" w:leader="none"/>
          <w:tab w:pos="4452" w:val="left" w:leader="none"/>
        </w:tabs>
        <w:spacing w:before="12"/>
        <w:ind w:left="105" w:right="0" w:firstLine="0"/>
        <w:jc w:val="left"/>
        <w:rPr>
          <w:sz w:val="19"/>
        </w:rPr>
      </w:pPr>
      <w:r>
        <w:rPr>
          <w:w w:val="99"/>
          <w:sz w:val="19"/>
          <w:u w:val="single"/>
        </w:rPr>
        <w:t> </w:t>
      </w:r>
      <w:r>
        <w:rPr>
          <w:sz w:val="19"/>
          <w:u w:val="single"/>
        </w:rPr>
        <w:tab/>
        <w:t>Media</w:t>
        <w:tab/>
        <w:t>Desviación</w:t>
      </w:r>
      <w:r>
        <w:rPr>
          <w:spacing w:val="4"/>
          <w:sz w:val="19"/>
          <w:u w:val="single"/>
        </w:rPr>
        <w:t> </w:t>
      </w:r>
      <w:r>
        <w:rPr>
          <w:sz w:val="19"/>
          <w:u w:val="single"/>
        </w:rPr>
        <w:t>estándar</w:t>
      </w:r>
      <w:r>
        <w:rPr>
          <w:spacing w:val="16"/>
          <w:sz w:val="19"/>
          <w:u w:val="single"/>
        </w:rPr>
        <w:t> </w:t>
      </w:r>
    </w:p>
    <w:p>
      <w:pPr>
        <w:spacing w:before="60" w:after="37"/>
        <w:ind w:left="125" w:right="0" w:firstLine="0"/>
        <w:jc w:val="left"/>
        <w:rPr>
          <w:i/>
          <w:sz w:val="19"/>
        </w:rPr>
      </w:pPr>
      <w:r>
        <w:rPr>
          <w:i/>
          <w:sz w:val="19"/>
        </w:rPr>
        <w:t>Indicadores de pobreza</w:t>
      </w: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4"/>
        <w:gridCol w:w="1430"/>
        <w:gridCol w:w="1216"/>
      </w:tblGrid>
      <w:tr>
        <w:trPr>
          <w:trHeight w:val="250" w:hRule="exact"/>
        </w:trPr>
        <w:tc>
          <w:tcPr>
            <w:tcW w:w="3314" w:type="dxa"/>
          </w:tcPr>
          <w:p>
            <w:pPr>
              <w:pStyle w:val="TableParagraph"/>
              <w:spacing w:before="17"/>
              <w:ind w:left="20"/>
              <w:jc w:val="left"/>
              <w:rPr>
                <w:sz w:val="19"/>
              </w:rPr>
            </w:pPr>
            <w:r>
              <w:rPr>
                <w:sz w:val="19"/>
              </w:rPr>
              <w:t>Ingreso diario per cápita del hogar</w:t>
            </w:r>
          </w:p>
        </w:tc>
        <w:tc>
          <w:tcPr>
            <w:tcW w:w="1430" w:type="dxa"/>
          </w:tcPr>
          <w:p>
            <w:pPr>
              <w:pStyle w:val="TableParagraph"/>
              <w:spacing w:before="17"/>
              <w:ind w:right="719"/>
              <w:rPr>
                <w:sz w:val="19"/>
              </w:rPr>
            </w:pPr>
            <w:r>
              <w:rPr>
                <w:sz w:val="19"/>
              </w:rPr>
              <w:t>23.83</w:t>
            </w:r>
          </w:p>
        </w:tc>
        <w:tc>
          <w:tcPr>
            <w:tcW w:w="1216" w:type="dxa"/>
          </w:tcPr>
          <w:p>
            <w:pPr>
              <w:pStyle w:val="TableParagraph"/>
              <w:spacing w:before="17"/>
              <w:ind w:right="62"/>
              <w:rPr>
                <w:sz w:val="19"/>
              </w:rPr>
            </w:pPr>
            <w:r>
              <w:rPr>
                <w:w w:val="95"/>
                <w:sz w:val="19"/>
              </w:rPr>
              <w:t>11.7</w:t>
            </w:r>
          </w:p>
        </w:tc>
      </w:tr>
      <w:tr>
        <w:trPr>
          <w:trHeight w:val="228" w:hRule="exact"/>
        </w:trPr>
        <w:tc>
          <w:tcPr>
            <w:tcW w:w="3314" w:type="dxa"/>
          </w:tcPr>
          <w:p>
            <w:pPr>
              <w:pStyle w:val="TableParagraph"/>
              <w:spacing w:line="216" w:lineRule="exact"/>
              <w:ind w:left="20"/>
              <w:jc w:val="left"/>
              <w:rPr>
                <w:sz w:val="19"/>
              </w:rPr>
            </w:pPr>
            <w:r>
              <w:rPr>
                <w:sz w:val="19"/>
              </w:rPr>
              <w:t>Proporción de hogares pobres</w:t>
            </w:r>
          </w:p>
        </w:tc>
        <w:tc>
          <w:tcPr>
            <w:tcW w:w="1430" w:type="dxa"/>
          </w:tcPr>
          <w:p>
            <w:pPr>
              <w:pStyle w:val="TableParagraph"/>
              <w:spacing w:line="216" w:lineRule="exact"/>
              <w:ind w:right="719"/>
              <w:rPr>
                <w:sz w:val="19"/>
              </w:rPr>
            </w:pPr>
            <w:r>
              <w:rPr>
                <w:sz w:val="19"/>
              </w:rPr>
              <w:t>0.72</w:t>
            </w:r>
          </w:p>
        </w:tc>
        <w:tc>
          <w:tcPr>
            <w:tcW w:w="1216" w:type="dxa"/>
          </w:tcPr>
          <w:p>
            <w:pPr>
              <w:pStyle w:val="TableParagraph"/>
              <w:spacing w:line="216" w:lineRule="exact"/>
              <w:ind w:right="60"/>
              <w:rPr>
                <w:sz w:val="19"/>
              </w:rPr>
            </w:pPr>
            <w:r>
              <w:rPr>
                <w:sz w:val="19"/>
              </w:rPr>
              <w:t>0.12</w:t>
            </w:r>
          </w:p>
        </w:tc>
      </w:tr>
      <w:tr>
        <w:trPr>
          <w:trHeight w:val="250" w:hRule="exact"/>
        </w:trPr>
        <w:tc>
          <w:tcPr>
            <w:tcW w:w="3314" w:type="dxa"/>
          </w:tcPr>
          <w:p>
            <w:pPr>
              <w:pStyle w:val="TableParagraph"/>
              <w:spacing w:line="214" w:lineRule="exact"/>
              <w:ind w:left="20"/>
              <w:jc w:val="left"/>
              <w:rPr>
                <w:sz w:val="19"/>
              </w:rPr>
            </w:pPr>
            <w:r>
              <w:rPr>
                <w:sz w:val="19"/>
              </w:rPr>
              <w:t>Desviación logarítmica media (ingresos)</w:t>
            </w:r>
          </w:p>
        </w:tc>
        <w:tc>
          <w:tcPr>
            <w:tcW w:w="1430" w:type="dxa"/>
          </w:tcPr>
          <w:p>
            <w:pPr>
              <w:pStyle w:val="TableParagraph"/>
              <w:spacing w:line="214" w:lineRule="exact"/>
              <w:ind w:right="719"/>
              <w:rPr>
                <w:sz w:val="19"/>
              </w:rPr>
            </w:pPr>
            <w:r>
              <w:rPr>
                <w:sz w:val="19"/>
              </w:rPr>
              <w:t>0.14</w:t>
            </w:r>
          </w:p>
        </w:tc>
        <w:tc>
          <w:tcPr>
            <w:tcW w:w="1216" w:type="dxa"/>
          </w:tcPr>
          <w:p>
            <w:pPr>
              <w:pStyle w:val="TableParagraph"/>
              <w:spacing w:line="214" w:lineRule="exact"/>
              <w:ind w:right="60"/>
              <w:rPr>
                <w:sz w:val="19"/>
              </w:rPr>
            </w:pPr>
            <w:r>
              <w:rPr>
                <w:sz w:val="19"/>
              </w:rPr>
              <w:t>0.18</w:t>
            </w:r>
          </w:p>
        </w:tc>
      </w:tr>
      <w:tr>
        <w:trPr>
          <w:trHeight w:val="271" w:hRule="exact"/>
        </w:trPr>
        <w:tc>
          <w:tcPr>
            <w:tcW w:w="3314" w:type="dxa"/>
          </w:tcPr>
          <w:p>
            <w:pPr>
              <w:pStyle w:val="TableParagraph"/>
              <w:spacing w:before="19"/>
              <w:ind w:left="20"/>
              <w:jc w:val="left"/>
              <w:rPr>
                <w:i/>
                <w:sz w:val="19"/>
              </w:rPr>
            </w:pPr>
            <w:r>
              <w:rPr>
                <w:i/>
                <w:sz w:val="19"/>
              </w:rPr>
              <w:t>Salarios y horas de trabajo</w:t>
            </w:r>
          </w:p>
        </w:tc>
        <w:tc>
          <w:tcPr>
            <w:tcW w:w="1430" w:type="dxa"/>
          </w:tcPr>
          <w:p>
            <w:pPr/>
          </w:p>
        </w:tc>
        <w:tc>
          <w:tcPr>
            <w:tcW w:w="1216" w:type="dxa"/>
          </w:tcPr>
          <w:p>
            <w:pPr/>
          </w:p>
        </w:tc>
      </w:tr>
      <w:tr>
        <w:trPr>
          <w:trHeight w:val="250" w:hRule="exact"/>
        </w:trPr>
        <w:tc>
          <w:tcPr>
            <w:tcW w:w="3314" w:type="dxa"/>
          </w:tcPr>
          <w:p>
            <w:pPr>
              <w:pStyle w:val="TableParagraph"/>
              <w:spacing w:before="17"/>
              <w:ind w:left="20"/>
              <w:jc w:val="left"/>
              <w:rPr>
                <w:sz w:val="19"/>
              </w:rPr>
            </w:pPr>
            <w:r>
              <w:rPr>
                <w:sz w:val="19"/>
              </w:rPr>
              <w:t>Media de horas trabajadas al mes</w:t>
            </w:r>
          </w:p>
        </w:tc>
        <w:tc>
          <w:tcPr>
            <w:tcW w:w="1430" w:type="dxa"/>
          </w:tcPr>
          <w:p>
            <w:pPr>
              <w:pStyle w:val="TableParagraph"/>
              <w:spacing w:before="17"/>
              <w:ind w:right="719"/>
              <w:rPr>
                <w:sz w:val="19"/>
              </w:rPr>
            </w:pPr>
            <w:r>
              <w:rPr>
                <w:sz w:val="19"/>
              </w:rPr>
              <w:t>192.68</w:t>
            </w:r>
          </w:p>
        </w:tc>
        <w:tc>
          <w:tcPr>
            <w:tcW w:w="1216" w:type="dxa"/>
          </w:tcPr>
          <w:p>
            <w:pPr>
              <w:pStyle w:val="TableParagraph"/>
              <w:spacing w:before="17"/>
              <w:ind w:right="60"/>
              <w:rPr>
                <w:sz w:val="19"/>
              </w:rPr>
            </w:pPr>
            <w:r>
              <w:rPr>
                <w:sz w:val="19"/>
              </w:rPr>
              <w:t>33.03</w:t>
            </w:r>
          </w:p>
        </w:tc>
      </w:tr>
      <w:tr>
        <w:trPr>
          <w:trHeight w:val="252" w:hRule="exact"/>
        </w:trPr>
        <w:tc>
          <w:tcPr>
            <w:tcW w:w="3314" w:type="dxa"/>
          </w:tcPr>
          <w:p>
            <w:pPr>
              <w:pStyle w:val="TableParagraph"/>
              <w:spacing w:line="216" w:lineRule="exact"/>
              <w:ind w:left="20"/>
              <w:jc w:val="left"/>
              <w:rPr>
                <w:sz w:val="19"/>
              </w:rPr>
            </w:pPr>
            <w:r>
              <w:rPr>
                <w:sz w:val="19"/>
              </w:rPr>
              <w:t>Mediana de ingresos laborales por hora</w:t>
            </w:r>
          </w:p>
        </w:tc>
        <w:tc>
          <w:tcPr>
            <w:tcW w:w="1430" w:type="dxa"/>
          </w:tcPr>
          <w:p>
            <w:pPr>
              <w:pStyle w:val="TableParagraph"/>
              <w:spacing w:line="216" w:lineRule="exact"/>
              <w:ind w:right="719"/>
              <w:rPr>
                <w:sz w:val="19"/>
              </w:rPr>
            </w:pPr>
            <w:r>
              <w:rPr>
                <w:sz w:val="19"/>
              </w:rPr>
              <w:t>9.39</w:t>
            </w:r>
          </w:p>
        </w:tc>
        <w:tc>
          <w:tcPr>
            <w:tcW w:w="1216" w:type="dxa"/>
          </w:tcPr>
          <w:p>
            <w:pPr>
              <w:pStyle w:val="TableParagraph"/>
              <w:spacing w:line="216" w:lineRule="exact"/>
              <w:ind w:right="60"/>
              <w:rPr>
                <w:sz w:val="19"/>
              </w:rPr>
            </w:pPr>
            <w:r>
              <w:rPr>
                <w:sz w:val="19"/>
              </w:rPr>
              <w:t>4.05</w:t>
            </w:r>
          </w:p>
        </w:tc>
      </w:tr>
      <w:tr>
        <w:trPr>
          <w:trHeight w:val="271" w:hRule="exact"/>
        </w:trPr>
        <w:tc>
          <w:tcPr>
            <w:tcW w:w="3314" w:type="dxa"/>
          </w:tcPr>
          <w:p>
            <w:pPr>
              <w:pStyle w:val="TableParagraph"/>
              <w:spacing w:before="19"/>
              <w:ind w:left="20"/>
              <w:jc w:val="left"/>
              <w:rPr>
                <w:i/>
                <w:sz w:val="19"/>
              </w:rPr>
            </w:pPr>
            <w:r>
              <w:rPr>
                <w:i/>
                <w:sz w:val="19"/>
              </w:rPr>
              <w:t>Sociodemográficas</w:t>
            </w:r>
          </w:p>
        </w:tc>
        <w:tc>
          <w:tcPr>
            <w:tcW w:w="1430" w:type="dxa"/>
          </w:tcPr>
          <w:p>
            <w:pPr/>
          </w:p>
        </w:tc>
        <w:tc>
          <w:tcPr>
            <w:tcW w:w="1216" w:type="dxa"/>
          </w:tcPr>
          <w:p>
            <w:pPr/>
          </w:p>
        </w:tc>
      </w:tr>
      <w:tr>
        <w:trPr>
          <w:trHeight w:val="250" w:hRule="exact"/>
        </w:trPr>
        <w:tc>
          <w:tcPr>
            <w:tcW w:w="3314" w:type="dxa"/>
          </w:tcPr>
          <w:p>
            <w:pPr>
              <w:pStyle w:val="TableParagraph"/>
              <w:spacing w:before="17"/>
              <w:ind w:left="20"/>
              <w:jc w:val="left"/>
              <w:rPr>
                <w:sz w:val="19"/>
              </w:rPr>
            </w:pPr>
            <w:r>
              <w:rPr>
                <w:sz w:val="19"/>
              </w:rPr>
              <w:t>Escolaridad promedio</w:t>
            </w:r>
          </w:p>
        </w:tc>
        <w:tc>
          <w:tcPr>
            <w:tcW w:w="1430" w:type="dxa"/>
          </w:tcPr>
          <w:p>
            <w:pPr>
              <w:pStyle w:val="TableParagraph"/>
              <w:spacing w:before="17"/>
              <w:ind w:right="720"/>
              <w:rPr>
                <w:sz w:val="19"/>
              </w:rPr>
            </w:pPr>
            <w:r>
              <w:rPr>
                <w:w w:val="95"/>
                <w:sz w:val="19"/>
              </w:rPr>
              <w:t>7.1</w:t>
            </w:r>
          </w:p>
        </w:tc>
        <w:tc>
          <w:tcPr>
            <w:tcW w:w="1216" w:type="dxa"/>
          </w:tcPr>
          <w:p>
            <w:pPr>
              <w:pStyle w:val="TableParagraph"/>
              <w:spacing w:before="17"/>
              <w:ind w:right="60"/>
              <w:rPr>
                <w:sz w:val="19"/>
              </w:rPr>
            </w:pPr>
            <w:r>
              <w:rPr>
                <w:sz w:val="19"/>
              </w:rPr>
              <w:t>1.83</w:t>
            </w:r>
          </w:p>
        </w:tc>
      </w:tr>
      <w:tr>
        <w:trPr>
          <w:trHeight w:val="691" w:hRule="exact"/>
        </w:trPr>
        <w:tc>
          <w:tcPr>
            <w:tcW w:w="3314" w:type="dxa"/>
          </w:tcPr>
          <w:p>
            <w:pPr>
              <w:pStyle w:val="TableParagraph"/>
              <w:spacing w:line="216" w:lineRule="exact"/>
              <w:ind w:left="20"/>
              <w:jc w:val="left"/>
              <w:rPr>
                <w:sz w:val="19"/>
              </w:rPr>
            </w:pPr>
            <w:r>
              <w:rPr>
                <w:sz w:val="19"/>
              </w:rPr>
              <w:t>Porcentaje de población indígena</w:t>
            </w:r>
          </w:p>
          <w:p>
            <w:pPr>
              <w:pStyle w:val="TableParagraph"/>
              <w:spacing w:before="12"/>
              <w:ind w:left="20"/>
              <w:jc w:val="left"/>
              <w:rPr>
                <w:i/>
                <w:sz w:val="19"/>
              </w:rPr>
            </w:pPr>
            <w:r>
              <w:rPr>
                <w:i/>
                <w:sz w:val="19"/>
              </w:rPr>
              <w:t>Empleo (promedios)</w:t>
            </w:r>
          </w:p>
          <w:p>
            <w:pPr>
              <w:pStyle w:val="TableParagraph"/>
              <w:spacing w:before="12"/>
              <w:ind w:left="20"/>
              <w:jc w:val="left"/>
              <w:rPr>
                <w:sz w:val="19"/>
              </w:rPr>
            </w:pPr>
            <w:r>
              <w:rPr>
                <w:sz w:val="19"/>
              </w:rPr>
              <w:t>% empleo informal</w:t>
            </w:r>
          </w:p>
        </w:tc>
        <w:tc>
          <w:tcPr>
            <w:tcW w:w="1430" w:type="dxa"/>
          </w:tcPr>
          <w:p>
            <w:pPr>
              <w:pStyle w:val="TableParagraph"/>
              <w:spacing w:line="216" w:lineRule="exact"/>
              <w:ind w:left="372"/>
              <w:jc w:val="left"/>
              <w:rPr>
                <w:sz w:val="19"/>
              </w:rPr>
            </w:pPr>
            <w:r>
              <w:rPr>
                <w:sz w:val="19"/>
              </w:rPr>
              <w:t>6.85</w:t>
            </w:r>
          </w:p>
          <w:p>
            <w:pPr>
              <w:pStyle w:val="TableParagraph"/>
              <w:jc w:val="left"/>
              <w:rPr>
                <w:i/>
                <w:sz w:val="21"/>
              </w:rPr>
            </w:pPr>
          </w:p>
          <w:p>
            <w:pPr>
              <w:pStyle w:val="TableParagraph"/>
              <w:spacing w:before="1"/>
              <w:ind w:left="276"/>
              <w:jc w:val="left"/>
              <w:rPr>
                <w:sz w:val="19"/>
              </w:rPr>
            </w:pPr>
            <w:r>
              <w:rPr>
                <w:sz w:val="19"/>
              </w:rPr>
              <w:t>46.95</w:t>
            </w:r>
          </w:p>
        </w:tc>
        <w:tc>
          <w:tcPr>
            <w:tcW w:w="1216" w:type="dxa"/>
          </w:tcPr>
          <w:p>
            <w:pPr>
              <w:pStyle w:val="TableParagraph"/>
              <w:spacing w:line="216" w:lineRule="exact"/>
              <w:ind w:left="721"/>
              <w:jc w:val="left"/>
              <w:rPr>
                <w:sz w:val="19"/>
              </w:rPr>
            </w:pPr>
            <w:r>
              <w:rPr>
                <w:sz w:val="19"/>
              </w:rPr>
              <w:t>10.33</w:t>
            </w:r>
          </w:p>
          <w:p>
            <w:pPr>
              <w:pStyle w:val="TableParagraph"/>
              <w:jc w:val="left"/>
              <w:rPr>
                <w:i/>
                <w:sz w:val="21"/>
              </w:rPr>
            </w:pPr>
          </w:p>
          <w:p>
            <w:pPr>
              <w:pStyle w:val="TableParagraph"/>
              <w:spacing w:before="1"/>
              <w:ind w:left="721"/>
              <w:jc w:val="left"/>
              <w:rPr>
                <w:sz w:val="19"/>
              </w:rPr>
            </w:pPr>
            <w:r>
              <w:rPr>
                <w:sz w:val="19"/>
              </w:rPr>
              <w:t>17.18</w:t>
            </w:r>
          </w:p>
        </w:tc>
      </w:tr>
      <w:tr>
        <w:trPr>
          <w:trHeight w:val="230" w:hRule="exact"/>
        </w:trPr>
        <w:tc>
          <w:tcPr>
            <w:tcW w:w="3314" w:type="dxa"/>
          </w:tcPr>
          <w:p>
            <w:pPr>
              <w:pStyle w:val="TableParagraph"/>
              <w:spacing w:line="216" w:lineRule="exact"/>
              <w:ind w:left="20"/>
              <w:jc w:val="left"/>
              <w:rPr>
                <w:sz w:val="19"/>
              </w:rPr>
            </w:pPr>
            <w:r>
              <w:rPr>
                <w:sz w:val="19"/>
              </w:rPr>
              <w:t>% trabajadores por cuenta propia</w:t>
            </w:r>
          </w:p>
        </w:tc>
        <w:tc>
          <w:tcPr>
            <w:tcW w:w="1430" w:type="dxa"/>
          </w:tcPr>
          <w:p>
            <w:pPr>
              <w:pStyle w:val="TableParagraph"/>
              <w:spacing w:line="216" w:lineRule="exact"/>
              <w:ind w:right="719"/>
              <w:rPr>
                <w:sz w:val="19"/>
              </w:rPr>
            </w:pPr>
            <w:r>
              <w:rPr>
                <w:sz w:val="19"/>
              </w:rPr>
              <w:t>29.24</w:t>
            </w:r>
          </w:p>
        </w:tc>
        <w:tc>
          <w:tcPr>
            <w:tcW w:w="1216" w:type="dxa"/>
          </w:tcPr>
          <w:p>
            <w:pPr>
              <w:pStyle w:val="TableParagraph"/>
              <w:spacing w:line="216" w:lineRule="exact"/>
              <w:ind w:right="62"/>
              <w:rPr>
                <w:sz w:val="19"/>
              </w:rPr>
            </w:pPr>
            <w:r>
              <w:rPr>
                <w:w w:val="95"/>
                <w:sz w:val="19"/>
              </w:rPr>
              <w:t>19.5</w:t>
            </w:r>
          </w:p>
        </w:tc>
      </w:tr>
      <w:tr>
        <w:trPr>
          <w:trHeight w:val="230" w:hRule="exact"/>
        </w:trPr>
        <w:tc>
          <w:tcPr>
            <w:tcW w:w="3314" w:type="dxa"/>
          </w:tcPr>
          <w:p>
            <w:pPr>
              <w:pStyle w:val="TableParagraph"/>
              <w:spacing w:line="216" w:lineRule="exact"/>
              <w:ind w:left="20"/>
              <w:jc w:val="left"/>
              <w:rPr>
                <w:sz w:val="19"/>
              </w:rPr>
            </w:pPr>
            <w:r>
              <w:rPr>
                <w:sz w:val="19"/>
              </w:rPr>
              <w:t>% trabajadores asalariados</w:t>
            </w:r>
          </w:p>
        </w:tc>
        <w:tc>
          <w:tcPr>
            <w:tcW w:w="1430" w:type="dxa"/>
          </w:tcPr>
          <w:p>
            <w:pPr>
              <w:pStyle w:val="TableParagraph"/>
              <w:spacing w:line="216" w:lineRule="exact"/>
              <w:ind w:right="719"/>
              <w:rPr>
                <w:sz w:val="19"/>
              </w:rPr>
            </w:pPr>
            <w:r>
              <w:rPr>
                <w:sz w:val="19"/>
              </w:rPr>
              <w:t>67.03</w:t>
            </w:r>
          </w:p>
        </w:tc>
        <w:tc>
          <w:tcPr>
            <w:tcW w:w="1216" w:type="dxa"/>
          </w:tcPr>
          <w:p>
            <w:pPr>
              <w:pStyle w:val="TableParagraph"/>
              <w:spacing w:line="216" w:lineRule="exact"/>
              <w:ind w:right="60"/>
              <w:rPr>
                <w:sz w:val="19"/>
              </w:rPr>
            </w:pPr>
            <w:r>
              <w:rPr>
                <w:sz w:val="19"/>
              </w:rPr>
              <w:t>20.56</w:t>
            </w:r>
          </w:p>
        </w:tc>
      </w:tr>
      <w:tr>
        <w:trPr>
          <w:trHeight w:val="230" w:hRule="exact"/>
        </w:trPr>
        <w:tc>
          <w:tcPr>
            <w:tcW w:w="3314" w:type="dxa"/>
          </w:tcPr>
          <w:p>
            <w:pPr>
              <w:pStyle w:val="TableParagraph"/>
              <w:spacing w:line="216" w:lineRule="exact"/>
              <w:ind w:left="20"/>
              <w:jc w:val="left"/>
              <w:rPr>
                <w:sz w:val="19"/>
              </w:rPr>
            </w:pPr>
            <w:r>
              <w:rPr>
                <w:sz w:val="19"/>
              </w:rPr>
              <w:t>% trabajadores familiares</w:t>
            </w:r>
          </w:p>
        </w:tc>
        <w:tc>
          <w:tcPr>
            <w:tcW w:w="1430" w:type="dxa"/>
          </w:tcPr>
          <w:p>
            <w:pPr>
              <w:pStyle w:val="TableParagraph"/>
              <w:spacing w:line="216" w:lineRule="exact"/>
              <w:ind w:right="719"/>
              <w:rPr>
                <w:sz w:val="19"/>
              </w:rPr>
            </w:pPr>
            <w:r>
              <w:rPr>
                <w:sz w:val="19"/>
              </w:rPr>
              <w:t>2.54</w:t>
            </w:r>
          </w:p>
        </w:tc>
        <w:tc>
          <w:tcPr>
            <w:tcW w:w="1216" w:type="dxa"/>
          </w:tcPr>
          <w:p>
            <w:pPr>
              <w:pStyle w:val="TableParagraph"/>
              <w:spacing w:line="216" w:lineRule="exact"/>
              <w:ind w:right="60"/>
              <w:rPr>
                <w:sz w:val="19"/>
              </w:rPr>
            </w:pPr>
            <w:r>
              <w:rPr>
                <w:sz w:val="19"/>
              </w:rPr>
              <w:t>4.45</w:t>
            </w:r>
          </w:p>
        </w:tc>
      </w:tr>
      <w:tr>
        <w:trPr>
          <w:trHeight w:val="228" w:hRule="exact"/>
        </w:trPr>
        <w:tc>
          <w:tcPr>
            <w:tcW w:w="3314" w:type="dxa"/>
          </w:tcPr>
          <w:p>
            <w:pPr>
              <w:pStyle w:val="TableParagraph"/>
              <w:spacing w:line="216" w:lineRule="exact"/>
              <w:ind w:left="20"/>
              <w:jc w:val="left"/>
              <w:rPr>
                <w:sz w:val="19"/>
              </w:rPr>
            </w:pPr>
            <w:r>
              <w:rPr>
                <w:sz w:val="19"/>
              </w:rPr>
              <w:t>% desempleados</w:t>
            </w:r>
          </w:p>
        </w:tc>
        <w:tc>
          <w:tcPr>
            <w:tcW w:w="1430" w:type="dxa"/>
          </w:tcPr>
          <w:p>
            <w:pPr>
              <w:pStyle w:val="TableParagraph"/>
              <w:spacing w:line="216" w:lineRule="exact"/>
              <w:ind w:right="719"/>
              <w:rPr>
                <w:sz w:val="19"/>
              </w:rPr>
            </w:pPr>
            <w:r>
              <w:rPr>
                <w:sz w:val="19"/>
              </w:rPr>
              <w:t>1.84</w:t>
            </w:r>
          </w:p>
        </w:tc>
        <w:tc>
          <w:tcPr>
            <w:tcW w:w="1216" w:type="dxa"/>
          </w:tcPr>
          <w:p>
            <w:pPr>
              <w:pStyle w:val="TableParagraph"/>
              <w:spacing w:line="216" w:lineRule="exact"/>
              <w:ind w:right="61"/>
              <w:rPr>
                <w:sz w:val="19"/>
              </w:rPr>
            </w:pPr>
            <w:r>
              <w:rPr>
                <w:w w:val="95"/>
                <w:sz w:val="19"/>
              </w:rPr>
              <w:t>3.7</w:t>
            </w:r>
          </w:p>
        </w:tc>
      </w:tr>
      <w:tr>
        <w:trPr>
          <w:trHeight w:val="250" w:hRule="exact"/>
        </w:trPr>
        <w:tc>
          <w:tcPr>
            <w:tcW w:w="3314" w:type="dxa"/>
          </w:tcPr>
          <w:p>
            <w:pPr>
              <w:pStyle w:val="TableParagraph"/>
              <w:spacing w:line="214" w:lineRule="exact"/>
              <w:ind w:left="20"/>
              <w:jc w:val="left"/>
              <w:rPr>
                <w:sz w:val="19"/>
              </w:rPr>
            </w:pPr>
            <w:r>
              <w:rPr>
                <w:sz w:val="19"/>
              </w:rPr>
              <w:t>% trabajadores marginales</w:t>
            </w:r>
          </w:p>
        </w:tc>
        <w:tc>
          <w:tcPr>
            <w:tcW w:w="1430" w:type="dxa"/>
          </w:tcPr>
          <w:p>
            <w:pPr>
              <w:pStyle w:val="TableParagraph"/>
              <w:spacing w:line="214" w:lineRule="exact"/>
              <w:ind w:right="719"/>
              <w:rPr>
                <w:sz w:val="19"/>
              </w:rPr>
            </w:pPr>
            <w:r>
              <w:rPr>
                <w:sz w:val="19"/>
              </w:rPr>
              <w:t>52.31</w:t>
            </w:r>
          </w:p>
        </w:tc>
        <w:tc>
          <w:tcPr>
            <w:tcW w:w="1216" w:type="dxa"/>
          </w:tcPr>
          <w:p>
            <w:pPr>
              <w:pStyle w:val="TableParagraph"/>
              <w:spacing w:line="214" w:lineRule="exact"/>
              <w:ind w:right="60"/>
              <w:rPr>
                <w:sz w:val="19"/>
              </w:rPr>
            </w:pPr>
            <w:r>
              <w:rPr>
                <w:sz w:val="19"/>
              </w:rPr>
              <w:t>18.91</w:t>
            </w:r>
          </w:p>
        </w:tc>
      </w:tr>
      <w:tr>
        <w:trPr>
          <w:trHeight w:val="271" w:hRule="exact"/>
        </w:trPr>
        <w:tc>
          <w:tcPr>
            <w:tcW w:w="3314" w:type="dxa"/>
          </w:tcPr>
          <w:p>
            <w:pPr>
              <w:pStyle w:val="TableParagraph"/>
              <w:spacing w:before="19"/>
              <w:ind w:left="20"/>
              <w:jc w:val="left"/>
              <w:rPr>
                <w:i/>
                <w:sz w:val="19"/>
              </w:rPr>
            </w:pPr>
            <w:r>
              <w:rPr>
                <w:i/>
                <w:sz w:val="19"/>
              </w:rPr>
              <w:t>Género y composición del hogar</w:t>
            </w:r>
          </w:p>
        </w:tc>
        <w:tc>
          <w:tcPr>
            <w:tcW w:w="1430" w:type="dxa"/>
          </w:tcPr>
          <w:p>
            <w:pPr/>
          </w:p>
        </w:tc>
        <w:tc>
          <w:tcPr>
            <w:tcW w:w="1216" w:type="dxa"/>
          </w:tcPr>
          <w:p>
            <w:pPr/>
          </w:p>
        </w:tc>
      </w:tr>
      <w:tr>
        <w:trPr>
          <w:trHeight w:val="250" w:hRule="exact"/>
        </w:trPr>
        <w:tc>
          <w:tcPr>
            <w:tcW w:w="3314" w:type="dxa"/>
          </w:tcPr>
          <w:p>
            <w:pPr>
              <w:pStyle w:val="TableParagraph"/>
              <w:spacing w:before="17"/>
              <w:ind w:left="20"/>
              <w:jc w:val="left"/>
              <w:rPr>
                <w:sz w:val="19"/>
              </w:rPr>
            </w:pPr>
            <w:r>
              <w:rPr>
                <w:sz w:val="19"/>
              </w:rPr>
              <w:t>% participación laboral femenina</w:t>
            </w:r>
          </w:p>
        </w:tc>
        <w:tc>
          <w:tcPr>
            <w:tcW w:w="1430" w:type="dxa"/>
          </w:tcPr>
          <w:p>
            <w:pPr>
              <w:pStyle w:val="TableParagraph"/>
              <w:spacing w:before="17"/>
              <w:ind w:right="719"/>
              <w:rPr>
                <w:sz w:val="19"/>
              </w:rPr>
            </w:pPr>
            <w:r>
              <w:rPr>
                <w:sz w:val="19"/>
              </w:rPr>
              <w:t>73</w:t>
            </w:r>
          </w:p>
        </w:tc>
        <w:tc>
          <w:tcPr>
            <w:tcW w:w="1216" w:type="dxa"/>
          </w:tcPr>
          <w:p>
            <w:pPr>
              <w:pStyle w:val="TableParagraph"/>
              <w:spacing w:before="17"/>
              <w:ind w:right="60"/>
              <w:rPr>
                <w:sz w:val="19"/>
              </w:rPr>
            </w:pPr>
            <w:r>
              <w:rPr>
                <w:sz w:val="19"/>
              </w:rPr>
              <w:t>12</w:t>
            </w:r>
          </w:p>
        </w:tc>
      </w:tr>
      <w:tr>
        <w:trPr>
          <w:trHeight w:val="230" w:hRule="exact"/>
        </w:trPr>
        <w:tc>
          <w:tcPr>
            <w:tcW w:w="3314" w:type="dxa"/>
          </w:tcPr>
          <w:p>
            <w:pPr>
              <w:pStyle w:val="TableParagraph"/>
              <w:spacing w:line="216" w:lineRule="exact"/>
              <w:ind w:left="20"/>
              <w:jc w:val="left"/>
              <w:rPr>
                <w:sz w:val="19"/>
              </w:rPr>
            </w:pPr>
            <w:r>
              <w:rPr>
                <w:sz w:val="19"/>
              </w:rPr>
              <w:t>% jefatura de hogar femenina</w:t>
            </w:r>
          </w:p>
        </w:tc>
        <w:tc>
          <w:tcPr>
            <w:tcW w:w="1430" w:type="dxa"/>
          </w:tcPr>
          <w:p>
            <w:pPr>
              <w:pStyle w:val="TableParagraph"/>
              <w:spacing w:line="216" w:lineRule="exact"/>
              <w:ind w:right="719"/>
              <w:rPr>
                <w:sz w:val="19"/>
              </w:rPr>
            </w:pPr>
            <w:r>
              <w:rPr>
                <w:sz w:val="19"/>
              </w:rPr>
              <w:t>17.46</w:t>
            </w:r>
          </w:p>
        </w:tc>
        <w:tc>
          <w:tcPr>
            <w:tcW w:w="1216" w:type="dxa"/>
          </w:tcPr>
          <w:p>
            <w:pPr>
              <w:pStyle w:val="TableParagraph"/>
              <w:spacing w:line="216" w:lineRule="exact"/>
              <w:ind w:right="60"/>
              <w:rPr>
                <w:sz w:val="19"/>
              </w:rPr>
            </w:pPr>
            <w:r>
              <w:rPr>
                <w:sz w:val="19"/>
              </w:rPr>
              <w:t>17.28</w:t>
            </w:r>
          </w:p>
        </w:tc>
      </w:tr>
      <w:tr>
        <w:trPr>
          <w:trHeight w:val="252" w:hRule="exact"/>
        </w:trPr>
        <w:tc>
          <w:tcPr>
            <w:tcW w:w="3314" w:type="dxa"/>
          </w:tcPr>
          <w:p>
            <w:pPr>
              <w:pStyle w:val="TableParagraph"/>
              <w:spacing w:line="216" w:lineRule="exact"/>
              <w:ind w:left="20"/>
              <w:jc w:val="left"/>
              <w:rPr>
                <w:sz w:val="19"/>
              </w:rPr>
            </w:pPr>
            <w:r>
              <w:rPr>
                <w:sz w:val="19"/>
              </w:rPr>
              <w:t>Tamaño promedio del hogar</w:t>
            </w:r>
          </w:p>
        </w:tc>
        <w:tc>
          <w:tcPr>
            <w:tcW w:w="1430" w:type="dxa"/>
          </w:tcPr>
          <w:p>
            <w:pPr>
              <w:pStyle w:val="TableParagraph"/>
              <w:spacing w:line="216" w:lineRule="exact"/>
              <w:ind w:right="719"/>
              <w:rPr>
                <w:sz w:val="19"/>
              </w:rPr>
            </w:pPr>
            <w:r>
              <w:rPr>
                <w:sz w:val="19"/>
              </w:rPr>
              <w:t>4.59</w:t>
            </w:r>
          </w:p>
        </w:tc>
        <w:tc>
          <w:tcPr>
            <w:tcW w:w="1216" w:type="dxa"/>
          </w:tcPr>
          <w:p>
            <w:pPr>
              <w:pStyle w:val="TableParagraph"/>
              <w:spacing w:line="216" w:lineRule="exact"/>
              <w:ind w:right="60"/>
              <w:rPr>
                <w:sz w:val="19"/>
              </w:rPr>
            </w:pPr>
            <w:r>
              <w:rPr>
                <w:sz w:val="19"/>
              </w:rPr>
              <w:t>0.87</w:t>
            </w:r>
          </w:p>
        </w:tc>
      </w:tr>
      <w:tr>
        <w:trPr>
          <w:trHeight w:val="271" w:hRule="exact"/>
        </w:trPr>
        <w:tc>
          <w:tcPr>
            <w:tcW w:w="3314" w:type="dxa"/>
          </w:tcPr>
          <w:p>
            <w:pPr>
              <w:pStyle w:val="TableParagraph"/>
              <w:spacing w:before="19"/>
              <w:ind w:left="20"/>
              <w:jc w:val="left"/>
              <w:rPr>
                <w:i/>
                <w:sz w:val="19"/>
              </w:rPr>
            </w:pPr>
            <w:r>
              <w:rPr>
                <w:i/>
                <w:sz w:val="19"/>
              </w:rPr>
              <w:t>Vivienda</w:t>
            </w:r>
          </w:p>
        </w:tc>
        <w:tc>
          <w:tcPr>
            <w:tcW w:w="1430" w:type="dxa"/>
          </w:tcPr>
          <w:p>
            <w:pPr/>
          </w:p>
        </w:tc>
        <w:tc>
          <w:tcPr>
            <w:tcW w:w="1216" w:type="dxa"/>
          </w:tcPr>
          <w:p>
            <w:pPr/>
          </w:p>
        </w:tc>
      </w:tr>
      <w:tr>
        <w:trPr>
          <w:trHeight w:val="250" w:hRule="exact"/>
        </w:trPr>
        <w:tc>
          <w:tcPr>
            <w:tcW w:w="3314" w:type="dxa"/>
          </w:tcPr>
          <w:p>
            <w:pPr>
              <w:pStyle w:val="TableParagraph"/>
              <w:spacing w:before="17"/>
              <w:ind w:left="20"/>
              <w:jc w:val="left"/>
              <w:rPr>
                <w:sz w:val="19"/>
              </w:rPr>
            </w:pPr>
            <w:r>
              <w:rPr>
                <w:sz w:val="19"/>
              </w:rPr>
              <w:t>% con todos los servicios</w:t>
            </w:r>
          </w:p>
        </w:tc>
        <w:tc>
          <w:tcPr>
            <w:tcW w:w="1430" w:type="dxa"/>
          </w:tcPr>
          <w:p>
            <w:pPr>
              <w:pStyle w:val="TableParagraph"/>
              <w:spacing w:before="17"/>
              <w:ind w:right="719"/>
              <w:rPr>
                <w:sz w:val="19"/>
              </w:rPr>
            </w:pPr>
            <w:r>
              <w:rPr>
                <w:sz w:val="19"/>
              </w:rPr>
              <w:t>18.15</w:t>
            </w:r>
          </w:p>
        </w:tc>
        <w:tc>
          <w:tcPr>
            <w:tcW w:w="1216" w:type="dxa"/>
          </w:tcPr>
          <w:p>
            <w:pPr>
              <w:pStyle w:val="TableParagraph"/>
              <w:spacing w:before="17"/>
              <w:ind w:right="60"/>
              <w:rPr>
                <w:sz w:val="19"/>
              </w:rPr>
            </w:pPr>
            <w:r>
              <w:rPr>
                <w:sz w:val="19"/>
              </w:rPr>
              <w:t>22.69</w:t>
            </w:r>
          </w:p>
        </w:tc>
      </w:tr>
      <w:tr>
        <w:trPr>
          <w:trHeight w:val="230" w:hRule="exact"/>
        </w:trPr>
        <w:tc>
          <w:tcPr>
            <w:tcW w:w="3314" w:type="dxa"/>
          </w:tcPr>
          <w:p>
            <w:pPr>
              <w:pStyle w:val="TableParagraph"/>
              <w:spacing w:line="216" w:lineRule="exact"/>
              <w:ind w:left="20"/>
              <w:jc w:val="left"/>
              <w:rPr>
                <w:sz w:val="19"/>
              </w:rPr>
            </w:pPr>
            <w:r>
              <w:rPr>
                <w:sz w:val="19"/>
              </w:rPr>
              <w:t>% vivienda propia</w:t>
            </w:r>
          </w:p>
        </w:tc>
        <w:tc>
          <w:tcPr>
            <w:tcW w:w="1430" w:type="dxa"/>
          </w:tcPr>
          <w:p>
            <w:pPr>
              <w:pStyle w:val="TableParagraph"/>
              <w:spacing w:line="216" w:lineRule="exact"/>
              <w:ind w:right="719"/>
              <w:rPr>
                <w:sz w:val="19"/>
              </w:rPr>
            </w:pPr>
            <w:r>
              <w:rPr>
                <w:sz w:val="19"/>
              </w:rPr>
              <w:t>84.73</w:t>
            </w:r>
          </w:p>
        </w:tc>
        <w:tc>
          <w:tcPr>
            <w:tcW w:w="1216" w:type="dxa"/>
          </w:tcPr>
          <w:p>
            <w:pPr>
              <w:pStyle w:val="TableParagraph"/>
              <w:spacing w:line="216" w:lineRule="exact"/>
              <w:ind w:right="60"/>
              <w:rPr>
                <w:sz w:val="19"/>
              </w:rPr>
            </w:pPr>
            <w:r>
              <w:rPr>
                <w:sz w:val="19"/>
              </w:rPr>
              <w:t>31.39</w:t>
            </w:r>
          </w:p>
        </w:tc>
      </w:tr>
      <w:tr>
        <w:trPr>
          <w:trHeight w:val="230" w:hRule="exact"/>
        </w:trPr>
        <w:tc>
          <w:tcPr>
            <w:tcW w:w="3314" w:type="dxa"/>
          </w:tcPr>
          <w:p>
            <w:pPr>
              <w:pStyle w:val="TableParagraph"/>
              <w:spacing w:line="216" w:lineRule="exact"/>
              <w:ind w:left="20"/>
              <w:jc w:val="left"/>
              <w:rPr>
                <w:sz w:val="19"/>
              </w:rPr>
            </w:pPr>
            <w:r>
              <w:rPr>
                <w:sz w:val="19"/>
              </w:rPr>
              <w:t>% renta</w:t>
            </w:r>
          </w:p>
        </w:tc>
        <w:tc>
          <w:tcPr>
            <w:tcW w:w="1430" w:type="dxa"/>
          </w:tcPr>
          <w:p>
            <w:pPr>
              <w:pStyle w:val="TableParagraph"/>
              <w:spacing w:line="216" w:lineRule="exact"/>
              <w:ind w:right="719"/>
              <w:rPr>
                <w:sz w:val="19"/>
              </w:rPr>
            </w:pPr>
            <w:r>
              <w:rPr>
                <w:sz w:val="19"/>
              </w:rPr>
              <w:t>6.28</w:t>
            </w:r>
          </w:p>
        </w:tc>
        <w:tc>
          <w:tcPr>
            <w:tcW w:w="1216" w:type="dxa"/>
          </w:tcPr>
          <w:p>
            <w:pPr>
              <w:pStyle w:val="TableParagraph"/>
              <w:spacing w:line="216" w:lineRule="exact"/>
              <w:ind w:right="60"/>
              <w:rPr>
                <w:sz w:val="19"/>
              </w:rPr>
            </w:pPr>
            <w:r>
              <w:rPr>
                <w:sz w:val="19"/>
              </w:rPr>
              <w:t>10.83</w:t>
            </w:r>
          </w:p>
        </w:tc>
      </w:tr>
      <w:tr>
        <w:trPr>
          <w:trHeight w:val="230" w:hRule="exact"/>
        </w:trPr>
        <w:tc>
          <w:tcPr>
            <w:tcW w:w="3314" w:type="dxa"/>
          </w:tcPr>
          <w:p>
            <w:pPr>
              <w:pStyle w:val="TableParagraph"/>
              <w:spacing w:line="216" w:lineRule="exact"/>
              <w:ind w:left="20"/>
              <w:jc w:val="left"/>
              <w:rPr>
                <w:sz w:val="19"/>
              </w:rPr>
            </w:pPr>
            <w:r>
              <w:rPr>
                <w:sz w:val="19"/>
              </w:rPr>
              <w:t>% unidades cinco años de edad o menos</w:t>
            </w:r>
          </w:p>
        </w:tc>
        <w:tc>
          <w:tcPr>
            <w:tcW w:w="1430" w:type="dxa"/>
          </w:tcPr>
          <w:p>
            <w:pPr>
              <w:pStyle w:val="TableParagraph"/>
              <w:spacing w:line="216" w:lineRule="exact"/>
              <w:ind w:right="721"/>
              <w:rPr>
                <w:sz w:val="19"/>
              </w:rPr>
            </w:pPr>
            <w:r>
              <w:rPr>
                <w:w w:val="95"/>
                <w:sz w:val="19"/>
              </w:rPr>
              <w:t>39.8</w:t>
            </w:r>
          </w:p>
        </w:tc>
        <w:tc>
          <w:tcPr>
            <w:tcW w:w="1216" w:type="dxa"/>
          </w:tcPr>
          <w:p>
            <w:pPr>
              <w:pStyle w:val="TableParagraph"/>
              <w:spacing w:line="216" w:lineRule="exact"/>
              <w:ind w:right="60"/>
              <w:rPr>
                <w:sz w:val="19"/>
              </w:rPr>
            </w:pPr>
            <w:r>
              <w:rPr>
                <w:sz w:val="19"/>
              </w:rPr>
              <w:t>27</w:t>
            </w:r>
          </w:p>
        </w:tc>
      </w:tr>
      <w:tr>
        <w:trPr>
          <w:trHeight w:val="230" w:hRule="exact"/>
        </w:trPr>
        <w:tc>
          <w:tcPr>
            <w:tcW w:w="3314" w:type="dxa"/>
          </w:tcPr>
          <w:p>
            <w:pPr>
              <w:pStyle w:val="TableParagraph"/>
              <w:spacing w:line="216" w:lineRule="exact"/>
              <w:ind w:left="20"/>
              <w:jc w:val="left"/>
              <w:rPr>
                <w:sz w:val="19"/>
              </w:rPr>
            </w:pPr>
            <w:r>
              <w:rPr>
                <w:sz w:val="19"/>
              </w:rPr>
              <w:t>% unidades 10 años de edad o menos</w:t>
            </w:r>
          </w:p>
        </w:tc>
        <w:tc>
          <w:tcPr>
            <w:tcW w:w="1430" w:type="dxa"/>
          </w:tcPr>
          <w:p>
            <w:pPr>
              <w:pStyle w:val="TableParagraph"/>
              <w:spacing w:line="216" w:lineRule="exact"/>
              <w:ind w:right="719"/>
              <w:rPr>
                <w:sz w:val="19"/>
              </w:rPr>
            </w:pPr>
            <w:r>
              <w:rPr>
                <w:sz w:val="19"/>
              </w:rPr>
              <w:t>64.86</w:t>
            </w:r>
          </w:p>
        </w:tc>
        <w:tc>
          <w:tcPr>
            <w:tcW w:w="1216" w:type="dxa"/>
          </w:tcPr>
          <w:p>
            <w:pPr>
              <w:pStyle w:val="TableParagraph"/>
              <w:spacing w:line="216" w:lineRule="exact"/>
              <w:ind w:right="60"/>
              <w:rPr>
                <w:sz w:val="19"/>
              </w:rPr>
            </w:pPr>
            <w:r>
              <w:rPr>
                <w:sz w:val="19"/>
              </w:rPr>
              <w:t>98.18</w:t>
            </w:r>
          </w:p>
        </w:tc>
      </w:tr>
      <w:tr>
        <w:trPr>
          <w:trHeight w:val="228" w:hRule="exact"/>
        </w:trPr>
        <w:tc>
          <w:tcPr>
            <w:tcW w:w="3314" w:type="dxa"/>
            <w:tcBorders>
              <w:bottom w:val="single" w:sz="4" w:space="0" w:color="000000"/>
            </w:tcBorders>
          </w:tcPr>
          <w:p>
            <w:pPr>
              <w:pStyle w:val="TableParagraph"/>
              <w:spacing w:line="216" w:lineRule="exact"/>
              <w:ind w:left="20"/>
              <w:jc w:val="left"/>
              <w:rPr>
                <w:sz w:val="19"/>
              </w:rPr>
            </w:pPr>
            <w:r>
              <w:rPr>
                <w:sz w:val="19"/>
              </w:rPr>
              <w:t>N*</w:t>
            </w:r>
          </w:p>
        </w:tc>
        <w:tc>
          <w:tcPr>
            <w:tcW w:w="1430" w:type="dxa"/>
            <w:tcBorders>
              <w:bottom w:val="single" w:sz="4" w:space="0" w:color="000000"/>
            </w:tcBorders>
          </w:tcPr>
          <w:p>
            <w:pPr>
              <w:pStyle w:val="TableParagraph"/>
              <w:spacing w:line="216" w:lineRule="exact"/>
              <w:ind w:right="719"/>
              <w:rPr>
                <w:sz w:val="19"/>
              </w:rPr>
            </w:pPr>
            <w:r>
              <w:rPr>
                <w:sz w:val="19"/>
              </w:rPr>
              <w:t>96</w:t>
            </w:r>
          </w:p>
        </w:tc>
        <w:tc>
          <w:tcPr>
            <w:tcW w:w="1216" w:type="dxa"/>
            <w:tcBorders>
              <w:bottom w:val="single" w:sz="4" w:space="0" w:color="000000"/>
            </w:tcBorders>
          </w:tcPr>
          <w:p>
            <w:pPr/>
          </w:p>
        </w:tc>
      </w:tr>
      <w:tr>
        <w:trPr>
          <w:trHeight w:val="285" w:hRule="exact"/>
        </w:trPr>
        <w:tc>
          <w:tcPr>
            <w:tcW w:w="3314" w:type="dxa"/>
            <w:tcBorders>
              <w:top w:val="single" w:sz="4" w:space="0" w:color="000000"/>
            </w:tcBorders>
          </w:tcPr>
          <w:p>
            <w:pPr>
              <w:pStyle w:val="TableParagraph"/>
              <w:spacing w:line="183" w:lineRule="exact"/>
              <w:ind w:left="20"/>
              <w:jc w:val="left"/>
              <w:rPr>
                <w:sz w:val="16"/>
              </w:rPr>
            </w:pPr>
            <w:r>
              <w:rPr>
                <w:sz w:val="16"/>
              </w:rPr>
              <w:t>* A través de todas las variables.</w:t>
            </w:r>
          </w:p>
        </w:tc>
        <w:tc>
          <w:tcPr>
            <w:tcW w:w="1430" w:type="dxa"/>
            <w:tcBorders>
              <w:top w:val="single" w:sz="4" w:space="0" w:color="000000"/>
            </w:tcBorders>
          </w:tcPr>
          <w:p>
            <w:pPr/>
          </w:p>
        </w:tc>
        <w:tc>
          <w:tcPr>
            <w:tcW w:w="1216" w:type="dxa"/>
            <w:tcBorders>
              <w:top w:val="single" w:sz="4" w:space="0" w:color="000000"/>
            </w:tcBorders>
          </w:tcPr>
          <w:p>
            <w:pPr/>
          </w:p>
        </w:tc>
      </w:tr>
    </w:tbl>
    <w:p>
      <w:pPr>
        <w:spacing w:after="0"/>
        <w:sectPr>
          <w:footerReference w:type="default" r:id="rId209"/>
          <w:pgSz w:w="7770" w:h="11740"/>
          <w:pgMar w:footer="474" w:header="0" w:top="840" w:bottom="660" w:left="940" w:right="640"/>
          <w:pgNumType w:start="169"/>
        </w:sectPr>
      </w:pPr>
    </w:p>
    <w:p>
      <w:pPr>
        <w:pStyle w:val="BodyText"/>
        <w:spacing w:line="249" w:lineRule="auto" w:before="60"/>
        <w:ind w:left="110" w:right="111" w:firstLine="283"/>
        <w:jc w:val="both"/>
      </w:pPr>
      <w:r>
        <w:rPr>
          <w:color w:val="231F20"/>
        </w:rPr>
        <w:t>Las condiciones de vivienda difieren dramáticamente entre las áreas residenciales. Mientras que en las Ageb de bajo nivel de pobreza, 81</w:t>
      </w:r>
      <w:r>
        <w:rPr>
          <w:color w:val="231F20"/>
          <w:spacing w:val="-32"/>
        </w:rPr>
        <w:t> </w:t>
      </w:r>
      <w:r>
        <w:rPr>
          <w:color w:val="231F20"/>
        </w:rPr>
        <w:t>por ciento de las viviendas tienen todos los servicios (drenaje, agua potable en la vivienda, electricidad), en las áreas de alta segregación sólo 18.15 por ciento de las unidades cuentan con todos ellos. Esto parcialmente  se debe a que estas últimas áreas tienden a ser más recientes, dado que 40 por ciento de sus viviendas tienen cinco o menos años de construi- das, lo que sugiere que estos vecindarios están todavía en el proceso de urbanización. Sin embargo, la propiedad de la vivienda es alta indepen- dientemente del nivel de segregación, lo que podría reflejar la extensa autoconstrucción existente y el acceso al suelo informal en la</w:t>
      </w:r>
      <w:r>
        <w:rPr>
          <w:color w:val="231F20"/>
          <w:spacing w:val="-9"/>
        </w:rPr>
        <w:t> </w:t>
      </w:r>
      <w:r>
        <w:rPr>
          <w:color w:val="231F20"/>
        </w:rPr>
        <w:t>ciudad.</w:t>
      </w:r>
    </w:p>
    <w:p>
      <w:pPr>
        <w:pStyle w:val="Heading4"/>
        <w:ind w:left="110"/>
      </w:pPr>
      <w:r>
        <w:rPr>
          <w:w w:val="75"/>
        </w:rPr>
        <w:t>Resultados de los modelos multinivel</w:t>
      </w:r>
    </w:p>
    <w:p>
      <w:pPr>
        <w:pStyle w:val="BodyText"/>
        <w:spacing w:line="249" w:lineRule="auto" w:before="171"/>
        <w:ind w:left="110" w:right="111"/>
        <w:jc w:val="both"/>
      </w:pPr>
      <w:r>
        <w:rPr>
          <w:color w:val="231F20"/>
        </w:rPr>
        <w:t>Los datos de la muestra censal sugieren que aun cuando en el año 2000 el desempleo fue bajo, la precariedad laboral fue extensiva en la Ciudad de México: 34.7 por ciento de los trabajadores laboraron sin seguridad social y 32.5 por ciento de la fuerza laboral ganó dos salarios mínimos  o menos. Las diferencias entre hombres y mujeres fueron notorias. La proporción</w:t>
      </w:r>
      <w:r>
        <w:rPr>
          <w:color w:val="231F20"/>
          <w:spacing w:val="-12"/>
        </w:rPr>
        <w:t> </w:t>
      </w:r>
      <w:r>
        <w:rPr>
          <w:color w:val="231F20"/>
        </w:rPr>
        <w:t>de</w:t>
      </w:r>
      <w:r>
        <w:rPr>
          <w:color w:val="231F20"/>
          <w:spacing w:val="-12"/>
        </w:rPr>
        <w:t> </w:t>
      </w:r>
      <w:r>
        <w:rPr>
          <w:color w:val="231F20"/>
        </w:rPr>
        <w:t>mujeres</w:t>
      </w:r>
      <w:r>
        <w:rPr>
          <w:color w:val="231F20"/>
          <w:spacing w:val="-13"/>
        </w:rPr>
        <w:t> </w:t>
      </w:r>
      <w:r>
        <w:rPr>
          <w:color w:val="231F20"/>
        </w:rPr>
        <w:t>que</w:t>
      </w:r>
      <w:r>
        <w:rPr>
          <w:color w:val="231F20"/>
          <w:spacing w:val="-12"/>
        </w:rPr>
        <w:t> </w:t>
      </w:r>
      <w:r>
        <w:rPr>
          <w:color w:val="231F20"/>
        </w:rPr>
        <w:t>trabajaban</w:t>
      </w:r>
      <w:r>
        <w:rPr>
          <w:color w:val="231F20"/>
          <w:spacing w:val="-12"/>
        </w:rPr>
        <w:t> </w:t>
      </w:r>
      <w:r>
        <w:rPr>
          <w:color w:val="231F20"/>
        </w:rPr>
        <w:t>sin</w:t>
      </w:r>
      <w:r>
        <w:rPr>
          <w:color w:val="231F20"/>
          <w:spacing w:val="-12"/>
        </w:rPr>
        <w:t> </w:t>
      </w:r>
      <w:r>
        <w:rPr>
          <w:color w:val="231F20"/>
        </w:rPr>
        <w:t>seguridad</w:t>
      </w:r>
      <w:r>
        <w:rPr>
          <w:color w:val="231F20"/>
          <w:spacing w:val="-12"/>
        </w:rPr>
        <w:t> </w:t>
      </w:r>
      <w:r>
        <w:rPr>
          <w:color w:val="231F20"/>
        </w:rPr>
        <w:t>social</w:t>
      </w:r>
      <w:r>
        <w:rPr>
          <w:color w:val="231F20"/>
          <w:spacing w:val="-12"/>
        </w:rPr>
        <w:t> </w:t>
      </w:r>
      <w:r>
        <w:rPr>
          <w:color w:val="231F20"/>
        </w:rPr>
        <w:t>fue</w:t>
      </w:r>
      <w:r>
        <w:rPr>
          <w:color w:val="231F20"/>
          <w:spacing w:val="-12"/>
        </w:rPr>
        <w:t> </w:t>
      </w:r>
      <w:r>
        <w:rPr>
          <w:color w:val="231F20"/>
        </w:rPr>
        <w:t>ligeramen- te menor que la de los hombres (33 </w:t>
      </w:r>
      <w:r>
        <w:rPr>
          <w:i/>
          <w:color w:val="231F20"/>
        </w:rPr>
        <w:t>vs</w:t>
      </w:r>
      <w:r>
        <w:rPr>
          <w:color w:val="231F20"/>
        </w:rPr>
        <w:t>. 36 por ciento), mientras que el desempleo abierto también lo fue (1.6 </w:t>
      </w:r>
      <w:r>
        <w:rPr>
          <w:i/>
          <w:color w:val="231F20"/>
        </w:rPr>
        <w:t>vs</w:t>
      </w:r>
      <w:r>
        <w:rPr>
          <w:color w:val="231F20"/>
        </w:rPr>
        <w:t>. 2.2 por ciento). Sin embargo, la mediana del salario por hora de las mujeres fue 2.5 pesos menor que el de los hombres y la distribución de su variable mostró mucha más dispersión.</w:t>
      </w:r>
    </w:p>
    <w:p>
      <w:pPr>
        <w:pStyle w:val="Heading5"/>
        <w:ind w:left="110"/>
        <w:rPr>
          <w:i/>
          <w:sz w:val="14"/>
        </w:rPr>
      </w:pPr>
      <w:r>
        <w:rPr>
          <w:i/>
          <w:w w:val="75"/>
        </w:rPr>
        <w:t>Modelando el salario por hora</w:t>
      </w:r>
      <w:r>
        <w:rPr>
          <w:i/>
          <w:w w:val="75"/>
          <w:position w:val="8"/>
          <w:sz w:val="14"/>
        </w:rPr>
        <w:t>4</w:t>
      </w:r>
    </w:p>
    <w:p>
      <w:pPr>
        <w:pStyle w:val="BodyText"/>
        <w:spacing w:line="249" w:lineRule="auto" w:before="171"/>
        <w:ind w:left="110" w:right="111"/>
        <w:jc w:val="both"/>
      </w:pPr>
      <w:r>
        <w:rPr>
          <w:color w:val="231F20"/>
        </w:rPr>
        <w:t>El modelo vacío</w:t>
      </w:r>
      <w:r>
        <w:rPr>
          <w:color w:val="231F20"/>
          <w:position w:val="7"/>
          <w:sz w:val="11"/>
        </w:rPr>
        <w:t>5 </w:t>
      </w:r>
      <w:r>
        <w:rPr>
          <w:color w:val="231F20"/>
        </w:rPr>
        <w:t>para el salario por hora muestra que casi 19 por ciento de la variación entre los ingresos ocurre a nivel de las Ageb (Cuadro 2), mientras</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resto</w:t>
      </w:r>
      <w:r>
        <w:rPr>
          <w:color w:val="231F20"/>
          <w:spacing w:val="-11"/>
        </w:rPr>
        <w:t> </w:t>
      </w:r>
      <w:r>
        <w:rPr>
          <w:color w:val="231F20"/>
        </w:rPr>
        <w:t>lo</w:t>
      </w:r>
      <w:r>
        <w:rPr>
          <w:color w:val="231F20"/>
          <w:spacing w:val="-11"/>
        </w:rPr>
        <w:t> </w:t>
      </w:r>
      <w:r>
        <w:rPr>
          <w:color w:val="231F20"/>
        </w:rPr>
        <w:t>hace</w:t>
      </w:r>
      <w:r>
        <w:rPr>
          <w:color w:val="231F20"/>
          <w:spacing w:val="-11"/>
        </w:rPr>
        <w:t> </w:t>
      </w:r>
      <w:r>
        <w:rPr>
          <w:color w:val="231F20"/>
        </w:rPr>
        <w:t>a</w:t>
      </w:r>
      <w:r>
        <w:rPr>
          <w:color w:val="231F20"/>
          <w:spacing w:val="-11"/>
        </w:rPr>
        <w:t> </w:t>
      </w:r>
      <w:r>
        <w:rPr>
          <w:color w:val="231F20"/>
        </w:rPr>
        <w:t>nivel</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individuos.</w:t>
      </w:r>
      <w:r>
        <w:rPr>
          <w:color w:val="231F20"/>
          <w:spacing w:val="-12"/>
        </w:rPr>
        <w:t> </w:t>
      </w:r>
      <w:r>
        <w:rPr>
          <w:color w:val="231F20"/>
        </w:rPr>
        <w:t>De</w:t>
      </w:r>
      <w:r>
        <w:rPr>
          <w:color w:val="231F20"/>
          <w:spacing w:val="-11"/>
        </w:rPr>
        <w:t> </w:t>
      </w:r>
      <w:r>
        <w:rPr>
          <w:color w:val="231F20"/>
        </w:rPr>
        <w:t>ahí,</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serie de modelos que se presentan en dicho cuadro analizan la variabilidad en los salarios como una función del nivel de segregación del área de resi- dencia</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atributos</w:t>
      </w:r>
      <w:r>
        <w:rPr>
          <w:color w:val="231F20"/>
          <w:spacing w:val="-6"/>
        </w:rPr>
        <w:t> </w:t>
      </w:r>
      <w:r>
        <w:rPr>
          <w:color w:val="231F20"/>
        </w:rPr>
        <w:t>individuales</w:t>
      </w:r>
      <w:r>
        <w:rPr>
          <w:color w:val="231F20"/>
          <w:spacing w:val="-5"/>
        </w:rPr>
        <w:t> </w:t>
      </w:r>
      <w:r>
        <w:rPr>
          <w:color w:val="231F20"/>
        </w:rPr>
        <w:t>del</w:t>
      </w:r>
      <w:r>
        <w:rPr>
          <w:color w:val="231F20"/>
          <w:spacing w:val="-5"/>
        </w:rPr>
        <w:t> </w:t>
      </w:r>
      <w:r>
        <w:rPr>
          <w:color w:val="231F20"/>
        </w:rPr>
        <w:t>trabajador.</w:t>
      </w:r>
      <w:r>
        <w:rPr>
          <w:color w:val="231F20"/>
          <w:spacing w:val="-5"/>
        </w:rPr>
        <w:t> </w:t>
      </w:r>
      <w:r>
        <w:rPr>
          <w:color w:val="231F20"/>
        </w:rPr>
        <w:t>Por</w:t>
      </w:r>
      <w:r>
        <w:rPr>
          <w:color w:val="231F20"/>
          <w:spacing w:val="-5"/>
        </w:rPr>
        <w:t> </w:t>
      </w:r>
      <w:r>
        <w:rPr>
          <w:color w:val="231F20"/>
        </w:rPr>
        <w:t>razones</w:t>
      </w:r>
      <w:r>
        <w:rPr>
          <w:color w:val="231F20"/>
          <w:spacing w:val="-5"/>
        </w:rPr>
        <w:t> </w:t>
      </w:r>
      <w:r>
        <w:rPr>
          <w:color w:val="231F20"/>
        </w:rPr>
        <w:t>de</w:t>
      </w:r>
      <w:r>
        <w:rPr>
          <w:color w:val="231F20"/>
          <w:spacing w:val="-5"/>
        </w:rPr>
        <w:t> </w:t>
      </w:r>
      <w:r>
        <w:rPr>
          <w:color w:val="231F20"/>
        </w:rPr>
        <w:t>espacio, aquí sólo se presentan y se discuten los resultados de los dos modelos finales (Modelos 1 y 0 del Cuadro 2). Los resultados sugieren que</w:t>
      </w:r>
      <w:r>
        <w:rPr>
          <w:color w:val="231F20"/>
          <w:spacing w:val="13"/>
        </w:rPr>
        <w:t> </w:t>
      </w:r>
      <w:r>
        <w:rPr>
          <w:color w:val="231F20"/>
        </w:rPr>
        <w:t>todos</w:t>
      </w:r>
    </w:p>
    <w:p>
      <w:pPr>
        <w:pStyle w:val="BodyText"/>
        <w:spacing w:before="6"/>
      </w:pPr>
    </w:p>
    <w:p>
      <w:pPr>
        <w:spacing w:before="0"/>
        <w:ind w:left="110" w:right="111" w:firstLine="0"/>
        <w:jc w:val="both"/>
        <w:rPr>
          <w:sz w:val="14"/>
        </w:rPr>
      </w:pPr>
      <w:r>
        <w:rPr>
          <w:color w:val="231F20"/>
          <w:position w:val="5"/>
          <w:sz w:val="8"/>
        </w:rPr>
        <w:t>4 </w:t>
      </w:r>
      <w:r>
        <w:rPr>
          <w:color w:val="231F20"/>
          <w:sz w:val="14"/>
        </w:rPr>
        <w:t>Ingresos por hora, como su nombre sugiere, se calcula dividiendo los ingresos del trabajador entre las horas trabajadas. El nivel de segregación residencial se calcula primero el total del ingreso del hogar (ingreso</w:t>
      </w:r>
      <w:r>
        <w:rPr>
          <w:color w:val="231F20"/>
          <w:spacing w:val="-8"/>
          <w:sz w:val="14"/>
        </w:rPr>
        <w:t> </w:t>
      </w:r>
      <w:r>
        <w:rPr>
          <w:color w:val="231F20"/>
          <w:sz w:val="14"/>
        </w:rPr>
        <w:t>laboral</w:t>
      </w:r>
      <w:r>
        <w:rPr>
          <w:color w:val="231F20"/>
          <w:spacing w:val="-8"/>
          <w:sz w:val="14"/>
        </w:rPr>
        <w:t> </w:t>
      </w:r>
      <w:r>
        <w:rPr>
          <w:color w:val="231F20"/>
          <w:sz w:val="14"/>
        </w:rPr>
        <w:t>más</w:t>
      </w:r>
      <w:r>
        <w:rPr>
          <w:color w:val="231F20"/>
          <w:spacing w:val="-8"/>
          <w:sz w:val="14"/>
        </w:rPr>
        <w:t> </w:t>
      </w:r>
      <w:r>
        <w:rPr>
          <w:color w:val="231F20"/>
          <w:sz w:val="14"/>
        </w:rPr>
        <w:t>otros</w:t>
      </w:r>
      <w:r>
        <w:rPr>
          <w:color w:val="231F20"/>
          <w:spacing w:val="-8"/>
          <w:sz w:val="14"/>
        </w:rPr>
        <w:t> </w:t>
      </w:r>
      <w:r>
        <w:rPr>
          <w:color w:val="231F20"/>
          <w:sz w:val="14"/>
        </w:rPr>
        <w:t>ingresos);</w:t>
      </w:r>
      <w:r>
        <w:rPr>
          <w:color w:val="231F20"/>
          <w:spacing w:val="-8"/>
          <w:sz w:val="14"/>
        </w:rPr>
        <w:t> </w:t>
      </w:r>
      <w:r>
        <w:rPr>
          <w:color w:val="231F20"/>
          <w:sz w:val="14"/>
        </w:rPr>
        <w:t>luego</w:t>
      </w:r>
      <w:r>
        <w:rPr>
          <w:color w:val="231F20"/>
          <w:spacing w:val="-8"/>
          <w:sz w:val="14"/>
        </w:rPr>
        <w:t> </w:t>
      </w:r>
      <w:r>
        <w:rPr>
          <w:color w:val="231F20"/>
          <w:sz w:val="14"/>
        </w:rPr>
        <w:t>se</w:t>
      </w:r>
      <w:r>
        <w:rPr>
          <w:color w:val="231F20"/>
          <w:spacing w:val="-8"/>
          <w:sz w:val="14"/>
        </w:rPr>
        <w:t> </w:t>
      </w:r>
      <w:r>
        <w:rPr>
          <w:color w:val="231F20"/>
          <w:sz w:val="14"/>
        </w:rPr>
        <w:t>define</w:t>
      </w:r>
      <w:r>
        <w:rPr>
          <w:color w:val="231F20"/>
          <w:spacing w:val="-8"/>
          <w:sz w:val="14"/>
        </w:rPr>
        <w:t> </w:t>
      </w:r>
      <w:r>
        <w:rPr>
          <w:color w:val="231F20"/>
          <w:sz w:val="14"/>
        </w:rPr>
        <w:t>su</w:t>
      </w:r>
      <w:r>
        <w:rPr>
          <w:color w:val="231F20"/>
          <w:spacing w:val="-8"/>
          <w:sz w:val="14"/>
        </w:rPr>
        <w:t> </w:t>
      </w:r>
      <w:r>
        <w:rPr>
          <w:color w:val="231F20"/>
          <w:sz w:val="14"/>
        </w:rPr>
        <w:t>condición</w:t>
      </w:r>
      <w:r>
        <w:rPr>
          <w:color w:val="231F20"/>
          <w:spacing w:val="-8"/>
          <w:sz w:val="14"/>
        </w:rPr>
        <w:t> </w:t>
      </w:r>
      <w:r>
        <w:rPr>
          <w:color w:val="231F20"/>
          <w:sz w:val="14"/>
        </w:rPr>
        <w:t>de</w:t>
      </w:r>
      <w:r>
        <w:rPr>
          <w:color w:val="231F20"/>
          <w:spacing w:val="-8"/>
          <w:sz w:val="14"/>
        </w:rPr>
        <w:t> </w:t>
      </w:r>
      <w:r>
        <w:rPr>
          <w:color w:val="231F20"/>
          <w:sz w:val="14"/>
        </w:rPr>
        <w:t>pobreza</w:t>
      </w:r>
      <w:r>
        <w:rPr>
          <w:color w:val="231F20"/>
          <w:spacing w:val="-8"/>
          <w:sz w:val="14"/>
        </w:rPr>
        <w:t> </w:t>
      </w:r>
      <w:r>
        <w:rPr>
          <w:color w:val="231F20"/>
          <w:sz w:val="14"/>
        </w:rPr>
        <w:t>en</w:t>
      </w:r>
      <w:r>
        <w:rPr>
          <w:color w:val="231F20"/>
          <w:spacing w:val="-8"/>
          <w:sz w:val="14"/>
        </w:rPr>
        <w:t> </w:t>
      </w:r>
      <w:r>
        <w:rPr>
          <w:color w:val="231F20"/>
          <w:sz w:val="14"/>
        </w:rPr>
        <w:t>relación</w:t>
      </w:r>
      <w:r>
        <w:rPr>
          <w:color w:val="231F20"/>
          <w:spacing w:val="-8"/>
          <w:sz w:val="14"/>
        </w:rPr>
        <w:t> </w:t>
      </w:r>
      <w:r>
        <w:rPr>
          <w:color w:val="231F20"/>
          <w:sz w:val="14"/>
        </w:rPr>
        <w:t>a</w:t>
      </w:r>
      <w:r>
        <w:rPr>
          <w:color w:val="231F20"/>
          <w:spacing w:val="-8"/>
          <w:sz w:val="14"/>
        </w:rPr>
        <w:t> </w:t>
      </w:r>
      <w:r>
        <w:rPr>
          <w:color w:val="231F20"/>
          <w:sz w:val="14"/>
        </w:rPr>
        <w:t>la</w:t>
      </w:r>
      <w:r>
        <w:rPr>
          <w:color w:val="231F20"/>
          <w:spacing w:val="-8"/>
          <w:sz w:val="14"/>
        </w:rPr>
        <w:t> </w:t>
      </w:r>
      <w:r>
        <w:rPr>
          <w:color w:val="231F20"/>
          <w:sz w:val="14"/>
        </w:rPr>
        <w:t>línea</w:t>
      </w:r>
      <w:r>
        <w:rPr>
          <w:color w:val="231F20"/>
          <w:spacing w:val="-8"/>
          <w:sz w:val="14"/>
        </w:rPr>
        <w:t> </w:t>
      </w:r>
      <w:r>
        <w:rPr>
          <w:color w:val="231F20"/>
          <w:sz w:val="14"/>
        </w:rPr>
        <w:t>oficial de</w:t>
      </w:r>
      <w:r>
        <w:rPr>
          <w:color w:val="231F20"/>
          <w:spacing w:val="-6"/>
          <w:sz w:val="14"/>
        </w:rPr>
        <w:t> </w:t>
      </w:r>
      <w:r>
        <w:rPr>
          <w:color w:val="231F20"/>
          <w:sz w:val="14"/>
        </w:rPr>
        <w:t>pobreza,</w:t>
      </w:r>
      <w:r>
        <w:rPr>
          <w:color w:val="231F20"/>
          <w:spacing w:val="-6"/>
          <w:sz w:val="14"/>
        </w:rPr>
        <w:t> </w:t>
      </w:r>
      <w:r>
        <w:rPr>
          <w:color w:val="231F20"/>
          <w:sz w:val="14"/>
        </w:rPr>
        <w:t>para</w:t>
      </w:r>
      <w:r>
        <w:rPr>
          <w:color w:val="231F20"/>
          <w:spacing w:val="-6"/>
          <w:sz w:val="14"/>
        </w:rPr>
        <w:t> </w:t>
      </w:r>
      <w:r>
        <w:rPr>
          <w:color w:val="231F20"/>
          <w:sz w:val="14"/>
        </w:rPr>
        <w:t>después</w:t>
      </w:r>
      <w:r>
        <w:rPr>
          <w:color w:val="231F20"/>
          <w:spacing w:val="-6"/>
          <w:sz w:val="14"/>
        </w:rPr>
        <w:t> </w:t>
      </w:r>
      <w:r>
        <w:rPr>
          <w:color w:val="231F20"/>
          <w:sz w:val="14"/>
        </w:rPr>
        <w:t>comparar</w:t>
      </w:r>
      <w:r>
        <w:rPr>
          <w:color w:val="231F20"/>
          <w:spacing w:val="-7"/>
          <w:sz w:val="14"/>
        </w:rPr>
        <w:t> </w:t>
      </w:r>
      <w:r>
        <w:rPr>
          <w:color w:val="231F20"/>
          <w:sz w:val="14"/>
        </w:rPr>
        <w:t>la</w:t>
      </w:r>
      <w:r>
        <w:rPr>
          <w:color w:val="231F20"/>
          <w:spacing w:val="-6"/>
          <w:sz w:val="14"/>
        </w:rPr>
        <w:t> </w:t>
      </w:r>
      <w:r>
        <w:rPr>
          <w:color w:val="231F20"/>
          <w:sz w:val="14"/>
        </w:rPr>
        <w:t>proporción</w:t>
      </w:r>
      <w:r>
        <w:rPr>
          <w:color w:val="231F20"/>
          <w:spacing w:val="-6"/>
          <w:sz w:val="14"/>
        </w:rPr>
        <w:t> </w:t>
      </w:r>
      <w:r>
        <w:rPr>
          <w:color w:val="231F20"/>
          <w:sz w:val="14"/>
        </w:rPr>
        <w:t>de</w:t>
      </w:r>
      <w:r>
        <w:rPr>
          <w:color w:val="231F20"/>
          <w:spacing w:val="-6"/>
          <w:sz w:val="14"/>
        </w:rPr>
        <w:t> </w:t>
      </w:r>
      <w:r>
        <w:rPr>
          <w:color w:val="231F20"/>
          <w:sz w:val="14"/>
        </w:rPr>
        <w:t>pobreza</w:t>
      </w:r>
      <w:r>
        <w:rPr>
          <w:color w:val="231F20"/>
          <w:spacing w:val="-6"/>
          <w:sz w:val="14"/>
        </w:rPr>
        <w:t> </w:t>
      </w:r>
      <w:r>
        <w:rPr>
          <w:color w:val="231F20"/>
          <w:sz w:val="14"/>
        </w:rPr>
        <w:t>en</w:t>
      </w:r>
      <w:r>
        <w:rPr>
          <w:color w:val="231F20"/>
          <w:spacing w:val="-6"/>
          <w:sz w:val="14"/>
        </w:rPr>
        <w:t> </w:t>
      </w:r>
      <w:r>
        <w:rPr>
          <w:color w:val="231F20"/>
          <w:sz w:val="14"/>
        </w:rPr>
        <w:t>la</w:t>
      </w:r>
      <w:r>
        <w:rPr>
          <w:color w:val="231F20"/>
          <w:spacing w:val="-14"/>
          <w:sz w:val="14"/>
        </w:rPr>
        <w:t> </w:t>
      </w:r>
      <w:r>
        <w:rPr>
          <w:color w:val="231F20"/>
          <w:sz w:val="14"/>
        </w:rPr>
        <w:t>Ageb</w:t>
      </w:r>
      <w:r>
        <w:rPr>
          <w:color w:val="231F20"/>
          <w:spacing w:val="-6"/>
          <w:sz w:val="14"/>
        </w:rPr>
        <w:t> </w:t>
      </w:r>
      <w:r>
        <w:rPr>
          <w:color w:val="231F20"/>
          <w:sz w:val="14"/>
        </w:rPr>
        <w:t>en</w:t>
      </w:r>
      <w:r>
        <w:rPr>
          <w:color w:val="231F20"/>
          <w:spacing w:val="-6"/>
          <w:sz w:val="14"/>
        </w:rPr>
        <w:t> </w:t>
      </w:r>
      <w:r>
        <w:rPr>
          <w:color w:val="231F20"/>
          <w:sz w:val="14"/>
        </w:rPr>
        <w:t>relación</w:t>
      </w:r>
      <w:r>
        <w:rPr>
          <w:color w:val="231F20"/>
          <w:spacing w:val="-6"/>
          <w:sz w:val="14"/>
        </w:rPr>
        <w:t> </w:t>
      </w:r>
      <w:r>
        <w:rPr>
          <w:color w:val="231F20"/>
          <w:sz w:val="14"/>
        </w:rPr>
        <w:t>al</w:t>
      </w:r>
      <w:r>
        <w:rPr>
          <w:color w:val="231F20"/>
          <w:spacing w:val="-6"/>
          <w:sz w:val="14"/>
        </w:rPr>
        <w:t> </w:t>
      </w:r>
      <w:r>
        <w:rPr>
          <w:color w:val="231F20"/>
          <w:sz w:val="14"/>
        </w:rPr>
        <w:t>resto</w:t>
      </w:r>
      <w:r>
        <w:rPr>
          <w:color w:val="231F20"/>
          <w:spacing w:val="-6"/>
          <w:sz w:val="14"/>
        </w:rPr>
        <w:t> </w:t>
      </w:r>
      <w:r>
        <w:rPr>
          <w:color w:val="231F20"/>
          <w:sz w:val="14"/>
        </w:rPr>
        <w:t>de</w:t>
      </w:r>
      <w:r>
        <w:rPr>
          <w:color w:val="231F20"/>
          <w:spacing w:val="-6"/>
          <w:sz w:val="14"/>
        </w:rPr>
        <w:t> </w:t>
      </w:r>
      <w:r>
        <w:rPr>
          <w:color w:val="231F20"/>
          <w:sz w:val="14"/>
        </w:rPr>
        <w:t>la</w:t>
      </w:r>
      <w:r>
        <w:rPr>
          <w:color w:val="231F20"/>
          <w:spacing w:val="-6"/>
          <w:sz w:val="14"/>
        </w:rPr>
        <w:t> </w:t>
      </w:r>
      <w:r>
        <w:rPr>
          <w:color w:val="231F20"/>
          <w:sz w:val="14"/>
        </w:rPr>
        <w:t>ciudad. Así, aunque relacionadas estas dos variables, miden cosas</w:t>
      </w:r>
      <w:r>
        <w:rPr>
          <w:color w:val="231F20"/>
          <w:spacing w:val="-8"/>
          <w:sz w:val="14"/>
        </w:rPr>
        <w:t> </w:t>
      </w:r>
      <w:r>
        <w:rPr>
          <w:color w:val="231F20"/>
          <w:sz w:val="14"/>
        </w:rPr>
        <w:t>distintas.</w:t>
      </w:r>
    </w:p>
    <w:p>
      <w:pPr>
        <w:spacing w:before="0"/>
        <w:ind w:left="110" w:right="111" w:firstLine="0"/>
        <w:jc w:val="both"/>
        <w:rPr>
          <w:sz w:val="14"/>
        </w:rPr>
      </w:pPr>
      <w:r>
        <w:rPr>
          <w:color w:val="231F20"/>
          <w:position w:val="5"/>
          <w:sz w:val="8"/>
        </w:rPr>
        <w:t>5</w:t>
      </w:r>
      <w:r>
        <w:rPr>
          <w:color w:val="231F20"/>
          <w:spacing w:val="10"/>
          <w:position w:val="5"/>
          <w:sz w:val="8"/>
        </w:rPr>
        <w:t> </w:t>
      </w:r>
      <w:r>
        <w:rPr>
          <w:color w:val="231F20"/>
          <w:sz w:val="14"/>
        </w:rPr>
        <w:t>El</w:t>
      </w:r>
      <w:r>
        <w:rPr>
          <w:color w:val="231F20"/>
          <w:spacing w:val="-5"/>
          <w:sz w:val="14"/>
        </w:rPr>
        <w:t> </w:t>
      </w:r>
      <w:r>
        <w:rPr>
          <w:color w:val="231F20"/>
          <w:sz w:val="14"/>
        </w:rPr>
        <w:t>modelo</w:t>
      </w:r>
      <w:r>
        <w:rPr>
          <w:color w:val="231F20"/>
          <w:spacing w:val="-5"/>
          <w:sz w:val="14"/>
        </w:rPr>
        <w:t> </w:t>
      </w:r>
      <w:r>
        <w:rPr>
          <w:color w:val="231F20"/>
          <w:sz w:val="14"/>
        </w:rPr>
        <w:t>fue</w:t>
      </w:r>
      <w:r>
        <w:rPr>
          <w:color w:val="231F20"/>
          <w:spacing w:val="-5"/>
          <w:sz w:val="14"/>
        </w:rPr>
        <w:t> </w:t>
      </w:r>
      <w:r>
        <w:rPr>
          <w:color w:val="231F20"/>
          <w:sz w:val="14"/>
        </w:rPr>
        <w:t>estimado</w:t>
      </w:r>
      <w:r>
        <w:rPr>
          <w:color w:val="231F20"/>
          <w:spacing w:val="-5"/>
          <w:sz w:val="14"/>
        </w:rPr>
        <w:t> </w:t>
      </w:r>
      <w:r>
        <w:rPr>
          <w:color w:val="231F20"/>
          <w:sz w:val="14"/>
        </w:rPr>
        <w:t>con</w:t>
      </w:r>
      <w:r>
        <w:rPr>
          <w:color w:val="231F20"/>
          <w:spacing w:val="-5"/>
          <w:sz w:val="14"/>
        </w:rPr>
        <w:t> </w:t>
      </w:r>
      <w:r>
        <w:rPr>
          <w:color w:val="231F20"/>
          <w:sz w:val="14"/>
        </w:rPr>
        <w:t>203,207</w:t>
      </w:r>
      <w:r>
        <w:rPr>
          <w:color w:val="231F20"/>
          <w:spacing w:val="-5"/>
          <w:sz w:val="14"/>
        </w:rPr>
        <w:t> </w:t>
      </w:r>
      <w:r>
        <w:rPr>
          <w:color w:val="231F20"/>
          <w:sz w:val="14"/>
        </w:rPr>
        <w:t>individuos</w:t>
      </w:r>
      <w:r>
        <w:rPr>
          <w:color w:val="231F20"/>
          <w:spacing w:val="-5"/>
          <w:sz w:val="14"/>
        </w:rPr>
        <w:t> </w:t>
      </w:r>
      <w:r>
        <w:rPr>
          <w:color w:val="231F20"/>
          <w:sz w:val="14"/>
        </w:rPr>
        <w:t>anidados</w:t>
      </w:r>
      <w:r>
        <w:rPr>
          <w:color w:val="231F20"/>
          <w:spacing w:val="-5"/>
          <w:sz w:val="14"/>
        </w:rPr>
        <w:t> </w:t>
      </w:r>
      <w:r>
        <w:rPr>
          <w:color w:val="231F20"/>
          <w:sz w:val="14"/>
        </w:rPr>
        <w:t>dentro</w:t>
      </w:r>
      <w:r>
        <w:rPr>
          <w:color w:val="231F20"/>
          <w:spacing w:val="-5"/>
          <w:sz w:val="14"/>
        </w:rPr>
        <w:t> </w:t>
      </w:r>
      <w:r>
        <w:rPr>
          <w:color w:val="231F20"/>
          <w:sz w:val="14"/>
        </w:rPr>
        <w:t>de</w:t>
      </w:r>
      <w:r>
        <w:rPr>
          <w:color w:val="231F20"/>
          <w:spacing w:val="-5"/>
          <w:sz w:val="14"/>
        </w:rPr>
        <w:t> </w:t>
      </w:r>
      <w:r>
        <w:rPr>
          <w:color w:val="231F20"/>
          <w:sz w:val="14"/>
        </w:rPr>
        <w:t>781</w:t>
      </w:r>
      <w:r>
        <w:rPr>
          <w:color w:val="231F20"/>
          <w:spacing w:val="-5"/>
          <w:sz w:val="14"/>
        </w:rPr>
        <w:t> </w:t>
      </w:r>
      <w:r>
        <w:rPr>
          <w:color w:val="231F20"/>
          <w:sz w:val="14"/>
        </w:rPr>
        <w:t>unidades</w:t>
      </w:r>
      <w:r>
        <w:rPr>
          <w:color w:val="231F20"/>
          <w:spacing w:val="-5"/>
          <w:sz w:val="14"/>
        </w:rPr>
        <w:t> </w:t>
      </w:r>
      <w:r>
        <w:rPr>
          <w:color w:val="231F20"/>
          <w:sz w:val="14"/>
        </w:rPr>
        <w:t>de</w:t>
      </w:r>
      <w:r>
        <w:rPr>
          <w:color w:val="231F20"/>
          <w:spacing w:val="-5"/>
          <w:sz w:val="14"/>
        </w:rPr>
        <w:t> </w:t>
      </w:r>
      <w:r>
        <w:rPr>
          <w:color w:val="231F20"/>
          <w:sz w:val="14"/>
        </w:rPr>
        <w:t>segundo</w:t>
      </w:r>
      <w:r>
        <w:rPr>
          <w:color w:val="231F20"/>
          <w:spacing w:val="-4"/>
          <w:sz w:val="14"/>
        </w:rPr>
        <w:t> </w:t>
      </w:r>
      <w:r>
        <w:rPr>
          <w:color w:val="231F20"/>
          <w:sz w:val="14"/>
        </w:rPr>
        <w:t>nivel.</w:t>
      </w:r>
      <w:r>
        <w:rPr>
          <w:color w:val="231F20"/>
          <w:spacing w:val="-5"/>
          <w:sz w:val="14"/>
        </w:rPr>
        <w:t> </w:t>
      </w:r>
      <w:r>
        <w:rPr>
          <w:color w:val="231F20"/>
          <w:sz w:val="14"/>
        </w:rPr>
        <w:t>La variable dependiente fue transformada a la escala logarítmica para alcanzar</w:t>
      </w:r>
      <w:r>
        <w:rPr>
          <w:color w:val="231F20"/>
          <w:spacing w:val="-4"/>
          <w:sz w:val="14"/>
        </w:rPr>
        <w:t> </w:t>
      </w:r>
      <w:r>
        <w:rPr>
          <w:color w:val="231F20"/>
          <w:sz w:val="14"/>
        </w:rPr>
        <w:t>normalidad.</w:t>
      </w:r>
    </w:p>
    <w:p>
      <w:pPr>
        <w:spacing w:after="0"/>
        <w:jc w:val="both"/>
        <w:rPr>
          <w:sz w:val="14"/>
        </w:rPr>
        <w:sectPr>
          <w:pgSz w:w="7770" w:h="11740"/>
          <w:pgMar w:header="0" w:footer="474" w:top="840" w:bottom="740" w:left="740" w:right="1020"/>
        </w:sectPr>
      </w:pPr>
    </w:p>
    <w:p>
      <w:pPr>
        <w:pStyle w:val="BodyText"/>
        <w:spacing w:line="249" w:lineRule="auto" w:before="60"/>
        <w:ind w:left="193" w:right="188"/>
        <w:jc w:val="both"/>
      </w:pPr>
      <w:r>
        <w:rPr>
          <w:color w:val="231F20"/>
        </w:rPr>
        <w:t>los predictores individuales son estadísticamente significativos, excepto por unas cuantas variables dicotómicas que indican la industria de em- pleo.</w:t>
      </w:r>
    </w:p>
    <w:p>
      <w:pPr>
        <w:pStyle w:val="BodyText"/>
        <w:spacing w:before="5"/>
        <w:rPr>
          <w:sz w:val="11"/>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68"/>
        <w:gridCol w:w="1327"/>
        <w:gridCol w:w="1197"/>
        <w:gridCol w:w="1160"/>
      </w:tblGrid>
      <w:tr>
        <w:trPr>
          <w:trHeight w:val="353" w:hRule="exact"/>
        </w:trPr>
        <w:tc>
          <w:tcPr>
            <w:tcW w:w="2268" w:type="dxa"/>
            <w:tcBorders>
              <w:bottom w:val="single" w:sz="4" w:space="0" w:color="000000"/>
            </w:tcBorders>
          </w:tcPr>
          <w:p>
            <w:pPr>
              <w:pStyle w:val="TableParagraph"/>
              <w:spacing w:before="84"/>
              <w:ind w:left="51"/>
              <w:jc w:val="left"/>
              <w:rPr>
                <w:sz w:val="17"/>
              </w:rPr>
            </w:pPr>
            <w:r>
              <w:rPr>
                <w:sz w:val="17"/>
              </w:rPr>
              <w:t>Cuadro 2. Modelo multinivel de</w:t>
            </w:r>
          </w:p>
        </w:tc>
        <w:tc>
          <w:tcPr>
            <w:tcW w:w="1327" w:type="dxa"/>
            <w:tcBorders>
              <w:bottom w:val="single" w:sz="4" w:space="0" w:color="000000"/>
            </w:tcBorders>
          </w:tcPr>
          <w:p>
            <w:pPr>
              <w:pStyle w:val="TableParagraph"/>
              <w:spacing w:before="84"/>
              <w:ind w:right="120"/>
              <w:rPr>
                <w:sz w:val="17"/>
              </w:rPr>
            </w:pPr>
            <w:r>
              <w:rPr>
                <w:sz w:val="17"/>
              </w:rPr>
              <w:t>ingresos por hora</w:t>
            </w:r>
          </w:p>
        </w:tc>
        <w:tc>
          <w:tcPr>
            <w:tcW w:w="2357" w:type="dxa"/>
            <w:gridSpan w:val="2"/>
            <w:tcBorders>
              <w:bottom w:val="single" w:sz="4" w:space="0" w:color="000000"/>
            </w:tcBorders>
          </w:tcPr>
          <w:p>
            <w:pPr/>
          </w:p>
        </w:tc>
      </w:tr>
      <w:tr>
        <w:trPr>
          <w:trHeight w:val="222" w:hRule="exact"/>
        </w:trPr>
        <w:tc>
          <w:tcPr>
            <w:tcW w:w="2268" w:type="dxa"/>
            <w:tcBorders>
              <w:top w:val="single" w:sz="4" w:space="0" w:color="000000"/>
            </w:tcBorders>
          </w:tcPr>
          <w:p>
            <w:pPr/>
          </w:p>
        </w:tc>
        <w:tc>
          <w:tcPr>
            <w:tcW w:w="1327" w:type="dxa"/>
            <w:tcBorders>
              <w:top w:val="single" w:sz="4" w:space="0" w:color="000000"/>
            </w:tcBorders>
          </w:tcPr>
          <w:p>
            <w:pPr>
              <w:pStyle w:val="TableParagraph"/>
              <w:spacing w:before="9"/>
              <w:ind w:right="148"/>
              <w:rPr>
                <w:sz w:val="17"/>
              </w:rPr>
            </w:pPr>
            <w:r>
              <w:rPr>
                <w:sz w:val="17"/>
              </w:rPr>
              <w:t>Modelo 1</w:t>
            </w:r>
          </w:p>
        </w:tc>
        <w:tc>
          <w:tcPr>
            <w:tcW w:w="1197" w:type="dxa"/>
            <w:tcBorders>
              <w:top w:val="single" w:sz="4" w:space="0" w:color="000000"/>
            </w:tcBorders>
          </w:tcPr>
          <w:p>
            <w:pPr>
              <w:pStyle w:val="TableParagraph"/>
              <w:spacing w:before="9"/>
              <w:ind w:right="136"/>
              <w:rPr>
                <w:sz w:val="17"/>
              </w:rPr>
            </w:pPr>
            <w:r>
              <w:rPr>
                <w:sz w:val="17"/>
              </w:rPr>
              <w:t>Modelo 2</w:t>
            </w:r>
          </w:p>
        </w:tc>
        <w:tc>
          <w:tcPr>
            <w:tcW w:w="1160" w:type="dxa"/>
            <w:tcBorders>
              <w:top w:val="single" w:sz="4" w:space="0" w:color="000000"/>
            </w:tcBorders>
          </w:tcPr>
          <w:p>
            <w:pPr>
              <w:pStyle w:val="TableParagraph"/>
              <w:spacing w:before="9"/>
              <w:ind w:right="85"/>
              <w:rPr>
                <w:sz w:val="17"/>
              </w:rPr>
            </w:pPr>
            <w:r>
              <w:rPr>
                <w:sz w:val="17"/>
              </w:rPr>
              <w:t>Modelo 3</w:t>
            </w:r>
          </w:p>
        </w:tc>
      </w:tr>
      <w:tr>
        <w:trPr>
          <w:trHeight w:val="201" w:hRule="exact"/>
        </w:trPr>
        <w:tc>
          <w:tcPr>
            <w:tcW w:w="2268" w:type="dxa"/>
            <w:tcBorders>
              <w:bottom w:val="single" w:sz="4" w:space="0" w:color="000000"/>
            </w:tcBorders>
          </w:tcPr>
          <w:p>
            <w:pPr/>
          </w:p>
        </w:tc>
        <w:tc>
          <w:tcPr>
            <w:tcW w:w="1327" w:type="dxa"/>
            <w:tcBorders>
              <w:bottom w:val="single" w:sz="4" w:space="0" w:color="000000"/>
            </w:tcBorders>
          </w:tcPr>
          <w:p>
            <w:pPr>
              <w:pStyle w:val="TableParagraph"/>
              <w:spacing w:line="194" w:lineRule="exact"/>
              <w:ind w:right="147"/>
              <w:rPr>
                <w:sz w:val="17"/>
              </w:rPr>
            </w:pPr>
            <w:r>
              <w:rPr>
                <w:w w:val="95"/>
                <w:sz w:val="17"/>
              </w:rPr>
              <w:t>Coeficientes</w:t>
            </w:r>
          </w:p>
        </w:tc>
        <w:tc>
          <w:tcPr>
            <w:tcW w:w="1197" w:type="dxa"/>
            <w:tcBorders>
              <w:bottom w:val="single" w:sz="4" w:space="0" w:color="000000"/>
            </w:tcBorders>
          </w:tcPr>
          <w:p>
            <w:pPr>
              <w:pStyle w:val="TableParagraph"/>
              <w:spacing w:line="194" w:lineRule="exact"/>
              <w:ind w:right="133"/>
              <w:rPr>
                <w:sz w:val="17"/>
              </w:rPr>
            </w:pPr>
            <w:r>
              <w:rPr>
                <w:w w:val="95"/>
                <w:sz w:val="17"/>
              </w:rPr>
              <w:t>Coeficientes</w:t>
            </w:r>
          </w:p>
        </w:tc>
        <w:tc>
          <w:tcPr>
            <w:tcW w:w="1160" w:type="dxa"/>
            <w:tcBorders>
              <w:bottom w:val="single" w:sz="4" w:space="0" w:color="000000"/>
            </w:tcBorders>
          </w:tcPr>
          <w:p>
            <w:pPr>
              <w:pStyle w:val="TableParagraph"/>
              <w:spacing w:line="194" w:lineRule="exact"/>
              <w:ind w:right="83"/>
              <w:rPr>
                <w:sz w:val="17"/>
              </w:rPr>
            </w:pPr>
            <w:r>
              <w:rPr>
                <w:w w:val="95"/>
                <w:sz w:val="17"/>
              </w:rPr>
              <w:t>Coeficientes</w:t>
            </w:r>
          </w:p>
        </w:tc>
      </w:tr>
      <w:tr>
        <w:trPr>
          <w:trHeight w:val="222" w:hRule="exact"/>
        </w:trPr>
        <w:tc>
          <w:tcPr>
            <w:tcW w:w="2268" w:type="dxa"/>
            <w:tcBorders>
              <w:top w:val="single" w:sz="4" w:space="0" w:color="000000"/>
            </w:tcBorders>
          </w:tcPr>
          <w:p>
            <w:pPr>
              <w:pStyle w:val="TableParagraph"/>
              <w:spacing w:before="9"/>
              <w:ind w:left="51"/>
              <w:jc w:val="left"/>
              <w:rPr>
                <w:i/>
                <w:sz w:val="17"/>
              </w:rPr>
            </w:pPr>
            <w:r>
              <w:rPr>
                <w:i/>
                <w:sz w:val="17"/>
              </w:rPr>
              <w:t>Efectos fijos</w:t>
            </w:r>
          </w:p>
        </w:tc>
        <w:tc>
          <w:tcPr>
            <w:tcW w:w="1327" w:type="dxa"/>
            <w:tcBorders>
              <w:top w:val="single" w:sz="4" w:space="0" w:color="000000"/>
            </w:tcBorders>
          </w:tcPr>
          <w:p>
            <w:pPr>
              <w:pStyle w:val="TableParagraph"/>
              <w:spacing w:before="9"/>
              <w:ind w:right="147"/>
              <w:rPr>
                <w:sz w:val="17"/>
              </w:rPr>
            </w:pPr>
            <w:r>
              <w:rPr>
                <w:sz w:val="17"/>
              </w:rPr>
              <w:t>4.1879***</w:t>
            </w:r>
          </w:p>
        </w:tc>
        <w:tc>
          <w:tcPr>
            <w:tcW w:w="1197" w:type="dxa"/>
            <w:tcBorders>
              <w:top w:val="single" w:sz="4" w:space="0" w:color="000000"/>
            </w:tcBorders>
          </w:tcPr>
          <w:p>
            <w:pPr>
              <w:pStyle w:val="TableParagraph"/>
              <w:spacing w:before="9"/>
              <w:ind w:right="133"/>
              <w:rPr>
                <w:sz w:val="17"/>
              </w:rPr>
            </w:pPr>
            <w:r>
              <w:rPr>
                <w:w w:val="95"/>
                <w:sz w:val="17"/>
              </w:rPr>
              <w:t>4.262***</w:t>
            </w:r>
          </w:p>
        </w:tc>
        <w:tc>
          <w:tcPr>
            <w:tcW w:w="1160" w:type="dxa"/>
            <w:tcBorders>
              <w:top w:val="single" w:sz="4" w:space="0" w:color="000000"/>
            </w:tcBorders>
          </w:tcPr>
          <w:p>
            <w:pPr>
              <w:pStyle w:val="TableParagraph"/>
              <w:spacing w:before="9"/>
              <w:ind w:right="84"/>
              <w:rPr>
                <w:sz w:val="17"/>
              </w:rPr>
            </w:pPr>
            <w:r>
              <w:rPr>
                <w:w w:val="95"/>
                <w:sz w:val="17"/>
              </w:rPr>
              <w:t>4.266***</w:t>
            </w:r>
          </w:p>
        </w:tc>
      </w:tr>
      <w:tr>
        <w:trPr>
          <w:trHeight w:val="206" w:hRule="exact"/>
        </w:trPr>
        <w:tc>
          <w:tcPr>
            <w:tcW w:w="2268" w:type="dxa"/>
          </w:tcPr>
          <w:p>
            <w:pPr>
              <w:pStyle w:val="TableParagraph"/>
              <w:spacing w:line="194" w:lineRule="exact"/>
              <w:ind w:left="51"/>
              <w:jc w:val="left"/>
              <w:rPr>
                <w:sz w:val="17"/>
              </w:rPr>
            </w:pPr>
            <w:r>
              <w:rPr>
                <w:sz w:val="17"/>
              </w:rPr>
              <w:t>Intercepción</w:t>
            </w:r>
          </w:p>
        </w:tc>
        <w:tc>
          <w:tcPr>
            <w:tcW w:w="1327" w:type="dxa"/>
          </w:tcPr>
          <w:p>
            <w:pPr/>
          </w:p>
        </w:tc>
        <w:tc>
          <w:tcPr>
            <w:tcW w:w="1197" w:type="dxa"/>
          </w:tcPr>
          <w:p>
            <w:pPr/>
          </w:p>
        </w:tc>
        <w:tc>
          <w:tcPr>
            <w:tcW w:w="1160" w:type="dxa"/>
          </w:tcPr>
          <w:p>
            <w:pPr/>
          </w:p>
        </w:tc>
      </w:tr>
      <w:tr>
        <w:trPr>
          <w:trHeight w:val="209" w:hRule="exact"/>
        </w:trPr>
        <w:tc>
          <w:tcPr>
            <w:tcW w:w="2268" w:type="dxa"/>
          </w:tcPr>
          <w:p>
            <w:pPr>
              <w:pStyle w:val="TableParagraph"/>
              <w:spacing w:line="194" w:lineRule="exact"/>
              <w:ind w:left="51"/>
              <w:jc w:val="left"/>
              <w:rPr>
                <w:i/>
                <w:sz w:val="17"/>
              </w:rPr>
            </w:pPr>
            <w:r>
              <w:rPr>
                <w:i/>
                <w:sz w:val="17"/>
              </w:rPr>
              <w:t>Variables individuales</w:t>
            </w:r>
          </w:p>
        </w:tc>
        <w:tc>
          <w:tcPr>
            <w:tcW w:w="1327" w:type="dxa"/>
          </w:tcPr>
          <w:p>
            <w:pPr/>
          </w:p>
        </w:tc>
        <w:tc>
          <w:tcPr>
            <w:tcW w:w="1197" w:type="dxa"/>
          </w:tcPr>
          <w:p>
            <w:pPr/>
          </w:p>
        </w:tc>
        <w:tc>
          <w:tcPr>
            <w:tcW w:w="1160" w:type="dxa"/>
          </w:tcPr>
          <w:p>
            <w:pPr/>
          </w:p>
        </w:tc>
      </w:tr>
      <w:tr>
        <w:trPr>
          <w:trHeight w:val="209" w:hRule="exact"/>
        </w:trPr>
        <w:tc>
          <w:tcPr>
            <w:tcW w:w="2268" w:type="dxa"/>
          </w:tcPr>
          <w:p>
            <w:pPr>
              <w:pStyle w:val="TableParagraph"/>
              <w:spacing w:before="1"/>
              <w:ind w:left="51"/>
              <w:jc w:val="left"/>
              <w:rPr>
                <w:sz w:val="17"/>
              </w:rPr>
            </w:pPr>
            <w:r>
              <w:rPr>
                <w:sz w:val="17"/>
              </w:rPr>
              <w:t>Edad (centrada)</w:t>
            </w:r>
          </w:p>
        </w:tc>
        <w:tc>
          <w:tcPr>
            <w:tcW w:w="1327" w:type="dxa"/>
          </w:tcPr>
          <w:p>
            <w:pPr/>
          </w:p>
        </w:tc>
        <w:tc>
          <w:tcPr>
            <w:tcW w:w="1197" w:type="dxa"/>
          </w:tcPr>
          <w:p>
            <w:pPr>
              <w:pStyle w:val="TableParagraph"/>
              <w:spacing w:before="1"/>
              <w:ind w:right="133"/>
              <w:rPr>
                <w:sz w:val="17"/>
              </w:rPr>
            </w:pPr>
            <w:r>
              <w:rPr>
                <w:w w:val="95"/>
                <w:sz w:val="17"/>
              </w:rPr>
              <w:t>0.029***</w:t>
            </w:r>
          </w:p>
        </w:tc>
        <w:tc>
          <w:tcPr>
            <w:tcW w:w="1160" w:type="dxa"/>
          </w:tcPr>
          <w:p>
            <w:pPr>
              <w:pStyle w:val="TableParagraph"/>
              <w:spacing w:before="1"/>
              <w:ind w:right="84"/>
              <w:rPr>
                <w:sz w:val="17"/>
              </w:rPr>
            </w:pPr>
            <w:r>
              <w:rPr>
                <w:w w:val="95"/>
                <w:sz w:val="17"/>
              </w:rPr>
              <w:t>0.028***</w:t>
            </w:r>
          </w:p>
        </w:tc>
      </w:tr>
      <w:tr>
        <w:trPr>
          <w:trHeight w:val="206" w:hRule="exact"/>
        </w:trPr>
        <w:tc>
          <w:tcPr>
            <w:tcW w:w="2268" w:type="dxa"/>
          </w:tcPr>
          <w:p>
            <w:pPr>
              <w:pStyle w:val="TableParagraph"/>
              <w:spacing w:line="194" w:lineRule="exact"/>
              <w:ind w:left="51"/>
              <w:jc w:val="left"/>
              <w:rPr>
                <w:sz w:val="17"/>
              </w:rPr>
            </w:pPr>
            <w:r>
              <w:rPr>
                <w:sz w:val="17"/>
              </w:rPr>
              <w:t>Edad al cuadrado (centrada)</w:t>
            </w:r>
          </w:p>
        </w:tc>
        <w:tc>
          <w:tcPr>
            <w:tcW w:w="1327" w:type="dxa"/>
          </w:tcPr>
          <w:p>
            <w:pPr/>
          </w:p>
        </w:tc>
        <w:tc>
          <w:tcPr>
            <w:tcW w:w="1197" w:type="dxa"/>
          </w:tcPr>
          <w:p>
            <w:pPr>
              <w:pStyle w:val="TableParagraph"/>
              <w:spacing w:line="194" w:lineRule="exact"/>
              <w:ind w:right="133"/>
              <w:rPr>
                <w:sz w:val="17"/>
              </w:rPr>
            </w:pPr>
            <w:r>
              <w:rPr>
                <w:w w:val="95"/>
                <w:sz w:val="17"/>
              </w:rPr>
              <w:t>0.000***</w:t>
            </w:r>
          </w:p>
        </w:tc>
        <w:tc>
          <w:tcPr>
            <w:tcW w:w="1160" w:type="dxa"/>
          </w:tcPr>
          <w:p>
            <w:pPr>
              <w:pStyle w:val="TableParagraph"/>
              <w:spacing w:line="194" w:lineRule="exact"/>
              <w:ind w:right="84"/>
              <w:rPr>
                <w:sz w:val="17"/>
              </w:rPr>
            </w:pPr>
            <w:r>
              <w:rPr>
                <w:w w:val="95"/>
                <w:sz w:val="17"/>
              </w:rPr>
              <w:t>0.000***</w:t>
            </w:r>
          </w:p>
        </w:tc>
      </w:tr>
      <w:tr>
        <w:trPr>
          <w:trHeight w:val="206" w:hRule="exact"/>
        </w:trPr>
        <w:tc>
          <w:tcPr>
            <w:tcW w:w="2268" w:type="dxa"/>
          </w:tcPr>
          <w:p>
            <w:pPr>
              <w:pStyle w:val="TableParagraph"/>
              <w:spacing w:line="194" w:lineRule="exact"/>
              <w:ind w:left="51"/>
              <w:jc w:val="left"/>
              <w:rPr>
                <w:sz w:val="17"/>
              </w:rPr>
            </w:pPr>
            <w:r>
              <w:rPr>
                <w:sz w:val="17"/>
              </w:rPr>
              <w:t>Escolaridad</w:t>
            </w:r>
          </w:p>
        </w:tc>
        <w:tc>
          <w:tcPr>
            <w:tcW w:w="1327" w:type="dxa"/>
          </w:tcPr>
          <w:p>
            <w:pPr/>
          </w:p>
        </w:tc>
        <w:tc>
          <w:tcPr>
            <w:tcW w:w="1197" w:type="dxa"/>
          </w:tcPr>
          <w:p>
            <w:pPr>
              <w:pStyle w:val="TableParagraph"/>
              <w:spacing w:line="194" w:lineRule="exact"/>
              <w:ind w:right="133"/>
              <w:rPr>
                <w:sz w:val="17"/>
              </w:rPr>
            </w:pPr>
            <w:r>
              <w:rPr>
                <w:w w:val="95"/>
                <w:sz w:val="17"/>
              </w:rPr>
              <w:t>0.082***</w:t>
            </w:r>
          </w:p>
        </w:tc>
        <w:tc>
          <w:tcPr>
            <w:tcW w:w="1160" w:type="dxa"/>
          </w:tcPr>
          <w:p>
            <w:pPr>
              <w:pStyle w:val="TableParagraph"/>
              <w:spacing w:line="194" w:lineRule="exact"/>
              <w:ind w:right="84"/>
              <w:rPr>
                <w:sz w:val="17"/>
              </w:rPr>
            </w:pPr>
            <w:r>
              <w:rPr>
                <w:w w:val="95"/>
                <w:sz w:val="17"/>
              </w:rPr>
              <w:t>0.082***</w:t>
            </w:r>
          </w:p>
        </w:tc>
      </w:tr>
      <w:tr>
        <w:trPr>
          <w:trHeight w:val="206" w:hRule="exact"/>
        </w:trPr>
        <w:tc>
          <w:tcPr>
            <w:tcW w:w="2268" w:type="dxa"/>
          </w:tcPr>
          <w:p>
            <w:pPr>
              <w:pStyle w:val="TableParagraph"/>
              <w:spacing w:line="194" w:lineRule="exact"/>
              <w:ind w:left="51"/>
              <w:jc w:val="left"/>
              <w:rPr>
                <w:sz w:val="17"/>
              </w:rPr>
            </w:pPr>
            <w:r>
              <w:rPr>
                <w:sz w:val="17"/>
              </w:rPr>
              <w:t>Mujer</w:t>
            </w:r>
          </w:p>
        </w:tc>
        <w:tc>
          <w:tcPr>
            <w:tcW w:w="1327" w:type="dxa"/>
          </w:tcPr>
          <w:p>
            <w:pPr/>
          </w:p>
        </w:tc>
        <w:tc>
          <w:tcPr>
            <w:tcW w:w="1197" w:type="dxa"/>
          </w:tcPr>
          <w:p>
            <w:pPr>
              <w:pStyle w:val="TableParagraph"/>
              <w:spacing w:line="194" w:lineRule="exact"/>
              <w:ind w:right="133"/>
              <w:rPr>
                <w:sz w:val="17"/>
              </w:rPr>
            </w:pPr>
            <w:r>
              <w:rPr>
                <w:w w:val="95"/>
                <w:sz w:val="17"/>
              </w:rPr>
              <w:t>-0.044***</w:t>
            </w:r>
          </w:p>
        </w:tc>
        <w:tc>
          <w:tcPr>
            <w:tcW w:w="1160" w:type="dxa"/>
          </w:tcPr>
          <w:p>
            <w:pPr>
              <w:pStyle w:val="TableParagraph"/>
              <w:spacing w:line="194" w:lineRule="exact"/>
              <w:ind w:right="84"/>
              <w:rPr>
                <w:sz w:val="17"/>
              </w:rPr>
            </w:pPr>
            <w:r>
              <w:rPr>
                <w:w w:val="95"/>
                <w:sz w:val="17"/>
              </w:rPr>
              <w:t>-0.031***</w:t>
            </w:r>
          </w:p>
        </w:tc>
      </w:tr>
      <w:tr>
        <w:trPr>
          <w:trHeight w:val="206" w:hRule="exact"/>
        </w:trPr>
        <w:tc>
          <w:tcPr>
            <w:tcW w:w="2268" w:type="dxa"/>
          </w:tcPr>
          <w:p>
            <w:pPr>
              <w:pStyle w:val="TableParagraph"/>
              <w:spacing w:line="194" w:lineRule="exact"/>
              <w:ind w:left="51"/>
              <w:jc w:val="left"/>
              <w:rPr>
                <w:sz w:val="17"/>
              </w:rPr>
            </w:pPr>
            <w:r>
              <w:rPr>
                <w:sz w:val="17"/>
              </w:rPr>
              <w:t>Casado o unido</w:t>
            </w:r>
          </w:p>
        </w:tc>
        <w:tc>
          <w:tcPr>
            <w:tcW w:w="1327" w:type="dxa"/>
          </w:tcPr>
          <w:p>
            <w:pPr/>
          </w:p>
        </w:tc>
        <w:tc>
          <w:tcPr>
            <w:tcW w:w="1197" w:type="dxa"/>
          </w:tcPr>
          <w:p>
            <w:pPr>
              <w:pStyle w:val="TableParagraph"/>
              <w:spacing w:line="194" w:lineRule="exact"/>
              <w:ind w:right="133"/>
              <w:rPr>
                <w:sz w:val="17"/>
              </w:rPr>
            </w:pPr>
            <w:r>
              <w:rPr>
                <w:w w:val="95"/>
                <w:sz w:val="17"/>
              </w:rPr>
              <w:t>0.104***</w:t>
            </w:r>
          </w:p>
        </w:tc>
        <w:tc>
          <w:tcPr>
            <w:tcW w:w="1160" w:type="dxa"/>
          </w:tcPr>
          <w:p>
            <w:pPr>
              <w:pStyle w:val="TableParagraph"/>
              <w:spacing w:line="194" w:lineRule="exact"/>
              <w:ind w:right="84"/>
              <w:rPr>
                <w:sz w:val="17"/>
              </w:rPr>
            </w:pPr>
            <w:r>
              <w:rPr>
                <w:w w:val="95"/>
                <w:sz w:val="17"/>
              </w:rPr>
              <w:t>0.104***</w:t>
            </w:r>
          </w:p>
        </w:tc>
      </w:tr>
      <w:tr>
        <w:trPr>
          <w:trHeight w:val="206" w:hRule="exact"/>
        </w:trPr>
        <w:tc>
          <w:tcPr>
            <w:tcW w:w="2268" w:type="dxa"/>
          </w:tcPr>
          <w:p>
            <w:pPr>
              <w:pStyle w:val="TableParagraph"/>
              <w:spacing w:line="194" w:lineRule="exact"/>
              <w:ind w:left="51"/>
              <w:jc w:val="left"/>
              <w:rPr>
                <w:sz w:val="17"/>
              </w:rPr>
            </w:pPr>
            <w:r>
              <w:rPr>
                <w:sz w:val="17"/>
              </w:rPr>
              <w:t>Presencia de niños en el hogar</w:t>
            </w:r>
          </w:p>
        </w:tc>
        <w:tc>
          <w:tcPr>
            <w:tcW w:w="1327" w:type="dxa"/>
          </w:tcPr>
          <w:p>
            <w:pPr/>
          </w:p>
        </w:tc>
        <w:tc>
          <w:tcPr>
            <w:tcW w:w="1197" w:type="dxa"/>
          </w:tcPr>
          <w:p>
            <w:pPr>
              <w:pStyle w:val="TableParagraph"/>
              <w:spacing w:line="194" w:lineRule="exact"/>
              <w:ind w:right="133"/>
              <w:rPr>
                <w:sz w:val="17"/>
              </w:rPr>
            </w:pPr>
            <w:r>
              <w:rPr>
                <w:w w:val="95"/>
                <w:sz w:val="17"/>
              </w:rPr>
              <w:t>-0.049***</w:t>
            </w:r>
          </w:p>
        </w:tc>
        <w:tc>
          <w:tcPr>
            <w:tcW w:w="1160" w:type="dxa"/>
          </w:tcPr>
          <w:p>
            <w:pPr>
              <w:pStyle w:val="TableParagraph"/>
              <w:spacing w:line="194" w:lineRule="exact"/>
              <w:ind w:right="84"/>
              <w:rPr>
                <w:sz w:val="17"/>
              </w:rPr>
            </w:pPr>
            <w:r>
              <w:rPr>
                <w:w w:val="95"/>
                <w:sz w:val="17"/>
              </w:rPr>
              <w:t>-0.049***</w:t>
            </w:r>
          </w:p>
        </w:tc>
      </w:tr>
      <w:tr>
        <w:trPr>
          <w:trHeight w:val="206" w:hRule="exact"/>
        </w:trPr>
        <w:tc>
          <w:tcPr>
            <w:tcW w:w="2268" w:type="dxa"/>
          </w:tcPr>
          <w:p>
            <w:pPr>
              <w:pStyle w:val="TableParagraph"/>
              <w:spacing w:line="194" w:lineRule="exact"/>
              <w:ind w:left="51"/>
              <w:jc w:val="left"/>
              <w:rPr>
                <w:sz w:val="17"/>
              </w:rPr>
            </w:pPr>
            <w:r>
              <w:rPr>
                <w:sz w:val="17"/>
              </w:rPr>
              <w:t>Jefatura de hogar femenina</w:t>
            </w:r>
          </w:p>
        </w:tc>
        <w:tc>
          <w:tcPr>
            <w:tcW w:w="1327" w:type="dxa"/>
          </w:tcPr>
          <w:p>
            <w:pPr/>
          </w:p>
        </w:tc>
        <w:tc>
          <w:tcPr>
            <w:tcW w:w="1197" w:type="dxa"/>
          </w:tcPr>
          <w:p>
            <w:pPr>
              <w:pStyle w:val="TableParagraph"/>
              <w:spacing w:line="194" w:lineRule="exact"/>
              <w:ind w:right="133"/>
              <w:rPr>
                <w:sz w:val="17"/>
              </w:rPr>
            </w:pPr>
            <w:r>
              <w:rPr>
                <w:w w:val="95"/>
                <w:sz w:val="17"/>
              </w:rPr>
              <w:t>-0.036***</w:t>
            </w:r>
          </w:p>
        </w:tc>
        <w:tc>
          <w:tcPr>
            <w:tcW w:w="1160" w:type="dxa"/>
          </w:tcPr>
          <w:p>
            <w:pPr>
              <w:pStyle w:val="TableParagraph"/>
              <w:spacing w:line="194" w:lineRule="exact"/>
              <w:ind w:right="84"/>
              <w:rPr>
                <w:sz w:val="17"/>
              </w:rPr>
            </w:pPr>
            <w:r>
              <w:rPr>
                <w:w w:val="95"/>
                <w:sz w:val="17"/>
              </w:rPr>
              <w:t>-0.037***</w:t>
            </w:r>
          </w:p>
        </w:tc>
      </w:tr>
      <w:tr>
        <w:trPr>
          <w:trHeight w:val="209" w:hRule="exact"/>
        </w:trPr>
        <w:tc>
          <w:tcPr>
            <w:tcW w:w="2268" w:type="dxa"/>
          </w:tcPr>
          <w:p>
            <w:pPr>
              <w:pStyle w:val="TableParagraph"/>
              <w:spacing w:line="194" w:lineRule="exact"/>
              <w:ind w:left="51"/>
              <w:jc w:val="left"/>
              <w:rPr>
                <w:sz w:val="17"/>
              </w:rPr>
            </w:pPr>
            <w:r>
              <w:rPr>
                <w:sz w:val="17"/>
              </w:rPr>
              <w:t>Empleo informal</w:t>
            </w:r>
          </w:p>
        </w:tc>
        <w:tc>
          <w:tcPr>
            <w:tcW w:w="1327" w:type="dxa"/>
          </w:tcPr>
          <w:p>
            <w:pPr/>
          </w:p>
        </w:tc>
        <w:tc>
          <w:tcPr>
            <w:tcW w:w="1197" w:type="dxa"/>
          </w:tcPr>
          <w:p>
            <w:pPr>
              <w:pStyle w:val="TableParagraph"/>
              <w:spacing w:line="194" w:lineRule="exact"/>
              <w:ind w:right="133"/>
              <w:rPr>
                <w:sz w:val="17"/>
              </w:rPr>
            </w:pPr>
            <w:r>
              <w:rPr>
                <w:w w:val="95"/>
                <w:sz w:val="17"/>
              </w:rPr>
              <w:t>-0.087***</w:t>
            </w:r>
          </w:p>
        </w:tc>
        <w:tc>
          <w:tcPr>
            <w:tcW w:w="1160" w:type="dxa"/>
          </w:tcPr>
          <w:p>
            <w:pPr>
              <w:pStyle w:val="TableParagraph"/>
              <w:spacing w:line="194" w:lineRule="exact"/>
              <w:ind w:right="84"/>
              <w:rPr>
                <w:sz w:val="17"/>
              </w:rPr>
            </w:pPr>
            <w:r>
              <w:rPr>
                <w:w w:val="95"/>
                <w:sz w:val="17"/>
              </w:rPr>
              <w:t>-0.087***</w:t>
            </w:r>
          </w:p>
        </w:tc>
      </w:tr>
      <w:tr>
        <w:trPr>
          <w:trHeight w:val="209" w:hRule="exact"/>
        </w:trPr>
        <w:tc>
          <w:tcPr>
            <w:tcW w:w="2268" w:type="dxa"/>
          </w:tcPr>
          <w:p>
            <w:pPr>
              <w:pStyle w:val="TableParagraph"/>
              <w:spacing w:before="1"/>
              <w:ind w:left="51"/>
              <w:jc w:val="left"/>
              <w:rPr>
                <w:sz w:val="17"/>
              </w:rPr>
            </w:pPr>
            <w:r>
              <w:rPr>
                <w:sz w:val="17"/>
              </w:rPr>
              <w:t>Ocupación manual</w:t>
            </w:r>
          </w:p>
        </w:tc>
        <w:tc>
          <w:tcPr>
            <w:tcW w:w="1327" w:type="dxa"/>
          </w:tcPr>
          <w:p>
            <w:pPr/>
          </w:p>
        </w:tc>
        <w:tc>
          <w:tcPr>
            <w:tcW w:w="1197" w:type="dxa"/>
          </w:tcPr>
          <w:p>
            <w:pPr>
              <w:pStyle w:val="TableParagraph"/>
              <w:spacing w:before="1"/>
              <w:ind w:right="133"/>
              <w:rPr>
                <w:sz w:val="17"/>
              </w:rPr>
            </w:pPr>
            <w:r>
              <w:rPr>
                <w:w w:val="95"/>
                <w:sz w:val="17"/>
              </w:rPr>
              <w:t>-0.300***</w:t>
            </w:r>
          </w:p>
        </w:tc>
        <w:tc>
          <w:tcPr>
            <w:tcW w:w="1160" w:type="dxa"/>
          </w:tcPr>
          <w:p>
            <w:pPr>
              <w:pStyle w:val="TableParagraph"/>
              <w:spacing w:before="1"/>
              <w:ind w:right="84"/>
              <w:rPr>
                <w:sz w:val="17"/>
              </w:rPr>
            </w:pPr>
            <w:r>
              <w:rPr>
                <w:w w:val="95"/>
                <w:sz w:val="17"/>
              </w:rPr>
              <w:t>-0.299***</w:t>
            </w:r>
          </w:p>
        </w:tc>
      </w:tr>
      <w:tr>
        <w:trPr>
          <w:trHeight w:val="206" w:hRule="exact"/>
        </w:trPr>
        <w:tc>
          <w:tcPr>
            <w:tcW w:w="2268" w:type="dxa"/>
          </w:tcPr>
          <w:p>
            <w:pPr>
              <w:pStyle w:val="TableParagraph"/>
              <w:spacing w:line="194" w:lineRule="exact"/>
              <w:ind w:left="51"/>
              <w:jc w:val="left"/>
              <w:rPr>
                <w:sz w:val="17"/>
              </w:rPr>
            </w:pPr>
            <w:r>
              <w:rPr>
                <w:sz w:val="17"/>
              </w:rPr>
              <w:t>Agricultura (referencia)</w:t>
            </w:r>
          </w:p>
        </w:tc>
        <w:tc>
          <w:tcPr>
            <w:tcW w:w="1327" w:type="dxa"/>
          </w:tcPr>
          <w:p>
            <w:pPr/>
          </w:p>
        </w:tc>
        <w:tc>
          <w:tcPr>
            <w:tcW w:w="1197" w:type="dxa"/>
          </w:tcPr>
          <w:p>
            <w:pPr/>
          </w:p>
        </w:tc>
        <w:tc>
          <w:tcPr>
            <w:tcW w:w="1160" w:type="dxa"/>
          </w:tcPr>
          <w:p>
            <w:pPr/>
          </w:p>
        </w:tc>
      </w:tr>
      <w:tr>
        <w:trPr>
          <w:trHeight w:val="206" w:hRule="exact"/>
        </w:trPr>
        <w:tc>
          <w:tcPr>
            <w:tcW w:w="2268" w:type="dxa"/>
          </w:tcPr>
          <w:p>
            <w:pPr>
              <w:pStyle w:val="TableParagraph"/>
              <w:spacing w:line="194" w:lineRule="exact"/>
              <w:ind w:left="51"/>
              <w:jc w:val="left"/>
              <w:rPr>
                <w:sz w:val="17"/>
              </w:rPr>
            </w:pPr>
            <w:r>
              <w:rPr>
                <w:sz w:val="17"/>
              </w:rPr>
              <w:t>Manufactura</w:t>
            </w:r>
          </w:p>
        </w:tc>
        <w:tc>
          <w:tcPr>
            <w:tcW w:w="1327" w:type="dxa"/>
          </w:tcPr>
          <w:p>
            <w:pPr/>
          </w:p>
        </w:tc>
        <w:tc>
          <w:tcPr>
            <w:tcW w:w="1197" w:type="dxa"/>
          </w:tcPr>
          <w:p>
            <w:pPr>
              <w:pStyle w:val="TableParagraph"/>
              <w:spacing w:line="194" w:lineRule="exact"/>
              <w:ind w:left="396"/>
              <w:jc w:val="left"/>
              <w:rPr>
                <w:sz w:val="17"/>
              </w:rPr>
            </w:pPr>
            <w:r>
              <w:rPr>
                <w:sz w:val="17"/>
              </w:rPr>
              <w:t>0.025</w:t>
            </w:r>
          </w:p>
        </w:tc>
        <w:tc>
          <w:tcPr>
            <w:tcW w:w="1160" w:type="dxa"/>
          </w:tcPr>
          <w:p>
            <w:pPr>
              <w:pStyle w:val="TableParagraph"/>
              <w:spacing w:line="194" w:lineRule="exact"/>
              <w:ind w:left="367"/>
              <w:jc w:val="left"/>
              <w:rPr>
                <w:sz w:val="17"/>
              </w:rPr>
            </w:pPr>
            <w:r>
              <w:rPr>
                <w:sz w:val="17"/>
              </w:rPr>
              <w:t>0.017</w:t>
            </w:r>
          </w:p>
        </w:tc>
      </w:tr>
      <w:tr>
        <w:trPr>
          <w:trHeight w:val="206" w:hRule="exact"/>
        </w:trPr>
        <w:tc>
          <w:tcPr>
            <w:tcW w:w="2268" w:type="dxa"/>
          </w:tcPr>
          <w:p>
            <w:pPr>
              <w:pStyle w:val="TableParagraph"/>
              <w:spacing w:line="194" w:lineRule="exact"/>
              <w:ind w:left="51"/>
              <w:jc w:val="left"/>
              <w:rPr>
                <w:sz w:val="17"/>
              </w:rPr>
            </w:pPr>
            <w:r>
              <w:rPr>
                <w:sz w:val="17"/>
              </w:rPr>
              <w:t>Construcción</w:t>
            </w:r>
          </w:p>
        </w:tc>
        <w:tc>
          <w:tcPr>
            <w:tcW w:w="1327" w:type="dxa"/>
          </w:tcPr>
          <w:p>
            <w:pPr/>
          </w:p>
        </w:tc>
        <w:tc>
          <w:tcPr>
            <w:tcW w:w="1197" w:type="dxa"/>
          </w:tcPr>
          <w:p>
            <w:pPr>
              <w:pStyle w:val="TableParagraph"/>
              <w:spacing w:line="194" w:lineRule="exact"/>
              <w:ind w:right="133"/>
              <w:rPr>
                <w:sz w:val="17"/>
              </w:rPr>
            </w:pPr>
            <w:r>
              <w:rPr>
                <w:w w:val="95"/>
                <w:sz w:val="17"/>
              </w:rPr>
              <w:t>0.139***</w:t>
            </w:r>
          </w:p>
        </w:tc>
        <w:tc>
          <w:tcPr>
            <w:tcW w:w="1160" w:type="dxa"/>
          </w:tcPr>
          <w:p>
            <w:pPr>
              <w:pStyle w:val="TableParagraph"/>
              <w:spacing w:line="194" w:lineRule="exact"/>
              <w:ind w:right="84"/>
              <w:rPr>
                <w:sz w:val="17"/>
              </w:rPr>
            </w:pPr>
            <w:r>
              <w:rPr>
                <w:sz w:val="17"/>
              </w:rPr>
              <w:t>0.134***</w:t>
            </w:r>
          </w:p>
        </w:tc>
      </w:tr>
      <w:tr>
        <w:trPr>
          <w:trHeight w:val="206" w:hRule="exact"/>
        </w:trPr>
        <w:tc>
          <w:tcPr>
            <w:tcW w:w="2268" w:type="dxa"/>
          </w:tcPr>
          <w:p>
            <w:pPr>
              <w:pStyle w:val="TableParagraph"/>
              <w:spacing w:line="194" w:lineRule="exact"/>
              <w:ind w:left="51"/>
              <w:jc w:val="left"/>
              <w:rPr>
                <w:sz w:val="17"/>
              </w:rPr>
            </w:pPr>
            <w:r>
              <w:rPr>
                <w:sz w:val="17"/>
              </w:rPr>
              <w:t>Servicios distributivos</w:t>
            </w:r>
          </w:p>
        </w:tc>
        <w:tc>
          <w:tcPr>
            <w:tcW w:w="1327" w:type="dxa"/>
          </w:tcPr>
          <w:p>
            <w:pPr/>
          </w:p>
        </w:tc>
        <w:tc>
          <w:tcPr>
            <w:tcW w:w="1197" w:type="dxa"/>
          </w:tcPr>
          <w:p>
            <w:pPr>
              <w:pStyle w:val="TableParagraph"/>
              <w:spacing w:line="194" w:lineRule="exact"/>
              <w:ind w:right="133"/>
              <w:rPr>
                <w:sz w:val="17"/>
              </w:rPr>
            </w:pPr>
            <w:r>
              <w:rPr>
                <w:w w:val="95"/>
                <w:sz w:val="17"/>
              </w:rPr>
              <w:t>0.039**</w:t>
            </w:r>
          </w:p>
        </w:tc>
        <w:tc>
          <w:tcPr>
            <w:tcW w:w="1160" w:type="dxa"/>
          </w:tcPr>
          <w:p>
            <w:pPr>
              <w:pStyle w:val="TableParagraph"/>
              <w:spacing w:line="194" w:lineRule="exact"/>
              <w:ind w:left="367"/>
              <w:jc w:val="left"/>
              <w:rPr>
                <w:sz w:val="17"/>
              </w:rPr>
            </w:pPr>
            <w:r>
              <w:rPr>
                <w:sz w:val="17"/>
              </w:rPr>
              <w:t>0.032</w:t>
            </w:r>
          </w:p>
        </w:tc>
      </w:tr>
      <w:tr>
        <w:trPr>
          <w:trHeight w:val="206" w:hRule="exact"/>
        </w:trPr>
        <w:tc>
          <w:tcPr>
            <w:tcW w:w="2268" w:type="dxa"/>
          </w:tcPr>
          <w:p>
            <w:pPr>
              <w:pStyle w:val="TableParagraph"/>
              <w:spacing w:line="194" w:lineRule="exact"/>
              <w:ind w:left="51"/>
              <w:jc w:val="left"/>
              <w:rPr>
                <w:sz w:val="17"/>
              </w:rPr>
            </w:pPr>
            <w:r>
              <w:rPr>
                <w:sz w:val="17"/>
              </w:rPr>
              <w:t>Servicios al productor</w:t>
            </w:r>
          </w:p>
        </w:tc>
        <w:tc>
          <w:tcPr>
            <w:tcW w:w="1327" w:type="dxa"/>
          </w:tcPr>
          <w:p>
            <w:pPr/>
          </w:p>
        </w:tc>
        <w:tc>
          <w:tcPr>
            <w:tcW w:w="1197" w:type="dxa"/>
          </w:tcPr>
          <w:p>
            <w:pPr>
              <w:pStyle w:val="TableParagraph"/>
              <w:spacing w:line="194" w:lineRule="exact"/>
              <w:ind w:right="133"/>
              <w:rPr>
                <w:sz w:val="17"/>
              </w:rPr>
            </w:pPr>
            <w:r>
              <w:rPr>
                <w:w w:val="95"/>
                <w:sz w:val="17"/>
              </w:rPr>
              <w:t>0.152***</w:t>
            </w:r>
          </w:p>
        </w:tc>
        <w:tc>
          <w:tcPr>
            <w:tcW w:w="1160" w:type="dxa"/>
          </w:tcPr>
          <w:p>
            <w:pPr>
              <w:pStyle w:val="TableParagraph"/>
              <w:spacing w:line="194" w:lineRule="exact"/>
              <w:ind w:right="84"/>
              <w:rPr>
                <w:sz w:val="17"/>
              </w:rPr>
            </w:pPr>
            <w:r>
              <w:rPr>
                <w:w w:val="95"/>
                <w:sz w:val="17"/>
              </w:rPr>
              <w:t>0.147***</w:t>
            </w:r>
          </w:p>
        </w:tc>
      </w:tr>
      <w:tr>
        <w:trPr>
          <w:trHeight w:val="206" w:hRule="exact"/>
        </w:trPr>
        <w:tc>
          <w:tcPr>
            <w:tcW w:w="2268" w:type="dxa"/>
          </w:tcPr>
          <w:p>
            <w:pPr>
              <w:pStyle w:val="TableParagraph"/>
              <w:spacing w:line="194" w:lineRule="exact"/>
              <w:ind w:left="51"/>
              <w:jc w:val="left"/>
              <w:rPr>
                <w:sz w:val="17"/>
              </w:rPr>
            </w:pPr>
            <w:r>
              <w:rPr>
                <w:sz w:val="17"/>
              </w:rPr>
              <w:t>Servicios sociales</w:t>
            </w:r>
          </w:p>
        </w:tc>
        <w:tc>
          <w:tcPr>
            <w:tcW w:w="1327" w:type="dxa"/>
          </w:tcPr>
          <w:p>
            <w:pPr/>
          </w:p>
        </w:tc>
        <w:tc>
          <w:tcPr>
            <w:tcW w:w="1197" w:type="dxa"/>
          </w:tcPr>
          <w:p>
            <w:pPr>
              <w:pStyle w:val="TableParagraph"/>
              <w:spacing w:line="194" w:lineRule="exact"/>
              <w:ind w:right="133"/>
              <w:rPr>
                <w:sz w:val="17"/>
              </w:rPr>
            </w:pPr>
            <w:r>
              <w:rPr>
                <w:w w:val="95"/>
                <w:sz w:val="17"/>
              </w:rPr>
              <w:t>0.098***</w:t>
            </w:r>
          </w:p>
        </w:tc>
        <w:tc>
          <w:tcPr>
            <w:tcW w:w="1160" w:type="dxa"/>
          </w:tcPr>
          <w:p>
            <w:pPr>
              <w:pStyle w:val="TableParagraph"/>
              <w:spacing w:line="194" w:lineRule="exact"/>
              <w:ind w:right="84"/>
              <w:rPr>
                <w:sz w:val="17"/>
              </w:rPr>
            </w:pPr>
            <w:r>
              <w:rPr>
                <w:w w:val="95"/>
                <w:sz w:val="17"/>
              </w:rPr>
              <w:t>0.091***</w:t>
            </w:r>
          </w:p>
        </w:tc>
      </w:tr>
      <w:tr>
        <w:trPr>
          <w:trHeight w:val="209" w:hRule="exact"/>
        </w:trPr>
        <w:tc>
          <w:tcPr>
            <w:tcW w:w="2268" w:type="dxa"/>
          </w:tcPr>
          <w:p>
            <w:pPr>
              <w:pStyle w:val="TableParagraph"/>
              <w:spacing w:line="194" w:lineRule="exact"/>
              <w:ind w:left="51"/>
              <w:jc w:val="left"/>
              <w:rPr>
                <w:sz w:val="17"/>
              </w:rPr>
            </w:pPr>
            <w:r>
              <w:rPr>
                <w:sz w:val="17"/>
              </w:rPr>
              <w:t>Servicios de entretenimiento</w:t>
            </w:r>
          </w:p>
        </w:tc>
        <w:tc>
          <w:tcPr>
            <w:tcW w:w="1327" w:type="dxa"/>
          </w:tcPr>
          <w:p>
            <w:pPr/>
          </w:p>
        </w:tc>
        <w:tc>
          <w:tcPr>
            <w:tcW w:w="1197" w:type="dxa"/>
          </w:tcPr>
          <w:p>
            <w:pPr>
              <w:pStyle w:val="TableParagraph"/>
              <w:spacing w:line="194" w:lineRule="exact"/>
              <w:ind w:left="354"/>
              <w:jc w:val="left"/>
              <w:rPr>
                <w:sz w:val="17"/>
              </w:rPr>
            </w:pPr>
            <w:r>
              <w:rPr>
                <w:sz w:val="17"/>
              </w:rPr>
              <w:t>0.023</w:t>
            </w:r>
          </w:p>
        </w:tc>
        <w:tc>
          <w:tcPr>
            <w:tcW w:w="1160" w:type="dxa"/>
          </w:tcPr>
          <w:p>
            <w:pPr>
              <w:pStyle w:val="TableParagraph"/>
              <w:spacing w:line="194" w:lineRule="exact"/>
              <w:ind w:left="367"/>
              <w:jc w:val="left"/>
              <w:rPr>
                <w:sz w:val="17"/>
              </w:rPr>
            </w:pPr>
            <w:r>
              <w:rPr>
                <w:sz w:val="17"/>
              </w:rPr>
              <w:t>0.015</w:t>
            </w:r>
          </w:p>
        </w:tc>
      </w:tr>
      <w:tr>
        <w:trPr>
          <w:trHeight w:val="209" w:hRule="exact"/>
        </w:trPr>
        <w:tc>
          <w:tcPr>
            <w:tcW w:w="2268" w:type="dxa"/>
          </w:tcPr>
          <w:p>
            <w:pPr>
              <w:pStyle w:val="TableParagraph"/>
              <w:spacing w:before="1"/>
              <w:ind w:left="51"/>
              <w:jc w:val="left"/>
              <w:rPr>
                <w:sz w:val="17"/>
              </w:rPr>
            </w:pPr>
            <w:r>
              <w:rPr>
                <w:sz w:val="17"/>
              </w:rPr>
              <w:t>Servicios personales</w:t>
            </w:r>
          </w:p>
        </w:tc>
        <w:tc>
          <w:tcPr>
            <w:tcW w:w="1327" w:type="dxa"/>
          </w:tcPr>
          <w:p>
            <w:pPr/>
          </w:p>
        </w:tc>
        <w:tc>
          <w:tcPr>
            <w:tcW w:w="1197" w:type="dxa"/>
          </w:tcPr>
          <w:p>
            <w:pPr>
              <w:pStyle w:val="TableParagraph"/>
              <w:spacing w:before="1"/>
              <w:ind w:left="354"/>
              <w:jc w:val="left"/>
              <w:rPr>
                <w:sz w:val="17"/>
              </w:rPr>
            </w:pPr>
            <w:r>
              <w:rPr>
                <w:sz w:val="17"/>
              </w:rPr>
              <w:t>0.066**</w:t>
            </w:r>
          </w:p>
        </w:tc>
        <w:tc>
          <w:tcPr>
            <w:tcW w:w="1160" w:type="dxa"/>
          </w:tcPr>
          <w:p>
            <w:pPr>
              <w:pStyle w:val="TableParagraph"/>
              <w:spacing w:before="1"/>
              <w:ind w:left="367"/>
              <w:jc w:val="left"/>
              <w:rPr>
                <w:sz w:val="17"/>
              </w:rPr>
            </w:pPr>
            <w:r>
              <w:rPr>
                <w:sz w:val="17"/>
              </w:rPr>
              <w:t>0.058**</w:t>
            </w:r>
          </w:p>
        </w:tc>
      </w:tr>
      <w:tr>
        <w:trPr>
          <w:trHeight w:val="206" w:hRule="exact"/>
        </w:trPr>
        <w:tc>
          <w:tcPr>
            <w:tcW w:w="2268" w:type="dxa"/>
          </w:tcPr>
          <w:p>
            <w:pPr>
              <w:pStyle w:val="TableParagraph"/>
              <w:spacing w:line="194" w:lineRule="exact"/>
              <w:ind w:left="51"/>
              <w:jc w:val="left"/>
              <w:rPr>
                <w:i/>
                <w:sz w:val="17"/>
              </w:rPr>
            </w:pPr>
            <w:r>
              <w:rPr>
                <w:i/>
                <w:sz w:val="17"/>
              </w:rPr>
              <w:t>Variables del vecindario</w:t>
            </w:r>
          </w:p>
        </w:tc>
        <w:tc>
          <w:tcPr>
            <w:tcW w:w="1327" w:type="dxa"/>
          </w:tcPr>
          <w:p>
            <w:pPr/>
          </w:p>
        </w:tc>
        <w:tc>
          <w:tcPr>
            <w:tcW w:w="1197" w:type="dxa"/>
          </w:tcPr>
          <w:p>
            <w:pPr/>
          </w:p>
        </w:tc>
        <w:tc>
          <w:tcPr>
            <w:tcW w:w="1160" w:type="dxa"/>
          </w:tcPr>
          <w:p>
            <w:pPr/>
          </w:p>
        </w:tc>
      </w:tr>
      <w:tr>
        <w:trPr>
          <w:trHeight w:val="206" w:hRule="exact"/>
        </w:trPr>
        <w:tc>
          <w:tcPr>
            <w:tcW w:w="2268" w:type="dxa"/>
          </w:tcPr>
          <w:p>
            <w:pPr>
              <w:pStyle w:val="TableParagraph"/>
              <w:spacing w:line="194" w:lineRule="exact"/>
              <w:ind w:left="51"/>
              <w:jc w:val="left"/>
              <w:rPr>
                <w:sz w:val="17"/>
              </w:rPr>
            </w:pPr>
            <w:r>
              <w:rPr>
                <w:sz w:val="17"/>
              </w:rPr>
              <w:t>Segregación</w:t>
            </w:r>
          </w:p>
        </w:tc>
        <w:tc>
          <w:tcPr>
            <w:tcW w:w="1327" w:type="dxa"/>
          </w:tcPr>
          <w:p>
            <w:pPr/>
          </w:p>
        </w:tc>
        <w:tc>
          <w:tcPr>
            <w:tcW w:w="1197" w:type="dxa"/>
          </w:tcPr>
          <w:p>
            <w:pPr>
              <w:pStyle w:val="TableParagraph"/>
              <w:spacing w:line="194" w:lineRule="exact"/>
              <w:ind w:right="133"/>
              <w:rPr>
                <w:sz w:val="17"/>
              </w:rPr>
            </w:pPr>
            <w:r>
              <w:rPr>
                <w:w w:val="95"/>
                <w:sz w:val="17"/>
              </w:rPr>
              <w:t>-0.141***</w:t>
            </w:r>
          </w:p>
        </w:tc>
        <w:tc>
          <w:tcPr>
            <w:tcW w:w="1160" w:type="dxa"/>
          </w:tcPr>
          <w:p>
            <w:pPr>
              <w:pStyle w:val="TableParagraph"/>
              <w:spacing w:line="194" w:lineRule="exact"/>
              <w:ind w:right="84"/>
              <w:rPr>
                <w:sz w:val="17"/>
              </w:rPr>
            </w:pPr>
            <w:r>
              <w:rPr>
                <w:w w:val="95"/>
                <w:sz w:val="17"/>
              </w:rPr>
              <w:t>-0.178***</w:t>
            </w:r>
          </w:p>
        </w:tc>
      </w:tr>
      <w:tr>
        <w:trPr>
          <w:trHeight w:val="192" w:hRule="exact"/>
        </w:trPr>
        <w:tc>
          <w:tcPr>
            <w:tcW w:w="2268" w:type="dxa"/>
          </w:tcPr>
          <w:p>
            <w:pPr>
              <w:pStyle w:val="TableParagraph"/>
              <w:spacing w:line="194" w:lineRule="exact"/>
              <w:ind w:left="51"/>
              <w:jc w:val="left"/>
              <w:rPr>
                <w:sz w:val="17"/>
              </w:rPr>
            </w:pPr>
            <w:r>
              <w:rPr>
                <w:sz w:val="17"/>
              </w:rPr>
              <w:t>Interacción segregación*mujer</w:t>
            </w:r>
          </w:p>
        </w:tc>
        <w:tc>
          <w:tcPr>
            <w:tcW w:w="1327" w:type="dxa"/>
          </w:tcPr>
          <w:p>
            <w:pPr/>
          </w:p>
        </w:tc>
        <w:tc>
          <w:tcPr>
            <w:tcW w:w="1197" w:type="dxa"/>
          </w:tcPr>
          <w:p>
            <w:pPr/>
          </w:p>
        </w:tc>
        <w:tc>
          <w:tcPr>
            <w:tcW w:w="1160" w:type="dxa"/>
          </w:tcPr>
          <w:p>
            <w:pPr>
              <w:pStyle w:val="TableParagraph"/>
              <w:spacing w:line="194" w:lineRule="exact"/>
              <w:ind w:right="84"/>
              <w:rPr>
                <w:sz w:val="17"/>
              </w:rPr>
            </w:pPr>
            <w:r>
              <w:rPr>
                <w:w w:val="95"/>
                <w:sz w:val="17"/>
              </w:rPr>
              <w:t>0.087***</w:t>
            </w:r>
          </w:p>
        </w:tc>
      </w:tr>
    </w:tbl>
    <w:p>
      <w:pPr>
        <w:spacing w:after="0" w:line="194" w:lineRule="exact"/>
        <w:rPr>
          <w:sz w:val="17"/>
        </w:rPr>
        <w:sectPr>
          <w:footerReference w:type="default" r:id="rId210"/>
          <w:pgSz w:w="7770" w:h="11740"/>
          <w:pgMar w:footer="474" w:header="0" w:top="840" w:bottom="660" w:left="940" w:right="660"/>
          <w:pgNumType w:start="171"/>
        </w:sectPr>
      </w:pPr>
    </w:p>
    <w:p>
      <w:pPr>
        <w:tabs>
          <w:tab w:pos="2616" w:val="left" w:leader="none"/>
        </w:tabs>
        <w:spacing w:before="8"/>
        <w:ind w:left="160" w:right="0" w:firstLine="0"/>
        <w:jc w:val="left"/>
        <w:rPr>
          <w:sz w:val="17"/>
        </w:rPr>
      </w:pPr>
      <w:r>
        <w:rPr/>
        <w:pict>
          <v:shape style="position:absolute;margin-left:52.441002pt;margin-top:11.728602pt;width:297.650pt;height:61.65pt;mso-position-horizontal-relative:page;mso-position-vertical-relative:paragraph;z-index:73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7"/>
                    <w:gridCol w:w="1831"/>
                    <w:gridCol w:w="1210"/>
                    <w:gridCol w:w="1164"/>
                  </w:tblGrid>
                  <w:tr>
                    <w:trPr>
                      <w:trHeight w:val="192" w:hRule="exact"/>
                    </w:trPr>
                    <w:tc>
                      <w:tcPr>
                        <w:tcW w:w="1747" w:type="dxa"/>
                      </w:tcPr>
                      <w:p>
                        <w:pPr/>
                      </w:p>
                    </w:tc>
                    <w:tc>
                      <w:tcPr>
                        <w:tcW w:w="1831" w:type="dxa"/>
                      </w:tcPr>
                      <w:p>
                        <w:pPr>
                          <w:pStyle w:val="TableParagraph"/>
                          <w:spacing w:line="180" w:lineRule="exact"/>
                          <w:ind w:right="129"/>
                          <w:rPr>
                            <w:sz w:val="17"/>
                          </w:rPr>
                        </w:pPr>
                        <w:r>
                          <w:rPr>
                            <w:sz w:val="17"/>
                          </w:rPr>
                          <w:t>de la varianza</w:t>
                        </w:r>
                      </w:p>
                    </w:tc>
                    <w:tc>
                      <w:tcPr>
                        <w:tcW w:w="1210" w:type="dxa"/>
                      </w:tcPr>
                      <w:p>
                        <w:pPr>
                          <w:pStyle w:val="TableParagraph"/>
                          <w:spacing w:line="180" w:lineRule="exact"/>
                          <w:ind w:right="128"/>
                          <w:rPr>
                            <w:sz w:val="17"/>
                          </w:rPr>
                        </w:pPr>
                        <w:r>
                          <w:rPr>
                            <w:sz w:val="17"/>
                          </w:rPr>
                          <w:t>de la varianza</w:t>
                        </w:r>
                      </w:p>
                    </w:tc>
                    <w:tc>
                      <w:tcPr>
                        <w:tcW w:w="1164" w:type="dxa"/>
                      </w:tcPr>
                      <w:p>
                        <w:pPr>
                          <w:pStyle w:val="TableParagraph"/>
                          <w:spacing w:line="180" w:lineRule="exact"/>
                          <w:ind w:right="83"/>
                          <w:rPr>
                            <w:sz w:val="17"/>
                          </w:rPr>
                        </w:pPr>
                        <w:r>
                          <w:rPr>
                            <w:sz w:val="17"/>
                          </w:rPr>
                          <w:t>de la varianza</w:t>
                        </w:r>
                      </w:p>
                    </w:tc>
                  </w:tr>
                  <w:tr>
                    <w:trPr>
                      <w:trHeight w:val="206" w:hRule="exact"/>
                    </w:trPr>
                    <w:tc>
                      <w:tcPr>
                        <w:tcW w:w="1747" w:type="dxa"/>
                      </w:tcPr>
                      <w:p>
                        <w:pPr>
                          <w:pStyle w:val="TableParagraph"/>
                          <w:spacing w:line="194" w:lineRule="exact"/>
                          <w:ind w:left="51"/>
                          <w:jc w:val="left"/>
                          <w:rPr>
                            <w:sz w:val="17"/>
                          </w:rPr>
                        </w:pPr>
                        <w:r>
                          <w:rPr>
                            <w:sz w:val="17"/>
                          </w:rPr>
                          <w:t>Uo</w:t>
                        </w:r>
                      </w:p>
                    </w:tc>
                    <w:tc>
                      <w:tcPr>
                        <w:tcW w:w="1831" w:type="dxa"/>
                      </w:tcPr>
                      <w:p>
                        <w:pPr>
                          <w:pStyle w:val="TableParagraph"/>
                          <w:spacing w:line="194" w:lineRule="exact"/>
                          <w:ind w:right="129"/>
                          <w:rPr>
                            <w:sz w:val="17"/>
                          </w:rPr>
                        </w:pPr>
                        <w:r>
                          <w:rPr>
                            <w:sz w:val="17"/>
                          </w:rPr>
                          <w:t>0.123</w:t>
                        </w:r>
                      </w:p>
                    </w:tc>
                    <w:tc>
                      <w:tcPr>
                        <w:tcW w:w="1210" w:type="dxa"/>
                      </w:tcPr>
                      <w:p>
                        <w:pPr>
                          <w:pStyle w:val="TableParagraph"/>
                          <w:spacing w:line="194" w:lineRule="exact"/>
                          <w:ind w:right="129"/>
                          <w:rPr>
                            <w:sz w:val="17"/>
                          </w:rPr>
                        </w:pPr>
                        <w:r>
                          <w:rPr>
                            <w:sz w:val="17"/>
                          </w:rPr>
                          <w:t>0-009</w:t>
                        </w:r>
                      </w:p>
                    </w:tc>
                    <w:tc>
                      <w:tcPr>
                        <w:tcW w:w="1164" w:type="dxa"/>
                      </w:tcPr>
                      <w:p>
                        <w:pPr>
                          <w:pStyle w:val="TableParagraph"/>
                          <w:spacing w:line="194" w:lineRule="exact"/>
                          <w:ind w:right="84"/>
                          <w:rPr>
                            <w:sz w:val="17"/>
                          </w:rPr>
                        </w:pPr>
                        <w:r>
                          <w:rPr>
                            <w:sz w:val="17"/>
                          </w:rPr>
                          <w:t>0.008</w:t>
                        </w:r>
                      </w:p>
                    </w:tc>
                  </w:tr>
                  <w:tr>
                    <w:trPr>
                      <w:trHeight w:val="209" w:hRule="exact"/>
                    </w:trPr>
                    <w:tc>
                      <w:tcPr>
                        <w:tcW w:w="1747" w:type="dxa"/>
                      </w:tcPr>
                      <w:p>
                        <w:pPr>
                          <w:pStyle w:val="TableParagraph"/>
                          <w:spacing w:line="194" w:lineRule="exact"/>
                          <w:ind w:left="51"/>
                          <w:jc w:val="left"/>
                          <w:rPr>
                            <w:sz w:val="17"/>
                          </w:rPr>
                        </w:pPr>
                        <w:r>
                          <w:rPr>
                            <w:w w:val="99"/>
                            <w:sz w:val="17"/>
                          </w:rPr>
                          <w:t>R</w:t>
                        </w:r>
                      </w:p>
                    </w:tc>
                    <w:tc>
                      <w:tcPr>
                        <w:tcW w:w="1831" w:type="dxa"/>
                      </w:tcPr>
                      <w:p>
                        <w:pPr>
                          <w:pStyle w:val="TableParagraph"/>
                          <w:spacing w:line="194" w:lineRule="exact"/>
                          <w:ind w:right="129"/>
                          <w:rPr>
                            <w:sz w:val="17"/>
                          </w:rPr>
                        </w:pPr>
                        <w:r>
                          <w:rPr>
                            <w:sz w:val="17"/>
                          </w:rPr>
                          <w:t>0.746</w:t>
                        </w:r>
                      </w:p>
                    </w:tc>
                    <w:tc>
                      <w:tcPr>
                        <w:tcW w:w="1210" w:type="dxa"/>
                      </w:tcPr>
                      <w:p>
                        <w:pPr>
                          <w:pStyle w:val="TableParagraph"/>
                          <w:spacing w:line="194" w:lineRule="exact"/>
                          <w:ind w:right="129"/>
                          <w:rPr>
                            <w:sz w:val="17"/>
                          </w:rPr>
                        </w:pPr>
                        <w:r>
                          <w:rPr>
                            <w:sz w:val="17"/>
                          </w:rPr>
                          <w:t>0.391</w:t>
                        </w:r>
                      </w:p>
                    </w:tc>
                    <w:tc>
                      <w:tcPr>
                        <w:tcW w:w="1164" w:type="dxa"/>
                      </w:tcPr>
                      <w:p>
                        <w:pPr>
                          <w:pStyle w:val="TableParagraph"/>
                          <w:spacing w:line="194" w:lineRule="exact"/>
                          <w:ind w:right="84"/>
                          <w:rPr>
                            <w:sz w:val="17"/>
                          </w:rPr>
                        </w:pPr>
                        <w:r>
                          <w:rPr>
                            <w:sz w:val="17"/>
                          </w:rPr>
                          <w:t>0.391</w:t>
                        </w:r>
                      </w:p>
                    </w:tc>
                  </w:tr>
                  <w:tr>
                    <w:trPr>
                      <w:trHeight w:val="209" w:hRule="exact"/>
                    </w:trPr>
                    <w:tc>
                      <w:tcPr>
                        <w:tcW w:w="1747" w:type="dxa"/>
                      </w:tcPr>
                      <w:p>
                        <w:pPr>
                          <w:pStyle w:val="TableParagraph"/>
                          <w:spacing w:before="1"/>
                          <w:ind w:left="51"/>
                          <w:jc w:val="left"/>
                          <w:rPr>
                            <w:sz w:val="17"/>
                          </w:rPr>
                        </w:pPr>
                        <w:r>
                          <w:rPr>
                            <w:sz w:val="17"/>
                          </w:rPr>
                          <w:t>U escolaridad</w:t>
                        </w:r>
                      </w:p>
                    </w:tc>
                    <w:tc>
                      <w:tcPr>
                        <w:tcW w:w="1831" w:type="dxa"/>
                      </w:tcPr>
                      <w:p>
                        <w:pPr/>
                      </w:p>
                    </w:tc>
                    <w:tc>
                      <w:tcPr>
                        <w:tcW w:w="1210" w:type="dxa"/>
                      </w:tcPr>
                      <w:p>
                        <w:pPr>
                          <w:pStyle w:val="TableParagraph"/>
                          <w:spacing w:before="1"/>
                          <w:ind w:right="129"/>
                          <w:rPr>
                            <w:sz w:val="17"/>
                          </w:rPr>
                        </w:pPr>
                        <w:r>
                          <w:rPr>
                            <w:sz w:val="17"/>
                          </w:rPr>
                          <w:t>0.000</w:t>
                        </w:r>
                      </w:p>
                    </w:tc>
                    <w:tc>
                      <w:tcPr>
                        <w:tcW w:w="1164" w:type="dxa"/>
                      </w:tcPr>
                      <w:p>
                        <w:pPr>
                          <w:pStyle w:val="TableParagraph"/>
                          <w:spacing w:before="1"/>
                          <w:ind w:right="84"/>
                          <w:rPr>
                            <w:sz w:val="17"/>
                          </w:rPr>
                        </w:pPr>
                        <w:r>
                          <w:rPr>
                            <w:sz w:val="17"/>
                          </w:rPr>
                          <w:t>0.000</w:t>
                        </w:r>
                      </w:p>
                    </w:tc>
                  </w:tr>
                  <w:tr>
                    <w:trPr>
                      <w:trHeight w:val="206" w:hRule="exact"/>
                    </w:trPr>
                    <w:tc>
                      <w:tcPr>
                        <w:tcW w:w="1747" w:type="dxa"/>
                      </w:tcPr>
                      <w:p>
                        <w:pPr>
                          <w:pStyle w:val="TableParagraph"/>
                          <w:spacing w:line="194" w:lineRule="exact"/>
                          <w:ind w:left="51"/>
                          <w:jc w:val="left"/>
                          <w:rPr>
                            <w:sz w:val="17"/>
                          </w:rPr>
                        </w:pPr>
                        <w:r>
                          <w:rPr>
                            <w:sz w:val="17"/>
                          </w:rPr>
                          <w:t>U informal</w:t>
                        </w:r>
                      </w:p>
                    </w:tc>
                    <w:tc>
                      <w:tcPr>
                        <w:tcW w:w="1831" w:type="dxa"/>
                      </w:tcPr>
                      <w:p>
                        <w:pPr/>
                      </w:p>
                    </w:tc>
                    <w:tc>
                      <w:tcPr>
                        <w:tcW w:w="1210" w:type="dxa"/>
                      </w:tcPr>
                      <w:p>
                        <w:pPr>
                          <w:pStyle w:val="TableParagraph"/>
                          <w:spacing w:line="194" w:lineRule="exact"/>
                          <w:ind w:right="129"/>
                          <w:rPr>
                            <w:sz w:val="17"/>
                          </w:rPr>
                        </w:pPr>
                        <w:r>
                          <w:rPr>
                            <w:sz w:val="17"/>
                          </w:rPr>
                          <w:t>0.003</w:t>
                        </w:r>
                      </w:p>
                    </w:tc>
                    <w:tc>
                      <w:tcPr>
                        <w:tcW w:w="1164" w:type="dxa"/>
                      </w:tcPr>
                      <w:p>
                        <w:pPr>
                          <w:pStyle w:val="TableParagraph"/>
                          <w:spacing w:line="194" w:lineRule="exact"/>
                          <w:ind w:right="84"/>
                          <w:rPr>
                            <w:sz w:val="17"/>
                          </w:rPr>
                        </w:pPr>
                        <w:r>
                          <w:rPr>
                            <w:sz w:val="17"/>
                          </w:rPr>
                          <w:t>0.003</w:t>
                        </w:r>
                      </w:p>
                    </w:tc>
                  </w:tr>
                  <w:tr>
                    <w:trPr>
                      <w:trHeight w:val="201" w:hRule="exact"/>
                    </w:trPr>
                    <w:tc>
                      <w:tcPr>
                        <w:tcW w:w="1747" w:type="dxa"/>
                        <w:tcBorders>
                          <w:bottom w:val="single" w:sz="4" w:space="0" w:color="000000"/>
                        </w:tcBorders>
                      </w:tcPr>
                      <w:p>
                        <w:pPr>
                          <w:pStyle w:val="TableParagraph"/>
                          <w:spacing w:line="194" w:lineRule="exact"/>
                          <w:ind w:left="51"/>
                          <w:jc w:val="left"/>
                          <w:rPr>
                            <w:sz w:val="17"/>
                          </w:rPr>
                        </w:pPr>
                        <w:r>
                          <w:rPr>
                            <w:sz w:val="17"/>
                          </w:rPr>
                          <w:t>U mujer</w:t>
                        </w:r>
                      </w:p>
                    </w:tc>
                    <w:tc>
                      <w:tcPr>
                        <w:tcW w:w="1831" w:type="dxa"/>
                        <w:tcBorders>
                          <w:bottom w:val="single" w:sz="4" w:space="0" w:color="000000"/>
                        </w:tcBorders>
                      </w:tcPr>
                      <w:p>
                        <w:pPr/>
                      </w:p>
                    </w:tc>
                    <w:tc>
                      <w:tcPr>
                        <w:tcW w:w="1210" w:type="dxa"/>
                        <w:tcBorders>
                          <w:bottom w:val="single" w:sz="4" w:space="0" w:color="000000"/>
                        </w:tcBorders>
                      </w:tcPr>
                      <w:p>
                        <w:pPr>
                          <w:pStyle w:val="TableParagraph"/>
                          <w:spacing w:line="194" w:lineRule="exact"/>
                          <w:ind w:right="129"/>
                          <w:rPr>
                            <w:sz w:val="17"/>
                          </w:rPr>
                        </w:pPr>
                        <w:r>
                          <w:rPr>
                            <w:sz w:val="17"/>
                          </w:rPr>
                          <w:t>0.002</w:t>
                        </w:r>
                      </w:p>
                    </w:tc>
                    <w:tc>
                      <w:tcPr>
                        <w:tcW w:w="1164" w:type="dxa"/>
                        <w:tcBorders>
                          <w:bottom w:val="single" w:sz="4" w:space="0" w:color="000000"/>
                        </w:tcBorders>
                      </w:tcPr>
                      <w:p>
                        <w:pPr>
                          <w:pStyle w:val="TableParagraph"/>
                          <w:spacing w:line="194" w:lineRule="exact"/>
                          <w:ind w:right="84"/>
                          <w:rPr>
                            <w:sz w:val="17"/>
                          </w:rPr>
                        </w:pPr>
                        <w:r>
                          <w:rPr>
                            <w:sz w:val="17"/>
                          </w:rPr>
                          <w:t>0.000</w:t>
                        </w:r>
                      </w:p>
                    </w:tc>
                  </w:tr>
                </w:tbl>
                <w:p>
                  <w:pPr>
                    <w:pStyle w:val="BodyText"/>
                  </w:pPr>
                </w:p>
              </w:txbxContent>
            </v:textbox>
            <w10:wrap type="none"/>
          </v:shape>
        </w:pict>
      </w:r>
      <w:r>
        <w:rPr>
          <w:i/>
          <w:sz w:val="17"/>
        </w:rPr>
        <w:t>Efectos</w:t>
      </w:r>
      <w:r>
        <w:rPr>
          <w:i/>
          <w:spacing w:val="-1"/>
          <w:sz w:val="17"/>
        </w:rPr>
        <w:t> </w:t>
      </w:r>
      <w:r>
        <w:rPr>
          <w:i/>
          <w:sz w:val="17"/>
        </w:rPr>
        <w:t>aleatorios</w:t>
        <w:tab/>
      </w:r>
      <w:r>
        <w:rPr>
          <w:position w:val="11"/>
          <w:sz w:val="17"/>
        </w:rPr>
        <w:t>Componentes</w:t>
      </w:r>
    </w:p>
    <w:p>
      <w:pPr>
        <w:spacing w:before="13"/>
        <w:ind w:left="160" w:right="-16" w:firstLine="0"/>
        <w:jc w:val="left"/>
        <w:rPr>
          <w:sz w:val="17"/>
        </w:rPr>
      </w:pPr>
      <w:r>
        <w:rPr/>
        <w:br w:type="column"/>
      </w:r>
      <w:r>
        <w:rPr>
          <w:sz w:val="17"/>
        </w:rPr>
        <w:t>Componentes</w:t>
      </w:r>
    </w:p>
    <w:p>
      <w:pPr>
        <w:spacing w:before="13"/>
        <w:ind w:left="160" w:right="0" w:firstLine="0"/>
        <w:jc w:val="left"/>
        <w:rPr>
          <w:sz w:val="17"/>
        </w:rPr>
      </w:pPr>
      <w:r>
        <w:rPr/>
        <w:br w:type="column"/>
      </w:r>
      <w:r>
        <w:rPr>
          <w:sz w:val="17"/>
        </w:rPr>
        <w:t>Componentes</w:t>
      </w:r>
    </w:p>
    <w:p>
      <w:pPr>
        <w:spacing w:after="0"/>
        <w:jc w:val="left"/>
        <w:rPr>
          <w:sz w:val="17"/>
        </w:rPr>
        <w:sectPr>
          <w:type w:val="continuous"/>
          <w:pgSz w:w="7770" w:h="11740"/>
          <w:pgMar w:top="0" w:bottom="0" w:left="940" w:right="660"/>
          <w:cols w:num="3" w:equalWidth="0">
            <w:col w:w="3555" w:space="111"/>
            <w:col w:w="1099" w:space="110"/>
            <w:col w:w="1295"/>
          </w:cols>
        </w:sectPr>
      </w:pPr>
    </w:p>
    <w:p>
      <w:pPr>
        <w:pStyle w:val="BodyText"/>
      </w:pPr>
    </w:p>
    <w:p>
      <w:pPr>
        <w:pStyle w:val="BodyText"/>
      </w:pPr>
    </w:p>
    <w:p>
      <w:pPr>
        <w:pStyle w:val="BodyText"/>
      </w:pPr>
    </w:p>
    <w:p>
      <w:pPr>
        <w:pStyle w:val="BodyText"/>
      </w:pPr>
    </w:p>
    <w:p>
      <w:pPr>
        <w:pStyle w:val="BodyText"/>
        <w:spacing w:before="9"/>
        <w:rPr>
          <w:sz w:val="19"/>
        </w:rPr>
      </w:pPr>
    </w:p>
    <w:p>
      <w:pPr>
        <w:spacing w:before="1"/>
        <w:ind w:left="160" w:right="242" w:firstLine="0"/>
        <w:jc w:val="left"/>
        <w:rPr>
          <w:sz w:val="16"/>
        </w:rPr>
      </w:pPr>
      <w:r>
        <w:rPr>
          <w:sz w:val="16"/>
        </w:rPr>
        <w:t>Significativo a valores de p: *** p &lt; 0.001, ** p &lt; 0.01, *p &lt; 0.05.</w:t>
      </w:r>
    </w:p>
    <w:p>
      <w:pPr>
        <w:pStyle w:val="BodyText"/>
        <w:spacing w:before="7"/>
        <w:rPr>
          <w:sz w:val="9"/>
        </w:rPr>
      </w:pPr>
    </w:p>
    <w:p>
      <w:pPr>
        <w:pStyle w:val="BodyText"/>
        <w:spacing w:line="249" w:lineRule="auto" w:before="74"/>
        <w:ind w:left="193" w:right="188" w:firstLine="66"/>
        <w:jc w:val="both"/>
      </w:pPr>
      <w:r>
        <w:rPr>
          <w:color w:val="231F20"/>
        </w:rPr>
        <w:t>La variable de la edad muestra que los salarios por hora tienden a in- crementarse con la edad hasta un cierto momento y después decrecen cuando la persona comienza a envejecer. Por otro lado, un año de esco- laridad</w:t>
      </w:r>
      <w:r>
        <w:rPr>
          <w:color w:val="231F20"/>
          <w:spacing w:val="-7"/>
        </w:rPr>
        <w:t> </w:t>
      </w:r>
      <w:r>
        <w:rPr>
          <w:color w:val="231F20"/>
        </w:rPr>
        <w:t>extra</w:t>
      </w:r>
      <w:r>
        <w:rPr>
          <w:color w:val="231F20"/>
          <w:spacing w:val="-7"/>
        </w:rPr>
        <w:t> </w:t>
      </w:r>
      <w:r>
        <w:rPr>
          <w:color w:val="231F20"/>
        </w:rPr>
        <w:t>incrementa</w:t>
      </w:r>
      <w:r>
        <w:rPr>
          <w:color w:val="231F20"/>
          <w:spacing w:val="-7"/>
        </w:rPr>
        <w:t> </w:t>
      </w:r>
      <w:r>
        <w:rPr>
          <w:color w:val="231F20"/>
        </w:rPr>
        <w:t>los</w:t>
      </w:r>
      <w:r>
        <w:rPr>
          <w:color w:val="231F20"/>
          <w:spacing w:val="-7"/>
        </w:rPr>
        <w:t> </w:t>
      </w:r>
      <w:r>
        <w:rPr>
          <w:color w:val="231F20"/>
        </w:rPr>
        <w:t>ingresos</w:t>
      </w:r>
      <w:r>
        <w:rPr>
          <w:color w:val="231F20"/>
          <w:spacing w:val="-7"/>
        </w:rPr>
        <w:t> </w:t>
      </w:r>
      <w:r>
        <w:rPr>
          <w:color w:val="231F20"/>
        </w:rPr>
        <w:t>por</w:t>
      </w:r>
      <w:r>
        <w:rPr>
          <w:color w:val="231F20"/>
          <w:spacing w:val="-6"/>
        </w:rPr>
        <w:t> </w:t>
      </w:r>
      <w:r>
        <w:rPr>
          <w:color w:val="231F20"/>
        </w:rPr>
        <w:t>hora</w:t>
      </w:r>
      <w:r>
        <w:rPr>
          <w:color w:val="231F20"/>
          <w:spacing w:val="-6"/>
        </w:rPr>
        <w:t> </w:t>
      </w:r>
      <w:r>
        <w:rPr>
          <w:color w:val="231F20"/>
        </w:rPr>
        <w:t>en</w:t>
      </w:r>
      <w:r>
        <w:rPr>
          <w:color w:val="231F20"/>
          <w:spacing w:val="-7"/>
        </w:rPr>
        <w:t> </w:t>
      </w:r>
      <w:r>
        <w:rPr>
          <w:color w:val="231F20"/>
        </w:rPr>
        <w:t>8.5</w:t>
      </w:r>
      <w:r>
        <w:rPr>
          <w:color w:val="231F20"/>
          <w:spacing w:val="-6"/>
        </w:rPr>
        <w:t> </w:t>
      </w:r>
      <w:r>
        <w:rPr>
          <w:color w:val="231F20"/>
        </w:rPr>
        <w:t>por</w:t>
      </w:r>
      <w:r>
        <w:rPr>
          <w:color w:val="231F20"/>
          <w:spacing w:val="-6"/>
        </w:rPr>
        <w:t> </w:t>
      </w:r>
      <w:r>
        <w:rPr>
          <w:color w:val="231F20"/>
        </w:rPr>
        <w:t>ciento,</w:t>
      </w:r>
      <w:r>
        <w:rPr>
          <w:color w:val="231F20"/>
          <w:spacing w:val="-7"/>
        </w:rPr>
        <w:t> </w:t>
      </w:r>
      <w:r>
        <w:rPr>
          <w:color w:val="231F20"/>
        </w:rPr>
        <w:t>mientras que aquellos casados o en unión libre tienen un ingreso 10.9 por ciento más alto que los no unidos. Por otra parte, la presencia de niños en el hogar</w:t>
      </w:r>
      <w:r>
        <w:rPr>
          <w:color w:val="231F20"/>
          <w:spacing w:val="-5"/>
        </w:rPr>
        <w:t> </w:t>
      </w:r>
      <w:r>
        <w:rPr>
          <w:color w:val="231F20"/>
        </w:rPr>
        <w:t>tiende</w:t>
      </w:r>
      <w:r>
        <w:rPr>
          <w:color w:val="231F20"/>
          <w:spacing w:val="-5"/>
        </w:rPr>
        <w:t> </w:t>
      </w:r>
      <w:r>
        <w:rPr>
          <w:color w:val="231F20"/>
        </w:rPr>
        <w:t>a</w:t>
      </w:r>
      <w:r>
        <w:rPr>
          <w:color w:val="231F20"/>
          <w:spacing w:val="-5"/>
        </w:rPr>
        <w:t> </w:t>
      </w:r>
      <w:r>
        <w:rPr>
          <w:color w:val="231F20"/>
        </w:rPr>
        <w:t>reducir</w:t>
      </w:r>
      <w:r>
        <w:rPr>
          <w:color w:val="231F20"/>
          <w:spacing w:val="-5"/>
        </w:rPr>
        <w:t> </w:t>
      </w:r>
      <w:r>
        <w:rPr>
          <w:color w:val="231F20"/>
        </w:rPr>
        <w:t>el</w:t>
      </w:r>
      <w:r>
        <w:rPr>
          <w:color w:val="231F20"/>
          <w:spacing w:val="-5"/>
        </w:rPr>
        <w:t> </w:t>
      </w:r>
      <w:r>
        <w:rPr>
          <w:color w:val="231F20"/>
        </w:rPr>
        <w:t>ingreso</w:t>
      </w:r>
      <w:r>
        <w:rPr>
          <w:color w:val="231F20"/>
          <w:spacing w:val="-5"/>
        </w:rPr>
        <w:t> </w:t>
      </w:r>
      <w:r>
        <w:rPr>
          <w:color w:val="231F20"/>
        </w:rPr>
        <w:t>por</w:t>
      </w:r>
      <w:r>
        <w:rPr>
          <w:color w:val="231F20"/>
          <w:spacing w:val="-5"/>
        </w:rPr>
        <w:t> </w:t>
      </w:r>
      <w:r>
        <w:rPr>
          <w:color w:val="231F20"/>
        </w:rPr>
        <w:t>hora</w:t>
      </w:r>
      <w:r>
        <w:rPr>
          <w:color w:val="231F20"/>
          <w:spacing w:val="-5"/>
        </w:rPr>
        <w:t> </w:t>
      </w:r>
      <w:r>
        <w:rPr>
          <w:color w:val="231F20"/>
        </w:rPr>
        <w:t>en</w:t>
      </w:r>
      <w:r>
        <w:rPr>
          <w:color w:val="231F20"/>
          <w:spacing w:val="-5"/>
        </w:rPr>
        <w:t> </w:t>
      </w:r>
      <w:r>
        <w:rPr>
          <w:color w:val="231F20"/>
        </w:rPr>
        <w:t>3.6</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mientras</w:t>
      </w:r>
      <w:r>
        <w:rPr>
          <w:color w:val="231F20"/>
          <w:spacing w:val="-5"/>
        </w:rPr>
        <w:t> </w:t>
      </w:r>
      <w:r>
        <w:rPr>
          <w:color w:val="231F20"/>
        </w:rPr>
        <w:t>que</w:t>
      </w:r>
    </w:p>
    <w:p>
      <w:pPr>
        <w:spacing w:after="0" w:line="249" w:lineRule="auto"/>
        <w:jc w:val="both"/>
        <w:sectPr>
          <w:type w:val="continuous"/>
          <w:pgSz w:w="7770" w:h="11740"/>
          <w:pgMar w:top="0" w:bottom="0" w:left="940" w:right="660"/>
        </w:sectPr>
      </w:pPr>
    </w:p>
    <w:p>
      <w:pPr>
        <w:pStyle w:val="BodyText"/>
        <w:spacing w:line="249" w:lineRule="auto" w:before="57"/>
        <w:ind w:left="110" w:right="111"/>
        <w:jc w:val="both"/>
      </w:pPr>
      <w:r>
        <w:rPr>
          <w:color w:val="231F20"/>
        </w:rPr>
        <w:t>también</w:t>
      </w:r>
      <w:r>
        <w:rPr>
          <w:color w:val="231F20"/>
          <w:spacing w:val="-10"/>
        </w:rPr>
        <w:t> </w:t>
      </w:r>
      <w:r>
        <w:rPr>
          <w:color w:val="231F20"/>
        </w:rPr>
        <w:t>la</w:t>
      </w:r>
      <w:r>
        <w:rPr>
          <w:color w:val="231F20"/>
          <w:spacing w:val="-9"/>
        </w:rPr>
        <w:t> </w:t>
      </w:r>
      <w:r>
        <w:rPr>
          <w:color w:val="231F20"/>
        </w:rPr>
        <w:t>jefatura</w:t>
      </w:r>
      <w:r>
        <w:rPr>
          <w:color w:val="231F20"/>
          <w:spacing w:val="-9"/>
        </w:rPr>
        <w:t> </w:t>
      </w:r>
      <w:r>
        <w:rPr>
          <w:color w:val="231F20"/>
        </w:rPr>
        <w:t>femenina</w:t>
      </w:r>
      <w:r>
        <w:rPr>
          <w:color w:val="231F20"/>
          <w:spacing w:val="-9"/>
        </w:rPr>
        <w:t> </w:t>
      </w:r>
      <w:r>
        <w:rPr>
          <w:color w:val="231F20"/>
        </w:rPr>
        <w:t>está</w:t>
      </w:r>
      <w:r>
        <w:rPr>
          <w:color w:val="231F20"/>
          <w:spacing w:val="-9"/>
        </w:rPr>
        <w:t> </w:t>
      </w:r>
      <w:r>
        <w:rPr>
          <w:color w:val="231F20"/>
        </w:rPr>
        <w:t>asociada</w:t>
      </w:r>
      <w:r>
        <w:rPr>
          <w:color w:val="231F20"/>
          <w:spacing w:val="-10"/>
        </w:rPr>
        <w:t> </w:t>
      </w:r>
      <w:r>
        <w:rPr>
          <w:color w:val="231F20"/>
        </w:rPr>
        <w:t>con</w:t>
      </w:r>
      <w:r>
        <w:rPr>
          <w:color w:val="231F20"/>
          <w:spacing w:val="-9"/>
        </w:rPr>
        <w:t> </w:t>
      </w:r>
      <w:r>
        <w:rPr>
          <w:color w:val="231F20"/>
        </w:rPr>
        <w:t>ingresos</w:t>
      </w:r>
      <w:r>
        <w:rPr>
          <w:color w:val="231F20"/>
          <w:spacing w:val="-10"/>
        </w:rPr>
        <w:t> </w:t>
      </w:r>
      <w:r>
        <w:rPr>
          <w:color w:val="231F20"/>
        </w:rPr>
        <w:t>menores</w:t>
      </w:r>
      <w:r>
        <w:rPr>
          <w:color w:val="231F20"/>
          <w:spacing w:val="-9"/>
        </w:rPr>
        <w:t> </w:t>
      </w:r>
      <w:r>
        <w:rPr>
          <w:color w:val="231F20"/>
        </w:rPr>
        <w:t>(4.8</w:t>
      </w:r>
      <w:r>
        <w:rPr>
          <w:color w:val="231F20"/>
          <w:spacing w:val="-9"/>
        </w:rPr>
        <w:t> </w:t>
      </w:r>
      <w:r>
        <w:rPr>
          <w:color w:val="231F20"/>
        </w:rPr>
        <w:t>por ciento) en comparación con los encabezados por</w:t>
      </w:r>
      <w:r>
        <w:rPr>
          <w:color w:val="231F20"/>
          <w:spacing w:val="-6"/>
        </w:rPr>
        <w:t> </w:t>
      </w:r>
      <w:r>
        <w:rPr>
          <w:color w:val="231F20"/>
        </w:rPr>
        <w:t>hombres.</w:t>
      </w:r>
    </w:p>
    <w:p>
      <w:pPr>
        <w:pStyle w:val="BodyText"/>
        <w:spacing w:line="249" w:lineRule="auto" w:before="1"/>
        <w:ind w:left="110" w:right="111" w:firstLine="283"/>
        <w:jc w:val="both"/>
      </w:pPr>
      <w:r>
        <w:rPr>
          <w:color w:val="231F20"/>
        </w:rPr>
        <w:t>Asimismo,</w:t>
      </w:r>
      <w:r>
        <w:rPr>
          <w:color w:val="231F20"/>
          <w:spacing w:val="-11"/>
        </w:rPr>
        <w:t> </w:t>
      </w:r>
      <w:r>
        <w:rPr>
          <w:color w:val="231F20"/>
        </w:rPr>
        <w:t>los</w:t>
      </w:r>
      <w:r>
        <w:rPr>
          <w:color w:val="231F20"/>
          <w:spacing w:val="-11"/>
        </w:rPr>
        <w:t> </w:t>
      </w:r>
      <w:r>
        <w:rPr>
          <w:color w:val="231F20"/>
        </w:rPr>
        <w:t>resultados</w:t>
      </w:r>
      <w:r>
        <w:rPr>
          <w:color w:val="231F20"/>
          <w:spacing w:val="-11"/>
        </w:rPr>
        <w:t> </w:t>
      </w:r>
      <w:r>
        <w:rPr>
          <w:color w:val="231F20"/>
        </w:rPr>
        <w:t>muestran</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trabajadores</w:t>
      </w:r>
      <w:r>
        <w:rPr>
          <w:color w:val="231F20"/>
          <w:spacing w:val="-12"/>
        </w:rPr>
        <w:t> </w:t>
      </w:r>
      <w:r>
        <w:rPr>
          <w:color w:val="231F20"/>
        </w:rPr>
        <w:t>sin</w:t>
      </w:r>
      <w:r>
        <w:rPr>
          <w:color w:val="231F20"/>
          <w:spacing w:val="-11"/>
        </w:rPr>
        <w:t> </w:t>
      </w:r>
      <w:r>
        <w:rPr>
          <w:color w:val="231F20"/>
        </w:rPr>
        <w:t>seguridad social reciben ingresos 8.3 por ciento menores a aquellos que sí cuentan con estas prestaciones. De manera similar, trabajar en ocupaciones</w:t>
      </w:r>
      <w:r>
        <w:rPr>
          <w:color w:val="231F20"/>
          <w:spacing w:val="-24"/>
        </w:rPr>
        <w:t> </w:t>
      </w:r>
      <w:r>
        <w:rPr>
          <w:color w:val="231F20"/>
        </w:rPr>
        <w:t>man- uales</w:t>
      </w:r>
      <w:r>
        <w:rPr>
          <w:color w:val="231F20"/>
          <w:spacing w:val="-4"/>
        </w:rPr>
        <w:t> </w:t>
      </w:r>
      <w:r>
        <w:rPr>
          <w:color w:val="231F20"/>
        </w:rPr>
        <w:t>decrece</w:t>
      </w:r>
      <w:r>
        <w:rPr>
          <w:color w:val="231F20"/>
          <w:spacing w:val="-4"/>
        </w:rPr>
        <w:t> </w:t>
      </w:r>
      <w:r>
        <w:rPr>
          <w:color w:val="231F20"/>
        </w:rPr>
        <w:t>el</w:t>
      </w:r>
      <w:r>
        <w:rPr>
          <w:color w:val="231F20"/>
          <w:spacing w:val="-4"/>
        </w:rPr>
        <w:t> </w:t>
      </w:r>
      <w:r>
        <w:rPr>
          <w:color w:val="231F20"/>
        </w:rPr>
        <w:t>salario</w:t>
      </w:r>
      <w:r>
        <w:rPr>
          <w:color w:val="231F20"/>
          <w:spacing w:val="-3"/>
        </w:rPr>
        <w:t> </w:t>
      </w:r>
      <w:r>
        <w:rPr>
          <w:color w:val="231F20"/>
        </w:rPr>
        <w:t>en</w:t>
      </w:r>
      <w:r>
        <w:rPr>
          <w:color w:val="231F20"/>
          <w:spacing w:val="-4"/>
        </w:rPr>
        <w:t> </w:t>
      </w:r>
      <w:r>
        <w:rPr>
          <w:color w:val="231F20"/>
        </w:rPr>
        <w:t>25</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en</w:t>
      </w:r>
      <w:r>
        <w:rPr>
          <w:color w:val="231F20"/>
          <w:spacing w:val="-4"/>
        </w:rPr>
        <w:t> </w:t>
      </w:r>
      <w:r>
        <w:rPr>
          <w:color w:val="231F20"/>
        </w:rPr>
        <w:t>comparación</w:t>
      </w:r>
      <w:r>
        <w:rPr>
          <w:color w:val="231F20"/>
          <w:spacing w:val="-4"/>
        </w:rPr>
        <w:t> </w:t>
      </w:r>
      <w:r>
        <w:rPr>
          <w:color w:val="231F20"/>
        </w:rPr>
        <w:t>con</w:t>
      </w:r>
      <w:r>
        <w:rPr>
          <w:color w:val="231F20"/>
          <w:spacing w:val="-4"/>
        </w:rPr>
        <w:t> </w:t>
      </w:r>
      <w:r>
        <w:rPr>
          <w:color w:val="231F20"/>
        </w:rPr>
        <w:t>aquellos</w:t>
      </w:r>
      <w:r>
        <w:rPr>
          <w:color w:val="231F20"/>
          <w:spacing w:val="-4"/>
        </w:rPr>
        <w:t> </w:t>
      </w:r>
      <w:r>
        <w:rPr>
          <w:color w:val="231F20"/>
        </w:rPr>
        <w:t>en ocupaciones no manuales. El conjunto de las variables categóricas que representan a la industria de empleo se comportan, en lo general, como se esperaba dado que la categoría de referencia es la agricultura y la extractiva. </w:t>
      </w:r>
      <w:r>
        <w:rPr>
          <w:color w:val="231F20"/>
          <w:spacing w:val="-3"/>
        </w:rPr>
        <w:t>Todas </w:t>
      </w:r>
      <w:r>
        <w:rPr>
          <w:color w:val="231F20"/>
        </w:rPr>
        <w:t>las otras industrias incrementan los ingresos laborales por hora, aun cuando el efecto de algunas de las ramas no sean signifi- cativas, tal es el caso de la manufactura, los servicios distributivos y de entretenimiento. Cabe destacar el pequeño y no significativo efecto de  la manufactura que podría ser reflejo de la disminuida importancia de esta industria en la ciudad, así como de la pérdida de calidad del empleo manufacturero.</w:t>
      </w:r>
    </w:p>
    <w:p>
      <w:pPr>
        <w:pStyle w:val="BodyText"/>
        <w:spacing w:line="249" w:lineRule="auto" w:before="1"/>
        <w:ind w:left="110" w:right="111" w:firstLine="283"/>
        <w:jc w:val="both"/>
        <w:rPr>
          <w:sz w:val="11"/>
        </w:rPr>
      </w:pPr>
      <w:r>
        <w:rPr>
          <w:color w:val="231F20"/>
        </w:rPr>
        <w:t>Más importante para este análisis es el efecto del género sobre los salarios. En el modelo 4, la segregación residencial predice el salario promedio por hora a través de todas las áreas residenciales para el grupo de referencia (intercepción).</w:t>
      </w:r>
      <w:r>
        <w:rPr>
          <w:color w:val="231F20"/>
          <w:position w:val="7"/>
          <w:sz w:val="11"/>
        </w:rPr>
        <w:t>6</w:t>
      </w:r>
    </w:p>
    <w:p>
      <w:pPr>
        <w:pStyle w:val="BodyText"/>
        <w:spacing w:line="249" w:lineRule="auto" w:before="1"/>
        <w:ind w:left="110" w:right="111" w:firstLine="283"/>
        <w:jc w:val="both"/>
      </w:pPr>
      <w:r>
        <w:rPr>
          <w:color w:val="231F20"/>
        </w:rPr>
        <w:t>El patrón que muestra este modelo es claro: el ingreso por hora pro- medio se reduce conforme la segregación residencial se incrementa (15 por ciento); es decir, que aún después de controlar por las características individuales que son buenos predictores de los salarios, el grado de con- centración de la pobreza tiene un efecto sobre los ingresos. Este mod- elo también muestra que las mujeres tienen un ingreso laboral por hora menor al de los hombres en 4.5 por ciento neto de cualquier otra carac- terística, incluyendo aquellas con una dimensión de género directa</w:t>
      </w:r>
      <w:r>
        <w:rPr>
          <w:color w:val="231F20"/>
          <w:spacing w:val="-32"/>
        </w:rPr>
        <w:t> </w:t>
      </w:r>
      <w:r>
        <w:rPr>
          <w:color w:val="231F20"/>
        </w:rPr>
        <w:t>como la presencia de niños pequeños en el hogar o si éste tiene jefatura fe- menina.</w:t>
      </w:r>
      <w:r>
        <w:rPr>
          <w:color w:val="231F20"/>
          <w:spacing w:val="-8"/>
        </w:rPr>
        <w:t> </w:t>
      </w:r>
      <w:r>
        <w:rPr>
          <w:color w:val="231F20"/>
        </w:rPr>
        <w:t>Más</w:t>
      </w:r>
      <w:r>
        <w:rPr>
          <w:color w:val="231F20"/>
          <w:spacing w:val="-7"/>
        </w:rPr>
        <w:t> </w:t>
      </w:r>
      <w:r>
        <w:rPr>
          <w:color w:val="231F20"/>
        </w:rPr>
        <w:t>aún,</w:t>
      </w:r>
      <w:r>
        <w:rPr>
          <w:color w:val="231F20"/>
          <w:spacing w:val="-7"/>
        </w:rPr>
        <w:t> </w:t>
      </w:r>
      <w:r>
        <w:rPr>
          <w:color w:val="231F20"/>
        </w:rPr>
        <w:t>tal</w:t>
      </w:r>
      <w:r>
        <w:rPr>
          <w:color w:val="231F20"/>
          <w:spacing w:val="-8"/>
        </w:rPr>
        <w:t> </w:t>
      </w:r>
      <w:r>
        <w:rPr>
          <w:color w:val="231F20"/>
        </w:rPr>
        <w:t>y</w:t>
      </w:r>
      <w:r>
        <w:rPr>
          <w:color w:val="231F20"/>
          <w:spacing w:val="-7"/>
        </w:rPr>
        <w:t> </w:t>
      </w:r>
      <w:r>
        <w:rPr>
          <w:color w:val="231F20"/>
        </w:rPr>
        <w:t>como</w:t>
      </w:r>
      <w:r>
        <w:rPr>
          <w:color w:val="231F20"/>
          <w:spacing w:val="-8"/>
        </w:rPr>
        <w:t> </w:t>
      </w:r>
      <w:r>
        <w:rPr>
          <w:color w:val="231F20"/>
        </w:rPr>
        <w:t>el</w:t>
      </w:r>
      <w:r>
        <w:rPr>
          <w:color w:val="231F20"/>
          <w:spacing w:val="-7"/>
        </w:rPr>
        <w:t> </w:t>
      </w:r>
      <w:r>
        <w:rPr>
          <w:color w:val="231F20"/>
        </w:rPr>
        <w:t>parámetro</w:t>
      </w:r>
      <w:r>
        <w:rPr>
          <w:color w:val="231F20"/>
          <w:spacing w:val="-7"/>
        </w:rPr>
        <w:t> </w:t>
      </w:r>
      <w:r>
        <w:rPr>
          <w:color w:val="231F20"/>
        </w:rPr>
        <w:t>del</w:t>
      </w:r>
      <w:r>
        <w:rPr>
          <w:color w:val="231F20"/>
          <w:spacing w:val="-7"/>
        </w:rPr>
        <w:t> </w:t>
      </w:r>
      <w:r>
        <w:rPr>
          <w:color w:val="231F20"/>
        </w:rPr>
        <w:t>componente</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varianza lo muestra, el efecto del sexo sobre los ingresos varía</w:t>
      </w:r>
      <w:r>
        <w:rPr>
          <w:color w:val="231F20"/>
          <w:spacing w:val="-11"/>
        </w:rPr>
        <w:t> </w:t>
      </w:r>
      <w:r>
        <w:rPr>
          <w:color w:val="231F20"/>
        </w:rPr>
        <w:t>significativamente a través de las áreas de residencia aún después de controlar por los otros atributos individuales considerados. En otras palabras, ser mujer afecta los ingresos dependiendo del lugar de residencia. De hecho, si calcula- mos</w:t>
      </w:r>
      <w:r>
        <w:rPr>
          <w:color w:val="231F20"/>
          <w:spacing w:val="-5"/>
        </w:rPr>
        <w:t> </w:t>
      </w:r>
      <w:r>
        <w:rPr>
          <w:color w:val="231F20"/>
        </w:rPr>
        <w:t>95</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valores</w:t>
      </w:r>
      <w:r>
        <w:rPr>
          <w:color w:val="231F20"/>
          <w:spacing w:val="-5"/>
        </w:rPr>
        <w:t> </w:t>
      </w:r>
      <w:r>
        <w:rPr>
          <w:color w:val="231F20"/>
        </w:rPr>
        <w:t>plausibles</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coeficiente</w:t>
      </w:r>
      <w:r>
        <w:rPr>
          <w:color w:val="231F20"/>
          <w:spacing w:val="-5"/>
        </w:rPr>
        <w:t> </w:t>
      </w:r>
      <w:r>
        <w:rPr>
          <w:color w:val="231F20"/>
        </w:rPr>
        <w:t>estos</w:t>
      </w:r>
      <w:r>
        <w:rPr>
          <w:color w:val="231F20"/>
          <w:spacing w:val="-5"/>
        </w:rPr>
        <w:t> </w:t>
      </w:r>
      <w:r>
        <w:rPr>
          <w:color w:val="231F20"/>
        </w:rPr>
        <w:t>caen entre 0.0293 y -0.1275; lo que significa que en algunas áreas ser mujer está asociado con incrementos salariales, aunque en la mayoría de los lugares el efecto es</w:t>
      </w:r>
      <w:r>
        <w:rPr>
          <w:color w:val="231F20"/>
          <w:spacing w:val="-3"/>
        </w:rPr>
        <w:t> </w:t>
      </w:r>
      <w:r>
        <w:rPr>
          <w:color w:val="231F20"/>
        </w:rPr>
        <w:t>negativo.</w:t>
      </w:r>
    </w:p>
    <w:p>
      <w:pPr>
        <w:spacing w:before="119"/>
        <w:ind w:left="110" w:right="111" w:firstLine="0"/>
        <w:jc w:val="both"/>
        <w:rPr>
          <w:sz w:val="14"/>
        </w:rPr>
      </w:pPr>
      <w:r>
        <w:rPr>
          <w:color w:val="231F20"/>
          <w:position w:val="5"/>
          <w:sz w:val="8"/>
        </w:rPr>
        <w:t>6 </w:t>
      </w:r>
      <w:r>
        <w:rPr>
          <w:color w:val="231F20"/>
          <w:sz w:val="14"/>
        </w:rPr>
        <w:t>Es decir, el salario por hora promedio de hombres solteros, de edad y educación típica, trabajadores  no manuales, laborando en agricultura o industrias extractivas y viviendo en hogares encabezados por hombres que no contaban con la presencia de niños menores de 12</w:t>
      </w:r>
      <w:r>
        <w:rPr>
          <w:color w:val="231F20"/>
          <w:spacing w:val="-3"/>
          <w:sz w:val="14"/>
        </w:rPr>
        <w:t> </w:t>
      </w:r>
      <w:r>
        <w:rPr>
          <w:color w:val="231F20"/>
          <w:sz w:val="14"/>
        </w:rPr>
        <w:t>años.</w:t>
      </w:r>
    </w:p>
    <w:p>
      <w:pPr>
        <w:spacing w:after="0"/>
        <w:jc w:val="both"/>
        <w:rPr>
          <w:sz w:val="14"/>
        </w:rPr>
        <w:sectPr>
          <w:pgSz w:w="7770" w:h="11740"/>
          <w:pgMar w:header="0" w:footer="474" w:top="840" w:bottom="740" w:left="740" w:right="1020"/>
        </w:sectPr>
      </w:pPr>
    </w:p>
    <w:p>
      <w:pPr>
        <w:pStyle w:val="BodyText"/>
        <w:spacing w:line="249" w:lineRule="auto" w:before="60"/>
        <w:ind w:left="113" w:right="108" w:firstLine="283"/>
        <w:jc w:val="both"/>
      </w:pPr>
      <w:r>
        <w:rPr>
          <w:color w:val="231F20"/>
        </w:rPr>
        <w:t>En el siguiente modelo (3) se examina la posibilidad de que la seg- regación residencial tenga efectos diferenciados sobre hombres y mu- jeres.</w:t>
      </w:r>
    </w:p>
    <w:p>
      <w:pPr>
        <w:pStyle w:val="BodyText"/>
        <w:spacing w:line="249" w:lineRule="auto" w:before="1"/>
        <w:ind w:left="113" w:right="107" w:firstLine="283"/>
        <w:jc w:val="both"/>
      </w:pPr>
      <w:r>
        <w:rPr>
          <w:color w:val="231F20"/>
        </w:rPr>
        <w:t>La interacción transnivel es positiva y significativa, lo que sugiere que la brecha salarial entre hombres y mujeres decrece conforme la seg- regación aumenta y que en vecindarios altamente segregados los sala- rios de las mujeres tenderían a ser levemente más altos que los de los hombres (Gráfica 1). Más aún, una vez que se considera el efecto de la segregación residencial, el parámetro del componente de la varianza no es estadísticamente significativo, lo que apunta a que el efecto del sexo sobre los salarios por hora está fuertemente mediado por la composición socioeconómica de los vecindarios.</w:t>
      </w:r>
    </w:p>
    <w:p>
      <w:pPr>
        <w:pStyle w:val="BodyText"/>
        <w:spacing w:line="249" w:lineRule="auto" w:before="1"/>
        <w:ind w:left="113" w:right="108" w:firstLine="283"/>
        <w:jc w:val="both"/>
      </w:pPr>
      <w:r>
        <w:rPr>
          <w:color w:val="231F20"/>
        </w:rPr>
        <w:t>Es importante resaltar que también se consideró la posibilidad de efectos de selección en las diferencias por género observadas; especí- ficamente, que en los vecindarios altamente segregados sólo ingresaran al mercado de trabajo las mujeres que podían obtener mayores salarios  y si no podían hacerlo, permanecían dedicadas exclusivamente a las tar- eas domésticas no remuneradas; mientras que las expectativas de</w:t>
      </w:r>
      <w:r>
        <w:rPr>
          <w:color w:val="231F20"/>
          <w:spacing w:val="-14"/>
        </w:rPr>
        <w:t> </w:t>
      </w:r>
      <w:r>
        <w:rPr>
          <w:color w:val="231F20"/>
        </w:rPr>
        <w:t>género harían que los hombres tomasen trabajos a cualquier nivel</w:t>
      </w:r>
      <w:r>
        <w:rPr>
          <w:color w:val="231F20"/>
          <w:spacing w:val="-13"/>
        </w:rPr>
        <w:t> </w:t>
      </w:r>
      <w:r>
        <w:rPr>
          <w:color w:val="231F20"/>
        </w:rPr>
        <w:t>salarial.</w:t>
      </w:r>
    </w:p>
    <w:p>
      <w:pPr>
        <w:pStyle w:val="BodyText"/>
        <w:spacing w:line="249" w:lineRule="auto" w:before="1"/>
        <w:ind w:left="113" w:right="108" w:firstLine="283"/>
        <w:jc w:val="both"/>
        <w:rPr>
          <w:sz w:val="11"/>
        </w:rPr>
      </w:pPr>
      <w:r>
        <w:rPr>
          <w:color w:val="231F20"/>
        </w:rPr>
        <w:t>Dado</w:t>
      </w:r>
      <w:r>
        <w:rPr>
          <w:color w:val="231F20"/>
          <w:spacing w:val="-9"/>
        </w:rPr>
        <w:t> </w:t>
      </w:r>
      <w:r>
        <w:rPr>
          <w:color w:val="231F20"/>
        </w:rPr>
        <w:t>que</w:t>
      </w:r>
      <w:r>
        <w:rPr>
          <w:color w:val="231F20"/>
          <w:spacing w:val="-9"/>
        </w:rPr>
        <w:t> </w:t>
      </w:r>
      <w:r>
        <w:rPr>
          <w:color w:val="231F20"/>
        </w:rPr>
        <w:t>sólo</w:t>
      </w:r>
      <w:r>
        <w:rPr>
          <w:color w:val="231F20"/>
          <w:spacing w:val="-9"/>
        </w:rPr>
        <w:t> </w:t>
      </w:r>
      <w:r>
        <w:rPr>
          <w:color w:val="231F20"/>
        </w:rPr>
        <w:t>observamos</w:t>
      </w:r>
      <w:r>
        <w:rPr>
          <w:color w:val="231F20"/>
          <w:spacing w:val="-9"/>
        </w:rPr>
        <w:t> </w:t>
      </w:r>
      <w:r>
        <w:rPr>
          <w:color w:val="231F20"/>
        </w:rPr>
        <w:t>los</w:t>
      </w:r>
      <w:r>
        <w:rPr>
          <w:color w:val="231F20"/>
          <w:spacing w:val="-10"/>
        </w:rPr>
        <w:t> </w:t>
      </w:r>
      <w:r>
        <w:rPr>
          <w:color w:val="231F20"/>
        </w:rPr>
        <w:t>ingresos</w:t>
      </w:r>
      <w:r>
        <w:rPr>
          <w:color w:val="231F20"/>
          <w:spacing w:val="-10"/>
        </w:rPr>
        <w:t> </w:t>
      </w:r>
      <w:r>
        <w:rPr>
          <w:color w:val="231F20"/>
        </w:rPr>
        <w:t>laborales</w:t>
      </w:r>
      <w:r>
        <w:rPr>
          <w:color w:val="231F20"/>
          <w:spacing w:val="-10"/>
        </w:rPr>
        <w:t> </w:t>
      </w:r>
      <w:r>
        <w:rPr>
          <w:color w:val="231F20"/>
        </w:rPr>
        <w:t>de</w:t>
      </w:r>
      <w:r>
        <w:rPr>
          <w:color w:val="231F20"/>
          <w:spacing w:val="-9"/>
        </w:rPr>
        <w:t> </w:t>
      </w:r>
      <w:r>
        <w:rPr>
          <w:color w:val="231F20"/>
        </w:rPr>
        <w:t>aquellos</w:t>
      </w:r>
      <w:r>
        <w:rPr>
          <w:color w:val="231F20"/>
          <w:spacing w:val="-10"/>
        </w:rPr>
        <w:t> </w:t>
      </w:r>
      <w:r>
        <w:rPr>
          <w:color w:val="231F20"/>
        </w:rPr>
        <w:t>individ- uos que están en la Población Económicamente Activa (PEA) ocupada, se corre el riesgo de no considerar la posibilidad de que estos residentes difieran en sus características de aquellos que no están en la PEA y que por tanto la asociación encontrada entre ingresos y segregación residen- cia se deba exclusivamente a dichos atributos en los que discrepan. Para examinar</w:t>
      </w:r>
      <w:r>
        <w:rPr>
          <w:color w:val="231F20"/>
          <w:spacing w:val="-9"/>
        </w:rPr>
        <w:t> </w:t>
      </w:r>
      <w:r>
        <w:rPr>
          <w:color w:val="231F20"/>
        </w:rPr>
        <w:t>esta</w:t>
      </w:r>
      <w:r>
        <w:rPr>
          <w:color w:val="231F20"/>
          <w:spacing w:val="-8"/>
        </w:rPr>
        <w:t> </w:t>
      </w:r>
      <w:r>
        <w:rPr>
          <w:color w:val="231F20"/>
        </w:rPr>
        <w:t>posibilidad,</w:t>
      </w:r>
      <w:r>
        <w:rPr>
          <w:color w:val="231F20"/>
          <w:spacing w:val="-8"/>
        </w:rPr>
        <w:t> </w:t>
      </w:r>
      <w:r>
        <w:rPr>
          <w:color w:val="231F20"/>
        </w:rPr>
        <w:t>se</w:t>
      </w:r>
      <w:r>
        <w:rPr>
          <w:color w:val="231F20"/>
          <w:spacing w:val="-8"/>
        </w:rPr>
        <w:t> </w:t>
      </w:r>
      <w:r>
        <w:rPr>
          <w:color w:val="231F20"/>
        </w:rPr>
        <w:t>estimó</w:t>
      </w:r>
      <w:r>
        <w:rPr>
          <w:color w:val="231F20"/>
          <w:spacing w:val="-8"/>
        </w:rPr>
        <w:t> </w:t>
      </w:r>
      <w:r>
        <w:rPr>
          <w:color w:val="231F20"/>
        </w:rPr>
        <w:t>primero</w:t>
      </w:r>
      <w:r>
        <w:rPr>
          <w:color w:val="231F20"/>
          <w:spacing w:val="-8"/>
        </w:rPr>
        <w:t> </w:t>
      </w:r>
      <w:r>
        <w:rPr>
          <w:color w:val="231F20"/>
        </w:rPr>
        <w:t>un</w:t>
      </w:r>
      <w:r>
        <w:rPr>
          <w:color w:val="231F20"/>
          <w:spacing w:val="-8"/>
        </w:rPr>
        <w:t> </w:t>
      </w:r>
      <w:r>
        <w:rPr>
          <w:color w:val="231F20"/>
        </w:rPr>
        <w:t>modelo</w:t>
      </w:r>
      <w:r>
        <w:rPr>
          <w:color w:val="231F20"/>
          <w:spacing w:val="-8"/>
        </w:rPr>
        <w:t> </w:t>
      </w:r>
      <w:r>
        <w:rPr>
          <w:color w:val="231F20"/>
        </w:rPr>
        <w:t>de</w:t>
      </w:r>
      <w:r>
        <w:rPr>
          <w:color w:val="231F20"/>
          <w:spacing w:val="-8"/>
        </w:rPr>
        <w:t> </w:t>
      </w:r>
      <w:r>
        <w:rPr>
          <w:color w:val="231F20"/>
        </w:rPr>
        <w:t>regresión</w:t>
      </w:r>
      <w:r>
        <w:rPr>
          <w:color w:val="231F20"/>
          <w:spacing w:val="-8"/>
        </w:rPr>
        <w:t> </w:t>
      </w:r>
      <w:r>
        <w:rPr>
          <w:color w:val="231F20"/>
        </w:rPr>
        <w:t>con corrección de Heckman en un sólo nivel para las mujeres, después se llevó los resultados de la razón del inverso de Mills dentro de un mod- elo jerárquico de dos niveles y se estimaron de nuevo los modelos an- teriormente expuestos (Bifulco, 2002). Los resultados sugieren que aun cuando efectivamente existe un proceso de selección en las mujeres que ingresan</w:t>
      </w:r>
      <w:r>
        <w:rPr>
          <w:color w:val="231F20"/>
          <w:spacing w:val="-8"/>
        </w:rPr>
        <w:t> </w:t>
      </w:r>
      <w:r>
        <w:rPr>
          <w:color w:val="231F20"/>
        </w:rPr>
        <w:t>al</w:t>
      </w:r>
      <w:r>
        <w:rPr>
          <w:color w:val="231F20"/>
          <w:spacing w:val="-8"/>
        </w:rPr>
        <w:t> </w:t>
      </w:r>
      <w:r>
        <w:rPr>
          <w:color w:val="231F20"/>
        </w:rPr>
        <w:t>mercado</w:t>
      </w:r>
      <w:r>
        <w:rPr>
          <w:color w:val="231F20"/>
          <w:spacing w:val="-8"/>
        </w:rPr>
        <w:t> </w:t>
      </w:r>
      <w:r>
        <w:rPr>
          <w:color w:val="231F20"/>
        </w:rPr>
        <w:t>laboral,</w:t>
      </w:r>
      <w:r>
        <w:rPr>
          <w:color w:val="231F20"/>
          <w:spacing w:val="-8"/>
        </w:rPr>
        <w:t> </w:t>
      </w:r>
      <w:r>
        <w:rPr>
          <w:color w:val="231F20"/>
        </w:rPr>
        <w:t>el</w:t>
      </w:r>
      <w:r>
        <w:rPr>
          <w:color w:val="231F20"/>
          <w:spacing w:val="-8"/>
        </w:rPr>
        <w:t> </w:t>
      </w:r>
      <w:r>
        <w:rPr>
          <w:color w:val="231F20"/>
        </w:rPr>
        <w:t>efecto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segregación</w:t>
      </w:r>
      <w:r>
        <w:rPr>
          <w:color w:val="231F20"/>
          <w:spacing w:val="-7"/>
        </w:rPr>
        <w:t> </w:t>
      </w:r>
      <w:r>
        <w:rPr>
          <w:color w:val="231F20"/>
        </w:rPr>
        <w:t>residencial</w:t>
      </w:r>
      <w:r>
        <w:rPr>
          <w:color w:val="231F20"/>
          <w:spacing w:val="-8"/>
        </w:rPr>
        <w:t> </w:t>
      </w:r>
      <w:r>
        <w:rPr>
          <w:color w:val="231F20"/>
        </w:rPr>
        <w:t>sobre los</w:t>
      </w:r>
      <w:r>
        <w:rPr>
          <w:color w:val="231F20"/>
          <w:spacing w:val="-9"/>
        </w:rPr>
        <w:t> </w:t>
      </w:r>
      <w:r>
        <w:rPr>
          <w:color w:val="231F20"/>
        </w:rPr>
        <w:t>salarios</w:t>
      </w:r>
      <w:r>
        <w:rPr>
          <w:color w:val="231F20"/>
          <w:spacing w:val="-9"/>
        </w:rPr>
        <w:t> </w:t>
      </w:r>
      <w:r>
        <w:rPr>
          <w:color w:val="231F20"/>
        </w:rPr>
        <w:t>promedio</w:t>
      </w:r>
      <w:r>
        <w:rPr>
          <w:color w:val="231F20"/>
          <w:spacing w:val="-9"/>
        </w:rPr>
        <w:t> </w:t>
      </w:r>
      <w:r>
        <w:rPr>
          <w:color w:val="231F20"/>
        </w:rPr>
        <w:t>a</w:t>
      </w:r>
      <w:r>
        <w:rPr>
          <w:color w:val="231F20"/>
          <w:spacing w:val="-9"/>
        </w:rPr>
        <w:t> </w:t>
      </w:r>
      <w:r>
        <w:rPr>
          <w:color w:val="231F20"/>
        </w:rPr>
        <w:t>través</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vecindarios</w:t>
      </w:r>
      <w:r>
        <w:rPr>
          <w:color w:val="231F20"/>
          <w:spacing w:val="-9"/>
        </w:rPr>
        <w:t> </w:t>
      </w:r>
      <w:r>
        <w:rPr>
          <w:color w:val="231F20"/>
        </w:rPr>
        <w:t>se</w:t>
      </w:r>
      <w:r>
        <w:rPr>
          <w:color w:val="231F20"/>
          <w:spacing w:val="-9"/>
        </w:rPr>
        <w:t> </w:t>
      </w:r>
      <w:r>
        <w:rPr>
          <w:color w:val="231F20"/>
        </w:rPr>
        <w:t>mantiene</w:t>
      </w:r>
      <w:r>
        <w:rPr>
          <w:color w:val="231F20"/>
          <w:spacing w:val="-10"/>
        </w:rPr>
        <w:t> </w:t>
      </w:r>
      <w:r>
        <w:rPr>
          <w:color w:val="231F20"/>
        </w:rPr>
        <w:t>una</w:t>
      </w:r>
      <w:r>
        <w:rPr>
          <w:color w:val="231F20"/>
          <w:spacing w:val="-9"/>
        </w:rPr>
        <w:t> </w:t>
      </w:r>
      <w:r>
        <w:rPr>
          <w:color w:val="231F20"/>
        </w:rPr>
        <w:t>vez</w:t>
      </w:r>
      <w:r>
        <w:rPr>
          <w:color w:val="231F20"/>
          <w:spacing w:val="-9"/>
        </w:rPr>
        <w:t> </w:t>
      </w:r>
      <w:r>
        <w:rPr>
          <w:color w:val="231F20"/>
        </w:rPr>
        <w:t>que se considera el efecto de</w:t>
      </w:r>
      <w:r>
        <w:rPr>
          <w:color w:val="231F20"/>
          <w:spacing w:val="-9"/>
        </w:rPr>
        <w:t> </w:t>
      </w:r>
      <w:r>
        <w:rPr>
          <w:color w:val="231F20"/>
        </w:rPr>
        <w:t>selección.</w:t>
      </w:r>
      <w:r>
        <w:rPr>
          <w:color w:val="231F20"/>
          <w:position w:val="7"/>
          <w:sz w:val="11"/>
        </w:rPr>
        <w:t>7</w:t>
      </w:r>
    </w:p>
    <w:p>
      <w:pPr>
        <w:pStyle w:val="BodyText"/>
      </w:pPr>
    </w:p>
    <w:p>
      <w:pPr>
        <w:pStyle w:val="BodyText"/>
      </w:pPr>
    </w:p>
    <w:p>
      <w:pPr>
        <w:pStyle w:val="BodyText"/>
      </w:pPr>
    </w:p>
    <w:p>
      <w:pPr>
        <w:pStyle w:val="BodyText"/>
      </w:pPr>
    </w:p>
    <w:p>
      <w:pPr>
        <w:spacing w:before="156"/>
        <w:ind w:left="113" w:right="107" w:firstLine="0"/>
        <w:jc w:val="both"/>
        <w:rPr>
          <w:sz w:val="14"/>
        </w:rPr>
      </w:pPr>
      <w:r>
        <w:rPr>
          <w:color w:val="231F20"/>
          <w:position w:val="5"/>
          <w:sz w:val="8"/>
        </w:rPr>
        <w:t>7 </w:t>
      </w:r>
      <w:r>
        <w:rPr>
          <w:color w:val="231F20"/>
          <w:sz w:val="14"/>
        </w:rPr>
        <w:t>Por razones de espacio aquí no se incluyen los resultados de los modelos de selección ni los modelos multinivel reestimados después de considerar la selección. Los resultados están disponibles con la au- tora, si se desean.</w:t>
      </w:r>
    </w:p>
    <w:p>
      <w:pPr>
        <w:spacing w:after="0"/>
        <w:jc w:val="both"/>
        <w:rPr>
          <w:sz w:val="14"/>
        </w:rPr>
        <w:sectPr>
          <w:footerReference w:type="default" r:id="rId211"/>
          <w:pgSz w:w="7770" w:h="11740"/>
          <w:pgMar w:footer="474" w:header="0" w:top="840" w:bottom="660" w:left="1020" w:right="740"/>
        </w:sectPr>
      </w:pPr>
    </w:p>
    <w:p>
      <w:pPr>
        <w:pStyle w:val="BodyText"/>
      </w:pPr>
      <w:r>
        <w:rPr/>
        <w:pict>
          <v:shape style="position:absolute;margin-left:141.468002pt;margin-top:308.018005pt;width:226.1pt;height:18pt;mso-position-horizontal-relative:page;mso-position-vertical-relative:page;z-index:-330280" type="#_x0000_t202" filled="false" stroked="false">
            <v:textbox inset="0,0,0,0">
              <w:txbxContent>
                <w:p>
                  <w:pPr>
                    <w:spacing w:before="51"/>
                    <w:ind w:left="404" w:right="0" w:firstLine="0"/>
                    <w:jc w:val="left"/>
                    <w:rPr>
                      <w:rFonts w:ascii="Arial"/>
                      <w:b/>
                      <w:sz w:val="17"/>
                    </w:rPr>
                  </w:pPr>
                  <w:r>
                    <w:rPr>
                      <w:rFonts w:ascii="Arial"/>
                      <w:b/>
                      <w:w w:val="105"/>
                      <w:sz w:val="17"/>
                    </w:rPr>
                    <w:t>Socio-economic residential segregation</w:t>
                  </w:r>
                </w:p>
              </w:txbxContent>
            </v:textbox>
            <w10:wrap type="none"/>
          </v:shape>
        </w:pict>
      </w:r>
      <w:r>
        <w:rPr/>
        <w:pict>
          <v:shape style="position:absolute;margin-left:120.181503pt;margin-top:246.413116pt;width:13.75pt;height:7pt;mso-position-horizontal-relative:page;mso-position-vertical-relative:page;z-index:7672" type="#_x0000_t202" filled="false" stroked="false">
            <v:textbox inset="0,0,0,0">
              <w:txbxContent>
                <w:p>
                  <w:pPr>
                    <w:spacing w:line="139" w:lineRule="exact" w:before="0"/>
                    <w:ind w:left="0" w:right="-18" w:firstLine="0"/>
                    <w:jc w:val="left"/>
                    <w:rPr>
                      <w:rFonts w:ascii="Arial"/>
                      <w:sz w:val="14"/>
                    </w:rPr>
                  </w:pPr>
                  <w:r>
                    <w:rPr>
                      <w:rFonts w:ascii="Arial"/>
                      <w:sz w:val="14"/>
                    </w:rPr>
                    <w:t>3.37</w:t>
                  </w:r>
                </w:p>
              </w:txbxContent>
            </v:textbox>
            <w10:wrap type="none"/>
          </v:shape>
        </w:pict>
      </w:r>
      <w:r>
        <w:rPr/>
        <w:pict>
          <v:shape style="position:absolute;margin-left:26.963537pt;margin-top:178.527603pt;width:12pt;height:17pt;mso-position-horizontal-relative:page;mso-position-vertical-relative:page;z-index:7696" type="#_x0000_t202" filled="false" stroked="false">
            <v:textbox inset="0,0,0,0" style="layout-flow:vertical">
              <w:txbxContent>
                <w:p>
                  <w:pPr>
                    <w:pStyle w:val="BodyText"/>
                    <w:spacing w:line="224" w:lineRule="exact"/>
                    <w:ind w:left="20" w:right="-100"/>
                  </w:pPr>
                  <w:r>
                    <w:rPr>
                      <w:color w:val="231F20"/>
                    </w:rPr>
                    <w:t>174</w:t>
                  </w:r>
                </w:p>
              </w:txbxContent>
            </v:textbox>
            <w10:wrap type="none"/>
          </v:shape>
        </w:pict>
      </w:r>
      <w:r>
        <w:rPr/>
        <w:pict>
          <v:shape style="position:absolute;margin-left:100.463509pt;margin-top:174.946182pt;width:11.85pt;height:83.4pt;mso-position-horizontal-relative:page;mso-position-vertical-relative:page;z-index:7720" type="#_x0000_t202" filled="false" stroked="false">
            <v:textbox inset="0,0,0,0" style="layout-flow:vertical;mso-layout-flow-alt:bottom-to-top">
              <w:txbxContent>
                <w:p>
                  <w:pPr>
                    <w:spacing w:before="1"/>
                    <w:ind w:left="20" w:right="-364" w:firstLine="0"/>
                    <w:jc w:val="left"/>
                    <w:rPr>
                      <w:sz w:val="19"/>
                    </w:rPr>
                  </w:pPr>
                  <w:r>
                    <w:rPr>
                      <w:w w:val="103"/>
                      <w:sz w:val="19"/>
                    </w:rPr>
                    <w:t>S</w:t>
                  </w:r>
                  <w:r>
                    <w:rPr>
                      <w:spacing w:val="3"/>
                      <w:w w:val="103"/>
                      <w:sz w:val="19"/>
                    </w:rPr>
                    <w:t>a</w:t>
                  </w:r>
                  <w:r>
                    <w:rPr>
                      <w:spacing w:val="-2"/>
                      <w:w w:val="103"/>
                      <w:sz w:val="19"/>
                    </w:rPr>
                    <w:t>l</w:t>
                  </w:r>
                  <w:r>
                    <w:rPr>
                      <w:spacing w:val="3"/>
                      <w:w w:val="103"/>
                      <w:sz w:val="19"/>
                    </w:rPr>
                    <w:t>a</w:t>
                  </w:r>
                  <w:r>
                    <w:rPr>
                      <w:spacing w:val="1"/>
                      <w:w w:val="103"/>
                      <w:sz w:val="19"/>
                    </w:rPr>
                    <w:t>r</w:t>
                  </w:r>
                  <w:r>
                    <w:rPr>
                      <w:spacing w:val="-2"/>
                      <w:w w:val="103"/>
                      <w:sz w:val="19"/>
                    </w:rPr>
                    <w:t>i</w:t>
                  </w:r>
                  <w:r>
                    <w:rPr>
                      <w:w w:val="103"/>
                      <w:sz w:val="19"/>
                    </w:rPr>
                    <w:t>o</w:t>
                  </w:r>
                  <w:r>
                    <w:rPr>
                      <w:spacing w:val="2"/>
                      <w:sz w:val="19"/>
                    </w:rPr>
                    <w:t> </w:t>
                  </w:r>
                  <w:r>
                    <w:rPr>
                      <w:spacing w:val="2"/>
                      <w:w w:val="103"/>
                      <w:sz w:val="19"/>
                    </w:rPr>
                    <w:t>po</w:t>
                  </w:r>
                  <w:r>
                    <w:rPr>
                      <w:w w:val="103"/>
                      <w:sz w:val="19"/>
                    </w:rPr>
                    <w:t>r</w:t>
                  </w:r>
                  <w:r>
                    <w:rPr>
                      <w:spacing w:val="2"/>
                      <w:sz w:val="19"/>
                    </w:rPr>
                    <w:t> </w:t>
                  </w:r>
                  <w:r>
                    <w:rPr>
                      <w:spacing w:val="2"/>
                      <w:w w:val="103"/>
                      <w:sz w:val="19"/>
                    </w:rPr>
                    <w:t>ho</w:t>
                  </w:r>
                  <w:r>
                    <w:rPr>
                      <w:spacing w:val="1"/>
                      <w:w w:val="103"/>
                      <w:sz w:val="19"/>
                    </w:rPr>
                    <w:t>r</w:t>
                  </w:r>
                  <w:r>
                    <w:rPr>
                      <w:w w:val="103"/>
                      <w:sz w:val="19"/>
                    </w:rPr>
                    <w:t>a</w:t>
                  </w:r>
                  <w:r>
                    <w:rPr>
                      <w:spacing w:val="4"/>
                      <w:sz w:val="19"/>
                    </w:rPr>
                    <w:t> </w:t>
                  </w:r>
                  <w:r>
                    <w:rPr>
                      <w:spacing w:val="1"/>
                      <w:w w:val="103"/>
                      <w:sz w:val="19"/>
                    </w:rPr>
                    <w:t>(</w:t>
                  </w:r>
                  <w:r>
                    <w:rPr>
                      <w:spacing w:val="-2"/>
                      <w:w w:val="103"/>
                      <w:sz w:val="19"/>
                    </w:rPr>
                    <w:t>l</w:t>
                  </w:r>
                  <w:r>
                    <w:rPr>
                      <w:spacing w:val="2"/>
                      <w:w w:val="103"/>
                      <w:sz w:val="19"/>
                    </w:rPr>
                    <w:t>n)</w:t>
                  </w:r>
                </w:p>
              </w:txbxContent>
            </v:textbox>
            <w10:wrap type="none"/>
          </v:shape>
        </w:pict>
      </w:r>
    </w:p>
    <w:p>
      <w:pPr>
        <w:pStyle w:val="BodyText"/>
      </w:pPr>
    </w:p>
    <w:p>
      <w:pPr>
        <w:pStyle w:val="BodyText"/>
        <w:spacing w:before="7"/>
        <w:rPr>
          <w:sz w:val="24"/>
        </w:rPr>
      </w:pPr>
    </w:p>
    <w:p>
      <w:pPr>
        <w:spacing w:before="82"/>
        <w:ind w:left="247" w:right="0" w:firstLine="0"/>
        <w:jc w:val="left"/>
        <w:rPr>
          <w:sz w:val="19"/>
        </w:rPr>
      </w:pPr>
      <w:r>
        <w:rPr/>
        <w:pict>
          <v:shape style="position:absolute;margin-left:324.338013pt;margin-top:56.293228pt;width:121.95pt;height:44.95pt;mso-position-horizontal-relative:page;mso-position-vertical-relative:paragraph;z-index:-330304" type="#_x0000_t202" filled="false" stroked="false">
            <v:textbox inset="0,0,0,0">
              <w:txbxContent>
                <w:p>
                  <w:pPr>
                    <w:pStyle w:val="BodyText"/>
                    <w:spacing w:before="6"/>
                    <w:rPr>
                      <w:sz w:val="12"/>
                    </w:rPr>
                  </w:pPr>
                </w:p>
                <w:p>
                  <w:pPr>
                    <w:spacing w:before="0"/>
                    <w:ind w:left="1249" w:right="0" w:firstLine="0"/>
                    <w:jc w:val="left"/>
                    <w:rPr>
                      <w:rFonts w:ascii="Arial"/>
                      <w:sz w:val="12"/>
                    </w:rPr>
                  </w:pPr>
                  <w:r>
                    <w:rPr>
                      <w:rFonts w:ascii="Arial"/>
                      <w:color w:val="0000FF"/>
                      <w:sz w:val="12"/>
                    </w:rPr>
                    <w:t>MALE = 0</w:t>
                  </w:r>
                </w:p>
                <w:p>
                  <w:pPr>
                    <w:spacing w:before="78"/>
                    <w:ind w:left="1249" w:right="0" w:firstLine="0"/>
                    <w:jc w:val="left"/>
                    <w:rPr>
                      <w:rFonts w:ascii="Arial"/>
                      <w:sz w:val="12"/>
                    </w:rPr>
                  </w:pPr>
                  <w:r>
                    <w:rPr>
                      <w:rFonts w:ascii="Arial"/>
                      <w:color w:val="FF0000"/>
                      <w:sz w:val="12"/>
                    </w:rPr>
                    <w:t>FEMALE = 1</w:t>
                  </w:r>
                </w:p>
              </w:txbxContent>
            </v:textbox>
            <w10:wrap type="none"/>
          </v:shape>
        </w:pict>
      </w:r>
      <w:r>
        <w:rPr/>
        <w:pict>
          <v:group style="position:absolute;margin-left:84.181999pt;margin-top:3.849229pt;width:401.2pt;height:300.55pt;mso-position-horizontal-relative:page;mso-position-vertical-relative:paragraph;z-index:-330256" coordorigin="1684,77" coordsize="8024,6011">
            <v:shape style="position:absolute;left:1684;top:77;width:8021;height:5986" type="#_x0000_t75" stroked="false">
              <v:imagedata r:id="rId213" o:title=""/>
            </v:shape>
            <v:rect style="position:absolute;left:2895;top:1266;width:4313;height:4010" filled="true" fillcolor="#ffffff" stroked="false">
              <v:fill type="solid"/>
            </v:rect>
            <v:line style="position:absolute" from="2785,5237" to="7102,5238" stroked="true" strokeweight=".24pt" strokecolor="#000000"/>
            <v:line style="position:absolute" from="3697,5237" to="3698,5292" stroked="true" strokeweight=".24pt" strokecolor="#000000"/>
            <v:line style="position:absolute" from="3481,5237" to="3482,5270" stroked="true" strokeweight=".24pt" strokecolor="#000000"/>
            <v:line style="position:absolute" from="3265,5237" to="3266,5270" stroked="true" strokeweight=".24pt" strokecolor="#000000"/>
            <v:line style="position:absolute" from="3049,5237" to="3050,5270" stroked="true" strokeweight=".24pt" strokecolor="#000000"/>
            <v:line style="position:absolute" from="2833,5237" to="2834,5270" stroked="true" strokeweight=".24pt" strokecolor="#000000"/>
            <v:line style="position:absolute" from="3912,5237" to="3913,5270" stroked="true" strokeweight=".24pt" strokecolor="#000000"/>
            <v:line style="position:absolute" from="4128,5237" to="4129,5270" stroked="true" strokeweight=".24pt" strokecolor="#000000"/>
            <v:line style="position:absolute" from="4344,5237" to="4345,5270" stroked="true" strokeweight=".24pt" strokecolor="#000000"/>
            <v:line style="position:absolute" from="4560,5237" to="4561,5270" stroked="true" strokeweight=".24pt" strokecolor="#000000"/>
            <v:line style="position:absolute" from="4775,5237" to="4776,5292" stroked="true" strokeweight=".24pt" strokecolor="#000000"/>
            <v:line style="position:absolute" from="4992,5237" to="4993,5270" stroked="true" strokeweight=".24pt" strokecolor="#000000"/>
            <v:line style="position:absolute" from="5207,5237" to="5208,5270" stroked="true" strokeweight=".24pt" strokecolor="#000000"/>
            <v:line style="position:absolute" from="5423,5237" to="5424,5270" stroked="true" strokeweight=".24pt" strokecolor="#000000"/>
            <v:line style="position:absolute" from="5639,5237" to="5640,5270" stroked="true" strokeweight=".24pt" strokecolor="#000000"/>
            <v:line style="position:absolute" from="5855,5237" to="5856,5292" stroked="true" strokeweight=".24pt" strokecolor="#000000"/>
            <v:line style="position:absolute" from="6071,5237" to="6072,5270" stroked="true" strokeweight=".24pt" strokecolor="#000000"/>
            <v:line style="position:absolute" from="6286,5237" to="6287,5270" stroked="true" strokeweight=".24pt" strokecolor="#000000"/>
            <v:line style="position:absolute" from="6502,5237" to="6503,5270" stroked="true" strokeweight=".24pt" strokecolor="#000000"/>
            <v:line style="position:absolute" from="6718,5237" to="6719,5270" stroked="true" strokeweight=".24pt" strokecolor="#000000"/>
            <v:line style="position:absolute" from="6934,5237" to="6935,5292" stroked="true" strokeweight=".24pt" strokecolor="#000000"/>
            <v:line style="position:absolute" from="2785,5278" to="2786,1266" stroked="true" strokeweight=".24pt" strokecolor="#000000"/>
            <v:line style="position:absolute" from="2741,5237" to="2797,5238" stroked="true" strokeweight=".24pt" strokecolor="#000000"/>
            <v:line style="position:absolute" from="2763,5036" to="2797,5037" stroked="true" strokeweight=".24pt" strokecolor="#000000"/>
            <v:line style="position:absolute" from="2763,4836" to="2797,4837" stroked="true" strokeweight=".24pt" strokecolor="#000000"/>
            <v:line style="position:absolute" from="2763,4635" to="2797,4636" stroked="true" strokeweight=".24pt" strokecolor="#000000"/>
            <v:line style="position:absolute" from="2763,4435" to="2797,4436" stroked="true" strokeweight=".24pt" strokecolor="#000000"/>
            <v:line style="position:absolute" from="2741,4234" to="2797,4235" stroked="true" strokeweight=".24pt" strokecolor="#000000"/>
            <v:line style="position:absolute" from="2763,4034" to="2797,4035" stroked="true" strokeweight=".24pt" strokecolor="#000000"/>
            <v:line style="position:absolute" from="2763,3833" to="2797,3834" stroked="true" strokeweight=".24pt" strokecolor="#000000"/>
            <v:line style="position:absolute" from="2763,3633" to="2797,3634" stroked="true" strokeweight=".24pt" strokecolor="#000000"/>
            <v:line style="position:absolute" from="2763,3432" to="2797,3433" stroked="true" strokeweight=".24pt" strokecolor="#000000"/>
            <v:line style="position:absolute" from="2741,3231" to="2797,3232" stroked="true" strokeweight=".24pt" strokecolor="#000000"/>
            <v:line style="position:absolute" from="2763,3031" to="2797,3032" stroked="true" strokeweight=".24pt" strokecolor="#000000"/>
            <v:line style="position:absolute" from="2763,2830" to="2797,2831" stroked="true" strokeweight=".24pt" strokecolor="#000000"/>
            <v:line style="position:absolute" from="2763,2630" to="2797,2631" stroked="true" strokeweight=".24pt" strokecolor="#000000"/>
            <v:line style="position:absolute" from="2763,2429" to="2797,2430" stroked="true" strokeweight=".24pt" strokecolor="#000000"/>
            <v:line style="position:absolute" from="2741,2229" to="2797,2230" stroked="true" strokeweight=".24pt" strokecolor="#000000"/>
            <v:line style="position:absolute" from="2763,2028" to="2797,2029" stroked="true" strokeweight=".24pt" strokecolor="#000000"/>
            <v:line style="position:absolute" from="2763,1828" to="2797,1829" stroked="true" strokeweight=".24pt" strokecolor="#000000"/>
            <v:line style="position:absolute" from="2763,1627" to="2797,1628" stroked="true" strokeweight=".24pt" strokecolor="#000000"/>
            <v:line style="position:absolute" from="2763,1426" to="2797,1427" stroked="true" strokeweight=".24pt" strokecolor="#000000"/>
            <v:line style="position:absolute" from="2741,1225" to="2797,1226" stroked="true" strokeweight=".24pt" strokecolor="#000000"/>
            <v:shape style="position:absolute;left:2404;top:5165;width:274;height:384" type="#_x0000_t75" stroked="false">
              <v:imagedata r:id="rId214" o:title=""/>
            </v:shape>
            <v:shape style="position:absolute;left:2404;top:4162;width:274;height:384" type="#_x0000_t75" stroked="false">
              <v:imagedata r:id="rId214" o:title=""/>
            </v:shape>
            <v:shape style="position:absolute;left:2404;top:3159;width:274;height:389" type="#_x0000_t75" stroked="false">
              <v:imagedata r:id="rId215" o:title=""/>
            </v:shape>
            <v:shape style="position:absolute;left:2404;top:2155;width:274;height:389" type="#_x0000_t75" stroked="false">
              <v:imagedata r:id="rId215" o:title=""/>
            </v:shape>
            <v:shape style="position:absolute;left:2404;top:1157;width:274;height:384" type="#_x0000_t75" stroked="false">
              <v:imagedata r:id="rId214" o:title=""/>
            </v:shape>
            <v:shape style="position:absolute;left:2130;top:2707;width:178;height:178" type="#_x0000_t75" stroked="false">
              <v:imagedata r:id="rId216" o:title=""/>
            </v:shape>
            <v:line style="position:absolute" from="2785,1225" to="7102,5237" stroked="true" strokeweight=".24pt" strokecolor="#0000ff"/>
            <v:line style="position:absolute" from="2785,2722" to="7102,5093" stroked="true" strokeweight=".24pt" strokecolor="#ff0000"/>
            <v:line style="position:absolute" from="2785,5237" to="7102,5238" stroked="true" strokeweight=".24pt" strokecolor="#000000"/>
            <v:line style="position:absolute" from="3697,5237" to="3698,5248" stroked="true" strokeweight=".24pt" strokecolor="#000000"/>
            <v:line style="position:absolute" from="3481,5237" to="3482,5248" stroked="true" strokeweight=".24pt" strokecolor="#000000"/>
            <v:line style="position:absolute" from="3265,5237" to="3266,5248" stroked="true" strokeweight=".24pt" strokecolor="#000000"/>
            <v:line style="position:absolute" from="3049,5237" to="3050,5248" stroked="true" strokeweight=".24pt" strokecolor="#000000"/>
            <v:line style="position:absolute" from="2833,5237" to="2834,5248" stroked="true" strokeweight=".24pt" strokecolor="#000000"/>
            <v:line style="position:absolute" from="3912,5237" to="3913,5248" stroked="true" strokeweight=".24pt" strokecolor="#000000"/>
            <v:line style="position:absolute" from="4128,5237" to="4129,5248" stroked="true" strokeweight=".24pt" strokecolor="#000000"/>
            <v:line style="position:absolute" from="4344,5237" to="4345,5248" stroked="true" strokeweight=".24pt" strokecolor="#000000"/>
            <v:line style="position:absolute" from="4560,5237" to="4561,5248" stroked="true" strokeweight=".24pt" strokecolor="#000000"/>
            <v:line style="position:absolute" from="4775,5237" to="4776,5248" stroked="true" strokeweight=".24pt" strokecolor="#000000"/>
            <v:line style="position:absolute" from="4992,5237" to="4993,5248" stroked="true" strokeweight=".24pt" strokecolor="#000000"/>
            <v:line style="position:absolute" from="5207,5237" to="5208,5248" stroked="true" strokeweight=".24pt" strokecolor="#000000"/>
            <v:line style="position:absolute" from="5423,5237" to="5424,5248" stroked="true" strokeweight=".24pt" strokecolor="#000000"/>
            <v:line style="position:absolute" from="5639,5237" to="5640,5248" stroked="true" strokeweight=".24pt" strokecolor="#000000"/>
            <v:line style="position:absolute" from="5855,5237" to="5856,5248" stroked="true" strokeweight=".24pt" strokecolor="#000000"/>
            <v:line style="position:absolute" from="6071,5237" to="6072,5248" stroked="true" strokeweight=".24pt" strokecolor="#000000"/>
            <v:line style="position:absolute" from="6286,5237" to="6287,5248" stroked="true" strokeweight=".24pt" strokecolor="#000000"/>
            <v:line style="position:absolute" from="6502,5237" to="6503,5248" stroked="true" strokeweight=".24pt" strokecolor="#000000"/>
            <v:line style="position:absolute" from="6718,5237" to="6719,5248" stroked="true" strokeweight=".24pt" strokecolor="#000000"/>
            <v:line style="position:absolute" from="6934,5237" to="6935,5248" stroked="true" strokeweight=".24pt" strokecolor="#000000"/>
            <v:line style="position:absolute" from="2785,5098" to="2786,1086" stroked="true" strokeweight=".24pt" strokecolor="#000000"/>
            <v:line style="position:absolute" from="2785,5237" to="2797,5238" stroked="true" strokeweight=".24pt" strokecolor="#000000"/>
            <v:line style="position:absolute" from="2785,5036" to="2797,5037" stroked="true" strokeweight=".24pt" strokecolor="#000000"/>
            <v:line style="position:absolute" from="2785,4836" to="2797,4837" stroked="true" strokeweight=".24pt" strokecolor="#000000"/>
            <v:line style="position:absolute" from="2785,4635" to="2797,4636" stroked="true" strokeweight=".24pt" strokecolor="#000000"/>
            <v:line style="position:absolute" from="2785,4435" to="2797,4436" stroked="true" strokeweight=".24pt" strokecolor="#000000"/>
            <v:line style="position:absolute" from="2785,4234" to="2797,4235" stroked="true" strokeweight=".24pt" strokecolor="#000000"/>
            <v:line style="position:absolute" from="2785,4034" to="2797,4035" stroked="true" strokeweight=".24pt" strokecolor="#000000"/>
            <v:line style="position:absolute" from="2785,3833" to="2797,3834" stroked="true" strokeweight=".24pt" strokecolor="#000000"/>
            <v:line style="position:absolute" from="2785,3633" to="2797,3634" stroked="true" strokeweight=".24pt" strokecolor="#000000"/>
            <v:line style="position:absolute" from="2785,3432" to="2797,3433" stroked="true" strokeweight=".24pt" strokecolor="#000000"/>
            <v:line style="position:absolute" from="2785,3231" to="2797,3232" stroked="true" strokeweight=".24pt" strokecolor="#000000"/>
            <v:line style="position:absolute" from="2785,3031" to="2797,3032" stroked="true" strokeweight=".24pt" strokecolor="#000000"/>
            <v:line style="position:absolute" from="2785,2830" to="2797,2831" stroked="true" strokeweight=".24pt" strokecolor="#000000"/>
            <v:line style="position:absolute" from="2785,2630" to="2797,2631" stroked="true" strokeweight=".24pt" strokecolor="#000000"/>
            <v:line style="position:absolute" from="2785,2429" to="2797,2430" stroked="true" strokeweight=".24pt" strokecolor="#000000"/>
            <v:line style="position:absolute" from="2785,2229" to="2797,2230" stroked="true" strokeweight=".24pt" strokecolor="#000000"/>
            <v:line style="position:absolute" from="2785,2028" to="2797,2029" stroked="true" strokeweight=".24pt" strokecolor="#000000"/>
            <v:line style="position:absolute" from="2785,1828" to="2797,1829" stroked="true" strokeweight=".24pt" strokecolor="#000000"/>
            <v:line style="position:absolute" from="2785,1627" to="2797,1628" stroked="true" strokeweight=".24pt" strokecolor="#000000"/>
            <v:line style="position:absolute" from="2785,1426" to="2797,1427" stroked="true" strokeweight=".24pt" strokecolor="#000000"/>
            <v:line style="position:absolute" from="2785,1225" to="2797,1226" stroked="true" strokeweight=".24pt" strokecolor="#000000"/>
            <v:shape style="position:absolute;left:3541;top:5290;width:274;height:355" type="#_x0000_t75" stroked="false">
              <v:imagedata r:id="rId217" o:title=""/>
            </v:shape>
            <v:shape style="position:absolute;left:4621;top:5290;width:274;height:355" type="#_x0000_t75" stroked="false">
              <v:imagedata r:id="rId217" o:title=""/>
            </v:shape>
            <v:shape style="position:absolute;left:5720;top:5290;width:230;height:355" type="#_x0000_t75" stroked="false">
              <v:imagedata r:id="rId218" o:title=""/>
            </v:shape>
            <v:shape style="position:absolute;left:6796;top:5290;width:235;height:355" type="#_x0000_t75" stroked="false">
              <v:imagedata r:id="rId219" o:title=""/>
            </v:shape>
            <v:shape style="position:absolute;left:3234;top:5458;width:3408;height:490" type="#_x0000_t75" stroked="false">
              <v:imagedata r:id="rId220" o:title=""/>
            </v:shape>
            <v:shape style="position:absolute;left:7736;top:1272;width:528;height:206" type="#_x0000_t75" stroked="false">
              <v:imagedata r:id="rId221" o:title=""/>
            </v:shape>
            <v:shape style="position:absolute;left:7736;top:1483;width:682;height:514" type="#_x0000_t75" stroked="false">
              <v:imagedata r:id="rId222" o:title=""/>
            </v:shape>
            <v:rect style="position:absolute;left:1795;top:366;width:7909;height:5719" filled="false" stroked="true" strokeweight=".24pt" strokecolor="#000000"/>
            <v:shape style="position:absolute;left:6487;top:1126;width:2440;height:899" type="#_x0000_t75" stroked="false">
              <v:imagedata r:id="rId223" o:title=""/>
            </v:shape>
            <v:shape style="position:absolute;left:4202;top:1990;width:1698;height:333" type="#_x0000_t75" stroked="false">
              <v:imagedata r:id="rId224" o:title=""/>
            </v:shape>
            <v:shape style="position:absolute;left:3277;top:3707;width:989;height:333" type="#_x0000_t75" stroked="false">
              <v:imagedata r:id="rId225" o:title=""/>
            </v:shape>
            <v:shape style="position:absolute;left:2829;top:5411;width:4523;height:360" type="#_x0000_t75" stroked="false">
              <v:imagedata r:id="rId226" o:title=""/>
            </v:shape>
            <v:shape style="position:absolute;left:1861;top:1981;width:542;height:3204" type="#_x0000_t75" stroked="false">
              <v:imagedata r:id="rId227" o:title=""/>
            </v:shape>
            <w10:wrap type="none"/>
          </v:group>
        </w:pict>
      </w:r>
      <w:r>
        <w:rPr>
          <w:w w:val="105"/>
          <w:sz w:val="19"/>
        </w:rPr>
        <w:t>Gráfica 1. Diferencias por sexo en el efecto de la segregación residencial en el salario por hora</w:t>
      </w:r>
    </w:p>
    <w:p>
      <w:pPr>
        <w:pStyle w:val="BodyText"/>
      </w:pPr>
    </w:p>
    <w:p>
      <w:pPr>
        <w:pStyle w:val="BodyText"/>
      </w:pPr>
    </w:p>
    <w:p>
      <w:pPr>
        <w:pStyle w:val="BodyText"/>
      </w:pPr>
    </w:p>
    <w:p>
      <w:pPr>
        <w:pStyle w:val="BodyText"/>
        <w:spacing w:before="9"/>
        <w:rPr>
          <w:sz w:val="13"/>
        </w:rPr>
      </w:pPr>
      <w:r>
        <w:rPr/>
        <w:pict>
          <v:shape style="position:absolute;margin-left:120.181503pt;margin-top:9.168197pt;width:13.75pt;height:7pt;mso-position-horizontal-relative:page;mso-position-vertical-relative:paragraph;z-index:7336;mso-wrap-distance-left:0;mso-wrap-distance-right:0" type="#_x0000_t202" filled="false" stroked="false">
            <v:textbox inset="0,0,0,0">
              <w:txbxContent>
                <w:p>
                  <w:pPr>
                    <w:spacing w:line="139" w:lineRule="exact" w:before="0"/>
                    <w:ind w:left="0" w:right="-18" w:firstLine="0"/>
                    <w:jc w:val="left"/>
                    <w:rPr>
                      <w:rFonts w:ascii="Arial"/>
                      <w:sz w:val="14"/>
                    </w:rPr>
                  </w:pPr>
                  <w:r>
                    <w:rPr>
                      <w:rFonts w:ascii="Arial"/>
                      <w:sz w:val="14"/>
                    </w:rPr>
                    <w:t>3.68</w:t>
                  </w:r>
                </w:p>
              </w:txbxContent>
            </v:textbox>
            <w10:wrap type="topAndBottom"/>
          </v:shape>
        </w:pict>
      </w:r>
    </w:p>
    <w:p>
      <w:pPr>
        <w:pStyle w:val="BodyText"/>
      </w:pPr>
    </w:p>
    <w:p>
      <w:pPr>
        <w:pStyle w:val="BodyText"/>
      </w:pPr>
    </w:p>
    <w:p>
      <w:pPr>
        <w:pStyle w:val="BodyText"/>
        <w:rPr>
          <w:sz w:val="24"/>
        </w:rPr>
      </w:pPr>
      <w:r>
        <w:rPr/>
        <w:pict>
          <v:shape style="position:absolute;margin-left:120.181503pt;margin-top:19.211952pt;width:13.75pt;height:7pt;mso-position-horizontal-relative:page;mso-position-vertical-relative:paragraph;z-index:7360;mso-wrap-distance-left:0;mso-wrap-distance-right:0" type="#_x0000_t202" filled="false" stroked="false">
            <v:textbox inset="0,0,0,0">
              <w:txbxContent>
                <w:p>
                  <w:pPr>
                    <w:spacing w:line="139" w:lineRule="exact" w:before="0"/>
                    <w:ind w:left="0" w:right="-18" w:firstLine="0"/>
                    <w:jc w:val="left"/>
                    <w:rPr>
                      <w:rFonts w:ascii="Arial"/>
                      <w:sz w:val="14"/>
                    </w:rPr>
                  </w:pPr>
                  <w:r>
                    <w:rPr>
                      <w:rFonts w:ascii="Arial"/>
                      <w:sz w:val="14"/>
                    </w:rPr>
                    <w:t>3.58</w:t>
                  </w:r>
                </w:p>
              </w:txbxContent>
            </v:textbox>
            <w10:wrap type="topAndBottom"/>
          </v:shape>
        </w:pict>
      </w:r>
      <w:r>
        <w:rPr/>
        <w:pict>
          <v:shape style="position:absolute;margin-left:217.3815pt;margin-top:15.013754pt;width:36.75pt;height:9.85pt;mso-position-horizontal-relative:page;mso-position-vertical-relative:paragraph;z-index:7384;mso-wrap-distance-left:0;mso-wrap-distance-right:0" type="#_x0000_t202" filled="false" stroked="false">
            <v:textbox inset="0,0,0,0">
              <w:txbxContent>
                <w:p>
                  <w:pPr>
                    <w:spacing w:line="197" w:lineRule="exact" w:before="0"/>
                    <w:ind w:left="0" w:right="-17" w:firstLine="0"/>
                    <w:jc w:val="left"/>
                    <w:rPr>
                      <w:sz w:val="19"/>
                    </w:rPr>
                  </w:pPr>
                  <w:r>
                    <w:rPr>
                      <w:w w:val="105"/>
                      <w:sz w:val="19"/>
                    </w:rPr>
                    <w:t>Hombres</w:t>
                  </w:r>
                </w:p>
              </w:txbxContent>
            </v:textbox>
            <w10:wrap type="topAndBottom"/>
          </v:shape>
        </w:pict>
      </w:r>
    </w:p>
    <w:p>
      <w:pPr>
        <w:pStyle w:val="BodyText"/>
      </w:pPr>
    </w:p>
    <w:p>
      <w:pPr>
        <w:pStyle w:val="BodyText"/>
      </w:pPr>
    </w:p>
    <w:p>
      <w:pPr>
        <w:pStyle w:val="BodyText"/>
      </w:pPr>
    </w:p>
    <w:p>
      <w:pPr>
        <w:pStyle w:val="BodyText"/>
        <w:spacing w:before="8"/>
        <w:rPr>
          <w:sz w:val="11"/>
        </w:rPr>
      </w:pPr>
      <w:r>
        <w:rPr/>
        <w:pict>
          <v:shape style="position:absolute;margin-left:120.181503pt;margin-top:7.952929pt;width:13.75pt;height:7pt;mso-position-horizontal-relative:page;mso-position-vertical-relative:paragraph;z-index:7408;mso-wrap-distance-left:0;mso-wrap-distance-right:0" type="#_x0000_t202" filled="false" stroked="false">
            <v:textbox inset="0,0,0,0">
              <w:txbxContent>
                <w:p>
                  <w:pPr>
                    <w:spacing w:line="139" w:lineRule="exact" w:before="0"/>
                    <w:ind w:left="0" w:right="-18" w:firstLine="0"/>
                    <w:jc w:val="left"/>
                    <w:rPr>
                      <w:rFonts w:ascii="Arial"/>
                      <w:sz w:val="14"/>
                    </w:rPr>
                  </w:pPr>
                  <w:r>
                    <w:rPr>
                      <w:rFonts w:ascii="Arial"/>
                      <w:sz w:val="14"/>
                    </w:rPr>
                    <w:t>3.47</w:t>
                  </w:r>
                </w:p>
              </w:txbxContent>
            </v:textbox>
            <w10:wrap type="topAndBottom"/>
          </v:shape>
        </w:pict>
      </w:r>
      <w:r>
        <w:rPr/>
        <w:pict>
          <v:shape style="position:absolute;margin-left:171.061493pt;margin-top:39.274731pt;width:32.65pt;height:9.85pt;mso-position-horizontal-relative:page;mso-position-vertical-relative:paragraph;z-index:7432;mso-wrap-distance-left:0;mso-wrap-distance-right:0" type="#_x0000_t202" filled="false" stroked="false">
            <v:textbox inset="0,0,0,0">
              <w:txbxContent>
                <w:p>
                  <w:pPr>
                    <w:spacing w:line="197" w:lineRule="exact" w:before="0"/>
                    <w:ind w:left="0" w:right="0" w:firstLine="0"/>
                    <w:jc w:val="left"/>
                    <w:rPr>
                      <w:sz w:val="19"/>
                    </w:rPr>
                  </w:pPr>
                  <w:r>
                    <w:rPr>
                      <w:sz w:val="19"/>
                    </w:rPr>
                    <w:t>Mujeres</w:t>
                  </w:r>
                </w:p>
              </w:txbxContent>
            </v:textbox>
            <w10:wrap type="topAndBottom"/>
          </v:shape>
        </w:pict>
      </w:r>
    </w:p>
    <w:p>
      <w:pPr>
        <w:pStyle w:val="BodyText"/>
      </w:pPr>
    </w:p>
    <w:p>
      <w:pPr>
        <w:pStyle w:val="BodyText"/>
      </w:pPr>
    </w:p>
    <w:p>
      <w:pPr>
        <w:pStyle w:val="BodyText"/>
      </w:pPr>
    </w:p>
    <w:p>
      <w:pPr>
        <w:pStyle w:val="BodyText"/>
      </w:pPr>
    </w:p>
    <w:p>
      <w:pPr>
        <w:pStyle w:val="BodyText"/>
        <w:spacing w:before="5"/>
        <w:rPr>
          <w:sz w:val="19"/>
        </w:rPr>
      </w:pPr>
      <w:r>
        <w:rPr/>
        <w:pict>
          <v:shape style="position:absolute;margin-left:120.181503pt;margin-top:12.412106pt;width:13.75pt;height:7pt;mso-position-horizontal-relative:page;mso-position-vertical-relative:paragraph;z-index:7456;mso-wrap-distance-left:0;mso-wrap-distance-right:0" type="#_x0000_t202" filled="false" stroked="false">
            <v:textbox inset="0,0,0,0">
              <w:txbxContent>
                <w:p>
                  <w:pPr>
                    <w:spacing w:line="139" w:lineRule="exact" w:before="0"/>
                    <w:ind w:left="0" w:right="-18" w:firstLine="0"/>
                    <w:jc w:val="left"/>
                    <w:rPr>
                      <w:rFonts w:ascii="Arial"/>
                      <w:sz w:val="14"/>
                    </w:rPr>
                  </w:pPr>
                  <w:r>
                    <w:rPr>
                      <w:rFonts w:ascii="Arial"/>
                      <w:sz w:val="14"/>
                    </w:rPr>
                    <w:t>3.26</w:t>
                  </w:r>
                </w:p>
              </w:txbxContent>
            </v:textbox>
            <w10:wrap type="topAndBottom"/>
          </v:shape>
        </w:pict>
      </w:r>
      <w:r>
        <w:rPr/>
        <w:pict>
          <v:shape style="position:absolute;margin-left:177.061493pt;margin-top:18.470007pt;width:13.7pt;height:6pt;mso-position-horizontal-relative:page;mso-position-vertical-relative:paragraph;z-index:7480;mso-wrap-distance-left:0;mso-wrap-distance-right:0" type="#_x0000_t202" filled="false" stroked="false">
            <v:textbox inset="0,0,0,0">
              <w:txbxContent>
                <w:p>
                  <w:pPr>
                    <w:spacing w:line="120" w:lineRule="exact" w:before="0"/>
                    <w:ind w:left="0" w:right="-20" w:firstLine="0"/>
                    <w:jc w:val="left"/>
                    <w:rPr>
                      <w:rFonts w:ascii="Arial"/>
                      <w:sz w:val="12"/>
                    </w:rPr>
                  </w:pPr>
                  <w:r>
                    <w:rPr>
                      <w:rFonts w:ascii="Arial"/>
                      <w:sz w:val="12"/>
                    </w:rPr>
                    <w:t>-0.75</w:t>
                  </w:r>
                </w:p>
              </w:txbxContent>
            </v:textbox>
            <w10:wrap type="topAndBottom"/>
          </v:shape>
        </w:pict>
      </w:r>
      <w:r>
        <w:rPr/>
        <w:pict>
          <v:shape style="position:absolute;margin-left:231.061493pt;margin-top:18.470007pt;width:13.7pt;height:6pt;mso-position-horizontal-relative:page;mso-position-vertical-relative:paragraph;z-index:7504;mso-wrap-distance-left:0;mso-wrap-distance-right:0" type="#_x0000_t202" filled="false" stroked="false">
            <v:textbox inset="0,0,0,0">
              <w:txbxContent>
                <w:p>
                  <w:pPr>
                    <w:spacing w:line="120" w:lineRule="exact" w:before="0"/>
                    <w:ind w:left="0" w:right="-20" w:firstLine="0"/>
                    <w:jc w:val="left"/>
                    <w:rPr>
                      <w:rFonts w:ascii="Arial"/>
                      <w:sz w:val="12"/>
                    </w:rPr>
                  </w:pPr>
                  <w:r>
                    <w:rPr>
                      <w:rFonts w:ascii="Arial"/>
                      <w:sz w:val="12"/>
                    </w:rPr>
                    <w:t>-0.13</w:t>
                  </w:r>
                </w:p>
              </w:txbxContent>
            </v:textbox>
            <w10:wrap type="topAndBottom"/>
          </v:shape>
        </w:pict>
      </w:r>
      <w:r>
        <w:rPr/>
        <w:pict>
          <v:shape style="position:absolute;margin-left:286.021515pt;margin-top:18.470007pt;width:11.8pt;height:6pt;mso-position-horizontal-relative:page;mso-position-vertical-relative:paragraph;z-index:7528;mso-wrap-distance-left:0;mso-wrap-distance-right:0" type="#_x0000_t202" filled="false" stroked="false">
            <v:textbox inset="0,0,0,0">
              <w:txbxContent>
                <w:p>
                  <w:pPr>
                    <w:spacing w:line="120" w:lineRule="exact" w:before="0"/>
                    <w:ind w:left="0" w:right="-18" w:firstLine="0"/>
                    <w:jc w:val="left"/>
                    <w:rPr>
                      <w:rFonts w:ascii="Arial"/>
                      <w:sz w:val="12"/>
                    </w:rPr>
                  </w:pPr>
                  <w:r>
                    <w:rPr>
                      <w:rFonts w:ascii="Arial"/>
                      <w:sz w:val="12"/>
                    </w:rPr>
                    <w:t>0.50</w:t>
                  </w:r>
                </w:p>
              </w:txbxContent>
            </v:textbox>
            <w10:wrap type="topAndBottom"/>
          </v:shape>
        </w:pict>
      </w:r>
      <w:r>
        <w:rPr/>
        <w:pict>
          <v:shape style="position:absolute;margin-left:339.781494pt;margin-top:18.470007pt;width:11.8pt;height:6pt;mso-position-horizontal-relative:page;mso-position-vertical-relative:paragraph;z-index:7552;mso-wrap-distance-left:0;mso-wrap-distance-right:0" type="#_x0000_t202" filled="false" stroked="false">
            <v:textbox inset="0,0,0,0">
              <w:txbxContent>
                <w:p>
                  <w:pPr>
                    <w:spacing w:line="120" w:lineRule="exact" w:before="0"/>
                    <w:ind w:left="0" w:right="-18" w:firstLine="0"/>
                    <w:jc w:val="left"/>
                    <w:rPr>
                      <w:rFonts w:ascii="Arial"/>
                      <w:sz w:val="12"/>
                    </w:rPr>
                  </w:pPr>
                  <w:r>
                    <w:rPr>
                      <w:rFonts w:ascii="Arial"/>
                      <w:sz w:val="12"/>
                    </w:rPr>
                    <w:t>1.12</w:t>
                  </w:r>
                </w:p>
              </w:txbxContent>
            </v:textbox>
            <w10:wrap type="topAndBottom"/>
          </v:shape>
        </w:pict>
      </w:r>
    </w:p>
    <w:p>
      <w:pPr>
        <w:pStyle w:val="BodyText"/>
        <w:spacing w:before="10"/>
        <w:rPr>
          <w:sz w:val="5"/>
        </w:rPr>
      </w:pPr>
    </w:p>
    <w:p>
      <w:pPr>
        <w:pStyle w:val="BodyText"/>
        <w:spacing w:line="196" w:lineRule="exact"/>
        <w:ind w:left="1394"/>
        <w:rPr>
          <w:sz w:val="19"/>
        </w:rPr>
      </w:pPr>
      <w:r>
        <w:rPr>
          <w:position w:val="-3"/>
          <w:sz w:val="19"/>
        </w:rPr>
        <w:pict>
          <v:shape style="width:162.050pt;height:9.85pt;mso-position-horizontal-relative:char;mso-position-vertical-relative:line" type="#_x0000_t202" filled="false" stroked="false">
            <w10:anchorlock/>
            <v:textbox inset="0,0,0,0">
              <w:txbxContent>
                <w:p>
                  <w:pPr>
                    <w:spacing w:line="197" w:lineRule="exact" w:before="0"/>
                    <w:ind w:left="0" w:right="-14" w:firstLine="0"/>
                    <w:jc w:val="left"/>
                    <w:rPr>
                      <w:sz w:val="19"/>
                    </w:rPr>
                  </w:pPr>
                  <w:r>
                    <w:rPr>
                      <w:w w:val="105"/>
                      <w:sz w:val="19"/>
                    </w:rPr>
                    <w:t>Segregación residencial socioeconómica</w:t>
                  </w:r>
                </w:p>
              </w:txbxContent>
            </v:textbox>
          </v:shape>
        </w:pict>
      </w:r>
      <w:r>
        <w:rPr>
          <w:position w:val="-3"/>
          <w:sz w:val="19"/>
        </w:rPr>
      </w:r>
    </w:p>
    <w:p>
      <w:pPr>
        <w:spacing w:after="0" w:line="196" w:lineRule="exact"/>
        <w:rPr>
          <w:sz w:val="19"/>
        </w:rPr>
        <w:sectPr>
          <w:footerReference w:type="default" r:id="rId212"/>
          <w:pgSz w:w="11740" w:h="7770" w:orient="landscape"/>
          <w:pgMar w:footer="0" w:header="0" w:top="0" w:bottom="280" w:left="1580" w:right="1660"/>
        </w:sectPr>
      </w:pPr>
    </w:p>
    <w:p>
      <w:pPr>
        <w:pStyle w:val="Heading5"/>
        <w:spacing w:before="52"/>
        <w:rPr>
          <w:i/>
        </w:rPr>
      </w:pPr>
      <w:r>
        <w:rPr>
          <w:i/>
          <w:w w:val="75"/>
        </w:rPr>
        <w:t>Empleo sin seguridad social</w:t>
      </w:r>
    </w:p>
    <w:p>
      <w:pPr>
        <w:pStyle w:val="BodyText"/>
        <w:spacing w:line="249" w:lineRule="auto" w:before="171"/>
        <w:ind w:left="113" w:right="107"/>
        <w:jc w:val="both"/>
      </w:pPr>
      <w:r>
        <w:rPr>
          <w:color w:val="231F20"/>
        </w:rPr>
        <w:t>El</w:t>
      </w:r>
      <w:r>
        <w:rPr>
          <w:color w:val="231F20"/>
          <w:spacing w:val="-7"/>
        </w:rPr>
        <w:t> </w:t>
      </w:r>
      <w:r>
        <w:rPr>
          <w:color w:val="231F20"/>
        </w:rPr>
        <w:t>empleo</w:t>
      </w:r>
      <w:r>
        <w:rPr>
          <w:color w:val="231F20"/>
          <w:spacing w:val="-7"/>
        </w:rPr>
        <w:t> </w:t>
      </w:r>
      <w:r>
        <w:rPr>
          <w:color w:val="231F20"/>
        </w:rPr>
        <w:t>sin</w:t>
      </w:r>
      <w:r>
        <w:rPr>
          <w:color w:val="231F20"/>
          <w:spacing w:val="-6"/>
        </w:rPr>
        <w:t> </w:t>
      </w:r>
      <w:r>
        <w:rPr>
          <w:color w:val="231F20"/>
        </w:rPr>
        <w:t>seguridad</w:t>
      </w:r>
      <w:r>
        <w:rPr>
          <w:color w:val="231F20"/>
          <w:spacing w:val="-6"/>
        </w:rPr>
        <w:t> </w:t>
      </w:r>
      <w:r>
        <w:rPr>
          <w:color w:val="231F20"/>
        </w:rPr>
        <w:t>social,</w:t>
      </w:r>
      <w:r>
        <w:rPr>
          <w:color w:val="231F20"/>
          <w:spacing w:val="-6"/>
        </w:rPr>
        <w:t> </w:t>
      </w:r>
      <w:r>
        <w:rPr>
          <w:color w:val="231F20"/>
        </w:rPr>
        <w:t>como</w:t>
      </w:r>
      <w:r>
        <w:rPr>
          <w:color w:val="231F20"/>
          <w:spacing w:val="-7"/>
        </w:rPr>
        <w:t> </w:t>
      </w:r>
      <w:r>
        <w:rPr>
          <w:color w:val="231F20"/>
        </w:rPr>
        <w:t>es</w:t>
      </w:r>
      <w:r>
        <w:rPr>
          <w:color w:val="231F20"/>
          <w:spacing w:val="-7"/>
        </w:rPr>
        <w:t> </w:t>
      </w:r>
      <w:r>
        <w:rPr>
          <w:color w:val="231F20"/>
        </w:rPr>
        <w:t>sabido,</w:t>
      </w:r>
      <w:r>
        <w:rPr>
          <w:color w:val="231F20"/>
          <w:spacing w:val="-6"/>
        </w:rPr>
        <w:t> </w:t>
      </w:r>
      <w:r>
        <w:rPr>
          <w:color w:val="231F20"/>
        </w:rPr>
        <w:t>se</w:t>
      </w:r>
      <w:r>
        <w:rPr>
          <w:color w:val="231F20"/>
          <w:spacing w:val="-6"/>
        </w:rPr>
        <w:t> </w:t>
      </w:r>
      <w:r>
        <w:rPr>
          <w:color w:val="231F20"/>
        </w:rPr>
        <w:t>caracteriza</w:t>
      </w:r>
      <w:r>
        <w:rPr>
          <w:color w:val="231F20"/>
          <w:spacing w:val="-7"/>
        </w:rPr>
        <w:t> </w:t>
      </w:r>
      <w:r>
        <w:rPr>
          <w:color w:val="231F20"/>
        </w:rPr>
        <w:t>por</w:t>
      </w:r>
      <w:r>
        <w:rPr>
          <w:color w:val="231F20"/>
          <w:spacing w:val="-6"/>
        </w:rPr>
        <w:t> </w:t>
      </w:r>
      <w:r>
        <w:rPr>
          <w:color w:val="231F20"/>
        </w:rPr>
        <w:t>la</w:t>
      </w:r>
      <w:r>
        <w:rPr>
          <w:color w:val="231F20"/>
          <w:spacing w:val="-7"/>
        </w:rPr>
        <w:t> </w:t>
      </w:r>
      <w:r>
        <w:rPr>
          <w:color w:val="231F20"/>
        </w:rPr>
        <w:t>ma- yor vulnerabilidad de los trabajadores a los riesgos de salud y del enve- jecimiento; además de que los estudios muestran que las trayectorias de estos</w:t>
      </w:r>
      <w:r>
        <w:rPr>
          <w:color w:val="231F20"/>
          <w:spacing w:val="-7"/>
        </w:rPr>
        <w:t> </w:t>
      </w:r>
      <w:r>
        <w:rPr>
          <w:color w:val="231F20"/>
        </w:rPr>
        <w:t>trabajadores</w:t>
      </w:r>
      <w:r>
        <w:rPr>
          <w:color w:val="231F20"/>
          <w:spacing w:val="-7"/>
        </w:rPr>
        <w:t> </w:t>
      </w:r>
      <w:r>
        <w:rPr>
          <w:color w:val="231F20"/>
        </w:rPr>
        <w:t>tienden</w:t>
      </w:r>
      <w:r>
        <w:rPr>
          <w:color w:val="231F20"/>
          <w:spacing w:val="-7"/>
        </w:rPr>
        <w:t> </w:t>
      </w:r>
      <w:r>
        <w:rPr>
          <w:color w:val="231F20"/>
        </w:rPr>
        <w:t>a</w:t>
      </w:r>
      <w:r>
        <w:rPr>
          <w:color w:val="231F20"/>
          <w:spacing w:val="-6"/>
        </w:rPr>
        <w:t> </w:t>
      </w:r>
      <w:r>
        <w:rPr>
          <w:color w:val="231F20"/>
        </w:rPr>
        <w:t>ser</w:t>
      </w:r>
      <w:r>
        <w:rPr>
          <w:color w:val="231F20"/>
          <w:spacing w:val="-6"/>
        </w:rPr>
        <w:t> </w:t>
      </w:r>
      <w:r>
        <w:rPr>
          <w:color w:val="231F20"/>
        </w:rPr>
        <w:t>más</w:t>
      </w:r>
      <w:r>
        <w:rPr>
          <w:color w:val="231F20"/>
          <w:spacing w:val="-6"/>
        </w:rPr>
        <w:t> </w:t>
      </w:r>
      <w:r>
        <w:rPr>
          <w:color w:val="231F20"/>
        </w:rPr>
        <w:t>inestables</w:t>
      </w:r>
      <w:r>
        <w:rPr>
          <w:color w:val="231F20"/>
          <w:spacing w:val="-7"/>
        </w:rPr>
        <w:t> </w:t>
      </w:r>
      <w:r>
        <w:rPr>
          <w:color w:val="231F20"/>
        </w:rPr>
        <w:t>y</w:t>
      </w:r>
      <w:r>
        <w:rPr>
          <w:color w:val="231F20"/>
          <w:spacing w:val="-6"/>
        </w:rPr>
        <w:t> </w:t>
      </w:r>
      <w:r>
        <w:rPr>
          <w:color w:val="231F20"/>
        </w:rPr>
        <w:t>frecuentemente</w:t>
      </w:r>
      <w:r>
        <w:rPr>
          <w:color w:val="231F20"/>
          <w:spacing w:val="-6"/>
        </w:rPr>
        <w:t> </w:t>
      </w:r>
      <w:r>
        <w:rPr>
          <w:color w:val="231F20"/>
        </w:rPr>
        <w:t>también tienen menores niveles salariales (Samaniego, 2001). Para modelar la probabilidad</w:t>
      </w:r>
      <w:r>
        <w:rPr>
          <w:color w:val="231F20"/>
          <w:spacing w:val="-12"/>
        </w:rPr>
        <w:t> </w:t>
      </w:r>
      <w:r>
        <w:rPr>
          <w:color w:val="231F20"/>
        </w:rPr>
        <w:t>de</w:t>
      </w:r>
      <w:r>
        <w:rPr>
          <w:color w:val="231F20"/>
          <w:spacing w:val="-12"/>
        </w:rPr>
        <w:t> </w:t>
      </w:r>
      <w:r>
        <w:rPr>
          <w:color w:val="231F20"/>
        </w:rPr>
        <w:t>estar</w:t>
      </w:r>
      <w:r>
        <w:rPr>
          <w:color w:val="231F20"/>
          <w:spacing w:val="-12"/>
        </w:rPr>
        <w:t> </w:t>
      </w:r>
      <w:r>
        <w:rPr>
          <w:color w:val="231F20"/>
        </w:rPr>
        <w:t>empleado</w:t>
      </w:r>
      <w:r>
        <w:rPr>
          <w:color w:val="231F20"/>
          <w:spacing w:val="-13"/>
        </w:rPr>
        <w:t> </w:t>
      </w:r>
      <w:r>
        <w:rPr>
          <w:color w:val="231F20"/>
        </w:rPr>
        <w:t>sin</w:t>
      </w:r>
      <w:r>
        <w:rPr>
          <w:color w:val="231F20"/>
          <w:spacing w:val="-12"/>
        </w:rPr>
        <w:t> </w:t>
      </w:r>
      <w:r>
        <w:rPr>
          <w:color w:val="231F20"/>
        </w:rPr>
        <w:t>tener</w:t>
      </w:r>
      <w:r>
        <w:rPr>
          <w:color w:val="231F20"/>
          <w:spacing w:val="-12"/>
        </w:rPr>
        <w:t> </w:t>
      </w:r>
      <w:r>
        <w:rPr>
          <w:color w:val="231F20"/>
        </w:rPr>
        <w:t>seguridad</w:t>
      </w:r>
      <w:r>
        <w:rPr>
          <w:color w:val="231F20"/>
          <w:spacing w:val="-12"/>
        </w:rPr>
        <w:t> </w:t>
      </w:r>
      <w:r>
        <w:rPr>
          <w:color w:val="231F20"/>
        </w:rPr>
        <w:t>social</w:t>
      </w:r>
      <w:r>
        <w:rPr>
          <w:color w:val="231F20"/>
          <w:spacing w:val="-12"/>
        </w:rPr>
        <w:t> </w:t>
      </w:r>
      <w:r>
        <w:rPr>
          <w:color w:val="231F20"/>
        </w:rPr>
        <w:t>(seguro</w:t>
      </w:r>
      <w:r>
        <w:rPr>
          <w:color w:val="231F20"/>
          <w:spacing w:val="-12"/>
        </w:rPr>
        <w:t> </w:t>
      </w:r>
      <w:r>
        <w:rPr>
          <w:color w:val="231F20"/>
        </w:rPr>
        <w:t>médico o pensiones), se ajustaron una serie de Modelos Generalizados Lineales de dos niveles, donde la variable dependiente fue una variable</w:t>
      </w:r>
      <w:r>
        <w:rPr>
          <w:color w:val="231F20"/>
          <w:spacing w:val="-13"/>
        </w:rPr>
        <w:t> </w:t>
      </w:r>
      <w:r>
        <w:rPr>
          <w:color w:val="231F20"/>
        </w:rPr>
        <w:t>dicotómi- ca que asumía el valor de uno si el trabajador estaba empleado en tales condiciones y cero si no lo era. Dichas probabilidades fueron entonces modeladas como una función de las características individuales y del ni- vel de segregación residencial socioeconómica del lugar que</w:t>
      </w:r>
      <w:r>
        <w:rPr>
          <w:color w:val="231F20"/>
          <w:spacing w:val="-23"/>
        </w:rPr>
        <w:t> </w:t>
      </w:r>
      <w:r>
        <w:rPr>
          <w:color w:val="231F20"/>
        </w:rPr>
        <w:t>habitaban.</w:t>
      </w:r>
    </w:p>
    <w:p>
      <w:pPr>
        <w:pStyle w:val="BodyText"/>
        <w:spacing w:line="249" w:lineRule="auto" w:before="1"/>
        <w:ind w:left="113" w:right="108" w:firstLine="283"/>
        <w:jc w:val="both"/>
      </w:pPr>
      <w:r>
        <w:rPr>
          <w:color w:val="231F20"/>
        </w:rPr>
        <w:t>Los resultados del modelo incondicional</w:t>
      </w:r>
      <w:r>
        <w:rPr>
          <w:color w:val="231F20"/>
          <w:position w:val="7"/>
          <w:sz w:val="11"/>
        </w:rPr>
        <w:t>8 </w:t>
      </w:r>
      <w:r>
        <w:rPr>
          <w:color w:val="231F20"/>
        </w:rPr>
        <w:t>(Modelo 1 en el Cuadro 3) sugieren</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probabilidad</w:t>
      </w:r>
      <w:r>
        <w:rPr>
          <w:color w:val="231F20"/>
          <w:spacing w:val="-9"/>
        </w:rPr>
        <w:t> </w:t>
      </w:r>
      <w:r>
        <w:rPr>
          <w:color w:val="231F20"/>
        </w:rPr>
        <w:t>de</w:t>
      </w:r>
      <w:r>
        <w:rPr>
          <w:color w:val="231F20"/>
          <w:spacing w:val="-9"/>
        </w:rPr>
        <w:t> </w:t>
      </w:r>
      <w:r>
        <w:rPr>
          <w:color w:val="231F20"/>
        </w:rPr>
        <w:t>estar</w:t>
      </w:r>
      <w:r>
        <w:rPr>
          <w:color w:val="231F20"/>
          <w:spacing w:val="-9"/>
        </w:rPr>
        <w:t> </w:t>
      </w:r>
      <w:r>
        <w:rPr>
          <w:color w:val="231F20"/>
        </w:rPr>
        <w:t>empleado</w:t>
      </w:r>
      <w:r>
        <w:rPr>
          <w:color w:val="231F20"/>
          <w:spacing w:val="-9"/>
        </w:rPr>
        <w:t> </w:t>
      </w:r>
      <w:r>
        <w:rPr>
          <w:color w:val="231F20"/>
        </w:rPr>
        <w:t>sin</w:t>
      </w:r>
      <w:r>
        <w:rPr>
          <w:color w:val="231F20"/>
          <w:spacing w:val="-9"/>
        </w:rPr>
        <w:t> </w:t>
      </w:r>
      <w:r>
        <w:rPr>
          <w:color w:val="231F20"/>
        </w:rPr>
        <w:t>seguridad</w:t>
      </w:r>
      <w:r>
        <w:rPr>
          <w:color w:val="231F20"/>
          <w:spacing w:val="-9"/>
        </w:rPr>
        <w:t> </w:t>
      </w:r>
      <w:r>
        <w:rPr>
          <w:color w:val="231F20"/>
        </w:rPr>
        <w:t>social</w:t>
      </w:r>
      <w:r>
        <w:rPr>
          <w:color w:val="231F20"/>
          <w:spacing w:val="-9"/>
        </w:rPr>
        <w:t> </w:t>
      </w:r>
      <w:r>
        <w:rPr>
          <w:color w:val="231F20"/>
        </w:rPr>
        <w:t>varía significativamente a través de los vecindarios. Por razones de espacio aquí sólo se presentan los resultados del modelo donde se introducen  las características individuales y la variable de la segregación al mismo tiempo.</w:t>
      </w:r>
    </w:p>
    <w:p>
      <w:pPr>
        <w:pStyle w:val="BodyText"/>
        <w:spacing w:line="249" w:lineRule="auto" w:before="1"/>
        <w:ind w:left="113" w:right="107" w:firstLine="283"/>
        <w:jc w:val="both"/>
      </w:pPr>
      <w:r>
        <w:rPr>
          <w:color w:val="231F20"/>
        </w:rPr>
        <w:t>Los resultados del modelo 2 (Cuadro 3) sugieren que la segregación residencial tiene un efecto incremental sobre la probabilidad promedio de estar empleado sin seguridad social: con un incremento en uno de la segregación la razón de momios de tener un trabajo desprotegido se in- crementa</w:t>
      </w:r>
      <w:r>
        <w:rPr>
          <w:color w:val="231F20"/>
          <w:spacing w:val="-9"/>
        </w:rPr>
        <w:t> </w:t>
      </w:r>
      <w:r>
        <w:rPr>
          <w:color w:val="231F20"/>
        </w:rPr>
        <w:t>casi</w:t>
      </w:r>
      <w:r>
        <w:rPr>
          <w:color w:val="231F20"/>
          <w:spacing w:val="-9"/>
        </w:rPr>
        <w:t> </w:t>
      </w:r>
      <w:r>
        <w:rPr>
          <w:color w:val="231F20"/>
        </w:rPr>
        <w:t>1.4</w:t>
      </w:r>
      <w:r>
        <w:rPr>
          <w:color w:val="231F20"/>
          <w:spacing w:val="-8"/>
        </w:rPr>
        <w:t> </w:t>
      </w:r>
      <w:r>
        <w:rPr>
          <w:color w:val="231F20"/>
        </w:rPr>
        <w:t>veces,</w:t>
      </w:r>
      <w:r>
        <w:rPr>
          <w:color w:val="231F20"/>
          <w:spacing w:val="-8"/>
        </w:rPr>
        <w:t> </w:t>
      </w:r>
      <w:r>
        <w:rPr>
          <w:color w:val="231F20"/>
        </w:rPr>
        <w:t>neto</w:t>
      </w:r>
      <w:r>
        <w:rPr>
          <w:color w:val="231F20"/>
          <w:spacing w:val="-8"/>
        </w:rPr>
        <w:t> </w:t>
      </w:r>
      <w:r>
        <w:rPr>
          <w:color w:val="231F20"/>
        </w:rPr>
        <w:t>de</w:t>
      </w:r>
      <w:r>
        <w:rPr>
          <w:color w:val="231F20"/>
          <w:spacing w:val="-8"/>
        </w:rPr>
        <w:t> </w:t>
      </w:r>
      <w:r>
        <w:rPr>
          <w:color w:val="231F20"/>
        </w:rPr>
        <w:t>los</w:t>
      </w:r>
      <w:r>
        <w:rPr>
          <w:color w:val="231F20"/>
          <w:spacing w:val="-9"/>
        </w:rPr>
        <w:t> </w:t>
      </w:r>
      <w:r>
        <w:rPr>
          <w:color w:val="231F20"/>
        </w:rPr>
        <w:t>efectos</w:t>
      </w:r>
      <w:r>
        <w:rPr>
          <w:color w:val="231F20"/>
          <w:spacing w:val="-9"/>
        </w:rPr>
        <w:t> </w:t>
      </w:r>
      <w:r>
        <w:rPr>
          <w:color w:val="231F20"/>
        </w:rPr>
        <w:t>que</w:t>
      </w:r>
      <w:r>
        <w:rPr>
          <w:color w:val="231F20"/>
          <w:spacing w:val="-8"/>
        </w:rPr>
        <w:t> </w:t>
      </w:r>
      <w:r>
        <w:rPr>
          <w:color w:val="231F20"/>
        </w:rPr>
        <w:t>los</w:t>
      </w:r>
      <w:r>
        <w:rPr>
          <w:color w:val="231F20"/>
          <w:spacing w:val="-9"/>
        </w:rPr>
        <w:t> </w:t>
      </w:r>
      <w:r>
        <w:rPr>
          <w:color w:val="231F20"/>
        </w:rPr>
        <w:t>atributos</w:t>
      </w:r>
      <w:r>
        <w:rPr>
          <w:color w:val="231F20"/>
          <w:spacing w:val="-9"/>
        </w:rPr>
        <w:t> </w:t>
      </w:r>
      <w:r>
        <w:rPr>
          <w:color w:val="231F20"/>
        </w:rPr>
        <w:t>individuales tienen sobre dichas</w:t>
      </w:r>
      <w:r>
        <w:rPr>
          <w:color w:val="231F20"/>
          <w:spacing w:val="-5"/>
        </w:rPr>
        <w:t> </w:t>
      </w:r>
      <w:r>
        <w:rPr>
          <w:color w:val="231F20"/>
        </w:rPr>
        <w:t>chances.</w:t>
      </w:r>
    </w:p>
    <w:p>
      <w:pPr>
        <w:pStyle w:val="BodyText"/>
        <w:spacing w:line="249" w:lineRule="auto" w:before="1"/>
        <w:ind w:left="113" w:right="108" w:firstLine="283"/>
        <w:jc w:val="both"/>
      </w:pPr>
      <w:r>
        <w:rPr>
          <w:color w:val="231F20"/>
        </w:rPr>
        <w:t>Los resultados del modelo 2 (Cuadro 3) también muestran que la edad incrementa las probabilidades de estar empleado sin seguridad so- cial y que dicha asociación no es lineal: conforme la gente envejece di- chas chances aumentan exponencialmente. Este hallazgo coincide con  lo encontrado en trabajos previos que sugieren que las probabilidades del trabajo informal se incrementan notoriamente después de los años cuarenta (Zenteno, 2001). Por otro lado, también como se esperaba, los incrementos en escolaridad reducen las probabilidades de tener un em- pleo</w:t>
      </w:r>
      <w:r>
        <w:rPr>
          <w:color w:val="231F20"/>
          <w:spacing w:val="-8"/>
        </w:rPr>
        <w:t> </w:t>
      </w:r>
      <w:r>
        <w:rPr>
          <w:color w:val="231F20"/>
        </w:rPr>
        <w:t>sin</w:t>
      </w:r>
      <w:r>
        <w:rPr>
          <w:color w:val="231F20"/>
          <w:spacing w:val="-8"/>
        </w:rPr>
        <w:t> </w:t>
      </w:r>
      <w:r>
        <w:rPr>
          <w:color w:val="231F20"/>
        </w:rPr>
        <w:t>seguridad</w:t>
      </w:r>
      <w:r>
        <w:rPr>
          <w:color w:val="231F20"/>
          <w:spacing w:val="-8"/>
        </w:rPr>
        <w:t> </w:t>
      </w:r>
      <w:r>
        <w:rPr>
          <w:color w:val="231F20"/>
        </w:rPr>
        <w:t>social</w:t>
      </w:r>
      <w:r>
        <w:rPr>
          <w:color w:val="231F20"/>
          <w:spacing w:val="-8"/>
        </w:rPr>
        <w:t> </w:t>
      </w:r>
      <w:r>
        <w:rPr>
          <w:color w:val="231F20"/>
        </w:rPr>
        <w:t>en</w:t>
      </w:r>
      <w:r>
        <w:rPr>
          <w:color w:val="231F20"/>
          <w:spacing w:val="-9"/>
        </w:rPr>
        <w:t> </w:t>
      </w:r>
      <w:r>
        <w:rPr>
          <w:color w:val="231F20"/>
        </w:rPr>
        <w:t>ocho</w:t>
      </w:r>
      <w:r>
        <w:rPr>
          <w:color w:val="231F20"/>
          <w:spacing w:val="-8"/>
        </w:rPr>
        <w:t> </w:t>
      </w:r>
      <w:r>
        <w:rPr>
          <w:color w:val="231F20"/>
        </w:rPr>
        <w:t>por</w:t>
      </w:r>
      <w:r>
        <w:rPr>
          <w:color w:val="231F20"/>
          <w:spacing w:val="-8"/>
        </w:rPr>
        <w:t> </w:t>
      </w:r>
      <w:r>
        <w:rPr>
          <w:color w:val="231F20"/>
        </w:rPr>
        <w:t>ciento</w:t>
      </w:r>
      <w:r>
        <w:rPr>
          <w:color w:val="231F20"/>
          <w:spacing w:val="-9"/>
        </w:rPr>
        <w:t> </w:t>
      </w:r>
      <w:r>
        <w:rPr>
          <w:color w:val="231F20"/>
        </w:rPr>
        <w:t>veces</w:t>
      </w:r>
      <w:r>
        <w:rPr>
          <w:color w:val="231F20"/>
          <w:spacing w:val="-8"/>
        </w:rPr>
        <w:t> </w:t>
      </w:r>
      <w:r>
        <w:rPr>
          <w:color w:val="231F20"/>
        </w:rPr>
        <w:t>por</w:t>
      </w:r>
      <w:r>
        <w:rPr>
          <w:color w:val="231F20"/>
          <w:spacing w:val="-8"/>
        </w:rPr>
        <w:t> </w:t>
      </w:r>
      <w:r>
        <w:rPr>
          <w:color w:val="231F20"/>
        </w:rPr>
        <w:t>cada</w:t>
      </w:r>
      <w:r>
        <w:rPr>
          <w:color w:val="231F20"/>
          <w:spacing w:val="-9"/>
        </w:rPr>
        <w:t> </w:t>
      </w:r>
      <w:r>
        <w:rPr>
          <w:color w:val="231F20"/>
        </w:rPr>
        <w:t>año</w:t>
      </w:r>
      <w:r>
        <w:rPr>
          <w:color w:val="231F20"/>
          <w:spacing w:val="-9"/>
        </w:rPr>
        <w:t> </w:t>
      </w:r>
      <w:r>
        <w:rPr>
          <w:color w:val="231F20"/>
        </w:rPr>
        <w:t>adicional de educación.</w:t>
      </w:r>
    </w:p>
    <w:p>
      <w:pPr>
        <w:pStyle w:val="BodyText"/>
        <w:spacing w:line="249" w:lineRule="auto" w:before="1"/>
        <w:ind w:left="113" w:right="108" w:firstLine="283"/>
        <w:jc w:val="both"/>
      </w:pPr>
      <w:r>
        <w:rPr>
          <w:color w:val="231F20"/>
        </w:rPr>
        <w:t>Ambas variables que caracterizan al hogar tienen efectos positivos, pero mínimos y no son estadísticamente significativos. En contraste  los</w:t>
      </w:r>
    </w:p>
    <w:p>
      <w:pPr>
        <w:pStyle w:val="BodyText"/>
        <w:spacing w:before="6"/>
        <w:rPr>
          <w:sz w:val="27"/>
        </w:rPr>
      </w:pPr>
    </w:p>
    <w:p>
      <w:pPr>
        <w:spacing w:before="0"/>
        <w:ind w:left="113" w:right="108" w:firstLine="0"/>
        <w:jc w:val="both"/>
        <w:rPr>
          <w:sz w:val="14"/>
        </w:rPr>
      </w:pPr>
      <w:r>
        <w:rPr>
          <w:color w:val="231F20"/>
          <w:position w:val="5"/>
          <w:sz w:val="8"/>
        </w:rPr>
        <w:t>8 </w:t>
      </w:r>
      <w:r>
        <w:rPr>
          <w:color w:val="231F20"/>
          <w:sz w:val="14"/>
        </w:rPr>
        <w:t>Los modelos fueron estimados con 213,474 individuos anidados dentro de 782 Ageb, las cuales tuvie- ron un tamaño promedio de 273 trabajadores por Ageb.</w:t>
      </w:r>
    </w:p>
    <w:p>
      <w:pPr>
        <w:spacing w:after="0"/>
        <w:jc w:val="both"/>
        <w:rPr>
          <w:sz w:val="14"/>
        </w:rPr>
        <w:sectPr>
          <w:footerReference w:type="default" r:id="rId228"/>
          <w:pgSz w:w="7770" w:h="11740"/>
          <w:pgMar w:footer="474" w:header="0" w:top="840" w:bottom="660" w:left="1020" w:right="740"/>
          <w:pgNumType w:start="175"/>
        </w:sectPr>
      </w:pPr>
    </w:p>
    <w:p>
      <w:pPr>
        <w:pStyle w:val="BodyText"/>
        <w:spacing w:line="249" w:lineRule="auto" w:before="60"/>
        <w:ind w:left="110" w:right="111"/>
        <w:jc w:val="both"/>
      </w:pPr>
      <w:r>
        <w:rPr>
          <w:color w:val="231F20"/>
        </w:rPr>
        <w:t>resultados sugieren que el estatus marital (estar casado o en unión li- bre) está asociado con tener menores probabilidades de tener un empleo desprotegido, mientras que tener una ocupación manual incrementa 2.2 veces</w:t>
      </w:r>
      <w:r>
        <w:rPr>
          <w:color w:val="231F20"/>
          <w:spacing w:val="-5"/>
        </w:rPr>
        <w:t> </w:t>
      </w:r>
      <w:r>
        <w:rPr>
          <w:color w:val="231F20"/>
        </w:rPr>
        <w:t>estas</w:t>
      </w:r>
      <w:r>
        <w:rPr>
          <w:color w:val="231F20"/>
          <w:spacing w:val="-5"/>
        </w:rPr>
        <w:t> </w:t>
      </w:r>
      <w:r>
        <w:rPr>
          <w:color w:val="231F20"/>
        </w:rPr>
        <w:t>chances</w:t>
      </w:r>
      <w:r>
        <w:rPr>
          <w:color w:val="231F20"/>
          <w:spacing w:val="-5"/>
        </w:rPr>
        <w:t> </w:t>
      </w:r>
      <w:r>
        <w:rPr>
          <w:color w:val="231F20"/>
        </w:rPr>
        <w:t>en</w:t>
      </w:r>
      <w:r>
        <w:rPr>
          <w:color w:val="231F20"/>
          <w:spacing w:val="-5"/>
        </w:rPr>
        <w:t> </w:t>
      </w:r>
      <w:r>
        <w:rPr>
          <w:color w:val="231F20"/>
        </w:rPr>
        <w:t>comparación</w:t>
      </w:r>
      <w:r>
        <w:rPr>
          <w:color w:val="231F20"/>
          <w:spacing w:val="-5"/>
        </w:rPr>
        <w:t> </w:t>
      </w:r>
      <w:r>
        <w:rPr>
          <w:color w:val="231F20"/>
        </w:rPr>
        <w:t>con</w:t>
      </w:r>
      <w:r>
        <w:rPr>
          <w:color w:val="231F20"/>
          <w:spacing w:val="-5"/>
        </w:rPr>
        <w:t> </w:t>
      </w:r>
      <w:r>
        <w:rPr>
          <w:color w:val="231F20"/>
        </w:rPr>
        <w:t>un</w:t>
      </w:r>
      <w:r>
        <w:rPr>
          <w:color w:val="231F20"/>
          <w:spacing w:val="-5"/>
        </w:rPr>
        <w:t> </w:t>
      </w:r>
      <w:r>
        <w:rPr>
          <w:color w:val="231F20"/>
        </w:rPr>
        <w:t>trabajador</w:t>
      </w:r>
      <w:r>
        <w:rPr>
          <w:color w:val="231F20"/>
          <w:spacing w:val="-6"/>
        </w:rPr>
        <w:t> </w:t>
      </w:r>
      <w:r>
        <w:rPr>
          <w:color w:val="231F20"/>
        </w:rPr>
        <w:t>no</w:t>
      </w:r>
      <w:r>
        <w:rPr>
          <w:color w:val="231F20"/>
          <w:spacing w:val="-5"/>
        </w:rPr>
        <w:t> </w:t>
      </w:r>
      <w:r>
        <w:rPr>
          <w:color w:val="231F20"/>
        </w:rPr>
        <w:t>manual.</w:t>
      </w:r>
      <w:r>
        <w:rPr>
          <w:color w:val="231F20"/>
          <w:spacing w:val="-5"/>
        </w:rPr>
        <w:t> </w:t>
      </w:r>
      <w:r>
        <w:rPr>
          <w:color w:val="231F20"/>
        </w:rPr>
        <w:t>La</w:t>
      </w:r>
      <w:r>
        <w:rPr>
          <w:color w:val="231F20"/>
          <w:spacing w:val="-5"/>
        </w:rPr>
        <w:t> </w:t>
      </w:r>
      <w:r>
        <w:rPr>
          <w:color w:val="231F20"/>
        </w:rPr>
        <w:t>se- rie de variables dicotómicas que dan cuenta de la industria muestran</w:t>
      </w:r>
      <w:r>
        <w:rPr>
          <w:color w:val="231F20"/>
          <w:spacing w:val="-14"/>
        </w:rPr>
        <w:t> </w:t>
      </w:r>
      <w:r>
        <w:rPr>
          <w:color w:val="231F20"/>
        </w:rPr>
        <w:t>que aquellos trabajadores que laboran en la manufactura o en la provisión</w:t>
      </w:r>
      <w:r>
        <w:rPr>
          <w:color w:val="231F20"/>
          <w:spacing w:val="-16"/>
        </w:rPr>
        <w:t> </w:t>
      </w:r>
      <w:r>
        <w:rPr>
          <w:color w:val="231F20"/>
        </w:rPr>
        <w:t>de servicios sociales tienen menores probabilidades de tener un empleo sin seguridad</w:t>
      </w:r>
      <w:r>
        <w:rPr>
          <w:color w:val="231F20"/>
          <w:spacing w:val="-8"/>
        </w:rPr>
        <w:t> </w:t>
      </w:r>
      <w:r>
        <w:rPr>
          <w:color w:val="231F20"/>
        </w:rPr>
        <w:t>social</w:t>
      </w:r>
      <w:r>
        <w:rPr>
          <w:color w:val="231F20"/>
          <w:spacing w:val="-8"/>
        </w:rPr>
        <w:t> </w:t>
      </w:r>
      <w:r>
        <w:rPr>
          <w:color w:val="231F20"/>
        </w:rPr>
        <w:t>en</w:t>
      </w:r>
      <w:r>
        <w:rPr>
          <w:color w:val="231F20"/>
          <w:spacing w:val="-9"/>
        </w:rPr>
        <w:t> </w:t>
      </w:r>
      <w:r>
        <w:rPr>
          <w:color w:val="231F20"/>
        </w:rPr>
        <w:t>referencia</w:t>
      </w:r>
      <w:r>
        <w:rPr>
          <w:color w:val="231F20"/>
          <w:spacing w:val="-8"/>
        </w:rPr>
        <w:t> </w:t>
      </w:r>
      <w:r>
        <w:rPr>
          <w:color w:val="231F20"/>
        </w:rPr>
        <w:t>a</w:t>
      </w:r>
      <w:r>
        <w:rPr>
          <w:color w:val="231F20"/>
          <w:spacing w:val="-8"/>
        </w:rPr>
        <w:t> </w:t>
      </w:r>
      <w:r>
        <w:rPr>
          <w:color w:val="231F20"/>
        </w:rPr>
        <w:t>los</w:t>
      </w:r>
      <w:r>
        <w:rPr>
          <w:color w:val="231F20"/>
          <w:spacing w:val="-9"/>
        </w:rPr>
        <w:t> </w:t>
      </w:r>
      <w:r>
        <w:rPr>
          <w:color w:val="231F20"/>
        </w:rPr>
        <w:t>ocupados</w:t>
      </w:r>
      <w:r>
        <w:rPr>
          <w:color w:val="231F20"/>
          <w:spacing w:val="-8"/>
        </w:rPr>
        <w:t> </w:t>
      </w:r>
      <w:r>
        <w:rPr>
          <w:color w:val="231F20"/>
        </w:rPr>
        <w:t>en</w:t>
      </w:r>
      <w:r>
        <w:rPr>
          <w:color w:val="231F20"/>
          <w:spacing w:val="-9"/>
        </w:rPr>
        <w:t> </w:t>
      </w:r>
      <w:r>
        <w:rPr>
          <w:color w:val="231F20"/>
        </w:rPr>
        <w:t>la</w:t>
      </w:r>
      <w:r>
        <w:rPr>
          <w:color w:val="231F20"/>
          <w:spacing w:val="-8"/>
        </w:rPr>
        <w:t> </w:t>
      </w:r>
      <w:r>
        <w:rPr>
          <w:color w:val="231F20"/>
        </w:rPr>
        <w:t>agricultura</w:t>
      </w:r>
      <w:r>
        <w:rPr>
          <w:color w:val="231F20"/>
          <w:spacing w:val="-9"/>
        </w:rPr>
        <w:t> </w:t>
      </w:r>
      <w:r>
        <w:rPr>
          <w:color w:val="231F20"/>
        </w:rPr>
        <w:t>e</w:t>
      </w:r>
      <w:r>
        <w:rPr>
          <w:color w:val="231F20"/>
          <w:spacing w:val="-8"/>
        </w:rPr>
        <w:t> </w:t>
      </w:r>
      <w:r>
        <w:rPr>
          <w:color w:val="231F20"/>
        </w:rPr>
        <w:t>industria extractiva; mientras que el resto de las industrias tienen a incrementar esa posibilidad. Particularmente destacan el tamaño del incremento que supone las industrias de la construcción y de los servicios</w:t>
      </w:r>
      <w:r>
        <w:rPr>
          <w:color w:val="231F20"/>
          <w:spacing w:val="-17"/>
        </w:rPr>
        <w:t> </w:t>
      </w:r>
      <w:r>
        <w:rPr>
          <w:color w:val="231F20"/>
        </w:rPr>
        <w:t>personales.</w:t>
      </w:r>
    </w:p>
    <w:p>
      <w:pPr>
        <w:pStyle w:val="BodyText"/>
        <w:spacing w:line="249" w:lineRule="auto" w:before="1"/>
        <w:ind w:left="110" w:right="111" w:firstLine="283"/>
        <w:jc w:val="both"/>
      </w:pPr>
      <w:r>
        <w:rPr>
          <w:color w:val="231F20"/>
        </w:rPr>
        <w:t>Asimismo, ser mujer decrece la razón de momios de trabajar sin se- guridad</w:t>
      </w:r>
      <w:r>
        <w:rPr>
          <w:color w:val="231F20"/>
          <w:spacing w:val="-10"/>
        </w:rPr>
        <w:t> </w:t>
      </w:r>
      <w:r>
        <w:rPr>
          <w:color w:val="231F20"/>
        </w:rPr>
        <w:t>social,</w:t>
      </w:r>
      <w:r>
        <w:rPr>
          <w:color w:val="231F20"/>
          <w:spacing w:val="-10"/>
        </w:rPr>
        <w:t> </w:t>
      </w:r>
      <w:r>
        <w:rPr>
          <w:color w:val="231F20"/>
        </w:rPr>
        <w:t>pero</w:t>
      </w:r>
      <w:r>
        <w:rPr>
          <w:color w:val="231F20"/>
          <w:spacing w:val="-10"/>
        </w:rPr>
        <w:t> </w:t>
      </w:r>
      <w:r>
        <w:rPr>
          <w:color w:val="231F20"/>
        </w:rPr>
        <w:t>este</w:t>
      </w:r>
      <w:r>
        <w:rPr>
          <w:color w:val="231F20"/>
          <w:spacing w:val="-10"/>
        </w:rPr>
        <w:t> </w:t>
      </w:r>
      <w:r>
        <w:rPr>
          <w:color w:val="231F20"/>
        </w:rPr>
        <w:t>efecto</w:t>
      </w:r>
      <w:r>
        <w:rPr>
          <w:color w:val="231F20"/>
          <w:spacing w:val="-10"/>
        </w:rPr>
        <w:t> </w:t>
      </w:r>
      <w:r>
        <w:rPr>
          <w:color w:val="231F20"/>
        </w:rPr>
        <w:t>varía</w:t>
      </w:r>
      <w:r>
        <w:rPr>
          <w:color w:val="231F20"/>
          <w:spacing w:val="-10"/>
        </w:rPr>
        <w:t> </w:t>
      </w:r>
      <w:r>
        <w:rPr>
          <w:color w:val="231F20"/>
        </w:rPr>
        <w:t>significativamente</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del</w:t>
      </w:r>
      <w:r>
        <w:rPr>
          <w:color w:val="231F20"/>
          <w:spacing w:val="-10"/>
        </w:rPr>
        <w:t> </w:t>
      </w:r>
      <w:r>
        <w:rPr>
          <w:color w:val="231F20"/>
        </w:rPr>
        <w:t>lugar de residencia. El modelo 3 (Cuadro 3) introduce la segregación residen- cial como predictor de dicha variabilidad, lo que permite examinar la hipótesis de que la concentración espacial de la pobreza tiene un efecto diferenciado entre hombres y mujeres. Los resultados confirman que la segregación tiene un efecto sobre las probabilidades de estar empleado sin</w:t>
      </w:r>
      <w:r>
        <w:rPr>
          <w:color w:val="231F20"/>
          <w:spacing w:val="-4"/>
        </w:rPr>
        <w:t> </w:t>
      </w:r>
      <w:r>
        <w:rPr>
          <w:color w:val="231F20"/>
        </w:rPr>
        <w:t>seguridad</w:t>
      </w:r>
      <w:r>
        <w:rPr>
          <w:color w:val="231F20"/>
          <w:spacing w:val="-4"/>
        </w:rPr>
        <w:t> </w:t>
      </w:r>
      <w:r>
        <w:rPr>
          <w:color w:val="231F20"/>
        </w:rPr>
        <w:t>social</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existe</w:t>
      </w:r>
      <w:r>
        <w:rPr>
          <w:color w:val="231F20"/>
          <w:spacing w:val="-4"/>
        </w:rPr>
        <w:t> </w:t>
      </w:r>
      <w:r>
        <w:rPr>
          <w:color w:val="231F20"/>
        </w:rPr>
        <w:t>una</w:t>
      </w:r>
      <w:r>
        <w:rPr>
          <w:color w:val="231F20"/>
          <w:spacing w:val="-4"/>
        </w:rPr>
        <w:t> </w:t>
      </w:r>
      <w:r>
        <w:rPr>
          <w:color w:val="231F20"/>
        </w:rPr>
        <w:t>pequeña,</w:t>
      </w:r>
      <w:r>
        <w:rPr>
          <w:color w:val="231F20"/>
          <w:spacing w:val="-4"/>
        </w:rPr>
        <w:t> </w:t>
      </w:r>
      <w:r>
        <w:rPr>
          <w:color w:val="231F20"/>
        </w:rPr>
        <w:t>pero</w:t>
      </w:r>
      <w:r>
        <w:rPr>
          <w:color w:val="231F20"/>
          <w:spacing w:val="-4"/>
        </w:rPr>
        <w:t> </w:t>
      </w:r>
      <w:r>
        <w:rPr>
          <w:color w:val="231F20"/>
        </w:rPr>
        <w:t>significativa</w:t>
      </w:r>
      <w:r>
        <w:rPr>
          <w:color w:val="231F20"/>
          <w:spacing w:val="-4"/>
        </w:rPr>
        <w:t> </w:t>
      </w:r>
      <w:r>
        <w:rPr>
          <w:color w:val="231F20"/>
        </w:rPr>
        <w:t>diferen- cia entre los géneros (1.06 veces). De hecho, el efecto principal del sexo no</w:t>
      </w:r>
      <w:r>
        <w:rPr>
          <w:color w:val="231F20"/>
          <w:spacing w:val="-4"/>
        </w:rPr>
        <w:t> </w:t>
      </w:r>
      <w:r>
        <w:rPr>
          <w:color w:val="231F20"/>
        </w:rPr>
        <w:t>es</w:t>
      </w:r>
      <w:r>
        <w:rPr>
          <w:color w:val="231F20"/>
          <w:spacing w:val="-4"/>
        </w:rPr>
        <w:t> </w:t>
      </w:r>
      <w:r>
        <w:rPr>
          <w:color w:val="231F20"/>
        </w:rPr>
        <w:t>significativo</w:t>
      </w:r>
      <w:r>
        <w:rPr>
          <w:color w:val="231F20"/>
          <w:spacing w:val="-4"/>
        </w:rPr>
        <w:t> </w:t>
      </w:r>
      <w:r>
        <w:rPr>
          <w:color w:val="231F20"/>
        </w:rPr>
        <w:t>pero</w:t>
      </w:r>
      <w:r>
        <w:rPr>
          <w:color w:val="231F20"/>
          <w:spacing w:val="-4"/>
        </w:rPr>
        <w:t> </w:t>
      </w:r>
      <w:r>
        <w:rPr>
          <w:color w:val="231F20"/>
        </w:rPr>
        <w:t>la</w:t>
      </w:r>
      <w:r>
        <w:rPr>
          <w:color w:val="231F20"/>
          <w:spacing w:val="-4"/>
        </w:rPr>
        <w:t> </w:t>
      </w:r>
      <w:r>
        <w:rPr>
          <w:color w:val="231F20"/>
        </w:rPr>
        <w:t>interacción</w:t>
      </w:r>
      <w:r>
        <w:rPr>
          <w:color w:val="231F20"/>
          <w:spacing w:val="-4"/>
        </w:rPr>
        <w:t> </w:t>
      </w:r>
      <w:r>
        <w:rPr>
          <w:color w:val="231F20"/>
        </w:rPr>
        <w:t>transnivel</w:t>
      </w:r>
      <w:r>
        <w:rPr>
          <w:color w:val="231F20"/>
          <w:spacing w:val="-4"/>
        </w:rPr>
        <w:t> </w:t>
      </w:r>
      <w:r>
        <w:rPr>
          <w:color w:val="231F20"/>
        </w:rPr>
        <w:t>lo</w:t>
      </w:r>
      <w:r>
        <w:rPr>
          <w:color w:val="231F20"/>
          <w:spacing w:val="-4"/>
        </w:rPr>
        <w:t> </w:t>
      </w:r>
      <w:r>
        <w:rPr>
          <w:color w:val="231F20"/>
        </w:rPr>
        <w:t>es,</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sugiere</w:t>
      </w:r>
      <w:r>
        <w:rPr>
          <w:color w:val="231F20"/>
          <w:spacing w:val="-4"/>
        </w:rPr>
        <w:t> </w:t>
      </w:r>
      <w:r>
        <w:rPr>
          <w:color w:val="231F20"/>
        </w:rPr>
        <w:t>que el impacto del género sobre el empleo opera a través de la composición socioeconómica del lugar. Así, aunque en promedio las mujeres tienen probabilidades ligeramente menores de trabajar sin seguridad social, sus chances aumentan con la segregación</w:t>
      </w:r>
      <w:r>
        <w:rPr>
          <w:color w:val="231F20"/>
          <w:spacing w:val="-13"/>
        </w:rPr>
        <w:t> </w:t>
      </w:r>
      <w:r>
        <w:rPr>
          <w:color w:val="231F20"/>
        </w:rPr>
        <w:t>residencial.</w:t>
      </w:r>
    </w:p>
    <w:p>
      <w:pPr>
        <w:pStyle w:val="BodyText"/>
        <w:spacing w:line="249" w:lineRule="auto" w:before="1"/>
        <w:ind w:left="110" w:right="111" w:firstLine="283"/>
        <w:jc w:val="both"/>
        <w:rPr>
          <w:sz w:val="11"/>
        </w:rPr>
      </w:pPr>
      <w:r>
        <w:rPr>
          <w:color w:val="231F20"/>
        </w:rPr>
        <w:t>Como en el caso de los ingresos por hora, también se exploró la po- sibilidad de que los resultados se debieran a un efecto de selectividad en la participación laboral de las mujeres. Siguiendo el procedimiento de estimación anteriormente descrito, se encontró que el efecto de la seg- regación residencial sobre el empleo sin seguridad social se mantiene y que para las mujeres aumenta las probabilidades de tener estos trabajos, controlando por una serie de atributos individuales que influyen tanto</w:t>
      </w:r>
      <w:r>
        <w:rPr>
          <w:color w:val="231F20"/>
          <w:spacing w:val="-21"/>
        </w:rPr>
        <w:t> </w:t>
      </w:r>
      <w:r>
        <w:rPr>
          <w:color w:val="231F20"/>
        </w:rPr>
        <w:t>en su inserción laboral como en el tipo de empleo que</w:t>
      </w:r>
      <w:r>
        <w:rPr>
          <w:color w:val="231F20"/>
          <w:spacing w:val="-5"/>
        </w:rPr>
        <w:t> </w:t>
      </w:r>
      <w:r>
        <w:rPr>
          <w:color w:val="231F20"/>
        </w:rPr>
        <w:t>obtienen.</w:t>
      </w:r>
      <w:r>
        <w:rPr>
          <w:color w:val="231F20"/>
          <w:position w:val="7"/>
          <w:sz w:val="11"/>
        </w:rPr>
        <w:t>9</w:t>
      </w: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2"/>
        </w:rPr>
      </w:pPr>
    </w:p>
    <w:p>
      <w:pPr>
        <w:spacing w:before="0"/>
        <w:ind w:left="110" w:right="0" w:firstLine="0"/>
        <w:jc w:val="both"/>
        <w:rPr>
          <w:sz w:val="14"/>
        </w:rPr>
      </w:pPr>
      <w:r>
        <w:rPr>
          <w:color w:val="231F20"/>
          <w:position w:val="5"/>
          <w:sz w:val="8"/>
        </w:rPr>
        <w:t>9  </w:t>
      </w:r>
      <w:r>
        <w:rPr>
          <w:color w:val="231F20"/>
          <w:sz w:val="14"/>
        </w:rPr>
        <w:t>Resultados también disponibles con la autora.</w:t>
      </w:r>
    </w:p>
    <w:p>
      <w:pPr>
        <w:spacing w:after="0"/>
        <w:jc w:val="both"/>
        <w:rPr>
          <w:sz w:val="14"/>
        </w:rPr>
        <w:sectPr>
          <w:pgSz w:w="7770" w:h="11740"/>
          <w:pgMar w:header="0" w:footer="474" w:top="840" w:bottom="740" w:left="740" w:right="1020"/>
        </w:sectPr>
      </w:pPr>
    </w:p>
    <w:p>
      <w:pPr>
        <w:spacing w:before="61"/>
        <w:ind w:left="154" w:right="242" w:firstLine="0"/>
        <w:jc w:val="left"/>
        <w:rPr>
          <w:sz w:val="17"/>
        </w:rPr>
      </w:pPr>
      <w:r>
        <w:rPr>
          <w:sz w:val="17"/>
        </w:rPr>
        <w:t>Cuadro 3. Modelo multinivel de empleo sin protección social</w:t>
      </w:r>
    </w:p>
    <w:p>
      <w:pPr>
        <w:pStyle w:val="BodyText"/>
        <w:spacing w:before="4"/>
        <w:rPr>
          <w:sz w:val="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3"/>
        <w:gridCol w:w="1258"/>
        <w:gridCol w:w="1218"/>
        <w:gridCol w:w="1094"/>
      </w:tblGrid>
      <w:tr>
        <w:trPr>
          <w:trHeight w:val="422" w:hRule="exact"/>
        </w:trPr>
        <w:tc>
          <w:tcPr>
            <w:tcW w:w="2383" w:type="dxa"/>
            <w:tcBorders>
              <w:left w:val="nil"/>
              <w:right w:val="nil"/>
            </w:tcBorders>
          </w:tcPr>
          <w:p>
            <w:pPr/>
          </w:p>
        </w:tc>
        <w:tc>
          <w:tcPr>
            <w:tcW w:w="1258" w:type="dxa"/>
            <w:tcBorders>
              <w:left w:val="nil"/>
              <w:right w:val="nil"/>
            </w:tcBorders>
          </w:tcPr>
          <w:p>
            <w:pPr>
              <w:pStyle w:val="TableParagraph"/>
              <w:spacing w:line="254" w:lineRule="auto" w:before="9"/>
              <w:ind w:left="219" w:right="167" w:firstLine="195"/>
              <w:jc w:val="left"/>
              <w:rPr>
                <w:sz w:val="17"/>
              </w:rPr>
            </w:pPr>
            <w:r>
              <w:rPr>
                <w:sz w:val="17"/>
              </w:rPr>
              <w:t>Modelo 1 Coeficientes</w:t>
            </w:r>
          </w:p>
        </w:tc>
        <w:tc>
          <w:tcPr>
            <w:tcW w:w="1218" w:type="dxa"/>
            <w:tcBorders>
              <w:left w:val="nil"/>
              <w:right w:val="nil"/>
            </w:tcBorders>
          </w:tcPr>
          <w:p>
            <w:pPr>
              <w:pStyle w:val="TableParagraph"/>
              <w:spacing w:line="254" w:lineRule="auto" w:before="9"/>
              <w:ind w:left="179" w:right="167" w:firstLine="195"/>
              <w:jc w:val="left"/>
              <w:rPr>
                <w:sz w:val="17"/>
              </w:rPr>
            </w:pPr>
            <w:r>
              <w:rPr>
                <w:sz w:val="17"/>
              </w:rPr>
              <w:t>Modelo 2 Coeficientes</w:t>
            </w:r>
          </w:p>
        </w:tc>
        <w:tc>
          <w:tcPr>
            <w:tcW w:w="1094" w:type="dxa"/>
            <w:tcBorders>
              <w:left w:val="nil"/>
              <w:right w:val="nil"/>
            </w:tcBorders>
          </w:tcPr>
          <w:p>
            <w:pPr>
              <w:pStyle w:val="TableParagraph"/>
              <w:spacing w:line="254" w:lineRule="auto" w:before="9"/>
              <w:ind w:left="179" w:right="43" w:firstLine="195"/>
              <w:jc w:val="left"/>
              <w:rPr>
                <w:sz w:val="17"/>
              </w:rPr>
            </w:pPr>
            <w:r>
              <w:rPr>
                <w:sz w:val="17"/>
              </w:rPr>
              <w:t>Modelo 3 Coeficientes</w:t>
            </w:r>
          </w:p>
        </w:tc>
      </w:tr>
      <w:tr>
        <w:trPr>
          <w:trHeight w:val="222" w:hRule="exact"/>
        </w:trPr>
        <w:tc>
          <w:tcPr>
            <w:tcW w:w="2383" w:type="dxa"/>
            <w:tcBorders>
              <w:left w:val="nil"/>
              <w:bottom w:val="nil"/>
              <w:right w:val="nil"/>
            </w:tcBorders>
          </w:tcPr>
          <w:p>
            <w:pPr>
              <w:pStyle w:val="TableParagraph"/>
              <w:spacing w:before="9"/>
              <w:ind w:left="45"/>
              <w:jc w:val="left"/>
              <w:rPr>
                <w:i/>
                <w:sz w:val="17"/>
              </w:rPr>
            </w:pPr>
            <w:r>
              <w:rPr>
                <w:i/>
                <w:sz w:val="17"/>
              </w:rPr>
              <w:t>Efectos fijos</w:t>
            </w:r>
          </w:p>
        </w:tc>
        <w:tc>
          <w:tcPr>
            <w:tcW w:w="1258" w:type="dxa"/>
            <w:tcBorders>
              <w:left w:val="nil"/>
              <w:bottom w:val="nil"/>
              <w:right w:val="nil"/>
            </w:tcBorders>
          </w:tcPr>
          <w:p>
            <w:pPr/>
          </w:p>
        </w:tc>
        <w:tc>
          <w:tcPr>
            <w:tcW w:w="1218" w:type="dxa"/>
            <w:tcBorders>
              <w:left w:val="nil"/>
              <w:bottom w:val="nil"/>
              <w:right w:val="nil"/>
            </w:tcBorders>
          </w:tcPr>
          <w:p>
            <w:pPr/>
          </w:p>
        </w:tc>
        <w:tc>
          <w:tcPr>
            <w:tcW w:w="1094" w:type="dxa"/>
            <w:tcBorders>
              <w:left w:val="nil"/>
              <w:bottom w:val="nil"/>
              <w:right w:val="nil"/>
            </w:tcBorders>
          </w:tcPr>
          <w:p>
            <w:pP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Intercepción</w:t>
            </w:r>
          </w:p>
        </w:tc>
        <w:tc>
          <w:tcPr>
            <w:tcW w:w="1258" w:type="dxa"/>
            <w:tcBorders>
              <w:top w:val="nil"/>
              <w:left w:val="nil"/>
              <w:bottom w:val="nil"/>
              <w:right w:val="nil"/>
            </w:tcBorders>
          </w:tcPr>
          <w:p>
            <w:pPr>
              <w:pStyle w:val="TableParagraph"/>
              <w:spacing w:line="194" w:lineRule="exact"/>
              <w:ind w:left="290"/>
              <w:jc w:val="left"/>
              <w:rPr>
                <w:sz w:val="17"/>
              </w:rPr>
            </w:pPr>
            <w:r>
              <w:rPr>
                <w:sz w:val="17"/>
              </w:rPr>
              <w:t>-0.5365***</w:t>
            </w:r>
          </w:p>
        </w:tc>
        <w:tc>
          <w:tcPr>
            <w:tcW w:w="1218" w:type="dxa"/>
            <w:tcBorders>
              <w:top w:val="nil"/>
              <w:left w:val="nil"/>
              <w:bottom w:val="nil"/>
              <w:right w:val="nil"/>
            </w:tcBorders>
          </w:tcPr>
          <w:p>
            <w:pPr>
              <w:pStyle w:val="TableParagraph"/>
              <w:spacing w:line="194" w:lineRule="exact"/>
              <w:ind w:right="177"/>
              <w:rPr>
                <w:sz w:val="17"/>
              </w:rPr>
            </w:pPr>
            <w:r>
              <w:rPr>
                <w:sz w:val="17"/>
              </w:rPr>
              <w:t>-0.5226***</w:t>
            </w:r>
          </w:p>
        </w:tc>
        <w:tc>
          <w:tcPr>
            <w:tcW w:w="1094" w:type="dxa"/>
            <w:tcBorders>
              <w:top w:val="nil"/>
              <w:left w:val="nil"/>
              <w:bottom w:val="nil"/>
              <w:right w:val="nil"/>
            </w:tcBorders>
          </w:tcPr>
          <w:p>
            <w:pPr>
              <w:pStyle w:val="TableParagraph"/>
              <w:spacing w:line="194" w:lineRule="exact"/>
              <w:ind w:right="53"/>
              <w:rPr>
                <w:sz w:val="17"/>
              </w:rPr>
            </w:pPr>
            <w:r>
              <w:rPr>
                <w:sz w:val="17"/>
              </w:rPr>
              <w:t>-0.5247***</w:t>
            </w:r>
          </w:p>
        </w:tc>
      </w:tr>
      <w:tr>
        <w:trPr>
          <w:trHeight w:val="209" w:hRule="exact"/>
        </w:trPr>
        <w:tc>
          <w:tcPr>
            <w:tcW w:w="2383" w:type="dxa"/>
            <w:tcBorders>
              <w:top w:val="nil"/>
              <w:left w:val="nil"/>
              <w:bottom w:val="nil"/>
              <w:right w:val="nil"/>
            </w:tcBorders>
          </w:tcPr>
          <w:p>
            <w:pPr>
              <w:pStyle w:val="TableParagraph"/>
              <w:spacing w:line="194" w:lineRule="exact"/>
              <w:ind w:left="45"/>
              <w:jc w:val="left"/>
              <w:rPr>
                <w:i/>
                <w:sz w:val="17"/>
              </w:rPr>
            </w:pPr>
            <w:r>
              <w:rPr>
                <w:i/>
                <w:sz w:val="17"/>
              </w:rPr>
              <w:t>Variables individuales</w:t>
            </w:r>
          </w:p>
        </w:tc>
        <w:tc>
          <w:tcPr>
            <w:tcW w:w="1258" w:type="dxa"/>
            <w:tcBorders>
              <w:top w:val="nil"/>
              <w:left w:val="nil"/>
              <w:bottom w:val="nil"/>
              <w:right w:val="nil"/>
            </w:tcBorders>
          </w:tcPr>
          <w:p>
            <w:pPr/>
          </w:p>
        </w:tc>
        <w:tc>
          <w:tcPr>
            <w:tcW w:w="1218" w:type="dxa"/>
            <w:tcBorders>
              <w:top w:val="nil"/>
              <w:left w:val="nil"/>
              <w:bottom w:val="nil"/>
              <w:right w:val="nil"/>
            </w:tcBorders>
          </w:tcPr>
          <w:p>
            <w:pPr/>
          </w:p>
        </w:tc>
        <w:tc>
          <w:tcPr>
            <w:tcW w:w="1094" w:type="dxa"/>
            <w:tcBorders>
              <w:top w:val="nil"/>
              <w:left w:val="nil"/>
              <w:bottom w:val="nil"/>
              <w:right w:val="nil"/>
            </w:tcBorders>
          </w:tcPr>
          <w:p>
            <w:pPr/>
          </w:p>
        </w:tc>
      </w:tr>
      <w:tr>
        <w:trPr>
          <w:trHeight w:val="209" w:hRule="exact"/>
        </w:trPr>
        <w:tc>
          <w:tcPr>
            <w:tcW w:w="2383" w:type="dxa"/>
            <w:tcBorders>
              <w:top w:val="nil"/>
              <w:left w:val="nil"/>
              <w:bottom w:val="nil"/>
              <w:right w:val="nil"/>
            </w:tcBorders>
          </w:tcPr>
          <w:p>
            <w:pPr>
              <w:pStyle w:val="TableParagraph"/>
              <w:spacing w:before="1"/>
              <w:ind w:left="45"/>
              <w:jc w:val="left"/>
              <w:rPr>
                <w:sz w:val="17"/>
              </w:rPr>
            </w:pPr>
            <w:r>
              <w:rPr>
                <w:sz w:val="17"/>
              </w:rPr>
              <w:t>Edad (centrada)</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before="1"/>
              <w:ind w:right="177"/>
              <w:rPr>
                <w:sz w:val="17"/>
              </w:rPr>
            </w:pPr>
            <w:r>
              <w:rPr>
                <w:sz w:val="17"/>
              </w:rPr>
              <w:t>-0.1148***</w:t>
            </w:r>
          </w:p>
        </w:tc>
        <w:tc>
          <w:tcPr>
            <w:tcW w:w="1094" w:type="dxa"/>
            <w:tcBorders>
              <w:top w:val="nil"/>
              <w:left w:val="nil"/>
              <w:bottom w:val="nil"/>
              <w:right w:val="nil"/>
            </w:tcBorders>
          </w:tcPr>
          <w:p>
            <w:pPr>
              <w:pStyle w:val="TableParagraph"/>
              <w:spacing w:before="1"/>
              <w:ind w:right="53"/>
              <w:rPr>
                <w:sz w:val="17"/>
              </w:rPr>
            </w:pPr>
            <w:r>
              <w:rPr>
                <w:sz w:val="17"/>
              </w:rPr>
              <w:t>-0.1148***</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Edad al cuadrado (centrada)</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0.0012***</w:t>
            </w:r>
          </w:p>
        </w:tc>
        <w:tc>
          <w:tcPr>
            <w:tcW w:w="1094" w:type="dxa"/>
            <w:tcBorders>
              <w:top w:val="nil"/>
              <w:left w:val="nil"/>
              <w:bottom w:val="nil"/>
              <w:right w:val="nil"/>
            </w:tcBorders>
          </w:tcPr>
          <w:p>
            <w:pPr>
              <w:pStyle w:val="TableParagraph"/>
              <w:spacing w:line="194" w:lineRule="exact"/>
              <w:ind w:right="54"/>
              <w:rPr>
                <w:sz w:val="17"/>
              </w:rPr>
            </w:pPr>
            <w:r>
              <w:rPr>
                <w:sz w:val="17"/>
              </w:rPr>
              <w:t>0.0012***</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Escolaridad</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-0.0812***</w:t>
            </w:r>
          </w:p>
        </w:tc>
        <w:tc>
          <w:tcPr>
            <w:tcW w:w="1094" w:type="dxa"/>
            <w:tcBorders>
              <w:top w:val="nil"/>
              <w:left w:val="nil"/>
              <w:bottom w:val="nil"/>
              <w:right w:val="nil"/>
            </w:tcBorders>
          </w:tcPr>
          <w:p>
            <w:pPr>
              <w:pStyle w:val="TableParagraph"/>
              <w:spacing w:line="194" w:lineRule="exact"/>
              <w:ind w:right="53"/>
              <w:rPr>
                <w:sz w:val="17"/>
              </w:rPr>
            </w:pPr>
            <w:r>
              <w:rPr>
                <w:sz w:val="17"/>
              </w:rPr>
              <w:t>-0.0812***</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Mujer</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-0.0303***</w:t>
            </w:r>
          </w:p>
        </w:tc>
        <w:tc>
          <w:tcPr>
            <w:tcW w:w="1094" w:type="dxa"/>
            <w:tcBorders>
              <w:top w:val="nil"/>
              <w:left w:val="nil"/>
              <w:bottom w:val="nil"/>
              <w:right w:val="nil"/>
            </w:tcBorders>
          </w:tcPr>
          <w:p>
            <w:pPr>
              <w:pStyle w:val="TableParagraph"/>
              <w:spacing w:line="194" w:lineRule="exact"/>
              <w:ind w:left="241" w:right="43"/>
              <w:jc w:val="left"/>
              <w:rPr>
                <w:sz w:val="17"/>
              </w:rPr>
            </w:pPr>
            <w:r>
              <w:rPr>
                <w:sz w:val="17"/>
              </w:rPr>
              <w:t>-0.0203**</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Casado o unido</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-0.2375***</w:t>
            </w:r>
          </w:p>
        </w:tc>
        <w:tc>
          <w:tcPr>
            <w:tcW w:w="1094" w:type="dxa"/>
            <w:tcBorders>
              <w:top w:val="nil"/>
              <w:left w:val="nil"/>
              <w:bottom w:val="nil"/>
              <w:right w:val="nil"/>
            </w:tcBorders>
          </w:tcPr>
          <w:p>
            <w:pPr>
              <w:pStyle w:val="TableParagraph"/>
              <w:spacing w:line="194" w:lineRule="exact"/>
              <w:ind w:right="53"/>
              <w:rPr>
                <w:sz w:val="17"/>
              </w:rPr>
            </w:pPr>
            <w:r>
              <w:rPr>
                <w:sz w:val="17"/>
              </w:rPr>
              <w:t>-0.2372***</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Presencia de niños en el hogar</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left="283" w:right="167"/>
              <w:jc w:val="left"/>
              <w:rPr>
                <w:sz w:val="17"/>
              </w:rPr>
            </w:pPr>
            <w:r>
              <w:rPr>
                <w:sz w:val="17"/>
              </w:rPr>
              <w:t>0.0008</w:t>
            </w:r>
          </w:p>
        </w:tc>
        <w:tc>
          <w:tcPr>
            <w:tcW w:w="1094" w:type="dxa"/>
            <w:tcBorders>
              <w:top w:val="nil"/>
              <w:left w:val="nil"/>
              <w:bottom w:val="nil"/>
              <w:right w:val="nil"/>
            </w:tcBorders>
          </w:tcPr>
          <w:p>
            <w:pPr>
              <w:pStyle w:val="TableParagraph"/>
              <w:spacing w:line="194" w:lineRule="exact"/>
              <w:ind w:left="327" w:right="43"/>
              <w:jc w:val="left"/>
              <w:rPr>
                <w:sz w:val="17"/>
              </w:rPr>
            </w:pPr>
            <w:r>
              <w:rPr>
                <w:sz w:val="17"/>
              </w:rPr>
              <w:t>0.0009</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Jefatura de hogar femenina</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left="283" w:right="167"/>
              <w:jc w:val="left"/>
              <w:rPr>
                <w:sz w:val="17"/>
              </w:rPr>
            </w:pPr>
            <w:r>
              <w:rPr>
                <w:sz w:val="17"/>
              </w:rPr>
              <w:t>0.0186</w:t>
            </w:r>
          </w:p>
        </w:tc>
        <w:tc>
          <w:tcPr>
            <w:tcW w:w="1094" w:type="dxa"/>
            <w:tcBorders>
              <w:top w:val="nil"/>
              <w:left w:val="nil"/>
              <w:bottom w:val="nil"/>
              <w:right w:val="nil"/>
            </w:tcBorders>
          </w:tcPr>
          <w:p>
            <w:pPr>
              <w:pStyle w:val="TableParagraph"/>
              <w:spacing w:line="194" w:lineRule="exact"/>
              <w:ind w:left="327" w:right="43"/>
              <w:jc w:val="left"/>
              <w:rPr>
                <w:sz w:val="17"/>
              </w:rPr>
            </w:pPr>
            <w:r>
              <w:rPr>
                <w:sz w:val="17"/>
              </w:rPr>
              <w:t>0.0188</w:t>
            </w:r>
          </w:p>
        </w:tc>
      </w:tr>
      <w:tr>
        <w:trPr>
          <w:trHeight w:val="209"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Ocupación manual</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0.7866***</w:t>
            </w:r>
          </w:p>
        </w:tc>
        <w:tc>
          <w:tcPr>
            <w:tcW w:w="1094" w:type="dxa"/>
            <w:tcBorders>
              <w:top w:val="nil"/>
              <w:left w:val="nil"/>
              <w:bottom w:val="nil"/>
              <w:right w:val="nil"/>
            </w:tcBorders>
          </w:tcPr>
          <w:p>
            <w:pPr>
              <w:pStyle w:val="TableParagraph"/>
              <w:spacing w:line="194" w:lineRule="exact"/>
              <w:ind w:right="54"/>
              <w:rPr>
                <w:sz w:val="17"/>
              </w:rPr>
            </w:pPr>
            <w:r>
              <w:rPr>
                <w:sz w:val="17"/>
              </w:rPr>
              <w:t>0.7867***</w:t>
            </w:r>
          </w:p>
        </w:tc>
      </w:tr>
      <w:tr>
        <w:trPr>
          <w:trHeight w:val="209" w:hRule="exact"/>
        </w:trPr>
        <w:tc>
          <w:tcPr>
            <w:tcW w:w="2383" w:type="dxa"/>
            <w:tcBorders>
              <w:top w:val="nil"/>
              <w:left w:val="nil"/>
              <w:bottom w:val="nil"/>
              <w:right w:val="nil"/>
            </w:tcBorders>
          </w:tcPr>
          <w:p>
            <w:pPr>
              <w:pStyle w:val="TableParagraph"/>
              <w:spacing w:before="1"/>
              <w:ind w:left="45"/>
              <w:jc w:val="left"/>
              <w:rPr>
                <w:sz w:val="17"/>
              </w:rPr>
            </w:pPr>
            <w:r>
              <w:rPr>
                <w:sz w:val="17"/>
              </w:rPr>
              <w:t>Agricultura (referencia)</w:t>
            </w:r>
          </w:p>
        </w:tc>
        <w:tc>
          <w:tcPr>
            <w:tcW w:w="1258" w:type="dxa"/>
            <w:tcBorders>
              <w:top w:val="nil"/>
              <w:left w:val="nil"/>
              <w:bottom w:val="nil"/>
              <w:right w:val="nil"/>
            </w:tcBorders>
          </w:tcPr>
          <w:p>
            <w:pPr/>
          </w:p>
        </w:tc>
        <w:tc>
          <w:tcPr>
            <w:tcW w:w="1218" w:type="dxa"/>
            <w:tcBorders>
              <w:top w:val="nil"/>
              <w:left w:val="nil"/>
              <w:bottom w:val="nil"/>
              <w:right w:val="nil"/>
            </w:tcBorders>
          </w:tcPr>
          <w:p>
            <w:pPr/>
          </w:p>
        </w:tc>
        <w:tc>
          <w:tcPr>
            <w:tcW w:w="1094" w:type="dxa"/>
            <w:tcBorders>
              <w:top w:val="nil"/>
              <w:left w:val="nil"/>
              <w:bottom w:val="nil"/>
              <w:right w:val="nil"/>
            </w:tcBorders>
          </w:tcPr>
          <w:p>
            <w:pP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Manufactura</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-0.0818***</w:t>
            </w:r>
          </w:p>
        </w:tc>
        <w:tc>
          <w:tcPr>
            <w:tcW w:w="1094" w:type="dxa"/>
            <w:tcBorders>
              <w:top w:val="nil"/>
              <w:left w:val="nil"/>
              <w:bottom w:val="nil"/>
              <w:right w:val="nil"/>
            </w:tcBorders>
          </w:tcPr>
          <w:p>
            <w:pPr>
              <w:pStyle w:val="TableParagraph"/>
              <w:spacing w:line="194" w:lineRule="exact"/>
              <w:ind w:right="53"/>
              <w:rPr>
                <w:sz w:val="17"/>
              </w:rPr>
            </w:pPr>
            <w:r>
              <w:rPr>
                <w:sz w:val="17"/>
              </w:rPr>
              <w:t>-0.0827***</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Construcción</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1.166***</w:t>
            </w:r>
          </w:p>
        </w:tc>
        <w:tc>
          <w:tcPr>
            <w:tcW w:w="1094" w:type="dxa"/>
            <w:tcBorders>
              <w:top w:val="nil"/>
              <w:left w:val="nil"/>
              <w:bottom w:val="nil"/>
              <w:right w:val="nil"/>
            </w:tcBorders>
          </w:tcPr>
          <w:p>
            <w:pPr>
              <w:pStyle w:val="TableParagraph"/>
              <w:spacing w:line="194" w:lineRule="exact"/>
              <w:ind w:right="54"/>
              <w:rPr>
                <w:sz w:val="17"/>
              </w:rPr>
            </w:pPr>
            <w:r>
              <w:rPr>
                <w:sz w:val="17"/>
              </w:rPr>
              <w:t>1.1667***</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Servicios distributivos</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0.6568***</w:t>
            </w:r>
          </w:p>
        </w:tc>
        <w:tc>
          <w:tcPr>
            <w:tcW w:w="1094" w:type="dxa"/>
            <w:tcBorders>
              <w:top w:val="nil"/>
              <w:left w:val="nil"/>
              <w:bottom w:val="nil"/>
              <w:right w:val="nil"/>
            </w:tcBorders>
          </w:tcPr>
          <w:p>
            <w:pPr>
              <w:pStyle w:val="TableParagraph"/>
              <w:spacing w:line="194" w:lineRule="exact"/>
              <w:ind w:right="54"/>
              <w:rPr>
                <w:sz w:val="17"/>
              </w:rPr>
            </w:pPr>
            <w:r>
              <w:rPr>
                <w:sz w:val="17"/>
              </w:rPr>
              <w:t>0.6564***</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Servicios al productor</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0.1927***</w:t>
            </w:r>
          </w:p>
        </w:tc>
        <w:tc>
          <w:tcPr>
            <w:tcW w:w="1094" w:type="dxa"/>
            <w:tcBorders>
              <w:top w:val="nil"/>
              <w:left w:val="nil"/>
              <w:bottom w:val="nil"/>
              <w:right w:val="nil"/>
            </w:tcBorders>
          </w:tcPr>
          <w:p>
            <w:pPr>
              <w:pStyle w:val="TableParagraph"/>
              <w:spacing w:line="194" w:lineRule="exact"/>
              <w:ind w:right="54"/>
              <w:rPr>
                <w:sz w:val="17"/>
              </w:rPr>
            </w:pPr>
            <w:r>
              <w:rPr>
                <w:sz w:val="17"/>
              </w:rPr>
              <w:t>0.1924***</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Servicios sociales</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-0.1334***</w:t>
            </w:r>
          </w:p>
        </w:tc>
        <w:tc>
          <w:tcPr>
            <w:tcW w:w="1094" w:type="dxa"/>
            <w:tcBorders>
              <w:top w:val="nil"/>
              <w:left w:val="nil"/>
              <w:bottom w:val="nil"/>
              <w:right w:val="nil"/>
            </w:tcBorders>
          </w:tcPr>
          <w:p>
            <w:pPr>
              <w:pStyle w:val="TableParagraph"/>
              <w:spacing w:line="194" w:lineRule="exact"/>
              <w:ind w:right="53"/>
              <w:rPr>
                <w:sz w:val="17"/>
              </w:rPr>
            </w:pPr>
            <w:r>
              <w:rPr>
                <w:sz w:val="17"/>
              </w:rPr>
              <w:t>-0.1337***</w:t>
            </w: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Servicios de entretenimiento</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0.5615***</w:t>
            </w:r>
          </w:p>
        </w:tc>
        <w:tc>
          <w:tcPr>
            <w:tcW w:w="1094" w:type="dxa"/>
            <w:tcBorders>
              <w:top w:val="nil"/>
              <w:left w:val="nil"/>
              <w:bottom w:val="nil"/>
              <w:right w:val="nil"/>
            </w:tcBorders>
          </w:tcPr>
          <w:p>
            <w:pPr>
              <w:pStyle w:val="TableParagraph"/>
              <w:spacing w:line="194" w:lineRule="exact"/>
              <w:ind w:right="54"/>
              <w:rPr>
                <w:sz w:val="17"/>
              </w:rPr>
            </w:pPr>
            <w:r>
              <w:rPr>
                <w:sz w:val="17"/>
              </w:rPr>
              <w:t>0.5605***</w:t>
            </w:r>
          </w:p>
        </w:tc>
      </w:tr>
      <w:tr>
        <w:trPr>
          <w:trHeight w:val="209"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Servicios personales</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1.3447***</w:t>
            </w:r>
          </w:p>
        </w:tc>
        <w:tc>
          <w:tcPr>
            <w:tcW w:w="1094" w:type="dxa"/>
            <w:tcBorders>
              <w:top w:val="nil"/>
              <w:left w:val="nil"/>
              <w:bottom w:val="nil"/>
              <w:right w:val="nil"/>
            </w:tcBorders>
          </w:tcPr>
          <w:p>
            <w:pPr>
              <w:pStyle w:val="TableParagraph"/>
              <w:spacing w:line="194" w:lineRule="exact"/>
              <w:ind w:right="54"/>
              <w:rPr>
                <w:sz w:val="17"/>
              </w:rPr>
            </w:pPr>
            <w:r>
              <w:rPr>
                <w:sz w:val="17"/>
              </w:rPr>
              <w:t>1.3497***</w:t>
            </w:r>
          </w:p>
        </w:tc>
      </w:tr>
      <w:tr>
        <w:trPr>
          <w:trHeight w:val="209" w:hRule="exact"/>
        </w:trPr>
        <w:tc>
          <w:tcPr>
            <w:tcW w:w="2383" w:type="dxa"/>
            <w:tcBorders>
              <w:top w:val="nil"/>
              <w:left w:val="nil"/>
              <w:bottom w:val="nil"/>
              <w:right w:val="nil"/>
            </w:tcBorders>
          </w:tcPr>
          <w:p>
            <w:pPr>
              <w:pStyle w:val="TableParagraph"/>
              <w:spacing w:before="1"/>
              <w:ind w:left="45"/>
              <w:jc w:val="left"/>
              <w:rPr>
                <w:sz w:val="17"/>
              </w:rPr>
            </w:pPr>
            <w:r>
              <w:rPr>
                <w:sz w:val="17"/>
              </w:rPr>
              <w:t>Variables del vecindario</w:t>
            </w:r>
          </w:p>
        </w:tc>
        <w:tc>
          <w:tcPr>
            <w:tcW w:w="1258" w:type="dxa"/>
            <w:tcBorders>
              <w:top w:val="nil"/>
              <w:left w:val="nil"/>
              <w:bottom w:val="nil"/>
              <w:right w:val="nil"/>
            </w:tcBorders>
          </w:tcPr>
          <w:p>
            <w:pPr/>
          </w:p>
        </w:tc>
        <w:tc>
          <w:tcPr>
            <w:tcW w:w="1218" w:type="dxa"/>
            <w:tcBorders>
              <w:top w:val="nil"/>
              <w:left w:val="nil"/>
              <w:bottom w:val="nil"/>
              <w:right w:val="nil"/>
            </w:tcBorders>
          </w:tcPr>
          <w:p>
            <w:pPr/>
          </w:p>
        </w:tc>
        <w:tc>
          <w:tcPr>
            <w:tcW w:w="1094" w:type="dxa"/>
            <w:tcBorders>
              <w:top w:val="nil"/>
              <w:left w:val="nil"/>
              <w:bottom w:val="nil"/>
              <w:right w:val="nil"/>
            </w:tcBorders>
          </w:tcPr>
          <w:p>
            <w:pPr/>
          </w:p>
        </w:tc>
      </w:tr>
      <w:tr>
        <w:trPr>
          <w:trHeight w:val="206"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Segregación</w:t>
            </w:r>
          </w:p>
        </w:tc>
        <w:tc>
          <w:tcPr>
            <w:tcW w:w="1258" w:type="dxa"/>
            <w:tcBorders>
              <w:top w:val="nil"/>
              <w:left w:val="nil"/>
              <w:bottom w:val="nil"/>
              <w:right w:val="nil"/>
            </w:tcBorders>
          </w:tcPr>
          <w:p>
            <w:pPr/>
          </w:p>
        </w:tc>
        <w:tc>
          <w:tcPr>
            <w:tcW w:w="1218" w:type="dxa"/>
            <w:tcBorders>
              <w:top w:val="nil"/>
              <w:left w:val="nil"/>
              <w:bottom w:val="nil"/>
              <w:right w:val="nil"/>
            </w:tcBorders>
          </w:tcPr>
          <w:p>
            <w:pPr>
              <w:pStyle w:val="TableParagraph"/>
              <w:spacing w:line="194" w:lineRule="exact"/>
              <w:ind w:right="177"/>
              <w:rPr>
                <w:sz w:val="17"/>
              </w:rPr>
            </w:pPr>
            <w:r>
              <w:rPr>
                <w:sz w:val="17"/>
              </w:rPr>
              <w:t>0.3233***</w:t>
            </w:r>
          </w:p>
        </w:tc>
        <w:tc>
          <w:tcPr>
            <w:tcW w:w="1094" w:type="dxa"/>
            <w:tcBorders>
              <w:top w:val="nil"/>
              <w:left w:val="nil"/>
              <w:bottom w:val="nil"/>
              <w:right w:val="nil"/>
            </w:tcBorders>
          </w:tcPr>
          <w:p>
            <w:pPr>
              <w:pStyle w:val="TableParagraph"/>
              <w:spacing w:line="194" w:lineRule="exact"/>
              <w:ind w:right="120"/>
              <w:rPr>
                <w:sz w:val="17"/>
              </w:rPr>
            </w:pPr>
            <w:r>
              <w:rPr>
                <w:sz w:val="17"/>
              </w:rPr>
              <w:t>0.2926</w:t>
            </w:r>
          </w:p>
        </w:tc>
      </w:tr>
      <w:tr>
        <w:trPr>
          <w:trHeight w:val="192" w:hRule="exact"/>
        </w:trPr>
        <w:tc>
          <w:tcPr>
            <w:tcW w:w="2383" w:type="dxa"/>
            <w:tcBorders>
              <w:top w:val="nil"/>
              <w:left w:val="nil"/>
              <w:bottom w:val="nil"/>
              <w:right w:val="nil"/>
            </w:tcBorders>
          </w:tcPr>
          <w:p>
            <w:pPr>
              <w:pStyle w:val="TableParagraph"/>
              <w:spacing w:line="194" w:lineRule="exact"/>
              <w:ind w:left="45"/>
              <w:jc w:val="left"/>
              <w:rPr>
                <w:sz w:val="17"/>
              </w:rPr>
            </w:pPr>
            <w:r>
              <w:rPr>
                <w:sz w:val="17"/>
              </w:rPr>
              <w:t>Interacción segregación*mujer</w:t>
            </w:r>
          </w:p>
        </w:tc>
        <w:tc>
          <w:tcPr>
            <w:tcW w:w="1258" w:type="dxa"/>
            <w:tcBorders>
              <w:top w:val="nil"/>
              <w:left w:val="nil"/>
              <w:bottom w:val="nil"/>
              <w:right w:val="nil"/>
            </w:tcBorders>
          </w:tcPr>
          <w:p>
            <w:pPr/>
          </w:p>
        </w:tc>
        <w:tc>
          <w:tcPr>
            <w:tcW w:w="1218" w:type="dxa"/>
            <w:tcBorders>
              <w:top w:val="nil"/>
              <w:left w:val="nil"/>
              <w:bottom w:val="nil"/>
              <w:right w:val="nil"/>
            </w:tcBorders>
          </w:tcPr>
          <w:p>
            <w:pPr/>
          </w:p>
        </w:tc>
        <w:tc>
          <w:tcPr>
            <w:tcW w:w="1094" w:type="dxa"/>
            <w:tcBorders>
              <w:top w:val="nil"/>
              <w:left w:val="nil"/>
              <w:bottom w:val="nil"/>
              <w:right w:val="nil"/>
            </w:tcBorders>
          </w:tcPr>
          <w:p>
            <w:pPr>
              <w:pStyle w:val="TableParagraph"/>
              <w:spacing w:line="194" w:lineRule="exact"/>
              <w:ind w:right="55"/>
              <w:rPr>
                <w:sz w:val="17"/>
              </w:rPr>
            </w:pPr>
            <w:r>
              <w:rPr>
                <w:sz w:val="17"/>
              </w:rPr>
              <w:t>0.0593*</w:t>
            </w:r>
          </w:p>
        </w:tc>
      </w:tr>
    </w:tbl>
    <w:p>
      <w:pPr>
        <w:spacing w:after="0" w:line="194" w:lineRule="exact"/>
        <w:rPr>
          <w:sz w:val="17"/>
        </w:rPr>
        <w:sectPr>
          <w:footerReference w:type="default" r:id="rId229"/>
          <w:pgSz w:w="7770" w:h="11740"/>
          <w:pgMar w:footer="474" w:header="0" w:top="980" w:bottom="660" w:left="940" w:right="660"/>
          <w:pgNumType w:start="177"/>
        </w:sectPr>
      </w:pPr>
    </w:p>
    <w:p>
      <w:pPr>
        <w:tabs>
          <w:tab w:pos="2625" w:val="left" w:leader="none"/>
        </w:tabs>
        <w:spacing w:line="129" w:lineRule="auto" w:before="87"/>
        <w:ind w:left="2616" w:right="0" w:hanging="2463"/>
        <w:jc w:val="right"/>
        <w:rPr>
          <w:sz w:val="17"/>
        </w:rPr>
      </w:pPr>
      <w:r>
        <w:rPr>
          <w:i/>
          <w:sz w:val="17"/>
        </w:rPr>
        <w:t>Efectos</w:t>
      </w:r>
      <w:r>
        <w:rPr>
          <w:i/>
          <w:spacing w:val="2"/>
          <w:sz w:val="17"/>
        </w:rPr>
        <w:t> </w:t>
      </w:r>
      <w:r>
        <w:rPr>
          <w:i/>
          <w:sz w:val="17"/>
        </w:rPr>
        <w:t>aleatorios</w:t>
        <w:tab/>
        <w:tab/>
      </w:r>
      <w:r>
        <w:rPr>
          <w:position w:val="10"/>
          <w:sz w:val="17"/>
        </w:rPr>
        <w:t>Componentes </w:t>
      </w:r>
      <w:r>
        <w:rPr>
          <w:sz w:val="17"/>
        </w:rPr>
        <w:t>de la</w:t>
      </w:r>
      <w:r>
        <w:rPr>
          <w:spacing w:val="6"/>
          <w:sz w:val="17"/>
        </w:rPr>
        <w:t> </w:t>
      </w:r>
      <w:r>
        <w:rPr>
          <w:sz w:val="17"/>
        </w:rPr>
        <w:t>varianza</w:t>
      </w:r>
    </w:p>
    <w:p>
      <w:pPr>
        <w:spacing w:line="254" w:lineRule="auto" w:before="13"/>
        <w:ind w:left="154" w:right="-9" w:firstLine="9"/>
        <w:jc w:val="left"/>
        <w:rPr>
          <w:sz w:val="17"/>
        </w:rPr>
      </w:pPr>
      <w:r>
        <w:rPr/>
        <w:br w:type="column"/>
      </w:r>
      <w:r>
        <w:rPr>
          <w:sz w:val="17"/>
        </w:rPr>
        <w:t>Componentes de la varianza</w:t>
      </w:r>
    </w:p>
    <w:p>
      <w:pPr>
        <w:spacing w:line="254" w:lineRule="auto" w:before="13"/>
        <w:ind w:left="154" w:right="153" w:firstLine="9"/>
        <w:jc w:val="left"/>
        <w:rPr>
          <w:sz w:val="17"/>
        </w:rPr>
      </w:pPr>
      <w:r>
        <w:rPr/>
        <w:br w:type="column"/>
      </w:r>
      <w:r>
        <w:rPr>
          <w:sz w:val="17"/>
        </w:rPr>
        <w:t>Componentes de la varianza</w:t>
      </w:r>
    </w:p>
    <w:p>
      <w:pPr>
        <w:spacing w:after="0" w:line="254" w:lineRule="auto"/>
        <w:jc w:val="left"/>
        <w:rPr>
          <w:sz w:val="17"/>
        </w:rPr>
        <w:sectPr>
          <w:type w:val="continuous"/>
          <w:pgSz w:w="7770" w:h="11740"/>
          <w:pgMar w:top="0" w:bottom="0" w:left="940" w:right="660"/>
          <w:cols w:num="3" w:equalWidth="0">
            <w:col w:w="3571" w:space="110"/>
            <w:col w:w="1109" w:space="109"/>
            <w:col w:w="1271"/>
          </w:cols>
        </w:sectPr>
      </w:pPr>
    </w:p>
    <w:p>
      <w:pPr>
        <w:tabs>
          <w:tab w:pos="2839" w:val="left" w:leader="none"/>
          <w:tab w:pos="5447" w:val="left" w:leader="none"/>
        </w:tabs>
        <w:spacing w:line="195" w:lineRule="exact" w:before="0"/>
        <w:ind w:left="154" w:right="0" w:firstLine="0"/>
        <w:jc w:val="left"/>
        <w:rPr>
          <w:sz w:val="17"/>
        </w:rPr>
      </w:pPr>
      <w:r>
        <w:rPr>
          <w:sz w:val="17"/>
        </w:rPr>
        <w:t>Uo</w:t>
        <w:tab/>
        <w:t>0.2561***</w:t>
        <w:tab/>
        <w:t>0.19881</w:t>
      </w:r>
    </w:p>
    <w:p>
      <w:pPr>
        <w:tabs>
          <w:tab w:pos="6005" w:val="right" w:leader="none"/>
        </w:tabs>
        <w:spacing w:before="11"/>
        <w:ind w:left="154" w:right="0" w:firstLine="0"/>
        <w:jc w:val="left"/>
        <w:rPr>
          <w:sz w:val="17"/>
        </w:rPr>
      </w:pPr>
      <w:r>
        <w:rPr>
          <w:sz w:val="17"/>
        </w:rPr>
        <w:t>U</w:t>
      </w:r>
      <w:r>
        <w:rPr>
          <w:spacing w:val="2"/>
          <w:sz w:val="17"/>
        </w:rPr>
        <w:t> </w:t>
      </w:r>
      <w:r>
        <w:rPr>
          <w:sz w:val="17"/>
        </w:rPr>
        <w:t>escolaridad</w:t>
        <w:tab/>
        <w:t>0.00136</w:t>
      </w:r>
    </w:p>
    <w:p>
      <w:pPr>
        <w:tabs>
          <w:tab w:pos="6005" w:val="right" w:leader="none"/>
        </w:tabs>
        <w:spacing w:before="11"/>
        <w:ind w:left="154" w:right="0" w:firstLine="0"/>
        <w:jc w:val="left"/>
        <w:rPr>
          <w:sz w:val="17"/>
        </w:rPr>
      </w:pPr>
      <w:r>
        <w:rPr/>
        <w:pict>
          <v:shape style="position:absolute;margin-left:52.440315pt;margin-top:10.886088pt;width:297.650pt;height:.1pt;mso-position-horizontal-relative:page;mso-position-vertical-relative:paragraph;z-index:7744" coordorigin="1049,218" coordsize="5953,0" path="m1049,218l3393,218m3393,218l3402,218m3402,218l4611,218m4611,218l4621,218m4621,218l5830,218m5830,218l5839,218m5839,218l7002,218e" filled="false" stroked="true" strokeweight=".481pt" strokecolor="#000000">
            <v:path arrowok="t"/>
            <w10:wrap type="none"/>
          </v:shape>
        </w:pict>
      </w:r>
      <w:r>
        <w:rPr>
          <w:sz w:val="17"/>
        </w:rPr>
        <w:t>U</w:t>
      </w:r>
      <w:r>
        <w:rPr>
          <w:spacing w:val="2"/>
          <w:sz w:val="17"/>
        </w:rPr>
        <w:t> </w:t>
      </w:r>
      <w:r>
        <w:rPr>
          <w:sz w:val="17"/>
        </w:rPr>
        <w:t>mujer</w:t>
        <w:tab/>
        <w:t>0.01494</w:t>
      </w:r>
    </w:p>
    <w:p>
      <w:pPr>
        <w:spacing w:before="15"/>
        <w:ind w:left="154" w:right="242" w:firstLine="0"/>
        <w:jc w:val="left"/>
        <w:rPr>
          <w:sz w:val="16"/>
        </w:rPr>
      </w:pPr>
      <w:r>
        <w:rPr>
          <w:sz w:val="16"/>
        </w:rPr>
        <w:t>Significativo a valores de p: *** p &lt; 0.001, ** p &lt; 0.01, * p &lt; 0.05.</w:t>
      </w:r>
    </w:p>
    <w:p>
      <w:pPr>
        <w:pStyle w:val="Heading4"/>
        <w:spacing w:before="224"/>
        <w:ind w:left="193"/>
      </w:pPr>
      <w:r>
        <w:rPr>
          <w:w w:val="85"/>
        </w:rPr>
        <w:t>Conclusiones</w:t>
      </w:r>
    </w:p>
    <w:p>
      <w:pPr>
        <w:pStyle w:val="BodyText"/>
        <w:spacing w:line="249" w:lineRule="auto" w:before="171"/>
        <w:ind w:left="193" w:right="188"/>
        <w:jc w:val="both"/>
      </w:pPr>
      <w:r>
        <w:rPr>
          <w:color w:val="231F20"/>
        </w:rPr>
        <w:t>Los resultados indican que altos niveles de segregación socioeconómi- ca están asociados con menor calidad en el empleo, más allá de otros determinantes individuales tales como escolaridad, edad, ocupación, in- dustria, estructura familiar y sexo. Si uno compara individuos de equi- valentes características aquellos que viven en vecindarios altamente se- gregados tendrán mayores probabilidades de tener un empleo precario que aquellos que viven en un área socioeconómicamente más diversa. Aun cuando no es posible afirmar que un vecindario segregado cause que los individuos trabajen sin seguridad social o que ganen poco, es posible que aquellos que viven en lugares donde la pobreza se</w:t>
      </w:r>
      <w:r>
        <w:rPr>
          <w:color w:val="231F20"/>
          <w:spacing w:val="-14"/>
        </w:rPr>
        <w:t> </w:t>
      </w:r>
      <w:r>
        <w:rPr>
          <w:color w:val="231F20"/>
        </w:rPr>
        <w:t>concentra</w:t>
      </w:r>
    </w:p>
    <w:p>
      <w:pPr>
        <w:spacing w:after="0" w:line="249" w:lineRule="auto"/>
        <w:jc w:val="both"/>
        <w:sectPr>
          <w:type w:val="continuous"/>
          <w:pgSz w:w="7770" w:h="11740"/>
          <w:pgMar w:top="0" w:bottom="0" w:left="940" w:right="660"/>
        </w:sectPr>
      </w:pPr>
    </w:p>
    <w:p>
      <w:pPr>
        <w:pStyle w:val="BodyText"/>
        <w:spacing w:line="249" w:lineRule="auto" w:before="60"/>
        <w:ind w:left="110" w:right="111"/>
        <w:jc w:val="both"/>
      </w:pPr>
      <w:r>
        <w:rPr>
          <w:color w:val="231F20"/>
        </w:rPr>
        <w:t>espacialmente, tengan acceso a un </w:t>
      </w:r>
      <w:r>
        <w:rPr>
          <w:i/>
          <w:color w:val="231F20"/>
        </w:rPr>
        <w:t>set </w:t>
      </w:r>
      <w:r>
        <w:rPr>
          <w:color w:val="231F20"/>
        </w:rPr>
        <w:t>distinto de recursos materiales y sociales</w:t>
      </w:r>
      <w:r>
        <w:rPr>
          <w:color w:val="231F20"/>
          <w:spacing w:val="-5"/>
        </w:rPr>
        <w:t> </w:t>
      </w:r>
      <w:r>
        <w:rPr>
          <w:color w:val="231F20"/>
        </w:rPr>
        <w:t>que</w:t>
      </w:r>
      <w:r>
        <w:rPr>
          <w:color w:val="231F20"/>
          <w:spacing w:val="-5"/>
        </w:rPr>
        <w:t> </w:t>
      </w:r>
      <w:r>
        <w:rPr>
          <w:color w:val="231F20"/>
        </w:rPr>
        <w:t>los</w:t>
      </w:r>
      <w:r>
        <w:rPr>
          <w:color w:val="231F20"/>
          <w:spacing w:val="-6"/>
        </w:rPr>
        <w:t> </w:t>
      </w:r>
      <w:r>
        <w:rPr>
          <w:color w:val="231F20"/>
        </w:rPr>
        <w:t>coloca</w:t>
      </w:r>
      <w:r>
        <w:rPr>
          <w:color w:val="231F20"/>
          <w:spacing w:val="-6"/>
        </w:rPr>
        <w:t> </w:t>
      </w:r>
      <w:r>
        <w:rPr>
          <w:color w:val="231F20"/>
        </w:rPr>
        <w:t>ante</w:t>
      </w:r>
      <w:r>
        <w:rPr>
          <w:color w:val="231F20"/>
          <w:spacing w:val="-6"/>
        </w:rPr>
        <w:t> </w:t>
      </w:r>
      <w:r>
        <w:rPr>
          <w:color w:val="231F20"/>
        </w:rPr>
        <w:t>distintas</w:t>
      </w:r>
      <w:r>
        <w:rPr>
          <w:color w:val="231F20"/>
          <w:spacing w:val="-5"/>
        </w:rPr>
        <w:t> </w:t>
      </w:r>
      <w:r>
        <w:rPr>
          <w:color w:val="231F20"/>
        </w:rPr>
        <w:t>opciones</w:t>
      </w:r>
      <w:r>
        <w:rPr>
          <w:color w:val="231F20"/>
          <w:spacing w:val="-5"/>
        </w:rPr>
        <w:t> </w:t>
      </w:r>
      <w:r>
        <w:rPr>
          <w:color w:val="231F20"/>
        </w:rPr>
        <w:t>de</w:t>
      </w:r>
      <w:r>
        <w:rPr>
          <w:color w:val="231F20"/>
          <w:spacing w:val="-5"/>
        </w:rPr>
        <w:t> </w:t>
      </w:r>
      <w:r>
        <w:rPr>
          <w:color w:val="231F20"/>
        </w:rPr>
        <w:t>empleo.</w:t>
      </w:r>
      <w:r>
        <w:rPr>
          <w:color w:val="231F20"/>
          <w:spacing w:val="-17"/>
        </w:rPr>
        <w:t> </w:t>
      </w:r>
      <w:r>
        <w:rPr>
          <w:color w:val="231F20"/>
        </w:rPr>
        <w:t>Así,</w:t>
      </w:r>
      <w:r>
        <w:rPr>
          <w:color w:val="231F20"/>
          <w:spacing w:val="-5"/>
        </w:rPr>
        <w:t> </w:t>
      </w:r>
      <w:r>
        <w:rPr>
          <w:color w:val="231F20"/>
        </w:rPr>
        <w:t>aunque</w:t>
      </w:r>
      <w:r>
        <w:rPr>
          <w:color w:val="231F20"/>
          <w:spacing w:val="-6"/>
        </w:rPr>
        <w:t> </w:t>
      </w:r>
      <w:r>
        <w:rPr>
          <w:color w:val="231F20"/>
        </w:rPr>
        <w:t>es evidente</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estos</w:t>
      </w:r>
      <w:r>
        <w:rPr>
          <w:color w:val="231F20"/>
          <w:spacing w:val="-4"/>
        </w:rPr>
        <w:t> </w:t>
      </w:r>
      <w:r>
        <w:rPr>
          <w:color w:val="231F20"/>
        </w:rPr>
        <w:t>barrios</w:t>
      </w:r>
      <w:r>
        <w:rPr>
          <w:color w:val="231F20"/>
          <w:spacing w:val="-4"/>
        </w:rPr>
        <w:t> </w:t>
      </w:r>
      <w:r>
        <w:rPr>
          <w:color w:val="231F20"/>
        </w:rPr>
        <w:t>homogéneamente</w:t>
      </w:r>
      <w:r>
        <w:rPr>
          <w:color w:val="231F20"/>
          <w:spacing w:val="-4"/>
        </w:rPr>
        <w:t> </w:t>
      </w:r>
      <w:r>
        <w:rPr>
          <w:color w:val="231F20"/>
        </w:rPr>
        <w:t>pobres</w:t>
      </w:r>
      <w:r>
        <w:rPr>
          <w:color w:val="231F20"/>
          <w:spacing w:val="-4"/>
        </w:rPr>
        <w:t> </w:t>
      </w:r>
      <w:r>
        <w:rPr>
          <w:color w:val="231F20"/>
        </w:rPr>
        <w:t>tienden</w:t>
      </w:r>
      <w:r>
        <w:rPr>
          <w:color w:val="231F20"/>
          <w:spacing w:val="-4"/>
        </w:rPr>
        <w:t> </w:t>
      </w:r>
      <w:r>
        <w:rPr>
          <w:color w:val="231F20"/>
        </w:rPr>
        <w:t>a</w:t>
      </w:r>
      <w:r>
        <w:rPr>
          <w:color w:val="231F20"/>
          <w:spacing w:val="-4"/>
        </w:rPr>
        <w:t> </w:t>
      </w:r>
      <w:r>
        <w:rPr>
          <w:color w:val="231F20"/>
        </w:rPr>
        <w:t>concen- trase trabajadores con desventajas en el mercado de trabajo, su lugar de residencia las</w:t>
      </w:r>
      <w:r>
        <w:rPr>
          <w:color w:val="231F20"/>
          <w:spacing w:val="-11"/>
        </w:rPr>
        <w:t> </w:t>
      </w:r>
      <w:r>
        <w:rPr>
          <w:color w:val="231F20"/>
        </w:rPr>
        <w:t>amplifica.</w:t>
      </w:r>
    </w:p>
    <w:p>
      <w:pPr>
        <w:pStyle w:val="BodyText"/>
        <w:spacing w:line="249" w:lineRule="auto" w:before="1"/>
        <w:ind w:left="110" w:right="111" w:firstLine="345"/>
        <w:jc w:val="both"/>
      </w:pPr>
      <w:r>
        <w:rPr>
          <w:color w:val="231F20"/>
        </w:rPr>
        <w:t>Los resultados del análisis estadístico apuntan claramente a la aso- ciación entre la composición del lugar de residencia y la baja calidad</w:t>
      </w:r>
      <w:r>
        <w:rPr>
          <w:color w:val="231F20"/>
          <w:spacing w:val="-25"/>
        </w:rPr>
        <w:t> </w:t>
      </w:r>
      <w:r>
        <w:rPr>
          <w:color w:val="231F20"/>
        </w:rPr>
        <w:t>del empleo de los individuos, pero sobre todo sugiere que existen impor- tantes diferencias por género en esta asociación. Si bien la segregación residencial</w:t>
      </w:r>
      <w:r>
        <w:rPr>
          <w:color w:val="231F20"/>
          <w:spacing w:val="-8"/>
        </w:rPr>
        <w:t> </w:t>
      </w:r>
      <w:r>
        <w:rPr>
          <w:color w:val="231F20"/>
        </w:rPr>
        <w:t>está</w:t>
      </w:r>
      <w:r>
        <w:rPr>
          <w:color w:val="231F20"/>
          <w:spacing w:val="-8"/>
        </w:rPr>
        <w:t> </w:t>
      </w:r>
      <w:r>
        <w:rPr>
          <w:color w:val="231F20"/>
        </w:rPr>
        <w:t>relacionada</w:t>
      </w:r>
      <w:r>
        <w:rPr>
          <w:color w:val="231F20"/>
          <w:spacing w:val="-8"/>
        </w:rPr>
        <w:t> </w:t>
      </w:r>
      <w:r>
        <w:rPr>
          <w:color w:val="231F20"/>
        </w:rPr>
        <w:t>con</w:t>
      </w:r>
      <w:r>
        <w:rPr>
          <w:color w:val="231F20"/>
          <w:spacing w:val="-8"/>
        </w:rPr>
        <w:t> </w:t>
      </w:r>
      <w:r>
        <w:rPr>
          <w:color w:val="231F20"/>
        </w:rPr>
        <w:t>mayor</w:t>
      </w:r>
      <w:r>
        <w:rPr>
          <w:color w:val="231F20"/>
          <w:spacing w:val="-8"/>
        </w:rPr>
        <w:t> </w:t>
      </w:r>
      <w:r>
        <w:rPr>
          <w:color w:val="231F20"/>
        </w:rPr>
        <w:t>precariedad</w:t>
      </w:r>
      <w:r>
        <w:rPr>
          <w:color w:val="231F20"/>
          <w:spacing w:val="-8"/>
        </w:rPr>
        <w:t> </w:t>
      </w:r>
      <w:r>
        <w:rPr>
          <w:color w:val="231F20"/>
        </w:rPr>
        <w:t>laboral</w:t>
      </w:r>
      <w:r>
        <w:rPr>
          <w:color w:val="231F20"/>
          <w:spacing w:val="-8"/>
        </w:rPr>
        <w:t> </w:t>
      </w:r>
      <w:r>
        <w:rPr>
          <w:color w:val="231F20"/>
        </w:rPr>
        <w:t>para</w:t>
      </w:r>
      <w:r>
        <w:rPr>
          <w:color w:val="231F20"/>
          <w:spacing w:val="-8"/>
        </w:rPr>
        <w:t> </w:t>
      </w:r>
      <w:r>
        <w:rPr>
          <w:color w:val="231F20"/>
        </w:rPr>
        <w:t>todos</w:t>
      </w:r>
      <w:r>
        <w:rPr>
          <w:color w:val="231F20"/>
          <w:spacing w:val="-8"/>
        </w:rPr>
        <w:t> </w:t>
      </w:r>
      <w:r>
        <w:rPr>
          <w:color w:val="231F20"/>
        </w:rPr>
        <w:t>los trabajadores, su peso es distinto para hombres y mujeres. Más aún, los resultados por género difieren entre los dos indicadores de precariedad utilizados, por lo que la relación es más compleja que lo que la</w:t>
      </w:r>
      <w:r>
        <w:rPr>
          <w:color w:val="231F20"/>
          <w:spacing w:val="-26"/>
        </w:rPr>
        <w:t> </w:t>
      </w:r>
      <w:r>
        <w:rPr>
          <w:color w:val="231F20"/>
        </w:rPr>
        <w:t>literatura inicialmente</w:t>
      </w:r>
      <w:r>
        <w:rPr>
          <w:color w:val="231F20"/>
          <w:spacing w:val="-10"/>
        </w:rPr>
        <w:t> </w:t>
      </w:r>
      <w:r>
        <w:rPr>
          <w:color w:val="231F20"/>
        </w:rPr>
        <w:t>señalaba.</w:t>
      </w:r>
    </w:p>
    <w:p>
      <w:pPr>
        <w:pStyle w:val="BodyText"/>
        <w:spacing w:line="249" w:lineRule="auto" w:before="1"/>
        <w:ind w:left="110" w:right="111" w:firstLine="342"/>
        <w:jc w:val="both"/>
      </w:pPr>
      <w:r>
        <w:rPr>
          <w:color w:val="231F20"/>
        </w:rPr>
        <w:t>Las mujeres tienen una probabilidad ligeramente menor de trabajar sin seguridad social, pero la segregación residencial diluye esa ventaja: en vecindarios de densa pobreza las chances del trabajo desprotegido femenino se incrementan, acercándose a los niveles de los hombres. Es- tos resultados apoyan las teorías que sugieren que las mujeres enfrentan doble riesgo frente a la segregación residencial, no sólo por las desven- tajas que ya enfrentan en el mercado de trabajo sino también por las re- laciones de género que refuerzan los efectos del vecindario y constriñen sus posibilidades de obtener trabajos formales. Por el otro lado, a pesar de que las mujeres tienen salarios por hora menores, la segregación re- sidencial va cerrando la brecha en tanto que, conforme aumenta la con- centración espacial de la pobreza, los salarios de todos los trabajadores disminuyen, pero los hombres lo hacen a mayor velocidad. Hasta cierto punto estos últimos resultados cuestionan hasta dónde las mujeres son quienes</w:t>
      </w:r>
      <w:r>
        <w:rPr>
          <w:color w:val="231F20"/>
          <w:spacing w:val="-8"/>
        </w:rPr>
        <w:t> </w:t>
      </w:r>
      <w:r>
        <w:rPr>
          <w:color w:val="231F20"/>
        </w:rPr>
        <w:t>enfrentan</w:t>
      </w:r>
      <w:r>
        <w:rPr>
          <w:color w:val="231F20"/>
          <w:spacing w:val="-9"/>
        </w:rPr>
        <w:t> </w:t>
      </w:r>
      <w:r>
        <w:rPr>
          <w:color w:val="231F20"/>
        </w:rPr>
        <w:t>los</w:t>
      </w:r>
      <w:r>
        <w:rPr>
          <w:color w:val="231F20"/>
          <w:spacing w:val="-9"/>
        </w:rPr>
        <w:t> </w:t>
      </w:r>
      <w:r>
        <w:rPr>
          <w:color w:val="231F20"/>
        </w:rPr>
        <w:t>mayores</w:t>
      </w:r>
      <w:r>
        <w:rPr>
          <w:color w:val="231F20"/>
          <w:spacing w:val="-9"/>
        </w:rPr>
        <w:t> </w:t>
      </w:r>
      <w:r>
        <w:rPr>
          <w:color w:val="231F20"/>
        </w:rPr>
        <w:t>desafíos</w:t>
      </w:r>
      <w:r>
        <w:rPr>
          <w:color w:val="231F20"/>
          <w:spacing w:val="-8"/>
        </w:rPr>
        <w:t> </w:t>
      </w:r>
      <w:r>
        <w:rPr>
          <w:color w:val="231F20"/>
        </w:rPr>
        <w:t>laborales</w:t>
      </w:r>
      <w:r>
        <w:rPr>
          <w:color w:val="231F20"/>
          <w:spacing w:val="-9"/>
        </w:rPr>
        <w:t> </w:t>
      </w:r>
      <w:r>
        <w:rPr>
          <w:color w:val="231F20"/>
        </w:rPr>
        <w:t>debido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segregación residencial. Los hombres parecen encarar condiciones particularmente precarias</w:t>
      </w:r>
      <w:r>
        <w:rPr>
          <w:color w:val="231F20"/>
          <w:spacing w:val="-11"/>
        </w:rPr>
        <w:t> </w:t>
      </w:r>
      <w:r>
        <w:rPr>
          <w:color w:val="231F20"/>
        </w:rPr>
        <w:t>en</w:t>
      </w:r>
      <w:r>
        <w:rPr>
          <w:color w:val="231F20"/>
          <w:spacing w:val="-12"/>
        </w:rPr>
        <w:t> </w:t>
      </w:r>
      <w:r>
        <w:rPr>
          <w:color w:val="231F20"/>
        </w:rPr>
        <w:t>términos</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ingresos,</w:t>
      </w:r>
      <w:r>
        <w:rPr>
          <w:color w:val="231F20"/>
          <w:spacing w:val="-12"/>
        </w:rPr>
        <w:t> </w:t>
      </w:r>
      <w:r>
        <w:rPr>
          <w:color w:val="231F20"/>
        </w:rPr>
        <w:t>este</w:t>
      </w:r>
      <w:r>
        <w:rPr>
          <w:color w:val="231F20"/>
          <w:spacing w:val="-12"/>
        </w:rPr>
        <w:t> </w:t>
      </w:r>
      <w:r>
        <w:rPr>
          <w:color w:val="231F20"/>
        </w:rPr>
        <w:t>hallazgo</w:t>
      </w:r>
      <w:r>
        <w:rPr>
          <w:color w:val="231F20"/>
          <w:spacing w:val="-11"/>
        </w:rPr>
        <w:t> </w:t>
      </w:r>
      <w:r>
        <w:rPr>
          <w:color w:val="231F20"/>
        </w:rPr>
        <w:t>coincide</w:t>
      </w:r>
      <w:r>
        <w:rPr>
          <w:color w:val="231F20"/>
          <w:spacing w:val="-12"/>
        </w:rPr>
        <w:t> </w:t>
      </w:r>
      <w:r>
        <w:rPr>
          <w:color w:val="231F20"/>
        </w:rPr>
        <w:t>con</w:t>
      </w:r>
      <w:r>
        <w:rPr>
          <w:color w:val="231F20"/>
          <w:spacing w:val="-12"/>
        </w:rPr>
        <w:t> </w:t>
      </w:r>
      <w:r>
        <w:rPr>
          <w:color w:val="231F20"/>
        </w:rPr>
        <w:t>estudios que</w:t>
      </w:r>
      <w:r>
        <w:rPr>
          <w:color w:val="231F20"/>
          <w:spacing w:val="-12"/>
        </w:rPr>
        <w:t> </w:t>
      </w:r>
      <w:r>
        <w:rPr>
          <w:color w:val="231F20"/>
        </w:rPr>
        <w:t>sugieren</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actual</w:t>
      </w:r>
      <w:r>
        <w:rPr>
          <w:color w:val="231F20"/>
          <w:spacing w:val="-12"/>
        </w:rPr>
        <w:t> </w:t>
      </w:r>
      <w:r>
        <w:rPr>
          <w:color w:val="231F20"/>
        </w:rPr>
        <w:t>economía</w:t>
      </w:r>
      <w:r>
        <w:rPr>
          <w:color w:val="231F20"/>
          <w:spacing w:val="-12"/>
        </w:rPr>
        <w:t> </w:t>
      </w:r>
      <w:r>
        <w:rPr>
          <w:color w:val="231F20"/>
        </w:rPr>
        <w:t>de</w:t>
      </w:r>
      <w:r>
        <w:rPr>
          <w:color w:val="231F20"/>
          <w:spacing w:val="-12"/>
        </w:rPr>
        <w:t> </w:t>
      </w:r>
      <w:r>
        <w:rPr>
          <w:color w:val="231F20"/>
        </w:rPr>
        <w:t>servicios,</w:t>
      </w:r>
      <w:r>
        <w:rPr>
          <w:color w:val="231F20"/>
          <w:spacing w:val="-11"/>
        </w:rPr>
        <w:t> </w:t>
      </w:r>
      <w:r>
        <w:rPr>
          <w:color w:val="231F20"/>
        </w:rPr>
        <w:t>los</w:t>
      </w:r>
      <w:r>
        <w:rPr>
          <w:color w:val="231F20"/>
          <w:spacing w:val="-12"/>
        </w:rPr>
        <w:t> </w:t>
      </w:r>
      <w:r>
        <w:rPr>
          <w:color w:val="231F20"/>
        </w:rPr>
        <w:t>hombres</w:t>
      </w:r>
      <w:r>
        <w:rPr>
          <w:color w:val="231F20"/>
          <w:spacing w:val="-12"/>
        </w:rPr>
        <w:t> </w:t>
      </w:r>
      <w:r>
        <w:rPr>
          <w:color w:val="231F20"/>
        </w:rPr>
        <w:t>parecen enfrentar mayores dificultades de obtener empleos estables y mantener ingresos tradicionalmente más altos que las mujeres debido al tipo de ocupaciones disponibles (Ariza, 2006).</w:t>
      </w:r>
    </w:p>
    <w:p>
      <w:pPr>
        <w:pStyle w:val="BodyText"/>
        <w:spacing w:line="249" w:lineRule="auto" w:before="1"/>
        <w:ind w:left="110" w:right="111" w:firstLine="283"/>
        <w:jc w:val="both"/>
      </w:pPr>
      <w:r>
        <w:rPr>
          <w:color w:val="231F20"/>
        </w:rPr>
        <w:t>Si bien los resultados de este trabajo son sugerentes, muestran la ne- cesidad de una mirada más detallada a la relación entre como el vecin- dario de residencia estructura las oportunidades de empleo de los</w:t>
      </w:r>
      <w:r>
        <w:rPr>
          <w:color w:val="231F20"/>
          <w:spacing w:val="-13"/>
        </w:rPr>
        <w:t> </w:t>
      </w:r>
      <w:r>
        <w:rPr>
          <w:color w:val="231F20"/>
        </w:rPr>
        <w:t>indivi- duos</w:t>
      </w:r>
      <w:r>
        <w:rPr>
          <w:color w:val="231F20"/>
          <w:spacing w:val="-11"/>
        </w:rPr>
        <w:t> </w:t>
      </w:r>
      <w:r>
        <w:rPr>
          <w:color w:val="231F20"/>
        </w:rPr>
        <w:t>y</w:t>
      </w:r>
      <w:r>
        <w:rPr>
          <w:color w:val="231F20"/>
          <w:spacing w:val="-10"/>
        </w:rPr>
        <w:t> </w:t>
      </w:r>
      <w:r>
        <w:rPr>
          <w:color w:val="231F20"/>
        </w:rPr>
        <w:t>cómo</w:t>
      </w:r>
      <w:r>
        <w:rPr>
          <w:color w:val="231F20"/>
          <w:spacing w:val="-11"/>
        </w:rPr>
        <w:t> </w:t>
      </w:r>
      <w:r>
        <w:rPr>
          <w:color w:val="231F20"/>
        </w:rPr>
        <w:t>la</w:t>
      </w:r>
      <w:r>
        <w:rPr>
          <w:color w:val="231F20"/>
          <w:spacing w:val="-10"/>
        </w:rPr>
        <w:t> </w:t>
      </w:r>
      <w:r>
        <w:rPr>
          <w:color w:val="231F20"/>
        </w:rPr>
        <w:t>geografía</w:t>
      </w:r>
      <w:r>
        <w:rPr>
          <w:color w:val="231F20"/>
          <w:spacing w:val="-10"/>
        </w:rPr>
        <w:t> </w:t>
      </w:r>
      <w:r>
        <w:rPr>
          <w:color w:val="231F20"/>
        </w:rPr>
        <w:t>de</w:t>
      </w:r>
      <w:r>
        <w:rPr>
          <w:color w:val="231F20"/>
          <w:spacing w:val="-10"/>
        </w:rPr>
        <w:t> </w:t>
      </w:r>
      <w:r>
        <w:rPr>
          <w:color w:val="231F20"/>
        </w:rPr>
        <w:t>los</w:t>
      </w:r>
      <w:r>
        <w:rPr>
          <w:color w:val="231F20"/>
          <w:spacing w:val="-11"/>
        </w:rPr>
        <w:t> </w:t>
      </w:r>
      <w:r>
        <w:rPr>
          <w:color w:val="231F20"/>
        </w:rPr>
        <w:t>mercados</w:t>
      </w:r>
      <w:r>
        <w:rPr>
          <w:color w:val="231F20"/>
          <w:spacing w:val="-11"/>
        </w:rPr>
        <w:t> </w:t>
      </w:r>
      <w:r>
        <w:rPr>
          <w:color w:val="231F20"/>
        </w:rPr>
        <w:t>laborales</w:t>
      </w:r>
      <w:r>
        <w:rPr>
          <w:color w:val="231F20"/>
          <w:spacing w:val="-11"/>
        </w:rPr>
        <w:t> </w:t>
      </w:r>
      <w:r>
        <w:rPr>
          <w:color w:val="231F20"/>
        </w:rPr>
        <w:t>y</w:t>
      </w:r>
      <w:r>
        <w:rPr>
          <w:color w:val="231F20"/>
          <w:spacing w:val="-10"/>
        </w:rPr>
        <w:t> </w:t>
      </w:r>
      <w:r>
        <w:rPr>
          <w:color w:val="231F20"/>
        </w:rPr>
        <w:t>residenciales</w:t>
      </w:r>
      <w:r>
        <w:rPr>
          <w:color w:val="231F20"/>
          <w:spacing w:val="-10"/>
        </w:rPr>
        <w:t> </w:t>
      </w:r>
      <w:r>
        <w:rPr>
          <w:color w:val="231F20"/>
        </w:rPr>
        <w:t>puede tener impactos diferenciados para hombres y</w:t>
      </w:r>
      <w:r>
        <w:rPr>
          <w:color w:val="231F20"/>
          <w:spacing w:val="-2"/>
        </w:rPr>
        <w:t> </w:t>
      </w:r>
      <w:r>
        <w:rPr>
          <w:color w:val="231F20"/>
        </w:rPr>
        <w:t>mujeres.</w:t>
      </w:r>
    </w:p>
    <w:p>
      <w:pPr>
        <w:spacing w:after="0" w:line="249" w:lineRule="auto"/>
        <w:jc w:val="both"/>
        <w:sectPr>
          <w:pgSz w:w="7770" w:h="11740"/>
          <w:pgMar w:header="0" w:footer="474" w:top="840" w:bottom="740" w:left="740" w:right="1020"/>
        </w:sectPr>
      </w:pPr>
    </w:p>
    <w:p>
      <w:pPr>
        <w:pStyle w:val="Heading4"/>
        <w:spacing w:before="47"/>
      </w:pPr>
      <w:r>
        <w:rPr>
          <w:w w:val="85"/>
        </w:rPr>
        <w:t>Bibliografía</w:t>
      </w:r>
    </w:p>
    <w:p>
      <w:pPr>
        <w:spacing w:line="254" w:lineRule="auto" w:before="211"/>
        <w:ind w:left="113" w:right="108" w:firstLine="0"/>
        <w:jc w:val="both"/>
        <w:rPr>
          <w:sz w:val="18"/>
        </w:rPr>
      </w:pPr>
      <w:r>
        <w:rPr>
          <w:color w:val="231F20"/>
          <w:sz w:val="18"/>
        </w:rPr>
        <w:t>Andalón Mabel y Luis López Calva (2003) </w:t>
      </w:r>
      <w:r>
        <w:rPr>
          <w:i/>
          <w:color w:val="231F20"/>
          <w:sz w:val="18"/>
        </w:rPr>
        <w:t>Inequality, Polarization, and Vio- </w:t>
      </w:r>
      <w:r>
        <w:rPr>
          <w:i/>
          <w:color w:val="231F20"/>
          <w:sz w:val="18"/>
        </w:rPr>
        <w:t>lent Crime: Evidence from Mexico</w:t>
      </w:r>
      <w:r>
        <w:rPr>
          <w:color w:val="231F20"/>
          <w:sz w:val="18"/>
        </w:rPr>
        <w:t>, Working Paper, Puebla: Universidad de Las Américas Puebla.</w:t>
      </w:r>
    </w:p>
    <w:p>
      <w:pPr>
        <w:spacing w:line="254" w:lineRule="auto" w:before="57"/>
        <w:ind w:left="113" w:right="109" w:firstLine="0"/>
        <w:jc w:val="both"/>
        <w:rPr>
          <w:sz w:val="18"/>
        </w:rPr>
      </w:pPr>
      <w:r>
        <w:rPr>
          <w:color w:val="231F20"/>
          <w:sz w:val="18"/>
        </w:rPr>
        <w:t>Ariza, Marina (2003) </w:t>
      </w:r>
      <w:r>
        <w:rPr>
          <w:i/>
          <w:color w:val="231F20"/>
          <w:sz w:val="18"/>
        </w:rPr>
        <w:t>La urbanizacion en México en el último cuarto del siglo </w:t>
      </w:r>
      <w:r>
        <w:rPr>
          <w:i/>
          <w:color w:val="231F20"/>
          <w:sz w:val="18"/>
        </w:rPr>
        <w:t>XX</w:t>
      </w:r>
      <w:r>
        <w:rPr>
          <w:color w:val="231F20"/>
          <w:sz w:val="18"/>
        </w:rPr>
        <w:t>, Nueva Jersey: Princeton University.</w:t>
      </w:r>
    </w:p>
    <w:p>
      <w:pPr>
        <w:spacing w:line="254" w:lineRule="auto" w:before="57"/>
        <w:ind w:left="113" w:right="108" w:firstLine="0"/>
        <w:jc w:val="both"/>
        <w:rPr>
          <w:sz w:val="18"/>
        </w:rPr>
      </w:pPr>
      <w:r>
        <w:rPr>
          <w:color w:val="231F20"/>
          <w:sz w:val="18"/>
        </w:rPr>
        <w:t>Ariza, Marina (2006) “Mercados de trabajo urbanos y desigualdad de género en México</w:t>
      </w:r>
      <w:r>
        <w:rPr>
          <w:color w:val="231F20"/>
          <w:spacing w:val="-10"/>
          <w:sz w:val="18"/>
        </w:rPr>
        <w:t> </w:t>
      </w:r>
      <w:r>
        <w:rPr>
          <w:color w:val="231F20"/>
          <w:sz w:val="18"/>
        </w:rPr>
        <w:t>a</w:t>
      </w:r>
      <w:r>
        <w:rPr>
          <w:color w:val="231F20"/>
          <w:spacing w:val="-10"/>
          <w:sz w:val="18"/>
        </w:rPr>
        <w:t> </w:t>
      </w:r>
      <w:r>
        <w:rPr>
          <w:color w:val="231F20"/>
          <w:sz w:val="18"/>
        </w:rPr>
        <w:t>principios</w:t>
      </w:r>
      <w:r>
        <w:rPr>
          <w:color w:val="231F20"/>
          <w:spacing w:val="-10"/>
          <w:sz w:val="18"/>
        </w:rPr>
        <w:t> </w:t>
      </w:r>
      <w:r>
        <w:rPr>
          <w:color w:val="231F20"/>
          <w:sz w:val="18"/>
        </w:rPr>
        <w:t>del</w:t>
      </w:r>
      <w:r>
        <w:rPr>
          <w:color w:val="231F20"/>
          <w:spacing w:val="-10"/>
          <w:sz w:val="18"/>
        </w:rPr>
        <w:t> </w:t>
      </w:r>
      <w:r>
        <w:rPr>
          <w:color w:val="231F20"/>
          <w:sz w:val="18"/>
        </w:rPr>
        <w:t>siglo</w:t>
      </w:r>
      <w:r>
        <w:rPr>
          <w:color w:val="231F20"/>
          <w:spacing w:val="-10"/>
          <w:sz w:val="18"/>
        </w:rPr>
        <w:t> </w:t>
      </w:r>
      <w:r>
        <w:rPr>
          <w:color w:val="231F20"/>
          <w:sz w:val="18"/>
        </w:rPr>
        <w:t>XXI”,</w:t>
      </w:r>
      <w:r>
        <w:rPr>
          <w:color w:val="231F20"/>
          <w:spacing w:val="-10"/>
          <w:sz w:val="18"/>
        </w:rPr>
        <w:t> </w:t>
      </w:r>
      <w:r>
        <w:rPr>
          <w:color w:val="231F20"/>
          <w:sz w:val="18"/>
        </w:rPr>
        <w:t>en</w:t>
      </w:r>
      <w:r>
        <w:rPr>
          <w:color w:val="231F20"/>
          <w:spacing w:val="-10"/>
          <w:sz w:val="18"/>
        </w:rPr>
        <w:t> </w:t>
      </w:r>
      <w:r>
        <w:rPr>
          <w:color w:val="231F20"/>
          <w:sz w:val="18"/>
        </w:rPr>
        <w:t>Enrique</w:t>
      </w:r>
      <w:r>
        <w:rPr>
          <w:color w:val="231F20"/>
          <w:spacing w:val="-11"/>
          <w:sz w:val="18"/>
        </w:rPr>
        <w:t> </w:t>
      </w:r>
      <w:r>
        <w:rPr>
          <w:color w:val="231F20"/>
          <w:sz w:val="18"/>
        </w:rPr>
        <w:t>De</w:t>
      </w:r>
      <w:r>
        <w:rPr>
          <w:color w:val="231F20"/>
          <w:spacing w:val="-10"/>
          <w:sz w:val="18"/>
        </w:rPr>
        <w:t> </w:t>
      </w:r>
      <w:r>
        <w:rPr>
          <w:color w:val="231F20"/>
          <w:sz w:val="18"/>
        </w:rPr>
        <w:t>la</w:t>
      </w:r>
      <w:r>
        <w:rPr>
          <w:color w:val="231F20"/>
          <w:spacing w:val="-10"/>
          <w:sz w:val="18"/>
        </w:rPr>
        <w:t> </w:t>
      </w:r>
      <w:r>
        <w:rPr>
          <w:color w:val="231F20"/>
          <w:sz w:val="18"/>
        </w:rPr>
        <w:t>Garza</w:t>
      </w:r>
      <w:r>
        <w:rPr>
          <w:color w:val="231F20"/>
          <w:spacing w:val="-10"/>
          <w:sz w:val="18"/>
        </w:rPr>
        <w:t> </w:t>
      </w:r>
      <w:r>
        <w:rPr>
          <w:color w:val="231F20"/>
          <w:sz w:val="18"/>
        </w:rPr>
        <w:t>y</w:t>
      </w:r>
      <w:r>
        <w:rPr>
          <w:color w:val="231F20"/>
          <w:spacing w:val="-10"/>
          <w:sz w:val="18"/>
        </w:rPr>
        <w:t> </w:t>
      </w:r>
      <w:r>
        <w:rPr>
          <w:color w:val="231F20"/>
          <w:sz w:val="18"/>
        </w:rPr>
        <w:t>Carlos</w:t>
      </w:r>
      <w:r>
        <w:rPr>
          <w:color w:val="231F20"/>
          <w:spacing w:val="-10"/>
          <w:sz w:val="18"/>
        </w:rPr>
        <w:t> </w:t>
      </w:r>
      <w:r>
        <w:rPr>
          <w:color w:val="231F20"/>
          <w:sz w:val="18"/>
        </w:rPr>
        <w:t>Salas</w:t>
      </w:r>
      <w:r>
        <w:rPr>
          <w:color w:val="231F20"/>
          <w:spacing w:val="-10"/>
          <w:sz w:val="18"/>
        </w:rPr>
        <w:t> </w:t>
      </w:r>
      <w:r>
        <w:rPr>
          <w:color w:val="231F20"/>
          <w:sz w:val="18"/>
        </w:rPr>
        <w:t>(eds.), </w:t>
      </w:r>
      <w:r>
        <w:rPr>
          <w:i/>
          <w:color w:val="231F20"/>
          <w:sz w:val="18"/>
        </w:rPr>
        <w:t>La</w:t>
      </w:r>
      <w:r>
        <w:rPr>
          <w:i/>
          <w:color w:val="231F20"/>
          <w:spacing w:val="-4"/>
          <w:sz w:val="18"/>
        </w:rPr>
        <w:t> </w:t>
      </w:r>
      <w:r>
        <w:rPr>
          <w:i/>
          <w:color w:val="231F20"/>
          <w:sz w:val="18"/>
        </w:rPr>
        <w:t>situación</w:t>
      </w:r>
      <w:r>
        <w:rPr>
          <w:i/>
          <w:color w:val="231F20"/>
          <w:spacing w:val="-4"/>
          <w:sz w:val="18"/>
        </w:rPr>
        <w:t> </w:t>
      </w:r>
      <w:r>
        <w:rPr>
          <w:i/>
          <w:color w:val="231F20"/>
          <w:sz w:val="18"/>
        </w:rPr>
        <w:t>del</w:t>
      </w:r>
      <w:r>
        <w:rPr>
          <w:i/>
          <w:color w:val="231F20"/>
          <w:spacing w:val="-4"/>
          <w:sz w:val="18"/>
        </w:rPr>
        <w:t> </w:t>
      </w:r>
      <w:r>
        <w:rPr>
          <w:i/>
          <w:color w:val="231F20"/>
          <w:sz w:val="18"/>
        </w:rPr>
        <w:t>trabajo</w:t>
      </w:r>
      <w:r>
        <w:rPr>
          <w:i/>
          <w:color w:val="231F20"/>
          <w:spacing w:val="-4"/>
          <w:sz w:val="18"/>
        </w:rPr>
        <w:t> </w:t>
      </w:r>
      <w:r>
        <w:rPr>
          <w:i/>
          <w:color w:val="231F20"/>
          <w:sz w:val="18"/>
        </w:rPr>
        <w:t>en</w:t>
      </w:r>
      <w:r>
        <w:rPr>
          <w:i/>
          <w:color w:val="231F20"/>
          <w:spacing w:val="-4"/>
          <w:sz w:val="18"/>
        </w:rPr>
        <w:t> </w:t>
      </w:r>
      <w:r>
        <w:rPr>
          <w:i/>
          <w:color w:val="231F20"/>
          <w:sz w:val="18"/>
        </w:rPr>
        <w:t>México,</w:t>
      </w:r>
      <w:r>
        <w:rPr>
          <w:i/>
          <w:color w:val="231F20"/>
          <w:spacing w:val="-4"/>
          <w:sz w:val="18"/>
        </w:rPr>
        <w:t> </w:t>
      </w:r>
      <w:r>
        <w:rPr>
          <w:i/>
          <w:color w:val="231F20"/>
          <w:sz w:val="18"/>
        </w:rPr>
        <w:t>2006</w:t>
      </w:r>
      <w:r>
        <w:rPr>
          <w:color w:val="231F20"/>
          <w:sz w:val="18"/>
        </w:rPr>
        <w:t>,</w:t>
      </w:r>
      <w:r>
        <w:rPr>
          <w:color w:val="231F20"/>
          <w:spacing w:val="-4"/>
          <w:sz w:val="18"/>
        </w:rPr>
        <w:t> </w:t>
      </w:r>
      <w:r>
        <w:rPr>
          <w:color w:val="231F20"/>
          <w:sz w:val="18"/>
        </w:rPr>
        <w:t>México:</w:t>
      </w:r>
      <w:r>
        <w:rPr>
          <w:color w:val="231F20"/>
          <w:spacing w:val="-4"/>
          <w:sz w:val="18"/>
        </w:rPr>
        <w:t> </w:t>
      </w:r>
      <w:r>
        <w:rPr>
          <w:color w:val="231F20"/>
          <w:sz w:val="18"/>
        </w:rPr>
        <w:t>Universidad</w:t>
      </w:r>
      <w:r>
        <w:rPr>
          <w:color w:val="231F20"/>
          <w:spacing w:val="-13"/>
          <w:sz w:val="18"/>
        </w:rPr>
        <w:t> </w:t>
      </w:r>
      <w:r>
        <w:rPr>
          <w:color w:val="231F20"/>
          <w:sz w:val="18"/>
        </w:rPr>
        <w:t>Autónoma</w:t>
      </w:r>
      <w:r>
        <w:rPr>
          <w:color w:val="231F20"/>
          <w:spacing w:val="-4"/>
          <w:sz w:val="18"/>
        </w:rPr>
        <w:t> </w:t>
      </w:r>
      <w:r>
        <w:rPr>
          <w:color w:val="231F20"/>
          <w:sz w:val="18"/>
        </w:rPr>
        <w:t>Met- ropolitana; Solidarity Center; Instituto de Estudios del Trabajo; Plaza y</w:t>
      </w:r>
      <w:r>
        <w:rPr>
          <w:color w:val="231F20"/>
          <w:spacing w:val="-28"/>
          <w:sz w:val="18"/>
        </w:rPr>
        <w:t> </w:t>
      </w:r>
      <w:r>
        <w:rPr>
          <w:color w:val="231F20"/>
          <w:spacing w:val="-3"/>
          <w:sz w:val="18"/>
        </w:rPr>
        <w:t>Valdés.</w:t>
      </w:r>
    </w:p>
    <w:p>
      <w:pPr>
        <w:spacing w:line="254" w:lineRule="auto" w:before="57"/>
        <w:ind w:left="113" w:right="108" w:firstLine="0"/>
        <w:jc w:val="both"/>
        <w:rPr>
          <w:sz w:val="18"/>
        </w:rPr>
      </w:pPr>
      <w:r>
        <w:rPr>
          <w:color w:val="231F20"/>
          <w:sz w:val="18"/>
        </w:rPr>
        <w:t>Ariza, Marina y Patricia Solís (2009) “Dinámica socioeconómica y segregación espacial</w:t>
      </w:r>
      <w:r>
        <w:rPr>
          <w:color w:val="231F20"/>
          <w:spacing w:val="-7"/>
          <w:sz w:val="18"/>
        </w:rPr>
        <w:t> </w:t>
      </w:r>
      <w:r>
        <w:rPr>
          <w:color w:val="231F20"/>
          <w:sz w:val="18"/>
        </w:rPr>
        <w:t>en</w:t>
      </w:r>
      <w:r>
        <w:rPr>
          <w:color w:val="231F20"/>
          <w:spacing w:val="-7"/>
          <w:sz w:val="18"/>
        </w:rPr>
        <w:t> </w:t>
      </w:r>
      <w:r>
        <w:rPr>
          <w:color w:val="231F20"/>
          <w:sz w:val="18"/>
        </w:rPr>
        <w:t>tres</w:t>
      </w:r>
      <w:r>
        <w:rPr>
          <w:color w:val="231F20"/>
          <w:spacing w:val="-7"/>
          <w:sz w:val="18"/>
        </w:rPr>
        <w:t> </w:t>
      </w:r>
      <w:r>
        <w:rPr>
          <w:color w:val="231F20"/>
          <w:sz w:val="18"/>
        </w:rPr>
        <w:t>áreas</w:t>
      </w:r>
      <w:r>
        <w:rPr>
          <w:color w:val="231F20"/>
          <w:spacing w:val="-7"/>
          <w:sz w:val="18"/>
        </w:rPr>
        <w:t> </w:t>
      </w:r>
      <w:r>
        <w:rPr>
          <w:color w:val="231F20"/>
          <w:sz w:val="18"/>
        </w:rPr>
        <w:t>metropolitanas</w:t>
      </w:r>
      <w:r>
        <w:rPr>
          <w:color w:val="231F20"/>
          <w:spacing w:val="-7"/>
          <w:sz w:val="18"/>
        </w:rPr>
        <w:t> </w:t>
      </w:r>
      <w:r>
        <w:rPr>
          <w:color w:val="231F20"/>
          <w:sz w:val="18"/>
        </w:rPr>
        <w:t>de</w:t>
      </w:r>
      <w:r>
        <w:rPr>
          <w:color w:val="231F20"/>
          <w:spacing w:val="-7"/>
          <w:sz w:val="18"/>
        </w:rPr>
        <w:t> </w:t>
      </w:r>
      <w:r>
        <w:rPr>
          <w:color w:val="231F20"/>
          <w:sz w:val="18"/>
        </w:rPr>
        <w:t>México,</w:t>
      </w:r>
      <w:r>
        <w:rPr>
          <w:color w:val="231F20"/>
          <w:spacing w:val="-7"/>
          <w:sz w:val="18"/>
        </w:rPr>
        <w:t> </w:t>
      </w:r>
      <w:r>
        <w:rPr>
          <w:color w:val="231F20"/>
          <w:sz w:val="18"/>
        </w:rPr>
        <w:t>1990</w:t>
      </w:r>
      <w:r>
        <w:rPr>
          <w:color w:val="231F20"/>
          <w:spacing w:val="-7"/>
          <w:sz w:val="18"/>
        </w:rPr>
        <w:t> </w:t>
      </w:r>
      <w:r>
        <w:rPr>
          <w:color w:val="231F20"/>
          <w:sz w:val="18"/>
        </w:rPr>
        <w:t>y</w:t>
      </w:r>
      <w:r>
        <w:rPr>
          <w:color w:val="231F20"/>
          <w:spacing w:val="-7"/>
          <w:sz w:val="18"/>
        </w:rPr>
        <w:t> </w:t>
      </w:r>
      <w:r>
        <w:rPr>
          <w:color w:val="231F20"/>
          <w:sz w:val="18"/>
        </w:rPr>
        <w:t>2000”,</w:t>
      </w:r>
      <w:r>
        <w:rPr>
          <w:color w:val="231F20"/>
          <w:spacing w:val="-7"/>
          <w:sz w:val="18"/>
        </w:rPr>
        <w:t> </w:t>
      </w:r>
      <w:r>
        <w:rPr>
          <w:color w:val="231F20"/>
          <w:sz w:val="18"/>
        </w:rPr>
        <w:t>en</w:t>
      </w:r>
      <w:r>
        <w:rPr>
          <w:color w:val="231F20"/>
          <w:spacing w:val="-7"/>
          <w:sz w:val="18"/>
        </w:rPr>
        <w:t> </w:t>
      </w:r>
      <w:r>
        <w:rPr>
          <w:i/>
          <w:color w:val="231F20"/>
          <w:sz w:val="18"/>
        </w:rPr>
        <w:t>Estudios</w:t>
      </w:r>
      <w:r>
        <w:rPr>
          <w:i/>
          <w:color w:val="231F20"/>
          <w:spacing w:val="-7"/>
          <w:sz w:val="18"/>
        </w:rPr>
        <w:t> </w:t>
      </w:r>
      <w:r>
        <w:rPr>
          <w:i/>
          <w:color w:val="231F20"/>
          <w:sz w:val="18"/>
        </w:rPr>
        <w:t>Soci- </w:t>
      </w:r>
      <w:r>
        <w:rPr>
          <w:i/>
          <w:color w:val="231F20"/>
          <w:sz w:val="18"/>
        </w:rPr>
        <w:t>ológicos</w:t>
      </w:r>
      <w:r>
        <w:rPr>
          <w:color w:val="231F20"/>
          <w:sz w:val="18"/>
        </w:rPr>
        <w:t>, núm. 79, vol. 27, enero-abril, México: El Colegio de</w:t>
      </w:r>
      <w:r>
        <w:rPr>
          <w:color w:val="231F20"/>
          <w:spacing w:val="-14"/>
          <w:sz w:val="18"/>
        </w:rPr>
        <w:t> </w:t>
      </w:r>
      <w:r>
        <w:rPr>
          <w:color w:val="231F20"/>
          <w:sz w:val="18"/>
        </w:rPr>
        <w:t>México.</w:t>
      </w:r>
    </w:p>
    <w:p>
      <w:pPr>
        <w:spacing w:line="254" w:lineRule="auto" w:before="57"/>
        <w:ind w:left="113" w:right="108" w:firstLine="0"/>
        <w:jc w:val="both"/>
        <w:rPr>
          <w:sz w:val="18"/>
        </w:rPr>
      </w:pPr>
      <w:r>
        <w:rPr>
          <w:color w:val="231F20"/>
          <w:sz w:val="18"/>
        </w:rPr>
        <w:t>Arriagada, Camilo y Jorge Rodríguez (2003) “Segregación residencial en áreas metropolitanas de América Latina: magnitud, características, evolución e impli- caciones de política”, en Series </w:t>
      </w:r>
      <w:r>
        <w:rPr>
          <w:i/>
          <w:color w:val="231F20"/>
          <w:sz w:val="18"/>
        </w:rPr>
        <w:t>Población y Desarollo </w:t>
      </w:r>
      <w:r>
        <w:rPr>
          <w:color w:val="231F20"/>
          <w:sz w:val="18"/>
        </w:rPr>
        <w:t>47, Santiago de Chile: Celade-División de Población, UNFPA, Cepal.</w:t>
      </w:r>
    </w:p>
    <w:p>
      <w:pPr>
        <w:spacing w:line="254" w:lineRule="auto" w:before="57"/>
        <w:ind w:left="113" w:right="108" w:firstLine="0"/>
        <w:jc w:val="both"/>
        <w:rPr>
          <w:sz w:val="18"/>
        </w:rPr>
      </w:pPr>
      <w:r>
        <w:rPr>
          <w:color w:val="231F20"/>
          <w:sz w:val="18"/>
        </w:rPr>
        <w:t>Bauder, Harald (2001) “Culture in the labor market: segmentation theory and perspectives of place”, en </w:t>
      </w:r>
      <w:r>
        <w:rPr>
          <w:i/>
          <w:color w:val="231F20"/>
          <w:sz w:val="18"/>
        </w:rPr>
        <w:t>Progress in Human Geography</w:t>
      </w:r>
      <w:r>
        <w:rPr>
          <w:color w:val="231F20"/>
          <w:sz w:val="18"/>
        </w:rPr>
        <w:t>, núm. 25: 37, Austra- lia: University of Wollongong.</w:t>
      </w:r>
    </w:p>
    <w:p>
      <w:pPr>
        <w:spacing w:line="254" w:lineRule="auto" w:before="57"/>
        <w:ind w:left="113" w:right="108" w:firstLine="0"/>
        <w:jc w:val="both"/>
        <w:rPr>
          <w:sz w:val="18"/>
        </w:rPr>
      </w:pPr>
      <w:r>
        <w:rPr>
          <w:color w:val="231F20"/>
          <w:sz w:val="18"/>
        </w:rPr>
        <w:t>Barnes, Sandra (2003) “Determinants of Individual Neighborhood Ties and So- ciological Resources in Poor Urban Neighborhoods”, en </w:t>
      </w:r>
      <w:r>
        <w:rPr>
          <w:i/>
          <w:color w:val="231F20"/>
          <w:sz w:val="18"/>
        </w:rPr>
        <w:t>Sociological Spectrum, </w:t>
      </w:r>
      <w:r>
        <w:rPr>
          <w:color w:val="231F20"/>
          <w:sz w:val="18"/>
        </w:rPr>
        <w:t>núm. 26, Oxon: Taylor &amp; Francis.</w:t>
      </w:r>
    </w:p>
    <w:p>
      <w:pPr>
        <w:spacing w:line="254" w:lineRule="auto" w:before="57"/>
        <w:ind w:left="113" w:right="107" w:firstLine="0"/>
        <w:jc w:val="both"/>
        <w:rPr>
          <w:sz w:val="18"/>
        </w:rPr>
      </w:pPr>
      <w:r>
        <w:rPr>
          <w:color w:val="231F20"/>
          <w:sz w:val="18"/>
        </w:rPr>
        <w:t>Bifulco, Robert (2002) “Addressing Self-selection Bias in a quasi-experimental evaluation of whole-school reform: a comparison of methods”, en </w:t>
      </w:r>
      <w:r>
        <w:rPr>
          <w:i/>
          <w:color w:val="231F20"/>
          <w:sz w:val="18"/>
        </w:rPr>
        <w:t>Evaluation </w:t>
      </w:r>
      <w:r>
        <w:rPr>
          <w:i/>
          <w:color w:val="231F20"/>
          <w:sz w:val="18"/>
        </w:rPr>
        <w:t>Review</w:t>
      </w:r>
      <w:r>
        <w:rPr>
          <w:color w:val="231F20"/>
          <w:sz w:val="18"/>
        </w:rPr>
        <w:t>, vol 26, núm. 5, octubre, Durham: Duke University.</w:t>
      </w:r>
    </w:p>
    <w:p>
      <w:pPr>
        <w:spacing w:line="254" w:lineRule="auto" w:before="57"/>
        <w:ind w:left="113" w:right="108" w:firstLine="0"/>
        <w:jc w:val="both"/>
        <w:rPr>
          <w:sz w:val="18"/>
        </w:rPr>
      </w:pPr>
      <w:r>
        <w:rPr>
          <w:color w:val="231F20"/>
          <w:sz w:val="18"/>
        </w:rPr>
        <w:t>Cohen, Cathy y Michael Dawson (1993) “Neighborhood Poverty and African American Politics”, en </w:t>
      </w:r>
      <w:r>
        <w:rPr>
          <w:i/>
          <w:color w:val="231F20"/>
          <w:sz w:val="18"/>
        </w:rPr>
        <w:t>American Political Science Review</w:t>
      </w:r>
      <w:r>
        <w:rPr>
          <w:color w:val="231F20"/>
          <w:sz w:val="18"/>
        </w:rPr>
        <w:t>, núm. 87, Denton: University of North Texas.</w:t>
      </w:r>
    </w:p>
    <w:p>
      <w:pPr>
        <w:spacing w:line="254" w:lineRule="auto" w:before="57"/>
        <w:ind w:left="113" w:right="108" w:firstLine="0"/>
        <w:jc w:val="both"/>
        <w:rPr>
          <w:sz w:val="18"/>
        </w:rPr>
      </w:pPr>
      <w:r>
        <w:rPr>
          <w:color w:val="231F20"/>
          <w:sz w:val="18"/>
        </w:rPr>
        <w:t>Comité Técnico para la Medición de la Pobreza (2005) “Recomendaciones metodológicas para la evaluación intertemporal de niveles de pobreza en Méxi- co (2000-2002)”, en Miguel Székely Pardo (coord.), </w:t>
      </w:r>
      <w:r>
        <w:rPr>
          <w:i/>
          <w:color w:val="231F20"/>
          <w:sz w:val="18"/>
        </w:rPr>
        <w:t>Números que mueven al </w:t>
      </w:r>
      <w:r>
        <w:rPr>
          <w:i/>
          <w:color w:val="231F20"/>
          <w:sz w:val="18"/>
        </w:rPr>
        <w:t>mundo: la medición de la pobreza en México</w:t>
      </w:r>
      <w:r>
        <w:rPr>
          <w:color w:val="231F20"/>
          <w:sz w:val="18"/>
        </w:rPr>
        <w:t>, México: Asociación Nacional de Universidades de Educación Superior; Centro de Investigaciones y Docencia Económicas; Secretaría de Desarrollo Social; Miguel Ángel Porrúa.</w:t>
      </w:r>
    </w:p>
    <w:p>
      <w:pPr>
        <w:spacing w:line="254" w:lineRule="auto" w:before="57"/>
        <w:ind w:left="113" w:right="108" w:firstLine="0"/>
        <w:jc w:val="both"/>
        <w:rPr>
          <w:sz w:val="18"/>
        </w:rPr>
      </w:pPr>
      <w:r>
        <w:rPr>
          <w:color w:val="231F20"/>
          <w:sz w:val="18"/>
        </w:rPr>
        <w:t>Cooke, Thomas (1997) “Geographic access to Job Opportunities and labor force participation</w:t>
      </w:r>
      <w:r>
        <w:rPr>
          <w:color w:val="231F20"/>
          <w:spacing w:val="-11"/>
          <w:sz w:val="18"/>
        </w:rPr>
        <w:t> </w:t>
      </w:r>
      <w:r>
        <w:rPr>
          <w:color w:val="231F20"/>
          <w:sz w:val="18"/>
        </w:rPr>
        <w:t>among</w:t>
      </w:r>
      <w:r>
        <w:rPr>
          <w:color w:val="231F20"/>
          <w:spacing w:val="-11"/>
          <w:sz w:val="18"/>
        </w:rPr>
        <w:t> </w:t>
      </w:r>
      <w:r>
        <w:rPr>
          <w:color w:val="231F20"/>
          <w:sz w:val="18"/>
        </w:rPr>
        <w:t>women</w:t>
      </w:r>
      <w:r>
        <w:rPr>
          <w:color w:val="231F20"/>
          <w:spacing w:val="-11"/>
          <w:sz w:val="18"/>
        </w:rPr>
        <w:t> </w:t>
      </w:r>
      <w:r>
        <w:rPr>
          <w:color w:val="231F20"/>
          <w:sz w:val="18"/>
        </w:rPr>
        <w:t>and</w:t>
      </w:r>
      <w:r>
        <w:rPr>
          <w:color w:val="231F20"/>
          <w:spacing w:val="-20"/>
          <w:sz w:val="18"/>
        </w:rPr>
        <w:t> </w:t>
      </w:r>
      <w:r>
        <w:rPr>
          <w:color w:val="231F20"/>
          <w:sz w:val="18"/>
        </w:rPr>
        <w:t>African</w:t>
      </w:r>
      <w:r>
        <w:rPr>
          <w:color w:val="231F20"/>
          <w:spacing w:val="-20"/>
          <w:sz w:val="18"/>
        </w:rPr>
        <w:t> </w:t>
      </w:r>
      <w:r>
        <w:rPr>
          <w:color w:val="231F20"/>
          <w:sz w:val="18"/>
        </w:rPr>
        <w:t>Americans</w:t>
      </w:r>
      <w:r>
        <w:rPr>
          <w:color w:val="231F20"/>
          <w:spacing w:val="-10"/>
          <w:sz w:val="18"/>
        </w:rPr>
        <w:t> </w:t>
      </w:r>
      <w:r>
        <w:rPr>
          <w:color w:val="231F20"/>
          <w:sz w:val="18"/>
        </w:rPr>
        <w:t>in</w:t>
      </w:r>
      <w:r>
        <w:rPr>
          <w:color w:val="231F20"/>
          <w:spacing w:val="-11"/>
          <w:sz w:val="18"/>
        </w:rPr>
        <w:t> </w:t>
      </w:r>
      <w:r>
        <w:rPr>
          <w:color w:val="231F20"/>
          <w:sz w:val="18"/>
        </w:rPr>
        <w:t>the</w:t>
      </w:r>
      <w:r>
        <w:rPr>
          <w:color w:val="231F20"/>
          <w:spacing w:val="-11"/>
          <w:sz w:val="18"/>
        </w:rPr>
        <w:t> </w:t>
      </w:r>
      <w:r>
        <w:rPr>
          <w:color w:val="231F20"/>
          <w:sz w:val="18"/>
        </w:rPr>
        <w:t>Greater</w:t>
      </w:r>
      <w:r>
        <w:rPr>
          <w:color w:val="231F20"/>
          <w:spacing w:val="-11"/>
          <w:sz w:val="18"/>
        </w:rPr>
        <w:t> </w:t>
      </w:r>
      <w:r>
        <w:rPr>
          <w:color w:val="231F20"/>
          <w:sz w:val="18"/>
        </w:rPr>
        <w:t>Boston</w:t>
      </w:r>
      <w:r>
        <w:rPr>
          <w:color w:val="231F20"/>
          <w:spacing w:val="-11"/>
          <w:sz w:val="18"/>
        </w:rPr>
        <w:t> </w:t>
      </w:r>
      <w:r>
        <w:rPr>
          <w:color w:val="231F20"/>
          <w:sz w:val="18"/>
        </w:rPr>
        <w:t>Metro- politan</w:t>
      </w:r>
      <w:r>
        <w:rPr>
          <w:color w:val="231F20"/>
          <w:spacing w:val="-12"/>
          <w:sz w:val="18"/>
        </w:rPr>
        <w:t> </w:t>
      </w:r>
      <w:r>
        <w:rPr>
          <w:color w:val="231F20"/>
          <w:sz w:val="18"/>
        </w:rPr>
        <w:t>Area”,</w:t>
      </w:r>
      <w:r>
        <w:rPr>
          <w:color w:val="231F20"/>
          <w:spacing w:val="-3"/>
          <w:sz w:val="18"/>
        </w:rPr>
        <w:t> </w:t>
      </w:r>
      <w:r>
        <w:rPr>
          <w:color w:val="231F20"/>
          <w:sz w:val="18"/>
        </w:rPr>
        <w:t>en</w:t>
      </w:r>
      <w:r>
        <w:rPr>
          <w:color w:val="231F20"/>
          <w:spacing w:val="-4"/>
          <w:sz w:val="18"/>
        </w:rPr>
        <w:t> </w:t>
      </w:r>
      <w:r>
        <w:rPr>
          <w:i/>
          <w:color w:val="231F20"/>
          <w:sz w:val="18"/>
        </w:rPr>
        <w:t>Urban</w:t>
      </w:r>
      <w:r>
        <w:rPr>
          <w:i/>
          <w:color w:val="231F20"/>
          <w:spacing w:val="-3"/>
          <w:sz w:val="18"/>
        </w:rPr>
        <w:t> </w:t>
      </w:r>
      <w:r>
        <w:rPr>
          <w:i/>
          <w:color w:val="231F20"/>
          <w:sz w:val="18"/>
        </w:rPr>
        <w:t>Geography</w:t>
      </w:r>
      <w:r>
        <w:rPr>
          <w:i/>
          <w:color w:val="231F20"/>
          <w:spacing w:val="-3"/>
          <w:sz w:val="18"/>
        </w:rPr>
        <w:t> </w:t>
      </w:r>
      <w:r>
        <w:rPr>
          <w:color w:val="231F20"/>
          <w:sz w:val="18"/>
        </w:rPr>
        <w:t>vol.</w:t>
      </w:r>
      <w:r>
        <w:rPr>
          <w:color w:val="231F20"/>
          <w:spacing w:val="-3"/>
          <w:sz w:val="18"/>
        </w:rPr>
        <w:t> </w:t>
      </w:r>
      <w:r>
        <w:rPr>
          <w:color w:val="231F20"/>
          <w:sz w:val="18"/>
        </w:rPr>
        <w:t>18,</w:t>
      </w:r>
      <w:r>
        <w:rPr>
          <w:color w:val="231F20"/>
          <w:spacing w:val="-3"/>
          <w:sz w:val="18"/>
        </w:rPr>
        <w:t> </w:t>
      </w:r>
      <w:r>
        <w:rPr>
          <w:color w:val="231F20"/>
          <w:sz w:val="18"/>
        </w:rPr>
        <w:t>Oxon:</w:t>
      </w:r>
      <w:r>
        <w:rPr>
          <w:color w:val="231F20"/>
          <w:spacing w:val="-6"/>
          <w:sz w:val="18"/>
        </w:rPr>
        <w:t> </w:t>
      </w:r>
      <w:r>
        <w:rPr>
          <w:color w:val="231F20"/>
          <w:spacing w:val="-3"/>
          <w:sz w:val="18"/>
        </w:rPr>
        <w:t>Taylor</w:t>
      </w:r>
      <w:r>
        <w:rPr>
          <w:color w:val="231F20"/>
          <w:spacing w:val="-4"/>
          <w:sz w:val="18"/>
        </w:rPr>
        <w:t> </w:t>
      </w:r>
      <w:r>
        <w:rPr>
          <w:color w:val="231F20"/>
          <w:sz w:val="18"/>
        </w:rPr>
        <w:t>&amp;</w:t>
      </w:r>
      <w:r>
        <w:rPr>
          <w:color w:val="231F20"/>
          <w:spacing w:val="-3"/>
          <w:sz w:val="18"/>
        </w:rPr>
        <w:t> </w:t>
      </w:r>
      <w:r>
        <w:rPr>
          <w:color w:val="231F20"/>
          <w:sz w:val="18"/>
        </w:rPr>
        <w:t>Francis.</w:t>
      </w:r>
    </w:p>
    <w:p>
      <w:pPr>
        <w:spacing w:line="254" w:lineRule="auto" w:before="57"/>
        <w:ind w:left="113" w:right="108" w:firstLine="0"/>
        <w:jc w:val="both"/>
        <w:rPr>
          <w:sz w:val="18"/>
        </w:rPr>
      </w:pPr>
      <w:r>
        <w:rPr>
          <w:color w:val="231F20"/>
          <w:sz w:val="18"/>
        </w:rPr>
        <w:t>De Queiroz Ribeiro, Luis y Orlando Dos Santos (2003) “Democracia e segre- gação urbana: reflexões sobre a relação entre cidade e cidadania na sociedade</w:t>
      </w:r>
    </w:p>
    <w:p>
      <w:pPr>
        <w:spacing w:after="0" w:line="254" w:lineRule="auto"/>
        <w:jc w:val="both"/>
        <w:rPr>
          <w:sz w:val="18"/>
        </w:rPr>
        <w:sectPr>
          <w:footerReference w:type="default" r:id="rId230"/>
          <w:pgSz w:w="7770" w:h="11740"/>
          <w:pgMar w:footer="474" w:header="0" w:top="840" w:bottom="660" w:left="1020" w:right="740"/>
          <w:pgNumType w:start="179"/>
        </w:sectPr>
      </w:pPr>
    </w:p>
    <w:p>
      <w:pPr>
        <w:spacing w:before="60"/>
        <w:ind w:left="110" w:right="0" w:firstLine="0"/>
        <w:jc w:val="both"/>
        <w:rPr>
          <w:sz w:val="18"/>
        </w:rPr>
      </w:pPr>
      <w:r>
        <w:rPr>
          <w:color w:val="231F20"/>
          <w:sz w:val="18"/>
        </w:rPr>
        <w:t>brasileira”, en </w:t>
      </w:r>
      <w:r>
        <w:rPr>
          <w:i/>
          <w:color w:val="231F20"/>
          <w:sz w:val="18"/>
        </w:rPr>
        <w:t>Revista Eure</w:t>
      </w:r>
      <w:r>
        <w:rPr>
          <w:color w:val="231F20"/>
          <w:sz w:val="18"/>
        </w:rPr>
        <w:t>, vol. 29, núm. 88, Scielo, Santiago de Chile.</w:t>
      </w:r>
    </w:p>
    <w:p>
      <w:pPr>
        <w:spacing w:line="254" w:lineRule="auto" w:before="69"/>
        <w:ind w:left="110" w:right="112" w:firstLine="0"/>
        <w:jc w:val="both"/>
        <w:rPr>
          <w:sz w:val="18"/>
        </w:rPr>
      </w:pPr>
      <w:r>
        <w:rPr>
          <w:color w:val="231F20"/>
          <w:sz w:val="18"/>
        </w:rPr>
        <w:t>Duhau, Emilio (2003) “Division Social del Espacio Metropolitana y Movilidad Residencial”,</w:t>
      </w:r>
      <w:r>
        <w:rPr>
          <w:color w:val="231F20"/>
          <w:spacing w:val="-8"/>
          <w:sz w:val="18"/>
        </w:rPr>
        <w:t> </w:t>
      </w:r>
      <w:r>
        <w:rPr>
          <w:color w:val="231F20"/>
          <w:sz w:val="18"/>
        </w:rPr>
        <w:t>en</w:t>
      </w:r>
      <w:r>
        <w:rPr>
          <w:color w:val="231F20"/>
          <w:spacing w:val="-8"/>
          <w:sz w:val="18"/>
        </w:rPr>
        <w:t> </w:t>
      </w:r>
      <w:r>
        <w:rPr>
          <w:i/>
          <w:color w:val="231F20"/>
          <w:sz w:val="18"/>
        </w:rPr>
        <w:t>Papeles</w:t>
      </w:r>
      <w:r>
        <w:rPr>
          <w:i/>
          <w:color w:val="231F20"/>
          <w:spacing w:val="-9"/>
          <w:sz w:val="18"/>
        </w:rPr>
        <w:t> </w:t>
      </w:r>
      <w:r>
        <w:rPr>
          <w:i/>
          <w:color w:val="231F20"/>
          <w:sz w:val="18"/>
        </w:rPr>
        <w:t>de</w:t>
      </w:r>
      <w:r>
        <w:rPr>
          <w:i/>
          <w:color w:val="231F20"/>
          <w:spacing w:val="-8"/>
          <w:sz w:val="18"/>
        </w:rPr>
        <w:t> </w:t>
      </w:r>
      <w:r>
        <w:rPr>
          <w:i/>
          <w:color w:val="231F20"/>
          <w:sz w:val="18"/>
        </w:rPr>
        <w:t>Población</w:t>
      </w:r>
      <w:r>
        <w:rPr>
          <w:color w:val="231F20"/>
          <w:sz w:val="18"/>
        </w:rPr>
        <w:t>,</w:t>
      </w:r>
      <w:r>
        <w:rPr>
          <w:color w:val="231F20"/>
          <w:spacing w:val="-8"/>
          <w:sz w:val="18"/>
        </w:rPr>
        <w:t> </w:t>
      </w:r>
      <w:r>
        <w:rPr>
          <w:color w:val="231F20"/>
          <w:sz w:val="18"/>
        </w:rPr>
        <w:t>núm.</w:t>
      </w:r>
      <w:r>
        <w:rPr>
          <w:color w:val="231F20"/>
          <w:spacing w:val="-8"/>
          <w:sz w:val="18"/>
        </w:rPr>
        <w:t> </w:t>
      </w:r>
      <w:r>
        <w:rPr>
          <w:color w:val="231F20"/>
          <w:sz w:val="18"/>
        </w:rPr>
        <w:t>36,</w:t>
      </w:r>
      <w:r>
        <w:rPr>
          <w:color w:val="231F20"/>
          <w:spacing w:val="-12"/>
          <w:sz w:val="18"/>
        </w:rPr>
        <w:t> </w:t>
      </w:r>
      <w:r>
        <w:rPr>
          <w:color w:val="231F20"/>
          <w:sz w:val="18"/>
        </w:rPr>
        <w:t>Toluca:</w:t>
      </w:r>
      <w:r>
        <w:rPr>
          <w:color w:val="231F20"/>
          <w:spacing w:val="-8"/>
          <w:sz w:val="18"/>
        </w:rPr>
        <w:t> </w:t>
      </w:r>
      <w:r>
        <w:rPr>
          <w:color w:val="231F20"/>
          <w:sz w:val="18"/>
        </w:rPr>
        <w:t>Universidad</w:t>
      </w:r>
      <w:r>
        <w:rPr>
          <w:color w:val="231F20"/>
          <w:spacing w:val="-17"/>
          <w:sz w:val="18"/>
        </w:rPr>
        <w:t> </w:t>
      </w:r>
      <w:r>
        <w:rPr>
          <w:color w:val="231F20"/>
          <w:sz w:val="18"/>
        </w:rPr>
        <w:t>Autónoma del Estado de</w:t>
      </w:r>
      <w:r>
        <w:rPr>
          <w:color w:val="231F20"/>
          <w:spacing w:val="-8"/>
          <w:sz w:val="18"/>
        </w:rPr>
        <w:t> </w:t>
      </w:r>
      <w:r>
        <w:rPr>
          <w:color w:val="231F20"/>
          <w:sz w:val="18"/>
        </w:rPr>
        <w:t>Mexico.</w:t>
      </w:r>
    </w:p>
    <w:p>
      <w:pPr>
        <w:spacing w:line="254" w:lineRule="auto" w:before="57"/>
        <w:ind w:left="110" w:right="111" w:firstLine="0"/>
        <w:jc w:val="both"/>
        <w:rPr>
          <w:sz w:val="18"/>
        </w:rPr>
      </w:pPr>
      <w:r>
        <w:rPr>
          <w:color w:val="231F20"/>
          <w:sz w:val="18"/>
        </w:rPr>
        <w:t>Elliot,</w:t>
      </w:r>
      <w:r>
        <w:rPr>
          <w:color w:val="231F20"/>
          <w:spacing w:val="-4"/>
          <w:sz w:val="18"/>
        </w:rPr>
        <w:t> </w:t>
      </w:r>
      <w:r>
        <w:rPr>
          <w:color w:val="231F20"/>
          <w:sz w:val="18"/>
        </w:rPr>
        <w:t>James</w:t>
      </w:r>
      <w:r>
        <w:rPr>
          <w:color w:val="231F20"/>
          <w:spacing w:val="-4"/>
          <w:sz w:val="18"/>
        </w:rPr>
        <w:t> </w:t>
      </w:r>
      <w:r>
        <w:rPr>
          <w:color w:val="231F20"/>
          <w:sz w:val="18"/>
        </w:rPr>
        <w:t>y</w:t>
      </w:r>
      <w:r>
        <w:rPr>
          <w:color w:val="231F20"/>
          <w:spacing w:val="-4"/>
          <w:sz w:val="18"/>
        </w:rPr>
        <w:t> </w:t>
      </w:r>
      <w:r>
        <w:rPr>
          <w:color w:val="231F20"/>
          <w:sz w:val="18"/>
        </w:rPr>
        <w:t>Marilyn</w:t>
      </w:r>
      <w:r>
        <w:rPr>
          <w:color w:val="231F20"/>
          <w:spacing w:val="-4"/>
          <w:sz w:val="18"/>
        </w:rPr>
        <w:t> </w:t>
      </w:r>
      <w:r>
        <w:rPr>
          <w:color w:val="231F20"/>
          <w:sz w:val="18"/>
        </w:rPr>
        <w:t>Joyce</w:t>
      </w:r>
      <w:r>
        <w:rPr>
          <w:color w:val="231F20"/>
          <w:spacing w:val="-4"/>
          <w:sz w:val="18"/>
        </w:rPr>
        <w:t> </w:t>
      </w:r>
      <w:r>
        <w:rPr>
          <w:color w:val="231F20"/>
          <w:sz w:val="18"/>
        </w:rPr>
        <w:t>(2004)</w:t>
      </w:r>
      <w:r>
        <w:rPr>
          <w:color w:val="231F20"/>
          <w:spacing w:val="-4"/>
          <w:sz w:val="18"/>
        </w:rPr>
        <w:t> </w:t>
      </w:r>
      <w:r>
        <w:rPr>
          <w:color w:val="231F20"/>
          <w:sz w:val="18"/>
        </w:rPr>
        <w:t>“The</w:t>
      </w:r>
      <w:r>
        <w:rPr>
          <w:color w:val="231F20"/>
          <w:spacing w:val="-4"/>
          <w:sz w:val="18"/>
        </w:rPr>
        <w:t> </w:t>
      </w:r>
      <w:r>
        <w:rPr>
          <w:color w:val="231F20"/>
          <w:sz w:val="18"/>
        </w:rPr>
        <w:t>Effects</w:t>
      </w:r>
      <w:r>
        <w:rPr>
          <w:color w:val="231F20"/>
          <w:spacing w:val="-4"/>
          <w:sz w:val="18"/>
        </w:rPr>
        <w:t> </w:t>
      </w:r>
      <w:r>
        <w:rPr>
          <w:color w:val="231F20"/>
          <w:sz w:val="18"/>
        </w:rPr>
        <w:t>of</w:t>
      </w:r>
      <w:r>
        <w:rPr>
          <w:color w:val="231F20"/>
          <w:spacing w:val="-4"/>
          <w:sz w:val="18"/>
        </w:rPr>
        <w:t> </w:t>
      </w:r>
      <w:r>
        <w:rPr>
          <w:color w:val="231F20"/>
          <w:sz w:val="18"/>
        </w:rPr>
        <w:t>Race</w:t>
      </w:r>
      <w:r>
        <w:rPr>
          <w:color w:val="231F20"/>
          <w:spacing w:val="-4"/>
          <w:sz w:val="18"/>
        </w:rPr>
        <w:t> </w:t>
      </w:r>
      <w:r>
        <w:rPr>
          <w:color w:val="231F20"/>
          <w:sz w:val="18"/>
        </w:rPr>
        <w:t>and</w:t>
      </w:r>
      <w:r>
        <w:rPr>
          <w:color w:val="231F20"/>
          <w:spacing w:val="-4"/>
          <w:sz w:val="18"/>
        </w:rPr>
        <w:t> </w:t>
      </w:r>
      <w:r>
        <w:rPr>
          <w:color w:val="231F20"/>
          <w:sz w:val="18"/>
        </w:rPr>
        <w:t>Family</w:t>
      </w:r>
      <w:r>
        <w:rPr>
          <w:color w:val="231F20"/>
          <w:spacing w:val="-4"/>
          <w:sz w:val="18"/>
        </w:rPr>
        <w:t> </w:t>
      </w:r>
      <w:r>
        <w:rPr>
          <w:color w:val="231F20"/>
          <w:sz w:val="18"/>
        </w:rPr>
        <w:t>Structure on </w:t>
      </w:r>
      <w:r>
        <w:rPr>
          <w:color w:val="231F20"/>
          <w:spacing w:val="-3"/>
          <w:sz w:val="18"/>
        </w:rPr>
        <w:t>Women´s </w:t>
      </w:r>
      <w:r>
        <w:rPr>
          <w:color w:val="231F20"/>
          <w:sz w:val="18"/>
        </w:rPr>
        <w:t>Spatial Relationship to the Labor Market”, en </w:t>
      </w:r>
      <w:r>
        <w:rPr>
          <w:i/>
          <w:color w:val="231F20"/>
          <w:sz w:val="18"/>
        </w:rPr>
        <w:t>Sociological</w:t>
      </w:r>
      <w:r>
        <w:rPr>
          <w:i/>
          <w:color w:val="231F20"/>
          <w:spacing w:val="-29"/>
          <w:sz w:val="18"/>
        </w:rPr>
        <w:t> </w:t>
      </w:r>
      <w:r>
        <w:rPr>
          <w:i/>
          <w:color w:val="231F20"/>
          <w:sz w:val="18"/>
        </w:rPr>
        <w:t>Inquiry, </w:t>
      </w:r>
      <w:r>
        <w:rPr>
          <w:color w:val="231F20"/>
          <w:sz w:val="18"/>
        </w:rPr>
        <w:t>vol. 74, núm. 3,  Nueva Jersey:</w:t>
      </w:r>
      <w:r>
        <w:rPr>
          <w:color w:val="231F20"/>
          <w:spacing w:val="-9"/>
          <w:sz w:val="18"/>
        </w:rPr>
        <w:t> </w:t>
      </w:r>
      <w:r>
        <w:rPr>
          <w:color w:val="231F20"/>
          <w:spacing w:val="-4"/>
          <w:sz w:val="18"/>
        </w:rPr>
        <w:t>Wiler.</w:t>
      </w:r>
    </w:p>
    <w:p>
      <w:pPr>
        <w:spacing w:line="254" w:lineRule="auto" w:before="57"/>
        <w:ind w:left="110" w:right="111" w:firstLine="0"/>
        <w:jc w:val="both"/>
        <w:rPr>
          <w:sz w:val="18"/>
        </w:rPr>
      </w:pPr>
      <w:r>
        <w:rPr>
          <w:color w:val="231F20"/>
          <w:sz w:val="18"/>
        </w:rPr>
        <w:t>Elliott, James (2001) “Guettos and barrios: the impact of neighbornod ethnicity and poverty on job matching among blacks and latinos”, en </w:t>
      </w:r>
      <w:r>
        <w:rPr>
          <w:i/>
          <w:color w:val="231F20"/>
          <w:sz w:val="18"/>
        </w:rPr>
        <w:t>Social Problems</w:t>
      </w:r>
      <w:r>
        <w:rPr>
          <w:color w:val="231F20"/>
          <w:sz w:val="18"/>
        </w:rPr>
        <w:t>, núm. 48, vol. 3, Los Angeles: University of California.</w:t>
      </w:r>
    </w:p>
    <w:p>
      <w:pPr>
        <w:spacing w:line="254" w:lineRule="auto" w:before="57"/>
        <w:ind w:left="110" w:right="111" w:firstLine="0"/>
        <w:jc w:val="both"/>
        <w:rPr>
          <w:sz w:val="18"/>
        </w:rPr>
      </w:pPr>
      <w:r>
        <w:rPr>
          <w:color w:val="231F20"/>
          <w:sz w:val="18"/>
        </w:rPr>
        <w:t>Elliott, James (2000), “Class, Race, and Job Matching in Contemporary Urban Labor Markets”, en </w:t>
      </w:r>
      <w:r>
        <w:rPr>
          <w:i/>
          <w:color w:val="231F20"/>
          <w:sz w:val="18"/>
        </w:rPr>
        <w:t>Social Science Quarterly</w:t>
      </w:r>
      <w:r>
        <w:rPr>
          <w:color w:val="231F20"/>
          <w:sz w:val="18"/>
        </w:rPr>
        <w:t>, 81, Nueva Jersey: Wiley.</w:t>
      </w:r>
    </w:p>
    <w:p>
      <w:pPr>
        <w:spacing w:line="254" w:lineRule="auto" w:before="57"/>
        <w:ind w:left="110" w:right="111" w:firstLine="0"/>
        <w:jc w:val="both"/>
        <w:rPr>
          <w:sz w:val="18"/>
        </w:rPr>
      </w:pPr>
      <w:r>
        <w:rPr>
          <w:color w:val="231F20"/>
          <w:sz w:val="18"/>
        </w:rPr>
        <w:t>Elliott, James (1999) “Social isolation and labor market insulation: network and neighborhood effects on less-educated urban workers”, en </w:t>
      </w:r>
      <w:r>
        <w:rPr>
          <w:i/>
          <w:color w:val="231F20"/>
          <w:sz w:val="18"/>
        </w:rPr>
        <w:t>Sociological Quar- </w:t>
      </w:r>
      <w:r>
        <w:rPr>
          <w:i/>
          <w:color w:val="231F20"/>
          <w:sz w:val="18"/>
        </w:rPr>
        <w:t>terly, </w:t>
      </w:r>
      <w:r>
        <w:rPr>
          <w:color w:val="231F20"/>
          <w:sz w:val="18"/>
        </w:rPr>
        <w:t>vol. 40, núm. 2, Nueva Jersey: Wiley.</w:t>
      </w:r>
    </w:p>
    <w:p>
      <w:pPr>
        <w:spacing w:line="254" w:lineRule="auto" w:before="57"/>
        <w:ind w:left="110" w:right="111" w:firstLine="0"/>
        <w:jc w:val="both"/>
        <w:rPr>
          <w:sz w:val="18"/>
        </w:rPr>
      </w:pPr>
      <w:r>
        <w:rPr>
          <w:color w:val="231F20"/>
          <w:sz w:val="18"/>
        </w:rPr>
        <w:t>Fernandez-Kelly, Patricia (1995) “Social and Cultural Capital in the Urban Ghetto: Implications for the economic sociology of immigration”, en Alejandro Portes (ed.), </w:t>
      </w:r>
      <w:r>
        <w:rPr>
          <w:i/>
          <w:color w:val="231F20"/>
          <w:sz w:val="18"/>
        </w:rPr>
        <w:t>The economic sociology of immigration: essays on networks, ethni- </w:t>
      </w:r>
      <w:r>
        <w:rPr>
          <w:i/>
          <w:color w:val="231F20"/>
          <w:sz w:val="18"/>
        </w:rPr>
        <w:t>city</w:t>
      </w:r>
      <w:r>
        <w:rPr>
          <w:color w:val="231F20"/>
          <w:sz w:val="18"/>
        </w:rPr>
        <w:t>, New York: Russell Sage Foundation.</w:t>
      </w:r>
    </w:p>
    <w:p>
      <w:pPr>
        <w:spacing w:line="254" w:lineRule="auto" w:before="57"/>
        <w:ind w:left="110" w:right="112" w:firstLine="0"/>
        <w:jc w:val="both"/>
        <w:rPr>
          <w:sz w:val="18"/>
        </w:rPr>
      </w:pPr>
      <w:r>
        <w:rPr>
          <w:color w:val="231F20"/>
          <w:sz w:val="18"/>
        </w:rPr>
        <w:t>Fernández, Roberto y Celina Sur (2004) “Space in the Study of Labor</w:t>
      </w:r>
      <w:r>
        <w:rPr>
          <w:color w:val="231F20"/>
          <w:spacing w:val="-29"/>
          <w:sz w:val="18"/>
        </w:rPr>
        <w:t> </w:t>
      </w:r>
      <w:r>
        <w:rPr>
          <w:color w:val="231F20"/>
          <w:sz w:val="18"/>
        </w:rPr>
        <w:t>Markets”, en</w:t>
      </w:r>
      <w:r>
        <w:rPr>
          <w:color w:val="231F20"/>
          <w:spacing w:val="-3"/>
          <w:sz w:val="18"/>
        </w:rPr>
        <w:t> </w:t>
      </w:r>
      <w:r>
        <w:rPr>
          <w:i/>
          <w:color w:val="231F20"/>
          <w:sz w:val="18"/>
        </w:rPr>
        <w:t>Annual</w:t>
      </w:r>
      <w:r>
        <w:rPr>
          <w:i/>
          <w:color w:val="231F20"/>
          <w:spacing w:val="-3"/>
          <w:sz w:val="18"/>
        </w:rPr>
        <w:t> </w:t>
      </w:r>
      <w:r>
        <w:rPr>
          <w:i/>
          <w:color w:val="231F20"/>
          <w:sz w:val="18"/>
        </w:rPr>
        <w:t>Review</w:t>
      </w:r>
      <w:r>
        <w:rPr>
          <w:i/>
          <w:color w:val="231F20"/>
          <w:spacing w:val="-3"/>
          <w:sz w:val="18"/>
        </w:rPr>
        <w:t> </w:t>
      </w:r>
      <w:r>
        <w:rPr>
          <w:i/>
          <w:color w:val="231F20"/>
          <w:sz w:val="18"/>
        </w:rPr>
        <w:t>of</w:t>
      </w:r>
      <w:r>
        <w:rPr>
          <w:i/>
          <w:color w:val="231F20"/>
          <w:spacing w:val="-2"/>
          <w:sz w:val="18"/>
        </w:rPr>
        <w:t> </w:t>
      </w:r>
      <w:r>
        <w:rPr>
          <w:i/>
          <w:color w:val="231F20"/>
          <w:sz w:val="18"/>
        </w:rPr>
        <w:t>Sociology</w:t>
      </w:r>
      <w:r>
        <w:rPr>
          <w:color w:val="231F20"/>
          <w:sz w:val="18"/>
        </w:rPr>
        <w:t>,</w:t>
      </w:r>
      <w:r>
        <w:rPr>
          <w:color w:val="231F20"/>
          <w:spacing w:val="-2"/>
          <w:sz w:val="18"/>
        </w:rPr>
        <w:t> </w:t>
      </w:r>
      <w:r>
        <w:rPr>
          <w:color w:val="231F20"/>
          <w:sz w:val="18"/>
        </w:rPr>
        <w:t>vol.</w:t>
      </w:r>
      <w:r>
        <w:rPr>
          <w:color w:val="231F20"/>
          <w:spacing w:val="-2"/>
          <w:sz w:val="18"/>
        </w:rPr>
        <w:t> </w:t>
      </w:r>
      <w:r>
        <w:rPr>
          <w:color w:val="231F20"/>
          <w:sz w:val="18"/>
        </w:rPr>
        <w:t>30,</w:t>
      </w:r>
      <w:r>
        <w:rPr>
          <w:color w:val="231F20"/>
          <w:spacing w:val="-2"/>
          <w:sz w:val="18"/>
        </w:rPr>
        <w:t> </w:t>
      </w:r>
      <w:r>
        <w:rPr>
          <w:color w:val="231F20"/>
          <w:sz w:val="18"/>
        </w:rPr>
        <w:t>Palo</w:t>
      </w:r>
      <w:r>
        <w:rPr>
          <w:color w:val="231F20"/>
          <w:spacing w:val="-12"/>
          <w:sz w:val="18"/>
        </w:rPr>
        <w:t> </w:t>
      </w:r>
      <w:r>
        <w:rPr>
          <w:color w:val="231F20"/>
          <w:sz w:val="18"/>
        </w:rPr>
        <w:t>Alto:</w:t>
      </w:r>
      <w:r>
        <w:rPr>
          <w:color w:val="231F20"/>
          <w:spacing w:val="-12"/>
          <w:sz w:val="18"/>
        </w:rPr>
        <w:t> </w:t>
      </w:r>
      <w:r>
        <w:rPr>
          <w:color w:val="231F20"/>
          <w:sz w:val="18"/>
        </w:rPr>
        <w:t>Annual</w:t>
      </w:r>
      <w:r>
        <w:rPr>
          <w:color w:val="231F20"/>
          <w:spacing w:val="-2"/>
          <w:sz w:val="18"/>
        </w:rPr>
        <w:t> </w:t>
      </w:r>
      <w:r>
        <w:rPr>
          <w:color w:val="231F20"/>
          <w:sz w:val="18"/>
        </w:rPr>
        <w:t>Reviews.</w:t>
      </w:r>
    </w:p>
    <w:p>
      <w:pPr>
        <w:spacing w:line="254" w:lineRule="auto" w:before="57"/>
        <w:ind w:left="110" w:right="111" w:firstLine="0"/>
        <w:jc w:val="both"/>
        <w:rPr>
          <w:sz w:val="18"/>
        </w:rPr>
      </w:pPr>
      <w:r>
        <w:rPr>
          <w:color w:val="231F20"/>
          <w:sz w:val="18"/>
        </w:rPr>
        <w:t>Flores, Carolina Andrea (2008) </w:t>
      </w:r>
      <w:r>
        <w:rPr>
          <w:i/>
          <w:color w:val="231F20"/>
          <w:sz w:val="18"/>
        </w:rPr>
        <w:t>Residential Segregation and the Geography of </w:t>
      </w:r>
      <w:r>
        <w:rPr>
          <w:i/>
          <w:color w:val="231F20"/>
          <w:sz w:val="18"/>
        </w:rPr>
        <w:t>Opportunities: A Spatial Analysis of Heterogeneity and Spillovers in Education</w:t>
      </w:r>
      <w:r>
        <w:rPr>
          <w:color w:val="231F20"/>
          <w:sz w:val="18"/>
        </w:rPr>
        <w:t>, Austin: Universidad de Texas.</w:t>
      </w:r>
    </w:p>
    <w:p>
      <w:pPr>
        <w:spacing w:line="254" w:lineRule="auto" w:before="57"/>
        <w:ind w:left="110" w:right="111" w:firstLine="0"/>
        <w:jc w:val="both"/>
        <w:rPr>
          <w:sz w:val="18"/>
        </w:rPr>
      </w:pPr>
      <w:r>
        <w:rPr>
          <w:color w:val="231F20"/>
          <w:sz w:val="18"/>
        </w:rPr>
        <w:t>Freije, Samuel, Luis Felipe Lòpez-Calva y Cristina Rodríguez (2004) </w:t>
      </w:r>
      <w:r>
        <w:rPr>
          <w:i/>
          <w:color w:val="231F20"/>
          <w:sz w:val="18"/>
        </w:rPr>
        <w:t>Origen de </w:t>
      </w:r>
      <w:r>
        <w:rPr>
          <w:i/>
          <w:color w:val="231F20"/>
          <w:sz w:val="18"/>
        </w:rPr>
        <w:t>los cambios en la desigualdad salarial urbana, nacional y regional, en México</w:t>
      </w:r>
      <w:r>
        <w:rPr>
          <w:color w:val="231F20"/>
          <w:sz w:val="18"/>
        </w:rPr>
        <w:t>, México: Sedesol.</w:t>
      </w:r>
    </w:p>
    <w:p>
      <w:pPr>
        <w:spacing w:line="254" w:lineRule="auto" w:before="57"/>
        <w:ind w:left="110" w:right="111" w:firstLine="0"/>
        <w:jc w:val="both"/>
        <w:rPr>
          <w:sz w:val="18"/>
        </w:rPr>
      </w:pPr>
      <w:r>
        <w:rPr>
          <w:color w:val="231F20"/>
          <w:sz w:val="18"/>
        </w:rPr>
        <w:t>García, Brígida y Orlandina de Oliveira (2001) “Transformaciones recientes en los mercados metropolitanos de México: 1990-1998”, en </w:t>
      </w:r>
      <w:r>
        <w:rPr>
          <w:i/>
          <w:color w:val="231F20"/>
          <w:sz w:val="18"/>
        </w:rPr>
        <w:t>Estudios Sociológicos</w:t>
      </w:r>
      <w:r>
        <w:rPr>
          <w:color w:val="231F20"/>
          <w:sz w:val="18"/>
        </w:rPr>
        <w:t>, núm. 19 (57), México: El Colegio de México.</w:t>
      </w:r>
    </w:p>
    <w:p>
      <w:pPr>
        <w:spacing w:line="254" w:lineRule="auto" w:before="57"/>
        <w:ind w:left="110" w:right="111" w:firstLine="0"/>
        <w:jc w:val="both"/>
        <w:rPr>
          <w:sz w:val="18"/>
        </w:rPr>
      </w:pPr>
      <w:r>
        <w:rPr>
          <w:color w:val="231F20"/>
          <w:sz w:val="18"/>
        </w:rPr>
        <w:t>García, Brígida y Orlandina de Oliveira (2003) “Trabajo e ingreso de los miem- bros de las familias en el México Metropolitano”, en Enrique de la Garza y Car- los Salas (eds.), </w:t>
      </w:r>
      <w:r>
        <w:rPr>
          <w:i/>
          <w:color w:val="231F20"/>
          <w:sz w:val="18"/>
        </w:rPr>
        <w:t>La situación del Trabajo en Mexico 2003</w:t>
      </w:r>
      <w:r>
        <w:rPr>
          <w:color w:val="231F20"/>
          <w:sz w:val="18"/>
        </w:rPr>
        <w:t>, México: IET, UAM, Plaza y Valdez.</w:t>
      </w:r>
    </w:p>
    <w:p>
      <w:pPr>
        <w:spacing w:line="244" w:lineRule="auto" w:before="60"/>
        <w:ind w:left="110" w:right="111" w:firstLine="0"/>
        <w:jc w:val="both"/>
        <w:rPr>
          <w:sz w:val="18"/>
        </w:rPr>
      </w:pPr>
      <w:r>
        <w:rPr>
          <w:color w:val="231F20"/>
          <w:sz w:val="18"/>
        </w:rPr>
        <w:t>Gonz</w:t>
      </w:r>
      <w:r>
        <w:rPr>
          <w:color w:val="231F20"/>
          <w:sz w:val="22"/>
        </w:rPr>
        <w:t>á</w:t>
      </w:r>
      <w:r>
        <w:rPr>
          <w:color w:val="231F20"/>
          <w:sz w:val="18"/>
        </w:rPr>
        <w:t>lez de la Rocha Mercedes (1994) </w:t>
      </w:r>
      <w:r>
        <w:rPr>
          <w:i/>
          <w:color w:val="231F20"/>
          <w:sz w:val="18"/>
        </w:rPr>
        <w:t>The Resources of Poverty</w:t>
      </w:r>
      <w:r>
        <w:rPr>
          <w:color w:val="231F20"/>
          <w:sz w:val="18"/>
        </w:rPr>
        <w:t>: </w:t>
      </w:r>
      <w:r>
        <w:rPr>
          <w:i/>
          <w:color w:val="231F20"/>
          <w:sz w:val="18"/>
        </w:rPr>
        <w:t>Women and </w:t>
      </w:r>
      <w:r>
        <w:rPr>
          <w:i/>
          <w:color w:val="231F20"/>
          <w:sz w:val="18"/>
        </w:rPr>
        <w:t>Survival in a Mexican City, </w:t>
      </w:r>
      <w:r>
        <w:rPr>
          <w:color w:val="231F20"/>
          <w:sz w:val="18"/>
        </w:rPr>
        <w:t>Oxford: Basil-Blackwell.</w:t>
      </w:r>
    </w:p>
    <w:p>
      <w:pPr>
        <w:spacing w:line="252" w:lineRule="auto" w:before="68"/>
        <w:ind w:left="110" w:right="111" w:firstLine="0"/>
        <w:jc w:val="both"/>
        <w:rPr>
          <w:sz w:val="18"/>
        </w:rPr>
      </w:pPr>
      <w:r>
        <w:rPr>
          <w:color w:val="231F20"/>
          <w:sz w:val="18"/>
        </w:rPr>
        <w:t>Gonz</w:t>
      </w:r>
      <w:r>
        <w:rPr>
          <w:color w:val="231F20"/>
          <w:sz w:val="22"/>
        </w:rPr>
        <w:t>á</w:t>
      </w:r>
      <w:r>
        <w:rPr>
          <w:color w:val="231F20"/>
          <w:sz w:val="18"/>
        </w:rPr>
        <w:t>lez De la Rocha, Mercedes (2001) </w:t>
      </w:r>
      <w:r>
        <w:rPr>
          <w:i/>
          <w:color w:val="231F20"/>
          <w:sz w:val="18"/>
        </w:rPr>
        <w:t>From the resources of Poverty to the </w:t>
      </w:r>
      <w:r>
        <w:rPr>
          <w:i/>
          <w:color w:val="231F20"/>
          <w:sz w:val="18"/>
        </w:rPr>
        <w:t>Poverty of Resources? The Erosion of the Survival Model</w:t>
      </w:r>
      <w:r>
        <w:rPr>
          <w:color w:val="231F20"/>
          <w:sz w:val="18"/>
        </w:rPr>
        <w:t>, documento presenta- do en The Center for Migration and Development. Princeton University, Nueva Jersey.</w:t>
      </w:r>
    </w:p>
    <w:p>
      <w:pPr>
        <w:spacing w:after="0" w:line="252" w:lineRule="auto"/>
        <w:jc w:val="both"/>
        <w:rPr>
          <w:sz w:val="18"/>
        </w:rPr>
        <w:sectPr>
          <w:pgSz w:w="7770" w:h="11740"/>
          <w:pgMar w:header="0" w:footer="474" w:top="840" w:bottom="740" w:left="740" w:right="1020"/>
        </w:sectPr>
      </w:pPr>
    </w:p>
    <w:p>
      <w:pPr>
        <w:spacing w:line="252" w:lineRule="auto" w:before="50"/>
        <w:ind w:left="113" w:right="108" w:firstLine="0"/>
        <w:jc w:val="both"/>
        <w:rPr>
          <w:sz w:val="18"/>
        </w:rPr>
      </w:pPr>
      <w:r>
        <w:rPr>
          <w:color w:val="231F20"/>
          <w:sz w:val="18"/>
        </w:rPr>
        <w:t>Gonz</w:t>
      </w:r>
      <w:r>
        <w:rPr>
          <w:color w:val="231F20"/>
          <w:sz w:val="22"/>
        </w:rPr>
        <w:t>á</w:t>
      </w:r>
      <w:r>
        <w:rPr>
          <w:color w:val="231F20"/>
          <w:sz w:val="18"/>
        </w:rPr>
        <w:t>lez de la Rocha, Mercedes (2006) </w:t>
      </w:r>
      <w:r>
        <w:rPr>
          <w:color w:val="231F20"/>
          <w:spacing w:val="-3"/>
          <w:sz w:val="18"/>
        </w:rPr>
        <w:t>“Vanishing </w:t>
      </w:r>
      <w:r>
        <w:rPr>
          <w:color w:val="231F20"/>
          <w:sz w:val="18"/>
        </w:rPr>
        <w:t>assets: cumulative disad- vantage among the urban poor”, en </w:t>
      </w:r>
      <w:r>
        <w:rPr>
          <w:i/>
          <w:color w:val="231F20"/>
          <w:sz w:val="18"/>
        </w:rPr>
        <w:t>The Annals of the American Academy of Po- </w:t>
      </w:r>
      <w:r>
        <w:rPr>
          <w:i/>
          <w:color w:val="231F20"/>
          <w:sz w:val="18"/>
        </w:rPr>
        <w:t>litical</w:t>
      </w:r>
      <w:r>
        <w:rPr>
          <w:i/>
          <w:color w:val="231F20"/>
          <w:spacing w:val="-9"/>
          <w:sz w:val="18"/>
        </w:rPr>
        <w:t> </w:t>
      </w:r>
      <w:r>
        <w:rPr>
          <w:i/>
          <w:color w:val="231F20"/>
          <w:sz w:val="18"/>
        </w:rPr>
        <w:t>and</w:t>
      </w:r>
      <w:r>
        <w:rPr>
          <w:i/>
          <w:color w:val="231F20"/>
          <w:spacing w:val="-8"/>
          <w:sz w:val="18"/>
        </w:rPr>
        <w:t> </w:t>
      </w:r>
      <w:r>
        <w:rPr>
          <w:i/>
          <w:color w:val="231F20"/>
          <w:sz w:val="18"/>
        </w:rPr>
        <w:t>Social</w:t>
      </w:r>
      <w:r>
        <w:rPr>
          <w:i/>
          <w:color w:val="231F20"/>
          <w:spacing w:val="-8"/>
          <w:sz w:val="18"/>
        </w:rPr>
        <w:t> </w:t>
      </w:r>
      <w:r>
        <w:rPr>
          <w:i/>
          <w:color w:val="231F20"/>
          <w:sz w:val="18"/>
        </w:rPr>
        <w:t>Science,</w:t>
      </w:r>
      <w:r>
        <w:rPr>
          <w:i/>
          <w:color w:val="231F20"/>
          <w:spacing w:val="-8"/>
          <w:sz w:val="18"/>
        </w:rPr>
        <w:t> </w:t>
      </w:r>
      <w:r>
        <w:rPr>
          <w:color w:val="231F20"/>
          <w:sz w:val="18"/>
        </w:rPr>
        <w:t>vol.</w:t>
      </w:r>
      <w:r>
        <w:rPr>
          <w:color w:val="231F20"/>
          <w:spacing w:val="-8"/>
          <w:sz w:val="18"/>
        </w:rPr>
        <w:t> </w:t>
      </w:r>
      <w:r>
        <w:rPr>
          <w:color w:val="231F20"/>
          <w:sz w:val="18"/>
        </w:rPr>
        <w:t>606,</w:t>
      </w:r>
      <w:r>
        <w:rPr>
          <w:color w:val="231F20"/>
          <w:spacing w:val="-8"/>
          <w:sz w:val="18"/>
        </w:rPr>
        <w:t> </w:t>
      </w:r>
      <w:r>
        <w:rPr>
          <w:color w:val="231F20"/>
          <w:sz w:val="18"/>
        </w:rPr>
        <w:t>Pennsylvania:</w:t>
      </w:r>
      <w:r>
        <w:rPr>
          <w:color w:val="231F20"/>
          <w:spacing w:val="-8"/>
          <w:sz w:val="18"/>
        </w:rPr>
        <w:t> </w:t>
      </w:r>
      <w:r>
        <w:rPr>
          <w:color w:val="231F20"/>
          <w:sz w:val="18"/>
        </w:rPr>
        <w:t>Sage</w:t>
      </w:r>
      <w:r>
        <w:rPr>
          <w:color w:val="231F20"/>
          <w:spacing w:val="-8"/>
          <w:sz w:val="18"/>
        </w:rPr>
        <w:t> </w:t>
      </w:r>
      <w:r>
        <w:rPr>
          <w:color w:val="231F20"/>
          <w:sz w:val="18"/>
        </w:rPr>
        <w:t>Journals,</w:t>
      </w:r>
      <w:r>
        <w:rPr>
          <w:color w:val="231F20"/>
          <w:spacing w:val="-8"/>
          <w:sz w:val="18"/>
        </w:rPr>
        <w:t> </w:t>
      </w:r>
      <w:r>
        <w:rPr>
          <w:color w:val="231F20"/>
          <w:sz w:val="18"/>
        </w:rPr>
        <w:t>Universidad</w:t>
      </w:r>
      <w:r>
        <w:rPr>
          <w:color w:val="231F20"/>
          <w:spacing w:val="-8"/>
          <w:sz w:val="18"/>
        </w:rPr>
        <w:t> </w:t>
      </w:r>
      <w:r>
        <w:rPr>
          <w:color w:val="231F20"/>
          <w:sz w:val="18"/>
        </w:rPr>
        <w:t>de Pennsylvania.</w:t>
      </w:r>
    </w:p>
    <w:p>
      <w:pPr>
        <w:spacing w:line="252" w:lineRule="auto" w:before="62"/>
        <w:ind w:left="113" w:right="107" w:firstLine="0"/>
        <w:jc w:val="both"/>
        <w:rPr>
          <w:sz w:val="18"/>
        </w:rPr>
      </w:pPr>
      <w:r>
        <w:rPr>
          <w:color w:val="231F20"/>
          <w:sz w:val="18"/>
        </w:rPr>
        <w:t>Gonz</w:t>
      </w:r>
      <w:r>
        <w:rPr>
          <w:color w:val="231F20"/>
          <w:sz w:val="22"/>
        </w:rPr>
        <w:t>á</w:t>
      </w:r>
      <w:r>
        <w:rPr>
          <w:color w:val="231F20"/>
          <w:sz w:val="18"/>
        </w:rPr>
        <w:t>lez de la Rocha, Mercedes, Elizabeth Jelin, Janice Perlman, Bryan R. Ro- berts, Helen Safa y Peter M. </w:t>
      </w:r>
      <w:r>
        <w:rPr>
          <w:color w:val="231F20"/>
          <w:spacing w:val="-4"/>
          <w:sz w:val="18"/>
        </w:rPr>
        <w:t>Ward </w:t>
      </w:r>
      <w:r>
        <w:rPr>
          <w:color w:val="231F20"/>
          <w:sz w:val="18"/>
        </w:rPr>
        <w:t>(2004) “From the Marginality of the 1960s  to the “New Poverty” of </w:t>
      </w:r>
      <w:r>
        <w:rPr>
          <w:color w:val="231F20"/>
          <w:spacing w:val="-3"/>
          <w:sz w:val="18"/>
        </w:rPr>
        <w:t>Today: </w:t>
      </w:r>
      <w:r>
        <w:rPr>
          <w:color w:val="231F20"/>
          <w:sz w:val="18"/>
        </w:rPr>
        <w:t>A LARR Research Forum”, en </w:t>
      </w:r>
      <w:r>
        <w:rPr>
          <w:i/>
          <w:color w:val="231F20"/>
          <w:sz w:val="18"/>
        </w:rPr>
        <w:t>Latin American </w:t>
      </w:r>
      <w:r>
        <w:rPr>
          <w:i/>
          <w:color w:val="231F20"/>
          <w:sz w:val="18"/>
        </w:rPr>
        <w:t>Research</w:t>
      </w:r>
      <w:r>
        <w:rPr>
          <w:i/>
          <w:color w:val="231F20"/>
          <w:spacing w:val="-5"/>
          <w:sz w:val="18"/>
        </w:rPr>
        <w:t> </w:t>
      </w:r>
      <w:r>
        <w:rPr>
          <w:i/>
          <w:color w:val="231F20"/>
          <w:sz w:val="18"/>
        </w:rPr>
        <w:t>Review,</w:t>
      </w:r>
      <w:r>
        <w:rPr>
          <w:i/>
          <w:color w:val="231F20"/>
          <w:spacing w:val="-5"/>
          <w:sz w:val="18"/>
        </w:rPr>
        <w:t> </w:t>
      </w:r>
      <w:r>
        <w:rPr>
          <w:color w:val="231F20"/>
          <w:sz w:val="18"/>
        </w:rPr>
        <w:t>vol.</w:t>
      </w:r>
      <w:r>
        <w:rPr>
          <w:color w:val="231F20"/>
          <w:spacing w:val="-4"/>
          <w:sz w:val="18"/>
        </w:rPr>
        <w:t> </w:t>
      </w:r>
      <w:r>
        <w:rPr>
          <w:color w:val="231F20"/>
          <w:sz w:val="18"/>
        </w:rPr>
        <w:t>39,</w:t>
      </w:r>
      <w:r>
        <w:rPr>
          <w:color w:val="231F20"/>
          <w:spacing w:val="-4"/>
          <w:sz w:val="18"/>
        </w:rPr>
        <w:t> </w:t>
      </w:r>
      <w:r>
        <w:rPr>
          <w:color w:val="231F20"/>
          <w:sz w:val="18"/>
        </w:rPr>
        <w:t>núm.</w:t>
      </w:r>
      <w:r>
        <w:rPr>
          <w:color w:val="231F20"/>
          <w:spacing w:val="-4"/>
          <w:sz w:val="18"/>
        </w:rPr>
        <w:t> </w:t>
      </w:r>
      <w:r>
        <w:rPr>
          <w:color w:val="231F20"/>
          <w:sz w:val="18"/>
        </w:rPr>
        <w:t>1,</w:t>
      </w:r>
      <w:r>
        <w:rPr>
          <w:color w:val="231F20"/>
          <w:spacing w:val="-14"/>
          <w:sz w:val="18"/>
        </w:rPr>
        <w:t> </w:t>
      </w:r>
      <w:r>
        <w:rPr>
          <w:color w:val="231F20"/>
          <w:sz w:val="18"/>
        </w:rPr>
        <w:t>Austin:</w:t>
      </w:r>
      <w:r>
        <w:rPr>
          <w:color w:val="231F20"/>
          <w:spacing w:val="-4"/>
          <w:sz w:val="18"/>
        </w:rPr>
        <w:t> </w:t>
      </w:r>
      <w:r>
        <w:rPr>
          <w:color w:val="231F20"/>
          <w:sz w:val="18"/>
        </w:rPr>
        <w:t>Universidad</w:t>
      </w:r>
      <w:r>
        <w:rPr>
          <w:color w:val="231F20"/>
          <w:spacing w:val="-4"/>
          <w:sz w:val="18"/>
        </w:rPr>
        <w:t> </w:t>
      </w:r>
      <w:r>
        <w:rPr>
          <w:color w:val="231F20"/>
          <w:sz w:val="18"/>
        </w:rPr>
        <w:t>de</w:t>
      </w:r>
      <w:r>
        <w:rPr>
          <w:color w:val="231F20"/>
          <w:spacing w:val="-8"/>
          <w:sz w:val="18"/>
        </w:rPr>
        <w:t> </w:t>
      </w:r>
      <w:r>
        <w:rPr>
          <w:color w:val="231F20"/>
          <w:spacing w:val="-3"/>
          <w:sz w:val="18"/>
        </w:rPr>
        <w:t>Texas.</w:t>
      </w:r>
    </w:p>
    <w:p>
      <w:pPr>
        <w:spacing w:line="254" w:lineRule="auto" w:before="59"/>
        <w:ind w:left="113" w:right="108" w:firstLine="0"/>
        <w:jc w:val="both"/>
        <w:rPr>
          <w:sz w:val="18"/>
        </w:rPr>
      </w:pPr>
      <w:r>
        <w:rPr>
          <w:color w:val="231F20"/>
          <w:sz w:val="18"/>
        </w:rPr>
        <w:t>Granovetter, Mark (1995) “Afterword 1994: reconsiderations and a new agen- da”, en </w:t>
      </w:r>
      <w:r>
        <w:rPr>
          <w:i/>
          <w:color w:val="231F20"/>
          <w:sz w:val="18"/>
        </w:rPr>
        <w:t>Getting a Job: A Study of Contacts and Careers</w:t>
      </w:r>
      <w:r>
        <w:rPr>
          <w:color w:val="231F20"/>
          <w:sz w:val="18"/>
        </w:rPr>
        <w:t>, Illinois: University of Chicago Press.</w:t>
      </w:r>
    </w:p>
    <w:p>
      <w:pPr>
        <w:spacing w:line="254" w:lineRule="auto" w:before="57"/>
        <w:ind w:left="113" w:right="108" w:firstLine="0"/>
        <w:jc w:val="both"/>
        <w:rPr>
          <w:sz w:val="18"/>
        </w:rPr>
      </w:pPr>
      <w:r>
        <w:rPr>
          <w:color w:val="231F20"/>
          <w:sz w:val="18"/>
        </w:rPr>
        <w:t>Green, </w:t>
      </w:r>
      <w:r>
        <w:rPr>
          <w:color w:val="231F20"/>
          <w:spacing w:val="-3"/>
          <w:sz w:val="18"/>
        </w:rPr>
        <w:t>Gary, </w:t>
      </w:r>
      <w:r>
        <w:rPr>
          <w:color w:val="231F20"/>
          <w:sz w:val="18"/>
        </w:rPr>
        <w:t>Lean M. Tigges e Irene Browne (1995) “Social resources, job search, and poverty in Atlanta”, en </w:t>
      </w:r>
      <w:r>
        <w:rPr>
          <w:i/>
          <w:color w:val="231F20"/>
          <w:sz w:val="18"/>
        </w:rPr>
        <w:t>Research in Community Sociology</w:t>
      </w:r>
      <w:r>
        <w:rPr>
          <w:color w:val="231F20"/>
          <w:sz w:val="18"/>
        </w:rPr>
        <w:t>. Urban poverty</w:t>
      </w:r>
      <w:r>
        <w:rPr>
          <w:color w:val="231F20"/>
          <w:spacing w:val="-4"/>
          <w:sz w:val="18"/>
        </w:rPr>
        <w:t> </w:t>
      </w:r>
      <w:r>
        <w:rPr>
          <w:color w:val="231F20"/>
          <w:sz w:val="18"/>
        </w:rPr>
        <w:t>in</w:t>
      </w:r>
      <w:r>
        <w:rPr>
          <w:color w:val="231F20"/>
          <w:spacing w:val="-4"/>
          <w:sz w:val="18"/>
        </w:rPr>
        <w:t> </w:t>
      </w:r>
      <w:r>
        <w:rPr>
          <w:color w:val="231F20"/>
          <w:sz w:val="18"/>
        </w:rPr>
        <w:t>affluent</w:t>
      </w:r>
      <w:r>
        <w:rPr>
          <w:color w:val="231F20"/>
          <w:spacing w:val="-4"/>
          <w:sz w:val="18"/>
        </w:rPr>
        <w:t> </w:t>
      </w:r>
      <w:r>
        <w:rPr>
          <w:color w:val="231F20"/>
          <w:sz w:val="18"/>
        </w:rPr>
        <w:t>nations,</w:t>
      </w:r>
      <w:r>
        <w:rPr>
          <w:color w:val="231F20"/>
          <w:spacing w:val="-4"/>
          <w:sz w:val="18"/>
        </w:rPr>
        <w:t> </w:t>
      </w:r>
      <w:r>
        <w:rPr>
          <w:color w:val="231F20"/>
          <w:sz w:val="18"/>
        </w:rPr>
        <w:t>vol.</w:t>
      </w:r>
      <w:r>
        <w:rPr>
          <w:color w:val="231F20"/>
          <w:spacing w:val="-4"/>
          <w:sz w:val="18"/>
        </w:rPr>
        <w:t> </w:t>
      </w:r>
      <w:r>
        <w:rPr>
          <w:color w:val="231F20"/>
          <w:sz w:val="18"/>
        </w:rPr>
        <w:t>5,</w:t>
      </w:r>
      <w:r>
        <w:rPr>
          <w:color w:val="231F20"/>
          <w:spacing w:val="-4"/>
          <w:sz w:val="18"/>
        </w:rPr>
        <w:t> </w:t>
      </w:r>
      <w:r>
        <w:rPr>
          <w:color w:val="231F20"/>
          <w:sz w:val="18"/>
        </w:rPr>
        <w:t>Bringley:</w:t>
      </w:r>
      <w:r>
        <w:rPr>
          <w:color w:val="231F20"/>
          <w:spacing w:val="-5"/>
          <w:sz w:val="18"/>
        </w:rPr>
        <w:t> </w:t>
      </w:r>
      <w:r>
        <w:rPr>
          <w:color w:val="231F20"/>
          <w:sz w:val="18"/>
        </w:rPr>
        <w:t>Emerald</w:t>
      </w:r>
      <w:r>
        <w:rPr>
          <w:color w:val="231F20"/>
          <w:spacing w:val="-5"/>
          <w:sz w:val="18"/>
        </w:rPr>
        <w:t> </w:t>
      </w:r>
      <w:r>
        <w:rPr>
          <w:color w:val="231F20"/>
          <w:sz w:val="18"/>
        </w:rPr>
        <w:t>Group</w:t>
      </w:r>
      <w:r>
        <w:rPr>
          <w:color w:val="231F20"/>
          <w:spacing w:val="-4"/>
          <w:sz w:val="18"/>
        </w:rPr>
        <w:t> </w:t>
      </w:r>
      <w:r>
        <w:rPr>
          <w:color w:val="231F20"/>
          <w:sz w:val="18"/>
        </w:rPr>
        <w:t>Publishing,</w:t>
      </w:r>
      <w:r>
        <w:rPr>
          <w:color w:val="231F20"/>
          <w:spacing w:val="-4"/>
          <w:sz w:val="18"/>
        </w:rPr>
        <w:t> </w:t>
      </w:r>
      <w:r>
        <w:rPr>
          <w:color w:val="231F20"/>
          <w:sz w:val="18"/>
        </w:rPr>
        <w:t>pp.</w:t>
      </w:r>
      <w:r>
        <w:rPr>
          <w:color w:val="231F20"/>
          <w:spacing w:val="-4"/>
          <w:sz w:val="18"/>
        </w:rPr>
        <w:t> </w:t>
      </w:r>
      <w:r>
        <w:rPr>
          <w:color w:val="231F20"/>
          <w:sz w:val="18"/>
        </w:rPr>
        <w:t>161.</w:t>
      </w:r>
    </w:p>
    <w:p>
      <w:pPr>
        <w:spacing w:line="254" w:lineRule="auto" w:before="57"/>
        <w:ind w:left="113" w:right="108" w:firstLine="0"/>
        <w:jc w:val="both"/>
        <w:rPr>
          <w:sz w:val="18"/>
        </w:rPr>
      </w:pPr>
      <w:r>
        <w:rPr>
          <w:color w:val="231F20"/>
          <w:sz w:val="18"/>
        </w:rPr>
        <w:t>Grilli Leonardo y Carla Rampichini (2005) “Selection bias in random intercept models”, en </w:t>
      </w:r>
      <w:r>
        <w:rPr>
          <w:i/>
          <w:color w:val="231F20"/>
          <w:sz w:val="18"/>
        </w:rPr>
        <w:t>Multilevel Modelling Newsletter</w:t>
      </w:r>
      <w:r>
        <w:rPr>
          <w:color w:val="231F20"/>
          <w:sz w:val="18"/>
        </w:rPr>
        <w:t>, vol. 17 (1), Bristol: Universidad de Bristol.</w:t>
      </w:r>
    </w:p>
    <w:p>
      <w:pPr>
        <w:spacing w:line="254" w:lineRule="auto" w:before="57"/>
        <w:ind w:left="113" w:right="108" w:firstLine="0"/>
        <w:jc w:val="both"/>
        <w:rPr>
          <w:sz w:val="18"/>
        </w:rPr>
      </w:pPr>
      <w:r>
        <w:rPr>
          <w:color w:val="231F20"/>
          <w:sz w:val="18"/>
        </w:rPr>
        <w:t>Hanson, Gordon H. (2003) </w:t>
      </w:r>
      <w:r>
        <w:rPr>
          <w:i/>
          <w:color w:val="231F20"/>
          <w:sz w:val="18"/>
        </w:rPr>
        <w:t>What has happened to Wages in Mexico since NAF- </w:t>
      </w:r>
      <w:r>
        <w:rPr>
          <w:i/>
          <w:color w:val="231F20"/>
          <w:sz w:val="18"/>
        </w:rPr>
        <w:t>TA? Implication for Hemispheric Free Trade</w:t>
      </w:r>
      <w:r>
        <w:rPr>
          <w:color w:val="231F20"/>
          <w:sz w:val="18"/>
        </w:rPr>
        <w:t>, Working Paper núm. 9563, San Diego: Universidad de California, NBER.</w:t>
      </w:r>
    </w:p>
    <w:p>
      <w:pPr>
        <w:spacing w:line="254" w:lineRule="auto" w:before="57"/>
        <w:ind w:left="113" w:right="108" w:firstLine="0"/>
        <w:jc w:val="both"/>
        <w:rPr>
          <w:sz w:val="18"/>
        </w:rPr>
      </w:pPr>
      <w:r>
        <w:rPr>
          <w:color w:val="231F20"/>
          <w:sz w:val="18"/>
        </w:rPr>
        <w:t>Hanson, Susan y Geraldine Pratt (1992) Dynamic Dependencies: A Geographic Investigation</w:t>
      </w:r>
      <w:r>
        <w:rPr>
          <w:color w:val="231F20"/>
          <w:spacing w:val="-8"/>
          <w:sz w:val="18"/>
        </w:rPr>
        <w:t> </w:t>
      </w:r>
      <w:r>
        <w:rPr>
          <w:color w:val="231F20"/>
          <w:sz w:val="18"/>
        </w:rPr>
        <w:t>of</w:t>
      </w:r>
      <w:r>
        <w:rPr>
          <w:color w:val="231F20"/>
          <w:spacing w:val="-8"/>
          <w:sz w:val="18"/>
        </w:rPr>
        <w:t> </w:t>
      </w:r>
      <w:r>
        <w:rPr>
          <w:color w:val="231F20"/>
          <w:sz w:val="18"/>
        </w:rPr>
        <w:t>Local</w:t>
      </w:r>
      <w:r>
        <w:rPr>
          <w:color w:val="231F20"/>
          <w:spacing w:val="-8"/>
          <w:sz w:val="18"/>
        </w:rPr>
        <w:t> </w:t>
      </w:r>
      <w:r>
        <w:rPr>
          <w:color w:val="231F20"/>
          <w:sz w:val="18"/>
        </w:rPr>
        <w:t>Labor</w:t>
      </w:r>
      <w:r>
        <w:rPr>
          <w:color w:val="231F20"/>
          <w:spacing w:val="-8"/>
          <w:sz w:val="18"/>
        </w:rPr>
        <w:t> </w:t>
      </w:r>
      <w:r>
        <w:rPr>
          <w:color w:val="231F20"/>
          <w:sz w:val="18"/>
        </w:rPr>
        <w:t>Markets</w:t>
      </w:r>
      <w:r>
        <w:rPr>
          <w:i/>
          <w:color w:val="231F20"/>
          <w:sz w:val="18"/>
        </w:rPr>
        <w:t>,</w:t>
      </w:r>
      <w:r>
        <w:rPr>
          <w:i/>
          <w:color w:val="231F20"/>
          <w:spacing w:val="-8"/>
          <w:sz w:val="18"/>
        </w:rPr>
        <w:t> </w:t>
      </w:r>
      <w:r>
        <w:rPr>
          <w:color w:val="231F20"/>
          <w:sz w:val="18"/>
        </w:rPr>
        <w:t>en</w:t>
      </w:r>
      <w:r>
        <w:rPr>
          <w:color w:val="231F20"/>
          <w:spacing w:val="-8"/>
          <w:sz w:val="18"/>
        </w:rPr>
        <w:t> </w:t>
      </w:r>
      <w:r>
        <w:rPr>
          <w:i/>
          <w:color w:val="231F20"/>
          <w:sz w:val="18"/>
        </w:rPr>
        <w:t>Economic</w:t>
      </w:r>
      <w:r>
        <w:rPr>
          <w:i/>
          <w:color w:val="231F20"/>
          <w:spacing w:val="-9"/>
          <w:sz w:val="18"/>
        </w:rPr>
        <w:t> </w:t>
      </w:r>
      <w:r>
        <w:rPr>
          <w:i/>
          <w:color w:val="231F20"/>
          <w:sz w:val="18"/>
        </w:rPr>
        <w:t>Geography</w:t>
      </w:r>
      <w:r>
        <w:rPr>
          <w:i/>
          <w:color w:val="231F20"/>
          <w:spacing w:val="-8"/>
          <w:sz w:val="18"/>
        </w:rPr>
        <w:t> </w:t>
      </w:r>
      <w:r>
        <w:rPr>
          <w:color w:val="231F20"/>
          <w:sz w:val="18"/>
        </w:rPr>
        <w:t>68,</w:t>
      </w:r>
      <w:r>
        <w:rPr>
          <w:color w:val="231F20"/>
          <w:spacing w:val="-8"/>
          <w:sz w:val="18"/>
        </w:rPr>
        <w:t> </w:t>
      </w:r>
      <w:r>
        <w:rPr>
          <w:color w:val="231F20"/>
          <w:sz w:val="18"/>
        </w:rPr>
        <w:t>Oxford:</w:t>
      </w:r>
      <w:r>
        <w:rPr>
          <w:color w:val="231F20"/>
          <w:spacing w:val="-8"/>
          <w:sz w:val="18"/>
        </w:rPr>
        <w:t> </w:t>
      </w:r>
      <w:r>
        <w:rPr>
          <w:color w:val="231F20"/>
          <w:sz w:val="18"/>
        </w:rPr>
        <w:t>Uni- versidad de</w:t>
      </w:r>
      <w:r>
        <w:rPr>
          <w:color w:val="231F20"/>
          <w:spacing w:val="-7"/>
          <w:sz w:val="18"/>
        </w:rPr>
        <w:t> </w:t>
      </w:r>
      <w:r>
        <w:rPr>
          <w:color w:val="231F20"/>
          <w:sz w:val="18"/>
        </w:rPr>
        <w:t>Oxford.</w:t>
      </w:r>
    </w:p>
    <w:p>
      <w:pPr>
        <w:spacing w:line="254" w:lineRule="auto" w:before="57"/>
        <w:ind w:left="113" w:right="108" w:firstLine="0"/>
        <w:jc w:val="both"/>
        <w:rPr>
          <w:sz w:val="18"/>
        </w:rPr>
      </w:pPr>
      <w:r>
        <w:rPr>
          <w:color w:val="231F20"/>
          <w:sz w:val="18"/>
        </w:rPr>
        <w:t>Hou, Feng y John Myles (2005) “Neighborhood Inequality, Neighborhood Affluence and Population Health”, en </w:t>
      </w:r>
      <w:r>
        <w:rPr>
          <w:i/>
          <w:color w:val="231F20"/>
          <w:sz w:val="18"/>
        </w:rPr>
        <w:t>Social Science &amp; Medicine, </w:t>
      </w:r>
      <w:r>
        <w:rPr>
          <w:color w:val="231F20"/>
          <w:sz w:val="18"/>
        </w:rPr>
        <w:t>vol. 60, núm. 7, Amsterdam: ELSEVIER.</w:t>
      </w:r>
    </w:p>
    <w:p>
      <w:pPr>
        <w:spacing w:line="254" w:lineRule="auto" w:before="57"/>
        <w:ind w:left="113" w:right="107" w:firstLine="0"/>
        <w:jc w:val="both"/>
        <w:rPr>
          <w:sz w:val="18"/>
        </w:rPr>
      </w:pPr>
      <w:r>
        <w:rPr>
          <w:color w:val="231F20"/>
          <w:sz w:val="18"/>
        </w:rPr>
        <w:t>Huffman, Matt y Lisa </w:t>
      </w:r>
      <w:r>
        <w:rPr>
          <w:color w:val="231F20"/>
          <w:spacing w:val="-3"/>
          <w:sz w:val="18"/>
        </w:rPr>
        <w:t>Torres </w:t>
      </w:r>
      <w:r>
        <w:rPr>
          <w:color w:val="231F20"/>
          <w:sz w:val="18"/>
        </w:rPr>
        <w:t>(2002) “It´s not only “who you know” that</w:t>
      </w:r>
      <w:r>
        <w:rPr>
          <w:color w:val="231F20"/>
          <w:spacing w:val="-31"/>
          <w:sz w:val="18"/>
        </w:rPr>
        <w:t> </w:t>
      </w:r>
      <w:r>
        <w:rPr>
          <w:color w:val="231F20"/>
          <w:sz w:val="18"/>
        </w:rPr>
        <w:t>matters. Gender,</w:t>
      </w:r>
      <w:r>
        <w:rPr>
          <w:color w:val="231F20"/>
          <w:spacing w:val="-5"/>
          <w:sz w:val="18"/>
        </w:rPr>
        <w:t> </w:t>
      </w:r>
      <w:r>
        <w:rPr>
          <w:color w:val="231F20"/>
          <w:sz w:val="18"/>
        </w:rPr>
        <w:t>personal</w:t>
      </w:r>
      <w:r>
        <w:rPr>
          <w:color w:val="231F20"/>
          <w:spacing w:val="-5"/>
          <w:sz w:val="18"/>
        </w:rPr>
        <w:t> </w:t>
      </w:r>
      <w:r>
        <w:rPr>
          <w:color w:val="231F20"/>
          <w:sz w:val="18"/>
        </w:rPr>
        <w:t>contacts,</w:t>
      </w:r>
      <w:r>
        <w:rPr>
          <w:color w:val="231F20"/>
          <w:spacing w:val="-5"/>
          <w:sz w:val="18"/>
        </w:rPr>
        <w:t> </w:t>
      </w:r>
      <w:r>
        <w:rPr>
          <w:color w:val="231F20"/>
          <w:sz w:val="18"/>
        </w:rPr>
        <w:t>and</w:t>
      </w:r>
      <w:r>
        <w:rPr>
          <w:color w:val="231F20"/>
          <w:spacing w:val="-5"/>
          <w:sz w:val="18"/>
        </w:rPr>
        <w:t> </w:t>
      </w:r>
      <w:r>
        <w:rPr>
          <w:color w:val="231F20"/>
          <w:sz w:val="18"/>
        </w:rPr>
        <w:t>job</w:t>
      </w:r>
      <w:r>
        <w:rPr>
          <w:color w:val="231F20"/>
          <w:spacing w:val="-5"/>
          <w:sz w:val="18"/>
        </w:rPr>
        <w:t> </w:t>
      </w:r>
      <w:r>
        <w:rPr>
          <w:color w:val="231F20"/>
          <w:sz w:val="18"/>
        </w:rPr>
        <w:t>lead</w:t>
      </w:r>
      <w:r>
        <w:rPr>
          <w:color w:val="231F20"/>
          <w:spacing w:val="-5"/>
          <w:sz w:val="18"/>
        </w:rPr>
        <w:t> </w:t>
      </w:r>
      <w:r>
        <w:rPr>
          <w:color w:val="231F20"/>
          <w:sz w:val="18"/>
        </w:rPr>
        <w:t>quality”,</w:t>
      </w:r>
      <w:r>
        <w:rPr>
          <w:color w:val="231F20"/>
          <w:spacing w:val="-5"/>
          <w:sz w:val="18"/>
        </w:rPr>
        <w:t> </w:t>
      </w:r>
      <w:r>
        <w:rPr>
          <w:color w:val="231F20"/>
          <w:sz w:val="18"/>
        </w:rPr>
        <w:t>en</w:t>
      </w:r>
      <w:r>
        <w:rPr>
          <w:color w:val="231F20"/>
          <w:spacing w:val="-5"/>
          <w:sz w:val="18"/>
        </w:rPr>
        <w:t> </w:t>
      </w:r>
      <w:r>
        <w:rPr>
          <w:i/>
          <w:color w:val="231F20"/>
          <w:sz w:val="18"/>
        </w:rPr>
        <w:t>Gender</w:t>
      </w:r>
      <w:r>
        <w:rPr>
          <w:i/>
          <w:color w:val="231F20"/>
          <w:spacing w:val="-5"/>
          <w:sz w:val="18"/>
        </w:rPr>
        <w:t> </w:t>
      </w:r>
      <w:r>
        <w:rPr>
          <w:i/>
          <w:color w:val="231F20"/>
          <w:sz w:val="18"/>
        </w:rPr>
        <w:t>and</w:t>
      </w:r>
      <w:r>
        <w:rPr>
          <w:i/>
          <w:color w:val="231F20"/>
          <w:spacing w:val="-5"/>
          <w:sz w:val="18"/>
        </w:rPr>
        <w:t> </w:t>
      </w:r>
      <w:r>
        <w:rPr>
          <w:i/>
          <w:color w:val="231F20"/>
          <w:sz w:val="18"/>
        </w:rPr>
        <w:t>Society,</w:t>
      </w:r>
      <w:r>
        <w:rPr>
          <w:i/>
          <w:color w:val="231F20"/>
          <w:spacing w:val="-5"/>
          <w:sz w:val="18"/>
        </w:rPr>
        <w:t> </w:t>
      </w:r>
      <w:r>
        <w:rPr>
          <w:color w:val="231F20"/>
          <w:sz w:val="18"/>
        </w:rPr>
        <w:t>vol.</w:t>
      </w:r>
      <w:r>
        <w:rPr>
          <w:color w:val="231F20"/>
          <w:spacing w:val="-5"/>
          <w:sz w:val="18"/>
        </w:rPr>
        <w:t> </w:t>
      </w:r>
      <w:r>
        <w:rPr>
          <w:color w:val="231F20"/>
          <w:sz w:val="18"/>
        </w:rPr>
        <w:t>16, núm.</w:t>
      </w:r>
      <w:r>
        <w:rPr>
          <w:color w:val="231F20"/>
          <w:spacing w:val="-7"/>
          <w:sz w:val="18"/>
        </w:rPr>
        <w:t> </w:t>
      </w:r>
      <w:r>
        <w:rPr>
          <w:color w:val="231F20"/>
          <w:sz w:val="18"/>
        </w:rPr>
        <w:t>6,</w:t>
      </w:r>
      <w:r>
        <w:rPr>
          <w:color w:val="231F20"/>
          <w:spacing w:val="-7"/>
          <w:sz w:val="18"/>
        </w:rPr>
        <w:t> </w:t>
      </w:r>
      <w:r>
        <w:rPr>
          <w:color w:val="231F20"/>
          <w:sz w:val="18"/>
        </w:rPr>
        <w:t>Pennsylvania:</w:t>
      </w:r>
      <w:r>
        <w:rPr>
          <w:color w:val="231F20"/>
          <w:spacing w:val="-7"/>
          <w:sz w:val="18"/>
        </w:rPr>
        <w:t> </w:t>
      </w:r>
      <w:r>
        <w:rPr>
          <w:color w:val="231F20"/>
          <w:sz w:val="18"/>
        </w:rPr>
        <w:t>Sage</w:t>
      </w:r>
      <w:r>
        <w:rPr>
          <w:color w:val="231F20"/>
          <w:spacing w:val="-7"/>
          <w:sz w:val="18"/>
        </w:rPr>
        <w:t> </w:t>
      </w:r>
      <w:r>
        <w:rPr>
          <w:color w:val="231F20"/>
          <w:sz w:val="18"/>
        </w:rPr>
        <w:t>Journals,</w:t>
      </w:r>
      <w:r>
        <w:rPr>
          <w:color w:val="231F20"/>
          <w:spacing w:val="-7"/>
          <w:sz w:val="18"/>
        </w:rPr>
        <w:t> </w:t>
      </w:r>
      <w:r>
        <w:rPr>
          <w:color w:val="231F20"/>
          <w:sz w:val="18"/>
        </w:rPr>
        <w:t>Universidad</w:t>
      </w:r>
      <w:r>
        <w:rPr>
          <w:color w:val="231F20"/>
          <w:spacing w:val="-7"/>
          <w:sz w:val="18"/>
        </w:rPr>
        <w:t> </w:t>
      </w:r>
      <w:r>
        <w:rPr>
          <w:color w:val="231F20"/>
          <w:sz w:val="18"/>
        </w:rPr>
        <w:t>de</w:t>
      </w:r>
      <w:r>
        <w:rPr>
          <w:color w:val="231F20"/>
          <w:spacing w:val="-7"/>
          <w:sz w:val="18"/>
        </w:rPr>
        <w:t> </w:t>
      </w:r>
      <w:r>
        <w:rPr>
          <w:color w:val="231F20"/>
          <w:sz w:val="18"/>
        </w:rPr>
        <w:t>Pennsylvania.</w:t>
      </w:r>
    </w:p>
    <w:p>
      <w:pPr>
        <w:spacing w:line="254" w:lineRule="auto" w:before="57"/>
        <w:ind w:left="113" w:right="108" w:firstLine="0"/>
        <w:jc w:val="both"/>
        <w:rPr>
          <w:sz w:val="18"/>
        </w:rPr>
      </w:pPr>
      <w:r>
        <w:rPr>
          <w:color w:val="231F20"/>
          <w:sz w:val="18"/>
        </w:rPr>
        <w:t>Ioannides, Yannis y Loury Datcher (2004) “Job information networks, neigh- borhood effects, and inequality”, en </w:t>
      </w:r>
      <w:r>
        <w:rPr>
          <w:i/>
          <w:color w:val="231F20"/>
          <w:sz w:val="18"/>
        </w:rPr>
        <w:t>Journal of Economic Literature, </w:t>
      </w:r>
      <w:r>
        <w:rPr>
          <w:color w:val="231F20"/>
          <w:sz w:val="18"/>
        </w:rPr>
        <w:t>vol. 42, Pittsburg: American Economic Association.</w:t>
      </w:r>
    </w:p>
    <w:p>
      <w:pPr>
        <w:spacing w:line="254" w:lineRule="auto" w:before="57"/>
        <w:ind w:left="113" w:right="108" w:firstLine="0"/>
        <w:jc w:val="both"/>
        <w:rPr>
          <w:sz w:val="18"/>
        </w:rPr>
      </w:pPr>
      <w:r>
        <w:rPr>
          <w:color w:val="231F20"/>
          <w:sz w:val="18"/>
        </w:rPr>
        <w:t>Jensen, Leif, Jill L. Findeis, Wang-Ling Hsu y Jason </w:t>
      </w:r>
      <w:r>
        <w:rPr>
          <w:color w:val="231F20"/>
          <w:spacing w:val="-10"/>
          <w:sz w:val="18"/>
        </w:rPr>
        <w:t>P. </w:t>
      </w:r>
      <w:r>
        <w:rPr>
          <w:color w:val="231F20"/>
          <w:sz w:val="18"/>
        </w:rPr>
        <w:t>Schachter (1999), “Slip- ping</w:t>
      </w:r>
      <w:r>
        <w:rPr>
          <w:color w:val="231F20"/>
          <w:spacing w:val="-5"/>
          <w:sz w:val="18"/>
        </w:rPr>
        <w:t> </w:t>
      </w:r>
      <w:r>
        <w:rPr>
          <w:color w:val="231F20"/>
          <w:sz w:val="18"/>
        </w:rPr>
        <w:t>into</w:t>
      </w:r>
      <w:r>
        <w:rPr>
          <w:color w:val="231F20"/>
          <w:spacing w:val="-5"/>
          <w:sz w:val="18"/>
        </w:rPr>
        <w:t> </w:t>
      </w:r>
      <w:r>
        <w:rPr>
          <w:color w:val="231F20"/>
          <w:sz w:val="18"/>
        </w:rPr>
        <w:t>and</w:t>
      </w:r>
      <w:r>
        <w:rPr>
          <w:color w:val="231F20"/>
          <w:spacing w:val="-5"/>
          <w:sz w:val="18"/>
        </w:rPr>
        <w:t> </w:t>
      </w:r>
      <w:r>
        <w:rPr>
          <w:color w:val="231F20"/>
          <w:sz w:val="18"/>
        </w:rPr>
        <w:t>out</w:t>
      </w:r>
      <w:r>
        <w:rPr>
          <w:color w:val="231F20"/>
          <w:spacing w:val="-5"/>
          <w:sz w:val="18"/>
        </w:rPr>
        <w:t> </w:t>
      </w:r>
      <w:r>
        <w:rPr>
          <w:color w:val="231F20"/>
          <w:sz w:val="18"/>
        </w:rPr>
        <w:t>of</w:t>
      </w:r>
      <w:r>
        <w:rPr>
          <w:color w:val="231F20"/>
          <w:spacing w:val="-5"/>
          <w:sz w:val="18"/>
        </w:rPr>
        <w:t> </w:t>
      </w:r>
      <w:r>
        <w:rPr>
          <w:color w:val="231F20"/>
          <w:sz w:val="18"/>
        </w:rPr>
        <w:t>Underemployment:</w:t>
      </w:r>
      <w:r>
        <w:rPr>
          <w:color w:val="231F20"/>
          <w:spacing w:val="-14"/>
          <w:sz w:val="18"/>
        </w:rPr>
        <w:t> </w:t>
      </w:r>
      <w:r>
        <w:rPr>
          <w:color w:val="231F20"/>
          <w:sz w:val="18"/>
        </w:rPr>
        <w:t>Another</w:t>
      </w:r>
      <w:r>
        <w:rPr>
          <w:color w:val="231F20"/>
          <w:spacing w:val="-4"/>
          <w:sz w:val="18"/>
        </w:rPr>
        <w:t> </w:t>
      </w:r>
      <w:r>
        <w:rPr>
          <w:color w:val="231F20"/>
          <w:sz w:val="18"/>
        </w:rPr>
        <w:t>Disadvantage</w:t>
      </w:r>
      <w:r>
        <w:rPr>
          <w:color w:val="231F20"/>
          <w:spacing w:val="-4"/>
          <w:sz w:val="18"/>
        </w:rPr>
        <w:t> </w:t>
      </w:r>
      <w:r>
        <w:rPr>
          <w:color w:val="231F20"/>
          <w:sz w:val="18"/>
        </w:rPr>
        <w:t>for</w:t>
      </w:r>
      <w:r>
        <w:rPr>
          <w:color w:val="231F20"/>
          <w:spacing w:val="-5"/>
          <w:sz w:val="18"/>
        </w:rPr>
        <w:t> </w:t>
      </w:r>
      <w:r>
        <w:rPr>
          <w:color w:val="231F20"/>
          <w:sz w:val="18"/>
        </w:rPr>
        <w:t>Nonmetropo- litan</w:t>
      </w:r>
      <w:r>
        <w:rPr>
          <w:color w:val="231F20"/>
          <w:spacing w:val="-7"/>
          <w:sz w:val="18"/>
        </w:rPr>
        <w:t> </w:t>
      </w:r>
      <w:r>
        <w:rPr>
          <w:color w:val="231F20"/>
          <w:sz w:val="18"/>
        </w:rPr>
        <w:t>Workers?”,</w:t>
      </w:r>
      <w:r>
        <w:rPr>
          <w:color w:val="231F20"/>
          <w:spacing w:val="-3"/>
          <w:sz w:val="18"/>
        </w:rPr>
        <w:t> </w:t>
      </w:r>
      <w:r>
        <w:rPr>
          <w:color w:val="231F20"/>
          <w:sz w:val="18"/>
        </w:rPr>
        <w:t>en</w:t>
      </w:r>
      <w:r>
        <w:rPr>
          <w:color w:val="231F20"/>
          <w:spacing w:val="-4"/>
          <w:sz w:val="18"/>
        </w:rPr>
        <w:t> </w:t>
      </w:r>
      <w:r>
        <w:rPr>
          <w:i/>
          <w:color w:val="231F20"/>
          <w:sz w:val="18"/>
        </w:rPr>
        <w:t>Rural</w:t>
      </w:r>
      <w:r>
        <w:rPr>
          <w:i/>
          <w:color w:val="231F20"/>
          <w:spacing w:val="-4"/>
          <w:sz w:val="18"/>
        </w:rPr>
        <w:t> </w:t>
      </w:r>
      <w:r>
        <w:rPr>
          <w:i/>
          <w:color w:val="231F20"/>
          <w:sz w:val="18"/>
        </w:rPr>
        <w:t>Sociology,</w:t>
      </w:r>
      <w:r>
        <w:rPr>
          <w:i/>
          <w:color w:val="231F20"/>
          <w:spacing w:val="-3"/>
          <w:sz w:val="18"/>
        </w:rPr>
        <w:t> </w:t>
      </w:r>
      <w:r>
        <w:rPr>
          <w:color w:val="231F20"/>
          <w:sz w:val="18"/>
        </w:rPr>
        <w:t>vol.</w:t>
      </w:r>
      <w:r>
        <w:rPr>
          <w:color w:val="231F20"/>
          <w:spacing w:val="-3"/>
          <w:sz w:val="18"/>
        </w:rPr>
        <w:t> </w:t>
      </w:r>
      <w:r>
        <w:rPr>
          <w:color w:val="231F20"/>
          <w:sz w:val="18"/>
        </w:rPr>
        <w:t>64,</w:t>
      </w:r>
      <w:r>
        <w:rPr>
          <w:color w:val="231F20"/>
          <w:spacing w:val="-3"/>
          <w:sz w:val="18"/>
        </w:rPr>
        <w:t> </w:t>
      </w:r>
      <w:r>
        <w:rPr>
          <w:color w:val="231F20"/>
          <w:sz w:val="18"/>
        </w:rPr>
        <w:t>núm.</w:t>
      </w:r>
      <w:r>
        <w:rPr>
          <w:color w:val="231F20"/>
          <w:spacing w:val="-3"/>
          <w:sz w:val="18"/>
        </w:rPr>
        <w:t> </w:t>
      </w:r>
      <w:r>
        <w:rPr>
          <w:color w:val="231F20"/>
          <w:sz w:val="18"/>
        </w:rPr>
        <w:t>3,</w:t>
      </w:r>
      <w:r>
        <w:rPr>
          <w:color w:val="231F20"/>
          <w:spacing w:val="-3"/>
          <w:sz w:val="18"/>
        </w:rPr>
        <w:t> </w:t>
      </w:r>
      <w:r>
        <w:rPr>
          <w:color w:val="231F20"/>
          <w:sz w:val="18"/>
        </w:rPr>
        <w:t>Nueva</w:t>
      </w:r>
      <w:r>
        <w:rPr>
          <w:color w:val="231F20"/>
          <w:spacing w:val="-3"/>
          <w:sz w:val="18"/>
        </w:rPr>
        <w:t> </w:t>
      </w:r>
      <w:r>
        <w:rPr>
          <w:color w:val="231F20"/>
          <w:sz w:val="18"/>
        </w:rPr>
        <w:t>Jersey:</w:t>
      </w:r>
      <w:r>
        <w:rPr>
          <w:color w:val="231F20"/>
          <w:spacing w:val="-7"/>
          <w:sz w:val="18"/>
        </w:rPr>
        <w:t> </w:t>
      </w:r>
      <w:r>
        <w:rPr>
          <w:color w:val="231F20"/>
          <w:spacing w:val="-4"/>
          <w:sz w:val="18"/>
        </w:rPr>
        <w:t>Wiley.</w:t>
      </w:r>
    </w:p>
    <w:p>
      <w:pPr>
        <w:spacing w:line="254" w:lineRule="auto" w:before="57"/>
        <w:ind w:left="113" w:right="109" w:firstLine="0"/>
        <w:jc w:val="both"/>
        <w:rPr>
          <w:sz w:val="18"/>
        </w:rPr>
      </w:pPr>
      <w:r>
        <w:rPr>
          <w:color w:val="231F20"/>
          <w:sz w:val="18"/>
        </w:rPr>
        <w:t>Kaztman, Ruben (2002) “Convergencias y Divergencias: Exploración sobre los efectos de las nuevas modalidades de crecimiento sobre la estructura social de cuatro</w:t>
      </w:r>
      <w:r>
        <w:rPr>
          <w:color w:val="231F20"/>
          <w:spacing w:val="-8"/>
          <w:sz w:val="18"/>
        </w:rPr>
        <w:t> </w:t>
      </w:r>
      <w:r>
        <w:rPr>
          <w:color w:val="231F20"/>
          <w:sz w:val="18"/>
        </w:rPr>
        <w:t>áreas</w:t>
      </w:r>
      <w:r>
        <w:rPr>
          <w:color w:val="231F20"/>
          <w:spacing w:val="-8"/>
          <w:sz w:val="18"/>
        </w:rPr>
        <w:t> </w:t>
      </w:r>
      <w:r>
        <w:rPr>
          <w:color w:val="231F20"/>
          <w:sz w:val="18"/>
        </w:rPr>
        <w:t>metropolitanas</w:t>
      </w:r>
      <w:r>
        <w:rPr>
          <w:color w:val="231F20"/>
          <w:spacing w:val="-8"/>
          <w:sz w:val="18"/>
        </w:rPr>
        <w:t> </w:t>
      </w:r>
      <w:r>
        <w:rPr>
          <w:color w:val="231F20"/>
          <w:sz w:val="18"/>
        </w:rPr>
        <w:t>en</w:t>
      </w:r>
      <w:r>
        <w:rPr>
          <w:color w:val="231F20"/>
          <w:spacing w:val="-17"/>
          <w:sz w:val="18"/>
        </w:rPr>
        <w:t> </w:t>
      </w:r>
      <w:r>
        <w:rPr>
          <w:color w:val="231F20"/>
          <w:sz w:val="18"/>
        </w:rPr>
        <w:t>América</w:t>
      </w:r>
      <w:r>
        <w:rPr>
          <w:color w:val="231F20"/>
          <w:spacing w:val="-7"/>
          <w:sz w:val="18"/>
        </w:rPr>
        <w:t> </w:t>
      </w:r>
      <w:r>
        <w:rPr>
          <w:color w:val="231F20"/>
          <w:sz w:val="18"/>
        </w:rPr>
        <w:t>Latina”,</w:t>
      </w:r>
      <w:r>
        <w:rPr>
          <w:color w:val="231F20"/>
          <w:spacing w:val="-8"/>
          <w:sz w:val="18"/>
        </w:rPr>
        <w:t> </w:t>
      </w:r>
      <w:r>
        <w:rPr>
          <w:color w:val="231F20"/>
          <w:sz w:val="18"/>
        </w:rPr>
        <w:t>en</w:t>
      </w:r>
      <w:r>
        <w:rPr>
          <w:color w:val="231F20"/>
          <w:spacing w:val="-7"/>
          <w:sz w:val="18"/>
        </w:rPr>
        <w:t> </w:t>
      </w:r>
      <w:r>
        <w:rPr>
          <w:color w:val="231F20"/>
          <w:sz w:val="18"/>
        </w:rPr>
        <w:t>Rubén</w:t>
      </w:r>
      <w:r>
        <w:rPr>
          <w:color w:val="231F20"/>
          <w:spacing w:val="-7"/>
          <w:sz w:val="18"/>
        </w:rPr>
        <w:t> </w:t>
      </w:r>
      <w:r>
        <w:rPr>
          <w:color w:val="231F20"/>
          <w:sz w:val="18"/>
        </w:rPr>
        <w:t>Kaztman</w:t>
      </w:r>
      <w:r>
        <w:rPr>
          <w:color w:val="231F20"/>
          <w:spacing w:val="-7"/>
          <w:sz w:val="18"/>
        </w:rPr>
        <w:t> </w:t>
      </w:r>
      <w:r>
        <w:rPr>
          <w:color w:val="231F20"/>
          <w:sz w:val="18"/>
        </w:rPr>
        <w:t>y</w:t>
      </w:r>
      <w:r>
        <w:rPr>
          <w:color w:val="231F20"/>
          <w:spacing w:val="-7"/>
          <w:sz w:val="18"/>
        </w:rPr>
        <w:t> </w:t>
      </w:r>
      <w:r>
        <w:rPr>
          <w:color w:val="231F20"/>
          <w:sz w:val="18"/>
        </w:rPr>
        <w:t>Guillermo </w:t>
      </w:r>
      <w:r>
        <w:rPr>
          <w:color w:val="231F20"/>
          <w:spacing w:val="-3"/>
          <w:sz w:val="18"/>
        </w:rPr>
        <w:t>Wormald</w:t>
      </w:r>
      <w:r>
        <w:rPr>
          <w:color w:val="231F20"/>
          <w:spacing w:val="-6"/>
          <w:sz w:val="18"/>
        </w:rPr>
        <w:t> </w:t>
      </w:r>
      <w:r>
        <w:rPr>
          <w:color w:val="231F20"/>
          <w:sz w:val="18"/>
        </w:rPr>
        <w:t>(eds.),</w:t>
      </w:r>
      <w:r>
        <w:rPr>
          <w:color w:val="231F20"/>
          <w:spacing w:val="-6"/>
          <w:sz w:val="18"/>
        </w:rPr>
        <w:t> </w:t>
      </w:r>
      <w:r>
        <w:rPr>
          <w:i/>
          <w:color w:val="231F20"/>
          <w:spacing w:val="-3"/>
          <w:sz w:val="18"/>
        </w:rPr>
        <w:t>Trabajo</w:t>
      </w:r>
      <w:r>
        <w:rPr>
          <w:i/>
          <w:color w:val="231F20"/>
          <w:spacing w:val="-6"/>
          <w:sz w:val="18"/>
        </w:rPr>
        <w:t> </w:t>
      </w:r>
      <w:r>
        <w:rPr>
          <w:i/>
          <w:color w:val="231F20"/>
          <w:sz w:val="18"/>
        </w:rPr>
        <w:t>y</w:t>
      </w:r>
      <w:r>
        <w:rPr>
          <w:i/>
          <w:color w:val="231F20"/>
          <w:spacing w:val="-6"/>
          <w:sz w:val="18"/>
        </w:rPr>
        <w:t> </w:t>
      </w:r>
      <w:r>
        <w:rPr>
          <w:i/>
          <w:color w:val="231F20"/>
          <w:sz w:val="18"/>
        </w:rPr>
        <w:t>Ciudadanía.</w:t>
      </w:r>
      <w:r>
        <w:rPr>
          <w:i/>
          <w:color w:val="231F20"/>
          <w:spacing w:val="-6"/>
          <w:sz w:val="18"/>
        </w:rPr>
        <w:t> </w:t>
      </w:r>
      <w:r>
        <w:rPr>
          <w:i/>
          <w:color w:val="231F20"/>
          <w:sz w:val="18"/>
        </w:rPr>
        <w:t>Los</w:t>
      </w:r>
      <w:r>
        <w:rPr>
          <w:i/>
          <w:color w:val="231F20"/>
          <w:spacing w:val="-6"/>
          <w:sz w:val="18"/>
        </w:rPr>
        <w:t> </w:t>
      </w:r>
      <w:r>
        <w:rPr>
          <w:i/>
          <w:color w:val="231F20"/>
          <w:sz w:val="18"/>
        </w:rPr>
        <w:t>cambiantes</w:t>
      </w:r>
      <w:r>
        <w:rPr>
          <w:i/>
          <w:color w:val="231F20"/>
          <w:spacing w:val="-6"/>
          <w:sz w:val="18"/>
        </w:rPr>
        <w:t> </w:t>
      </w:r>
      <w:r>
        <w:rPr>
          <w:i/>
          <w:color w:val="231F20"/>
          <w:sz w:val="18"/>
        </w:rPr>
        <w:t>rostros</w:t>
      </w:r>
      <w:r>
        <w:rPr>
          <w:i/>
          <w:color w:val="231F20"/>
          <w:spacing w:val="-6"/>
          <w:sz w:val="18"/>
        </w:rPr>
        <w:t> </w:t>
      </w:r>
      <w:r>
        <w:rPr>
          <w:i/>
          <w:color w:val="231F20"/>
          <w:sz w:val="18"/>
        </w:rPr>
        <w:t>de</w:t>
      </w:r>
      <w:r>
        <w:rPr>
          <w:i/>
          <w:color w:val="231F20"/>
          <w:spacing w:val="-6"/>
          <w:sz w:val="18"/>
        </w:rPr>
        <w:t> </w:t>
      </w:r>
      <w:r>
        <w:rPr>
          <w:i/>
          <w:color w:val="231F20"/>
          <w:sz w:val="18"/>
        </w:rPr>
        <w:t>la</w:t>
      </w:r>
      <w:r>
        <w:rPr>
          <w:i/>
          <w:color w:val="231F20"/>
          <w:spacing w:val="-6"/>
          <w:sz w:val="18"/>
        </w:rPr>
        <w:t> </w:t>
      </w:r>
      <w:r>
        <w:rPr>
          <w:i/>
          <w:color w:val="231F20"/>
          <w:sz w:val="18"/>
        </w:rPr>
        <w:t>integración </w:t>
      </w:r>
      <w:r>
        <w:rPr>
          <w:i/>
          <w:color w:val="231F20"/>
          <w:sz w:val="18"/>
        </w:rPr>
        <w:t>y exclusión social en cuatro áreas metropolitanas de América Latina</w:t>
      </w:r>
      <w:r>
        <w:rPr>
          <w:color w:val="231F20"/>
          <w:sz w:val="18"/>
        </w:rPr>
        <w:t>, Uruguay: Sofilco.</w:t>
      </w:r>
    </w:p>
    <w:p>
      <w:pPr>
        <w:spacing w:after="0" w:line="254" w:lineRule="auto"/>
        <w:jc w:val="both"/>
        <w:rPr>
          <w:sz w:val="18"/>
        </w:rPr>
        <w:sectPr>
          <w:footerReference w:type="default" r:id="rId231"/>
          <w:pgSz w:w="7770" w:h="11740"/>
          <w:pgMar w:footer="474" w:header="0" w:top="840" w:bottom="660" w:left="1020" w:right="740"/>
          <w:pgNumType w:start="181"/>
        </w:sectPr>
      </w:pPr>
    </w:p>
    <w:p>
      <w:pPr>
        <w:spacing w:line="254" w:lineRule="auto" w:before="64"/>
        <w:ind w:left="110" w:right="111" w:firstLine="0"/>
        <w:jc w:val="both"/>
        <w:rPr>
          <w:sz w:val="18"/>
        </w:rPr>
      </w:pPr>
      <w:r>
        <w:rPr>
          <w:color w:val="231F20"/>
          <w:sz w:val="18"/>
        </w:rPr>
        <w:t>Kaztman, Rubén (2001) “Seducidos y abandonados: el aislamiento social de los pobres urbanos”, en </w:t>
      </w:r>
      <w:r>
        <w:rPr>
          <w:i/>
          <w:color w:val="231F20"/>
          <w:sz w:val="18"/>
        </w:rPr>
        <w:t>Revista de la Cepal</w:t>
      </w:r>
      <w:r>
        <w:rPr>
          <w:color w:val="231F20"/>
          <w:sz w:val="18"/>
        </w:rPr>
        <w:t>, núm. 75, Santiago de Chile: Cepal.</w:t>
      </w:r>
    </w:p>
    <w:p>
      <w:pPr>
        <w:spacing w:line="254" w:lineRule="auto" w:before="57"/>
        <w:ind w:left="110" w:right="111" w:firstLine="0"/>
        <w:jc w:val="both"/>
        <w:rPr>
          <w:sz w:val="18"/>
        </w:rPr>
      </w:pPr>
      <w:r>
        <w:rPr>
          <w:color w:val="231F20"/>
          <w:sz w:val="18"/>
        </w:rPr>
        <w:t>Kasarda John (1995) “Industrial Restructuring and the Changing Location of Jobs”,</w:t>
      </w:r>
      <w:r>
        <w:rPr>
          <w:color w:val="231F20"/>
          <w:spacing w:val="-4"/>
          <w:sz w:val="18"/>
        </w:rPr>
        <w:t> </w:t>
      </w:r>
      <w:r>
        <w:rPr>
          <w:color w:val="231F20"/>
          <w:sz w:val="18"/>
        </w:rPr>
        <w:t>en</w:t>
      </w:r>
      <w:r>
        <w:rPr>
          <w:color w:val="231F20"/>
          <w:spacing w:val="-4"/>
          <w:sz w:val="18"/>
        </w:rPr>
        <w:t> </w:t>
      </w:r>
      <w:r>
        <w:rPr>
          <w:color w:val="231F20"/>
          <w:sz w:val="18"/>
        </w:rPr>
        <w:t>Farley</w:t>
      </w:r>
      <w:r>
        <w:rPr>
          <w:color w:val="231F20"/>
          <w:spacing w:val="-4"/>
          <w:sz w:val="18"/>
        </w:rPr>
        <w:t> </w:t>
      </w:r>
      <w:r>
        <w:rPr>
          <w:color w:val="231F20"/>
          <w:sz w:val="18"/>
        </w:rPr>
        <w:t>Reynolds</w:t>
      </w:r>
      <w:r>
        <w:rPr>
          <w:color w:val="231F20"/>
          <w:spacing w:val="-4"/>
          <w:sz w:val="18"/>
        </w:rPr>
        <w:t> </w:t>
      </w:r>
      <w:r>
        <w:rPr>
          <w:color w:val="231F20"/>
          <w:sz w:val="18"/>
        </w:rPr>
        <w:t>(ed),</w:t>
      </w:r>
      <w:r>
        <w:rPr>
          <w:color w:val="231F20"/>
          <w:spacing w:val="-4"/>
          <w:sz w:val="18"/>
        </w:rPr>
        <w:t> </w:t>
      </w:r>
      <w:r>
        <w:rPr>
          <w:i/>
          <w:color w:val="231F20"/>
          <w:sz w:val="18"/>
        </w:rPr>
        <w:t>State</w:t>
      </w:r>
      <w:r>
        <w:rPr>
          <w:i/>
          <w:color w:val="231F20"/>
          <w:spacing w:val="-4"/>
          <w:sz w:val="18"/>
        </w:rPr>
        <w:t> </w:t>
      </w:r>
      <w:r>
        <w:rPr>
          <w:i/>
          <w:color w:val="231F20"/>
          <w:sz w:val="18"/>
        </w:rPr>
        <w:t>of</w:t>
      </w:r>
      <w:r>
        <w:rPr>
          <w:i/>
          <w:color w:val="231F20"/>
          <w:spacing w:val="-4"/>
          <w:sz w:val="18"/>
        </w:rPr>
        <w:t> </w:t>
      </w:r>
      <w:r>
        <w:rPr>
          <w:i/>
          <w:color w:val="231F20"/>
          <w:sz w:val="18"/>
        </w:rPr>
        <w:t>the</w:t>
      </w:r>
      <w:r>
        <w:rPr>
          <w:i/>
          <w:color w:val="231F20"/>
          <w:spacing w:val="-4"/>
          <w:sz w:val="18"/>
        </w:rPr>
        <w:t> </w:t>
      </w:r>
      <w:r>
        <w:rPr>
          <w:i/>
          <w:color w:val="231F20"/>
          <w:sz w:val="18"/>
        </w:rPr>
        <w:t>Union</w:t>
      </w:r>
      <w:r>
        <w:rPr>
          <w:i/>
          <w:color w:val="231F20"/>
          <w:spacing w:val="-7"/>
          <w:sz w:val="18"/>
        </w:rPr>
        <w:t> </w:t>
      </w:r>
      <w:r>
        <w:rPr>
          <w:i/>
          <w:color w:val="231F20"/>
          <w:sz w:val="18"/>
        </w:rPr>
        <w:t>America</w:t>
      </w:r>
      <w:r>
        <w:rPr>
          <w:i/>
          <w:color w:val="231F20"/>
          <w:spacing w:val="-4"/>
          <w:sz w:val="18"/>
        </w:rPr>
        <w:t> </w:t>
      </w:r>
      <w:r>
        <w:rPr>
          <w:i/>
          <w:color w:val="231F20"/>
          <w:sz w:val="18"/>
        </w:rPr>
        <w:t>in</w:t>
      </w:r>
      <w:r>
        <w:rPr>
          <w:i/>
          <w:color w:val="231F20"/>
          <w:spacing w:val="-4"/>
          <w:sz w:val="18"/>
        </w:rPr>
        <w:t> </w:t>
      </w:r>
      <w:r>
        <w:rPr>
          <w:i/>
          <w:color w:val="231F20"/>
          <w:sz w:val="18"/>
        </w:rPr>
        <w:t>the</w:t>
      </w:r>
      <w:r>
        <w:rPr>
          <w:i/>
          <w:color w:val="231F20"/>
          <w:spacing w:val="-4"/>
          <w:sz w:val="18"/>
        </w:rPr>
        <w:t> </w:t>
      </w:r>
      <w:r>
        <w:rPr>
          <w:i/>
          <w:color w:val="231F20"/>
          <w:sz w:val="18"/>
        </w:rPr>
        <w:t>1990s,</w:t>
      </w:r>
      <w:r>
        <w:rPr>
          <w:i/>
          <w:color w:val="231F20"/>
          <w:spacing w:val="-4"/>
          <w:sz w:val="18"/>
        </w:rPr>
        <w:t> Volume </w:t>
      </w:r>
      <w:r>
        <w:rPr>
          <w:i/>
          <w:color w:val="231F20"/>
          <w:sz w:val="18"/>
        </w:rPr>
        <w:t>One: Economic </w:t>
      </w:r>
      <w:r>
        <w:rPr>
          <w:i/>
          <w:color w:val="231F20"/>
          <w:spacing w:val="-3"/>
          <w:sz w:val="18"/>
        </w:rPr>
        <w:t>Trends</w:t>
      </w:r>
      <w:r>
        <w:rPr>
          <w:color w:val="231F20"/>
          <w:spacing w:val="-3"/>
          <w:sz w:val="18"/>
        </w:rPr>
        <w:t>, </w:t>
      </w:r>
      <w:r>
        <w:rPr>
          <w:color w:val="231F20"/>
          <w:sz w:val="18"/>
        </w:rPr>
        <w:t>New </w:t>
      </w:r>
      <w:r>
        <w:rPr>
          <w:color w:val="231F20"/>
          <w:spacing w:val="-4"/>
          <w:sz w:val="18"/>
        </w:rPr>
        <w:t>York: </w:t>
      </w:r>
      <w:r>
        <w:rPr>
          <w:color w:val="231F20"/>
          <w:sz w:val="18"/>
        </w:rPr>
        <w:t>Russel</w:t>
      </w:r>
      <w:r>
        <w:rPr>
          <w:color w:val="231F20"/>
          <w:spacing w:val="-4"/>
          <w:sz w:val="18"/>
        </w:rPr>
        <w:t> </w:t>
      </w:r>
      <w:r>
        <w:rPr>
          <w:color w:val="231F20"/>
          <w:sz w:val="18"/>
        </w:rPr>
        <w:t>Sage.</w:t>
      </w:r>
    </w:p>
    <w:p>
      <w:pPr>
        <w:spacing w:line="254" w:lineRule="auto" w:before="57"/>
        <w:ind w:left="110" w:right="111" w:firstLine="0"/>
        <w:jc w:val="both"/>
        <w:rPr>
          <w:sz w:val="18"/>
        </w:rPr>
      </w:pPr>
      <w:r>
        <w:rPr>
          <w:color w:val="231F20"/>
          <w:sz w:val="18"/>
        </w:rPr>
        <w:t>Lin, Nan (1999) “Social Networks and Status Attainment”, en </w:t>
      </w:r>
      <w:r>
        <w:rPr>
          <w:i/>
          <w:color w:val="231F20"/>
          <w:sz w:val="18"/>
        </w:rPr>
        <w:t>Annual Review of </w:t>
      </w:r>
      <w:r>
        <w:rPr>
          <w:i/>
          <w:color w:val="231F20"/>
          <w:sz w:val="18"/>
        </w:rPr>
        <w:t>Sociology </w:t>
      </w:r>
      <w:r>
        <w:rPr>
          <w:color w:val="231F20"/>
          <w:sz w:val="18"/>
        </w:rPr>
        <w:t>, núm. 25, Palo Alto: Annual Reviews.</w:t>
      </w:r>
    </w:p>
    <w:p>
      <w:pPr>
        <w:spacing w:line="254" w:lineRule="auto" w:before="57"/>
        <w:ind w:left="110" w:right="112" w:firstLine="0"/>
        <w:jc w:val="both"/>
        <w:rPr>
          <w:sz w:val="18"/>
        </w:rPr>
      </w:pPr>
      <w:r>
        <w:rPr>
          <w:color w:val="231F20"/>
          <w:sz w:val="18"/>
        </w:rPr>
        <w:t>Lomnitz, Larissa (1977) </w:t>
      </w:r>
      <w:r>
        <w:rPr>
          <w:i/>
          <w:color w:val="231F20"/>
          <w:sz w:val="18"/>
        </w:rPr>
        <w:t>Networks and marginality: Live in a Mexican shanty </w:t>
      </w:r>
      <w:r>
        <w:rPr>
          <w:i/>
          <w:color w:val="231F20"/>
          <w:sz w:val="18"/>
        </w:rPr>
        <w:t>town </w:t>
      </w:r>
      <w:r>
        <w:rPr>
          <w:color w:val="231F20"/>
          <w:sz w:val="18"/>
        </w:rPr>
        <w:t>New York and London: Academic Press</w:t>
      </w:r>
    </w:p>
    <w:p>
      <w:pPr>
        <w:spacing w:line="254" w:lineRule="auto" w:before="57"/>
        <w:ind w:left="110" w:right="111" w:firstLine="0"/>
        <w:jc w:val="both"/>
        <w:rPr>
          <w:sz w:val="18"/>
        </w:rPr>
      </w:pPr>
      <w:r>
        <w:rPr>
          <w:color w:val="231F20"/>
          <w:sz w:val="18"/>
        </w:rPr>
        <w:t>López, Julio (1999) “The Macroeconomics of Employment and Wages in Mexi- co”, en </w:t>
      </w:r>
      <w:r>
        <w:rPr>
          <w:i/>
          <w:color w:val="231F20"/>
          <w:sz w:val="18"/>
        </w:rPr>
        <w:t>Labour, </w:t>
      </w:r>
      <w:r>
        <w:rPr>
          <w:color w:val="231F20"/>
          <w:sz w:val="18"/>
        </w:rPr>
        <w:t>vol. 13, núm. 4.</w:t>
      </w:r>
    </w:p>
    <w:p>
      <w:pPr>
        <w:spacing w:line="254" w:lineRule="auto" w:before="57"/>
        <w:ind w:left="110" w:right="111" w:firstLine="0"/>
        <w:jc w:val="both"/>
        <w:rPr>
          <w:sz w:val="18"/>
        </w:rPr>
      </w:pPr>
      <w:r>
        <w:rPr>
          <w:color w:val="231F20"/>
          <w:sz w:val="18"/>
        </w:rPr>
        <w:t>Massey, Douglas y Nancy Denton (1993) </w:t>
      </w:r>
      <w:r>
        <w:rPr>
          <w:i/>
          <w:color w:val="231F20"/>
          <w:sz w:val="18"/>
        </w:rPr>
        <w:t>American Apartheid: Segregation and </w:t>
      </w:r>
      <w:r>
        <w:rPr>
          <w:i/>
          <w:color w:val="231F20"/>
          <w:sz w:val="18"/>
        </w:rPr>
        <w:t>the Making of the Underclass</w:t>
      </w:r>
      <w:r>
        <w:rPr>
          <w:color w:val="231F20"/>
          <w:sz w:val="18"/>
        </w:rPr>
        <w:t>. Cambridge: Harvard University Press.</w:t>
      </w:r>
    </w:p>
    <w:p>
      <w:pPr>
        <w:spacing w:line="254" w:lineRule="auto" w:before="57"/>
        <w:ind w:left="110" w:right="111" w:firstLine="0"/>
        <w:jc w:val="both"/>
        <w:rPr>
          <w:sz w:val="18"/>
        </w:rPr>
      </w:pPr>
      <w:r>
        <w:rPr>
          <w:color w:val="231F20"/>
          <w:spacing w:val="-3"/>
          <w:sz w:val="18"/>
        </w:rPr>
        <w:t>Massey, </w:t>
      </w:r>
      <w:r>
        <w:rPr>
          <w:color w:val="231F20"/>
          <w:sz w:val="18"/>
        </w:rPr>
        <w:t>Douglas y Mitchell Eggers (1990) “The Ecology of Inequality: Minori- ties</w:t>
      </w:r>
      <w:r>
        <w:rPr>
          <w:color w:val="231F20"/>
          <w:spacing w:val="-5"/>
          <w:sz w:val="18"/>
        </w:rPr>
        <w:t> </w:t>
      </w:r>
      <w:r>
        <w:rPr>
          <w:color w:val="231F20"/>
          <w:sz w:val="18"/>
        </w:rPr>
        <w:t>and</w:t>
      </w:r>
      <w:r>
        <w:rPr>
          <w:color w:val="231F20"/>
          <w:spacing w:val="-5"/>
          <w:sz w:val="18"/>
        </w:rPr>
        <w:t> </w:t>
      </w:r>
      <w:r>
        <w:rPr>
          <w:color w:val="231F20"/>
          <w:sz w:val="18"/>
        </w:rPr>
        <w:t>the</w:t>
      </w:r>
      <w:r>
        <w:rPr>
          <w:color w:val="231F20"/>
          <w:spacing w:val="-5"/>
          <w:sz w:val="18"/>
        </w:rPr>
        <w:t> </w:t>
      </w:r>
      <w:r>
        <w:rPr>
          <w:color w:val="231F20"/>
          <w:sz w:val="18"/>
        </w:rPr>
        <w:t>Concentration</w:t>
      </w:r>
      <w:r>
        <w:rPr>
          <w:color w:val="231F20"/>
          <w:spacing w:val="-5"/>
          <w:sz w:val="18"/>
        </w:rPr>
        <w:t> </w:t>
      </w:r>
      <w:r>
        <w:rPr>
          <w:color w:val="231F20"/>
          <w:sz w:val="18"/>
        </w:rPr>
        <w:t>of</w:t>
      </w:r>
      <w:r>
        <w:rPr>
          <w:color w:val="231F20"/>
          <w:spacing w:val="-5"/>
          <w:sz w:val="18"/>
        </w:rPr>
        <w:t> </w:t>
      </w:r>
      <w:r>
        <w:rPr>
          <w:color w:val="231F20"/>
          <w:spacing w:val="-3"/>
          <w:sz w:val="18"/>
        </w:rPr>
        <w:t>Poverty,</w:t>
      </w:r>
      <w:r>
        <w:rPr>
          <w:color w:val="231F20"/>
          <w:spacing w:val="-5"/>
          <w:sz w:val="18"/>
        </w:rPr>
        <w:t> </w:t>
      </w:r>
      <w:r>
        <w:rPr>
          <w:color w:val="231F20"/>
          <w:sz w:val="18"/>
        </w:rPr>
        <w:t>1970-1980”,</w:t>
      </w:r>
      <w:r>
        <w:rPr>
          <w:color w:val="231F20"/>
          <w:spacing w:val="-5"/>
          <w:sz w:val="18"/>
        </w:rPr>
        <w:t> </w:t>
      </w:r>
      <w:r>
        <w:rPr>
          <w:color w:val="231F20"/>
          <w:sz w:val="18"/>
        </w:rPr>
        <w:t>en</w:t>
      </w:r>
      <w:r>
        <w:rPr>
          <w:color w:val="231F20"/>
          <w:spacing w:val="-5"/>
          <w:sz w:val="18"/>
        </w:rPr>
        <w:t> </w:t>
      </w:r>
      <w:r>
        <w:rPr>
          <w:i/>
          <w:color w:val="231F20"/>
          <w:sz w:val="18"/>
        </w:rPr>
        <w:t>American</w:t>
      </w:r>
      <w:r>
        <w:rPr>
          <w:i/>
          <w:color w:val="231F20"/>
          <w:spacing w:val="-5"/>
          <w:sz w:val="18"/>
        </w:rPr>
        <w:t> </w:t>
      </w:r>
      <w:r>
        <w:rPr>
          <w:i/>
          <w:color w:val="231F20"/>
          <w:sz w:val="18"/>
        </w:rPr>
        <w:t>Journal</w:t>
      </w:r>
      <w:r>
        <w:rPr>
          <w:i/>
          <w:color w:val="231F20"/>
          <w:spacing w:val="-5"/>
          <w:sz w:val="18"/>
        </w:rPr>
        <w:t> </w:t>
      </w:r>
      <w:r>
        <w:rPr>
          <w:i/>
          <w:color w:val="231F20"/>
          <w:sz w:val="18"/>
        </w:rPr>
        <w:t>of</w:t>
      </w:r>
      <w:r>
        <w:rPr>
          <w:i/>
          <w:color w:val="231F20"/>
          <w:spacing w:val="-5"/>
          <w:sz w:val="18"/>
        </w:rPr>
        <w:t> </w:t>
      </w:r>
      <w:r>
        <w:rPr>
          <w:i/>
          <w:color w:val="231F20"/>
          <w:sz w:val="18"/>
        </w:rPr>
        <w:t>Soci- </w:t>
      </w:r>
      <w:r>
        <w:rPr>
          <w:i/>
          <w:color w:val="231F20"/>
          <w:sz w:val="18"/>
        </w:rPr>
        <w:t>ology</w:t>
      </w:r>
      <w:r>
        <w:rPr>
          <w:color w:val="231F20"/>
          <w:sz w:val="18"/>
        </w:rPr>
        <w:t>, núm. 95, Palo Alto:</w:t>
      </w:r>
      <w:r>
        <w:rPr>
          <w:color w:val="231F20"/>
          <w:spacing w:val="-32"/>
          <w:sz w:val="18"/>
        </w:rPr>
        <w:t> </w:t>
      </w:r>
      <w:r>
        <w:rPr>
          <w:color w:val="231F20"/>
          <w:sz w:val="18"/>
        </w:rPr>
        <w:t>Annual Reviews.</w:t>
      </w:r>
    </w:p>
    <w:p>
      <w:pPr>
        <w:spacing w:before="57"/>
        <w:ind w:left="110" w:right="0" w:firstLine="0"/>
        <w:jc w:val="both"/>
        <w:rPr>
          <w:i/>
          <w:sz w:val="18"/>
        </w:rPr>
      </w:pPr>
      <w:r>
        <w:rPr>
          <w:color w:val="231F20"/>
          <w:sz w:val="18"/>
        </w:rPr>
        <w:t>Massey, Douglas (2004) “Segregation and stratification”, en </w:t>
      </w:r>
      <w:r>
        <w:rPr>
          <w:i/>
          <w:color w:val="231F20"/>
          <w:sz w:val="18"/>
        </w:rPr>
        <w:t>Du Bois Review,</w:t>
      </w:r>
    </w:p>
    <w:p>
      <w:pPr>
        <w:spacing w:before="13"/>
        <w:ind w:left="110" w:right="0" w:firstLine="0"/>
        <w:jc w:val="both"/>
        <w:rPr>
          <w:sz w:val="18"/>
        </w:rPr>
      </w:pPr>
      <w:r>
        <w:rPr>
          <w:color w:val="231F20"/>
          <w:sz w:val="18"/>
        </w:rPr>
        <w:t>vol. 1, núm. 1, Cambridge: Cambridge Journals Online.</w:t>
      </w:r>
    </w:p>
    <w:p>
      <w:pPr>
        <w:spacing w:line="254" w:lineRule="auto" w:before="69"/>
        <w:ind w:left="110" w:right="111" w:firstLine="0"/>
        <w:jc w:val="both"/>
        <w:rPr>
          <w:sz w:val="18"/>
        </w:rPr>
      </w:pPr>
      <w:r>
        <w:rPr>
          <w:color w:val="231F20"/>
          <w:sz w:val="18"/>
        </w:rPr>
        <w:t>Massey, Douglas y Mary Fisher (2000) “How segregation Concentrates pover- ty”, en </w:t>
      </w:r>
      <w:r>
        <w:rPr>
          <w:i/>
          <w:color w:val="231F20"/>
          <w:sz w:val="18"/>
        </w:rPr>
        <w:t>Ethnic and Racial Studies, </w:t>
      </w:r>
      <w:r>
        <w:rPr>
          <w:color w:val="231F20"/>
          <w:sz w:val="18"/>
        </w:rPr>
        <w:t>vol. 23 núm. 4 july, Oxon: Yaylor &amp; Francis Online.</w:t>
      </w:r>
    </w:p>
    <w:p>
      <w:pPr>
        <w:spacing w:line="254" w:lineRule="auto" w:before="57"/>
        <w:ind w:left="110" w:right="111" w:firstLine="0"/>
        <w:jc w:val="both"/>
        <w:rPr>
          <w:sz w:val="18"/>
        </w:rPr>
      </w:pPr>
      <w:r>
        <w:rPr>
          <w:color w:val="231F20"/>
          <w:spacing w:val="-3"/>
          <w:sz w:val="18"/>
        </w:rPr>
        <w:t>Massey, </w:t>
      </w:r>
      <w:r>
        <w:rPr>
          <w:color w:val="231F20"/>
          <w:sz w:val="18"/>
        </w:rPr>
        <w:t>Douglas, Andrew B. Gross y Kamiko Shibuya (1994) “Migration, seg- regation</w:t>
      </w:r>
      <w:r>
        <w:rPr>
          <w:color w:val="231F20"/>
          <w:spacing w:val="-8"/>
          <w:sz w:val="18"/>
        </w:rPr>
        <w:t> </w:t>
      </w:r>
      <w:r>
        <w:rPr>
          <w:color w:val="231F20"/>
          <w:sz w:val="18"/>
        </w:rPr>
        <w:t>and</w:t>
      </w:r>
      <w:r>
        <w:rPr>
          <w:color w:val="231F20"/>
          <w:spacing w:val="-8"/>
          <w:sz w:val="18"/>
        </w:rPr>
        <w:t> </w:t>
      </w:r>
      <w:r>
        <w:rPr>
          <w:color w:val="231F20"/>
          <w:sz w:val="18"/>
        </w:rPr>
        <w:t>the</w:t>
      </w:r>
      <w:r>
        <w:rPr>
          <w:color w:val="231F20"/>
          <w:spacing w:val="-8"/>
          <w:sz w:val="18"/>
        </w:rPr>
        <w:t> </w:t>
      </w:r>
      <w:r>
        <w:rPr>
          <w:color w:val="231F20"/>
          <w:sz w:val="18"/>
        </w:rPr>
        <w:t>geographic</w:t>
      </w:r>
      <w:r>
        <w:rPr>
          <w:color w:val="231F20"/>
          <w:spacing w:val="-8"/>
          <w:sz w:val="18"/>
        </w:rPr>
        <w:t> </w:t>
      </w:r>
      <w:r>
        <w:rPr>
          <w:color w:val="231F20"/>
          <w:sz w:val="18"/>
        </w:rPr>
        <w:t>concentration</w:t>
      </w:r>
      <w:r>
        <w:rPr>
          <w:color w:val="231F20"/>
          <w:spacing w:val="-8"/>
          <w:sz w:val="18"/>
        </w:rPr>
        <w:t> </w:t>
      </w:r>
      <w:r>
        <w:rPr>
          <w:color w:val="231F20"/>
          <w:sz w:val="18"/>
        </w:rPr>
        <w:t>of</w:t>
      </w:r>
      <w:r>
        <w:rPr>
          <w:color w:val="231F20"/>
          <w:spacing w:val="-8"/>
          <w:sz w:val="18"/>
        </w:rPr>
        <w:t> </w:t>
      </w:r>
      <w:r>
        <w:rPr>
          <w:color w:val="231F20"/>
          <w:sz w:val="18"/>
        </w:rPr>
        <w:t>poverty”,</w:t>
      </w:r>
      <w:r>
        <w:rPr>
          <w:color w:val="231F20"/>
          <w:spacing w:val="-8"/>
          <w:sz w:val="18"/>
        </w:rPr>
        <w:t> </w:t>
      </w:r>
      <w:r>
        <w:rPr>
          <w:color w:val="231F20"/>
          <w:sz w:val="18"/>
        </w:rPr>
        <w:t>en</w:t>
      </w:r>
      <w:r>
        <w:rPr>
          <w:color w:val="231F20"/>
          <w:spacing w:val="-8"/>
          <w:sz w:val="18"/>
        </w:rPr>
        <w:t> </w:t>
      </w:r>
      <w:r>
        <w:rPr>
          <w:i/>
          <w:color w:val="231F20"/>
          <w:sz w:val="18"/>
        </w:rPr>
        <w:t>American</w:t>
      </w:r>
      <w:r>
        <w:rPr>
          <w:i/>
          <w:color w:val="231F20"/>
          <w:spacing w:val="-8"/>
          <w:sz w:val="18"/>
        </w:rPr>
        <w:t> </w:t>
      </w:r>
      <w:r>
        <w:rPr>
          <w:i/>
          <w:color w:val="231F20"/>
          <w:sz w:val="18"/>
        </w:rPr>
        <w:t>Sociological </w:t>
      </w:r>
      <w:r>
        <w:rPr>
          <w:i/>
          <w:color w:val="231F20"/>
          <w:sz w:val="18"/>
        </w:rPr>
        <w:t>Review,</w:t>
      </w:r>
      <w:r>
        <w:rPr>
          <w:i/>
          <w:color w:val="231F20"/>
          <w:spacing w:val="-11"/>
          <w:sz w:val="18"/>
        </w:rPr>
        <w:t> </w:t>
      </w:r>
      <w:r>
        <w:rPr>
          <w:color w:val="231F20"/>
          <w:sz w:val="18"/>
        </w:rPr>
        <w:t>vol.</w:t>
      </w:r>
      <w:r>
        <w:rPr>
          <w:color w:val="231F20"/>
          <w:spacing w:val="-11"/>
          <w:sz w:val="18"/>
        </w:rPr>
        <w:t> </w:t>
      </w:r>
      <w:r>
        <w:rPr>
          <w:color w:val="231F20"/>
          <w:sz w:val="18"/>
        </w:rPr>
        <w:t>59,</w:t>
      </w:r>
      <w:r>
        <w:rPr>
          <w:color w:val="231F20"/>
          <w:spacing w:val="-11"/>
          <w:sz w:val="18"/>
        </w:rPr>
        <w:t> </w:t>
      </w:r>
      <w:r>
        <w:rPr>
          <w:color w:val="231F20"/>
          <w:sz w:val="18"/>
        </w:rPr>
        <w:t>núm.</w:t>
      </w:r>
      <w:r>
        <w:rPr>
          <w:color w:val="231F20"/>
          <w:spacing w:val="-11"/>
          <w:sz w:val="18"/>
        </w:rPr>
        <w:t> </w:t>
      </w:r>
      <w:r>
        <w:rPr>
          <w:color w:val="231F20"/>
          <w:sz w:val="18"/>
        </w:rPr>
        <w:t>3,</w:t>
      </w:r>
      <w:r>
        <w:rPr>
          <w:color w:val="231F20"/>
          <w:spacing w:val="-14"/>
          <w:sz w:val="18"/>
        </w:rPr>
        <w:t> </w:t>
      </w:r>
      <w:r>
        <w:rPr>
          <w:color w:val="231F20"/>
          <w:sz w:val="18"/>
        </w:rPr>
        <w:t>Washington:</w:t>
      </w:r>
      <w:r>
        <w:rPr>
          <w:color w:val="231F20"/>
          <w:spacing w:val="-14"/>
          <w:sz w:val="18"/>
        </w:rPr>
        <w:t> </w:t>
      </w:r>
      <w:r>
        <w:rPr>
          <w:color w:val="231F20"/>
          <w:sz w:val="18"/>
        </w:rPr>
        <w:t>Vanderbilt</w:t>
      </w:r>
      <w:r>
        <w:rPr>
          <w:color w:val="231F20"/>
          <w:spacing w:val="-12"/>
          <w:sz w:val="18"/>
        </w:rPr>
        <w:t> </w:t>
      </w:r>
      <w:r>
        <w:rPr>
          <w:color w:val="231F20"/>
          <w:sz w:val="18"/>
        </w:rPr>
        <w:t>University.</w:t>
      </w:r>
    </w:p>
    <w:p>
      <w:pPr>
        <w:spacing w:line="254" w:lineRule="auto" w:before="57"/>
        <w:ind w:left="110" w:right="111" w:firstLine="0"/>
        <w:jc w:val="both"/>
        <w:rPr>
          <w:sz w:val="18"/>
        </w:rPr>
      </w:pPr>
      <w:r>
        <w:rPr>
          <w:color w:val="231F20"/>
          <w:sz w:val="18"/>
        </w:rPr>
        <w:t>Massey, Douglas y Mary Fischer (2003) “The Geography of Inequality in the United States, 1950-2000”, en </w:t>
      </w:r>
      <w:r>
        <w:rPr>
          <w:i/>
          <w:color w:val="231F20"/>
          <w:sz w:val="18"/>
        </w:rPr>
        <w:t>Brookings-Wharton Papers on Urban Affairs, </w:t>
      </w:r>
      <w:r>
        <w:rPr>
          <w:color w:val="231F20"/>
          <w:sz w:val="18"/>
        </w:rPr>
        <w:t>Baltimore: Johns Hopkings University.</w:t>
      </w:r>
    </w:p>
    <w:p>
      <w:pPr>
        <w:spacing w:line="254" w:lineRule="auto" w:before="57"/>
        <w:ind w:left="110" w:right="111" w:firstLine="0"/>
        <w:jc w:val="both"/>
        <w:rPr>
          <w:sz w:val="18"/>
        </w:rPr>
      </w:pPr>
      <w:r>
        <w:rPr>
          <w:color w:val="231F20"/>
          <w:sz w:val="18"/>
        </w:rPr>
        <w:t>McPherson, Miller, </w:t>
      </w:r>
      <w:r>
        <w:rPr>
          <w:color w:val="231F20"/>
          <w:spacing w:val="-3"/>
          <w:sz w:val="18"/>
        </w:rPr>
        <w:t>Lynn </w:t>
      </w:r>
      <w:r>
        <w:rPr>
          <w:color w:val="231F20"/>
          <w:sz w:val="18"/>
        </w:rPr>
        <w:t>Smith-Lovin y James M. Cook (2001) “Birds of a feather:</w:t>
      </w:r>
      <w:r>
        <w:rPr>
          <w:color w:val="231F20"/>
          <w:spacing w:val="-9"/>
          <w:sz w:val="18"/>
        </w:rPr>
        <w:t> </w:t>
      </w:r>
      <w:r>
        <w:rPr>
          <w:color w:val="231F20"/>
          <w:sz w:val="18"/>
        </w:rPr>
        <w:t>homophily</w:t>
      </w:r>
      <w:r>
        <w:rPr>
          <w:color w:val="231F20"/>
          <w:spacing w:val="-9"/>
          <w:sz w:val="18"/>
        </w:rPr>
        <w:t> </w:t>
      </w:r>
      <w:r>
        <w:rPr>
          <w:color w:val="231F20"/>
          <w:sz w:val="18"/>
        </w:rPr>
        <w:t>in</w:t>
      </w:r>
      <w:r>
        <w:rPr>
          <w:color w:val="231F20"/>
          <w:spacing w:val="-9"/>
          <w:sz w:val="18"/>
        </w:rPr>
        <w:t> </w:t>
      </w:r>
      <w:r>
        <w:rPr>
          <w:color w:val="231F20"/>
          <w:sz w:val="18"/>
        </w:rPr>
        <w:t>social</w:t>
      </w:r>
      <w:r>
        <w:rPr>
          <w:color w:val="231F20"/>
          <w:spacing w:val="-9"/>
          <w:sz w:val="18"/>
        </w:rPr>
        <w:t> </w:t>
      </w:r>
      <w:r>
        <w:rPr>
          <w:color w:val="231F20"/>
          <w:sz w:val="18"/>
        </w:rPr>
        <w:t>networks”,</w:t>
      </w:r>
      <w:r>
        <w:rPr>
          <w:color w:val="231F20"/>
          <w:spacing w:val="-9"/>
          <w:sz w:val="18"/>
        </w:rPr>
        <w:t> </w:t>
      </w:r>
      <w:r>
        <w:rPr>
          <w:color w:val="231F20"/>
          <w:sz w:val="18"/>
        </w:rPr>
        <w:t>en</w:t>
      </w:r>
      <w:r>
        <w:rPr>
          <w:color w:val="231F20"/>
          <w:spacing w:val="-9"/>
          <w:sz w:val="18"/>
        </w:rPr>
        <w:t> </w:t>
      </w:r>
      <w:r>
        <w:rPr>
          <w:i/>
          <w:color w:val="231F20"/>
          <w:sz w:val="18"/>
        </w:rPr>
        <w:t>Annual</w:t>
      </w:r>
      <w:r>
        <w:rPr>
          <w:i/>
          <w:color w:val="231F20"/>
          <w:spacing w:val="-9"/>
          <w:sz w:val="18"/>
        </w:rPr>
        <w:t> </w:t>
      </w:r>
      <w:r>
        <w:rPr>
          <w:i/>
          <w:color w:val="231F20"/>
          <w:sz w:val="18"/>
        </w:rPr>
        <w:t>Review</w:t>
      </w:r>
      <w:r>
        <w:rPr>
          <w:i/>
          <w:color w:val="231F20"/>
          <w:spacing w:val="-9"/>
          <w:sz w:val="18"/>
        </w:rPr>
        <w:t> </w:t>
      </w:r>
      <w:r>
        <w:rPr>
          <w:i/>
          <w:color w:val="231F20"/>
          <w:sz w:val="18"/>
        </w:rPr>
        <w:t>of</w:t>
      </w:r>
      <w:r>
        <w:rPr>
          <w:i/>
          <w:color w:val="231F20"/>
          <w:spacing w:val="-9"/>
          <w:sz w:val="18"/>
        </w:rPr>
        <w:t> </w:t>
      </w:r>
      <w:r>
        <w:rPr>
          <w:i/>
          <w:color w:val="231F20"/>
          <w:sz w:val="18"/>
        </w:rPr>
        <w:t>Sociology,</w:t>
      </w:r>
      <w:r>
        <w:rPr>
          <w:i/>
          <w:color w:val="231F20"/>
          <w:spacing w:val="-9"/>
          <w:sz w:val="18"/>
        </w:rPr>
        <w:t> </w:t>
      </w:r>
      <w:r>
        <w:rPr>
          <w:color w:val="231F20"/>
          <w:sz w:val="18"/>
        </w:rPr>
        <w:t>núm</w:t>
      </w:r>
      <w:r>
        <w:rPr>
          <w:i/>
          <w:color w:val="231F20"/>
          <w:sz w:val="18"/>
        </w:rPr>
        <w:t>.</w:t>
      </w:r>
      <w:r>
        <w:rPr>
          <w:i/>
          <w:color w:val="231F20"/>
          <w:spacing w:val="-9"/>
          <w:sz w:val="18"/>
        </w:rPr>
        <w:t> </w:t>
      </w:r>
      <w:r>
        <w:rPr>
          <w:color w:val="231F20"/>
          <w:sz w:val="18"/>
        </w:rPr>
        <w:t>27, Palo Alto:</w:t>
      </w:r>
      <w:r>
        <w:rPr>
          <w:color w:val="231F20"/>
          <w:spacing w:val="-32"/>
          <w:sz w:val="18"/>
        </w:rPr>
        <w:t> </w:t>
      </w:r>
      <w:r>
        <w:rPr>
          <w:color w:val="231F20"/>
          <w:sz w:val="18"/>
        </w:rPr>
        <w:t>Annual Reviews.</w:t>
      </w:r>
    </w:p>
    <w:p>
      <w:pPr>
        <w:spacing w:line="254" w:lineRule="auto" w:before="57"/>
        <w:ind w:left="110" w:right="111" w:firstLine="0"/>
        <w:jc w:val="both"/>
        <w:rPr>
          <w:sz w:val="18"/>
        </w:rPr>
      </w:pPr>
      <w:r>
        <w:rPr>
          <w:color w:val="231F20"/>
          <w:sz w:val="18"/>
        </w:rPr>
        <w:t>Mendenhall, Rubi, DeLuca, Stefanie y Greg Duncan (2006) “Neighborhood re- sources, racial segregation, and economic mobility: Results from the Gautreaux program”, en </w:t>
      </w:r>
      <w:r>
        <w:rPr>
          <w:i/>
          <w:color w:val="231F20"/>
          <w:sz w:val="18"/>
        </w:rPr>
        <w:t>Social science research, </w:t>
      </w:r>
      <w:r>
        <w:rPr>
          <w:color w:val="231F20"/>
          <w:sz w:val="18"/>
        </w:rPr>
        <w:t>vol. 35, núm. 4, Amsterdam, ELSEVIER.</w:t>
      </w:r>
    </w:p>
    <w:p>
      <w:pPr>
        <w:spacing w:line="254" w:lineRule="auto" w:before="57"/>
        <w:ind w:left="110" w:right="111" w:firstLine="0"/>
        <w:jc w:val="both"/>
        <w:rPr>
          <w:sz w:val="18"/>
        </w:rPr>
      </w:pPr>
      <w:r>
        <w:rPr>
          <w:color w:val="231F20"/>
          <w:sz w:val="18"/>
        </w:rPr>
        <w:t>Oliveira Orlandina de y Bryan Roberts (1993) “La informalidad urbana en años de expansión, crisis y restructuración económica”, en </w:t>
      </w:r>
      <w:r>
        <w:rPr>
          <w:i/>
          <w:color w:val="231F20"/>
          <w:sz w:val="18"/>
        </w:rPr>
        <w:t>Estudios sociológicos </w:t>
      </w:r>
      <w:r>
        <w:rPr>
          <w:color w:val="231F20"/>
          <w:sz w:val="18"/>
        </w:rPr>
        <w:t>XI,</w:t>
      </w:r>
    </w:p>
    <w:p>
      <w:pPr>
        <w:spacing w:before="1"/>
        <w:ind w:left="110" w:right="0" w:firstLine="0"/>
        <w:jc w:val="both"/>
        <w:rPr>
          <w:sz w:val="18"/>
        </w:rPr>
      </w:pPr>
      <w:r>
        <w:rPr>
          <w:color w:val="231F20"/>
          <w:sz w:val="18"/>
        </w:rPr>
        <w:t>(31) enero-abril, México: El Colegio de México.</w:t>
      </w:r>
    </w:p>
    <w:p>
      <w:pPr>
        <w:spacing w:line="254" w:lineRule="auto" w:before="69"/>
        <w:ind w:left="110" w:right="111" w:firstLine="0"/>
        <w:jc w:val="both"/>
        <w:rPr>
          <w:sz w:val="18"/>
        </w:rPr>
      </w:pPr>
      <w:r>
        <w:rPr>
          <w:color w:val="231F20"/>
          <w:sz w:val="18"/>
        </w:rPr>
        <w:t>Parks,</w:t>
      </w:r>
      <w:r>
        <w:rPr>
          <w:color w:val="231F20"/>
          <w:spacing w:val="-8"/>
          <w:sz w:val="18"/>
        </w:rPr>
        <w:t> </w:t>
      </w:r>
      <w:r>
        <w:rPr>
          <w:color w:val="231F20"/>
          <w:sz w:val="18"/>
        </w:rPr>
        <w:t>Virginia</w:t>
      </w:r>
      <w:r>
        <w:rPr>
          <w:color w:val="231F20"/>
          <w:spacing w:val="-6"/>
          <w:sz w:val="18"/>
        </w:rPr>
        <w:t> </w:t>
      </w:r>
      <w:r>
        <w:rPr>
          <w:color w:val="231F20"/>
          <w:sz w:val="18"/>
        </w:rPr>
        <w:t>(2004)</w:t>
      </w:r>
      <w:r>
        <w:rPr>
          <w:color w:val="231F20"/>
          <w:spacing w:val="-6"/>
          <w:sz w:val="18"/>
        </w:rPr>
        <w:t> </w:t>
      </w:r>
      <w:r>
        <w:rPr>
          <w:color w:val="231F20"/>
          <w:sz w:val="18"/>
        </w:rPr>
        <w:t>“Access</w:t>
      </w:r>
      <w:r>
        <w:rPr>
          <w:color w:val="231F20"/>
          <w:spacing w:val="-6"/>
          <w:sz w:val="18"/>
        </w:rPr>
        <w:t> </w:t>
      </w:r>
      <w:r>
        <w:rPr>
          <w:color w:val="231F20"/>
          <w:sz w:val="18"/>
        </w:rPr>
        <w:t>to</w:t>
      </w:r>
      <w:r>
        <w:rPr>
          <w:color w:val="231F20"/>
          <w:spacing w:val="-8"/>
          <w:sz w:val="18"/>
        </w:rPr>
        <w:t> </w:t>
      </w:r>
      <w:r>
        <w:rPr>
          <w:color w:val="231F20"/>
          <w:spacing w:val="-4"/>
          <w:sz w:val="18"/>
        </w:rPr>
        <w:t>Work</w:t>
      </w:r>
      <w:r>
        <w:rPr>
          <w:color w:val="231F20"/>
          <w:spacing w:val="-8"/>
          <w:sz w:val="18"/>
        </w:rPr>
        <w:t> </w:t>
      </w:r>
      <w:r>
        <w:rPr>
          <w:color w:val="231F20"/>
          <w:sz w:val="18"/>
        </w:rPr>
        <w:t>The</w:t>
      </w:r>
      <w:r>
        <w:rPr>
          <w:color w:val="231F20"/>
          <w:spacing w:val="-6"/>
          <w:sz w:val="18"/>
        </w:rPr>
        <w:t> </w:t>
      </w:r>
      <w:r>
        <w:rPr>
          <w:color w:val="231F20"/>
          <w:sz w:val="18"/>
        </w:rPr>
        <w:t>Effects</w:t>
      </w:r>
      <w:r>
        <w:rPr>
          <w:color w:val="231F20"/>
          <w:spacing w:val="-6"/>
          <w:sz w:val="18"/>
        </w:rPr>
        <w:t> </w:t>
      </w:r>
      <w:r>
        <w:rPr>
          <w:color w:val="231F20"/>
          <w:sz w:val="18"/>
        </w:rPr>
        <w:t>of</w:t>
      </w:r>
      <w:r>
        <w:rPr>
          <w:color w:val="231F20"/>
          <w:spacing w:val="-6"/>
          <w:sz w:val="18"/>
        </w:rPr>
        <w:t> </w:t>
      </w:r>
      <w:r>
        <w:rPr>
          <w:color w:val="231F20"/>
          <w:sz w:val="18"/>
        </w:rPr>
        <w:t>Spatial</w:t>
      </w:r>
      <w:r>
        <w:rPr>
          <w:color w:val="231F20"/>
          <w:spacing w:val="-6"/>
          <w:sz w:val="18"/>
        </w:rPr>
        <w:t> </w:t>
      </w:r>
      <w:r>
        <w:rPr>
          <w:color w:val="231F20"/>
          <w:sz w:val="18"/>
        </w:rPr>
        <w:t>and</w:t>
      </w:r>
      <w:r>
        <w:rPr>
          <w:color w:val="231F20"/>
          <w:spacing w:val="-6"/>
          <w:sz w:val="18"/>
        </w:rPr>
        <w:t> </w:t>
      </w:r>
      <w:r>
        <w:rPr>
          <w:color w:val="231F20"/>
          <w:sz w:val="18"/>
        </w:rPr>
        <w:t>Social</w:t>
      </w:r>
      <w:r>
        <w:rPr>
          <w:color w:val="231F20"/>
          <w:spacing w:val="-15"/>
          <w:sz w:val="18"/>
        </w:rPr>
        <w:t> </w:t>
      </w:r>
      <w:r>
        <w:rPr>
          <w:color w:val="231F20"/>
          <w:sz w:val="18"/>
        </w:rPr>
        <w:t>Acces- sibility</w:t>
      </w:r>
      <w:r>
        <w:rPr>
          <w:color w:val="231F20"/>
          <w:spacing w:val="-4"/>
          <w:sz w:val="18"/>
        </w:rPr>
        <w:t> </w:t>
      </w:r>
      <w:r>
        <w:rPr>
          <w:color w:val="231F20"/>
          <w:sz w:val="18"/>
        </w:rPr>
        <w:t>on</w:t>
      </w:r>
      <w:r>
        <w:rPr>
          <w:color w:val="231F20"/>
          <w:spacing w:val="-4"/>
          <w:sz w:val="18"/>
        </w:rPr>
        <w:t> </w:t>
      </w:r>
      <w:r>
        <w:rPr>
          <w:color w:val="231F20"/>
          <w:sz w:val="18"/>
        </w:rPr>
        <w:t>Unemployment</w:t>
      </w:r>
      <w:r>
        <w:rPr>
          <w:color w:val="231F20"/>
          <w:spacing w:val="-4"/>
          <w:sz w:val="18"/>
        </w:rPr>
        <w:t> </w:t>
      </w:r>
      <w:r>
        <w:rPr>
          <w:color w:val="231F20"/>
          <w:sz w:val="18"/>
        </w:rPr>
        <w:t>for</w:t>
      </w:r>
      <w:r>
        <w:rPr>
          <w:color w:val="231F20"/>
          <w:spacing w:val="-4"/>
          <w:sz w:val="18"/>
        </w:rPr>
        <w:t> </w:t>
      </w:r>
      <w:r>
        <w:rPr>
          <w:color w:val="231F20"/>
          <w:sz w:val="18"/>
        </w:rPr>
        <w:t>Native-Born</w:t>
      </w:r>
      <w:r>
        <w:rPr>
          <w:color w:val="231F20"/>
          <w:spacing w:val="-4"/>
          <w:sz w:val="18"/>
        </w:rPr>
        <w:t> </w:t>
      </w:r>
      <w:r>
        <w:rPr>
          <w:color w:val="231F20"/>
          <w:sz w:val="18"/>
        </w:rPr>
        <w:t>Black</w:t>
      </w:r>
      <w:r>
        <w:rPr>
          <w:color w:val="231F20"/>
          <w:spacing w:val="-4"/>
          <w:sz w:val="18"/>
        </w:rPr>
        <w:t> </w:t>
      </w:r>
      <w:r>
        <w:rPr>
          <w:color w:val="231F20"/>
          <w:sz w:val="18"/>
        </w:rPr>
        <w:t>and</w:t>
      </w:r>
      <w:r>
        <w:rPr>
          <w:color w:val="231F20"/>
          <w:spacing w:val="-4"/>
          <w:sz w:val="18"/>
        </w:rPr>
        <w:t> </w:t>
      </w:r>
      <w:r>
        <w:rPr>
          <w:color w:val="231F20"/>
          <w:sz w:val="18"/>
        </w:rPr>
        <w:t>Immigrant</w:t>
      </w:r>
      <w:r>
        <w:rPr>
          <w:color w:val="231F20"/>
          <w:spacing w:val="-8"/>
          <w:sz w:val="18"/>
        </w:rPr>
        <w:t> </w:t>
      </w:r>
      <w:r>
        <w:rPr>
          <w:color w:val="231F20"/>
          <w:spacing w:val="-3"/>
          <w:sz w:val="18"/>
        </w:rPr>
        <w:t>Women</w:t>
      </w:r>
      <w:r>
        <w:rPr>
          <w:color w:val="231F20"/>
          <w:spacing w:val="-4"/>
          <w:sz w:val="18"/>
        </w:rPr>
        <w:t> </w:t>
      </w:r>
      <w:r>
        <w:rPr>
          <w:color w:val="231F20"/>
          <w:sz w:val="18"/>
        </w:rPr>
        <w:t>en</w:t>
      </w:r>
      <w:r>
        <w:rPr>
          <w:color w:val="231F20"/>
          <w:spacing w:val="-4"/>
          <w:sz w:val="18"/>
        </w:rPr>
        <w:t> </w:t>
      </w:r>
      <w:r>
        <w:rPr>
          <w:color w:val="231F20"/>
          <w:sz w:val="18"/>
        </w:rPr>
        <w:t>Los Angeles”</w:t>
      </w:r>
      <w:r>
        <w:rPr>
          <w:i/>
          <w:color w:val="231F20"/>
          <w:sz w:val="18"/>
        </w:rPr>
        <w:t>, </w:t>
      </w:r>
      <w:r>
        <w:rPr>
          <w:color w:val="231F20"/>
          <w:sz w:val="18"/>
        </w:rPr>
        <w:t>en </w:t>
      </w:r>
      <w:r>
        <w:rPr>
          <w:i/>
          <w:color w:val="231F20"/>
          <w:sz w:val="18"/>
        </w:rPr>
        <w:t>Economic Geography</w:t>
      </w:r>
      <w:r>
        <w:rPr>
          <w:i/>
          <w:color w:val="231F20"/>
          <w:spacing w:val="-17"/>
          <w:sz w:val="18"/>
        </w:rPr>
        <w:t> </w:t>
      </w:r>
      <w:r>
        <w:rPr>
          <w:color w:val="231F20"/>
          <w:sz w:val="18"/>
        </w:rPr>
        <w:t>80.</w:t>
      </w:r>
    </w:p>
    <w:p>
      <w:pPr>
        <w:spacing w:after="0" w:line="254" w:lineRule="auto"/>
        <w:jc w:val="both"/>
        <w:rPr>
          <w:sz w:val="18"/>
        </w:rPr>
        <w:sectPr>
          <w:pgSz w:w="7770" w:h="11740"/>
          <w:pgMar w:header="0" w:footer="474" w:top="840" w:bottom="740" w:left="740" w:right="1020"/>
        </w:sectPr>
      </w:pPr>
    </w:p>
    <w:p>
      <w:pPr>
        <w:spacing w:line="254" w:lineRule="auto" w:before="64"/>
        <w:ind w:left="113" w:right="108" w:firstLine="0"/>
        <w:jc w:val="both"/>
        <w:rPr>
          <w:sz w:val="18"/>
        </w:rPr>
      </w:pPr>
      <w:r>
        <w:rPr>
          <w:color w:val="231F20"/>
          <w:sz w:val="18"/>
        </w:rPr>
        <w:t>Raudenbush Stephen y Anthony Bryk (2002) </w:t>
      </w:r>
      <w:r>
        <w:rPr>
          <w:i/>
          <w:color w:val="231F20"/>
          <w:sz w:val="18"/>
        </w:rPr>
        <w:t>Hierarchical Liner Models. Ap- </w:t>
      </w:r>
      <w:r>
        <w:rPr>
          <w:i/>
          <w:color w:val="231F20"/>
          <w:sz w:val="18"/>
        </w:rPr>
        <w:t>plications</w:t>
      </w:r>
      <w:r>
        <w:rPr>
          <w:i/>
          <w:color w:val="231F20"/>
          <w:spacing w:val="-10"/>
          <w:sz w:val="18"/>
        </w:rPr>
        <w:t> </w:t>
      </w:r>
      <w:r>
        <w:rPr>
          <w:i/>
          <w:color w:val="231F20"/>
          <w:sz w:val="18"/>
        </w:rPr>
        <w:t>and</w:t>
      </w:r>
      <w:r>
        <w:rPr>
          <w:i/>
          <w:color w:val="231F20"/>
          <w:spacing w:val="-10"/>
          <w:sz w:val="18"/>
        </w:rPr>
        <w:t> </w:t>
      </w:r>
      <w:r>
        <w:rPr>
          <w:i/>
          <w:color w:val="231F20"/>
          <w:sz w:val="18"/>
        </w:rPr>
        <w:t>Data</w:t>
      </w:r>
      <w:r>
        <w:rPr>
          <w:i/>
          <w:color w:val="231F20"/>
          <w:spacing w:val="-13"/>
          <w:sz w:val="18"/>
        </w:rPr>
        <w:t> </w:t>
      </w:r>
      <w:r>
        <w:rPr>
          <w:i/>
          <w:color w:val="231F20"/>
          <w:sz w:val="18"/>
        </w:rPr>
        <w:t>Analysis</w:t>
      </w:r>
      <w:r>
        <w:rPr>
          <w:i/>
          <w:color w:val="231F20"/>
          <w:spacing w:val="-10"/>
          <w:sz w:val="18"/>
        </w:rPr>
        <w:t> </w:t>
      </w:r>
      <w:r>
        <w:rPr>
          <w:i/>
          <w:color w:val="231F20"/>
          <w:sz w:val="18"/>
        </w:rPr>
        <w:t>Methods</w:t>
      </w:r>
      <w:r>
        <w:rPr>
          <w:color w:val="231F20"/>
          <w:sz w:val="18"/>
        </w:rPr>
        <w:t>,</w:t>
      </w:r>
      <w:r>
        <w:rPr>
          <w:color w:val="231F20"/>
          <w:spacing w:val="-10"/>
          <w:sz w:val="18"/>
        </w:rPr>
        <w:t> </w:t>
      </w:r>
      <w:r>
        <w:rPr>
          <w:color w:val="231F20"/>
          <w:sz w:val="18"/>
        </w:rPr>
        <w:t>California:</w:t>
      </w:r>
      <w:r>
        <w:rPr>
          <w:color w:val="231F20"/>
          <w:spacing w:val="-10"/>
          <w:sz w:val="18"/>
        </w:rPr>
        <w:t> </w:t>
      </w:r>
      <w:r>
        <w:rPr>
          <w:color w:val="231F20"/>
          <w:sz w:val="18"/>
        </w:rPr>
        <w:t>Sage</w:t>
      </w:r>
      <w:r>
        <w:rPr>
          <w:color w:val="231F20"/>
          <w:spacing w:val="-10"/>
          <w:sz w:val="18"/>
        </w:rPr>
        <w:t> </w:t>
      </w:r>
      <w:r>
        <w:rPr>
          <w:color w:val="231F20"/>
          <w:sz w:val="18"/>
        </w:rPr>
        <w:t>Publications</w:t>
      </w:r>
      <w:r>
        <w:rPr>
          <w:color w:val="231F20"/>
          <w:spacing w:val="-9"/>
          <w:sz w:val="18"/>
        </w:rPr>
        <w:t> </w:t>
      </w:r>
      <w:r>
        <w:rPr>
          <w:color w:val="231F20"/>
          <w:sz w:val="18"/>
        </w:rPr>
        <w:t>Inc.</w:t>
      </w:r>
      <w:r>
        <w:rPr>
          <w:color w:val="231F20"/>
          <w:spacing w:val="-10"/>
          <w:sz w:val="18"/>
        </w:rPr>
        <w:t> </w:t>
      </w:r>
      <w:r>
        <w:rPr>
          <w:color w:val="231F20"/>
          <w:sz w:val="18"/>
        </w:rPr>
        <w:t>Second Edition</w:t>
      </w:r>
    </w:p>
    <w:p>
      <w:pPr>
        <w:spacing w:before="57"/>
        <w:ind w:left="113" w:right="0" w:firstLine="0"/>
        <w:jc w:val="both"/>
        <w:rPr>
          <w:i/>
          <w:sz w:val="18"/>
        </w:rPr>
      </w:pPr>
      <w:r>
        <w:rPr>
          <w:color w:val="231F20"/>
          <w:sz w:val="18"/>
        </w:rPr>
        <w:t>Rodríguez, Jorge (2001) </w:t>
      </w:r>
      <w:r>
        <w:rPr>
          <w:i/>
          <w:color w:val="231F20"/>
          <w:sz w:val="18"/>
        </w:rPr>
        <w:t>Segregación residencial socioeconómica: ¿Qué es?,</w:t>
      </w:r>
    </w:p>
    <w:p>
      <w:pPr>
        <w:spacing w:line="254" w:lineRule="auto" w:before="13"/>
        <w:ind w:left="113" w:right="108" w:firstLine="0"/>
        <w:jc w:val="both"/>
        <w:rPr>
          <w:sz w:val="18"/>
        </w:rPr>
      </w:pPr>
      <w:r>
        <w:rPr>
          <w:i/>
          <w:color w:val="231F20"/>
          <w:sz w:val="18"/>
        </w:rPr>
        <w:t>¿Cómo se mide?, ¿Qué está pasando?, ¿Importa?</w:t>
      </w:r>
      <w:r>
        <w:rPr>
          <w:color w:val="231F20"/>
          <w:sz w:val="18"/>
        </w:rPr>
        <w:t>, Santiago de Chile: Celade/ UNFPA.</w:t>
      </w:r>
    </w:p>
    <w:p>
      <w:pPr>
        <w:spacing w:line="254" w:lineRule="auto" w:before="57"/>
        <w:ind w:left="113" w:right="108" w:firstLine="0"/>
        <w:jc w:val="both"/>
        <w:rPr>
          <w:sz w:val="18"/>
        </w:rPr>
      </w:pPr>
      <w:r>
        <w:rPr>
          <w:color w:val="231F20"/>
          <w:sz w:val="18"/>
        </w:rPr>
        <w:t>Rodríguez, Jorge y Camilo Arriagada (2004) “Residential Segregation in Latin- American</w:t>
      </w:r>
      <w:r>
        <w:rPr>
          <w:color w:val="231F20"/>
          <w:spacing w:val="-10"/>
          <w:sz w:val="18"/>
        </w:rPr>
        <w:t> </w:t>
      </w:r>
      <w:r>
        <w:rPr>
          <w:color w:val="231F20"/>
          <w:sz w:val="18"/>
        </w:rPr>
        <w:t>City”,</w:t>
      </w:r>
      <w:r>
        <w:rPr>
          <w:color w:val="231F20"/>
          <w:spacing w:val="-10"/>
          <w:sz w:val="18"/>
        </w:rPr>
        <w:t> </w:t>
      </w:r>
      <w:r>
        <w:rPr>
          <w:color w:val="231F20"/>
          <w:sz w:val="18"/>
        </w:rPr>
        <w:t>en</w:t>
      </w:r>
      <w:r>
        <w:rPr>
          <w:color w:val="231F20"/>
          <w:spacing w:val="-10"/>
          <w:sz w:val="18"/>
        </w:rPr>
        <w:t> </w:t>
      </w:r>
      <w:r>
        <w:rPr>
          <w:i/>
          <w:color w:val="231F20"/>
          <w:sz w:val="18"/>
        </w:rPr>
        <w:t>EURE:</w:t>
      </w:r>
      <w:r>
        <w:rPr>
          <w:i/>
          <w:color w:val="231F20"/>
          <w:spacing w:val="-10"/>
          <w:sz w:val="18"/>
        </w:rPr>
        <w:t> </w:t>
      </w:r>
      <w:r>
        <w:rPr>
          <w:i/>
          <w:color w:val="231F20"/>
          <w:sz w:val="18"/>
        </w:rPr>
        <w:t>Revista</w:t>
      </w:r>
      <w:r>
        <w:rPr>
          <w:i/>
          <w:color w:val="231F20"/>
          <w:spacing w:val="-11"/>
          <w:sz w:val="18"/>
        </w:rPr>
        <w:t> </w:t>
      </w:r>
      <w:r>
        <w:rPr>
          <w:i/>
          <w:color w:val="231F20"/>
          <w:sz w:val="18"/>
        </w:rPr>
        <w:t>latinoamericana</w:t>
      </w:r>
      <w:r>
        <w:rPr>
          <w:i/>
          <w:color w:val="231F20"/>
          <w:spacing w:val="-11"/>
          <w:sz w:val="18"/>
        </w:rPr>
        <w:t> </w:t>
      </w:r>
      <w:r>
        <w:rPr>
          <w:i/>
          <w:color w:val="231F20"/>
          <w:sz w:val="18"/>
        </w:rPr>
        <w:t>de</w:t>
      </w:r>
      <w:r>
        <w:rPr>
          <w:i/>
          <w:color w:val="231F20"/>
          <w:spacing w:val="-10"/>
          <w:sz w:val="18"/>
        </w:rPr>
        <w:t> </w:t>
      </w:r>
      <w:r>
        <w:rPr>
          <w:i/>
          <w:color w:val="231F20"/>
          <w:sz w:val="18"/>
        </w:rPr>
        <w:t>estudios</w:t>
      </w:r>
      <w:r>
        <w:rPr>
          <w:i/>
          <w:color w:val="231F20"/>
          <w:spacing w:val="-11"/>
          <w:sz w:val="18"/>
        </w:rPr>
        <w:t> </w:t>
      </w:r>
      <w:r>
        <w:rPr>
          <w:i/>
          <w:color w:val="231F20"/>
          <w:sz w:val="18"/>
        </w:rPr>
        <w:t>urbano</w:t>
      </w:r>
      <w:r>
        <w:rPr>
          <w:i/>
          <w:color w:val="231F20"/>
          <w:spacing w:val="-10"/>
          <w:sz w:val="18"/>
        </w:rPr>
        <w:t> </w:t>
      </w:r>
      <w:r>
        <w:rPr>
          <w:i/>
          <w:color w:val="231F20"/>
          <w:sz w:val="18"/>
        </w:rPr>
        <w:t>regiona- </w:t>
      </w:r>
      <w:r>
        <w:rPr>
          <w:i/>
          <w:color w:val="231F20"/>
          <w:sz w:val="18"/>
        </w:rPr>
        <w:t>les, </w:t>
      </w:r>
      <w:r>
        <w:rPr>
          <w:color w:val="231F20"/>
          <w:sz w:val="18"/>
        </w:rPr>
        <w:t>vol. 29, núm. 89, Scielo, Santiago de</w:t>
      </w:r>
      <w:r>
        <w:rPr>
          <w:color w:val="231F20"/>
          <w:spacing w:val="-14"/>
          <w:sz w:val="18"/>
        </w:rPr>
        <w:t> </w:t>
      </w:r>
      <w:r>
        <w:rPr>
          <w:color w:val="231F20"/>
          <w:sz w:val="18"/>
        </w:rPr>
        <w:t>Chile.</w:t>
      </w:r>
    </w:p>
    <w:p>
      <w:pPr>
        <w:spacing w:line="254" w:lineRule="auto" w:before="57"/>
        <w:ind w:left="113" w:right="108" w:firstLine="0"/>
        <w:jc w:val="both"/>
        <w:rPr>
          <w:sz w:val="18"/>
        </w:rPr>
      </w:pPr>
      <w:r>
        <w:rPr>
          <w:color w:val="231F20"/>
          <w:sz w:val="18"/>
        </w:rPr>
        <w:t>Ros, Jaime y César Bouillon (2002) “Trade Liberalization, growth, Inequality and </w:t>
      </w:r>
      <w:r>
        <w:rPr>
          <w:color w:val="231F20"/>
          <w:spacing w:val="-3"/>
          <w:sz w:val="18"/>
        </w:rPr>
        <w:t>Poverty, </w:t>
      </w:r>
      <w:r>
        <w:rPr>
          <w:color w:val="231F20"/>
          <w:sz w:val="18"/>
        </w:rPr>
        <w:t>en </w:t>
      </w:r>
      <w:r>
        <w:rPr>
          <w:color w:val="231F20"/>
          <w:spacing w:val="-3"/>
          <w:sz w:val="18"/>
        </w:rPr>
        <w:t>Taylor </w:t>
      </w:r>
      <w:r>
        <w:rPr>
          <w:color w:val="231F20"/>
          <w:spacing w:val="-8"/>
          <w:sz w:val="18"/>
        </w:rPr>
        <w:t>Vos </w:t>
      </w:r>
      <w:r>
        <w:rPr>
          <w:color w:val="231F20"/>
          <w:sz w:val="18"/>
        </w:rPr>
        <w:t>and Paes de Barros, </w:t>
      </w:r>
      <w:r>
        <w:rPr>
          <w:i/>
          <w:color w:val="231F20"/>
          <w:sz w:val="18"/>
        </w:rPr>
        <w:t>Economic Liberalization, Distri- </w:t>
      </w:r>
      <w:r>
        <w:rPr>
          <w:i/>
          <w:color w:val="231F20"/>
          <w:sz w:val="18"/>
        </w:rPr>
        <w:t>bution and </w:t>
      </w:r>
      <w:r>
        <w:rPr>
          <w:i/>
          <w:color w:val="231F20"/>
          <w:spacing w:val="-3"/>
          <w:sz w:val="18"/>
        </w:rPr>
        <w:t>Poverty.</w:t>
      </w:r>
      <w:r>
        <w:rPr>
          <w:color w:val="231F20"/>
          <w:spacing w:val="-3"/>
          <w:sz w:val="18"/>
        </w:rPr>
        <w:t>UNDP. </w:t>
      </w:r>
      <w:r>
        <w:rPr>
          <w:color w:val="231F20"/>
          <w:sz w:val="18"/>
        </w:rPr>
        <w:t>Edward Elgar.</w:t>
      </w:r>
    </w:p>
    <w:p>
      <w:pPr>
        <w:spacing w:line="254" w:lineRule="auto" w:before="57"/>
        <w:ind w:left="113" w:right="108" w:firstLine="0"/>
        <w:jc w:val="both"/>
        <w:rPr>
          <w:sz w:val="18"/>
        </w:rPr>
      </w:pPr>
      <w:r>
        <w:rPr>
          <w:color w:val="231F20"/>
          <w:sz w:val="18"/>
        </w:rPr>
        <w:t>Sabatini, Francisco, Gonzálo Cáceres y Jorge Cerda (2001) “Segregación resi- dencial en las principales ciudades chilenas: tendencias de las tres últimas déca- das y posibles cursos de acción”, en </w:t>
      </w:r>
      <w:r>
        <w:rPr>
          <w:i/>
          <w:color w:val="231F20"/>
          <w:sz w:val="18"/>
        </w:rPr>
        <w:t>Eure, </w:t>
      </w:r>
      <w:r>
        <w:rPr>
          <w:color w:val="231F20"/>
          <w:sz w:val="18"/>
        </w:rPr>
        <w:t>vol. 27, núm. 82, Santiago de Chile: Pontificia Universidad Católica de Chile.</w:t>
      </w:r>
    </w:p>
    <w:p>
      <w:pPr>
        <w:spacing w:line="254" w:lineRule="auto" w:before="57"/>
        <w:ind w:left="113" w:right="108" w:firstLine="0"/>
        <w:jc w:val="both"/>
        <w:rPr>
          <w:sz w:val="18"/>
        </w:rPr>
      </w:pPr>
      <w:r>
        <w:rPr>
          <w:color w:val="231F20"/>
          <w:sz w:val="18"/>
        </w:rPr>
        <w:t>Salas,</w:t>
      </w:r>
      <w:r>
        <w:rPr>
          <w:color w:val="231F20"/>
          <w:spacing w:val="-9"/>
          <w:sz w:val="18"/>
        </w:rPr>
        <w:t> </w:t>
      </w:r>
      <w:r>
        <w:rPr>
          <w:color w:val="231F20"/>
          <w:sz w:val="18"/>
        </w:rPr>
        <w:t>Carlos</w:t>
      </w:r>
      <w:r>
        <w:rPr>
          <w:color w:val="231F20"/>
          <w:spacing w:val="-10"/>
          <w:sz w:val="18"/>
        </w:rPr>
        <w:t> </w:t>
      </w:r>
      <w:r>
        <w:rPr>
          <w:color w:val="231F20"/>
          <w:sz w:val="18"/>
        </w:rPr>
        <w:t>y</w:t>
      </w:r>
      <w:r>
        <w:rPr>
          <w:color w:val="231F20"/>
          <w:spacing w:val="-10"/>
          <w:sz w:val="18"/>
        </w:rPr>
        <w:t> </w:t>
      </w:r>
      <w:r>
        <w:rPr>
          <w:color w:val="231F20"/>
          <w:sz w:val="18"/>
        </w:rPr>
        <w:t>Eduardo</w:t>
      </w:r>
      <w:r>
        <w:rPr>
          <w:color w:val="231F20"/>
          <w:spacing w:val="-10"/>
          <w:sz w:val="18"/>
        </w:rPr>
        <w:t> </w:t>
      </w:r>
      <w:r>
        <w:rPr>
          <w:color w:val="231F20"/>
          <w:sz w:val="18"/>
        </w:rPr>
        <w:t>Zepeda</w:t>
      </w:r>
      <w:r>
        <w:rPr>
          <w:color w:val="231F20"/>
          <w:spacing w:val="-10"/>
          <w:sz w:val="18"/>
        </w:rPr>
        <w:t> </w:t>
      </w:r>
      <w:r>
        <w:rPr>
          <w:color w:val="231F20"/>
          <w:sz w:val="18"/>
        </w:rPr>
        <w:t>(2006),</w:t>
      </w:r>
      <w:r>
        <w:rPr>
          <w:color w:val="231F20"/>
          <w:spacing w:val="-10"/>
          <w:sz w:val="18"/>
        </w:rPr>
        <w:t> </w:t>
      </w:r>
      <w:r>
        <w:rPr>
          <w:color w:val="231F20"/>
          <w:sz w:val="18"/>
        </w:rPr>
        <w:t>“Ocupación</w:t>
      </w:r>
      <w:r>
        <w:rPr>
          <w:color w:val="231F20"/>
          <w:spacing w:val="-10"/>
          <w:sz w:val="18"/>
        </w:rPr>
        <w:t> </w:t>
      </w:r>
      <w:r>
        <w:rPr>
          <w:color w:val="231F20"/>
          <w:sz w:val="18"/>
        </w:rPr>
        <w:t>e</w:t>
      </w:r>
      <w:r>
        <w:rPr>
          <w:color w:val="231F20"/>
          <w:spacing w:val="-10"/>
          <w:sz w:val="18"/>
        </w:rPr>
        <w:t> </w:t>
      </w:r>
      <w:r>
        <w:rPr>
          <w:color w:val="231F20"/>
          <w:sz w:val="18"/>
        </w:rPr>
        <w:t>ingresos</w:t>
      </w:r>
      <w:r>
        <w:rPr>
          <w:color w:val="231F20"/>
          <w:spacing w:val="-10"/>
          <w:sz w:val="18"/>
        </w:rPr>
        <w:t> </w:t>
      </w:r>
      <w:r>
        <w:rPr>
          <w:color w:val="231F20"/>
          <w:sz w:val="18"/>
        </w:rPr>
        <w:t>en</w:t>
      </w:r>
      <w:r>
        <w:rPr>
          <w:color w:val="231F20"/>
          <w:spacing w:val="-10"/>
          <w:sz w:val="18"/>
        </w:rPr>
        <w:t> </w:t>
      </w:r>
      <w:r>
        <w:rPr>
          <w:color w:val="231F20"/>
          <w:sz w:val="18"/>
        </w:rPr>
        <w:t>México:</w:t>
      </w:r>
      <w:r>
        <w:rPr>
          <w:color w:val="231F20"/>
          <w:spacing w:val="-9"/>
          <w:sz w:val="18"/>
        </w:rPr>
        <w:t> </w:t>
      </w:r>
      <w:r>
        <w:rPr>
          <w:color w:val="231F20"/>
          <w:sz w:val="18"/>
        </w:rPr>
        <w:t>2000- 2004”, en Enrique De la Garza y Carlos Salas (eds.), </w:t>
      </w:r>
      <w:r>
        <w:rPr>
          <w:i/>
          <w:color w:val="231F20"/>
          <w:sz w:val="18"/>
        </w:rPr>
        <w:t>La situación del trabajo en </w:t>
      </w:r>
      <w:r>
        <w:rPr>
          <w:i/>
          <w:color w:val="231F20"/>
          <w:sz w:val="18"/>
        </w:rPr>
        <w:t>México</w:t>
      </w:r>
      <w:r>
        <w:rPr>
          <w:color w:val="231F20"/>
          <w:sz w:val="18"/>
        </w:rPr>
        <w:t>,</w:t>
      </w:r>
      <w:r>
        <w:rPr>
          <w:color w:val="231F20"/>
          <w:spacing w:val="-10"/>
          <w:sz w:val="18"/>
        </w:rPr>
        <w:t> </w:t>
      </w:r>
      <w:r>
        <w:rPr>
          <w:color w:val="231F20"/>
          <w:sz w:val="18"/>
        </w:rPr>
        <w:t>México:</w:t>
      </w:r>
      <w:r>
        <w:rPr>
          <w:color w:val="231F20"/>
          <w:spacing w:val="-10"/>
          <w:sz w:val="18"/>
        </w:rPr>
        <w:t> </w:t>
      </w:r>
      <w:r>
        <w:rPr>
          <w:color w:val="231F20"/>
          <w:sz w:val="18"/>
        </w:rPr>
        <w:t>Universidad</w:t>
      </w:r>
      <w:r>
        <w:rPr>
          <w:color w:val="231F20"/>
          <w:spacing w:val="-19"/>
          <w:sz w:val="18"/>
        </w:rPr>
        <w:t> </w:t>
      </w:r>
      <w:r>
        <w:rPr>
          <w:color w:val="231F20"/>
          <w:sz w:val="18"/>
        </w:rPr>
        <w:t>Autónoma</w:t>
      </w:r>
      <w:r>
        <w:rPr>
          <w:color w:val="231F20"/>
          <w:spacing w:val="-10"/>
          <w:sz w:val="18"/>
        </w:rPr>
        <w:t> </w:t>
      </w:r>
      <w:r>
        <w:rPr>
          <w:color w:val="231F20"/>
          <w:sz w:val="18"/>
        </w:rPr>
        <w:t>Metropolitana;</w:t>
      </w:r>
      <w:r>
        <w:rPr>
          <w:color w:val="231F20"/>
          <w:spacing w:val="-9"/>
          <w:sz w:val="18"/>
        </w:rPr>
        <w:t> </w:t>
      </w:r>
      <w:r>
        <w:rPr>
          <w:color w:val="231F20"/>
          <w:sz w:val="18"/>
        </w:rPr>
        <w:t>Solidarity</w:t>
      </w:r>
      <w:r>
        <w:rPr>
          <w:color w:val="231F20"/>
          <w:spacing w:val="-10"/>
          <w:sz w:val="18"/>
        </w:rPr>
        <w:t> </w:t>
      </w:r>
      <w:r>
        <w:rPr>
          <w:color w:val="231F20"/>
          <w:sz w:val="18"/>
        </w:rPr>
        <w:t>Center;</w:t>
      </w:r>
      <w:r>
        <w:rPr>
          <w:color w:val="231F20"/>
          <w:spacing w:val="-10"/>
          <w:sz w:val="18"/>
        </w:rPr>
        <w:t> </w:t>
      </w:r>
      <w:r>
        <w:rPr>
          <w:color w:val="231F20"/>
          <w:sz w:val="18"/>
        </w:rPr>
        <w:t>Insti- tuto de Estudios del Trabajo; Plaza y</w:t>
      </w:r>
      <w:r>
        <w:rPr>
          <w:color w:val="231F20"/>
          <w:spacing w:val="-20"/>
          <w:sz w:val="18"/>
        </w:rPr>
        <w:t> </w:t>
      </w:r>
      <w:r>
        <w:rPr>
          <w:color w:val="231F20"/>
          <w:spacing w:val="-3"/>
          <w:sz w:val="18"/>
        </w:rPr>
        <w:t>Valdés.</w:t>
      </w:r>
    </w:p>
    <w:p>
      <w:pPr>
        <w:spacing w:line="254" w:lineRule="auto" w:before="57"/>
        <w:ind w:left="113" w:right="107" w:firstLine="0"/>
        <w:jc w:val="both"/>
        <w:rPr>
          <w:sz w:val="18"/>
        </w:rPr>
      </w:pPr>
      <w:r>
        <w:rPr>
          <w:color w:val="231F20"/>
          <w:sz w:val="18"/>
        </w:rPr>
        <w:t>Sánchez Peña, Landy (2012) “¿Viviendo cada vez más separados? Un análisis multigrupo de la segregación residencial en la Ciudad de México, 1990-2005”, en </w:t>
      </w:r>
      <w:r>
        <w:rPr>
          <w:i/>
          <w:color w:val="231F20"/>
          <w:sz w:val="18"/>
        </w:rPr>
        <w:t>Estudios Demográficos y Urbanos, </w:t>
      </w:r>
      <w:r>
        <w:rPr>
          <w:color w:val="231F20"/>
          <w:sz w:val="18"/>
        </w:rPr>
        <w:t>vol. 27, núm. 1. enero-abril, México: El Colegio de México.</w:t>
      </w:r>
    </w:p>
    <w:p>
      <w:pPr>
        <w:spacing w:line="254" w:lineRule="auto" w:before="57"/>
        <w:ind w:left="113" w:right="108" w:firstLine="0"/>
        <w:jc w:val="both"/>
        <w:rPr>
          <w:sz w:val="18"/>
        </w:rPr>
      </w:pPr>
      <w:r>
        <w:rPr>
          <w:color w:val="231F20"/>
          <w:sz w:val="18"/>
        </w:rPr>
        <w:t>Samaniego, Norma (2001) </w:t>
      </w:r>
      <w:r>
        <w:rPr>
          <w:i/>
          <w:color w:val="231F20"/>
          <w:sz w:val="18"/>
        </w:rPr>
        <w:t>Los principales desafíos que enfrenta el mercado de </w:t>
      </w:r>
      <w:r>
        <w:rPr>
          <w:i/>
          <w:color w:val="231F20"/>
          <w:sz w:val="18"/>
        </w:rPr>
        <w:t>trabajo en México en los inicios del siglo XXI</w:t>
      </w:r>
      <w:r>
        <w:rPr>
          <w:color w:val="231F20"/>
          <w:sz w:val="18"/>
        </w:rPr>
        <w:t>, México: OIT.</w:t>
      </w:r>
    </w:p>
    <w:p>
      <w:pPr>
        <w:spacing w:line="254" w:lineRule="auto" w:before="57"/>
        <w:ind w:left="113" w:right="108" w:firstLine="0"/>
        <w:jc w:val="both"/>
        <w:rPr>
          <w:sz w:val="18"/>
        </w:rPr>
      </w:pPr>
      <w:r>
        <w:rPr>
          <w:color w:val="231F20"/>
          <w:sz w:val="18"/>
        </w:rPr>
        <w:t>Sampson, Robert y William Julius Wilson (1996) “Toward a Theory of Race, Crime, and Urban Inequality”, en John Hagan and Ruth Peterson (eds.), </w:t>
      </w:r>
      <w:r>
        <w:rPr>
          <w:i/>
          <w:color w:val="231F20"/>
          <w:sz w:val="18"/>
        </w:rPr>
        <w:t>Crime </w:t>
      </w:r>
      <w:r>
        <w:rPr>
          <w:i/>
          <w:color w:val="231F20"/>
          <w:sz w:val="18"/>
        </w:rPr>
        <w:t>and Inequality</w:t>
      </w:r>
      <w:r>
        <w:rPr>
          <w:color w:val="231F20"/>
          <w:sz w:val="18"/>
        </w:rPr>
        <w:t>, Stanford, CA: Stanford University Press.</w:t>
      </w:r>
    </w:p>
    <w:p>
      <w:pPr>
        <w:spacing w:line="254" w:lineRule="auto" w:before="57"/>
        <w:ind w:left="113" w:right="108" w:firstLine="0"/>
        <w:jc w:val="both"/>
        <w:rPr>
          <w:sz w:val="18"/>
        </w:rPr>
      </w:pPr>
      <w:r>
        <w:rPr>
          <w:color w:val="231F20"/>
          <w:sz w:val="18"/>
        </w:rPr>
        <w:t>Sampson, Robert y Jeffrey Morenoff (2006) “Durable Inequality: Spatial Dy- namics, Social Processes, and the Persistence of Poverty in Chicago Neighbor- hoods”,</w:t>
      </w:r>
      <w:r>
        <w:rPr>
          <w:color w:val="231F20"/>
          <w:spacing w:val="-5"/>
          <w:sz w:val="18"/>
        </w:rPr>
        <w:t> </w:t>
      </w:r>
      <w:r>
        <w:rPr>
          <w:color w:val="231F20"/>
          <w:sz w:val="18"/>
        </w:rPr>
        <w:t>en</w:t>
      </w:r>
      <w:r>
        <w:rPr>
          <w:color w:val="231F20"/>
          <w:spacing w:val="-5"/>
          <w:sz w:val="18"/>
        </w:rPr>
        <w:t> </w:t>
      </w:r>
      <w:r>
        <w:rPr>
          <w:color w:val="231F20"/>
          <w:sz w:val="18"/>
        </w:rPr>
        <w:t>Samuel</w:t>
      </w:r>
      <w:r>
        <w:rPr>
          <w:color w:val="231F20"/>
          <w:spacing w:val="-5"/>
          <w:sz w:val="18"/>
        </w:rPr>
        <w:t> </w:t>
      </w:r>
      <w:r>
        <w:rPr>
          <w:color w:val="231F20"/>
          <w:sz w:val="18"/>
        </w:rPr>
        <w:t>Bowles,</w:t>
      </w:r>
      <w:r>
        <w:rPr>
          <w:color w:val="231F20"/>
          <w:spacing w:val="-5"/>
          <w:sz w:val="18"/>
        </w:rPr>
        <w:t> </w:t>
      </w:r>
      <w:r>
        <w:rPr>
          <w:color w:val="231F20"/>
          <w:sz w:val="18"/>
        </w:rPr>
        <w:t>Steve</w:t>
      </w:r>
      <w:r>
        <w:rPr>
          <w:color w:val="231F20"/>
          <w:spacing w:val="-5"/>
          <w:sz w:val="18"/>
        </w:rPr>
        <w:t> </w:t>
      </w:r>
      <w:r>
        <w:rPr>
          <w:color w:val="231F20"/>
          <w:sz w:val="18"/>
        </w:rPr>
        <w:t>Durlauf,</w:t>
      </w:r>
      <w:r>
        <w:rPr>
          <w:color w:val="231F20"/>
          <w:spacing w:val="-5"/>
          <w:sz w:val="18"/>
        </w:rPr>
        <w:t> </w:t>
      </w:r>
      <w:r>
        <w:rPr>
          <w:color w:val="231F20"/>
          <w:sz w:val="18"/>
        </w:rPr>
        <w:t>and</w:t>
      </w:r>
      <w:r>
        <w:rPr>
          <w:color w:val="231F20"/>
          <w:spacing w:val="-5"/>
          <w:sz w:val="18"/>
        </w:rPr>
        <w:t> </w:t>
      </w:r>
      <w:r>
        <w:rPr>
          <w:color w:val="231F20"/>
          <w:sz w:val="18"/>
        </w:rPr>
        <w:t>Karla</w:t>
      </w:r>
      <w:r>
        <w:rPr>
          <w:color w:val="231F20"/>
          <w:spacing w:val="-5"/>
          <w:sz w:val="18"/>
        </w:rPr>
        <w:t> </w:t>
      </w:r>
      <w:r>
        <w:rPr>
          <w:color w:val="231F20"/>
          <w:sz w:val="18"/>
        </w:rPr>
        <w:t>Hoff</w:t>
      </w:r>
      <w:r>
        <w:rPr>
          <w:color w:val="231F20"/>
          <w:spacing w:val="-5"/>
          <w:sz w:val="18"/>
        </w:rPr>
        <w:t> </w:t>
      </w:r>
      <w:r>
        <w:rPr>
          <w:color w:val="231F20"/>
          <w:sz w:val="18"/>
        </w:rPr>
        <w:t>(eds.),</w:t>
      </w:r>
      <w:r>
        <w:rPr>
          <w:color w:val="231F20"/>
          <w:spacing w:val="-5"/>
          <w:sz w:val="18"/>
        </w:rPr>
        <w:t> </w:t>
      </w:r>
      <w:r>
        <w:rPr>
          <w:i/>
          <w:color w:val="231F20"/>
          <w:sz w:val="18"/>
        </w:rPr>
        <w:t>Poverty</w:t>
      </w:r>
      <w:r>
        <w:rPr>
          <w:i/>
          <w:color w:val="231F20"/>
          <w:spacing w:val="-5"/>
          <w:sz w:val="18"/>
        </w:rPr>
        <w:t> </w:t>
      </w:r>
      <w:r>
        <w:rPr>
          <w:i/>
          <w:color w:val="231F20"/>
          <w:spacing w:val="-3"/>
          <w:sz w:val="18"/>
        </w:rPr>
        <w:t>Traps</w:t>
      </w:r>
      <w:r>
        <w:rPr>
          <w:color w:val="231F20"/>
          <w:spacing w:val="-3"/>
          <w:sz w:val="18"/>
        </w:rPr>
        <w:t>, </w:t>
      </w:r>
      <w:r>
        <w:rPr>
          <w:color w:val="231F20"/>
          <w:sz w:val="18"/>
        </w:rPr>
        <w:t>Princeton: Princeton University</w:t>
      </w:r>
      <w:r>
        <w:rPr>
          <w:color w:val="231F20"/>
          <w:spacing w:val="-32"/>
          <w:sz w:val="18"/>
        </w:rPr>
        <w:t> </w:t>
      </w:r>
      <w:r>
        <w:rPr>
          <w:color w:val="231F20"/>
          <w:sz w:val="18"/>
        </w:rPr>
        <w:t>Press.</w:t>
      </w:r>
    </w:p>
    <w:p>
      <w:pPr>
        <w:spacing w:line="254" w:lineRule="auto" w:before="57"/>
        <w:ind w:left="113" w:right="108" w:firstLine="0"/>
        <w:jc w:val="both"/>
        <w:rPr>
          <w:sz w:val="18"/>
        </w:rPr>
      </w:pPr>
      <w:r>
        <w:rPr>
          <w:color w:val="231F20"/>
          <w:sz w:val="18"/>
        </w:rPr>
        <w:t>Schteingart, Martha (2001) “La división social del espacio en las ciudades”, en </w:t>
      </w:r>
      <w:r>
        <w:rPr>
          <w:i/>
          <w:color w:val="231F20"/>
          <w:sz w:val="18"/>
        </w:rPr>
        <w:t>Perfiles Latinoamericanos</w:t>
      </w:r>
      <w:r>
        <w:rPr>
          <w:color w:val="231F20"/>
          <w:sz w:val="18"/>
        </w:rPr>
        <w:t>, vol. 19, México: Facultad Latinoamericana de Cien- cias Sociales.</w:t>
      </w:r>
    </w:p>
    <w:p>
      <w:pPr>
        <w:spacing w:line="254" w:lineRule="auto" w:before="57"/>
        <w:ind w:left="113" w:right="108" w:firstLine="0"/>
        <w:jc w:val="both"/>
        <w:rPr>
          <w:sz w:val="18"/>
        </w:rPr>
      </w:pPr>
      <w:r>
        <w:rPr>
          <w:color w:val="231F20"/>
          <w:spacing w:val="-2"/>
          <w:sz w:val="18"/>
        </w:rPr>
        <w:t>Secor, </w:t>
      </w:r>
      <w:r>
        <w:rPr>
          <w:color w:val="231F20"/>
          <w:sz w:val="18"/>
        </w:rPr>
        <w:t>Anna y John O’Loughlin (2005) “Social and political trust in Istanbul and</w:t>
      </w:r>
      <w:r>
        <w:rPr>
          <w:color w:val="231F20"/>
          <w:spacing w:val="-8"/>
          <w:sz w:val="18"/>
        </w:rPr>
        <w:t> </w:t>
      </w:r>
      <w:r>
        <w:rPr>
          <w:color w:val="231F20"/>
          <w:sz w:val="18"/>
        </w:rPr>
        <w:t>Moscow:</w:t>
      </w:r>
      <w:r>
        <w:rPr>
          <w:color w:val="231F20"/>
          <w:spacing w:val="-8"/>
          <w:sz w:val="18"/>
        </w:rPr>
        <w:t> </w:t>
      </w:r>
      <w:r>
        <w:rPr>
          <w:color w:val="231F20"/>
          <w:sz w:val="18"/>
        </w:rPr>
        <w:t>a</w:t>
      </w:r>
      <w:r>
        <w:rPr>
          <w:color w:val="231F20"/>
          <w:spacing w:val="-8"/>
          <w:sz w:val="18"/>
        </w:rPr>
        <w:t> </w:t>
      </w:r>
      <w:r>
        <w:rPr>
          <w:color w:val="231F20"/>
          <w:sz w:val="18"/>
        </w:rPr>
        <w:t>comparative</w:t>
      </w:r>
      <w:r>
        <w:rPr>
          <w:color w:val="231F20"/>
          <w:spacing w:val="-8"/>
          <w:sz w:val="18"/>
        </w:rPr>
        <w:t> </w:t>
      </w:r>
      <w:r>
        <w:rPr>
          <w:color w:val="231F20"/>
          <w:sz w:val="18"/>
        </w:rPr>
        <w:t>analysis</w:t>
      </w:r>
      <w:r>
        <w:rPr>
          <w:color w:val="231F20"/>
          <w:spacing w:val="-8"/>
          <w:sz w:val="18"/>
        </w:rPr>
        <w:t> </w:t>
      </w:r>
      <w:r>
        <w:rPr>
          <w:color w:val="231F20"/>
          <w:sz w:val="18"/>
        </w:rPr>
        <w:t>of</w:t>
      </w:r>
      <w:r>
        <w:rPr>
          <w:color w:val="231F20"/>
          <w:spacing w:val="-8"/>
          <w:sz w:val="18"/>
        </w:rPr>
        <w:t> </w:t>
      </w:r>
      <w:r>
        <w:rPr>
          <w:color w:val="231F20"/>
          <w:sz w:val="18"/>
        </w:rPr>
        <w:t>individual</w:t>
      </w:r>
      <w:r>
        <w:rPr>
          <w:color w:val="231F20"/>
          <w:spacing w:val="-8"/>
          <w:sz w:val="18"/>
        </w:rPr>
        <w:t> </w:t>
      </w:r>
      <w:r>
        <w:rPr>
          <w:color w:val="231F20"/>
          <w:sz w:val="18"/>
        </w:rPr>
        <w:t>and</w:t>
      </w:r>
      <w:r>
        <w:rPr>
          <w:color w:val="231F20"/>
          <w:spacing w:val="-8"/>
          <w:sz w:val="18"/>
        </w:rPr>
        <w:t> </w:t>
      </w:r>
      <w:r>
        <w:rPr>
          <w:color w:val="231F20"/>
          <w:sz w:val="18"/>
        </w:rPr>
        <w:t>neighborhood</w:t>
      </w:r>
      <w:r>
        <w:rPr>
          <w:color w:val="231F20"/>
          <w:spacing w:val="-8"/>
          <w:sz w:val="18"/>
        </w:rPr>
        <w:t> </w:t>
      </w:r>
      <w:r>
        <w:rPr>
          <w:color w:val="231F20"/>
          <w:sz w:val="18"/>
        </w:rPr>
        <w:t>effects”,</w:t>
      </w:r>
      <w:r>
        <w:rPr>
          <w:color w:val="231F20"/>
          <w:spacing w:val="-8"/>
          <w:sz w:val="18"/>
        </w:rPr>
        <w:t> </w:t>
      </w:r>
      <w:r>
        <w:rPr>
          <w:color w:val="231F20"/>
          <w:sz w:val="18"/>
        </w:rPr>
        <w:t>en </w:t>
      </w:r>
      <w:r>
        <w:rPr>
          <w:i/>
          <w:color w:val="231F20"/>
          <w:sz w:val="18"/>
        </w:rPr>
        <w:t>Transactions of the Institute of British Geographers </w:t>
      </w:r>
      <w:r>
        <w:rPr>
          <w:color w:val="231F20"/>
          <w:sz w:val="18"/>
        </w:rPr>
        <w:t>30, núm. 1, march, Nueva </w:t>
      </w:r>
      <w:r>
        <w:rPr>
          <w:color w:val="231F20"/>
          <w:spacing w:val="-3"/>
          <w:sz w:val="18"/>
        </w:rPr>
        <w:t>Jersey,</w:t>
      </w:r>
      <w:r>
        <w:rPr>
          <w:color w:val="231F20"/>
          <w:spacing w:val="5"/>
          <w:sz w:val="18"/>
        </w:rPr>
        <w:t> </w:t>
      </w:r>
      <w:r>
        <w:rPr>
          <w:color w:val="231F20"/>
          <w:spacing w:val="-4"/>
          <w:sz w:val="18"/>
        </w:rPr>
        <w:t>Wiler.</w:t>
      </w:r>
    </w:p>
    <w:p>
      <w:pPr>
        <w:spacing w:after="0" w:line="254" w:lineRule="auto"/>
        <w:jc w:val="both"/>
        <w:rPr>
          <w:sz w:val="18"/>
        </w:rPr>
        <w:sectPr>
          <w:footerReference w:type="default" r:id="rId232"/>
          <w:pgSz w:w="7770" w:h="11740"/>
          <w:pgMar w:footer="474" w:header="0" w:top="840" w:bottom="660" w:left="1020" w:right="740"/>
          <w:pgNumType w:start="183"/>
        </w:sectPr>
      </w:pPr>
    </w:p>
    <w:p>
      <w:pPr>
        <w:spacing w:line="254" w:lineRule="auto" w:before="49"/>
        <w:ind w:left="106" w:right="115" w:firstLine="0"/>
        <w:jc w:val="both"/>
        <w:rPr>
          <w:sz w:val="18"/>
        </w:rPr>
      </w:pPr>
      <w:r>
        <w:rPr>
          <w:color w:val="231F20"/>
          <w:sz w:val="18"/>
        </w:rPr>
        <w:t>Smith-Lovin,</w:t>
      </w:r>
      <w:r>
        <w:rPr>
          <w:color w:val="231F20"/>
          <w:spacing w:val="-8"/>
          <w:sz w:val="18"/>
        </w:rPr>
        <w:t> </w:t>
      </w:r>
      <w:r>
        <w:rPr>
          <w:color w:val="231F20"/>
          <w:spacing w:val="-3"/>
          <w:sz w:val="18"/>
        </w:rPr>
        <w:t>Lynn</w:t>
      </w:r>
      <w:r>
        <w:rPr>
          <w:color w:val="231F20"/>
          <w:spacing w:val="-8"/>
          <w:sz w:val="18"/>
        </w:rPr>
        <w:t> </w:t>
      </w:r>
      <w:r>
        <w:rPr>
          <w:color w:val="231F20"/>
          <w:sz w:val="18"/>
        </w:rPr>
        <w:t>y</w:t>
      </w:r>
      <w:r>
        <w:rPr>
          <w:color w:val="231F20"/>
          <w:spacing w:val="-8"/>
          <w:sz w:val="18"/>
        </w:rPr>
        <w:t> </w:t>
      </w:r>
      <w:r>
        <w:rPr>
          <w:color w:val="231F20"/>
          <w:sz w:val="18"/>
        </w:rPr>
        <w:t>J.</w:t>
      </w:r>
      <w:r>
        <w:rPr>
          <w:color w:val="231F20"/>
          <w:spacing w:val="-8"/>
          <w:sz w:val="18"/>
        </w:rPr>
        <w:t> </w:t>
      </w:r>
      <w:r>
        <w:rPr>
          <w:color w:val="231F20"/>
          <w:sz w:val="18"/>
        </w:rPr>
        <w:t>Miller</w:t>
      </w:r>
      <w:r>
        <w:rPr>
          <w:color w:val="231F20"/>
          <w:spacing w:val="-8"/>
          <w:sz w:val="18"/>
        </w:rPr>
        <w:t> </w:t>
      </w:r>
      <w:r>
        <w:rPr>
          <w:color w:val="231F20"/>
          <w:sz w:val="18"/>
        </w:rPr>
        <w:t>McPherson</w:t>
      </w:r>
      <w:r>
        <w:rPr>
          <w:color w:val="231F20"/>
          <w:spacing w:val="-8"/>
          <w:sz w:val="18"/>
        </w:rPr>
        <w:t> </w:t>
      </w:r>
      <w:r>
        <w:rPr>
          <w:color w:val="231F20"/>
          <w:sz w:val="18"/>
        </w:rPr>
        <w:t>(1993)</w:t>
      </w:r>
      <w:r>
        <w:rPr>
          <w:color w:val="231F20"/>
          <w:spacing w:val="-8"/>
          <w:sz w:val="18"/>
        </w:rPr>
        <w:t> </w:t>
      </w:r>
      <w:r>
        <w:rPr>
          <w:color w:val="231F20"/>
          <w:spacing w:val="-5"/>
          <w:sz w:val="18"/>
        </w:rPr>
        <w:t>“You</w:t>
      </w:r>
      <w:r>
        <w:rPr>
          <w:color w:val="231F20"/>
          <w:spacing w:val="-8"/>
          <w:sz w:val="18"/>
        </w:rPr>
        <w:t> </w:t>
      </w:r>
      <w:r>
        <w:rPr>
          <w:color w:val="231F20"/>
          <w:sz w:val="18"/>
        </w:rPr>
        <w:t>are</w:t>
      </w:r>
      <w:r>
        <w:rPr>
          <w:color w:val="231F20"/>
          <w:spacing w:val="-8"/>
          <w:sz w:val="18"/>
        </w:rPr>
        <w:t> </w:t>
      </w:r>
      <w:r>
        <w:rPr>
          <w:color w:val="231F20"/>
          <w:sz w:val="18"/>
        </w:rPr>
        <w:t>who</w:t>
      </w:r>
      <w:r>
        <w:rPr>
          <w:color w:val="231F20"/>
          <w:spacing w:val="-8"/>
          <w:sz w:val="18"/>
        </w:rPr>
        <w:t> </w:t>
      </w:r>
      <w:r>
        <w:rPr>
          <w:color w:val="231F20"/>
          <w:sz w:val="18"/>
        </w:rPr>
        <w:t>you</w:t>
      </w:r>
      <w:r>
        <w:rPr>
          <w:color w:val="231F20"/>
          <w:spacing w:val="-8"/>
          <w:sz w:val="18"/>
        </w:rPr>
        <w:t> </w:t>
      </w:r>
      <w:r>
        <w:rPr>
          <w:color w:val="231F20"/>
          <w:sz w:val="18"/>
        </w:rPr>
        <w:t>know:</w:t>
      </w:r>
      <w:r>
        <w:rPr>
          <w:color w:val="231F20"/>
          <w:spacing w:val="-8"/>
          <w:sz w:val="18"/>
        </w:rPr>
        <w:t> </w:t>
      </w:r>
      <w:r>
        <w:rPr>
          <w:color w:val="231F20"/>
          <w:sz w:val="18"/>
        </w:rPr>
        <w:t>a</w:t>
      </w:r>
      <w:r>
        <w:rPr>
          <w:color w:val="231F20"/>
          <w:spacing w:val="-8"/>
          <w:sz w:val="18"/>
        </w:rPr>
        <w:t> </w:t>
      </w:r>
      <w:r>
        <w:rPr>
          <w:color w:val="231F20"/>
          <w:sz w:val="18"/>
        </w:rPr>
        <w:t>net- work approach to gender”, en Paula England (ed.), </w:t>
      </w:r>
      <w:r>
        <w:rPr>
          <w:i/>
          <w:color w:val="231F20"/>
          <w:sz w:val="18"/>
        </w:rPr>
        <w:t>Theory on Gender/Feminism </w:t>
      </w:r>
      <w:r>
        <w:rPr>
          <w:i/>
          <w:color w:val="231F20"/>
          <w:sz w:val="18"/>
        </w:rPr>
        <w:t>on</w:t>
      </w:r>
      <w:r>
        <w:rPr>
          <w:i/>
          <w:color w:val="231F20"/>
          <w:spacing w:val="-6"/>
          <w:sz w:val="18"/>
        </w:rPr>
        <w:t> </w:t>
      </w:r>
      <w:r>
        <w:rPr>
          <w:i/>
          <w:color w:val="231F20"/>
          <w:sz w:val="18"/>
        </w:rPr>
        <w:t>Theory</w:t>
      </w:r>
      <w:r>
        <w:rPr>
          <w:color w:val="231F20"/>
          <w:sz w:val="18"/>
        </w:rPr>
        <w:t>,</w:t>
      </w:r>
      <w:r>
        <w:rPr>
          <w:color w:val="231F20"/>
          <w:spacing w:val="-6"/>
          <w:sz w:val="18"/>
        </w:rPr>
        <w:t> </w:t>
      </w:r>
      <w:r>
        <w:rPr>
          <w:color w:val="231F20"/>
          <w:sz w:val="18"/>
        </w:rPr>
        <w:t>Nueva</w:t>
      </w:r>
      <w:r>
        <w:rPr>
          <w:color w:val="231F20"/>
          <w:spacing w:val="-12"/>
          <w:sz w:val="18"/>
        </w:rPr>
        <w:t> </w:t>
      </w:r>
      <w:r>
        <w:rPr>
          <w:color w:val="231F20"/>
          <w:spacing w:val="-4"/>
          <w:sz w:val="18"/>
        </w:rPr>
        <w:t>York:</w:t>
      </w:r>
      <w:r>
        <w:rPr>
          <w:color w:val="231F20"/>
          <w:spacing w:val="-14"/>
          <w:sz w:val="18"/>
        </w:rPr>
        <w:t> </w:t>
      </w:r>
      <w:r>
        <w:rPr>
          <w:color w:val="231F20"/>
          <w:sz w:val="18"/>
        </w:rPr>
        <w:t>Aldine</w:t>
      </w:r>
      <w:r>
        <w:rPr>
          <w:color w:val="231F20"/>
          <w:spacing w:val="-6"/>
          <w:sz w:val="18"/>
        </w:rPr>
        <w:t> </w:t>
      </w:r>
      <w:r>
        <w:rPr>
          <w:color w:val="231F20"/>
          <w:sz w:val="18"/>
        </w:rPr>
        <w:t>de</w:t>
      </w:r>
      <w:r>
        <w:rPr>
          <w:color w:val="231F20"/>
          <w:spacing w:val="-6"/>
          <w:sz w:val="18"/>
        </w:rPr>
        <w:t> </w:t>
      </w:r>
      <w:r>
        <w:rPr>
          <w:color w:val="231F20"/>
          <w:sz w:val="18"/>
        </w:rPr>
        <w:t>Gruyter.</w:t>
      </w:r>
    </w:p>
    <w:p>
      <w:pPr>
        <w:spacing w:line="254" w:lineRule="auto" w:before="57"/>
        <w:ind w:left="106" w:right="115" w:firstLine="0"/>
        <w:jc w:val="both"/>
        <w:rPr>
          <w:sz w:val="18"/>
        </w:rPr>
      </w:pPr>
      <w:r>
        <w:rPr>
          <w:color w:val="231F20"/>
          <w:sz w:val="18"/>
        </w:rPr>
        <w:t>Torres, Haroldo y Eduardo Marques (2004) “Políticas sociais e território: uma abordagem metropolitana”, en </w:t>
      </w:r>
      <w:r>
        <w:rPr>
          <w:i/>
          <w:color w:val="231F20"/>
          <w:sz w:val="18"/>
        </w:rPr>
        <w:t>Revista São Paulo em Perspectiva</w:t>
      </w:r>
      <w:r>
        <w:rPr>
          <w:color w:val="231F20"/>
          <w:sz w:val="18"/>
        </w:rPr>
        <w:t>, São Paulo: vol. 18, núm. 4.</w:t>
      </w:r>
    </w:p>
    <w:p>
      <w:pPr>
        <w:spacing w:line="254" w:lineRule="auto" w:before="57"/>
        <w:ind w:left="106" w:right="114" w:firstLine="0"/>
        <w:jc w:val="both"/>
        <w:rPr>
          <w:sz w:val="18"/>
        </w:rPr>
      </w:pPr>
      <w:r>
        <w:rPr>
          <w:color w:val="231F20"/>
          <w:spacing w:val="-4"/>
          <w:sz w:val="18"/>
        </w:rPr>
        <w:t>Tilly, </w:t>
      </w:r>
      <w:r>
        <w:rPr>
          <w:color w:val="231F20"/>
          <w:sz w:val="18"/>
        </w:rPr>
        <w:t>Chris, Phillip Moss, Joleen Kirtschenman e I. Kennelly (2001) “Space as  a Signal: How Employers Perceive Neighborhoods in Four Metropolitan Labor Markets”,</w:t>
      </w:r>
      <w:r>
        <w:rPr>
          <w:color w:val="231F20"/>
          <w:spacing w:val="-9"/>
          <w:sz w:val="18"/>
        </w:rPr>
        <w:t> </w:t>
      </w:r>
      <w:r>
        <w:rPr>
          <w:color w:val="231F20"/>
          <w:sz w:val="18"/>
        </w:rPr>
        <w:t>en</w:t>
      </w:r>
      <w:r>
        <w:rPr>
          <w:color w:val="231F20"/>
          <w:spacing w:val="-18"/>
          <w:sz w:val="18"/>
        </w:rPr>
        <w:t> </w:t>
      </w:r>
      <w:r>
        <w:rPr>
          <w:color w:val="231F20"/>
          <w:sz w:val="18"/>
        </w:rPr>
        <w:t>A.</w:t>
      </w:r>
      <w:r>
        <w:rPr>
          <w:color w:val="231F20"/>
          <w:spacing w:val="-9"/>
          <w:sz w:val="18"/>
        </w:rPr>
        <w:t> </w:t>
      </w:r>
      <w:r>
        <w:rPr>
          <w:color w:val="231F20"/>
          <w:sz w:val="18"/>
        </w:rPr>
        <w:t>O’Connor</w:t>
      </w:r>
      <w:r>
        <w:rPr>
          <w:color w:val="231F20"/>
          <w:spacing w:val="-12"/>
          <w:sz w:val="18"/>
        </w:rPr>
        <w:t> </w:t>
      </w:r>
      <w:r>
        <w:rPr>
          <w:color w:val="231F20"/>
          <w:sz w:val="18"/>
        </w:rPr>
        <w:t>Tilly</w:t>
      </w:r>
      <w:r>
        <w:rPr>
          <w:color w:val="231F20"/>
          <w:spacing w:val="-9"/>
          <w:sz w:val="18"/>
        </w:rPr>
        <w:t> </w:t>
      </w:r>
      <w:r>
        <w:rPr>
          <w:color w:val="231F20"/>
          <w:sz w:val="18"/>
        </w:rPr>
        <w:t>&amp;</w:t>
      </w:r>
      <w:r>
        <w:rPr>
          <w:color w:val="231F20"/>
          <w:spacing w:val="-9"/>
          <w:sz w:val="18"/>
        </w:rPr>
        <w:t> </w:t>
      </w:r>
      <w:r>
        <w:rPr>
          <w:color w:val="231F20"/>
          <w:sz w:val="18"/>
        </w:rPr>
        <w:t>L.D.</w:t>
      </w:r>
      <w:r>
        <w:rPr>
          <w:color w:val="231F20"/>
          <w:spacing w:val="-9"/>
          <w:sz w:val="18"/>
        </w:rPr>
        <w:t> </w:t>
      </w:r>
      <w:r>
        <w:rPr>
          <w:color w:val="231F20"/>
          <w:sz w:val="18"/>
        </w:rPr>
        <w:t>Bobo</w:t>
      </w:r>
      <w:r>
        <w:rPr>
          <w:color w:val="231F20"/>
          <w:spacing w:val="-9"/>
          <w:sz w:val="18"/>
        </w:rPr>
        <w:t> </w:t>
      </w:r>
      <w:r>
        <w:rPr>
          <w:color w:val="231F20"/>
          <w:sz w:val="18"/>
        </w:rPr>
        <w:t>(eds.),</w:t>
      </w:r>
      <w:r>
        <w:rPr>
          <w:color w:val="231F20"/>
          <w:spacing w:val="-9"/>
          <w:sz w:val="18"/>
        </w:rPr>
        <w:t> </w:t>
      </w:r>
      <w:r>
        <w:rPr>
          <w:i/>
          <w:color w:val="231F20"/>
          <w:sz w:val="18"/>
        </w:rPr>
        <w:t>Urban</w:t>
      </w:r>
      <w:r>
        <w:rPr>
          <w:i/>
          <w:color w:val="231F20"/>
          <w:spacing w:val="-9"/>
          <w:sz w:val="18"/>
        </w:rPr>
        <w:t> </w:t>
      </w:r>
      <w:r>
        <w:rPr>
          <w:i/>
          <w:color w:val="231F20"/>
          <w:sz w:val="18"/>
        </w:rPr>
        <w:t>Inequality:</w:t>
      </w:r>
      <w:r>
        <w:rPr>
          <w:i/>
          <w:color w:val="231F20"/>
          <w:spacing w:val="-9"/>
          <w:sz w:val="18"/>
        </w:rPr>
        <w:t> </w:t>
      </w:r>
      <w:r>
        <w:rPr>
          <w:i/>
          <w:color w:val="231F20"/>
          <w:sz w:val="18"/>
        </w:rPr>
        <w:t>Evidence </w:t>
      </w:r>
      <w:r>
        <w:rPr>
          <w:i/>
          <w:color w:val="231F20"/>
          <w:sz w:val="18"/>
        </w:rPr>
        <w:t>from Four Cities</w:t>
      </w:r>
      <w:r>
        <w:rPr>
          <w:color w:val="231F20"/>
          <w:sz w:val="18"/>
        </w:rPr>
        <w:t>, New </w:t>
      </w:r>
      <w:r>
        <w:rPr>
          <w:color w:val="231F20"/>
          <w:spacing w:val="-4"/>
          <w:sz w:val="18"/>
        </w:rPr>
        <w:t>York: </w:t>
      </w:r>
      <w:r>
        <w:rPr>
          <w:color w:val="231F20"/>
          <w:sz w:val="18"/>
        </w:rPr>
        <w:t>Russell</w:t>
      </w:r>
      <w:r>
        <w:rPr>
          <w:color w:val="231F20"/>
          <w:spacing w:val="-18"/>
          <w:sz w:val="18"/>
        </w:rPr>
        <w:t> </w:t>
      </w:r>
      <w:r>
        <w:rPr>
          <w:color w:val="231F20"/>
          <w:sz w:val="18"/>
        </w:rPr>
        <w:t>Sage.</w:t>
      </w:r>
    </w:p>
    <w:p>
      <w:pPr>
        <w:spacing w:line="254" w:lineRule="auto" w:before="57"/>
        <w:ind w:left="106" w:right="115" w:firstLine="0"/>
        <w:jc w:val="both"/>
        <w:rPr>
          <w:sz w:val="18"/>
        </w:rPr>
      </w:pPr>
      <w:r>
        <w:rPr>
          <w:color w:val="231F20"/>
          <w:spacing w:val="-7"/>
          <w:sz w:val="18"/>
        </w:rPr>
        <w:t>Van</w:t>
      </w:r>
      <w:r>
        <w:rPr>
          <w:color w:val="231F20"/>
          <w:spacing w:val="-13"/>
          <w:sz w:val="18"/>
        </w:rPr>
        <w:t> </w:t>
      </w:r>
      <w:r>
        <w:rPr>
          <w:color w:val="231F20"/>
          <w:sz w:val="18"/>
        </w:rPr>
        <w:t>Ham,</w:t>
      </w:r>
      <w:r>
        <w:rPr>
          <w:color w:val="231F20"/>
          <w:spacing w:val="-13"/>
          <w:sz w:val="18"/>
        </w:rPr>
        <w:t> </w:t>
      </w:r>
      <w:r>
        <w:rPr>
          <w:color w:val="231F20"/>
          <w:sz w:val="18"/>
        </w:rPr>
        <w:t>M.,</w:t>
      </w:r>
      <w:r>
        <w:rPr>
          <w:color w:val="231F20"/>
          <w:spacing w:val="-13"/>
          <w:sz w:val="18"/>
        </w:rPr>
        <w:t> </w:t>
      </w:r>
      <w:r>
        <w:rPr>
          <w:color w:val="231F20"/>
          <w:sz w:val="18"/>
        </w:rPr>
        <w:t>C.H.</w:t>
      </w:r>
      <w:r>
        <w:rPr>
          <w:color w:val="231F20"/>
          <w:spacing w:val="-13"/>
          <w:sz w:val="18"/>
        </w:rPr>
        <w:t> </w:t>
      </w:r>
      <w:r>
        <w:rPr>
          <w:color w:val="231F20"/>
          <w:sz w:val="18"/>
        </w:rPr>
        <w:t>Mulder</w:t>
      </w:r>
      <w:r>
        <w:rPr>
          <w:color w:val="231F20"/>
          <w:spacing w:val="-13"/>
          <w:sz w:val="18"/>
        </w:rPr>
        <w:t> </w:t>
      </w:r>
      <w:r>
        <w:rPr>
          <w:color w:val="231F20"/>
          <w:sz w:val="18"/>
        </w:rPr>
        <w:t>y</w:t>
      </w:r>
      <w:r>
        <w:rPr>
          <w:color w:val="231F20"/>
          <w:spacing w:val="-13"/>
          <w:sz w:val="18"/>
        </w:rPr>
        <w:t> </w:t>
      </w:r>
      <w:r>
        <w:rPr>
          <w:color w:val="231F20"/>
          <w:spacing w:val="-10"/>
          <w:sz w:val="18"/>
        </w:rPr>
        <w:t>P.</w:t>
      </w:r>
      <w:r>
        <w:rPr>
          <w:color w:val="231F20"/>
          <w:spacing w:val="-13"/>
          <w:sz w:val="18"/>
        </w:rPr>
        <w:t> </w:t>
      </w:r>
      <w:r>
        <w:rPr>
          <w:color w:val="231F20"/>
          <w:sz w:val="18"/>
        </w:rPr>
        <w:t>Hooimeijer</w:t>
      </w:r>
      <w:r>
        <w:rPr>
          <w:color w:val="231F20"/>
          <w:spacing w:val="-13"/>
          <w:sz w:val="18"/>
        </w:rPr>
        <w:t> </w:t>
      </w:r>
      <w:r>
        <w:rPr>
          <w:color w:val="231F20"/>
          <w:sz w:val="18"/>
        </w:rPr>
        <w:t>(2001)</w:t>
      </w:r>
      <w:r>
        <w:rPr>
          <w:color w:val="231F20"/>
          <w:spacing w:val="-13"/>
          <w:sz w:val="18"/>
        </w:rPr>
        <w:t> </w:t>
      </w:r>
      <w:r>
        <w:rPr>
          <w:color w:val="231F20"/>
          <w:sz w:val="18"/>
        </w:rPr>
        <w:t>“Local</w:t>
      </w:r>
      <w:r>
        <w:rPr>
          <w:color w:val="231F20"/>
          <w:spacing w:val="-13"/>
          <w:sz w:val="18"/>
        </w:rPr>
        <w:t> </w:t>
      </w:r>
      <w:r>
        <w:rPr>
          <w:color w:val="231F20"/>
          <w:sz w:val="18"/>
        </w:rPr>
        <w:t>Underemployment</w:t>
      </w:r>
      <w:r>
        <w:rPr>
          <w:color w:val="231F20"/>
          <w:spacing w:val="-19"/>
          <w:sz w:val="18"/>
        </w:rPr>
        <w:t> </w:t>
      </w:r>
      <w:r>
        <w:rPr>
          <w:color w:val="231F20"/>
          <w:spacing w:val="-3"/>
          <w:sz w:val="18"/>
        </w:rPr>
        <w:t>and the</w:t>
      </w:r>
      <w:r>
        <w:rPr>
          <w:color w:val="231F20"/>
          <w:spacing w:val="-7"/>
          <w:sz w:val="18"/>
        </w:rPr>
        <w:t> </w:t>
      </w:r>
      <w:r>
        <w:rPr>
          <w:color w:val="231F20"/>
          <w:spacing w:val="-4"/>
          <w:sz w:val="18"/>
        </w:rPr>
        <w:t>Discouraged</w:t>
      </w:r>
      <w:r>
        <w:rPr>
          <w:color w:val="231F20"/>
          <w:spacing w:val="-9"/>
          <w:sz w:val="18"/>
        </w:rPr>
        <w:t> </w:t>
      </w:r>
      <w:r>
        <w:rPr>
          <w:color w:val="231F20"/>
          <w:spacing w:val="-6"/>
          <w:sz w:val="18"/>
        </w:rPr>
        <w:t>Worker</w:t>
      </w:r>
      <w:r>
        <w:rPr>
          <w:color w:val="231F20"/>
          <w:spacing w:val="-7"/>
          <w:sz w:val="18"/>
        </w:rPr>
        <w:t> </w:t>
      </w:r>
      <w:r>
        <w:rPr>
          <w:color w:val="231F20"/>
          <w:spacing w:val="-4"/>
          <w:sz w:val="18"/>
        </w:rPr>
        <w:t>Effect”,</w:t>
      </w:r>
      <w:r>
        <w:rPr>
          <w:color w:val="231F20"/>
          <w:spacing w:val="-7"/>
          <w:sz w:val="18"/>
        </w:rPr>
        <w:t> </w:t>
      </w:r>
      <w:r>
        <w:rPr>
          <w:color w:val="231F20"/>
          <w:sz w:val="18"/>
        </w:rPr>
        <w:t>en</w:t>
      </w:r>
      <w:r>
        <w:rPr>
          <w:color w:val="231F20"/>
          <w:spacing w:val="-7"/>
          <w:sz w:val="18"/>
        </w:rPr>
        <w:t> </w:t>
      </w:r>
      <w:r>
        <w:rPr>
          <w:i/>
          <w:color w:val="231F20"/>
          <w:spacing w:val="-4"/>
          <w:sz w:val="18"/>
        </w:rPr>
        <w:t>Urban</w:t>
      </w:r>
      <w:r>
        <w:rPr>
          <w:i/>
          <w:color w:val="231F20"/>
          <w:spacing w:val="-6"/>
          <w:sz w:val="18"/>
        </w:rPr>
        <w:t> </w:t>
      </w:r>
      <w:r>
        <w:rPr>
          <w:i/>
          <w:color w:val="231F20"/>
          <w:spacing w:val="-4"/>
          <w:sz w:val="18"/>
        </w:rPr>
        <w:t>Studies,</w:t>
      </w:r>
      <w:r>
        <w:rPr>
          <w:i/>
          <w:color w:val="231F20"/>
          <w:spacing w:val="-7"/>
          <w:sz w:val="18"/>
        </w:rPr>
        <w:t> </w:t>
      </w:r>
      <w:r>
        <w:rPr>
          <w:color w:val="231F20"/>
          <w:spacing w:val="-3"/>
          <w:sz w:val="18"/>
        </w:rPr>
        <w:t>vol.</w:t>
      </w:r>
      <w:r>
        <w:rPr>
          <w:color w:val="231F20"/>
          <w:spacing w:val="-7"/>
          <w:sz w:val="18"/>
        </w:rPr>
        <w:t> </w:t>
      </w:r>
      <w:r>
        <w:rPr>
          <w:color w:val="231F20"/>
          <w:spacing w:val="-3"/>
          <w:sz w:val="18"/>
        </w:rPr>
        <w:t>38,</w:t>
      </w:r>
      <w:r>
        <w:rPr>
          <w:color w:val="231F20"/>
          <w:spacing w:val="-7"/>
          <w:sz w:val="18"/>
        </w:rPr>
        <w:t> </w:t>
      </w:r>
      <w:r>
        <w:rPr>
          <w:color w:val="231F20"/>
          <w:spacing w:val="-3"/>
          <w:sz w:val="18"/>
        </w:rPr>
        <w:t>núm.</w:t>
      </w:r>
      <w:r>
        <w:rPr>
          <w:color w:val="231F20"/>
          <w:spacing w:val="-7"/>
          <w:sz w:val="18"/>
        </w:rPr>
        <w:t> </w:t>
      </w:r>
      <w:r>
        <w:rPr>
          <w:color w:val="231F20"/>
          <w:spacing w:val="-4"/>
          <w:sz w:val="18"/>
        </w:rPr>
        <w:t>10.</w:t>
      </w:r>
    </w:p>
    <w:p>
      <w:pPr>
        <w:spacing w:line="254" w:lineRule="auto" w:before="57"/>
        <w:ind w:left="106" w:right="115" w:firstLine="0"/>
        <w:jc w:val="both"/>
        <w:rPr>
          <w:sz w:val="18"/>
        </w:rPr>
      </w:pPr>
      <w:r>
        <w:rPr>
          <w:color w:val="231F20"/>
          <w:spacing w:val="-3"/>
          <w:sz w:val="18"/>
        </w:rPr>
        <w:t>Venkatesh </w:t>
      </w:r>
      <w:r>
        <w:rPr>
          <w:color w:val="231F20"/>
          <w:sz w:val="18"/>
        </w:rPr>
        <w:t>Sudhir</w:t>
      </w:r>
      <w:r>
        <w:rPr>
          <w:color w:val="231F20"/>
          <w:spacing w:val="-3"/>
          <w:sz w:val="18"/>
        </w:rPr>
        <w:t> </w:t>
      </w:r>
      <w:r>
        <w:rPr>
          <w:color w:val="231F20"/>
          <w:sz w:val="18"/>
        </w:rPr>
        <w:t>(2002)</w:t>
      </w:r>
      <w:r>
        <w:rPr>
          <w:color w:val="231F20"/>
          <w:spacing w:val="-3"/>
          <w:sz w:val="18"/>
        </w:rPr>
        <w:t> </w:t>
      </w:r>
      <w:r>
        <w:rPr>
          <w:i/>
          <w:color w:val="231F20"/>
          <w:sz w:val="18"/>
        </w:rPr>
        <w:t>American</w:t>
      </w:r>
      <w:r>
        <w:rPr>
          <w:i/>
          <w:color w:val="231F20"/>
          <w:spacing w:val="-3"/>
          <w:sz w:val="18"/>
        </w:rPr>
        <w:t> </w:t>
      </w:r>
      <w:r>
        <w:rPr>
          <w:i/>
          <w:color w:val="231F20"/>
          <w:sz w:val="18"/>
        </w:rPr>
        <w:t>Project:</w:t>
      </w:r>
      <w:r>
        <w:rPr>
          <w:i/>
          <w:color w:val="231F20"/>
          <w:spacing w:val="-3"/>
          <w:sz w:val="18"/>
        </w:rPr>
        <w:t> </w:t>
      </w:r>
      <w:r>
        <w:rPr>
          <w:i/>
          <w:color w:val="231F20"/>
          <w:sz w:val="18"/>
        </w:rPr>
        <w:t>the</w:t>
      </w:r>
      <w:r>
        <w:rPr>
          <w:i/>
          <w:color w:val="231F20"/>
          <w:spacing w:val="-3"/>
          <w:sz w:val="18"/>
        </w:rPr>
        <w:t> </w:t>
      </w:r>
      <w:r>
        <w:rPr>
          <w:i/>
          <w:color w:val="231F20"/>
          <w:sz w:val="18"/>
        </w:rPr>
        <w:t>rise</w:t>
      </w:r>
      <w:r>
        <w:rPr>
          <w:i/>
          <w:color w:val="231F20"/>
          <w:spacing w:val="-3"/>
          <w:sz w:val="18"/>
        </w:rPr>
        <w:t> </w:t>
      </w:r>
      <w:r>
        <w:rPr>
          <w:i/>
          <w:color w:val="231F20"/>
          <w:sz w:val="18"/>
        </w:rPr>
        <w:t>and</w:t>
      </w:r>
      <w:r>
        <w:rPr>
          <w:i/>
          <w:color w:val="231F20"/>
          <w:spacing w:val="-3"/>
          <w:sz w:val="18"/>
        </w:rPr>
        <w:t> </w:t>
      </w:r>
      <w:r>
        <w:rPr>
          <w:i/>
          <w:color w:val="231F20"/>
          <w:sz w:val="18"/>
        </w:rPr>
        <w:t>fall</w:t>
      </w:r>
      <w:r>
        <w:rPr>
          <w:i/>
          <w:color w:val="231F20"/>
          <w:spacing w:val="-3"/>
          <w:sz w:val="18"/>
        </w:rPr>
        <w:t> </w:t>
      </w:r>
      <w:r>
        <w:rPr>
          <w:i/>
          <w:color w:val="231F20"/>
          <w:sz w:val="18"/>
        </w:rPr>
        <w:t>of</w:t>
      </w:r>
      <w:r>
        <w:rPr>
          <w:i/>
          <w:color w:val="231F20"/>
          <w:spacing w:val="-3"/>
          <w:sz w:val="18"/>
        </w:rPr>
        <w:t> </w:t>
      </w:r>
      <w:r>
        <w:rPr>
          <w:i/>
          <w:color w:val="231F20"/>
          <w:sz w:val="18"/>
        </w:rPr>
        <w:t>a</w:t>
      </w:r>
      <w:r>
        <w:rPr>
          <w:i/>
          <w:color w:val="231F20"/>
          <w:spacing w:val="-3"/>
          <w:sz w:val="18"/>
        </w:rPr>
        <w:t> </w:t>
      </w:r>
      <w:r>
        <w:rPr>
          <w:i/>
          <w:color w:val="231F20"/>
          <w:sz w:val="18"/>
        </w:rPr>
        <w:t>modern</w:t>
      </w:r>
      <w:r>
        <w:rPr>
          <w:i/>
          <w:color w:val="231F20"/>
          <w:spacing w:val="-3"/>
          <w:sz w:val="18"/>
        </w:rPr>
        <w:t> </w:t>
      </w:r>
      <w:r>
        <w:rPr>
          <w:i/>
          <w:color w:val="231F20"/>
          <w:sz w:val="18"/>
        </w:rPr>
        <w:t>ghetto</w:t>
      </w:r>
      <w:r>
        <w:rPr>
          <w:color w:val="231F20"/>
          <w:sz w:val="18"/>
        </w:rPr>
        <w:t>, Cambridge: Harvard University</w:t>
      </w:r>
      <w:r>
        <w:rPr>
          <w:color w:val="231F20"/>
          <w:spacing w:val="-21"/>
          <w:sz w:val="18"/>
        </w:rPr>
        <w:t> </w:t>
      </w:r>
      <w:r>
        <w:rPr>
          <w:color w:val="231F20"/>
          <w:sz w:val="18"/>
        </w:rPr>
        <w:t>Press.</w:t>
      </w:r>
    </w:p>
    <w:p>
      <w:pPr>
        <w:spacing w:line="254" w:lineRule="auto" w:before="57"/>
        <w:ind w:left="106" w:right="114" w:firstLine="0"/>
        <w:jc w:val="both"/>
        <w:rPr>
          <w:sz w:val="18"/>
        </w:rPr>
      </w:pPr>
      <w:r>
        <w:rPr>
          <w:color w:val="231F20"/>
          <w:sz w:val="18"/>
        </w:rPr>
        <w:t>Wacquant Loïc (1989) “The ghetto, the State and the New Capitalist</w:t>
      </w:r>
      <w:r>
        <w:rPr>
          <w:color w:val="231F20"/>
          <w:spacing w:val="-22"/>
          <w:sz w:val="18"/>
        </w:rPr>
        <w:t> </w:t>
      </w:r>
      <w:r>
        <w:rPr>
          <w:color w:val="231F20"/>
          <w:sz w:val="18"/>
        </w:rPr>
        <w:t>Economy”, en </w:t>
      </w:r>
      <w:r>
        <w:rPr>
          <w:color w:val="231F20"/>
          <w:spacing w:val="-10"/>
          <w:sz w:val="18"/>
        </w:rPr>
        <w:t>P. </w:t>
      </w:r>
      <w:r>
        <w:rPr>
          <w:color w:val="231F20"/>
          <w:sz w:val="18"/>
        </w:rPr>
        <w:t>Kasinitz (ed.), </w:t>
      </w:r>
      <w:r>
        <w:rPr>
          <w:i/>
          <w:color w:val="231F20"/>
          <w:sz w:val="18"/>
        </w:rPr>
        <w:t>Metropolis: center and simbol of our times</w:t>
      </w:r>
      <w:r>
        <w:rPr>
          <w:color w:val="231F20"/>
          <w:sz w:val="18"/>
        </w:rPr>
        <w:t>, Nueva </w:t>
      </w:r>
      <w:r>
        <w:rPr>
          <w:color w:val="231F20"/>
          <w:spacing w:val="-4"/>
          <w:sz w:val="18"/>
        </w:rPr>
        <w:t>York: </w:t>
      </w:r>
      <w:r>
        <w:rPr>
          <w:color w:val="231F20"/>
          <w:sz w:val="18"/>
        </w:rPr>
        <w:t>University of New</w:t>
      </w:r>
      <w:r>
        <w:rPr>
          <w:color w:val="231F20"/>
          <w:spacing w:val="-17"/>
          <w:sz w:val="18"/>
        </w:rPr>
        <w:t> </w:t>
      </w:r>
      <w:r>
        <w:rPr>
          <w:color w:val="231F20"/>
          <w:spacing w:val="-4"/>
          <w:sz w:val="18"/>
        </w:rPr>
        <w:t>York.</w:t>
      </w:r>
    </w:p>
    <w:p>
      <w:pPr>
        <w:spacing w:before="57"/>
        <w:ind w:left="106" w:right="0" w:firstLine="0"/>
        <w:jc w:val="both"/>
        <w:rPr>
          <w:sz w:val="18"/>
        </w:rPr>
      </w:pPr>
      <w:r>
        <w:rPr>
          <w:color w:val="231F20"/>
          <w:sz w:val="18"/>
        </w:rPr>
        <w:t>Wial H. (1991) “Getting a good job: mobility in a segmented labor market”,  en</w:t>
      </w:r>
    </w:p>
    <w:p>
      <w:pPr>
        <w:spacing w:before="13"/>
        <w:ind w:left="106" w:right="0" w:firstLine="0"/>
        <w:jc w:val="both"/>
        <w:rPr>
          <w:sz w:val="18"/>
        </w:rPr>
      </w:pPr>
      <w:r>
        <w:rPr>
          <w:i/>
          <w:color w:val="231F20"/>
          <w:sz w:val="18"/>
        </w:rPr>
        <w:t>Industrial relations, </w:t>
      </w:r>
      <w:r>
        <w:rPr>
          <w:color w:val="231F20"/>
          <w:sz w:val="18"/>
        </w:rPr>
        <w:t>núm</w:t>
      </w:r>
      <w:r>
        <w:rPr>
          <w:i/>
          <w:color w:val="231F20"/>
          <w:sz w:val="18"/>
        </w:rPr>
        <w:t>. </w:t>
      </w:r>
      <w:r>
        <w:rPr>
          <w:color w:val="231F20"/>
          <w:sz w:val="18"/>
        </w:rPr>
        <w:t>30.</w:t>
      </w:r>
    </w:p>
    <w:p>
      <w:pPr>
        <w:spacing w:line="254" w:lineRule="auto" w:before="69"/>
        <w:ind w:left="106" w:right="114" w:firstLine="0"/>
        <w:jc w:val="both"/>
        <w:rPr>
          <w:sz w:val="18"/>
        </w:rPr>
      </w:pPr>
      <w:r>
        <w:rPr>
          <w:color w:val="231F20"/>
          <w:sz w:val="18"/>
        </w:rPr>
        <w:t>White, M.J., A. H. Kim y J. E. Glick (2005) “Mapping social distance. Ethnic residential segregation in a multiethnic metro”, en </w:t>
      </w:r>
      <w:r>
        <w:rPr>
          <w:i/>
          <w:color w:val="231F20"/>
          <w:sz w:val="18"/>
        </w:rPr>
        <w:t>Sociological Methods &amp; Re- </w:t>
      </w:r>
      <w:r>
        <w:rPr>
          <w:i/>
          <w:color w:val="231F20"/>
          <w:sz w:val="18"/>
        </w:rPr>
        <w:t>search, </w:t>
      </w:r>
      <w:r>
        <w:rPr>
          <w:color w:val="231F20"/>
          <w:sz w:val="18"/>
        </w:rPr>
        <w:t>vol. 34, núm. 2, Sage Journals, Pennsilvania: Universidad de Pennsilva- nia.</w:t>
      </w:r>
    </w:p>
    <w:p>
      <w:pPr>
        <w:spacing w:line="254" w:lineRule="auto" w:before="57"/>
        <w:ind w:left="106" w:right="115" w:firstLine="0"/>
        <w:jc w:val="both"/>
        <w:rPr>
          <w:sz w:val="18"/>
        </w:rPr>
      </w:pPr>
      <w:r>
        <w:rPr>
          <w:color w:val="231F20"/>
          <w:sz w:val="18"/>
        </w:rPr>
        <w:t>Wilson,</w:t>
      </w:r>
      <w:r>
        <w:rPr>
          <w:color w:val="231F20"/>
          <w:spacing w:val="-12"/>
          <w:sz w:val="18"/>
        </w:rPr>
        <w:t> </w:t>
      </w:r>
      <w:r>
        <w:rPr>
          <w:color w:val="231F20"/>
          <w:sz w:val="18"/>
        </w:rPr>
        <w:t>William</w:t>
      </w:r>
      <w:r>
        <w:rPr>
          <w:color w:val="231F20"/>
          <w:spacing w:val="-8"/>
          <w:sz w:val="18"/>
        </w:rPr>
        <w:t> </w:t>
      </w:r>
      <w:r>
        <w:rPr>
          <w:color w:val="231F20"/>
          <w:sz w:val="18"/>
        </w:rPr>
        <w:t>Julius</w:t>
      </w:r>
      <w:r>
        <w:rPr>
          <w:color w:val="231F20"/>
          <w:spacing w:val="-8"/>
          <w:sz w:val="18"/>
        </w:rPr>
        <w:t> </w:t>
      </w:r>
      <w:r>
        <w:rPr>
          <w:color w:val="231F20"/>
          <w:sz w:val="18"/>
        </w:rPr>
        <w:t>(1987)</w:t>
      </w:r>
      <w:r>
        <w:rPr>
          <w:color w:val="231F20"/>
          <w:spacing w:val="-8"/>
          <w:sz w:val="18"/>
        </w:rPr>
        <w:t> </w:t>
      </w:r>
      <w:r>
        <w:rPr>
          <w:i/>
          <w:color w:val="231F20"/>
          <w:sz w:val="18"/>
        </w:rPr>
        <w:t>The</w:t>
      </w:r>
      <w:r>
        <w:rPr>
          <w:i/>
          <w:color w:val="231F20"/>
          <w:spacing w:val="-8"/>
          <w:sz w:val="18"/>
        </w:rPr>
        <w:t> </w:t>
      </w:r>
      <w:r>
        <w:rPr>
          <w:i/>
          <w:color w:val="231F20"/>
          <w:sz w:val="18"/>
        </w:rPr>
        <w:t>truly</w:t>
      </w:r>
      <w:r>
        <w:rPr>
          <w:i/>
          <w:color w:val="231F20"/>
          <w:spacing w:val="-8"/>
          <w:sz w:val="18"/>
        </w:rPr>
        <w:t> </w:t>
      </w:r>
      <w:r>
        <w:rPr>
          <w:i/>
          <w:color w:val="231F20"/>
          <w:sz w:val="18"/>
        </w:rPr>
        <w:t>disadvantaged:</w:t>
      </w:r>
      <w:r>
        <w:rPr>
          <w:i/>
          <w:color w:val="231F20"/>
          <w:spacing w:val="-8"/>
          <w:sz w:val="18"/>
        </w:rPr>
        <w:t> </w:t>
      </w:r>
      <w:r>
        <w:rPr>
          <w:i/>
          <w:color w:val="231F20"/>
          <w:sz w:val="18"/>
        </w:rPr>
        <w:t>the</w:t>
      </w:r>
      <w:r>
        <w:rPr>
          <w:i/>
          <w:color w:val="231F20"/>
          <w:spacing w:val="-8"/>
          <w:sz w:val="18"/>
        </w:rPr>
        <w:t> </w:t>
      </w:r>
      <w:r>
        <w:rPr>
          <w:i/>
          <w:color w:val="231F20"/>
          <w:sz w:val="18"/>
        </w:rPr>
        <w:t>inner</w:t>
      </w:r>
      <w:r>
        <w:rPr>
          <w:i/>
          <w:color w:val="231F20"/>
          <w:spacing w:val="-8"/>
          <w:sz w:val="18"/>
        </w:rPr>
        <w:t> </w:t>
      </w:r>
      <w:r>
        <w:rPr>
          <w:i/>
          <w:color w:val="231F20"/>
          <w:spacing w:val="-3"/>
          <w:sz w:val="18"/>
        </w:rPr>
        <w:t>city,</w:t>
      </w:r>
      <w:r>
        <w:rPr>
          <w:i/>
          <w:color w:val="231F20"/>
          <w:spacing w:val="-8"/>
          <w:sz w:val="18"/>
        </w:rPr>
        <w:t> </w:t>
      </w:r>
      <w:r>
        <w:rPr>
          <w:i/>
          <w:color w:val="231F20"/>
          <w:sz w:val="18"/>
        </w:rPr>
        <w:t>the</w:t>
      </w:r>
      <w:r>
        <w:rPr>
          <w:i/>
          <w:color w:val="231F20"/>
          <w:spacing w:val="-8"/>
          <w:sz w:val="18"/>
        </w:rPr>
        <w:t> </w:t>
      </w:r>
      <w:r>
        <w:rPr>
          <w:i/>
          <w:color w:val="231F20"/>
          <w:sz w:val="18"/>
        </w:rPr>
        <w:t>under- </w:t>
      </w:r>
      <w:r>
        <w:rPr>
          <w:i/>
          <w:color w:val="231F20"/>
          <w:sz w:val="18"/>
        </w:rPr>
        <w:t>class, and public policy</w:t>
      </w:r>
      <w:r>
        <w:rPr>
          <w:color w:val="231F20"/>
          <w:sz w:val="18"/>
        </w:rPr>
        <w:t>, Chicago: Chicago University</w:t>
      </w:r>
      <w:r>
        <w:rPr>
          <w:color w:val="231F20"/>
          <w:spacing w:val="-17"/>
          <w:sz w:val="18"/>
        </w:rPr>
        <w:t> </w:t>
      </w:r>
      <w:r>
        <w:rPr>
          <w:color w:val="231F20"/>
          <w:sz w:val="18"/>
        </w:rPr>
        <w:t>Press.</w:t>
      </w:r>
    </w:p>
    <w:p>
      <w:pPr>
        <w:spacing w:line="254" w:lineRule="auto" w:before="57"/>
        <w:ind w:left="106" w:right="116" w:firstLine="0"/>
        <w:jc w:val="both"/>
        <w:rPr>
          <w:sz w:val="18"/>
        </w:rPr>
      </w:pPr>
      <w:r>
        <w:rPr>
          <w:color w:val="231F20"/>
          <w:sz w:val="18"/>
        </w:rPr>
        <w:t>Winship, C. y R. Mare (1992) “Models for Sample Selection Bias”, en </w:t>
      </w:r>
      <w:r>
        <w:rPr>
          <w:i/>
          <w:color w:val="231F20"/>
          <w:sz w:val="18"/>
        </w:rPr>
        <w:t>Annual </w:t>
      </w:r>
      <w:r>
        <w:rPr>
          <w:i/>
          <w:color w:val="231F20"/>
          <w:sz w:val="18"/>
        </w:rPr>
        <w:t>Review of Sociology</w:t>
      </w:r>
      <w:r>
        <w:rPr>
          <w:color w:val="231F20"/>
          <w:sz w:val="18"/>
        </w:rPr>
        <w:t>, vol. 18, Palo Alto.</w:t>
      </w:r>
    </w:p>
    <w:p>
      <w:pPr>
        <w:spacing w:line="254" w:lineRule="auto" w:before="57"/>
        <w:ind w:left="106" w:right="114" w:firstLine="0"/>
        <w:jc w:val="both"/>
        <w:rPr>
          <w:sz w:val="18"/>
        </w:rPr>
      </w:pPr>
      <w:r>
        <w:rPr>
          <w:color w:val="231F20"/>
          <w:sz w:val="18"/>
        </w:rPr>
        <w:t>Zenteno, René (2001) “Tendencias y perspectivas en los mercados de trabajo local en México: ¿Más de lo mismo?”, en Brígida García, </w:t>
      </w:r>
      <w:r>
        <w:rPr>
          <w:i/>
          <w:color w:val="231F20"/>
          <w:sz w:val="18"/>
        </w:rPr>
        <w:t>Población y Sociedad </w:t>
      </w:r>
      <w:r>
        <w:rPr>
          <w:i/>
          <w:color w:val="231F20"/>
          <w:sz w:val="18"/>
        </w:rPr>
        <w:t>en el México del siglo XXI, </w:t>
      </w:r>
      <w:r>
        <w:rPr>
          <w:color w:val="231F20"/>
          <w:sz w:val="18"/>
        </w:rPr>
        <w:t>México: El Colegio de México.</w:t>
      </w:r>
    </w:p>
    <w:p>
      <w:pPr>
        <w:spacing w:line="254" w:lineRule="auto" w:before="57"/>
        <w:ind w:left="106" w:right="115" w:firstLine="0"/>
        <w:jc w:val="both"/>
        <w:rPr>
          <w:sz w:val="18"/>
        </w:rPr>
      </w:pPr>
      <w:r>
        <w:rPr>
          <w:color w:val="231F20"/>
          <w:sz w:val="18"/>
        </w:rPr>
        <w:t>Zenteno,</w:t>
      </w:r>
      <w:r>
        <w:rPr>
          <w:color w:val="231F20"/>
          <w:spacing w:val="-9"/>
          <w:sz w:val="18"/>
        </w:rPr>
        <w:t> </w:t>
      </w:r>
      <w:r>
        <w:rPr>
          <w:color w:val="231F20"/>
          <w:sz w:val="18"/>
        </w:rPr>
        <w:t>René</w:t>
      </w:r>
      <w:r>
        <w:rPr>
          <w:color w:val="231F20"/>
          <w:spacing w:val="-9"/>
          <w:sz w:val="18"/>
        </w:rPr>
        <w:t> </w:t>
      </w:r>
      <w:r>
        <w:rPr>
          <w:color w:val="231F20"/>
          <w:sz w:val="18"/>
        </w:rPr>
        <w:t>y</w:t>
      </w:r>
      <w:r>
        <w:rPr>
          <w:color w:val="231F20"/>
          <w:spacing w:val="-9"/>
          <w:sz w:val="18"/>
        </w:rPr>
        <w:t> </w:t>
      </w:r>
      <w:r>
        <w:rPr>
          <w:color w:val="231F20"/>
          <w:sz w:val="18"/>
        </w:rPr>
        <w:t>Patricia</w:t>
      </w:r>
      <w:r>
        <w:rPr>
          <w:color w:val="231F20"/>
          <w:spacing w:val="-8"/>
          <w:sz w:val="18"/>
        </w:rPr>
        <w:t> </w:t>
      </w:r>
      <w:r>
        <w:rPr>
          <w:color w:val="231F20"/>
          <w:sz w:val="18"/>
        </w:rPr>
        <w:t>Solis-Gutierrez</w:t>
      </w:r>
      <w:r>
        <w:rPr>
          <w:color w:val="231F20"/>
          <w:spacing w:val="-8"/>
          <w:sz w:val="18"/>
        </w:rPr>
        <w:t> </w:t>
      </w:r>
      <w:r>
        <w:rPr>
          <w:color w:val="231F20"/>
          <w:sz w:val="18"/>
        </w:rPr>
        <w:t>(2006)</w:t>
      </w:r>
      <w:r>
        <w:rPr>
          <w:color w:val="231F20"/>
          <w:spacing w:val="-9"/>
          <w:sz w:val="18"/>
        </w:rPr>
        <w:t> </w:t>
      </w:r>
      <w:r>
        <w:rPr>
          <w:color w:val="231F20"/>
          <w:sz w:val="18"/>
        </w:rPr>
        <w:t>“Continuidades</w:t>
      </w:r>
      <w:r>
        <w:rPr>
          <w:color w:val="231F20"/>
          <w:spacing w:val="-9"/>
          <w:sz w:val="18"/>
        </w:rPr>
        <w:t> </w:t>
      </w:r>
      <w:r>
        <w:rPr>
          <w:color w:val="231F20"/>
          <w:sz w:val="18"/>
        </w:rPr>
        <w:t>y</w:t>
      </w:r>
      <w:r>
        <w:rPr>
          <w:color w:val="231F20"/>
          <w:spacing w:val="-9"/>
          <w:sz w:val="18"/>
        </w:rPr>
        <w:t> </w:t>
      </w:r>
      <w:r>
        <w:rPr>
          <w:color w:val="231F20"/>
          <w:sz w:val="18"/>
        </w:rPr>
        <w:t>discontinuida- des de la movilidad ocupacional en México”, en </w:t>
      </w:r>
      <w:r>
        <w:rPr>
          <w:i/>
          <w:color w:val="231F20"/>
          <w:sz w:val="18"/>
        </w:rPr>
        <w:t>Estudios demográficos y urba- </w:t>
      </w:r>
      <w:r>
        <w:rPr>
          <w:i/>
          <w:color w:val="231F20"/>
          <w:sz w:val="18"/>
        </w:rPr>
        <w:t>nos, </w:t>
      </w:r>
      <w:r>
        <w:rPr>
          <w:color w:val="231F20"/>
          <w:sz w:val="18"/>
        </w:rPr>
        <w:t>vol. 21, núm. 3, El Colegio de México,</w:t>
      </w:r>
      <w:r>
        <w:rPr>
          <w:color w:val="231F20"/>
          <w:spacing w:val="-13"/>
          <w:sz w:val="18"/>
        </w:rPr>
        <w:t> </w:t>
      </w:r>
      <w:r>
        <w:rPr>
          <w:color w:val="231F20"/>
          <w:sz w:val="18"/>
        </w:rPr>
        <w:t>México.</w:t>
      </w:r>
    </w:p>
    <w:p>
      <w:pPr>
        <w:spacing w:before="57"/>
        <w:ind w:left="106" w:right="0" w:firstLine="0"/>
        <w:jc w:val="both"/>
        <w:rPr>
          <w:sz w:val="18"/>
        </w:rPr>
      </w:pPr>
      <w:r>
        <w:rPr>
          <w:color w:val="231F20"/>
          <w:sz w:val="18"/>
        </w:rPr>
        <w:t>Zukin, Sharon (1995) </w:t>
      </w:r>
      <w:r>
        <w:rPr>
          <w:i/>
          <w:color w:val="231F20"/>
          <w:sz w:val="18"/>
        </w:rPr>
        <w:t>The Cultures of Cities</w:t>
      </w:r>
      <w:r>
        <w:rPr>
          <w:color w:val="231F20"/>
          <w:sz w:val="18"/>
        </w:rPr>
        <w:t>, Oxford: Blackwell.</w:t>
      </w:r>
    </w:p>
    <w:p>
      <w:pPr>
        <w:spacing w:after="0"/>
        <w:jc w:val="both"/>
        <w:rPr>
          <w:sz w:val="18"/>
        </w:rPr>
        <w:sectPr>
          <w:pgSz w:w="7770" w:h="11740"/>
          <w:pgMar w:header="0" w:footer="474" w:top="860" w:bottom="740" w:left="740" w:right="1020"/>
        </w:sectPr>
      </w:pPr>
    </w:p>
    <w:p>
      <w:pPr>
        <w:pStyle w:val="Heading1"/>
        <w:spacing w:before="89"/>
        <w:ind w:right="107" w:hanging="1361"/>
        <w:jc w:val="right"/>
      </w:pPr>
      <w:r>
        <w:rPr>
          <w:color w:val="231F20"/>
          <w:w w:val="70"/>
        </w:rPr>
        <w:t>Flexibilidades, rigideces y precarización: trabajo remunerado y trabajo reproductivo y de cuidado</w:t>
      </w:r>
    </w:p>
    <w:p>
      <w:pPr>
        <w:pStyle w:val="BodyText"/>
        <w:spacing w:before="4"/>
        <w:rPr>
          <w:sz w:val="46"/>
        </w:rPr>
      </w:pPr>
    </w:p>
    <w:p>
      <w:pPr>
        <w:pStyle w:val="Heading3"/>
        <w:ind w:right="108"/>
        <w:jc w:val="right"/>
      </w:pPr>
      <w:r>
        <w:rPr>
          <w:color w:val="231F20"/>
        </w:rPr>
        <w:t>Rosalba Todaro Cavallero*</w:t>
      </w:r>
    </w:p>
    <w:p>
      <w:pPr>
        <w:pStyle w:val="BodyText"/>
      </w:pPr>
    </w:p>
    <w:p>
      <w:pPr>
        <w:pStyle w:val="BodyText"/>
      </w:pPr>
    </w:p>
    <w:p>
      <w:pPr>
        <w:pStyle w:val="BodyText"/>
        <w:spacing w:before="10"/>
        <w:rPr>
          <w:sz w:val="21"/>
        </w:rPr>
      </w:pPr>
    </w:p>
    <w:p>
      <w:pPr>
        <w:pStyle w:val="Heading4"/>
        <w:spacing w:before="69"/>
        <w:ind w:right="792"/>
        <w:jc w:val="left"/>
      </w:pPr>
      <w:r>
        <w:rPr>
          <w:w w:val="85"/>
        </w:rPr>
        <w:t>Introducción</w:t>
      </w:r>
    </w:p>
    <w:p>
      <w:pPr>
        <w:pStyle w:val="BodyText"/>
        <w:rPr>
          <w:b/>
        </w:rPr>
      </w:pPr>
    </w:p>
    <w:p>
      <w:pPr>
        <w:pStyle w:val="BodyText"/>
        <w:spacing w:before="5"/>
        <w:rPr>
          <w:b/>
          <w:sz w:val="24"/>
        </w:rPr>
      </w:pPr>
    </w:p>
    <w:p>
      <w:pPr>
        <w:pStyle w:val="BodyText"/>
        <w:spacing w:line="249" w:lineRule="auto" w:before="75"/>
        <w:ind w:left="113" w:right="108"/>
        <w:jc w:val="both"/>
      </w:pPr>
      <w:r>
        <w:rPr>
          <w:color w:val="231F20"/>
        </w:rPr>
        <w:t>El propósito de este artículo es llamar la atención sobre la interacción entre los cambios en la organización del trabajo remunerado ocurridos en</w:t>
      </w:r>
      <w:r>
        <w:rPr>
          <w:color w:val="231F20"/>
          <w:spacing w:val="-6"/>
        </w:rPr>
        <w:t> </w:t>
      </w:r>
      <w:r>
        <w:rPr>
          <w:color w:val="231F20"/>
        </w:rPr>
        <w:t>las</w:t>
      </w:r>
      <w:r>
        <w:rPr>
          <w:color w:val="231F20"/>
          <w:spacing w:val="-6"/>
        </w:rPr>
        <w:t> </w:t>
      </w:r>
      <w:r>
        <w:rPr>
          <w:color w:val="231F20"/>
        </w:rPr>
        <w:t>últimas</w:t>
      </w:r>
      <w:r>
        <w:rPr>
          <w:color w:val="231F20"/>
          <w:spacing w:val="-5"/>
        </w:rPr>
        <w:t> </w:t>
      </w:r>
      <w:r>
        <w:rPr>
          <w:color w:val="231F20"/>
        </w:rPr>
        <w:t>décadas</w:t>
      </w:r>
      <w:r>
        <w:rPr>
          <w:color w:val="231F20"/>
          <w:spacing w:val="-5"/>
        </w:rPr>
        <w:t> </w:t>
      </w:r>
      <w:r>
        <w:rPr>
          <w:color w:val="231F20"/>
        </w:rPr>
        <w:t>y</w:t>
      </w:r>
      <w:r>
        <w:rPr>
          <w:color w:val="231F20"/>
          <w:spacing w:val="-5"/>
        </w:rPr>
        <w:t> </w:t>
      </w:r>
      <w:r>
        <w:rPr>
          <w:color w:val="231F20"/>
        </w:rPr>
        <w:t>las</w:t>
      </w:r>
      <w:r>
        <w:rPr>
          <w:color w:val="231F20"/>
          <w:spacing w:val="-6"/>
        </w:rPr>
        <w:t> </w:t>
      </w:r>
      <w:r>
        <w:rPr>
          <w:color w:val="231F20"/>
        </w:rPr>
        <w:t>transformaciones</w:t>
      </w:r>
      <w:r>
        <w:rPr>
          <w:color w:val="231F20"/>
          <w:spacing w:val="-6"/>
        </w:rPr>
        <w:t> </w:t>
      </w:r>
      <w:r>
        <w:rPr>
          <w:color w:val="231F20"/>
        </w:rPr>
        <w:t>de</w:t>
      </w:r>
      <w:r>
        <w:rPr>
          <w:color w:val="231F20"/>
          <w:spacing w:val="-5"/>
        </w:rPr>
        <w:t> </w:t>
      </w:r>
      <w:r>
        <w:rPr>
          <w:color w:val="231F20"/>
        </w:rPr>
        <w:t>las</w:t>
      </w:r>
      <w:r>
        <w:rPr>
          <w:color w:val="231F20"/>
          <w:spacing w:val="-6"/>
        </w:rPr>
        <w:t> </w:t>
      </w:r>
      <w:r>
        <w:rPr>
          <w:color w:val="231F20"/>
        </w:rPr>
        <w:t>relaciones</w:t>
      </w:r>
      <w:r>
        <w:rPr>
          <w:color w:val="231F20"/>
          <w:spacing w:val="-5"/>
        </w:rPr>
        <w:t> </w:t>
      </w:r>
      <w:r>
        <w:rPr>
          <w:color w:val="231F20"/>
        </w:rPr>
        <w:t>de</w:t>
      </w:r>
      <w:r>
        <w:rPr>
          <w:color w:val="231F20"/>
          <w:spacing w:val="-5"/>
        </w:rPr>
        <w:t> </w:t>
      </w:r>
      <w:r>
        <w:rPr>
          <w:color w:val="231F20"/>
        </w:rPr>
        <w:t>género y de las bases de la reproducción social. Se postula que en los estudios sobre la flexibilidad y precariedad laboral es preciso referirse tanto al trabajo para el mercado como al trabajo reproductivo y de</w:t>
      </w:r>
      <w:r>
        <w:rPr>
          <w:color w:val="231F20"/>
          <w:spacing w:val="-4"/>
        </w:rPr>
        <w:t> </w:t>
      </w:r>
      <w:r>
        <w:rPr>
          <w:color w:val="231F20"/>
        </w:rPr>
        <w:t>cuidado.</w:t>
      </w:r>
    </w:p>
    <w:p>
      <w:pPr>
        <w:pStyle w:val="BodyText"/>
        <w:spacing w:line="249" w:lineRule="auto" w:before="1"/>
        <w:ind w:left="113" w:right="107" w:firstLine="283"/>
        <w:jc w:val="both"/>
      </w:pPr>
      <w:r>
        <w:rPr>
          <w:color w:val="231F20"/>
        </w:rPr>
        <w:t>Los cambios globales en el régimen de acumulación y en los mar- cos regulatorios nacionales e internacionales fueron acompañados con profundas transformaciones en la organización productiva. Éstas se ba- saron en la flexibilidad de la producción y de la relación entre clientes y proveedores, incluyendo subcontratación, tercerización, externalización, entre otras formas, que configuraron lo que se ha llamado la “empresa- red”.</w:t>
      </w:r>
      <w:r>
        <w:rPr>
          <w:color w:val="231F20"/>
          <w:spacing w:val="-11"/>
        </w:rPr>
        <w:t> </w:t>
      </w:r>
      <w:r>
        <w:rPr>
          <w:color w:val="231F20"/>
        </w:rPr>
        <w:t>Esta</w:t>
      </w:r>
      <w:r>
        <w:rPr>
          <w:color w:val="231F20"/>
          <w:spacing w:val="-11"/>
        </w:rPr>
        <w:t> </w:t>
      </w:r>
      <w:r>
        <w:rPr>
          <w:color w:val="231F20"/>
        </w:rPr>
        <w:t>organización</w:t>
      </w:r>
      <w:r>
        <w:rPr>
          <w:color w:val="231F20"/>
          <w:spacing w:val="-11"/>
        </w:rPr>
        <w:t> </w:t>
      </w:r>
      <w:r>
        <w:rPr>
          <w:color w:val="231F20"/>
        </w:rPr>
        <w:t>ha</w:t>
      </w:r>
      <w:r>
        <w:rPr>
          <w:color w:val="231F20"/>
          <w:spacing w:val="-11"/>
        </w:rPr>
        <w:t> </w:t>
      </w:r>
      <w:r>
        <w:rPr>
          <w:color w:val="231F20"/>
        </w:rPr>
        <w:t>permitido</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empresas</w:t>
      </w:r>
      <w:r>
        <w:rPr>
          <w:color w:val="231F20"/>
          <w:spacing w:val="-11"/>
        </w:rPr>
        <w:t> </w:t>
      </w:r>
      <w:r>
        <w:rPr>
          <w:color w:val="231F20"/>
        </w:rPr>
        <w:t>ampliar</w:t>
      </w:r>
      <w:r>
        <w:rPr>
          <w:color w:val="231F20"/>
          <w:spacing w:val="-11"/>
        </w:rPr>
        <w:t> </w:t>
      </w:r>
      <w:r>
        <w:rPr>
          <w:color w:val="231F20"/>
        </w:rPr>
        <w:t>su</w:t>
      </w:r>
      <w:r>
        <w:rPr>
          <w:color w:val="231F20"/>
          <w:spacing w:val="-11"/>
        </w:rPr>
        <w:t> </w:t>
      </w:r>
      <w:r>
        <w:rPr>
          <w:color w:val="231F20"/>
        </w:rPr>
        <w:t>capacidad de maniobra y responder a los cambios buscando las condiciones más favorables para ellas allí donde se encuentren. Se hace más flexible la localización,</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vez</w:t>
      </w:r>
      <w:r>
        <w:rPr>
          <w:color w:val="231F20"/>
          <w:spacing w:val="-5"/>
        </w:rPr>
        <w:t> </w:t>
      </w:r>
      <w:r>
        <w:rPr>
          <w:color w:val="231F20"/>
        </w:rPr>
        <w:t>que</w:t>
      </w:r>
      <w:r>
        <w:rPr>
          <w:color w:val="231F20"/>
          <w:spacing w:val="-5"/>
        </w:rPr>
        <w:t> </w:t>
      </w:r>
      <w:r>
        <w:rPr>
          <w:color w:val="231F20"/>
        </w:rPr>
        <w:t>más</w:t>
      </w:r>
      <w:r>
        <w:rPr>
          <w:color w:val="231F20"/>
          <w:spacing w:val="-5"/>
        </w:rPr>
        <w:t> </w:t>
      </w:r>
      <w:r>
        <w:rPr>
          <w:color w:val="231F20"/>
        </w:rPr>
        <w:t>volátil.</w:t>
      </w:r>
      <w:r>
        <w:rPr>
          <w:color w:val="231F20"/>
          <w:spacing w:val="-5"/>
        </w:rPr>
        <w:t> </w:t>
      </w:r>
      <w:r>
        <w:rPr>
          <w:color w:val="231F20"/>
        </w:rPr>
        <w:t>Respondiendo</w:t>
      </w:r>
      <w:r>
        <w:rPr>
          <w:color w:val="231F20"/>
          <w:spacing w:val="-5"/>
        </w:rPr>
        <w:t> </w:t>
      </w:r>
      <w:r>
        <w:rPr>
          <w:color w:val="231F20"/>
        </w:rPr>
        <w:t>a</w:t>
      </w:r>
      <w:r>
        <w:rPr>
          <w:color w:val="231F20"/>
          <w:spacing w:val="-5"/>
        </w:rPr>
        <w:t> </w:t>
      </w:r>
      <w:r>
        <w:rPr>
          <w:color w:val="231F20"/>
        </w:rPr>
        <w:t>estas</w:t>
      </w:r>
      <w:r>
        <w:rPr>
          <w:color w:val="231F20"/>
          <w:spacing w:val="-5"/>
        </w:rPr>
        <w:t> </w:t>
      </w:r>
      <w:r>
        <w:rPr>
          <w:color w:val="231F20"/>
        </w:rPr>
        <w:t>condiciones, las</w:t>
      </w:r>
      <w:r>
        <w:rPr>
          <w:color w:val="231F20"/>
          <w:spacing w:val="-7"/>
        </w:rPr>
        <w:t> </w:t>
      </w:r>
      <w:r>
        <w:rPr>
          <w:color w:val="231F20"/>
        </w:rPr>
        <w:t>empresas</w:t>
      </w:r>
      <w:r>
        <w:rPr>
          <w:color w:val="231F20"/>
          <w:spacing w:val="-7"/>
        </w:rPr>
        <w:t> </w:t>
      </w:r>
      <w:r>
        <w:rPr>
          <w:color w:val="231F20"/>
        </w:rPr>
        <w:t>utilizan</w:t>
      </w:r>
      <w:r>
        <w:rPr>
          <w:color w:val="231F20"/>
          <w:spacing w:val="-6"/>
        </w:rPr>
        <w:t> </w:t>
      </w:r>
      <w:r>
        <w:rPr>
          <w:color w:val="231F20"/>
        </w:rPr>
        <w:t>todos</w:t>
      </w:r>
      <w:r>
        <w:rPr>
          <w:color w:val="231F20"/>
          <w:spacing w:val="-7"/>
        </w:rPr>
        <w:t> </w:t>
      </w:r>
      <w:r>
        <w:rPr>
          <w:color w:val="231F20"/>
        </w:rPr>
        <w:t>los</w:t>
      </w:r>
      <w:r>
        <w:rPr>
          <w:color w:val="231F20"/>
          <w:spacing w:val="-7"/>
        </w:rPr>
        <w:t> </w:t>
      </w:r>
      <w:r>
        <w:rPr>
          <w:color w:val="231F20"/>
        </w:rPr>
        <w:t>medios</w:t>
      </w:r>
      <w:r>
        <w:rPr>
          <w:color w:val="231F20"/>
          <w:spacing w:val="-7"/>
        </w:rPr>
        <w:t> </w:t>
      </w:r>
      <w:r>
        <w:rPr>
          <w:color w:val="231F20"/>
        </w:rPr>
        <w:t>posibles</w:t>
      </w:r>
      <w:r>
        <w:rPr>
          <w:color w:val="231F20"/>
          <w:spacing w:val="-6"/>
        </w:rPr>
        <w:t> </w:t>
      </w:r>
      <w:r>
        <w:rPr>
          <w:color w:val="231F20"/>
        </w:rPr>
        <w:t>para</w:t>
      </w:r>
      <w:r>
        <w:rPr>
          <w:color w:val="231F20"/>
          <w:spacing w:val="-6"/>
        </w:rPr>
        <w:t> </w:t>
      </w:r>
      <w:r>
        <w:rPr>
          <w:color w:val="231F20"/>
        </w:rPr>
        <w:t>reducir</w:t>
      </w:r>
      <w:r>
        <w:rPr>
          <w:color w:val="231F20"/>
          <w:spacing w:val="-7"/>
        </w:rPr>
        <w:t> </w:t>
      </w:r>
      <w:r>
        <w:rPr>
          <w:color w:val="231F20"/>
        </w:rPr>
        <w:t>los</w:t>
      </w:r>
      <w:r>
        <w:rPr>
          <w:color w:val="231F20"/>
          <w:spacing w:val="-7"/>
        </w:rPr>
        <w:t> </w:t>
      </w:r>
      <w:r>
        <w:rPr>
          <w:color w:val="231F20"/>
        </w:rPr>
        <w:t>costos</w:t>
      </w:r>
      <w:r>
        <w:rPr>
          <w:color w:val="231F20"/>
          <w:spacing w:val="-7"/>
        </w:rPr>
        <w:t> </w:t>
      </w:r>
      <w:r>
        <w:rPr>
          <w:color w:val="231F20"/>
        </w:rPr>
        <w:t>de producción</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cambios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organización</w:t>
      </w:r>
      <w:r>
        <w:rPr>
          <w:color w:val="231F20"/>
          <w:spacing w:val="-4"/>
        </w:rPr>
        <w:t> </w:t>
      </w:r>
      <w:r>
        <w:rPr>
          <w:color w:val="231F20"/>
        </w:rPr>
        <w:t>del</w:t>
      </w:r>
      <w:r>
        <w:rPr>
          <w:color w:val="231F20"/>
          <w:spacing w:val="-4"/>
        </w:rPr>
        <w:t> </w:t>
      </w:r>
      <w:r>
        <w:rPr>
          <w:color w:val="231F20"/>
        </w:rPr>
        <w:t>trabajo</w:t>
      </w:r>
      <w:r>
        <w:rPr>
          <w:color w:val="231F20"/>
          <w:spacing w:val="-5"/>
        </w:rPr>
        <w:t> </w:t>
      </w:r>
      <w:r>
        <w:rPr>
          <w:color w:val="231F20"/>
        </w:rPr>
        <w:t>son</w:t>
      </w:r>
      <w:r>
        <w:rPr>
          <w:color w:val="231F20"/>
          <w:spacing w:val="-4"/>
        </w:rPr>
        <w:t> </w:t>
      </w:r>
      <w:r>
        <w:rPr>
          <w:color w:val="231F20"/>
        </w:rPr>
        <w:t>parte</w:t>
      </w:r>
      <w:r>
        <w:rPr>
          <w:color w:val="231F20"/>
          <w:spacing w:val="-4"/>
        </w:rPr>
        <w:t> </w:t>
      </w:r>
      <w:r>
        <w:rPr>
          <w:color w:val="231F20"/>
        </w:rPr>
        <w:t>funda- mental de este</w:t>
      </w:r>
      <w:r>
        <w:rPr>
          <w:color w:val="231F20"/>
          <w:spacing w:val="-2"/>
        </w:rPr>
        <w:t> </w:t>
      </w:r>
      <w:r>
        <w:rPr>
          <w:color w:val="231F20"/>
        </w:rPr>
        <w:t>proceso.</w:t>
      </w:r>
    </w:p>
    <w:p>
      <w:pPr>
        <w:pStyle w:val="BodyText"/>
        <w:spacing w:line="249" w:lineRule="auto" w:before="1"/>
        <w:ind w:left="113" w:right="108" w:firstLine="283"/>
        <w:jc w:val="both"/>
      </w:pPr>
      <w:r>
        <w:rPr>
          <w:color w:val="231F20"/>
        </w:rPr>
        <w:t>El</w:t>
      </w:r>
      <w:r>
        <w:rPr>
          <w:color w:val="231F20"/>
          <w:spacing w:val="-9"/>
        </w:rPr>
        <w:t> </w:t>
      </w:r>
      <w:r>
        <w:rPr>
          <w:color w:val="231F20"/>
        </w:rPr>
        <w:t>incremento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participación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mercado</w:t>
      </w:r>
      <w:r>
        <w:rPr>
          <w:color w:val="231F20"/>
          <w:spacing w:val="-9"/>
        </w:rPr>
        <w:t> </w:t>
      </w:r>
      <w:r>
        <w:rPr>
          <w:color w:val="231F20"/>
        </w:rPr>
        <w:t>de</w:t>
      </w:r>
      <w:r>
        <w:rPr>
          <w:color w:val="231F20"/>
          <w:spacing w:val="-9"/>
        </w:rPr>
        <w:t> </w:t>
      </w:r>
      <w:r>
        <w:rPr>
          <w:color w:val="231F20"/>
        </w:rPr>
        <w:t>tra- bajo</w:t>
      </w:r>
      <w:r>
        <w:rPr>
          <w:color w:val="231F20"/>
          <w:spacing w:val="-11"/>
        </w:rPr>
        <w:t> </w:t>
      </w:r>
      <w:r>
        <w:rPr>
          <w:color w:val="231F20"/>
        </w:rPr>
        <w:t>tanto</w:t>
      </w:r>
      <w:r>
        <w:rPr>
          <w:color w:val="231F20"/>
          <w:spacing w:val="-11"/>
        </w:rPr>
        <w:t> </w:t>
      </w:r>
      <w:r>
        <w:rPr>
          <w:color w:val="231F20"/>
        </w:rPr>
        <w:t>por</w:t>
      </w:r>
      <w:r>
        <w:rPr>
          <w:color w:val="231F20"/>
          <w:spacing w:val="-11"/>
        </w:rPr>
        <w:t> </w:t>
      </w:r>
      <w:r>
        <w:rPr>
          <w:color w:val="231F20"/>
        </w:rPr>
        <w:t>exigencias</w:t>
      </w:r>
      <w:r>
        <w:rPr>
          <w:color w:val="231F20"/>
          <w:spacing w:val="-11"/>
        </w:rPr>
        <w:t> </w:t>
      </w:r>
      <w:r>
        <w:rPr>
          <w:color w:val="231F20"/>
        </w:rPr>
        <w:t>económicas</w:t>
      </w:r>
      <w:r>
        <w:rPr>
          <w:color w:val="231F20"/>
          <w:spacing w:val="-11"/>
        </w:rPr>
        <w:t> </w:t>
      </w:r>
      <w:r>
        <w:rPr>
          <w:color w:val="231F20"/>
        </w:rPr>
        <w:t>propias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familias,</w:t>
      </w:r>
      <w:r>
        <w:rPr>
          <w:color w:val="231F20"/>
          <w:spacing w:val="-11"/>
        </w:rPr>
        <w:t> </w:t>
      </w:r>
      <w:r>
        <w:rPr>
          <w:color w:val="231F20"/>
        </w:rPr>
        <w:t>como</w:t>
      </w:r>
      <w:r>
        <w:rPr>
          <w:color w:val="231F20"/>
          <w:spacing w:val="-11"/>
        </w:rPr>
        <w:t> </w:t>
      </w:r>
      <w:r>
        <w:rPr>
          <w:color w:val="231F20"/>
        </w:rPr>
        <w:t>por su necesidad de mayor autonomía en sus decisiones y proyectos de</w:t>
      </w:r>
      <w:r>
        <w:rPr>
          <w:color w:val="231F20"/>
          <w:spacing w:val="-25"/>
        </w:rPr>
        <w:t> </w:t>
      </w:r>
      <w:r>
        <w:rPr>
          <w:color w:val="231F20"/>
        </w:rPr>
        <w:t>vida, requieren de un cambio en la organización social del trabajo</w:t>
      </w:r>
      <w:r>
        <w:rPr>
          <w:color w:val="231F20"/>
          <w:spacing w:val="19"/>
        </w:rPr>
        <w:t> </w:t>
      </w:r>
      <w:r>
        <w:rPr>
          <w:color w:val="231F20"/>
        </w:rPr>
        <w:t>reproducti-</w:t>
      </w:r>
    </w:p>
    <w:p>
      <w:pPr>
        <w:pStyle w:val="BodyText"/>
        <w:spacing w:before="6"/>
        <w:rPr>
          <w:sz w:val="14"/>
        </w:rPr>
      </w:pPr>
    </w:p>
    <w:p>
      <w:pPr>
        <w:spacing w:before="83"/>
        <w:ind w:left="113" w:right="792" w:firstLine="0"/>
        <w:jc w:val="left"/>
        <w:rPr>
          <w:sz w:val="14"/>
        </w:rPr>
      </w:pPr>
      <w:r>
        <w:rPr>
          <w:color w:val="231F20"/>
          <w:sz w:val="14"/>
        </w:rPr>
        <w:t>* Investigadora del Centro de Estudios de la Mujer, Santiago de Chile.</w:t>
      </w:r>
    </w:p>
    <w:p>
      <w:pPr>
        <w:spacing w:after="0"/>
        <w:jc w:val="left"/>
        <w:rPr>
          <w:sz w:val="14"/>
        </w:rPr>
        <w:sectPr>
          <w:footerReference w:type="default" r:id="rId233"/>
          <w:pgSz w:w="7770" w:h="11740"/>
          <w:pgMar w:footer="474" w:header="0" w:top="820" w:bottom="660" w:left="1020" w:right="740"/>
          <w:pgNumType w:start="185"/>
        </w:sectPr>
      </w:pPr>
    </w:p>
    <w:p>
      <w:pPr>
        <w:pStyle w:val="BodyText"/>
        <w:spacing w:line="249" w:lineRule="auto" w:before="49"/>
        <w:ind w:left="110" w:right="111"/>
        <w:jc w:val="both"/>
      </w:pPr>
      <w:r>
        <w:rPr>
          <w:color w:val="231F20"/>
        </w:rPr>
        <w:t>vo y de cuidado. Sin embargo, la vigencia del supuesto de una división sexual</w:t>
      </w:r>
      <w:r>
        <w:rPr>
          <w:color w:val="231F20"/>
          <w:spacing w:val="-5"/>
        </w:rPr>
        <w:t> </w:t>
      </w:r>
      <w:r>
        <w:rPr>
          <w:color w:val="231F20"/>
        </w:rPr>
        <w:t>del</w:t>
      </w:r>
      <w:r>
        <w:rPr>
          <w:color w:val="231F20"/>
          <w:spacing w:val="-5"/>
        </w:rPr>
        <w:t> </w:t>
      </w:r>
      <w:r>
        <w:rPr>
          <w:color w:val="231F20"/>
        </w:rPr>
        <w:t>trabajo</w:t>
      </w:r>
      <w:r>
        <w:rPr>
          <w:color w:val="231F20"/>
          <w:spacing w:val="-5"/>
        </w:rPr>
        <w:t> </w:t>
      </w:r>
      <w:r>
        <w:rPr>
          <w:color w:val="231F20"/>
        </w:rPr>
        <w:t>que</w:t>
      </w:r>
      <w:r>
        <w:rPr>
          <w:color w:val="231F20"/>
          <w:spacing w:val="-5"/>
        </w:rPr>
        <w:t> </w:t>
      </w:r>
      <w:r>
        <w:rPr>
          <w:color w:val="231F20"/>
        </w:rPr>
        <w:t>ubica</w:t>
      </w:r>
      <w:r>
        <w:rPr>
          <w:color w:val="231F20"/>
          <w:spacing w:val="-5"/>
        </w:rPr>
        <w:t> </w:t>
      </w:r>
      <w:r>
        <w:rPr>
          <w:color w:val="231F20"/>
        </w:rPr>
        <w:t>a</w:t>
      </w:r>
      <w:r>
        <w:rPr>
          <w:color w:val="231F20"/>
          <w:spacing w:val="-5"/>
        </w:rPr>
        <w:t> </w:t>
      </w:r>
      <w:r>
        <w:rPr>
          <w:color w:val="231F20"/>
        </w:rPr>
        <w:t>las</w:t>
      </w:r>
      <w:r>
        <w:rPr>
          <w:color w:val="231F20"/>
          <w:spacing w:val="-6"/>
        </w:rPr>
        <w:t> </w:t>
      </w:r>
      <w:r>
        <w:rPr>
          <w:color w:val="231F20"/>
        </w:rPr>
        <w:t>mujeres</w:t>
      </w:r>
      <w:r>
        <w:rPr>
          <w:color w:val="231F20"/>
          <w:spacing w:val="-6"/>
        </w:rPr>
        <w:t> </w:t>
      </w:r>
      <w:r>
        <w:rPr>
          <w:color w:val="231F20"/>
        </w:rPr>
        <w:t>como</w:t>
      </w:r>
      <w:r>
        <w:rPr>
          <w:color w:val="231F20"/>
          <w:spacing w:val="-6"/>
        </w:rPr>
        <w:t> </w:t>
      </w:r>
      <w:r>
        <w:rPr>
          <w:color w:val="231F20"/>
        </w:rPr>
        <w:t>proveedoras</w:t>
      </w:r>
      <w:r>
        <w:rPr>
          <w:color w:val="231F20"/>
          <w:spacing w:val="-5"/>
        </w:rPr>
        <w:t> </w:t>
      </w:r>
      <w:r>
        <w:rPr>
          <w:color w:val="231F20"/>
        </w:rPr>
        <w:t>del</w:t>
      </w:r>
      <w:r>
        <w:rPr>
          <w:color w:val="231F20"/>
          <w:spacing w:val="-5"/>
        </w:rPr>
        <w:t> </w:t>
      </w:r>
      <w:r>
        <w:rPr>
          <w:color w:val="231F20"/>
        </w:rPr>
        <w:t>cuidado y a los hombres como proveedores del sustento monetario, impiden una redistribución sustantiva del trabajo reproductivo y de cuidado, tanto en términos de género al interior de los hogares como en la sociedad en su conjunto a través de servicios adecuados a la realidad</w:t>
      </w:r>
      <w:r>
        <w:rPr>
          <w:color w:val="231F20"/>
          <w:spacing w:val="-11"/>
        </w:rPr>
        <w:t> </w:t>
      </w:r>
      <w:r>
        <w:rPr>
          <w:color w:val="231F20"/>
        </w:rPr>
        <w:t>actual.</w:t>
      </w:r>
    </w:p>
    <w:p>
      <w:pPr>
        <w:pStyle w:val="BodyText"/>
        <w:spacing w:line="249" w:lineRule="auto" w:before="1"/>
        <w:ind w:left="110" w:right="111" w:firstLine="283"/>
        <w:jc w:val="both"/>
      </w:pPr>
      <w:r>
        <w:rPr>
          <w:color w:val="231F20"/>
        </w:rPr>
        <w:t>Los enfoques aún prevalecientes sobre las políticas fiscales de los años 1980, tanto del gasto público como tributarias, contribuyen a re- producir una organización del cuidado de base familista, predominante en América Latina. En esta organización, la responsabilidad principal del bienestar corresponde a las familias y a las mujeres en las redes de parentesco, y aquellas que trabajan de forma remunerada desarrollan</w:t>
      </w:r>
      <w:r>
        <w:rPr>
          <w:color w:val="231F20"/>
          <w:spacing w:val="-23"/>
        </w:rPr>
        <w:t> </w:t>
      </w:r>
      <w:r>
        <w:rPr>
          <w:color w:val="231F20"/>
        </w:rPr>
        <w:t>sus propias estrategias para articular este trabajo con la</w:t>
      </w:r>
      <w:r>
        <w:rPr>
          <w:color w:val="231F20"/>
          <w:spacing w:val="-5"/>
        </w:rPr>
        <w:t> </w:t>
      </w:r>
      <w:r>
        <w:rPr>
          <w:color w:val="231F20"/>
        </w:rPr>
        <w:t>familia.</w:t>
      </w:r>
    </w:p>
    <w:p>
      <w:pPr>
        <w:pStyle w:val="BodyText"/>
        <w:spacing w:line="249" w:lineRule="auto" w:before="1"/>
        <w:ind w:left="110" w:right="111" w:firstLine="283"/>
        <w:jc w:val="right"/>
      </w:pPr>
      <w:r>
        <w:rPr>
          <w:color w:val="231F20"/>
        </w:rPr>
        <w:t>Por</w:t>
      </w:r>
      <w:r>
        <w:rPr>
          <w:color w:val="231F20"/>
          <w:spacing w:val="24"/>
        </w:rPr>
        <w:t> </w:t>
      </w:r>
      <w:r>
        <w:rPr>
          <w:color w:val="231F20"/>
        </w:rPr>
        <w:t>otra</w:t>
      </w:r>
      <w:r>
        <w:rPr>
          <w:color w:val="231F20"/>
          <w:spacing w:val="24"/>
        </w:rPr>
        <w:t> </w:t>
      </w:r>
      <w:r>
        <w:rPr>
          <w:color w:val="231F20"/>
        </w:rPr>
        <w:t>parte,</w:t>
      </w:r>
      <w:r>
        <w:rPr>
          <w:color w:val="231F20"/>
          <w:spacing w:val="24"/>
        </w:rPr>
        <w:t> </w:t>
      </w:r>
      <w:r>
        <w:rPr>
          <w:color w:val="231F20"/>
        </w:rPr>
        <w:t>tampoco</w:t>
      </w:r>
      <w:r>
        <w:rPr>
          <w:color w:val="231F20"/>
          <w:spacing w:val="23"/>
        </w:rPr>
        <w:t> </w:t>
      </w:r>
      <w:r>
        <w:rPr>
          <w:color w:val="231F20"/>
        </w:rPr>
        <w:t>se</w:t>
      </w:r>
      <w:r>
        <w:rPr>
          <w:color w:val="231F20"/>
          <w:spacing w:val="24"/>
        </w:rPr>
        <w:t> </w:t>
      </w:r>
      <w:r>
        <w:rPr>
          <w:color w:val="231F20"/>
        </w:rPr>
        <w:t>toma</w:t>
      </w:r>
      <w:r>
        <w:rPr>
          <w:color w:val="231F20"/>
          <w:spacing w:val="24"/>
        </w:rPr>
        <w:t> </w:t>
      </w:r>
      <w:r>
        <w:rPr>
          <w:color w:val="231F20"/>
        </w:rPr>
        <w:t>en</w:t>
      </w:r>
      <w:r>
        <w:rPr>
          <w:color w:val="231F20"/>
          <w:spacing w:val="24"/>
        </w:rPr>
        <w:t> </w:t>
      </w:r>
      <w:r>
        <w:rPr>
          <w:color w:val="231F20"/>
        </w:rPr>
        <w:t>cuenta</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adecuada</w:t>
      </w:r>
      <w:r>
        <w:rPr>
          <w:color w:val="231F20"/>
          <w:spacing w:val="24"/>
        </w:rPr>
        <w:t> </w:t>
      </w:r>
      <w:r>
        <w:rPr>
          <w:color w:val="231F20"/>
        </w:rPr>
        <w:t>el impacto de los cambios en la organización del trabajo remunerado</w:t>
      </w:r>
      <w:r>
        <w:rPr>
          <w:color w:val="231F20"/>
          <w:spacing w:val="36"/>
        </w:rPr>
        <w:t> </w:t>
      </w:r>
      <w:r>
        <w:rPr>
          <w:color w:val="231F20"/>
        </w:rPr>
        <w:t>en</w:t>
      </w:r>
      <w:r>
        <w:rPr>
          <w:color w:val="231F20"/>
          <w:spacing w:val="3"/>
        </w:rPr>
        <w:t> </w:t>
      </w:r>
      <w:r>
        <w:rPr>
          <w:color w:val="231F20"/>
        </w:rPr>
        <w:t>la organización social de los cuidados y en la reproducción</w:t>
      </w:r>
      <w:r>
        <w:rPr>
          <w:color w:val="231F20"/>
          <w:spacing w:val="47"/>
        </w:rPr>
        <w:t> </w:t>
      </w:r>
      <w:r>
        <w:rPr>
          <w:color w:val="231F20"/>
        </w:rPr>
        <w:t>social,</w:t>
      </w:r>
      <w:r>
        <w:rPr>
          <w:color w:val="231F20"/>
          <w:spacing w:val="16"/>
        </w:rPr>
        <w:t> </w:t>
      </w:r>
      <w:r>
        <w:rPr>
          <w:color w:val="231F20"/>
        </w:rPr>
        <w:t>incre- mentando</w:t>
      </w:r>
      <w:r>
        <w:rPr>
          <w:color w:val="231F20"/>
          <w:spacing w:val="21"/>
        </w:rPr>
        <w:t> </w:t>
      </w:r>
      <w:r>
        <w:rPr>
          <w:color w:val="231F20"/>
        </w:rPr>
        <w:t>la</w:t>
      </w:r>
      <w:r>
        <w:rPr>
          <w:color w:val="231F20"/>
          <w:spacing w:val="22"/>
        </w:rPr>
        <w:t> </w:t>
      </w:r>
      <w:r>
        <w:rPr>
          <w:color w:val="231F20"/>
        </w:rPr>
        <w:t>tensión</w:t>
      </w:r>
      <w:r>
        <w:rPr>
          <w:color w:val="231F20"/>
          <w:spacing w:val="21"/>
        </w:rPr>
        <w:t> </w:t>
      </w:r>
      <w:r>
        <w:rPr>
          <w:color w:val="231F20"/>
        </w:rPr>
        <w:t>entre</w:t>
      </w:r>
      <w:r>
        <w:rPr>
          <w:color w:val="231F20"/>
          <w:spacing w:val="22"/>
        </w:rPr>
        <w:t> </w:t>
      </w:r>
      <w:r>
        <w:rPr>
          <w:color w:val="231F20"/>
        </w:rPr>
        <w:t>ambos</w:t>
      </w:r>
      <w:r>
        <w:rPr>
          <w:color w:val="231F20"/>
          <w:spacing w:val="22"/>
        </w:rPr>
        <w:t> </w:t>
      </w:r>
      <w:r>
        <w:rPr>
          <w:color w:val="231F20"/>
        </w:rPr>
        <w:t>tipos</w:t>
      </w:r>
      <w:r>
        <w:rPr>
          <w:color w:val="231F20"/>
          <w:spacing w:val="21"/>
        </w:rPr>
        <w:t> </w:t>
      </w:r>
      <w:r>
        <w:rPr>
          <w:color w:val="231F20"/>
        </w:rPr>
        <w:t>de</w:t>
      </w:r>
      <w:r>
        <w:rPr>
          <w:color w:val="231F20"/>
          <w:spacing w:val="22"/>
        </w:rPr>
        <w:t> </w:t>
      </w:r>
      <w:r>
        <w:rPr>
          <w:color w:val="231F20"/>
        </w:rPr>
        <w:t>trabajo.</w:t>
      </w:r>
      <w:r>
        <w:rPr>
          <w:color w:val="231F20"/>
          <w:spacing w:val="21"/>
        </w:rPr>
        <w:t> </w:t>
      </w:r>
      <w:r>
        <w:rPr>
          <w:color w:val="231F20"/>
        </w:rPr>
        <w:t>Contribuye</w:t>
      </w:r>
      <w:r>
        <w:rPr>
          <w:color w:val="231F20"/>
          <w:spacing w:val="22"/>
        </w:rPr>
        <w:t> </w:t>
      </w:r>
      <w:r>
        <w:rPr>
          <w:color w:val="231F20"/>
        </w:rPr>
        <w:t>en</w:t>
      </w:r>
      <w:r>
        <w:rPr>
          <w:color w:val="231F20"/>
          <w:spacing w:val="22"/>
        </w:rPr>
        <w:t> </w:t>
      </w:r>
      <w:r>
        <w:rPr>
          <w:color w:val="231F20"/>
        </w:rPr>
        <w:t>gran medida</w:t>
      </w:r>
      <w:r>
        <w:rPr>
          <w:color w:val="231F20"/>
          <w:spacing w:val="-11"/>
        </w:rPr>
        <w:t> </w:t>
      </w:r>
      <w:r>
        <w:rPr>
          <w:color w:val="231F20"/>
        </w:rPr>
        <w:t>a</w:t>
      </w:r>
      <w:r>
        <w:rPr>
          <w:color w:val="231F20"/>
          <w:spacing w:val="-10"/>
        </w:rPr>
        <w:t> </w:t>
      </w:r>
      <w:r>
        <w:rPr>
          <w:color w:val="231F20"/>
        </w:rPr>
        <w:t>ello</w:t>
      </w:r>
      <w:r>
        <w:rPr>
          <w:color w:val="231F20"/>
          <w:spacing w:val="-11"/>
        </w:rPr>
        <w:t> </w:t>
      </w:r>
      <w:r>
        <w:rPr>
          <w:color w:val="231F20"/>
        </w:rPr>
        <w:t>la</w:t>
      </w:r>
      <w:r>
        <w:rPr>
          <w:color w:val="231F20"/>
          <w:spacing w:val="-10"/>
        </w:rPr>
        <w:t> </w:t>
      </w:r>
      <w:r>
        <w:rPr>
          <w:color w:val="231F20"/>
        </w:rPr>
        <w:t>invisibilización</w:t>
      </w:r>
      <w:r>
        <w:rPr>
          <w:color w:val="231F20"/>
          <w:spacing w:val="-12"/>
        </w:rPr>
        <w:t> </w:t>
      </w:r>
      <w:r>
        <w:rPr>
          <w:color w:val="231F20"/>
        </w:rPr>
        <w:t>del</w:t>
      </w:r>
      <w:r>
        <w:rPr>
          <w:color w:val="231F20"/>
          <w:spacing w:val="-10"/>
        </w:rPr>
        <w:t> </w:t>
      </w:r>
      <w:r>
        <w:rPr>
          <w:color w:val="231F20"/>
        </w:rPr>
        <w:t>trabajo</w:t>
      </w:r>
      <w:r>
        <w:rPr>
          <w:color w:val="231F20"/>
          <w:spacing w:val="-11"/>
        </w:rPr>
        <w:t> </w:t>
      </w:r>
      <w:r>
        <w:rPr>
          <w:color w:val="231F20"/>
        </w:rPr>
        <w:t>doméstico</w:t>
      </w:r>
      <w:r>
        <w:rPr>
          <w:color w:val="231F20"/>
          <w:spacing w:val="-11"/>
        </w:rPr>
        <w:t> </w:t>
      </w:r>
      <w:r>
        <w:rPr>
          <w:color w:val="231F20"/>
        </w:rPr>
        <w:t>y</w:t>
      </w:r>
      <w:r>
        <w:rPr>
          <w:color w:val="231F20"/>
          <w:spacing w:val="-10"/>
        </w:rPr>
        <w:t> </w:t>
      </w:r>
      <w:r>
        <w:rPr>
          <w:color w:val="231F20"/>
        </w:rPr>
        <w:t>de</w:t>
      </w:r>
      <w:r>
        <w:rPr>
          <w:color w:val="231F20"/>
          <w:spacing w:val="-10"/>
        </w:rPr>
        <w:t> </w:t>
      </w:r>
      <w:r>
        <w:rPr>
          <w:color w:val="231F20"/>
        </w:rPr>
        <w:t>cuidado</w:t>
      </w:r>
      <w:r>
        <w:rPr>
          <w:color w:val="231F20"/>
          <w:spacing w:val="-11"/>
        </w:rPr>
        <w:t> </w:t>
      </w:r>
      <w:r>
        <w:rPr>
          <w:color w:val="231F20"/>
        </w:rPr>
        <w:t>como parte del trabajo total necesario para el funcionamiento de</w:t>
      </w:r>
      <w:r>
        <w:rPr>
          <w:color w:val="231F20"/>
          <w:spacing w:val="3"/>
        </w:rPr>
        <w:t> </w:t>
      </w:r>
      <w:r>
        <w:rPr>
          <w:color w:val="231F20"/>
        </w:rPr>
        <w:t>la</w:t>
      </w:r>
      <w:r>
        <w:rPr>
          <w:color w:val="231F20"/>
          <w:spacing w:val="6"/>
        </w:rPr>
        <w:t> </w:t>
      </w:r>
      <w:r>
        <w:rPr>
          <w:color w:val="231F20"/>
        </w:rPr>
        <w:t>economía. Si</w:t>
      </w:r>
      <w:r>
        <w:rPr>
          <w:color w:val="231F20"/>
          <w:spacing w:val="-5"/>
        </w:rPr>
        <w:t> </w:t>
      </w:r>
      <w:r>
        <w:rPr>
          <w:color w:val="231F20"/>
        </w:rPr>
        <w:t>bien</w:t>
      </w:r>
      <w:r>
        <w:rPr>
          <w:color w:val="231F20"/>
          <w:spacing w:val="-5"/>
        </w:rPr>
        <w:t> </w:t>
      </w:r>
      <w:r>
        <w:rPr>
          <w:color w:val="231F20"/>
        </w:rPr>
        <w:t>se</w:t>
      </w:r>
      <w:r>
        <w:rPr>
          <w:color w:val="231F20"/>
          <w:spacing w:val="-5"/>
        </w:rPr>
        <w:t> </w:t>
      </w:r>
      <w:r>
        <w:rPr>
          <w:color w:val="231F20"/>
        </w:rPr>
        <w:t>han</w:t>
      </w:r>
      <w:r>
        <w:rPr>
          <w:color w:val="231F20"/>
          <w:spacing w:val="-5"/>
        </w:rPr>
        <w:t> </w:t>
      </w:r>
      <w:r>
        <w:rPr>
          <w:color w:val="231F20"/>
        </w:rPr>
        <w:t>producido</w:t>
      </w:r>
      <w:r>
        <w:rPr>
          <w:color w:val="231F20"/>
          <w:spacing w:val="-5"/>
        </w:rPr>
        <w:t> </w:t>
      </w:r>
      <w:r>
        <w:rPr>
          <w:color w:val="231F20"/>
        </w:rPr>
        <w:t>avances</w:t>
      </w:r>
      <w:r>
        <w:rPr>
          <w:color w:val="231F20"/>
          <w:spacing w:val="-5"/>
        </w:rPr>
        <w:t> </w:t>
      </w:r>
      <w:r>
        <w:rPr>
          <w:color w:val="231F20"/>
        </w:rPr>
        <w:t>importantes</w:t>
      </w:r>
      <w:r>
        <w:rPr>
          <w:color w:val="231F20"/>
          <w:spacing w:val="-5"/>
        </w:rPr>
        <w:t> </w:t>
      </w:r>
      <w:r>
        <w:rPr>
          <w:color w:val="231F20"/>
        </w:rPr>
        <w:t>en</w:t>
      </w:r>
      <w:r>
        <w:rPr>
          <w:color w:val="231F20"/>
          <w:spacing w:val="-5"/>
        </w:rPr>
        <w:t> </w:t>
      </w:r>
      <w:r>
        <w:rPr>
          <w:color w:val="231F20"/>
        </w:rPr>
        <w:t>valorar</w:t>
      </w:r>
      <w:r>
        <w:rPr>
          <w:color w:val="231F20"/>
          <w:spacing w:val="-5"/>
        </w:rPr>
        <w:t> </w:t>
      </w:r>
      <w:r>
        <w:rPr>
          <w:color w:val="231F20"/>
        </w:rPr>
        <w:t>el</w:t>
      </w:r>
      <w:r>
        <w:rPr>
          <w:color w:val="231F20"/>
          <w:spacing w:val="-5"/>
        </w:rPr>
        <w:t> </w:t>
      </w:r>
      <w:r>
        <w:rPr>
          <w:color w:val="231F20"/>
        </w:rPr>
        <w:t>trabajo</w:t>
      </w:r>
      <w:r>
        <w:rPr>
          <w:color w:val="231F20"/>
          <w:spacing w:val="-5"/>
        </w:rPr>
        <w:t> </w:t>
      </w:r>
      <w:r>
        <w:rPr>
          <w:color w:val="231F20"/>
        </w:rPr>
        <w:t>de</w:t>
      </w:r>
      <w:r>
        <w:rPr>
          <w:color w:val="231F20"/>
          <w:spacing w:val="-5"/>
        </w:rPr>
        <w:t> </w:t>
      </w:r>
      <w:r>
        <w:rPr>
          <w:color w:val="231F20"/>
        </w:rPr>
        <w:t>las mujeres para el mercado y la necesidad de generar servicios de</w:t>
      </w:r>
      <w:r>
        <w:rPr>
          <w:color w:val="231F20"/>
          <w:spacing w:val="5"/>
        </w:rPr>
        <w:t> </w:t>
      </w:r>
      <w:r>
        <w:rPr>
          <w:color w:val="231F20"/>
        </w:rPr>
        <w:t>cuidado acordes con el incremento en la participación laboral femenina,</w:t>
      </w:r>
      <w:r>
        <w:rPr>
          <w:color w:val="231F20"/>
          <w:spacing w:val="5"/>
        </w:rPr>
        <w:t> </w:t>
      </w:r>
      <w:r>
        <w:rPr>
          <w:color w:val="231F20"/>
        </w:rPr>
        <w:t>no</w:t>
      </w:r>
      <w:r>
        <w:rPr>
          <w:color w:val="231F20"/>
          <w:spacing w:val="12"/>
        </w:rPr>
        <w:t> </w:t>
      </w:r>
      <w:r>
        <w:rPr>
          <w:color w:val="231F20"/>
        </w:rPr>
        <w:t>hay claridad, ni en el análisis ni en las políticas públicas, sobre el</w:t>
      </w:r>
      <w:r>
        <w:rPr>
          <w:color w:val="231F20"/>
          <w:spacing w:val="26"/>
        </w:rPr>
        <w:t> </w:t>
      </w:r>
      <w:r>
        <w:rPr>
          <w:color w:val="231F20"/>
        </w:rPr>
        <w:t>hecho</w:t>
      </w:r>
      <w:r>
        <w:rPr>
          <w:color w:val="231F20"/>
          <w:spacing w:val="10"/>
        </w:rPr>
        <w:t> </w:t>
      </w:r>
      <w:r>
        <w:rPr>
          <w:color w:val="231F20"/>
        </w:rPr>
        <w:t>de que el sistema de cuidados no es independiente de la organización</w:t>
      </w:r>
      <w:r>
        <w:rPr>
          <w:color w:val="231F20"/>
          <w:spacing w:val="44"/>
        </w:rPr>
        <w:t> </w:t>
      </w:r>
      <w:r>
        <w:rPr>
          <w:color w:val="231F20"/>
        </w:rPr>
        <w:t>de</w:t>
      </w:r>
      <w:r>
        <w:rPr>
          <w:color w:val="231F20"/>
          <w:spacing w:val="4"/>
        </w:rPr>
        <w:t> </w:t>
      </w:r>
      <w:r>
        <w:rPr>
          <w:color w:val="231F20"/>
        </w:rPr>
        <w:t>la producción y del trabajo. Más aún, no basta con adaptar los</w:t>
      </w:r>
      <w:r>
        <w:rPr>
          <w:color w:val="231F20"/>
          <w:spacing w:val="10"/>
        </w:rPr>
        <w:t> </w:t>
      </w:r>
      <w:r>
        <w:rPr>
          <w:color w:val="231F20"/>
        </w:rPr>
        <w:t>servicios</w:t>
      </w:r>
      <w:r>
        <w:rPr>
          <w:color w:val="231F20"/>
          <w:spacing w:val="1"/>
        </w:rPr>
        <w:t> </w:t>
      </w:r>
      <w:r>
        <w:rPr>
          <w:color w:val="231F20"/>
        </w:rPr>
        <w:t>de cuidado a cualquier cambio en la producción ya que ambos</w:t>
      </w:r>
      <w:r>
        <w:rPr>
          <w:color w:val="231F20"/>
          <w:spacing w:val="46"/>
        </w:rPr>
        <w:t> </w:t>
      </w:r>
      <w:r>
        <w:rPr>
          <w:color w:val="231F20"/>
        </w:rPr>
        <w:t>ámbitos</w:t>
      </w:r>
      <w:r>
        <w:rPr>
          <w:color w:val="231F20"/>
          <w:spacing w:val="4"/>
        </w:rPr>
        <w:t> </w:t>
      </w:r>
      <w:r>
        <w:rPr>
          <w:color w:val="231F20"/>
        </w:rPr>
        <w:t>de- ben</w:t>
      </w:r>
      <w:r>
        <w:rPr>
          <w:color w:val="231F20"/>
          <w:spacing w:val="-6"/>
        </w:rPr>
        <w:t> </w:t>
      </w:r>
      <w:r>
        <w:rPr>
          <w:color w:val="231F20"/>
        </w:rPr>
        <w:t>tomar</w:t>
      </w:r>
      <w:r>
        <w:rPr>
          <w:color w:val="231F20"/>
          <w:spacing w:val="-6"/>
        </w:rPr>
        <w:t> </w:t>
      </w:r>
      <w:r>
        <w:rPr>
          <w:color w:val="231F20"/>
        </w:rPr>
        <w:t>en</w:t>
      </w:r>
      <w:r>
        <w:rPr>
          <w:color w:val="231F20"/>
          <w:spacing w:val="-6"/>
        </w:rPr>
        <w:t> </w:t>
      </w:r>
      <w:r>
        <w:rPr>
          <w:color w:val="231F20"/>
        </w:rPr>
        <w:t>cuenta</w:t>
      </w:r>
      <w:r>
        <w:rPr>
          <w:color w:val="231F20"/>
          <w:spacing w:val="-6"/>
        </w:rPr>
        <w:t> </w:t>
      </w:r>
      <w:r>
        <w:rPr>
          <w:color w:val="231F20"/>
        </w:rPr>
        <w:t>las</w:t>
      </w:r>
      <w:r>
        <w:rPr>
          <w:color w:val="231F20"/>
          <w:spacing w:val="-6"/>
        </w:rPr>
        <w:t> </w:t>
      </w:r>
      <w:r>
        <w:rPr>
          <w:color w:val="231F20"/>
        </w:rPr>
        <w:t>necesidades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reproducción</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humana. Por ello, este trabajo sostiene que los conceptos de rigidez y</w:t>
      </w:r>
      <w:r>
        <w:rPr>
          <w:color w:val="231F20"/>
          <w:spacing w:val="5"/>
        </w:rPr>
        <w:t> </w:t>
      </w:r>
      <w:r>
        <w:rPr>
          <w:color w:val="231F20"/>
        </w:rPr>
        <w:t>flexibi- lidad,</w:t>
      </w:r>
      <w:r>
        <w:rPr>
          <w:color w:val="231F20"/>
          <w:spacing w:val="13"/>
        </w:rPr>
        <w:t> </w:t>
      </w:r>
      <w:r>
        <w:rPr>
          <w:color w:val="231F20"/>
        </w:rPr>
        <w:t>y</w:t>
      </w:r>
      <w:r>
        <w:rPr>
          <w:color w:val="231F20"/>
          <w:spacing w:val="14"/>
        </w:rPr>
        <w:t> </w:t>
      </w:r>
      <w:r>
        <w:rPr>
          <w:color w:val="231F20"/>
        </w:rPr>
        <w:t>su</w:t>
      </w:r>
      <w:r>
        <w:rPr>
          <w:color w:val="231F20"/>
          <w:spacing w:val="14"/>
        </w:rPr>
        <w:t> </w:t>
      </w:r>
      <w:r>
        <w:rPr>
          <w:color w:val="231F20"/>
        </w:rPr>
        <w:t>relación</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precarización</w:t>
      </w:r>
      <w:r>
        <w:rPr>
          <w:color w:val="231F20"/>
          <w:spacing w:val="14"/>
        </w:rPr>
        <w:t> </w:t>
      </w:r>
      <w:r>
        <w:rPr>
          <w:color w:val="231F20"/>
        </w:rPr>
        <w:t>del</w:t>
      </w:r>
      <w:r>
        <w:rPr>
          <w:color w:val="231F20"/>
          <w:spacing w:val="14"/>
        </w:rPr>
        <w:t> </w:t>
      </w:r>
      <w:r>
        <w:rPr>
          <w:color w:val="231F20"/>
        </w:rPr>
        <w:t>trabajo</w:t>
      </w:r>
      <w:r>
        <w:rPr>
          <w:color w:val="231F20"/>
          <w:spacing w:val="13"/>
        </w:rPr>
        <w:t> </w:t>
      </w:r>
      <w:r>
        <w:rPr>
          <w:color w:val="231F20"/>
        </w:rPr>
        <w:t>y</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vida</w:t>
      </w:r>
      <w:r>
        <w:rPr>
          <w:color w:val="231F20"/>
          <w:spacing w:val="14"/>
        </w:rPr>
        <w:t> </w:t>
      </w:r>
      <w:r>
        <w:rPr>
          <w:color w:val="231F20"/>
        </w:rPr>
        <w:t>de</w:t>
      </w:r>
      <w:r>
        <w:rPr>
          <w:color w:val="231F20"/>
          <w:spacing w:val="14"/>
        </w:rPr>
        <w:t> </w:t>
      </w:r>
      <w:r>
        <w:rPr>
          <w:color w:val="231F20"/>
        </w:rPr>
        <w:t>las personas deben ser vistas a la luz de la interacción entre el</w:t>
      </w:r>
      <w:r>
        <w:rPr>
          <w:color w:val="231F20"/>
          <w:spacing w:val="16"/>
        </w:rPr>
        <w:t> </w:t>
      </w:r>
      <w:r>
        <w:rPr>
          <w:color w:val="231F20"/>
        </w:rPr>
        <w:t>trabajo</w:t>
      </w:r>
      <w:r>
        <w:rPr>
          <w:color w:val="231F20"/>
          <w:spacing w:val="8"/>
        </w:rPr>
        <w:t> </w:t>
      </w:r>
      <w:r>
        <w:rPr>
          <w:color w:val="231F20"/>
        </w:rPr>
        <w:t>pro- ductivo y el reproductivo y de cuidado, así como de las formas en</w:t>
      </w:r>
      <w:r>
        <w:rPr>
          <w:color w:val="231F20"/>
          <w:spacing w:val="-14"/>
        </w:rPr>
        <w:t> </w:t>
      </w:r>
      <w:r>
        <w:rPr>
          <w:color w:val="231F20"/>
        </w:rPr>
        <w:t>que</w:t>
      </w:r>
      <w:r>
        <w:rPr>
          <w:color w:val="231F20"/>
          <w:spacing w:val="-1"/>
        </w:rPr>
        <w:t> </w:t>
      </w:r>
      <w:r>
        <w:rPr>
          <w:color w:val="231F20"/>
        </w:rPr>
        <w:t>la sociedad</w:t>
      </w:r>
      <w:r>
        <w:rPr>
          <w:color w:val="231F20"/>
          <w:spacing w:val="-12"/>
        </w:rPr>
        <w:t> </w:t>
      </w:r>
      <w:r>
        <w:rPr>
          <w:color w:val="231F20"/>
        </w:rPr>
        <w:t>se</w:t>
      </w:r>
      <w:r>
        <w:rPr>
          <w:color w:val="231F20"/>
          <w:spacing w:val="-12"/>
        </w:rPr>
        <w:t> </w:t>
      </w:r>
      <w:r>
        <w:rPr>
          <w:color w:val="231F20"/>
        </w:rPr>
        <w:t>organiza</w:t>
      </w:r>
      <w:r>
        <w:rPr>
          <w:color w:val="231F20"/>
          <w:spacing w:val="-12"/>
        </w:rPr>
        <w:t> </w:t>
      </w:r>
      <w:r>
        <w:rPr>
          <w:color w:val="231F20"/>
        </w:rPr>
        <w:t>para</w:t>
      </w:r>
      <w:r>
        <w:rPr>
          <w:color w:val="231F20"/>
          <w:spacing w:val="-12"/>
        </w:rPr>
        <w:t> </w:t>
      </w:r>
      <w:r>
        <w:rPr>
          <w:color w:val="231F20"/>
        </w:rPr>
        <w:t>satisfacer</w:t>
      </w:r>
      <w:r>
        <w:rPr>
          <w:color w:val="231F20"/>
          <w:spacing w:val="-12"/>
        </w:rPr>
        <w:t> </w:t>
      </w:r>
      <w:r>
        <w:rPr>
          <w:color w:val="231F20"/>
        </w:rPr>
        <w:t>sus</w:t>
      </w:r>
      <w:r>
        <w:rPr>
          <w:color w:val="231F20"/>
          <w:spacing w:val="-12"/>
        </w:rPr>
        <w:t> </w:t>
      </w:r>
      <w:r>
        <w:rPr>
          <w:color w:val="231F20"/>
        </w:rPr>
        <w:t>necesidades</w:t>
      </w:r>
      <w:r>
        <w:rPr>
          <w:color w:val="231F20"/>
          <w:spacing w:val="-12"/>
        </w:rPr>
        <w:t> </w:t>
      </w:r>
      <w:r>
        <w:rPr>
          <w:color w:val="231F20"/>
        </w:rPr>
        <w:t>de</w:t>
      </w:r>
      <w:r>
        <w:rPr>
          <w:color w:val="231F20"/>
          <w:spacing w:val="-12"/>
        </w:rPr>
        <w:t> </w:t>
      </w:r>
      <w:r>
        <w:rPr>
          <w:color w:val="231F20"/>
        </w:rPr>
        <w:t>manera</w:t>
      </w:r>
      <w:r>
        <w:rPr>
          <w:color w:val="231F20"/>
          <w:spacing w:val="-13"/>
        </w:rPr>
        <w:t> </w:t>
      </w:r>
      <w:r>
        <w:rPr>
          <w:color w:val="231F20"/>
        </w:rPr>
        <w:t>más</w:t>
      </w:r>
      <w:r>
        <w:rPr>
          <w:color w:val="231F20"/>
          <w:spacing w:val="-12"/>
        </w:rPr>
        <w:t> </w:t>
      </w:r>
      <w:r>
        <w:rPr>
          <w:color w:val="231F20"/>
        </w:rPr>
        <w:t>igua- litaria</w:t>
      </w:r>
      <w:r>
        <w:rPr>
          <w:color w:val="231F20"/>
          <w:spacing w:val="-7"/>
        </w:rPr>
        <w:t> </w:t>
      </w:r>
      <w:r>
        <w:rPr>
          <w:color w:val="231F20"/>
        </w:rPr>
        <w:t>y</w:t>
      </w:r>
      <w:r>
        <w:rPr>
          <w:color w:val="231F20"/>
          <w:spacing w:val="-7"/>
        </w:rPr>
        <w:t> </w:t>
      </w:r>
      <w:r>
        <w:rPr>
          <w:color w:val="231F20"/>
        </w:rPr>
        <w:t>equitativa,</w:t>
      </w:r>
      <w:r>
        <w:rPr>
          <w:color w:val="231F20"/>
          <w:spacing w:val="-7"/>
        </w:rPr>
        <w:t> </w:t>
      </w:r>
      <w:r>
        <w:rPr>
          <w:color w:val="231F20"/>
        </w:rPr>
        <w:t>tanto</w:t>
      </w:r>
      <w:r>
        <w:rPr>
          <w:color w:val="231F20"/>
          <w:spacing w:val="-7"/>
        </w:rPr>
        <w:t> </w:t>
      </w:r>
      <w:r>
        <w:rPr>
          <w:color w:val="231F20"/>
        </w:rPr>
        <w:t>por</w:t>
      </w:r>
      <w:r>
        <w:rPr>
          <w:color w:val="231F20"/>
          <w:spacing w:val="-7"/>
        </w:rPr>
        <w:t> </w:t>
      </w:r>
      <w:r>
        <w:rPr>
          <w:color w:val="231F20"/>
        </w:rPr>
        <w:t>razones</w:t>
      </w:r>
      <w:r>
        <w:rPr>
          <w:color w:val="231F20"/>
          <w:spacing w:val="-7"/>
        </w:rPr>
        <w:t> </w:t>
      </w:r>
      <w:r>
        <w:rPr>
          <w:color w:val="231F20"/>
        </w:rPr>
        <w:t>de</w:t>
      </w:r>
      <w:r>
        <w:rPr>
          <w:color w:val="231F20"/>
          <w:spacing w:val="-7"/>
        </w:rPr>
        <w:t> </w:t>
      </w:r>
      <w:r>
        <w:rPr>
          <w:color w:val="231F20"/>
        </w:rPr>
        <w:t>justicia</w:t>
      </w:r>
      <w:r>
        <w:rPr>
          <w:color w:val="231F20"/>
          <w:spacing w:val="-7"/>
        </w:rPr>
        <w:t> </w:t>
      </w:r>
      <w:r>
        <w:rPr>
          <w:color w:val="231F20"/>
        </w:rPr>
        <w:t>como</w:t>
      </w:r>
      <w:r>
        <w:rPr>
          <w:color w:val="231F20"/>
          <w:spacing w:val="-7"/>
        </w:rPr>
        <w:t> </w:t>
      </w:r>
      <w:r>
        <w:rPr>
          <w:color w:val="231F20"/>
        </w:rPr>
        <w:t>de</w:t>
      </w:r>
      <w:r>
        <w:rPr>
          <w:color w:val="231F20"/>
          <w:spacing w:val="-7"/>
        </w:rPr>
        <w:t> </w:t>
      </w:r>
      <w:r>
        <w:rPr>
          <w:color w:val="231F20"/>
        </w:rPr>
        <w:t>funcionamiento</w:t>
      </w:r>
    </w:p>
    <w:p>
      <w:pPr>
        <w:pStyle w:val="BodyText"/>
        <w:spacing w:before="1"/>
        <w:ind w:left="110"/>
        <w:jc w:val="both"/>
      </w:pPr>
      <w:r>
        <w:rPr>
          <w:color w:val="231F20"/>
        </w:rPr>
        <w:t>de la producción y de la economía en su concepto ampliado.</w:t>
      </w:r>
    </w:p>
    <w:p>
      <w:pPr>
        <w:pStyle w:val="BodyText"/>
        <w:spacing w:line="249" w:lineRule="auto" w:before="10"/>
        <w:ind w:left="110" w:right="111" w:firstLine="283"/>
        <w:jc w:val="both"/>
      </w:pPr>
      <w:r>
        <w:rPr>
          <w:color w:val="231F20"/>
        </w:rPr>
        <w:t>En la primera parte se analizan las formas de flexibilidad laboral que se han ido creando como producto de los profundos cambios en el orde- namiento de la economía y la producción de las últimas décadas, en la legislación y políticas públicas económicas y laborales, así como en las correlaciones</w:t>
      </w:r>
      <w:r>
        <w:rPr>
          <w:color w:val="231F20"/>
          <w:spacing w:val="-9"/>
        </w:rPr>
        <w:t> </w:t>
      </w:r>
      <w:r>
        <w:rPr>
          <w:color w:val="231F20"/>
        </w:rPr>
        <w:t>de</w:t>
      </w:r>
      <w:r>
        <w:rPr>
          <w:color w:val="231F20"/>
          <w:spacing w:val="-8"/>
        </w:rPr>
        <w:t> </w:t>
      </w:r>
      <w:r>
        <w:rPr>
          <w:color w:val="231F20"/>
        </w:rPr>
        <w:t>fuerza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relación</w:t>
      </w:r>
      <w:r>
        <w:rPr>
          <w:color w:val="231F20"/>
          <w:spacing w:val="-8"/>
        </w:rPr>
        <w:t> </w:t>
      </w:r>
      <w:r>
        <w:rPr>
          <w:color w:val="231F20"/>
        </w:rPr>
        <w:t>capital/trabajo.</w:t>
      </w:r>
      <w:r>
        <w:rPr>
          <w:color w:val="231F20"/>
          <w:spacing w:val="-9"/>
        </w:rPr>
        <w:t> </w:t>
      </w:r>
      <w:r>
        <w:rPr>
          <w:color w:val="231F20"/>
        </w:rPr>
        <w:t>Enseguida,</w:t>
      </w:r>
      <w:r>
        <w:rPr>
          <w:color w:val="231F20"/>
          <w:spacing w:val="-9"/>
        </w:rPr>
        <w:t> </w:t>
      </w:r>
      <w:r>
        <w:rPr>
          <w:color w:val="231F20"/>
        </w:rPr>
        <w:t>se</w:t>
      </w:r>
      <w:r>
        <w:rPr>
          <w:color w:val="231F20"/>
          <w:spacing w:val="-8"/>
        </w:rPr>
        <w:t> </w:t>
      </w:r>
      <w:r>
        <w:rPr>
          <w:color w:val="231F20"/>
        </w:rPr>
        <w:t>abor- da el tema de los conflictos del trabajo reproductivo y de cuidado y  </w:t>
      </w:r>
      <w:r>
        <w:rPr>
          <w:color w:val="231F20"/>
          <w:spacing w:val="31"/>
        </w:rPr>
        <w:t> </w:t>
      </w:r>
      <w:r>
        <w:rPr>
          <w:color w:val="231F20"/>
        </w:rPr>
        <w:t>las</w:t>
      </w:r>
    </w:p>
    <w:p>
      <w:pPr>
        <w:spacing w:after="0" w:line="249" w:lineRule="auto"/>
        <w:jc w:val="both"/>
        <w:sectPr>
          <w:pgSz w:w="7770" w:h="11740"/>
          <w:pgMar w:header="0" w:footer="474" w:top="840" w:bottom="740" w:left="740" w:right="1020"/>
        </w:sectPr>
      </w:pPr>
    </w:p>
    <w:p>
      <w:pPr>
        <w:pStyle w:val="BodyText"/>
        <w:spacing w:line="249" w:lineRule="auto" w:before="60"/>
        <w:ind w:left="113" w:right="107"/>
        <w:jc w:val="both"/>
      </w:pPr>
      <w:r>
        <w:rPr>
          <w:color w:val="231F20"/>
        </w:rPr>
        <w:t>tensiones con el empleo y las nuevas realidades del trabajo remunerado. Finalmente, se realizan algunas consideraciones que debieran ser toma- das en cuenta para abordar la investigación y políticas en la economía   y sociedad actuales y los riesgos de no usar una mirada que integre el trabajo de mercado con las necesidades de la reproducción</w:t>
      </w:r>
      <w:r>
        <w:rPr>
          <w:color w:val="231F20"/>
          <w:spacing w:val="-11"/>
        </w:rPr>
        <w:t> </w:t>
      </w:r>
      <w:r>
        <w:rPr>
          <w:color w:val="231F20"/>
        </w:rPr>
        <w:t>social.</w:t>
      </w:r>
    </w:p>
    <w:p>
      <w:pPr>
        <w:pStyle w:val="Heading4"/>
      </w:pPr>
      <w:r>
        <w:rPr>
          <w:w w:val="75"/>
        </w:rPr>
        <w:t>Flexibilidades, rigideces y precariedades de la relación laboral</w:t>
      </w:r>
    </w:p>
    <w:p>
      <w:pPr>
        <w:pStyle w:val="BodyText"/>
        <w:spacing w:line="249" w:lineRule="auto" w:before="171"/>
        <w:ind w:left="113" w:right="108"/>
        <w:jc w:val="both"/>
      </w:pPr>
      <w:r>
        <w:rPr>
          <w:color w:val="231F20"/>
        </w:rPr>
        <w:t>El debate público sobre la flexibilidad laboral se ve dificultado por la falta de claridad de las definiciones que dan lugar a consecuencias dife- rentes según los aspectos que se consideren al analizar el fenómeno. Por ello</w:t>
      </w:r>
      <w:r>
        <w:rPr>
          <w:color w:val="231F20"/>
          <w:spacing w:val="-8"/>
        </w:rPr>
        <w:t> </w:t>
      </w:r>
      <w:r>
        <w:rPr>
          <w:color w:val="231F20"/>
        </w:rPr>
        <w:t>es</w:t>
      </w:r>
      <w:r>
        <w:rPr>
          <w:color w:val="231F20"/>
          <w:spacing w:val="-8"/>
        </w:rPr>
        <w:t> </w:t>
      </w:r>
      <w:r>
        <w:rPr>
          <w:color w:val="231F20"/>
        </w:rPr>
        <w:t>necesario</w:t>
      </w:r>
      <w:r>
        <w:rPr>
          <w:color w:val="231F20"/>
          <w:spacing w:val="-8"/>
        </w:rPr>
        <w:t> </w:t>
      </w:r>
      <w:r>
        <w:rPr>
          <w:color w:val="231F20"/>
        </w:rPr>
        <w:t>analizar</w:t>
      </w:r>
      <w:r>
        <w:rPr>
          <w:color w:val="231F20"/>
          <w:spacing w:val="-8"/>
        </w:rPr>
        <w:t> </w:t>
      </w:r>
      <w:r>
        <w:rPr>
          <w:color w:val="231F20"/>
        </w:rPr>
        <w:t>la</w:t>
      </w:r>
      <w:r>
        <w:rPr>
          <w:color w:val="231F20"/>
          <w:spacing w:val="-8"/>
        </w:rPr>
        <w:t> </w:t>
      </w:r>
      <w:r>
        <w:rPr>
          <w:color w:val="231F20"/>
        </w:rPr>
        <w:t>flexibilidad</w:t>
      </w:r>
      <w:r>
        <w:rPr>
          <w:color w:val="231F20"/>
          <w:spacing w:val="-8"/>
        </w:rPr>
        <w:t> </w:t>
      </w:r>
      <w:r>
        <w:rPr>
          <w:color w:val="231F20"/>
        </w:rPr>
        <w:t>laboral</w:t>
      </w:r>
      <w:r>
        <w:rPr>
          <w:color w:val="231F20"/>
          <w:spacing w:val="-8"/>
        </w:rPr>
        <w:t> </w:t>
      </w:r>
      <w:r>
        <w:rPr>
          <w:color w:val="231F20"/>
        </w:rPr>
        <w:t>en</w:t>
      </w:r>
      <w:r>
        <w:rPr>
          <w:color w:val="231F20"/>
          <w:spacing w:val="-8"/>
        </w:rPr>
        <w:t> </w:t>
      </w:r>
      <w:r>
        <w:rPr>
          <w:color w:val="231F20"/>
        </w:rPr>
        <w:t>sus</w:t>
      </w:r>
      <w:r>
        <w:rPr>
          <w:color w:val="231F20"/>
          <w:spacing w:val="-8"/>
        </w:rPr>
        <w:t> </w:t>
      </w:r>
      <w:r>
        <w:rPr>
          <w:color w:val="231F20"/>
        </w:rPr>
        <w:t>diversas</w:t>
      </w:r>
      <w:r>
        <w:rPr>
          <w:color w:val="231F20"/>
          <w:spacing w:val="-8"/>
        </w:rPr>
        <w:t> </w:t>
      </w:r>
      <w:r>
        <w:rPr>
          <w:color w:val="231F20"/>
        </w:rPr>
        <w:t>definicio- nes y aspectos involucrados para entender mejor el problema al que se enfrentan los actores</w:t>
      </w:r>
      <w:r>
        <w:rPr>
          <w:color w:val="231F20"/>
          <w:spacing w:val="-3"/>
        </w:rPr>
        <w:t> </w:t>
      </w:r>
      <w:r>
        <w:rPr>
          <w:color w:val="231F20"/>
        </w:rPr>
        <w:t>laborales.</w:t>
      </w:r>
    </w:p>
    <w:p>
      <w:pPr>
        <w:pStyle w:val="BodyText"/>
        <w:spacing w:line="249" w:lineRule="auto" w:before="1"/>
        <w:ind w:left="113" w:right="107" w:firstLine="283"/>
        <w:jc w:val="both"/>
      </w:pPr>
      <w:r>
        <w:rPr>
          <w:color w:val="231F20"/>
        </w:rPr>
        <w:t>Aunque</w:t>
      </w:r>
      <w:r>
        <w:rPr>
          <w:color w:val="231F20"/>
          <w:spacing w:val="-13"/>
        </w:rPr>
        <w:t> </w:t>
      </w:r>
      <w:r>
        <w:rPr>
          <w:color w:val="231F20"/>
        </w:rPr>
        <w:t>las</w:t>
      </w:r>
      <w:r>
        <w:rPr>
          <w:color w:val="231F20"/>
          <w:spacing w:val="-13"/>
        </w:rPr>
        <w:t> </w:t>
      </w:r>
      <w:r>
        <w:rPr>
          <w:color w:val="231F20"/>
        </w:rPr>
        <w:t>clasificaciones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flexibilidad</w:t>
      </w:r>
      <w:r>
        <w:rPr>
          <w:color w:val="231F20"/>
          <w:spacing w:val="-13"/>
        </w:rPr>
        <w:t> </w:t>
      </w:r>
      <w:r>
        <w:rPr>
          <w:color w:val="231F20"/>
        </w:rPr>
        <w:t>laboral</w:t>
      </w:r>
      <w:r>
        <w:rPr>
          <w:color w:val="231F20"/>
          <w:spacing w:val="-13"/>
        </w:rPr>
        <w:t> </w:t>
      </w:r>
      <w:r>
        <w:rPr>
          <w:color w:val="231F20"/>
        </w:rPr>
        <w:t>varían</w:t>
      </w:r>
      <w:r>
        <w:rPr>
          <w:color w:val="231F20"/>
          <w:spacing w:val="-13"/>
        </w:rPr>
        <w:t> </w:t>
      </w:r>
      <w:r>
        <w:rPr>
          <w:color w:val="231F20"/>
        </w:rPr>
        <w:t>entre</w:t>
      </w:r>
      <w:r>
        <w:rPr>
          <w:color w:val="231F20"/>
          <w:spacing w:val="-13"/>
        </w:rPr>
        <w:t> </w:t>
      </w:r>
      <w:r>
        <w:rPr>
          <w:color w:val="231F20"/>
        </w:rPr>
        <w:t>auto- res, hay coincidencia en distinguir las que producen cambios en las for- mas</w:t>
      </w:r>
      <w:r>
        <w:rPr>
          <w:color w:val="231F20"/>
          <w:spacing w:val="-11"/>
        </w:rPr>
        <w:t> </w:t>
      </w:r>
      <w:r>
        <w:rPr>
          <w:color w:val="231F20"/>
        </w:rPr>
        <w:t>de</w:t>
      </w:r>
      <w:r>
        <w:rPr>
          <w:color w:val="231F20"/>
          <w:spacing w:val="-11"/>
        </w:rPr>
        <w:t> </w:t>
      </w:r>
      <w:r>
        <w:rPr>
          <w:color w:val="231F20"/>
        </w:rPr>
        <w:t>contratación</w:t>
      </w:r>
      <w:r>
        <w:rPr>
          <w:color w:val="231F20"/>
          <w:spacing w:val="-12"/>
        </w:rPr>
        <w:t> </w:t>
      </w:r>
      <w:r>
        <w:rPr>
          <w:color w:val="231F20"/>
        </w:rPr>
        <w:t>e</w:t>
      </w:r>
      <w:r>
        <w:rPr>
          <w:color w:val="231F20"/>
          <w:spacing w:val="-11"/>
        </w:rPr>
        <w:t> </w:t>
      </w:r>
      <w:r>
        <w:rPr>
          <w:color w:val="231F20"/>
        </w:rPr>
        <w:t>impactan</w:t>
      </w:r>
      <w:r>
        <w:rPr>
          <w:color w:val="231F20"/>
          <w:spacing w:val="-11"/>
        </w:rPr>
        <w:t> </w:t>
      </w:r>
      <w:r>
        <w:rPr>
          <w:color w:val="231F20"/>
        </w:rPr>
        <w:t>el</w:t>
      </w:r>
      <w:r>
        <w:rPr>
          <w:color w:val="231F20"/>
          <w:spacing w:val="-11"/>
        </w:rPr>
        <w:t> </w:t>
      </w:r>
      <w:r>
        <w:rPr>
          <w:color w:val="231F20"/>
        </w:rPr>
        <w:t>mercado</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de</w:t>
      </w:r>
      <w:r>
        <w:rPr>
          <w:color w:val="231F20"/>
          <w:spacing w:val="-11"/>
        </w:rPr>
        <w:t> </w:t>
      </w:r>
      <w:r>
        <w:rPr>
          <w:color w:val="231F20"/>
        </w:rPr>
        <w:t>aquellas</w:t>
      </w:r>
      <w:r>
        <w:rPr>
          <w:color w:val="231F20"/>
          <w:spacing w:val="-11"/>
        </w:rPr>
        <w:t> </w:t>
      </w:r>
      <w:r>
        <w:rPr>
          <w:color w:val="231F20"/>
        </w:rPr>
        <w:t>formas que afectan el proceso de trabajo mismo, una vez que el/la trabajador/a está contratado/a y moviliza su fuerza de trabajo en los procesos de pro- ducción de bienes y servicios.</w:t>
      </w:r>
      <w:r>
        <w:rPr>
          <w:color w:val="231F20"/>
          <w:position w:val="7"/>
          <w:sz w:val="11"/>
        </w:rPr>
        <w:t>1 </w:t>
      </w:r>
      <w:r>
        <w:rPr>
          <w:color w:val="231F20"/>
        </w:rPr>
        <w:t>A las primeras se las incluye en la de- nominación</w:t>
      </w:r>
      <w:r>
        <w:rPr>
          <w:color w:val="231F20"/>
          <w:spacing w:val="-8"/>
        </w:rPr>
        <w:t> </w:t>
      </w:r>
      <w:r>
        <w:rPr>
          <w:color w:val="231F20"/>
        </w:rPr>
        <w:t>de</w:t>
      </w:r>
      <w:r>
        <w:rPr>
          <w:color w:val="231F20"/>
          <w:spacing w:val="-8"/>
        </w:rPr>
        <w:t> </w:t>
      </w:r>
      <w:r>
        <w:rPr>
          <w:color w:val="231F20"/>
        </w:rPr>
        <w:t>flexibilidad</w:t>
      </w:r>
      <w:r>
        <w:rPr>
          <w:color w:val="231F20"/>
          <w:spacing w:val="-8"/>
        </w:rPr>
        <w:t> </w:t>
      </w:r>
      <w:r>
        <w:rPr>
          <w:color w:val="231F20"/>
        </w:rPr>
        <w:t>externa,</w:t>
      </w:r>
      <w:r>
        <w:rPr>
          <w:color w:val="231F20"/>
          <w:spacing w:val="-8"/>
        </w:rPr>
        <w:t> </w:t>
      </w:r>
      <w:r>
        <w:rPr>
          <w:color w:val="231F20"/>
        </w:rPr>
        <w:t>y</w:t>
      </w:r>
      <w:r>
        <w:rPr>
          <w:color w:val="231F20"/>
          <w:spacing w:val="-8"/>
        </w:rPr>
        <w:t> </w:t>
      </w:r>
      <w:r>
        <w:rPr>
          <w:color w:val="231F20"/>
        </w:rPr>
        <w:t>pueden</w:t>
      </w:r>
      <w:r>
        <w:rPr>
          <w:color w:val="231F20"/>
          <w:spacing w:val="-8"/>
        </w:rPr>
        <w:t> </w:t>
      </w:r>
      <w:r>
        <w:rPr>
          <w:color w:val="231F20"/>
        </w:rPr>
        <w:t>tomar</w:t>
      </w:r>
      <w:r>
        <w:rPr>
          <w:color w:val="231F20"/>
          <w:spacing w:val="-8"/>
        </w:rPr>
        <w:t> </w:t>
      </w:r>
      <w:r>
        <w:rPr>
          <w:color w:val="231F20"/>
        </w:rPr>
        <w:t>tanto</w:t>
      </w:r>
      <w:r>
        <w:rPr>
          <w:color w:val="231F20"/>
          <w:spacing w:val="-8"/>
        </w:rPr>
        <w:t> </w:t>
      </w:r>
      <w:r>
        <w:rPr>
          <w:color w:val="231F20"/>
        </w:rPr>
        <w:t>la</w:t>
      </w:r>
      <w:r>
        <w:rPr>
          <w:color w:val="231F20"/>
          <w:spacing w:val="-8"/>
        </w:rPr>
        <w:t> </w:t>
      </w:r>
      <w:r>
        <w:rPr>
          <w:color w:val="231F20"/>
        </w:rPr>
        <w:t>vertiente</w:t>
      </w:r>
      <w:r>
        <w:rPr>
          <w:color w:val="231F20"/>
          <w:spacing w:val="-8"/>
        </w:rPr>
        <w:t> </w:t>
      </w:r>
      <w:r>
        <w:rPr>
          <w:color w:val="231F20"/>
        </w:rPr>
        <w:t>nu- mérica —variando el volumen de trabajo a través de despidos, contratos a plazo fijo, temporales y eventuales— como la vertiente funcional, que implica externa-lización y subcontratación de actividades. A las que af- ectan</w:t>
      </w:r>
      <w:r>
        <w:rPr>
          <w:color w:val="231F20"/>
          <w:spacing w:val="-10"/>
        </w:rPr>
        <w:t> </w:t>
      </w:r>
      <w:r>
        <w:rPr>
          <w:color w:val="231F20"/>
        </w:rPr>
        <w:t>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se</w:t>
      </w:r>
      <w:r>
        <w:rPr>
          <w:color w:val="231F20"/>
          <w:spacing w:val="-10"/>
        </w:rPr>
        <w:t> </w:t>
      </w:r>
      <w:r>
        <w:rPr>
          <w:color w:val="231F20"/>
        </w:rPr>
        <w:t>las</w:t>
      </w:r>
      <w:r>
        <w:rPr>
          <w:color w:val="231F20"/>
          <w:spacing w:val="-10"/>
        </w:rPr>
        <w:t> </w:t>
      </w:r>
      <w:r>
        <w:rPr>
          <w:color w:val="231F20"/>
        </w:rPr>
        <w:t>denomina</w:t>
      </w:r>
      <w:r>
        <w:rPr>
          <w:color w:val="231F20"/>
          <w:spacing w:val="-10"/>
        </w:rPr>
        <w:t> </w:t>
      </w:r>
      <w:r>
        <w:rPr>
          <w:color w:val="231F20"/>
        </w:rPr>
        <w:t>flexibilidad</w:t>
      </w:r>
      <w:r>
        <w:rPr>
          <w:color w:val="231F20"/>
          <w:spacing w:val="-10"/>
        </w:rPr>
        <w:t> </w:t>
      </w:r>
      <w:r>
        <w:rPr>
          <w:color w:val="231F20"/>
        </w:rPr>
        <w:t>interna,</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su vertiente</w:t>
      </w:r>
      <w:r>
        <w:rPr>
          <w:color w:val="231F20"/>
          <w:spacing w:val="-8"/>
        </w:rPr>
        <w:t> </w:t>
      </w:r>
      <w:r>
        <w:rPr>
          <w:color w:val="231F20"/>
        </w:rPr>
        <w:t>numérica</w:t>
      </w:r>
      <w:r>
        <w:rPr>
          <w:color w:val="231F20"/>
          <w:spacing w:val="-9"/>
        </w:rPr>
        <w:t> </w:t>
      </w:r>
      <w:r>
        <w:rPr>
          <w:color w:val="231F20"/>
        </w:rPr>
        <w:t>implica</w:t>
      </w:r>
      <w:r>
        <w:rPr>
          <w:color w:val="231F20"/>
          <w:spacing w:val="-9"/>
        </w:rPr>
        <w:t> </w:t>
      </w:r>
      <w:r>
        <w:rPr>
          <w:color w:val="231F20"/>
        </w:rPr>
        <w:t>cambios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jornada</w:t>
      </w:r>
      <w:r>
        <w:rPr>
          <w:color w:val="231F20"/>
          <w:spacing w:val="-9"/>
        </w:rPr>
        <w:t> </w:t>
      </w:r>
      <w:r>
        <w:rPr>
          <w:color w:val="231F20"/>
        </w:rPr>
        <w:t>laboral</w:t>
      </w:r>
      <w:r>
        <w:rPr>
          <w:color w:val="231F20"/>
          <w:spacing w:val="-9"/>
        </w:rPr>
        <w:t> </w:t>
      </w:r>
      <w:r>
        <w:rPr>
          <w:color w:val="231F20"/>
        </w:rPr>
        <w:t>e</w:t>
      </w:r>
      <w:r>
        <w:rPr>
          <w:color w:val="231F20"/>
          <w:spacing w:val="-8"/>
        </w:rPr>
        <w:t> </w:t>
      </w:r>
      <w:r>
        <w:rPr>
          <w:color w:val="231F20"/>
        </w:rPr>
        <w:t>intensidad</w:t>
      </w:r>
      <w:r>
        <w:rPr>
          <w:color w:val="231F20"/>
          <w:spacing w:val="-9"/>
        </w:rPr>
        <w:t> </w:t>
      </w:r>
      <w:r>
        <w:rPr>
          <w:color w:val="231F20"/>
        </w:rPr>
        <w:t>del trabajo, mientras que la vertiente funcional implica generar polivalencia laboral, calificación del personal, trabajo en equipo, salario variable,</w:t>
      </w:r>
      <w:r>
        <w:rPr>
          <w:color w:val="231F20"/>
          <w:spacing w:val="-30"/>
        </w:rPr>
        <w:t> </w:t>
      </w:r>
      <w:r>
        <w:rPr>
          <w:color w:val="231F20"/>
        </w:rPr>
        <w:t>etc. </w:t>
      </w:r>
      <w:r>
        <w:rPr>
          <w:color w:val="231F20"/>
          <w:spacing w:val="-3"/>
        </w:rPr>
        <w:t>(Yañez, </w:t>
      </w:r>
      <w:r>
        <w:rPr>
          <w:color w:val="231F20"/>
        </w:rPr>
        <w:t>2004). El Cuadro 1 muestra las distinciones con más</w:t>
      </w:r>
      <w:r>
        <w:rPr>
          <w:color w:val="231F20"/>
          <w:spacing w:val="-2"/>
        </w:rPr>
        <w:t> </w:t>
      </w:r>
      <w:r>
        <w:rPr>
          <w:color w:val="231F20"/>
        </w:rPr>
        <w:t>claridad:</w:t>
      </w:r>
    </w:p>
    <w:p>
      <w:pPr>
        <w:spacing w:before="154"/>
        <w:ind w:left="202" w:right="0" w:firstLine="0"/>
        <w:jc w:val="both"/>
        <w:rPr>
          <w:sz w:val="19"/>
        </w:rPr>
      </w:pPr>
      <w:r>
        <w:rPr/>
        <w:pict>
          <v:group style="position:absolute;margin-left:57.299pt;margin-top:21.119238pt;width:287.55pt;height:.5pt;mso-position-horizontal-relative:page;mso-position-vertical-relative:paragraph;z-index:7768;mso-wrap-distance-left:0;mso-wrap-distance-right:0" coordorigin="1146,422" coordsize="5751,10">
            <v:line style="position:absolute" from="1151,427" to="2442,427" stroked="true" strokeweight=".48pt" strokecolor="#000000"/>
            <v:line style="position:absolute" from="2442,427" to="2452,427" stroked="true" strokeweight=".48pt" strokecolor="#000000"/>
            <v:line style="position:absolute" from="2452,427" to="4765,427" stroked="true" strokeweight=".48pt" strokecolor="#000000"/>
            <v:line style="position:absolute" from="4765,427" to="4775,427" stroked="true" strokeweight=".48pt" strokecolor="#000000"/>
            <v:line style="position:absolute" from="4775,427" to="6892,427" stroked="true" strokeweight=".48pt" strokecolor="#000000"/>
            <w10:wrap type="topAndBottom"/>
          </v:group>
        </w:pict>
      </w:r>
      <w:r>
        <w:rPr/>
        <w:pict>
          <v:shape style="position:absolute;margin-left:57.549pt;margin-top:35.528736pt;width:287.05pt;height:.1pt;mso-position-horizontal-relative:page;mso-position-vertical-relative:paragraph;z-index:7816" coordorigin="1151,711" coordsize="5741,0" path="m1151,711l2442,711m2442,711l2452,711m2452,711l4765,711m4765,711l4775,711m4775,711l6892,711e" filled="false" stroked="true" strokeweight=".481pt" strokecolor="#000000">
            <v:path arrowok="t"/>
            <w10:wrap type="none"/>
          </v:shape>
        </w:pict>
      </w:r>
      <w:r>
        <w:rPr>
          <w:w w:val="105"/>
          <w:sz w:val="19"/>
        </w:rPr>
        <w:t>Cuadro 1</w:t>
      </w:r>
    </w:p>
    <w:p>
      <w:pPr>
        <w:tabs>
          <w:tab w:pos="2192" w:val="left" w:leader="none"/>
          <w:tab w:pos="4410" w:val="left" w:leader="none"/>
        </w:tabs>
        <w:spacing w:before="0"/>
        <w:ind w:left="202" w:right="0" w:firstLine="0"/>
        <w:jc w:val="both"/>
        <w:rPr>
          <w:sz w:val="19"/>
        </w:rPr>
      </w:pPr>
      <w:r>
        <w:rPr>
          <w:w w:val="105"/>
          <w:sz w:val="19"/>
        </w:rPr>
        <w:t>Flexibilidad</w:t>
        <w:tab/>
        <w:t>Numérica</w:t>
        <w:tab/>
        <w:t>Funcional</w:t>
      </w:r>
    </w:p>
    <w:p>
      <w:pPr>
        <w:spacing w:after="0"/>
        <w:jc w:val="both"/>
        <w:rPr>
          <w:sz w:val="19"/>
        </w:rPr>
        <w:sectPr>
          <w:footerReference w:type="default" r:id="rId234"/>
          <w:pgSz w:w="7770" w:h="11740"/>
          <w:pgMar w:footer="474" w:header="0" w:top="840" w:bottom="660" w:left="1020" w:right="740"/>
          <w:pgNumType w:start="187"/>
        </w:sectPr>
      </w:pPr>
    </w:p>
    <w:p>
      <w:pPr>
        <w:pStyle w:val="BodyText"/>
        <w:spacing w:before="7"/>
        <w:rPr>
          <w:sz w:val="25"/>
        </w:rPr>
      </w:pPr>
    </w:p>
    <w:p>
      <w:pPr>
        <w:spacing w:before="0"/>
        <w:ind w:left="202" w:right="-17" w:firstLine="0"/>
        <w:jc w:val="left"/>
        <w:rPr>
          <w:sz w:val="19"/>
        </w:rPr>
      </w:pPr>
      <w:r>
        <w:rPr>
          <w:w w:val="105"/>
          <w:sz w:val="19"/>
        </w:rPr>
        <w:t>Externa</w:t>
      </w:r>
    </w:p>
    <w:p>
      <w:pPr>
        <w:pStyle w:val="BodyText"/>
      </w:pPr>
    </w:p>
    <w:p>
      <w:pPr>
        <w:pStyle w:val="BodyText"/>
        <w:spacing w:before="1"/>
        <w:rPr>
          <w:sz w:val="21"/>
        </w:rPr>
      </w:pPr>
    </w:p>
    <w:p>
      <w:pPr>
        <w:spacing w:before="0"/>
        <w:ind w:left="202" w:right="-17" w:firstLine="0"/>
        <w:jc w:val="left"/>
        <w:rPr>
          <w:sz w:val="19"/>
        </w:rPr>
      </w:pPr>
      <w:r>
        <w:rPr>
          <w:w w:val="105"/>
          <w:sz w:val="19"/>
        </w:rPr>
        <w:t>Interna</w:t>
      </w:r>
    </w:p>
    <w:p>
      <w:pPr>
        <w:spacing w:line="252" w:lineRule="auto" w:before="69"/>
        <w:ind w:left="202" w:right="-16" w:firstLine="0"/>
        <w:jc w:val="left"/>
        <w:rPr>
          <w:sz w:val="19"/>
        </w:rPr>
      </w:pPr>
      <w:r>
        <w:rPr/>
        <w:br w:type="column"/>
      </w:r>
      <w:r>
        <w:rPr>
          <w:w w:val="105"/>
          <w:sz w:val="19"/>
        </w:rPr>
        <w:t>Afecta número de ocupados/as (despidos, trabajo temporal, etc.) Variaciones en jornada laboral e intensidad del trabajo</w:t>
      </w:r>
    </w:p>
    <w:p>
      <w:pPr>
        <w:spacing w:line="249" w:lineRule="auto" w:before="69"/>
        <w:ind w:left="203" w:right="670" w:firstLine="0"/>
        <w:jc w:val="left"/>
        <w:rPr>
          <w:sz w:val="19"/>
        </w:rPr>
      </w:pPr>
      <w:r>
        <w:rPr/>
        <w:br w:type="column"/>
      </w:r>
      <w:r>
        <w:rPr>
          <w:w w:val="105"/>
          <w:sz w:val="19"/>
        </w:rPr>
        <w:t>Externalización y subcontratación de actividades</w:t>
      </w:r>
    </w:p>
    <w:p>
      <w:pPr>
        <w:spacing w:line="252" w:lineRule="auto" w:before="3"/>
        <w:ind w:left="202" w:right="256" w:firstLine="0"/>
        <w:jc w:val="left"/>
        <w:rPr>
          <w:sz w:val="19"/>
        </w:rPr>
      </w:pPr>
      <w:r>
        <w:rPr>
          <w:w w:val="105"/>
          <w:sz w:val="19"/>
        </w:rPr>
        <w:t>Cambios en la calidad o características del trabajo</w:t>
      </w:r>
    </w:p>
    <w:p>
      <w:pPr>
        <w:spacing w:after="0" w:line="252" w:lineRule="auto"/>
        <w:jc w:val="left"/>
        <w:rPr>
          <w:sz w:val="19"/>
        </w:rPr>
        <w:sectPr>
          <w:type w:val="continuous"/>
          <w:pgSz w:w="7770" w:h="11740"/>
          <w:pgMar w:top="0" w:bottom="0" w:left="1020" w:right="740"/>
          <w:cols w:num="3" w:equalWidth="0">
            <w:col w:w="826" w:space="466"/>
            <w:col w:w="2062" w:space="261"/>
            <w:col w:w="2395"/>
          </w:cols>
        </w:sectPr>
      </w:pPr>
    </w:p>
    <w:p>
      <w:pPr>
        <w:pStyle w:val="BodyText"/>
        <w:spacing w:line="20" w:lineRule="exact"/>
        <w:ind w:left="126"/>
        <w:rPr>
          <w:sz w:val="2"/>
        </w:rPr>
      </w:pPr>
      <w:r>
        <w:rPr>
          <w:sz w:val="2"/>
        </w:rPr>
        <w:pict>
          <v:group style="width:287.55pt;height:.5pt;mso-position-horizontal-relative:char;mso-position-vertical-relative:line" coordorigin="0,0" coordsize="5751,10">
            <v:line style="position:absolute" from="5,5" to="1296,5" stroked="true" strokeweight=".48pt" strokecolor="#000000"/>
            <v:line style="position:absolute" from="1296,5" to="1306,5" stroked="true" strokeweight=".48pt" strokecolor="#000000"/>
            <v:line style="position:absolute" from="1306,5" to="3619,5" stroked="true" strokeweight=".48pt" strokecolor="#000000"/>
            <v:line style="position:absolute" from="3619,5" to="3629,5" stroked="true" strokeweight=".48pt" strokecolor="#000000"/>
            <v:line style="position:absolute" from="3629,5" to="5746,5" stroked="true" strokeweight=".48pt" strokecolor="#000000"/>
          </v:group>
        </w:pict>
      </w:r>
      <w:r>
        <w:rPr>
          <w:sz w:val="2"/>
        </w:rPr>
      </w:r>
    </w:p>
    <w:p>
      <w:pPr>
        <w:spacing w:before="0"/>
        <w:ind w:left="202" w:right="792" w:firstLine="0"/>
        <w:jc w:val="left"/>
        <w:rPr>
          <w:sz w:val="16"/>
        </w:rPr>
      </w:pPr>
      <w:r>
        <w:rPr>
          <w:sz w:val="16"/>
        </w:rPr>
        <w:t>Fuente: elaboración de la autora.</w:t>
      </w:r>
    </w:p>
    <w:p>
      <w:pPr>
        <w:spacing w:before="125"/>
        <w:ind w:left="113" w:right="108" w:firstLine="0"/>
        <w:jc w:val="both"/>
        <w:rPr>
          <w:sz w:val="14"/>
        </w:rPr>
      </w:pPr>
      <w:r>
        <w:rPr>
          <w:color w:val="231F20"/>
          <w:position w:val="5"/>
          <w:sz w:val="8"/>
        </w:rPr>
        <w:t>1 </w:t>
      </w:r>
      <w:r>
        <w:rPr>
          <w:color w:val="231F20"/>
          <w:sz w:val="14"/>
        </w:rPr>
        <w:t>Estas distinciones nos llevan a no usar el término flexibilidad del mercado laboral como genérico para la flexibilidad del trabajo remunerado, dado que quedaría restringida a la flexibilidad externa. Por ello usamos el término más amplio de flexibilidad laboral.</w:t>
      </w:r>
    </w:p>
    <w:p>
      <w:pPr>
        <w:spacing w:after="0"/>
        <w:jc w:val="both"/>
        <w:rPr>
          <w:sz w:val="14"/>
        </w:rPr>
        <w:sectPr>
          <w:type w:val="continuous"/>
          <w:pgSz w:w="7770" w:h="11740"/>
          <w:pgMar w:top="0" w:bottom="0" w:left="1020" w:right="740"/>
        </w:sectPr>
      </w:pPr>
    </w:p>
    <w:p>
      <w:pPr>
        <w:pStyle w:val="BodyText"/>
        <w:spacing w:line="249" w:lineRule="auto" w:before="60"/>
        <w:ind w:left="110" w:right="111" w:firstLine="283"/>
        <w:jc w:val="both"/>
      </w:pPr>
      <w:r>
        <w:rPr>
          <w:color w:val="231F20"/>
        </w:rPr>
        <w:t>Para ampliar el análisis de la flexibilidad laboral que la ubica como precariedad</w:t>
      </w:r>
      <w:r>
        <w:rPr>
          <w:color w:val="231F20"/>
          <w:spacing w:val="-17"/>
        </w:rPr>
        <w:t> </w:t>
      </w:r>
      <w:r>
        <w:rPr>
          <w:color w:val="231F20"/>
        </w:rPr>
        <w:t>o,</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contrario,</w:t>
      </w:r>
      <w:r>
        <w:rPr>
          <w:color w:val="231F20"/>
          <w:spacing w:val="-17"/>
        </w:rPr>
        <w:t> </w:t>
      </w:r>
      <w:r>
        <w:rPr>
          <w:color w:val="231F20"/>
        </w:rPr>
        <w:t>como</w:t>
      </w:r>
      <w:r>
        <w:rPr>
          <w:color w:val="231F20"/>
          <w:spacing w:val="-17"/>
        </w:rPr>
        <w:t> </w:t>
      </w:r>
      <w:r>
        <w:rPr>
          <w:color w:val="231F20"/>
        </w:rPr>
        <w:t>ampliación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autodeterminación, resulta importante tratar de distinguir entre formas de flexibilidad que</w:t>
      </w:r>
      <w:r>
        <w:rPr>
          <w:color w:val="231F20"/>
          <w:spacing w:val="-21"/>
        </w:rPr>
        <w:t> </w:t>
      </w:r>
      <w:r>
        <w:rPr>
          <w:color w:val="231F20"/>
        </w:rPr>
        <w:t>se basan fundamentalmente en la reducción de costos, en contraposición a otras en que se persigue aumentar la</w:t>
      </w:r>
      <w:r>
        <w:rPr>
          <w:color w:val="231F20"/>
          <w:spacing w:val="-4"/>
        </w:rPr>
        <w:t> </w:t>
      </w:r>
      <w:r>
        <w:rPr>
          <w:color w:val="231F20"/>
        </w:rPr>
        <w:t>productividad.</w:t>
      </w:r>
    </w:p>
    <w:p>
      <w:pPr>
        <w:pStyle w:val="BodyText"/>
        <w:spacing w:line="249" w:lineRule="auto" w:before="1"/>
        <w:ind w:left="110" w:right="111" w:firstLine="283"/>
        <w:jc w:val="both"/>
      </w:pPr>
      <w:r>
        <w:rPr>
          <w:color w:val="231F20"/>
        </w:rPr>
        <w:t>Estas modalidades no se observan en forma pura. Entre las</w:t>
      </w:r>
      <w:r>
        <w:rPr>
          <w:color w:val="231F20"/>
          <w:spacing w:val="-22"/>
        </w:rPr>
        <w:t> </w:t>
      </w:r>
      <w:r>
        <w:rPr>
          <w:color w:val="231F20"/>
        </w:rPr>
        <w:t>pri-meras predomina la flexibilidad externa, en especial la numérica, a través de contrataciones que restringen la protección frente al despido y la esta- bilidad laboral en general. El debate actual se centraría entre los actores laborales</w:t>
      </w:r>
      <w:r>
        <w:rPr>
          <w:color w:val="231F20"/>
          <w:spacing w:val="-4"/>
        </w:rPr>
        <w:t> </w:t>
      </w:r>
      <w:r>
        <w:rPr>
          <w:color w:val="231F20"/>
        </w:rPr>
        <w:t>que</w:t>
      </w:r>
      <w:r>
        <w:rPr>
          <w:color w:val="231F20"/>
          <w:spacing w:val="-4"/>
        </w:rPr>
        <w:t> </w:t>
      </w:r>
      <w:r>
        <w:rPr>
          <w:color w:val="231F20"/>
        </w:rPr>
        <w:t>sitúan</w:t>
      </w:r>
      <w:r>
        <w:rPr>
          <w:color w:val="231F20"/>
          <w:spacing w:val="-4"/>
        </w:rPr>
        <w:t> </w:t>
      </w:r>
      <w:r>
        <w:rPr>
          <w:color w:val="231F20"/>
        </w:rPr>
        <w:t>este</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flexibilidad</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campo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derechos de protección al trabajo, y los empleadores, así como una importante corriente de economistas que postulan que la rigidez en las formas de contratación y los costos de despido, encarece la producción y conse- cuentemente</w:t>
      </w:r>
      <w:r>
        <w:rPr>
          <w:color w:val="231F20"/>
          <w:spacing w:val="-8"/>
        </w:rPr>
        <w:t> </w:t>
      </w:r>
      <w:r>
        <w:rPr>
          <w:color w:val="231F20"/>
        </w:rPr>
        <w:t>entorpecen</w:t>
      </w:r>
      <w:r>
        <w:rPr>
          <w:color w:val="231F20"/>
          <w:spacing w:val="-8"/>
        </w:rPr>
        <w:t> </w:t>
      </w:r>
      <w:r>
        <w:rPr>
          <w:color w:val="231F20"/>
        </w:rPr>
        <w:t>la</w:t>
      </w:r>
      <w:r>
        <w:rPr>
          <w:color w:val="231F20"/>
          <w:spacing w:val="-7"/>
        </w:rPr>
        <w:t> </w:t>
      </w:r>
      <w:r>
        <w:rPr>
          <w:color w:val="231F20"/>
        </w:rPr>
        <w:t>gene-ración</w:t>
      </w:r>
      <w:r>
        <w:rPr>
          <w:color w:val="231F20"/>
          <w:spacing w:val="-7"/>
        </w:rPr>
        <w:t> </w:t>
      </w:r>
      <w:r>
        <w:rPr>
          <w:color w:val="231F20"/>
        </w:rPr>
        <w:t>de</w:t>
      </w:r>
      <w:r>
        <w:rPr>
          <w:color w:val="231F20"/>
          <w:spacing w:val="-7"/>
        </w:rPr>
        <w:t> </w:t>
      </w:r>
      <w:r>
        <w:rPr>
          <w:color w:val="231F20"/>
        </w:rPr>
        <w:t>empleo</w:t>
      </w:r>
      <w:r>
        <w:rPr>
          <w:color w:val="231F20"/>
          <w:spacing w:val="-7"/>
        </w:rPr>
        <w:t> </w:t>
      </w:r>
      <w:r>
        <w:rPr>
          <w:color w:val="231F20"/>
        </w:rPr>
        <w:t>y</w:t>
      </w:r>
      <w:r>
        <w:rPr>
          <w:color w:val="231F20"/>
          <w:spacing w:val="-7"/>
        </w:rPr>
        <w:t> </w:t>
      </w:r>
      <w:r>
        <w:rPr>
          <w:color w:val="231F20"/>
        </w:rPr>
        <w:t>afectan</w:t>
      </w:r>
      <w:r>
        <w:rPr>
          <w:color w:val="231F20"/>
          <w:spacing w:val="-7"/>
        </w:rPr>
        <w:t> </w:t>
      </w:r>
      <w:r>
        <w:rPr>
          <w:color w:val="231F20"/>
        </w:rPr>
        <w:t>los</w:t>
      </w:r>
      <w:r>
        <w:rPr>
          <w:color w:val="231F20"/>
          <w:spacing w:val="-7"/>
        </w:rPr>
        <w:t> </w:t>
      </w:r>
      <w:r>
        <w:rPr>
          <w:color w:val="231F20"/>
        </w:rPr>
        <w:t>salarios.</w:t>
      </w:r>
      <w:r>
        <w:rPr>
          <w:color w:val="231F20"/>
          <w:position w:val="7"/>
          <w:sz w:val="11"/>
        </w:rPr>
        <w:t>2 </w:t>
      </w:r>
      <w:r>
        <w:rPr>
          <w:color w:val="231F20"/>
        </w:rPr>
        <w:t>La normativa de protección a la maternidad que además de las licencias protege la estabilidad laboral de las madres, son frecuentemente men- cionadas como causantes de menor empleabilidad y justificativas de condiciones desiguales de trabajo para las mujeres. No necesariamente se niega la validez de cierta protección a la maternidad pero los costos de ella son asignados a las madres, incluyendo las propuestas de</w:t>
      </w:r>
      <w:r>
        <w:rPr>
          <w:color w:val="231F20"/>
          <w:spacing w:val="-28"/>
        </w:rPr>
        <w:t> </w:t>
      </w:r>
      <w:r>
        <w:rPr>
          <w:color w:val="231F20"/>
        </w:rPr>
        <w:t>concili- ación “empleo-cuidado” centrado exclusivamente en las mujeres, que se constituyen en otras modalidades de flexibilidad laboral. De esta</w:t>
      </w:r>
      <w:r>
        <w:rPr>
          <w:color w:val="231F20"/>
          <w:spacing w:val="-29"/>
        </w:rPr>
        <w:t> </w:t>
      </w:r>
      <w:r>
        <w:rPr>
          <w:color w:val="231F20"/>
        </w:rPr>
        <w:t>manera se produce y reproduce la imagen de las mujeres como trabajadoras se- cundarias</w:t>
      </w:r>
      <w:r>
        <w:rPr>
          <w:color w:val="231F20"/>
          <w:spacing w:val="-7"/>
        </w:rPr>
        <w:t> </w:t>
      </w:r>
      <w:r>
        <w:rPr>
          <w:color w:val="231F20"/>
        </w:rPr>
        <w:t>y</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hombres</w:t>
      </w:r>
      <w:r>
        <w:rPr>
          <w:color w:val="231F20"/>
          <w:spacing w:val="-6"/>
        </w:rPr>
        <w:t> </w:t>
      </w:r>
      <w:r>
        <w:rPr>
          <w:color w:val="231F20"/>
        </w:rPr>
        <w:t>como</w:t>
      </w:r>
      <w:r>
        <w:rPr>
          <w:color w:val="231F20"/>
          <w:spacing w:val="-6"/>
        </w:rPr>
        <w:t> </w:t>
      </w:r>
      <w:r>
        <w:rPr>
          <w:color w:val="231F20"/>
        </w:rPr>
        <w:t>exclusivamente</w:t>
      </w:r>
      <w:r>
        <w:rPr>
          <w:color w:val="231F20"/>
          <w:spacing w:val="-7"/>
        </w:rPr>
        <w:t> </w:t>
      </w:r>
      <w:r>
        <w:rPr>
          <w:color w:val="231F20"/>
        </w:rPr>
        <w:t>trabajadores</w:t>
      </w:r>
      <w:r>
        <w:rPr>
          <w:color w:val="231F20"/>
          <w:spacing w:val="-7"/>
        </w:rPr>
        <w:t> </w:t>
      </w:r>
      <w:r>
        <w:rPr>
          <w:color w:val="231F20"/>
        </w:rPr>
        <w:t>sin</w:t>
      </w:r>
      <w:r>
        <w:rPr>
          <w:color w:val="231F20"/>
          <w:spacing w:val="-6"/>
        </w:rPr>
        <w:t> </w:t>
      </w:r>
      <w:r>
        <w:rPr>
          <w:color w:val="231F20"/>
        </w:rPr>
        <w:t>respon- sabilidades ni derecho a</w:t>
      </w:r>
      <w:r>
        <w:rPr>
          <w:color w:val="231F20"/>
          <w:spacing w:val="-22"/>
        </w:rPr>
        <w:t> </w:t>
      </w:r>
      <w:r>
        <w:rPr>
          <w:color w:val="231F20"/>
        </w:rPr>
        <w:t>cuidar.</w:t>
      </w:r>
    </w:p>
    <w:p>
      <w:pPr>
        <w:pStyle w:val="BodyText"/>
        <w:spacing w:line="249" w:lineRule="auto" w:before="1"/>
        <w:ind w:left="110" w:right="111" w:firstLine="283"/>
        <w:jc w:val="both"/>
      </w:pPr>
      <w:r>
        <w:rPr>
          <w:color w:val="231F20"/>
        </w:rPr>
        <w:t>En el segundo grupo, en tanto, se encuentran empresas o partes de procesos productivos donde se enfatiza la aplicación de procesos y car- acterísticas</w:t>
      </w:r>
      <w:r>
        <w:rPr>
          <w:color w:val="231F20"/>
          <w:spacing w:val="-8"/>
        </w:rPr>
        <w:t> </w:t>
      </w:r>
      <w:r>
        <w:rPr>
          <w:color w:val="231F20"/>
        </w:rPr>
        <w:t>del</w:t>
      </w:r>
      <w:r>
        <w:rPr>
          <w:color w:val="231F20"/>
          <w:spacing w:val="-8"/>
        </w:rPr>
        <w:t> </w:t>
      </w:r>
      <w:r>
        <w:rPr>
          <w:color w:val="231F20"/>
        </w:rPr>
        <w:t>trabajo</w:t>
      </w:r>
      <w:r>
        <w:rPr>
          <w:color w:val="231F20"/>
          <w:spacing w:val="-8"/>
        </w:rPr>
        <w:t> </w:t>
      </w:r>
      <w:r>
        <w:rPr>
          <w:color w:val="231F20"/>
        </w:rPr>
        <w:t>que</w:t>
      </w:r>
      <w:r>
        <w:rPr>
          <w:color w:val="231F20"/>
          <w:spacing w:val="-8"/>
        </w:rPr>
        <w:t> </w:t>
      </w:r>
      <w:r>
        <w:rPr>
          <w:color w:val="231F20"/>
        </w:rPr>
        <w:t>inciden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productividad.</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flexibilidad interna funcional serían más frecuentes los casos de flexibilidad basada en la productividad sin que </w:t>
      </w:r>
      <w:r>
        <w:rPr>
          <w:b/>
          <w:color w:val="231F20"/>
        </w:rPr>
        <w:t>—</w:t>
      </w:r>
      <w:r>
        <w:rPr>
          <w:color w:val="231F20"/>
        </w:rPr>
        <w:t>necesariamente</w:t>
      </w:r>
      <w:r>
        <w:rPr>
          <w:b/>
          <w:color w:val="231F20"/>
        </w:rPr>
        <w:t>— </w:t>
      </w:r>
      <w:r>
        <w:rPr>
          <w:color w:val="231F20"/>
        </w:rPr>
        <w:t>impliquen disminución de la calidad del empleo. Un ámbito emblemático sería la capacitación</w:t>
      </w:r>
      <w:r>
        <w:rPr>
          <w:color w:val="231F20"/>
          <w:spacing w:val="-28"/>
        </w:rPr>
        <w:t> </w:t>
      </w:r>
      <w:r>
        <w:rPr>
          <w:color w:val="231F20"/>
        </w:rPr>
        <w:t>y mejoras en el proceso productivo que pueden involucrar inversiones de capital fijo o en tecnologías blandas de organización de la producción, ciertas formas de trabajo en equipo con calificaciones polivalentes que permitan reorganizar el trabajo frente a contingencias Por ejemplo, un trabajador o trabajadora podría atender asuntos personales o familiares sin afectar el proceso productivo o las condiciones de trabajo de manera permanente.</w:t>
      </w:r>
    </w:p>
    <w:p>
      <w:pPr>
        <w:pStyle w:val="BodyText"/>
        <w:spacing w:before="1"/>
        <w:ind w:left="393"/>
      </w:pPr>
      <w:r>
        <w:rPr>
          <w:color w:val="231F20"/>
        </w:rPr>
        <w:t>En la categoría de flexibilidad externa funcional se ubica la  subcon-</w:t>
      </w:r>
    </w:p>
    <w:p>
      <w:pPr>
        <w:pStyle w:val="BodyText"/>
        <w:spacing w:before="9"/>
        <w:rPr>
          <w:sz w:val="17"/>
        </w:rPr>
      </w:pPr>
    </w:p>
    <w:p>
      <w:pPr>
        <w:spacing w:before="0"/>
        <w:ind w:left="110" w:right="792" w:firstLine="0"/>
        <w:jc w:val="left"/>
        <w:rPr>
          <w:sz w:val="14"/>
        </w:rPr>
      </w:pPr>
      <w:r>
        <w:rPr>
          <w:color w:val="231F20"/>
          <w:position w:val="5"/>
          <w:sz w:val="8"/>
        </w:rPr>
        <w:t>2  </w:t>
      </w:r>
      <w:r>
        <w:rPr>
          <w:color w:val="231F20"/>
          <w:sz w:val="14"/>
        </w:rPr>
        <w:t>Ver, por ejemplo, James Heckman y Carmen Pagés (2000).</w:t>
      </w:r>
    </w:p>
    <w:p>
      <w:pPr>
        <w:spacing w:after="0"/>
        <w:jc w:val="left"/>
        <w:rPr>
          <w:sz w:val="14"/>
        </w:rPr>
        <w:sectPr>
          <w:pgSz w:w="7770" w:h="11740"/>
          <w:pgMar w:header="0" w:footer="474" w:top="840" w:bottom="740" w:left="740" w:right="1020"/>
        </w:sectPr>
      </w:pPr>
    </w:p>
    <w:p>
      <w:pPr>
        <w:pStyle w:val="BodyText"/>
        <w:spacing w:line="249" w:lineRule="auto" w:before="60"/>
        <w:ind w:left="41" w:right="107"/>
        <w:jc w:val="right"/>
      </w:pPr>
      <w:r>
        <w:rPr>
          <w:color w:val="231F20"/>
        </w:rPr>
        <w:t>tratación con diversas modalidades: externalización de partes del proce- so productivo a otras empresas, contratación de trabajadores/as externos individuales, combinaciones que dan lugar a cadenas con distintos esla- bones de subcontratación que pueden llegar hasta el trabajo a domicilio. Como algunas partes del proceso productivo pueden requerir mayor control que otras, o diferentes formas de control, se divide al personal de las empresas en segmentos con diferente integración a ellas, con un núcleo de trabajadores permanentes y una periferia de trabajadores ines- tables que se considera fácilmente sustituible. Éstos podrían ser denomi- nados empleos informales, si con ello nos referimos a que no tienen las características que se desprenden de una relación laboral normal, pero son, sin embargo, parte del funcionamiento del “sector moderno” de   la</w:t>
      </w:r>
    </w:p>
    <w:p>
      <w:pPr>
        <w:pStyle w:val="BodyText"/>
        <w:spacing w:before="1"/>
        <w:ind w:left="113"/>
        <w:jc w:val="both"/>
      </w:pPr>
      <w:r>
        <w:rPr>
          <w:color w:val="231F20"/>
        </w:rPr>
        <w:t>economía y claramente diferentes del sector informal tradicional.</w:t>
      </w:r>
    </w:p>
    <w:p>
      <w:pPr>
        <w:pStyle w:val="BodyText"/>
        <w:spacing w:line="249" w:lineRule="auto" w:before="10"/>
        <w:ind w:left="113" w:right="108" w:firstLine="283"/>
        <w:jc w:val="both"/>
      </w:pPr>
      <w:r>
        <w:rPr>
          <w:color w:val="231F20"/>
        </w:rPr>
        <w:t>El trabajo a domicilio es un área problemática del empleo. Por la   vía de la subcontratación se genera otra categoría laboral que se ha de- nominado pseudo-independiente, porque se reemplazan los contratos de trabajo</w:t>
      </w:r>
      <w:r>
        <w:rPr>
          <w:color w:val="231F20"/>
          <w:spacing w:val="-6"/>
        </w:rPr>
        <w:t> </w:t>
      </w:r>
      <w:r>
        <w:rPr>
          <w:color w:val="231F20"/>
        </w:rPr>
        <w:t>por</w:t>
      </w:r>
      <w:r>
        <w:rPr>
          <w:color w:val="231F20"/>
          <w:spacing w:val="-6"/>
        </w:rPr>
        <w:t> </w:t>
      </w:r>
      <w:r>
        <w:rPr>
          <w:color w:val="231F20"/>
        </w:rPr>
        <w:t>contratos</w:t>
      </w:r>
      <w:r>
        <w:rPr>
          <w:color w:val="231F20"/>
          <w:spacing w:val="-6"/>
        </w:rPr>
        <w:t> </w:t>
      </w:r>
      <w:r>
        <w:rPr>
          <w:color w:val="231F20"/>
        </w:rPr>
        <w:t>civiles</w:t>
      </w:r>
      <w:r>
        <w:rPr>
          <w:color w:val="231F20"/>
          <w:spacing w:val="-6"/>
        </w:rPr>
        <w:t> </w:t>
      </w:r>
      <w:r>
        <w:rPr>
          <w:color w:val="231F20"/>
        </w:rPr>
        <w:t>o</w:t>
      </w:r>
      <w:r>
        <w:rPr>
          <w:color w:val="231F20"/>
          <w:spacing w:val="-6"/>
        </w:rPr>
        <w:t> </w:t>
      </w:r>
      <w:r>
        <w:rPr>
          <w:color w:val="231F20"/>
        </w:rPr>
        <w:t>comerciales,</w:t>
      </w:r>
      <w:r>
        <w:rPr>
          <w:color w:val="231F20"/>
          <w:spacing w:val="-7"/>
        </w:rPr>
        <w:t> </w:t>
      </w:r>
      <w:r>
        <w:rPr>
          <w:color w:val="231F20"/>
        </w:rPr>
        <w:t>aunque</w:t>
      </w:r>
      <w:r>
        <w:rPr>
          <w:color w:val="231F20"/>
          <w:spacing w:val="-6"/>
        </w:rPr>
        <w:t> </w:t>
      </w:r>
      <w:r>
        <w:rPr>
          <w:color w:val="231F20"/>
        </w:rPr>
        <w:t>se</w:t>
      </w:r>
      <w:r>
        <w:rPr>
          <w:color w:val="231F20"/>
          <w:spacing w:val="-6"/>
        </w:rPr>
        <w:t> </w:t>
      </w:r>
      <w:r>
        <w:rPr>
          <w:color w:val="231F20"/>
        </w:rPr>
        <w:t>mantengan</w:t>
      </w:r>
      <w:r>
        <w:rPr>
          <w:color w:val="231F20"/>
          <w:spacing w:val="-6"/>
        </w:rPr>
        <w:t> </w:t>
      </w:r>
      <w:r>
        <w:rPr>
          <w:color w:val="231F20"/>
        </w:rPr>
        <w:t>todas</w:t>
      </w:r>
      <w:r>
        <w:rPr>
          <w:color w:val="231F20"/>
          <w:spacing w:val="-6"/>
        </w:rPr>
        <w:t> </w:t>
      </w:r>
      <w:r>
        <w:rPr>
          <w:color w:val="231F20"/>
        </w:rPr>
        <w:t>o la mayoría de las características del trabajo dependiente.</w:t>
      </w:r>
      <w:r>
        <w:rPr>
          <w:color w:val="231F20"/>
          <w:position w:val="7"/>
          <w:sz w:val="11"/>
        </w:rPr>
        <w:t>3 </w:t>
      </w:r>
      <w:r>
        <w:rPr>
          <w:color w:val="231F20"/>
        </w:rPr>
        <w:t>Jurídicamente el trabajo asalariado se transforma en trabajo por cuenta propia y se crea una masa laboral flexible, externalizándose los costos de protección so- cial y los riesgos asociados al ámbito de la vida laboral y</w:t>
      </w:r>
      <w:r>
        <w:rPr>
          <w:color w:val="231F20"/>
          <w:spacing w:val="-5"/>
        </w:rPr>
        <w:t> </w:t>
      </w:r>
      <w:r>
        <w:rPr>
          <w:color w:val="231F20"/>
        </w:rPr>
        <w:t>privada.</w:t>
      </w:r>
    </w:p>
    <w:p>
      <w:pPr>
        <w:pStyle w:val="BodyText"/>
        <w:spacing w:line="249" w:lineRule="auto" w:before="1"/>
        <w:ind w:left="113" w:right="108" w:firstLine="283"/>
        <w:jc w:val="both"/>
      </w:pPr>
      <w:r>
        <w:rPr>
          <w:color w:val="231F20"/>
        </w:rPr>
        <w:t>Una rama antigua en el uso de esta modalidad laboral es la de con- fecciones pero se constata un gran incremento en ramas y servicios mo- dernos como los financieros. Un estudio de Thelma Gálvez (2005) deja en evidencia este fenómeno, que ejemplificaremos con un dato: 42.1</w:t>
      </w:r>
      <w:r>
        <w:rPr>
          <w:color w:val="231F20"/>
          <w:spacing w:val="-21"/>
        </w:rPr>
        <w:t> </w:t>
      </w:r>
      <w:r>
        <w:rPr>
          <w:color w:val="231F20"/>
        </w:rPr>
        <w:t>por ciento de las mujeres y 21.3 por ciento de los hombres cuentapropistas se relacionan con un sólo cliente y un sólo proveedor, que sería la mis- ma persona o empresa, y que además les entrega normas sobre ritmo, cantidad o plazos de producción. Estos datos muestran la relación de dependencia, es decir, una forma de producción, control y entrega del producto</w:t>
      </w:r>
      <w:r>
        <w:rPr>
          <w:color w:val="231F20"/>
          <w:spacing w:val="-9"/>
        </w:rPr>
        <w:t> </w:t>
      </w:r>
      <w:r>
        <w:rPr>
          <w:color w:val="231F20"/>
        </w:rPr>
        <w:t>distinta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del</w:t>
      </w:r>
      <w:r>
        <w:rPr>
          <w:color w:val="231F20"/>
          <w:spacing w:val="-9"/>
        </w:rPr>
        <w:t> </w:t>
      </w:r>
      <w:r>
        <w:rPr>
          <w:color w:val="231F20"/>
        </w:rPr>
        <w:t>cuentapropista,</w:t>
      </w:r>
      <w:r>
        <w:rPr>
          <w:color w:val="231F20"/>
          <w:spacing w:val="-9"/>
        </w:rPr>
        <w:t> </w:t>
      </w:r>
      <w:r>
        <w:rPr>
          <w:color w:val="231F20"/>
        </w:rPr>
        <w:t>quien</w:t>
      </w:r>
      <w:r>
        <w:rPr>
          <w:color w:val="231F20"/>
          <w:spacing w:val="-9"/>
        </w:rPr>
        <w:t> </w:t>
      </w:r>
      <w:r>
        <w:rPr>
          <w:color w:val="231F20"/>
        </w:rPr>
        <w:t>toma</w:t>
      </w:r>
      <w:r>
        <w:rPr>
          <w:color w:val="231F20"/>
          <w:spacing w:val="-9"/>
        </w:rPr>
        <w:t> </w:t>
      </w:r>
      <w:r>
        <w:rPr>
          <w:color w:val="231F20"/>
        </w:rPr>
        <w:t>sus</w:t>
      </w:r>
      <w:r>
        <w:rPr>
          <w:color w:val="231F20"/>
          <w:spacing w:val="-9"/>
        </w:rPr>
        <w:t> </w:t>
      </w:r>
      <w:r>
        <w:rPr>
          <w:color w:val="231F20"/>
        </w:rPr>
        <w:t>decisiones</w:t>
      </w:r>
      <w:r>
        <w:rPr>
          <w:color w:val="231F20"/>
          <w:spacing w:val="-9"/>
        </w:rPr>
        <w:t> </w:t>
      </w:r>
      <w:r>
        <w:rPr>
          <w:color w:val="231F20"/>
        </w:rPr>
        <w:t>sobre la producción y la venta a diversos clientes.</w:t>
      </w:r>
    </w:p>
    <w:p>
      <w:pPr>
        <w:pStyle w:val="BodyText"/>
        <w:spacing w:line="249" w:lineRule="auto" w:before="1"/>
        <w:ind w:left="113" w:right="107" w:firstLine="283"/>
        <w:jc w:val="both"/>
      </w:pPr>
      <w:r>
        <w:rPr>
          <w:color w:val="231F20"/>
        </w:rPr>
        <w:t>En esta categoría de pseudo-independientes (o “subordinados inde- pendientes”) se encuentra también una creciente fuerza de venta, ligada directamente a una empresa productora de bienes que se comercializan por la vía de ventas telefónicas y a domicilio, en una relación sin deter- minación laboral alguna.</w:t>
      </w:r>
    </w:p>
    <w:p>
      <w:pPr>
        <w:pStyle w:val="BodyText"/>
        <w:spacing w:before="1"/>
        <w:ind w:left="41" w:right="108"/>
        <w:jc w:val="right"/>
      </w:pPr>
      <w:r>
        <w:rPr>
          <w:color w:val="231F20"/>
        </w:rPr>
        <w:t>En estos trabajos suelen predominar las mujeres. Esto resulta de    la</w:t>
      </w:r>
    </w:p>
    <w:p>
      <w:pPr>
        <w:spacing w:before="125"/>
        <w:ind w:left="113" w:right="108" w:firstLine="0"/>
        <w:jc w:val="both"/>
        <w:rPr>
          <w:sz w:val="14"/>
        </w:rPr>
      </w:pPr>
      <w:r>
        <w:rPr>
          <w:color w:val="231F20"/>
          <w:position w:val="5"/>
          <w:sz w:val="8"/>
        </w:rPr>
        <w:t>3 </w:t>
      </w:r>
      <w:r>
        <w:rPr>
          <w:color w:val="231F20"/>
          <w:sz w:val="14"/>
        </w:rPr>
        <w:t>Las nuevas encuestas de empleo se han preocupado de distinguir esta forma de trabajo de la categoría de</w:t>
      </w:r>
      <w:r>
        <w:rPr>
          <w:color w:val="231F20"/>
          <w:spacing w:val="-4"/>
          <w:sz w:val="14"/>
        </w:rPr>
        <w:t> </w:t>
      </w:r>
      <w:r>
        <w:rPr>
          <w:color w:val="231F20"/>
          <w:sz w:val="14"/>
        </w:rPr>
        <w:t>los</w:t>
      </w:r>
      <w:r>
        <w:rPr>
          <w:color w:val="231F20"/>
          <w:spacing w:val="-4"/>
          <w:sz w:val="14"/>
        </w:rPr>
        <w:t> </w:t>
      </w:r>
      <w:r>
        <w:rPr>
          <w:color w:val="231F20"/>
          <w:sz w:val="14"/>
        </w:rPr>
        <w:t>cuentapropistas</w:t>
      </w:r>
      <w:r>
        <w:rPr>
          <w:color w:val="231F20"/>
          <w:spacing w:val="-4"/>
          <w:sz w:val="14"/>
        </w:rPr>
        <w:t> </w:t>
      </w:r>
      <w:r>
        <w:rPr>
          <w:color w:val="231F20"/>
          <w:spacing w:val="-5"/>
          <w:sz w:val="14"/>
        </w:rPr>
        <w:t>y,</w:t>
      </w:r>
      <w:r>
        <w:rPr>
          <w:color w:val="231F20"/>
          <w:spacing w:val="-4"/>
          <w:sz w:val="14"/>
        </w:rPr>
        <w:t> </w:t>
      </w:r>
      <w:r>
        <w:rPr>
          <w:color w:val="231F20"/>
          <w:sz w:val="14"/>
        </w:rPr>
        <w:t>de</w:t>
      </w:r>
      <w:r>
        <w:rPr>
          <w:color w:val="231F20"/>
          <w:spacing w:val="-4"/>
          <w:sz w:val="14"/>
        </w:rPr>
        <w:t> </w:t>
      </w:r>
      <w:r>
        <w:rPr>
          <w:color w:val="231F20"/>
          <w:sz w:val="14"/>
        </w:rPr>
        <w:t>esta</w:t>
      </w:r>
      <w:r>
        <w:rPr>
          <w:color w:val="231F20"/>
          <w:spacing w:val="-4"/>
          <w:sz w:val="14"/>
        </w:rPr>
        <w:t> </w:t>
      </w:r>
      <w:r>
        <w:rPr>
          <w:color w:val="231F20"/>
          <w:sz w:val="14"/>
        </w:rPr>
        <w:t>manera,</w:t>
      </w:r>
      <w:r>
        <w:rPr>
          <w:color w:val="231F20"/>
          <w:spacing w:val="-4"/>
          <w:sz w:val="14"/>
        </w:rPr>
        <w:t> </w:t>
      </w:r>
      <w:r>
        <w:rPr>
          <w:color w:val="231F20"/>
          <w:sz w:val="14"/>
        </w:rPr>
        <w:t>detectar</w:t>
      </w:r>
      <w:r>
        <w:rPr>
          <w:color w:val="231F20"/>
          <w:spacing w:val="-4"/>
          <w:sz w:val="14"/>
        </w:rPr>
        <w:t> </w:t>
      </w:r>
      <w:r>
        <w:rPr>
          <w:color w:val="231F20"/>
          <w:sz w:val="14"/>
        </w:rPr>
        <w:t>nuevas</w:t>
      </w:r>
      <w:r>
        <w:rPr>
          <w:color w:val="231F20"/>
          <w:spacing w:val="-4"/>
          <w:sz w:val="14"/>
        </w:rPr>
        <w:t> </w:t>
      </w:r>
      <w:r>
        <w:rPr>
          <w:color w:val="231F20"/>
          <w:sz w:val="14"/>
        </w:rPr>
        <w:t>formas</w:t>
      </w:r>
      <w:r>
        <w:rPr>
          <w:color w:val="231F20"/>
          <w:spacing w:val="-4"/>
          <w:sz w:val="14"/>
        </w:rPr>
        <w:t> </w:t>
      </w:r>
      <w:r>
        <w:rPr>
          <w:color w:val="231F20"/>
          <w:sz w:val="14"/>
        </w:rPr>
        <w:t>de</w:t>
      </w:r>
      <w:r>
        <w:rPr>
          <w:color w:val="231F20"/>
          <w:spacing w:val="-4"/>
          <w:sz w:val="14"/>
        </w:rPr>
        <w:t> </w:t>
      </w:r>
      <w:r>
        <w:rPr>
          <w:color w:val="231F20"/>
          <w:sz w:val="14"/>
        </w:rPr>
        <w:t>empleo</w:t>
      </w:r>
      <w:r>
        <w:rPr>
          <w:color w:val="231F20"/>
          <w:spacing w:val="-4"/>
          <w:sz w:val="14"/>
        </w:rPr>
        <w:t> </w:t>
      </w:r>
      <w:r>
        <w:rPr>
          <w:color w:val="231F20"/>
          <w:sz w:val="14"/>
        </w:rPr>
        <w:t>informal</w:t>
      </w:r>
      <w:r>
        <w:rPr>
          <w:color w:val="231F20"/>
          <w:spacing w:val="-4"/>
          <w:sz w:val="14"/>
        </w:rPr>
        <w:t> </w:t>
      </w:r>
      <w:r>
        <w:rPr>
          <w:color w:val="231F20"/>
          <w:sz w:val="14"/>
        </w:rPr>
        <w:t>que</w:t>
      </w:r>
      <w:r>
        <w:rPr>
          <w:color w:val="231F20"/>
          <w:spacing w:val="-4"/>
          <w:sz w:val="14"/>
        </w:rPr>
        <w:t> </w:t>
      </w:r>
      <w:r>
        <w:rPr>
          <w:color w:val="231F20"/>
          <w:sz w:val="14"/>
        </w:rPr>
        <w:t>difieren</w:t>
      </w:r>
      <w:r>
        <w:rPr>
          <w:color w:val="231F20"/>
          <w:spacing w:val="-4"/>
          <w:sz w:val="14"/>
        </w:rPr>
        <w:t> </w:t>
      </w:r>
      <w:r>
        <w:rPr>
          <w:color w:val="231F20"/>
          <w:sz w:val="14"/>
        </w:rPr>
        <w:t>del</w:t>
      </w:r>
      <w:r>
        <w:rPr>
          <w:color w:val="231F20"/>
          <w:spacing w:val="-4"/>
          <w:sz w:val="14"/>
        </w:rPr>
        <w:t> </w:t>
      </w:r>
      <w:r>
        <w:rPr>
          <w:color w:val="231F20"/>
          <w:sz w:val="14"/>
        </w:rPr>
        <w:t>así llamado sector</w:t>
      </w:r>
      <w:r>
        <w:rPr>
          <w:color w:val="231F20"/>
          <w:spacing w:val="-6"/>
          <w:sz w:val="14"/>
        </w:rPr>
        <w:t> </w:t>
      </w:r>
      <w:r>
        <w:rPr>
          <w:color w:val="231F20"/>
          <w:sz w:val="14"/>
        </w:rPr>
        <w:t>informal.</w:t>
      </w:r>
    </w:p>
    <w:p>
      <w:pPr>
        <w:spacing w:after="0"/>
        <w:jc w:val="both"/>
        <w:rPr>
          <w:sz w:val="14"/>
        </w:rPr>
        <w:sectPr>
          <w:footerReference w:type="default" r:id="rId235"/>
          <w:pgSz w:w="7770" w:h="11740"/>
          <w:pgMar w:footer="474" w:header="0" w:top="840" w:bottom="660" w:left="1020" w:right="740"/>
          <w:pgNumType w:start="189"/>
        </w:sectPr>
      </w:pPr>
    </w:p>
    <w:p>
      <w:pPr>
        <w:pStyle w:val="BodyText"/>
        <w:spacing w:line="249" w:lineRule="auto" w:before="60"/>
        <w:ind w:left="41" w:right="111"/>
        <w:jc w:val="right"/>
      </w:pPr>
      <w:r>
        <w:rPr>
          <w:color w:val="231F20"/>
        </w:rPr>
        <w:t>combinación de las ramas y procesos que son</w:t>
      </w:r>
      <w:r>
        <w:rPr>
          <w:color w:val="231F20"/>
          <w:spacing w:val="-18"/>
        </w:rPr>
        <w:t> </w:t>
      </w:r>
      <w:r>
        <w:rPr>
          <w:color w:val="231F20"/>
        </w:rPr>
        <w:t>considerados</w:t>
      </w:r>
      <w:r>
        <w:rPr>
          <w:color w:val="231F20"/>
          <w:spacing w:val="-3"/>
        </w:rPr>
        <w:t> </w:t>
      </w:r>
      <w:r>
        <w:rPr>
          <w:color w:val="231F20"/>
        </w:rPr>
        <w:t>“femeninos” por los empleadores, como es la costura dentro de la industria</w:t>
      </w:r>
      <w:r>
        <w:rPr>
          <w:color w:val="231F20"/>
          <w:spacing w:val="45"/>
        </w:rPr>
        <w:t> </w:t>
      </w:r>
      <w:r>
        <w:rPr>
          <w:color w:val="231F20"/>
        </w:rPr>
        <w:t>del</w:t>
      </w:r>
      <w:r>
        <w:rPr>
          <w:color w:val="231F20"/>
          <w:spacing w:val="14"/>
        </w:rPr>
        <w:t> </w:t>
      </w:r>
      <w:r>
        <w:rPr>
          <w:color w:val="231F20"/>
        </w:rPr>
        <w:t>ves- tuario</w:t>
      </w:r>
      <w:r>
        <w:rPr>
          <w:color w:val="231F20"/>
          <w:spacing w:val="-5"/>
        </w:rPr>
        <w:t> </w:t>
      </w:r>
      <w:r>
        <w:rPr>
          <w:color w:val="231F20"/>
        </w:rPr>
        <w:t>o</w:t>
      </w:r>
      <w:r>
        <w:rPr>
          <w:color w:val="231F20"/>
          <w:spacing w:val="-4"/>
        </w:rPr>
        <w:t> </w:t>
      </w:r>
      <w:r>
        <w:rPr>
          <w:color w:val="231F20"/>
        </w:rPr>
        <w:t>la</w:t>
      </w:r>
      <w:r>
        <w:rPr>
          <w:color w:val="231F20"/>
          <w:spacing w:val="-5"/>
        </w:rPr>
        <w:t> </w:t>
      </w:r>
      <w:r>
        <w:rPr>
          <w:color w:val="231F20"/>
        </w:rPr>
        <w:t>venta</w:t>
      </w:r>
      <w:r>
        <w:rPr>
          <w:color w:val="231F20"/>
          <w:spacing w:val="-5"/>
        </w:rPr>
        <w:t> </w:t>
      </w:r>
      <w:r>
        <w:rPr>
          <w:color w:val="231F20"/>
        </w:rPr>
        <w:t>de</w:t>
      </w:r>
      <w:r>
        <w:rPr>
          <w:color w:val="231F20"/>
          <w:spacing w:val="-4"/>
        </w:rPr>
        <w:t> </w:t>
      </w:r>
      <w:r>
        <w:rPr>
          <w:color w:val="231F20"/>
        </w:rPr>
        <w:t>ciertos</w:t>
      </w:r>
      <w:r>
        <w:rPr>
          <w:color w:val="231F20"/>
          <w:spacing w:val="-5"/>
        </w:rPr>
        <w:t> </w:t>
      </w:r>
      <w:r>
        <w:rPr>
          <w:color w:val="231F20"/>
        </w:rPr>
        <w:t>servicios,</w:t>
      </w:r>
      <w:r>
        <w:rPr>
          <w:color w:val="231F20"/>
          <w:spacing w:val="-4"/>
        </w:rPr>
        <w:t> </w:t>
      </w:r>
      <w:r>
        <w:rPr>
          <w:color w:val="231F20"/>
        </w:rPr>
        <w:t>con</w:t>
      </w:r>
      <w:r>
        <w:rPr>
          <w:color w:val="231F20"/>
          <w:spacing w:val="-5"/>
        </w:rPr>
        <w:t> </w:t>
      </w:r>
      <w:r>
        <w:rPr>
          <w:color w:val="231F20"/>
        </w:rPr>
        <w:t>la</w:t>
      </w:r>
      <w:r>
        <w:rPr>
          <w:color w:val="231F20"/>
          <w:spacing w:val="-5"/>
        </w:rPr>
        <w:t> </w:t>
      </w:r>
      <w:r>
        <w:rPr>
          <w:color w:val="231F20"/>
        </w:rPr>
        <w:t>oferta</w:t>
      </w:r>
      <w:r>
        <w:rPr>
          <w:color w:val="231F20"/>
          <w:spacing w:val="-5"/>
        </w:rPr>
        <w:t> </w:t>
      </w:r>
      <w:r>
        <w:rPr>
          <w:color w:val="231F20"/>
        </w:rPr>
        <w:t>de</w:t>
      </w:r>
      <w:r>
        <w:rPr>
          <w:color w:val="231F20"/>
          <w:spacing w:val="-4"/>
        </w:rPr>
        <w:t> </w:t>
      </w:r>
      <w:r>
        <w:rPr>
          <w:color w:val="231F20"/>
        </w:rPr>
        <w:t>trabajo</w:t>
      </w:r>
      <w:r>
        <w:rPr>
          <w:color w:val="231F20"/>
          <w:spacing w:val="-5"/>
        </w:rPr>
        <w:t> </w:t>
      </w:r>
      <w:r>
        <w:rPr>
          <w:color w:val="231F20"/>
        </w:rPr>
        <w:t>por</w:t>
      </w:r>
      <w:r>
        <w:rPr>
          <w:color w:val="231F20"/>
          <w:spacing w:val="-4"/>
        </w:rPr>
        <w:t> </w:t>
      </w:r>
      <w:r>
        <w:rPr>
          <w:color w:val="231F20"/>
        </w:rPr>
        <w:t>parte</w:t>
      </w:r>
      <w:r>
        <w:rPr>
          <w:color w:val="231F20"/>
          <w:spacing w:val="-5"/>
        </w:rPr>
        <w:t> </w:t>
      </w:r>
      <w:r>
        <w:rPr>
          <w:color w:val="231F20"/>
        </w:rPr>
        <w:t>de mujeres</w:t>
      </w:r>
      <w:r>
        <w:rPr>
          <w:color w:val="231F20"/>
          <w:spacing w:val="-10"/>
        </w:rPr>
        <w:t> </w:t>
      </w:r>
      <w:r>
        <w:rPr>
          <w:color w:val="231F20"/>
        </w:rPr>
        <w:t>que</w:t>
      </w:r>
      <w:r>
        <w:rPr>
          <w:color w:val="231F20"/>
          <w:spacing w:val="-9"/>
        </w:rPr>
        <w:t> </w:t>
      </w:r>
      <w:r>
        <w:rPr>
          <w:color w:val="231F20"/>
        </w:rPr>
        <w:t>tratan</w:t>
      </w:r>
      <w:r>
        <w:rPr>
          <w:color w:val="231F20"/>
          <w:spacing w:val="-9"/>
        </w:rPr>
        <w:t> </w:t>
      </w:r>
      <w:r>
        <w:rPr>
          <w:color w:val="231F20"/>
        </w:rPr>
        <w:t>de</w:t>
      </w:r>
      <w:r>
        <w:rPr>
          <w:color w:val="231F20"/>
          <w:spacing w:val="-9"/>
        </w:rPr>
        <w:t> </w:t>
      </w:r>
      <w:r>
        <w:rPr>
          <w:color w:val="231F20"/>
        </w:rPr>
        <w:t>combinar</w:t>
      </w:r>
      <w:r>
        <w:rPr>
          <w:color w:val="231F20"/>
          <w:spacing w:val="-10"/>
        </w:rPr>
        <w:t> </w:t>
      </w:r>
      <w:r>
        <w:rPr>
          <w:color w:val="231F20"/>
        </w:rPr>
        <w:t>su</w:t>
      </w:r>
      <w:r>
        <w:rPr>
          <w:color w:val="231F20"/>
          <w:spacing w:val="-9"/>
        </w:rPr>
        <w:t> </w:t>
      </w:r>
      <w:r>
        <w:rPr>
          <w:color w:val="231F20"/>
        </w:rPr>
        <w:t>actividad</w:t>
      </w:r>
      <w:r>
        <w:rPr>
          <w:color w:val="231F20"/>
          <w:spacing w:val="-10"/>
        </w:rPr>
        <w:t> </w:t>
      </w:r>
      <w:r>
        <w:rPr>
          <w:color w:val="231F20"/>
        </w:rPr>
        <w:t>laboral</w:t>
      </w:r>
      <w:r>
        <w:rPr>
          <w:color w:val="231F20"/>
          <w:spacing w:val="-10"/>
        </w:rPr>
        <w:t> </w:t>
      </w:r>
      <w:r>
        <w:rPr>
          <w:color w:val="231F20"/>
        </w:rPr>
        <w:t>con</w:t>
      </w:r>
      <w:r>
        <w:rPr>
          <w:color w:val="231F20"/>
          <w:spacing w:val="-9"/>
        </w:rPr>
        <w:t> </w:t>
      </w:r>
      <w:r>
        <w:rPr>
          <w:color w:val="231F20"/>
        </w:rPr>
        <w:t>el</w:t>
      </w:r>
      <w:r>
        <w:rPr>
          <w:color w:val="231F20"/>
          <w:spacing w:val="-9"/>
        </w:rPr>
        <w:t> </w:t>
      </w:r>
      <w:r>
        <w:rPr>
          <w:color w:val="231F20"/>
        </w:rPr>
        <w:t>trabajo</w:t>
      </w:r>
      <w:r>
        <w:rPr>
          <w:color w:val="231F20"/>
          <w:spacing w:val="-10"/>
        </w:rPr>
        <w:t> </w:t>
      </w:r>
      <w:r>
        <w:rPr>
          <w:color w:val="231F20"/>
        </w:rPr>
        <w:t>de</w:t>
      </w:r>
      <w:r>
        <w:rPr>
          <w:color w:val="231F20"/>
          <w:spacing w:val="-9"/>
        </w:rPr>
        <w:t> </w:t>
      </w:r>
      <w:r>
        <w:rPr>
          <w:color w:val="231F20"/>
        </w:rPr>
        <w:t>cui- dado no remunerado, aún a costa de empeorar las condiciones</w:t>
      </w:r>
      <w:r>
        <w:rPr>
          <w:color w:val="231F20"/>
          <w:spacing w:val="-5"/>
        </w:rPr>
        <w:t> </w:t>
      </w:r>
      <w:r>
        <w:rPr>
          <w:color w:val="231F20"/>
        </w:rPr>
        <w:t>laborales.</w:t>
      </w:r>
    </w:p>
    <w:p>
      <w:pPr>
        <w:pStyle w:val="BodyText"/>
        <w:spacing w:line="249" w:lineRule="auto" w:before="1"/>
        <w:ind w:left="110" w:right="111" w:firstLine="283"/>
        <w:jc w:val="both"/>
      </w:pPr>
      <w:r>
        <w:rPr>
          <w:color w:val="231F20"/>
        </w:rPr>
        <w:t>El caso del teletrabajo, aún de escasa incidencia en América Latina en su forma más estricta, sería diferente desde el punto de vista de la re- lación laboral: flexibiliza el lugar en que el trabajo se realiza así como</w:t>
      </w:r>
      <w:r>
        <w:rPr>
          <w:color w:val="231F20"/>
          <w:spacing w:val="-23"/>
        </w:rPr>
        <w:t> </w:t>
      </w:r>
      <w:r>
        <w:rPr>
          <w:color w:val="231F20"/>
        </w:rPr>
        <w:t>la jornada</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utilización</w:t>
      </w:r>
      <w:r>
        <w:rPr>
          <w:color w:val="231F20"/>
          <w:spacing w:val="-8"/>
        </w:rPr>
        <w:t> </w:t>
      </w:r>
      <w:r>
        <w:rPr>
          <w:color w:val="231F20"/>
        </w:rPr>
        <w:t>de</w:t>
      </w:r>
      <w:r>
        <w:rPr>
          <w:color w:val="231F20"/>
          <w:spacing w:val="-8"/>
        </w:rPr>
        <w:t> </w:t>
      </w:r>
      <w:r>
        <w:rPr>
          <w:color w:val="231F20"/>
        </w:rPr>
        <w:t>tecnología,</w:t>
      </w:r>
      <w:r>
        <w:rPr>
          <w:color w:val="231F20"/>
          <w:spacing w:val="-8"/>
        </w:rPr>
        <w:t> </w:t>
      </w:r>
      <w:r>
        <w:rPr>
          <w:color w:val="231F20"/>
        </w:rPr>
        <w:t>sin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elimine</w:t>
      </w:r>
      <w:r>
        <w:rPr>
          <w:color w:val="231F20"/>
          <w:spacing w:val="-8"/>
        </w:rPr>
        <w:t> </w:t>
      </w:r>
      <w:r>
        <w:rPr>
          <w:color w:val="231F20"/>
        </w:rPr>
        <w:t>la</w:t>
      </w:r>
      <w:r>
        <w:rPr>
          <w:color w:val="231F20"/>
          <w:spacing w:val="-8"/>
        </w:rPr>
        <w:t> </w:t>
      </w:r>
      <w:r>
        <w:rPr>
          <w:color w:val="231F20"/>
        </w:rPr>
        <w:t>rela- ción laboral asalariada con la empresa que la implementa. Sin embargo, para las personas que tienen responsabilidades familiares y domésticas (todavía</w:t>
      </w:r>
      <w:r>
        <w:rPr>
          <w:color w:val="231F20"/>
          <w:spacing w:val="-9"/>
        </w:rPr>
        <w:t> </w:t>
      </w:r>
      <w:r>
        <w:rPr>
          <w:color w:val="231F20"/>
        </w:rPr>
        <w:t>mayoritariamente</w:t>
      </w:r>
      <w:r>
        <w:rPr>
          <w:color w:val="231F20"/>
          <w:spacing w:val="-10"/>
        </w:rPr>
        <w:t> </w:t>
      </w:r>
      <w:r>
        <w:rPr>
          <w:color w:val="231F20"/>
        </w:rPr>
        <w:t>mujeres),</w:t>
      </w:r>
      <w:r>
        <w:rPr>
          <w:color w:val="231F20"/>
          <w:spacing w:val="-10"/>
        </w:rPr>
        <w:t> </w:t>
      </w:r>
      <w:r>
        <w:rPr>
          <w:color w:val="231F20"/>
        </w:rPr>
        <w:t>la</w:t>
      </w:r>
      <w:r>
        <w:rPr>
          <w:color w:val="231F20"/>
          <w:spacing w:val="-9"/>
        </w:rPr>
        <w:t> </w:t>
      </w:r>
      <w:r>
        <w:rPr>
          <w:color w:val="231F20"/>
        </w:rPr>
        <w:t>simultaneidad</w:t>
      </w:r>
      <w:r>
        <w:rPr>
          <w:color w:val="231F20"/>
          <w:spacing w:val="-9"/>
        </w:rPr>
        <w:t> </w:t>
      </w:r>
      <w:r>
        <w:rPr>
          <w:color w:val="231F20"/>
        </w:rPr>
        <w:t>del</w:t>
      </w:r>
      <w:r>
        <w:rPr>
          <w:color w:val="231F20"/>
          <w:spacing w:val="-9"/>
        </w:rPr>
        <w:t> </w:t>
      </w:r>
      <w:r>
        <w:rPr>
          <w:color w:val="231F20"/>
        </w:rPr>
        <w:t>espacio</w:t>
      </w:r>
      <w:r>
        <w:rPr>
          <w:color w:val="231F20"/>
          <w:spacing w:val="-10"/>
        </w:rPr>
        <w:t> </w:t>
      </w:r>
      <w:r>
        <w:rPr>
          <w:color w:val="231F20"/>
        </w:rPr>
        <w:t>laboral y de trabajo reproductivo y de cuidado tiene consecuencias en términos de la mutua interferencia de ambos trabajos, el aumento en la demanda doméstica</w:t>
      </w:r>
      <w:r>
        <w:rPr>
          <w:color w:val="231F20"/>
          <w:spacing w:val="-6"/>
        </w:rPr>
        <w:t> </w:t>
      </w:r>
      <w:r>
        <w:rPr>
          <w:color w:val="231F20"/>
        </w:rPr>
        <w:t>derivada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presencia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dificultad</w:t>
      </w:r>
      <w:r>
        <w:rPr>
          <w:color w:val="231F20"/>
          <w:spacing w:val="-6"/>
        </w:rPr>
        <w:t> </w:t>
      </w:r>
      <w:r>
        <w:rPr>
          <w:color w:val="231F20"/>
        </w:rPr>
        <w:t>para</w:t>
      </w:r>
      <w:r>
        <w:rPr>
          <w:color w:val="231F20"/>
          <w:spacing w:val="-6"/>
        </w:rPr>
        <w:t> </w:t>
      </w:r>
      <w:r>
        <w:rPr>
          <w:color w:val="231F20"/>
        </w:rPr>
        <w:t>modificar</w:t>
      </w:r>
      <w:r>
        <w:rPr>
          <w:color w:val="231F20"/>
          <w:spacing w:val="-6"/>
        </w:rPr>
        <w:t> </w:t>
      </w:r>
      <w:r>
        <w:rPr>
          <w:color w:val="231F20"/>
        </w:rPr>
        <w:t>la</w:t>
      </w:r>
      <w:r>
        <w:rPr>
          <w:color w:val="231F20"/>
          <w:spacing w:val="-6"/>
        </w:rPr>
        <w:t> </w:t>
      </w:r>
      <w:r>
        <w:rPr>
          <w:color w:val="231F20"/>
        </w:rPr>
        <w:t>tradi- cional división sexual del trabajo en las tareas domésticas y de cuidado. La</w:t>
      </w:r>
      <w:r>
        <w:rPr>
          <w:color w:val="231F20"/>
          <w:spacing w:val="-4"/>
        </w:rPr>
        <w:t> </w:t>
      </w:r>
      <w:r>
        <w:rPr>
          <w:color w:val="231F20"/>
        </w:rPr>
        <w:t>carga</w:t>
      </w:r>
      <w:r>
        <w:rPr>
          <w:color w:val="231F20"/>
          <w:spacing w:val="-4"/>
        </w:rPr>
        <w:t> </w:t>
      </w:r>
      <w:r>
        <w:rPr>
          <w:color w:val="231F20"/>
        </w:rPr>
        <w:t>de</w:t>
      </w:r>
      <w:r>
        <w:rPr>
          <w:color w:val="231F20"/>
          <w:spacing w:val="-4"/>
        </w:rPr>
        <w:t> </w:t>
      </w:r>
      <w:r>
        <w:rPr>
          <w:color w:val="231F20"/>
        </w:rPr>
        <w:t>trabajo</w:t>
      </w:r>
      <w:r>
        <w:rPr>
          <w:color w:val="231F20"/>
          <w:spacing w:val="-5"/>
        </w:rPr>
        <w:t> </w:t>
      </w:r>
      <w:r>
        <w:rPr>
          <w:color w:val="231F20"/>
        </w:rPr>
        <w:t>doméstica</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interferencia</w:t>
      </w:r>
      <w:r>
        <w:rPr>
          <w:color w:val="231F20"/>
          <w:spacing w:val="-5"/>
        </w:rPr>
        <w:t> </w:t>
      </w:r>
      <w:r>
        <w:rPr>
          <w:color w:val="231F20"/>
        </w:rPr>
        <w:t>variarán</w:t>
      </w:r>
      <w:r>
        <w:rPr>
          <w:color w:val="231F20"/>
          <w:spacing w:val="-4"/>
        </w:rPr>
        <w:t> </w:t>
      </w:r>
      <w:r>
        <w:rPr>
          <w:color w:val="231F20"/>
        </w:rPr>
        <w:t>según</w:t>
      </w:r>
      <w:r>
        <w:rPr>
          <w:color w:val="231F20"/>
          <w:spacing w:val="-4"/>
        </w:rPr>
        <w:t> </w:t>
      </w:r>
      <w:r>
        <w:rPr>
          <w:color w:val="231F20"/>
        </w:rPr>
        <w:t>la composición</w:t>
      </w:r>
      <w:r>
        <w:rPr>
          <w:color w:val="231F20"/>
          <w:spacing w:val="-10"/>
        </w:rPr>
        <w:t> </w:t>
      </w:r>
      <w:r>
        <w:rPr>
          <w:color w:val="231F20"/>
        </w:rPr>
        <w:t>familiar</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acceso</w:t>
      </w:r>
      <w:r>
        <w:rPr>
          <w:color w:val="231F20"/>
          <w:spacing w:val="-9"/>
        </w:rPr>
        <w:t> </w:t>
      </w:r>
      <w:r>
        <w:rPr>
          <w:color w:val="231F20"/>
        </w:rPr>
        <w:t>a</w:t>
      </w:r>
      <w:r>
        <w:rPr>
          <w:color w:val="231F20"/>
          <w:spacing w:val="-9"/>
        </w:rPr>
        <w:t> </w:t>
      </w:r>
      <w:r>
        <w:rPr>
          <w:color w:val="231F20"/>
        </w:rPr>
        <w:t>servicios</w:t>
      </w:r>
      <w:r>
        <w:rPr>
          <w:color w:val="231F20"/>
          <w:spacing w:val="-9"/>
        </w:rPr>
        <w:t> </w:t>
      </w:r>
      <w:r>
        <w:rPr>
          <w:color w:val="231F20"/>
        </w:rPr>
        <w:t>de</w:t>
      </w:r>
      <w:r>
        <w:rPr>
          <w:color w:val="231F20"/>
          <w:spacing w:val="-9"/>
        </w:rPr>
        <w:t> </w:t>
      </w:r>
      <w:r>
        <w:rPr>
          <w:color w:val="231F20"/>
        </w:rPr>
        <w:t>cuidado</w:t>
      </w:r>
      <w:r>
        <w:rPr>
          <w:color w:val="231F20"/>
          <w:spacing w:val="-10"/>
        </w:rPr>
        <w:t> </w:t>
      </w:r>
      <w:r>
        <w:rPr>
          <w:color w:val="231F20"/>
        </w:rPr>
        <w:t>remunerados,</w:t>
      </w:r>
      <w:r>
        <w:rPr>
          <w:color w:val="231F20"/>
          <w:spacing w:val="-9"/>
        </w:rPr>
        <w:t> </w:t>
      </w:r>
      <w:r>
        <w:rPr>
          <w:color w:val="231F20"/>
        </w:rPr>
        <w:t>así como el proceso y control del trabajo</w:t>
      </w:r>
      <w:r>
        <w:rPr>
          <w:color w:val="231F20"/>
          <w:spacing w:val="-3"/>
        </w:rPr>
        <w:t> </w:t>
      </w:r>
      <w:r>
        <w:rPr>
          <w:color w:val="231F20"/>
        </w:rPr>
        <w:t>remunerado.</w:t>
      </w:r>
    </w:p>
    <w:p>
      <w:pPr>
        <w:pStyle w:val="BodyText"/>
        <w:spacing w:line="249" w:lineRule="auto" w:before="1"/>
        <w:ind w:left="110" w:right="111" w:firstLine="283"/>
        <w:jc w:val="both"/>
      </w:pPr>
      <w:r>
        <w:rPr>
          <w:color w:val="231F20"/>
        </w:rPr>
        <w:t>Otro factor que redunda en formas no convencionales de relación la- boral es la alta sensibilidad de algunos sectores ante las fluctuaciones de la</w:t>
      </w:r>
      <w:r>
        <w:rPr>
          <w:color w:val="231F20"/>
          <w:spacing w:val="-5"/>
        </w:rPr>
        <w:t> </w:t>
      </w:r>
      <w:r>
        <w:rPr>
          <w:color w:val="231F20"/>
        </w:rPr>
        <w:t>demanda</w:t>
      </w:r>
      <w:r>
        <w:rPr>
          <w:color w:val="231F20"/>
          <w:spacing w:val="-5"/>
        </w:rPr>
        <w:t> </w:t>
      </w:r>
      <w:r>
        <w:rPr>
          <w:color w:val="231F20"/>
        </w:rPr>
        <w:t>—notoriamente</w:t>
      </w:r>
      <w:r>
        <w:rPr>
          <w:color w:val="231F20"/>
          <w:spacing w:val="-5"/>
        </w:rPr>
        <w:t> </w:t>
      </w:r>
      <w:r>
        <w:rPr>
          <w:color w:val="231F20"/>
        </w:rPr>
        <w:t>las</w:t>
      </w:r>
      <w:r>
        <w:rPr>
          <w:color w:val="231F20"/>
          <w:spacing w:val="-5"/>
        </w:rPr>
        <w:t> </w:t>
      </w:r>
      <w:r>
        <w:rPr>
          <w:color w:val="231F20"/>
        </w:rPr>
        <w:t>estacionales.</w:t>
      </w:r>
      <w:r>
        <w:rPr>
          <w:color w:val="231F20"/>
          <w:spacing w:val="-6"/>
        </w:rPr>
        <w:t> </w:t>
      </w:r>
      <w:r>
        <w:rPr>
          <w:color w:val="231F20"/>
        </w:rPr>
        <w:t>Requiere,</w:t>
      </w:r>
      <w:r>
        <w:rPr>
          <w:color w:val="231F20"/>
          <w:spacing w:val="-5"/>
        </w:rPr>
        <w:t> </w:t>
      </w:r>
      <w:r>
        <w:rPr>
          <w:color w:val="231F20"/>
        </w:rPr>
        <w:t>desde</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de vista de la empresa, una fuerza de trabajo</w:t>
      </w:r>
      <w:r>
        <w:rPr>
          <w:b/>
          <w:color w:val="231F20"/>
        </w:rPr>
        <w:t>— </w:t>
      </w:r>
      <w:r>
        <w:rPr>
          <w:color w:val="231F20"/>
        </w:rPr>
        <w:t>que se podría llamar “para- choques” por su utilidad para resistir imprevistos</w:t>
      </w:r>
      <w:r>
        <w:rPr>
          <w:b/>
          <w:color w:val="231F20"/>
        </w:rPr>
        <w:t>— </w:t>
      </w:r>
      <w:r>
        <w:rPr>
          <w:color w:val="231F20"/>
        </w:rPr>
        <w:t>de la que se pueda prescindir fácilmente cuando disminuye la demanda; </w:t>
      </w:r>
      <w:r>
        <w:rPr>
          <w:color w:val="231F20"/>
          <w:spacing w:val="-7"/>
        </w:rPr>
        <w:t>y, </w:t>
      </w:r>
      <w:r>
        <w:rPr>
          <w:color w:val="231F20"/>
        </w:rPr>
        <w:t>contrariamente, que las empresas mandantes puedan disponer rápidamente de ella en pe- ríodos de incremento de la</w:t>
      </w:r>
      <w:r>
        <w:rPr>
          <w:color w:val="231F20"/>
          <w:spacing w:val="-1"/>
        </w:rPr>
        <w:t> </w:t>
      </w:r>
      <w:r>
        <w:rPr>
          <w:color w:val="231F20"/>
        </w:rPr>
        <w:t>demanda.</w:t>
      </w:r>
    </w:p>
    <w:p>
      <w:pPr>
        <w:pStyle w:val="BodyText"/>
        <w:spacing w:line="249" w:lineRule="auto" w:before="1"/>
        <w:ind w:left="110" w:right="111" w:firstLine="283"/>
        <w:jc w:val="both"/>
      </w:pPr>
      <w:r>
        <w:rPr>
          <w:color w:val="231F20"/>
        </w:rPr>
        <w:t>Externalizar la producción más sensible a las fluctuaciones de la demanda permite también economías del capital fijo, y evita mantener capacidad ociosa en tiempos de baja producción y una disminución de costos relacionados con la readecuación del proceso técnico a las carac- terísticas de nuevos modelos o productos.</w:t>
      </w:r>
    </w:p>
    <w:p>
      <w:pPr>
        <w:pStyle w:val="BodyText"/>
        <w:spacing w:line="249" w:lineRule="auto" w:before="1"/>
        <w:ind w:left="110" w:right="111" w:firstLine="283"/>
        <w:jc w:val="both"/>
      </w:pPr>
      <w:r>
        <w:rPr>
          <w:color w:val="231F20"/>
        </w:rPr>
        <w:t>Otra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flexibilidad</w:t>
      </w:r>
      <w:r>
        <w:rPr>
          <w:color w:val="231F20"/>
          <w:spacing w:val="-5"/>
        </w:rPr>
        <w:t> </w:t>
      </w:r>
      <w:r>
        <w:rPr>
          <w:color w:val="231F20"/>
        </w:rPr>
        <w:t>externa</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subcontratación</w:t>
      </w:r>
      <w:r>
        <w:rPr>
          <w:color w:val="231F20"/>
          <w:spacing w:val="-5"/>
        </w:rPr>
        <w:t> </w:t>
      </w:r>
      <w:r>
        <w:rPr>
          <w:color w:val="231F20"/>
        </w:rPr>
        <w:t>a</w:t>
      </w:r>
      <w:r>
        <w:rPr>
          <w:color w:val="231F20"/>
          <w:spacing w:val="-5"/>
        </w:rPr>
        <w:t> </w:t>
      </w:r>
      <w:r>
        <w:rPr>
          <w:color w:val="231F20"/>
        </w:rPr>
        <w:t>em- presas cuya actividad no es parte del giro principal de la empresa man- dante. De esta forma se logra una disminución de costos aprovechando la especialización de terceros, y haciendo así más ágil el propio</w:t>
      </w:r>
      <w:r>
        <w:rPr>
          <w:color w:val="231F20"/>
          <w:spacing w:val="-28"/>
        </w:rPr>
        <w:t> </w:t>
      </w:r>
      <w:r>
        <w:rPr>
          <w:color w:val="231F20"/>
        </w:rPr>
        <w:t>negocio. La</w:t>
      </w:r>
      <w:r>
        <w:rPr>
          <w:color w:val="231F20"/>
          <w:spacing w:val="-8"/>
        </w:rPr>
        <w:t> </w:t>
      </w:r>
      <w:r>
        <w:rPr>
          <w:color w:val="231F20"/>
        </w:rPr>
        <w:t>subcontratación</w:t>
      </w:r>
      <w:r>
        <w:rPr>
          <w:color w:val="231F20"/>
          <w:spacing w:val="-8"/>
        </w:rPr>
        <w:t> </w:t>
      </w:r>
      <w:r>
        <w:rPr>
          <w:color w:val="231F20"/>
        </w:rPr>
        <w:t>no</w:t>
      </w:r>
      <w:r>
        <w:rPr>
          <w:color w:val="231F20"/>
          <w:spacing w:val="-8"/>
        </w:rPr>
        <w:t> </w:t>
      </w:r>
      <w:r>
        <w:rPr>
          <w:color w:val="231F20"/>
        </w:rPr>
        <w:t>implica</w:t>
      </w:r>
      <w:r>
        <w:rPr>
          <w:color w:val="231F20"/>
          <w:spacing w:val="-9"/>
        </w:rPr>
        <w:t> </w:t>
      </w:r>
      <w:r>
        <w:rPr>
          <w:color w:val="231F20"/>
        </w:rPr>
        <w:t>necesariamente</w:t>
      </w:r>
      <w:r>
        <w:rPr>
          <w:color w:val="231F20"/>
          <w:spacing w:val="-8"/>
        </w:rPr>
        <w:t> </w:t>
      </w:r>
      <w:r>
        <w:rPr>
          <w:color w:val="231F20"/>
        </w:rPr>
        <w:t>precarización</w:t>
      </w:r>
      <w:r>
        <w:rPr>
          <w:color w:val="231F20"/>
          <w:spacing w:val="-8"/>
        </w:rPr>
        <w:t> </w:t>
      </w:r>
      <w:r>
        <w:rPr>
          <w:color w:val="231F20"/>
        </w:rPr>
        <w:t>si</w:t>
      </w:r>
      <w:r>
        <w:rPr>
          <w:color w:val="231F20"/>
          <w:spacing w:val="-8"/>
        </w:rPr>
        <w:t> </w:t>
      </w:r>
      <w:r>
        <w:rPr>
          <w:color w:val="231F20"/>
        </w:rPr>
        <w:t>la</w:t>
      </w:r>
      <w:r>
        <w:rPr>
          <w:color w:val="231F20"/>
          <w:spacing w:val="-8"/>
        </w:rPr>
        <w:t> </w:t>
      </w:r>
      <w:r>
        <w:rPr>
          <w:color w:val="231F20"/>
        </w:rPr>
        <w:t>empre- sa subcontratista mantiene a sus trabajadores/as con contratos laborales regulares, aunque en la práctica la</w:t>
      </w:r>
      <w:r>
        <w:rPr>
          <w:color w:val="231F20"/>
          <w:spacing w:val="-2"/>
        </w:rPr>
        <w:t> </w:t>
      </w:r>
      <w:r>
        <w:rPr>
          <w:color w:val="231F20"/>
        </w:rPr>
        <w:t>facilita.</w:t>
      </w:r>
    </w:p>
    <w:p>
      <w:pPr>
        <w:pStyle w:val="BodyText"/>
        <w:spacing w:before="1"/>
        <w:ind w:left="41" w:right="111"/>
        <w:jc w:val="right"/>
      </w:pPr>
      <w:r>
        <w:rPr>
          <w:color w:val="231F20"/>
        </w:rPr>
        <w:t>También hay que mencionar el suministro de trabajadores/as de alta</w:t>
      </w:r>
    </w:p>
    <w:p>
      <w:pPr>
        <w:spacing w:after="0"/>
        <w:jc w:val="right"/>
        <w:sectPr>
          <w:pgSz w:w="7770" w:h="11740"/>
          <w:pgMar w:header="0" w:footer="474" w:top="840" w:bottom="740" w:left="740" w:right="1020"/>
        </w:sectPr>
      </w:pPr>
    </w:p>
    <w:p>
      <w:pPr>
        <w:pStyle w:val="BodyText"/>
        <w:spacing w:line="249" w:lineRule="auto" w:before="60"/>
        <w:ind w:left="113" w:right="107"/>
        <w:jc w:val="both"/>
      </w:pPr>
      <w:r>
        <w:rPr>
          <w:color w:val="231F20"/>
        </w:rPr>
        <w:t>calificación técnica o profesional en actividades cercanas al giro de la empresa, con contratos a plazo fijo o por honorarios de servicios, ca-  sos en que es frecuente que trabajen en las dependencias de la empresa central y bajo su mando. Las empresas informáticas de </w:t>
      </w:r>
      <w:r>
        <w:rPr>
          <w:i/>
          <w:color w:val="231F20"/>
        </w:rPr>
        <w:t>outsourcing </w:t>
      </w:r>
      <w:r>
        <w:rPr>
          <w:color w:val="231F20"/>
        </w:rPr>
        <w:t>que están</w:t>
      </w:r>
      <w:r>
        <w:rPr>
          <w:color w:val="231F20"/>
          <w:spacing w:val="-11"/>
        </w:rPr>
        <w:t> </w:t>
      </w:r>
      <w:r>
        <w:rPr>
          <w:color w:val="231F20"/>
        </w:rPr>
        <w:t>sujetas</w:t>
      </w:r>
      <w:r>
        <w:rPr>
          <w:color w:val="231F20"/>
          <w:spacing w:val="-11"/>
        </w:rPr>
        <w:t> </w:t>
      </w:r>
      <w:r>
        <w:rPr>
          <w:color w:val="231F20"/>
        </w:rPr>
        <w:t>a</w:t>
      </w:r>
      <w:r>
        <w:rPr>
          <w:color w:val="231F20"/>
          <w:spacing w:val="-11"/>
        </w:rPr>
        <w:t> </w:t>
      </w:r>
      <w:r>
        <w:rPr>
          <w:color w:val="231F20"/>
        </w:rPr>
        <w:t>fluctuaciones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demanda</w:t>
      </w:r>
      <w:r>
        <w:rPr>
          <w:color w:val="231F20"/>
          <w:spacing w:val="-11"/>
        </w:rPr>
        <w:t> </w:t>
      </w:r>
      <w:r>
        <w:rPr>
          <w:color w:val="231F20"/>
        </w:rPr>
        <w:t>utilizan</w:t>
      </w:r>
      <w:r>
        <w:rPr>
          <w:color w:val="231F20"/>
          <w:spacing w:val="-12"/>
        </w:rPr>
        <w:t> </w:t>
      </w:r>
      <w:r>
        <w:rPr>
          <w:color w:val="231F20"/>
        </w:rPr>
        <w:t>este</w:t>
      </w:r>
      <w:r>
        <w:rPr>
          <w:color w:val="231F20"/>
          <w:spacing w:val="-11"/>
        </w:rPr>
        <w:t> </w:t>
      </w:r>
      <w:r>
        <w:rPr>
          <w:color w:val="231F20"/>
        </w:rPr>
        <w:t>recurso</w:t>
      </w:r>
      <w:r>
        <w:rPr>
          <w:color w:val="231F20"/>
          <w:spacing w:val="-11"/>
        </w:rPr>
        <w:t> </w:t>
      </w:r>
      <w:r>
        <w:rPr>
          <w:color w:val="231F20"/>
        </w:rPr>
        <w:t>de</w:t>
      </w:r>
      <w:r>
        <w:rPr>
          <w:color w:val="231F20"/>
          <w:spacing w:val="-11"/>
        </w:rPr>
        <w:t> </w:t>
      </w:r>
      <w:r>
        <w:rPr>
          <w:color w:val="231F20"/>
        </w:rPr>
        <w:t>fuerza de</w:t>
      </w:r>
      <w:r>
        <w:rPr>
          <w:color w:val="231F20"/>
          <w:spacing w:val="-5"/>
        </w:rPr>
        <w:t> </w:t>
      </w:r>
      <w:r>
        <w:rPr>
          <w:color w:val="231F20"/>
        </w:rPr>
        <w:t>trabajo</w:t>
      </w:r>
      <w:r>
        <w:rPr>
          <w:color w:val="231F20"/>
          <w:spacing w:val="-5"/>
        </w:rPr>
        <w:t> </w:t>
      </w:r>
      <w:r>
        <w:rPr>
          <w:color w:val="231F20"/>
        </w:rPr>
        <w:t>adaptable</w:t>
      </w:r>
      <w:r>
        <w:rPr>
          <w:color w:val="231F20"/>
          <w:spacing w:val="-5"/>
        </w:rPr>
        <w:t> </w:t>
      </w:r>
      <w:r>
        <w:rPr>
          <w:color w:val="231F20"/>
        </w:rPr>
        <w:t>sin</w:t>
      </w:r>
      <w:r>
        <w:rPr>
          <w:color w:val="231F20"/>
          <w:spacing w:val="-5"/>
        </w:rPr>
        <w:t> </w:t>
      </w:r>
      <w:r>
        <w:rPr>
          <w:color w:val="231F20"/>
        </w:rPr>
        <w:t>los</w:t>
      </w:r>
      <w:r>
        <w:rPr>
          <w:color w:val="231F20"/>
          <w:spacing w:val="-5"/>
        </w:rPr>
        <w:t> </w:t>
      </w:r>
      <w:r>
        <w:rPr>
          <w:color w:val="231F20"/>
        </w:rPr>
        <w:t>costos</w:t>
      </w:r>
      <w:r>
        <w:rPr>
          <w:color w:val="231F20"/>
          <w:spacing w:val="-5"/>
        </w:rPr>
        <w:t> </w:t>
      </w:r>
      <w:r>
        <w:rPr>
          <w:color w:val="231F20"/>
        </w:rPr>
        <w:t>de</w:t>
      </w:r>
      <w:r>
        <w:rPr>
          <w:color w:val="231F20"/>
          <w:spacing w:val="-5"/>
        </w:rPr>
        <w:t> </w:t>
      </w:r>
      <w:r>
        <w:rPr>
          <w:color w:val="231F20"/>
        </w:rPr>
        <w:t>contratación</w:t>
      </w:r>
      <w:r>
        <w:rPr>
          <w:color w:val="231F20"/>
          <w:spacing w:val="-5"/>
        </w:rPr>
        <w:t> </w:t>
      </w:r>
      <w:r>
        <w:rPr>
          <w:color w:val="231F20"/>
        </w:rPr>
        <w:t>y</w:t>
      </w:r>
      <w:r>
        <w:rPr>
          <w:color w:val="231F20"/>
          <w:spacing w:val="-5"/>
        </w:rPr>
        <w:t> </w:t>
      </w:r>
      <w:r>
        <w:rPr>
          <w:color w:val="231F20"/>
        </w:rPr>
        <w:t>despido</w:t>
      </w:r>
      <w:r>
        <w:rPr>
          <w:color w:val="231F20"/>
          <w:spacing w:val="-5"/>
        </w:rPr>
        <w:t> </w:t>
      </w:r>
      <w:r>
        <w:rPr>
          <w:color w:val="231F20"/>
        </w:rPr>
        <w:t>o</w:t>
      </w:r>
      <w:r>
        <w:rPr>
          <w:color w:val="231F20"/>
          <w:spacing w:val="-5"/>
        </w:rPr>
        <w:t> </w:t>
      </w:r>
      <w:r>
        <w:rPr>
          <w:color w:val="231F20"/>
        </w:rPr>
        <w:t>de</w:t>
      </w:r>
      <w:r>
        <w:rPr>
          <w:color w:val="231F20"/>
          <w:spacing w:val="-5"/>
        </w:rPr>
        <w:t> </w:t>
      </w:r>
      <w:r>
        <w:rPr>
          <w:color w:val="231F20"/>
        </w:rPr>
        <w:t>mante- ner</w:t>
      </w:r>
      <w:r>
        <w:rPr>
          <w:color w:val="231F20"/>
          <w:spacing w:val="-4"/>
        </w:rPr>
        <w:t> </w:t>
      </w:r>
      <w:r>
        <w:rPr>
          <w:color w:val="231F20"/>
        </w:rPr>
        <w:t>una</w:t>
      </w:r>
      <w:r>
        <w:rPr>
          <w:color w:val="231F20"/>
          <w:spacing w:val="-4"/>
        </w:rPr>
        <w:t> </w:t>
      </w:r>
      <w:r>
        <w:rPr>
          <w:color w:val="231F20"/>
        </w:rPr>
        <w:t>sobredotación</w:t>
      </w:r>
      <w:r>
        <w:rPr>
          <w:color w:val="231F20"/>
          <w:spacing w:val="-4"/>
        </w:rPr>
        <w:t> </w:t>
      </w:r>
      <w:r>
        <w:rPr>
          <w:color w:val="231F20"/>
        </w:rPr>
        <w:t>y</w:t>
      </w:r>
      <w:r>
        <w:rPr>
          <w:color w:val="231F20"/>
          <w:spacing w:val="-4"/>
        </w:rPr>
        <w:t> </w:t>
      </w:r>
      <w:r>
        <w:rPr>
          <w:color w:val="231F20"/>
        </w:rPr>
        <w:t>“tiempos</w:t>
      </w:r>
      <w:r>
        <w:rPr>
          <w:color w:val="231F20"/>
          <w:spacing w:val="-5"/>
        </w:rPr>
        <w:t> </w:t>
      </w:r>
      <w:r>
        <w:rPr>
          <w:color w:val="231F20"/>
        </w:rPr>
        <w:t>muertos”.</w:t>
      </w:r>
      <w:r>
        <w:rPr>
          <w:color w:val="231F20"/>
          <w:spacing w:val="-5"/>
        </w:rPr>
        <w:t> </w:t>
      </w:r>
      <w:r>
        <w:rPr>
          <w:color w:val="231F20"/>
        </w:rPr>
        <w:t>Por</w:t>
      </w:r>
      <w:r>
        <w:rPr>
          <w:color w:val="231F20"/>
          <w:spacing w:val="-4"/>
        </w:rPr>
        <w:t> </w:t>
      </w:r>
      <w:r>
        <w:rPr>
          <w:color w:val="231F20"/>
        </w:rPr>
        <w:t>lo</w:t>
      </w:r>
      <w:r>
        <w:rPr>
          <w:color w:val="231F20"/>
          <w:spacing w:val="-5"/>
        </w:rPr>
        <w:t> </w:t>
      </w:r>
      <w:r>
        <w:rPr>
          <w:color w:val="231F20"/>
        </w:rPr>
        <w:t>tanto,</w:t>
      </w:r>
      <w:r>
        <w:rPr>
          <w:color w:val="231F20"/>
          <w:spacing w:val="-5"/>
        </w:rPr>
        <w:t> </w:t>
      </w:r>
      <w:r>
        <w:rPr>
          <w:color w:val="231F20"/>
        </w:rPr>
        <w:t>aunque</w:t>
      </w:r>
      <w:r>
        <w:rPr>
          <w:color w:val="231F20"/>
          <w:spacing w:val="-5"/>
        </w:rPr>
        <w:t> </w:t>
      </w:r>
      <w:r>
        <w:rPr>
          <w:color w:val="231F20"/>
        </w:rPr>
        <w:t>se</w:t>
      </w:r>
      <w:r>
        <w:rPr>
          <w:color w:val="231F20"/>
          <w:spacing w:val="-4"/>
        </w:rPr>
        <w:t> </w:t>
      </w:r>
      <w:r>
        <w:rPr>
          <w:color w:val="231F20"/>
        </w:rPr>
        <w:t>trate de</w:t>
      </w:r>
      <w:r>
        <w:rPr>
          <w:color w:val="231F20"/>
          <w:spacing w:val="-9"/>
        </w:rPr>
        <w:t> </w:t>
      </w:r>
      <w:r>
        <w:rPr>
          <w:color w:val="231F20"/>
        </w:rPr>
        <w:t>empresas</w:t>
      </w:r>
      <w:r>
        <w:rPr>
          <w:color w:val="231F20"/>
          <w:spacing w:val="-9"/>
        </w:rPr>
        <w:t> </w:t>
      </w:r>
      <w:r>
        <w:rPr>
          <w:color w:val="231F20"/>
        </w:rPr>
        <w:t>con</w:t>
      </w:r>
      <w:r>
        <w:rPr>
          <w:color w:val="231F20"/>
          <w:spacing w:val="-9"/>
        </w:rPr>
        <w:t> </w:t>
      </w:r>
      <w:r>
        <w:rPr>
          <w:color w:val="231F20"/>
        </w:rPr>
        <w:t>mayor</w:t>
      </w:r>
      <w:r>
        <w:rPr>
          <w:color w:val="231F20"/>
          <w:spacing w:val="-9"/>
        </w:rPr>
        <w:t> </w:t>
      </w:r>
      <w:r>
        <w:rPr>
          <w:color w:val="231F20"/>
        </w:rPr>
        <w:t>énfasis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calidad</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productividad,</w:t>
      </w:r>
      <w:r>
        <w:rPr>
          <w:color w:val="231F20"/>
          <w:spacing w:val="-9"/>
        </w:rPr>
        <w:t> </w:t>
      </w:r>
      <w:r>
        <w:rPr>
          <w:color w:val="231F20"/>
        </w:rPr>
        <w:t>tienen</w:t>
      </w:r>
      <w:r>
        <w:rPr>
          <w:color w:val="231F20"/>
          <w:spacing w:val="-9"/>
        </w:rPr>
        <w:t> </w:t>
      </w:r>
      <w:r>
        <w:rPr>
          <w:color w:val="231F20"/>
        </w:rPr>
        <w:t>en común</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empresas</w:t>
      </w:r>
      <w:r>
        <w:rPr>
          <w:color w:val="231F20"/>
          <w:spacing w:val="-11"/>
        </w:rPr>
        <w:t> </w:t>
      </w:r>
      <w:r>
        <w:rPr>
          <w:color w:val="231F20"/>
        </w:rPr>
        <w:t>cuyo</w:t>
      </w:r>
      <w:r>
        <w:rPr>
          <w:color w:val="231F20"/>
          <w:spacing w:val="-11"/>
        </w:rPr>
        <w:t> </w:t>
      </w:r>
      <w:r>
        <w:rPr>
          <w:color w:val="231F20"/>
        </w:rPr>
        <w:t>énfasis</w:t>
      </w:r>
      <w:r>
        <w:rPr>
          <w:color w:val="231F20"/>
          <w:spacing w:val="-11"/>
        </w:rPr>
        <w:t> </w:t>
      </w:r>
      <w:r>
        <w:rPr>
          <w:color w:val="231F20"/>
        </w:rPr>
        <w:t>principal</w:t>
      </w:r>
      <w:r>
        <w:rPr>
          <w:color w:val="231F20"/>
          <w:spacing w:val="-11"/>
        </w:rPr>
        <w:t> </w:t>
      </w:r>
      <w:r>
        <w:rPr>
          <w:color w:val="231F20"/>
        </w:rPr>
        <w:t>son</w:t>
      </w:r>
      <w:r>
        <w:rPr>
          <w:color w:val="231F20"/>
          <w:spacing w:val="-11"/>
        </w:rPr>
        <w:t> </w:t>
      </w:r>
      <w:r>
        <w:rPr>
          <w:color w:val="231F20"/>
        </w:rPr>
        <w:t>los</w:t>
      </w:r>
      <w:r>
        <w:rPr>
          <w:color w:val="231F20"/>
          <w:spacing w:val="-11"/>
        </w:rPr>
        <w:t> </w:t>
      </w:r>
      <w:r>
        <w:rPr>
          <w:color w:val="231F20"/>
        </w:rPr>
        <w:t>costos,</w:t>
      </w:r>
      <w:r>
        <w:rPr>
          <w:color w:val="231F20"/>
          <w:spacing w:val="-11"/>
        </w:rPr>
        <w:t> </w:t>
      </w:r>
      <w:r>
        <w:rPr>
          <w:color w:val="231F20"/>
        </w:rPr>
        <w:t>la</w:t>
      </w:r>
      <w:r>
        <w:rPr>
          <w:color w:val="231F20"/>
          <w:spacing w:val="-11"/>
        </w:rPr>
        <w:t> </w:t>
      </w:r>
      <w:r>
        <w:rPr>
          <w:color w:val="231F20"/>
        </w:rPr>
        <w:t>creación de dos segmentos de trabajadores/as, con un núcleo estable protegido y una periferia con menor protección, aunque estos dos segmentos tengan altas</w:t>
      </w:r>
      <w:r>
        <w:rPr>
          <w:color w:val="231F20"/>
          <w:spacing w:val="-11"/>
        </w:rPr>
        <w:t> </w:t>
      </w:r>
      <w:r>
        <w:rPr>
          <w:color w:val="231F20"/>
        </w:rPr>
        <w:t>calificaciones.</w:t>
      </w:r>
    </w:p>
    <w:p>
      <w:pPr>
        <w:pStyle w:val="BodyText"/>
        <w:spacing w:line="249" w:lineRule="auto" w:before="1"/>
        <w:ind w:left="113" w:right="107" w:firstLine="283"/>
        <w:jc w:val="both"/>
      </w:pPr>
      <w:r>
        <w:rPr>
          <w:color w:val="231F20"/>
        </w:rPr>
        <w:t>Estos cambios en la organización de la producción y el trabajo se pueden analizar como un proceso de redistribución del riesgo empresa- rial entre empresas centrales y empresas subordinadas, y entre empresas y distintos tipos de trabajadores, o como una redistribución al interior del</w:t>
      </w:r>
      <w:r>
        <w:rPr>
          <w:color w:val="231F20"/>
          <w:spacing w:val="-4"/>
        </w:rPr>
        <w:t> </w:t>
      </w:r>
      <w:r>
        <w:rPr>
          <w:color w:val="231F20"/>
        </w:rPr>
        <w:t>grupo</w:t>
      </w:r>
      <w:r>
        <w:rPr>
          <w:color w:val="231F20"/>
          <w:spacing w:val="-4"/>
        </w:rPr>
        <w:t> </w:t>
      </w:r>
      <w:r>
        <w:rPr>
          <w:color w:val="231F20"/>
        </w:rPr>
        <w:t>de</w:t>
      </w:r>
      <w:r>
        <w:rPr>
          <w:color w:val="231F20"/>
          <w:spacing w:val="-4"/>
        </w:rPr>
        <w:t> </w:t>
      </w:r>
      <w:r>
        <w:rPr>
          <w:color w:val="231F20"/>
        </w:rPr>
        <w:t>asalariados</w:t>
      </w:r>
      <w:r>
        <w:rPr>
          <w:color w:val="231F20"/>
          <w:spacing w:val="-5"/>
        </w:rPr>
        <w:t> </w:t>
      </w:r>
      <w:r>
        <w:rPr>
          <w:color w:val="231F20"/>
        </w:rPr>
        <w:t>de</w:t>
      </w:r>
      <w:r>
        <w:rPr>
          <w:color w:val="231F20"/>
          <w:spacing w:val="-4"/>
        </w:rPr>
        <w:t> </w:t>
      </w:r>
      <w:r>
        <w:rPr>
          <w:color w:val="231F20"/>
        </w:rPr>
        <w:t>manera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les</w:t>
      </w:r>
      <w:r>
        <w:rPr>
          <w:color w:val="231F20"/>
          <w:spacing w:val="-4"/>
        </w:rPr>
        <w:t> </w:t>
      </w:r>
      <w:r>
        <w:rPr>
          <w:color w:val="231F20"/>
        </w:rPr>
        <w:t>traspasa</w:t>
      </w:r>
      <w:r>
        <w:rPr>
          <w:color w:val="231F20"/>
          <w:spacing w:val="-4"/>
        </w:rPr>
        <w:t> </w:t>
      </w:r>
      <w:r>
        <w:rPr>
          <w:color w:val="231F20"/>
        </w:rPr>
        <w:t>a</w:t>
      </w:r>
      <w:r>
        <w:rPr>
          <w:color w:val="231F20"/>
          <w:spacing w:val="-4"/>
        </w:rPr>
        <w:t> </w:t>
      </w:r>
      <w:r>
        <w:rPr>
          <w:color w:val="231F20"/>
        </w:rPr>
        <w:t>algunos</w:t>
      </w:r>
      <w:r>
        <w:rPr>
          <w:color w:val="231F20"/>
          <w:spacing w:val="-4"/>
        </w:rPr>
        <w:t> </w:t>
      </w:r>
      <w:r>
        <w:rPr>
          <w:color w:val="231F20"/>
        </w:rPr>
        <w:t>de</w:t>
      </w:r>
      <w:r>
        <w:rPr>
          <w:color w:val="231F20"/>
          <w:spacing w:val="-4"/>
        </w:rPr>
        <w:t> </w:t>
      </w:r>
      <w:r>
        <w:rPr>
          <w:color w:val="231F20"/>
        </w:rPr>
        <w:t>ellos parte del costo de las variaciones en la demanda (Gálvez,</w:t>
      </w:r>
      <w:r>
        <w:rPr>
          <w:color w:val="231F20"/>
          <w:spacing w:val="-3"/>
        </w:rPr>
        <w:t> </w:t>
      </w:r>
      <w:r>
        <w:rPr>
          <w:color w:val="231F20"/>
        </w:rPr>
        <w:t>2005).</w:t>
      </w:r>
    </w:p>
    <w:p>
      <w:pPr>
        <w:pStyle w:val="BodyText"/>
        <w:spacing w:line="249" w:lineRule="auto" w:before="1"/>
        <w:ind w:left="113" w:right="107" w:firstLine="283"/>
        <w:jc w:val="both"/>
      </w:pPr>
      <w:r>
        <w:rPr>
          <w:color w:val="231F20"/>
        </w:rPr>
        <w:t>En el proceso de flexibilización interna es particularmente relevante destacar la desestandarización de la jornada laboral. En su forma numé- rica, se expresa en una creciente variedad de jornadas que afectan tanto la duración como los horarios de trabajo (turnos, trabajo nocturno y en días festivos), a la vez que se flexibiliza la organización del tiempo de trabajo (jornadas variables, sin horario fijo, trabajo a demanda o de libre disponibilidad, trabajo escalonado, etc.) (Díaz y Todaro, 2004). Uno de los sectores paradigmáticos que muestran este proceso de desestandari- zación es el sector del </w:t>
      </w:r>
      <w:r>
        <w:rPr>
          <w:i/>
          <w:color w:val="231F20"/>
        </w:rPr>
        <w:t>retail</w:t>
      </w:r>
      <w:r>
        <w:rPr>
          <w:color w:val="231F20"/>
        </w:rPr>
        <w:t>. Una investigación sobre las condiciones de trabajo de una gran cadena de supermercados, realizada en Chile, ilustra y analiza una diversidad de procesos de flexibilización interna, donde la proliferación de tipos de jornada tiene una especial importancia.</w:t>
      </w:r>
    </w:p>
    <w:p>
      <w:pPr>
        <w:pStyle w:val="BodyText"/>
        <w:spacing w:line="249" w:lineRule="auto" w:before="1"/>
        <w:ind w:left="113" w:right="107" w:firstLine="283"/>
        <w:jc w:val="both"/>
      </w:pPr>
      <w:r>
        <w:rPr>
          <w:color w:val="231F20"/>
        </w:rPr>
        <w:t>Lo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denomina</w:t>
      </w:r>
      <w:r>
        <w:rPr>
          <w:color w:val="231F20"/>
          <w:spacing w:val="-6"/>
        </w:rPr>
        <w:t> </w:t>
      </w:r>
      <w:r>
        <w:rPr>
          <w:color w:val="231F20"/>
        </w:rPr>
        <w:t>flexibilidad</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jornada</w:t>
      </w:r>
      <w:r>
        <w:rPr>
          <w:color w:val="231F20"/>
          <w:spacing w:val="-6"/>
        </w:rPr>
        <w:t> </w:t>
      </w:r>
      <w:r>
        <w:rPr>
          <w:color w:val="231F20"/>
        </w:rPr>
        <w:t>laboral</w:t>
      </w:r>
      <w:r>
        <w:rPr>
          <w:color w:val="231F20"/>
          <w:spacing w:val="-6"/>
        </w:rPr>
        <w:t> </w:t>
      </w:r>
      <w:r>
        <w:rPr>
          <w:color w:val="231F20"/>
        </w:rPr>
        <w:t>se</w:t>
      </w:r>
      <w:r>
        <w:rPr>
          <w:color w:val="231F20"/>
          <w:spacing w:val="-6"/>
        </w:rPr>
        <w:t> </w:t>
      </w:r>
      <w:r>
        <w:rPr>
          <w:color w:val="231F20"/>
        </w:rPr>
        <w:t>traduce</w:t>
      </w:r>
      <w:r>
        <w:rPr>
          <w:color w:val="231F20"/>
          <w:spacing w:val="-6"/>
        </w:rPr>
        <w:t> </w:t>
      </w:r>
      <w:r>
        <w:rPr>
          <w:color w:val="231F20"/>
        </w:rPr>
        <w:t>en</w:t>
      </w:r>
      <w:r>
        <w:rPr>
          <w:color w:val="231F20"/>
          <w:spacing w:val="-6"/>
        </w:rPr>
        <w:t> </w:t>
      </w:r>
      <w:r>
        <w:rPr>
          <w:color w:val="231F20"/>
        </w:rPr>
        <w:t>la realidad actual en fuertes rigideces, que no dan espacio para adaptarla a las necesidades de las personas y a la flexibilidad requerida en el trabajo reproductivo y de cuidado (Díaz y Todaro,</w:t>
      </w:r>
      <w:r>
        <w:rPr>
          <w:color w:val="231F20"/>
          <w:spacing w:val="-19"/>
        </w:rPr>
        <w:t> </w:t>
      </w:r>
      <w:r>
        <w:rPr>
          <w:color w:val="231F20"/>
        </w:rPr>
        <w:t>2004).</w:t>
      </w:r>
    </w:p>
    <w:p>
      <w:pPr>
        <w:pStyle w:val="BodyText"/>
        <w:spacing w:line="249" w:lineRule="auto" w:before="1"/>
        <w:ind w:left="113" w:right="108" w:firstLine="283"/>
        <w:jc w:val="both"/>
      </w:pPr>
      <w:r>
        <w:rPr>
          <w:color w:val="231F20"/>
        </w:rPr>
        <w:t>En el trabajo por turnos, los bloques de trabajo y tiempo libre varían en cuanto a su extensión y distribución, de manera que los horarios y días de descanso pueden ser modificados permanentemente, limitando a los y las trabajadores/as la planificación de su tiempo extra-laboral. La tendencia al crecimiento del sector servicios incide en este problema, ya que,</w:t>
      </w:r>
      <w:r>
        <w:rPr>
          <w:color w:val="231F20"/>
          <w:spacing w:val="-8"/>
        </w:rPr>
        <w:t> </w:t>
      </w:r>
      <w:r>
        <w:rPr>
          <w:color w:val="231F20"/>
        </w:rPr>
        <w:t>en</w:t>
      </w:r>
      <w:r>
        <w:rPr>
          <w:color w:val="231F20"/>
          <w:spacing w:val="-9"/>
        </w:rPr>
        <w:t> </w:t>
      </w:r>
      <w:r>
        <w:rPr>
          <w:color w:val="231F20"/>
        </w:rPr>
        <w:t>estas</w:t>
      </w:r>
      <w:r>
        <w:rPr>
          <w:color w:val="231F20"/>
          <w:spacing w:val="-9"/>
        </w:rPr>
        <w:t> </w:t>
      </w:r>
      <w:r>
        <w:rPr>
          <w:color w:val="231F20"/>
        </w:rPr>
        <w:t>actividades,</w:t>
      </w:r>
      <w:r>
        <w:rPr>
          <w:color w:val="231F20"/>
          <w:spacing w:val="-9"/>
        </w:rPr>
        <w:t> </w:t>
      </w:r>
      <w:r>
        <w:rPr>
          <w:color w:val="231F20"/>
        </w:rPr>
        <w:t>los</w:t>
      </w:r>
      <w:r>
        <w:rPr>
          <w:color w:val="231F20"/>
          <w:spacing w:val="-9"/>
        </w:rPr>
        <w:t> </w:t>
      </w:r>
      <w:r>
        <w:rPr>
          <w:color w:val="231F20"/>
        </w:rPr>
        <w:t>tiempos</w:t>
      </w:r>
      <w:r>
        <w:rPr>
          <w:color w:val="231F20"/>
          <w:spacing w:val="-9"/>
        </w:rPr>
        <w:t> </w:t>
      </w:r>
      <w:r>
        <w:rPr>
          <w:color w:val="231F20"/>
        </w:rPr>
        <w:t>del</w:t>
      </w:r>
      <w:r>
        <w:rPr>
          <w:color w:val="231F20"/>
          <w:spacing w:val="-8"/>
        </w:rPr>
        <w:t> </w:t>
      </w:r>
      <w:r>
        <w:rPr>
          <w:color w:val="231F20"/>
        </w:rPr>
        <w:t>trabajo</w:t>
      </w:r>
      <w:r>
        <w:rPr>
          <w:color w:val="231F20"/>
          <w:spacing w:val="-9"/>
        </w:rPr>
        <w:t> </w:t>
      </w:r>
      <w:r>
        <w:rPr>
          <w:color w:val="231F20"/>
        </w:rPr>
        <w:t>tienen</w:t>
      </w:r>
      <w:r>
        <w:rPr>
          <w:color w:val="231F20"/>
          <w:spacing w:val="-9"/>
        </w:rPr>
        <w:t> </w:t>
      </w:r>
      <w:r>
        <w:rPr>
          <w:color w:val="231F20"/>
        </w:rPr>
        <w:t>que</w:t>
      </w:r>
      <w:r>
        <w:rPr>
          <w:color w:val="231F20"/>
          <w:spacing w:val="-8"/>
        </w:rPr>
        <w:t> </w:t>
      </w:r>
      <w:r>
        <w:rPr>
          <w:color w:val="231F20"/>
        </w:rPr>
        <w:t>coincidir</w:t>
      </w:r>
      <w:r>
        <w:rPr>
          <w:color w:val="231F20"/>
          <w:spacing w:val="-9"/>
        </w:rPr>
        <w:t> </w:t>
      </w:r>
      <w:r>
        <w:rPr>
          <w:color w:val="231F20"/>
        </w:rPr>
        <w:t>con los tiempos del</w:t>
      </w:r>
      <w:r>
        <w:rPr>
          <w:color w:val="231F20"/>
          <w:spacing w:val="-2"/>
        </w:rPr>
        <w:t> </w:t>
      </w:r>
      <w:r>
        <w:rPr>
          <w:color w:val="231F20"/>
        </w:rPr>
        <w:t>consumo.</w:t>
      </w:r>
    </w:p>
    <w:p>
      <w:pPr>
        <w:spacing w:after="0" w:line="249" w:lineRule="auto"/>
        <w:jc w:val="both"/>
        <w:sectPr>
          <w:footerReference w:type="default" r:id="rId236"/>
          <w:pgSz w:w="7770" w:h="11740"/>
          <w:pgMar w:footer="474" w:header="0" w:top="840" w:bottom="660" w:left="1020" w:right="740"/>
          <w:pgNumType w:start="191"/>
        </w:sectPr>
      </w:pPr>
    </w:p>
    <w:p>
      <w:pPr>
        <w:pStyle w:val="BodyText"/>
        <w:spacing w:line="249" w:lineRule="auto" w:before="60"/>
        <w:ind w:left="110" w:right="111" w:firstLine="283"/>
        <w:jc w:val="both"/>
      </w:pPr>
      <w:r>
        <w:rPr>
          <w:color w:val="231F20"/>
        </w:rPr>
        <w:t>En</w:t>
      </w:r>
      <w:r>
        <w:rPr>
          <w:color w:val="231F20"/>
          <w:spacing w:val="-5"/>
        </w:rPr>
        <w:t> </w:t>
      </w:r>
      <w:r>
        <w:rPr>
          <w:color w:val="231F20"/>
        </w:rPr>
        <w:t>la</w:t>
      </w:r>
      <w:r>
        <w:rPr>
          <w:color w:val="231F20"/>
          <w:spacing w:val="-5"/>
        </w:rPr>
        <w:t> </w:t>
      </w:r>
      <w:r>
        <w:rPr>
          <w:color w:val="231F20"/>
        </w:rPr>
        <w:t>modalidad</w:t>
      </w:r>
      <w:r>
        <w:rPr>
          <w:color w:val="231F20"/>
          <w:spacing w:val="-6"/>
        </w:rPr>
        <w:t> </w:t>
      </w:r>
      <w:r>
        <w:rPr>
          <w:color w:val="231F20"/>
        </w:rPr>
        <w:t>de</w:t>
      </w:r>
      <w:r>
        <w:rPr>
          <w:color w:val="231F20"/>
          <w:spacing w:val="-5"/>
        </w:rPr>
        <w:t> </w:t>
      </w:r>
      <w:r>
        <w:rPr>
          <w:color w:val="231F20"/>
        </w:rPr>
        <w:t>jornada</w:t>
      </w:r>
      <w:r>
        <w:rPr>
          <w:color w:val="231F20"/>
          <w:spacing w:val="-6"/>
        </w:rPr>
        <w:t> </w:t>
      </w:r>
      <w:r>
        <w:rPr>
          <w:color w:val="231F20"/>
        </w:rPr>
        <w:t>completa</w:t>
      </w:r>
      <w:r>
        <w:rPr>
          <w:color w:val="231F20"/>
          <w:spacing w:val="-6"/>
        </w:rPr>
        <w:t> </w:t>
      </w:r>
      <w:r>
        <w:rPr>
          <w:color w:val="231F20"/>
        </w:rPr>
        <w:t>interrumpida,</w:t>
      </w:r>
      <w:r>
        <w:rPr>
          <w:color w:val="231F20"/>
          <w:spacing w:val="-6"/>
        </w:rPr>
        <w:t> </w:t>
      </w:r>
      <w:r>
        <w:rPr>
          <w:color w:val="231F20"/>
        </w:rPr>
        <w:t>especialmente</w:t>
      </w:r>
      <w:r>
        <w:rPr>
          <w:color w:val="231F20"/>
          <w:spacing w:val="-6"/>
        </w:rPr>
        <w:t> </w:t>
      </w:r>
      <w:r>
        <w:rPr>
          <w:color w:val="231F20"/>
        </w:rPr>
        <w:t>en comercio y algunos servicios, se produce un uso discrecional por parte del empleador del tiempo de pausas no remuneradas (la más común es  el almuerzo), que se extiende de manera tal que deja tiempos remunera- dos disponibles para asegurar la permanencia en los horarios de mayor actividad sin tener que pagar horas extraordinarias o contratar más tra- bajadores/as. En consecuencia, la jornada se alarga en la práctica,</w:t>
      </w:r>
      <w:r>
        <w:rPr>
          <w:color w:val="231F20"/>
          <w:spacing w:val="-28"/>
        </w:rPr>
        <w:t> </w:t>
      </w:r>
      <w:r>
        <w:rPr>
          <w:color w:val="231F20"/>
        </w:rPr>
        <w:t>dismi- nuyendo la libre disposición del tiempo extra laboral, en especial en las grandes ciudades como consecuencia de la dispersión de la localización de los establecimientos productivos y de</w:t>
      </w:r>
      <w:r>
        <w:rPr>
          <w:color w:val="231F20"/>
          <w:spacing w:val="-2"/>
        </w:rPr>
        <w:t> </w:t>
      </w:r>
      <w:r>
        <w:rPr>
          <w:color w:val="231F20"/>
        </w:rPr>
        <w:t>residencia.</w:t>
      </w:r>
    </w:p>
    <w:p>
      <w:pPr>
        <w:pStyle w:val="BodyText"/>
        <w:spacing w:line="249" w:lineRule="auto" w:before="1"/>
        <w:ind w:left="110" w:right="111" w:firstLine="283"/>
        <w:jc w:val="both"/>
      </w:pPr>
      <w:r>
        <w:rPr>
          <w:color w:val="231F20"/>
        </w:rPr>
        <w:t>Se comprueba un aumento de las jornadas laborales libres, no su- jetas a control horario pero sí a mecanismos indirectos de control, es- pecialmente a través de altas exigencias en las metas impuestas a el/la trabajador/a, combinadas con bajas remuneraciones fijas y un alto por- centaje variable de la remuneración. De esta manera, se logra extender la duración de la jornada más allá de la jornada ordinaria, aunque con flexibilidad en los</w:t>
      </w:r>
      <w:r>
        <w:rPr>
          <w:color w:val="231F20"/>
          <w:spacing w:val="-11"/>
        </w:rPr>
        <w:t> </w:t>
      </w:r>
      <w:r>
        <w:rPr>
          <w:color w:val="231F20"/>
        </w:rPr>
        <w:t>horarios.</w:t>
      </w:r>
    </w:p>
    <w:p>
      <w:pPr>
        <w:pStyle w:val="BodyText"/>
        <w:spacing w:line="249" w:lineRule="auto" w:before="1"/>
        <w:ind w:left="33" w:right="111" w:firstLine="283"/>
        <w:jc w:val="right"/>
      </w:pPr>
      <w:r>
        <w:rPr>
          <w:color w:val="231F20"/>
        </w:rPr>
        <w:t>Otra modalidad que prolifera en algunos servicios es la jornada flexi- ble en contacto permanente con la empresa a la espera de un llamado (</w:t>
      </w:r>
      <w:r>
        <w:rPr>
          <w:i/>
          <w:color w:val="231F20"/>
        </w:rPr>
        <w:t>on</w:t>
      </w:r>
      <w:r>
        <w:rPr>
          <w:i/>
          <w:color w:val="231F20"/>
        </w:rPr>
        <w:t> call</w:t>
      </w:r>
      <w:r>
        <w:rPr>
          <w:color w:val="231F20"/>
        </w:rPr>
        <w:t>), para satisfacer una demanda muy variable en términos de urgencia o momentos muy específicos. La jornada depende del ritmo de la deman- da, de manera que limita la libre disponibilidad del tiempo extra-laboral. Los horarios de entrada y salida desplazados permiten a los/as traba- jadores/as adelantar o retrasar el ingreso, manteniendo la extensión diaria de la jornada y una franja rígida de presencia. Este tipo de flexibilidad</w:t>
      </w:r>
      <w:r>
        <w:rPr>
          <w:color w:val="231F20"/>
          <w:w w:val="98"/>
        </w:rPr>
        <w:t> </w:t>
      </w:r>
      <w:r>
        <w:rPr>
          <w:color w:val="231F20"/>
        </w:rPr>
        <w:t>facilita en cierta medida la conciliación entre trabajo productivo y repro- ductivo, y ofrece una mayor libertad en el manejo de la vida extra-labo- ral. Sin embargo, no todos los empleos y procesos de trabajo permiten este tipo de flexibilidad horaria, ya que algunos trabajos se basan en la</w:t>
      </w:r>
      <w:r>
        <w:rPr>
          <w:color w:val="231F20"/>
          <w:w w:val="100"/>
        </w:rPr>
        <w:t> </w:t>
      </w:r>
      <w:r>
        <w:rPr>
          <w:color w:val="231F20"/>
        </w:rPr>
        <w:t>presencia física en el puesto de trabajo, ya sea en procesos colectivos de</w:t>
      </w:r>
    </w:p>
    <w:p>
      <w:pPr>
        <w:pStyle w:val="BodyText"/>
        <w:spacing w:before="1"/>
        <w:ind w:left="110" w:right="792"/>
      </w:pPr>
      <w:r>
        <w:rPr>
          <w:color w:val="231F20"/>
        </w:rPr>
        <w:t>trabajo como en servicios de atención a público.</w:t>
      </w:r>
    </w:p>
    <w:p>
      <w:pPr>
        <w:pStyle w:val="BodyText"/>
        <w:spacing w:line="249" w:lineRule="auto" w:before="10"/>
        <w:ind w:left="40" w:right="111" w:firstLine="283"/>
        <w:jc w:val="right"/>
      </w:pPr>
      <w:r>
        <w:rPr>
          <w:color w:val="231F20"/>
        </w:rPr>
        <w:t>La flexibilidad de la jornada que deriva en jornadas extensas se pro-</w:t>
      </w:r>
      <w:r>
        <w:rPr>
          <w:color w:val="231F20"/>
          <w:w w:val="99"/>
        </w:rPr>
        <w:t> </w:t>
      </w:r>
      <w:r>
        <w:rPr>
          <w:color w:val="231F20"/>
        </w:rPr>
        <w:t>duce a través de las remuneraciones variables.</w:t>
      </w:r>
      <w:r>
        <w:rPr>
          <w:color w:val="231F20"/>
          <w:position w:val="7"/>
          <w:sz w:val="11"/>
        </w:rPr>
        <w:t>4 </w:t>
      </w:r>
      <w:r>
        <w:rPr>
          <w:color w:val="231F20"/>
        </w:rPr>
        <w:t>Las remuneraciones que tienen un gran componente variable estimulan la “complicidad” de los/as trabajadores/as para la extensión de la jornada por sobre la jornada legal. Las jornadas parciales están proliferando como forma de cubrir pe- riodos de mayor demanda en ciertas épocas del año, o en el comercio y servicios de fines de semana. Este tipo de jornadas se utiliza para traba-</w:t>
      </w:r>
    </w:p>
    <w:p>
      <w:pPr>
        <w:pStyle w:val="BodyText"/>
        <w:rPr>
          <w:sz w:val="24"/>
        </w:rPr>
      </w:pPr>
    </w:p>
    <w:p>
      <w:pPr>
        <w:spacing w:before="0"/>
        <w:ind w:left="110" w:right="47" w:firstLine="0"/>
        <w:jc w:val="left"/>
        <w:rPr>
          <w:sz w:val="14"/>
        </w:rPr>
      </w:pPr>
      <w:r>
        <w:rPr>
          <w:color w:val="231F20"/>
          <w:position w:val="5"/>
          <w:sz w:val="8"/>
        </w:rPr>
        <w:t>4 </w:t>
      </w:r>
      <w:r>
        <w:rPr>
          <w:color w:val="231F20"/>
          <w:sz w:val="14"/>
        </w:rPr>
        <w:t>Los sistemas de pago variables se pueden considerar como una forma de flexibilidad que se agrega a la funcional y la numérica: la flexibilidad financiera (Gálvez, 2001).</w:t>
      </w:r>
    </w:p>
    <w:p>
      <w:pPr>
        <w:spacing w:after="0"/>
        <w:jc w:val="left"/>
        <w:rPr>
          <w:sz w:val="14"/>
        </w:rPr>
        <w:sectPr>
          <w:pgSz w:w="7770" w:h="11740"/>
          <w:pgMar w:header="0" w:footer="474" w:top="840" w:bottom="740" w:left="740" w:right="1020"/>
        </w:sectPr>
      </w:pPr>
    </w:p>
    <w:p>
      <w:pPr>
        <w:pStyle w:val="BodyText"/>
        <w:spacing w:line="249" w:lineRule="auto" w:before="60"/>
        <w:ind w:left="113" w:right="108"/>
        <w:jc w:val="both"/>
        <w:rPr>
          <w:sz w:val="11"/>
        </w:rPr>
      </w:pPr>
      <w:r>
        <w:rPr>
          <w:color w:val="231F20"/>
        </w:rPr>
        <w:t>jo poco especializado y de fácil sustitución, por lo que frecuentemen-   te da lugar a contrataciones atípicas. Un factor negativo agregado es que, cuando se realizan en una gran variación de horarios o en periodos “sociales”,</w:t>
      </w:r>
      <w:r>
        <w:rPr>
          <w:color w:val="231F20"/>
          <w:position w:val="7"/>
          <w:sz w:val="11"/>
        </w:rPr>
        <w:t>5  </w:t>
      </w:r>
      <w:r>
        <w:rPr>
          <w:color w:val="231F20"/>
        </w:rPr>
        <w:t>tienen un potencial desestructurador de la vida</w:t>
      </w:r>
      <w:r>
        <w:rPr>
          <w:color w:val="231F20"/>
          <w:spacing w:val="-3"/>
        </w:rPr>
        <w:t> </w:t>
      </w:r>
      <w:r>
        <w:rPr>
          <w:color w:val="231F20"/>
        </w:rPr>
        <w:t>cotidiana.</w:t>
      </w:r>
      <w:r>
        <w:rPr>
          <w:color w:val="231F20"/>
          <w:position w:val="7"/>
          <w:sz w:val="11"/>
        </w:rPr>
        <w:t>6</w:t>
      </w:r>
    </w:p>
    <w:p>
      <w:pPr>
        <w:pStyle w:val="BodyText"/>
        <w:spacing w:line="249" w:lineRule="auto" w:before="1"/>
        <w:ind w:left="113" w:right="107" w:firstLine="283"/>
        <w:jc w:val="both"/>
      </w:pPr>
      <w:r>
        <w:rPr>
          <w:color w:val="231F20"/>
        </w:rPr>
        <w:t>En el otro extremo del espectro laboral, las jornadas parciales se uti- lizan en trabajos profesionales de alto nivel, cuya sustitución puede ser difícil o costosa. Son preferidas principalmente por mujeres, en especial cuando pueden subir y bajar la extensión de la jornada de acuerdo con  el ciclo de vida, y si existe libertad de recuperar la jornada completa. El sector socioeconómico y la calificación marcan la diferencia entre re- sultados precarizadores y una flexibilidad “virtuosa”. Las encuestas de empleo muestran que un alto porcentaje de las personas que trabajan jornadas reducidas preferiría trabajar a tiempo completo (Díaz y</w:t>
      </w:r>
      <w:r>
        <w:rPr>
          <w:color w:val="231F20"/>
          <w:spacing w:val="-30"/>
        </w:rPr>
        <w:t> </w:t>
      </w:r>
      <w:r>
        <w:rPr>
          <w:color w:val="231F20"/>
        </w:rPr>
        <w:t>Todaro, 2004; Fundación SOL, 2011). En Chile en 2011</w:t>
      </w:r>
      <w:r>
        <w:rPr>
          <w:color w:val="231F20"/>
          <w:position w:val="7"/>
          <w:sz w:val="11"/>
        </w:rPr>
        <w:t>7 </w:t>
      </w:r>
      <w:r>
        <w:rPr>
          <w:color w:val="231F20"/>
        </w:rPr>
        <w:t>se registra que 56 por ciento</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mujeres</w:t>
      </w:r>
      <w:r>
        <w:rPr>
          <w:color w:val="231F20"/>
          <w:spacing w:val="-4"/>
        </w:rPr>
        <w:t> </w:t>
      </w:r>
      <w:r>
        <w:rPr>
          <w:color w:val="231F20"/>
        </w:rPr>
        <w:t>y</w:t>
      </w:r>
      <w:r>
        <w:rPr>
          <w:color w:val="231F20"/>
          <w:spacing w:val="-3"/>
        </w:rPr>
        <w:t> </w:t>
      </w:r>
      <w:r>
        <w:rPr>
          <w:color w:val="231F20"/>
        </w:rPr>
        <w:t>65</w:t>
      </w:r>
      <w:r>
        <w:rPr>
          <w:color w:val="231F20"/>
          <w:spacing w:val="-3"/>
        </w:rPr>
        <w:t> </w:t>
      </w:r>
      <w:r>
        <w:rPr>
          <w:color w:val="231F20"/>
        </w:rPr>
        <w:t>por</w:t>
      </w:r>
      <w:r>
        <w:rPr>
          <w:color w:val="231F20"/>
          <w:spacing w:val="-3"/>
        </w:rPr>
        <w:t> </w:t>
      </w:r>
      <w:r>
        <w:rPr>
          <w:color w:val="231F20"/>
        </w:rPr>
        <w:t>ciento</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hombres</w:t>
      </w:r>
      <w:r>
        <w:rPr>
          <w:color w:val="231F20"/>
          <w:spacing w:val="-3"/>
        </w:rPr>
        <w:t> </w:t>
      </w:r>
      <w:r>
        <w:rPr>
          <w:color w:val="231F20"/>
        </w:rPr>
        <w:t>que</w:t>
      </w:r>
      <w:r>
        <w:rPr>
          <w:color w:val="231F20"/>
          <w:spacing w:val="-3"/>
        </w:rPr>
        <w:t> </w:t>
      </w:r>
      <w:r>
        <w:rPr>
          <w:color w:val="231F20"/>
        </w:rPr>
        <w:t>trabajan</w:t>
      </w:r>
      <w:r>
        <w:rPr>
          <w:color w:val="231F20"/>
          <w:spacing w:val="-4"/>
        </w:rPr>
        <w:t> </w:t>
      </w:r>
      <w:r>
        <w:rPr>
          <w:color w:val="231F20"/>
        </w:rPr>
        <w:t>en</w:t>
      </w:r>
      <w:r>
        <w:rPr>
          <w:color w:val="231F20"/>
          <w:spacing w:val="-3"/>
        </w:rPr>
        <w:t> </w:t>
      </w:r>
      <w:r>
        <w:rPr>
          <w:color w:val="231F20"/>
        </w:rPr>
        <w:t>jor- nada</w:t>
      </w:r>
      <w:r>
        <w:rPr>
          <w:color w:val="231F20"/>
          <w:spacing w:val="-9"/>
        </w:rPr>
        <w:t> </w:t>
      </w:r>
      <w:r>
        <w:rPr>
          <w:color w:val="231F20"/>
        </w:rPr>
        <w:t>parcial</w:t>
      </w:r>
      <w:r>
        <w:rPr>
          <w:color w:val="231F20"/>
          <w:spacing w:val="-9"/>
        </w:rPr>
        <w:t> </w:t>
      </w:r>
      <w:r>
        <w:rPr>
          <w:color w:val="231F20"/>
        </w:rPr>
        <w:t>desearía</w:t>
      </w:r>
      <w:r>
        <w:rPr>
          <w:color w:val="231F20"/>
          <w:spacing w:val="-9"/>
        </w:rPr>
        <w:t> </w:t>
      </w:r>
      <w:r>
        <w:rPr>
          <w:color w:val="231F20"/>
        </w:rPr>
        <w:t>trabajar</w:t>
      </w:r>
      <w:r>
        <w:rPr>
          <w:color w:val="231F20"/>
          <w:spacing w:val="-9"/>
        </w:rPr>
        <w:t> </w:t>
      </w:r>
      <w:r>
        <w:rPr>
          <w:color w:val="231F20"/>
        </w:rPr>
        <w:t>más</w:t>
      </w:r>
      <w:r>
        <w:rPr>
          <w:color w:val="231F20"/>
          <w:spacing w:val="-9"/>
        </w:rPr>
        <w:t> </w:t>
      </w:r>
      <w:r>
        <w:rPr>
          <w:color w:val="231F20"/>
        </w:rPr>
        <w:t>horas</w:t>
      </w:r>
      <w:r>
        <w:rPr>
          <w:color w:val="231F20"/>
          <w:spacing w:val="-9"/>
        </w:rPr>
        <w:t> </w:t>
      </w:r>
      <w:r>
        <w:rPr>
          <w:color w:val="231F20"/>
        </w:rPr>
        <w:t>si</w:t>
      </w:r>
      <w:r>
        <w:rPr>
          <w:color w:val="231F20"/>
          <w:spacing w:val="-9"/>
        </w:rPr>
        <w:t> </w:t>
      </w:r>
      <w:r>
        <w:rPr>
          <w:color w:val="231F20"/>
        </w:rPr>
        <w:t>de</w:t>
      </w:r>
      <w:r>
        <w:rPr>
          <w:color w:val="231F20"/>
          <w:spacing w:val="-9"/>
        </w:rPr>
        <w:t> </w:t>
      </w:r>
      <w:r>
        <w:rPr>
          <w:color w:val="231F20"/>
        </w:rPr>
        <w:t>ellas/os</w:t>
      </w:r>
      <w:r>
        <w:rPr>
          <w:color w:val="231F20"/>
          <w:spacing w:val="-9"/>
        </w:rPr>
        <w:t> </w:t>
      </w:r>
      <w:r>
        <w:rPr>
          <w:color w:val="231F20"/>
        </w:rPr>
        <w:t>dependiera.</w:t>
      </w:r>
      <w:r>
        <w:rPr>
          <w:color w:val="231F20"/>
          <w:spacing w:val="-9"/>
        </w:rPr>
        <w:t> </w:t>
      </w:r>
      <w:r>
        <w:rPr>
          <w:color w:val="231F20"/>
        </w:rPr>
        <w:t>Esto</w:t>
      </w:r>
      <w:r>
        <w:rPr>
          <w:color w:val="231F20"/>
          <w:spacing w:val="-9"/>
        </w:rPr>
        <w:t> </w:t>
      </w:r>
      <w:r>
        <w:rPr>
          <w:color w:val="231F20"/>
        </w:rPr>
        <w:t>se debería,</w:t>
      </w:r>
      <w:r>
        <w:rPr>
          <w:color w:val="231F20"/>
          <w:spacing w:val="-5"/>
        </w:rPr>
        <w:t> </w:t>
      </w:r>
      <w:r>
        <w:rPr>
          <w:color w:val="231F20"/>
        </w:rPr>
        <w:t>en</w:t>
      </w:r>
      <w:r>
        <w:rPr>
          <w:color w:val="231F20"/>
          <w:spacing w:val="-5"/>
        </w:rPr>
        <w:t> </w:t>
      </w:r>
      <w:r>
        <w:rPr>
          <w:color w:val="231F20"/>
        </w:rPr>
        <w:t>gran</w:t>
      </w:r>
      <w:r>
        <w:rPr>
          <w:color w:val="231F20"/>
          <w:spacing w:val="-5"/>
        </w:rPr>
        <w:t> </w:t>
      </w:r>
      <w:r>
        <w:rPr>
          <w:color w:val="231F20"/>
        </w:rPr>
        <w:t>medida,</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bajas</w:t>
      </w:r>
      <w:r>
        <w:rPr>
          <w:color w:val="231F20"/>
          <w:spacing w:val="-5"/>
        </w:rPr>
        <w:t> </w:t>
      </w:r>
      <w:r>
        <w:rPr>
          <w:color w:val="231F20"/>
        </w:rPr>
        <w:t>remuneraciones</w:t>
      </w:r>
      <w:r>
        <w:rPr>
          <w:color w:val="231F20"/>
          <w:spacing w:val="-5"/>
        </w:rPr>
        <w:t> </w:t>
      </w:r>
      <w:r>
        <w:rPr>
          <w:color w:val="231F20"/>
        </w:rPr>
        <w:t>y</w:t>
      </w:r>
      <w:r>
        <w:rPr>
          <w:color w:val="231F20"/>
          <w:spacing w:val="-5"/>
        </w:rPr>
        <w:t> </w:t>
      </w:r>
      <w:r>
        <w:rPr>
          <w:color w:val="231F20"/>
        </w:rPr>
        <w:t>escasos</w:t>
      </w:r>
      <w:r>
        <w:rPr>
          <w:color w:val="231F20"/>
          <w:spacing w:val="-5"/>
        </w:rPr>
        <w:t> </w:t>
      </w:r>
      <w:r>
        <w:rPr>
          <w:color w:val="231F20"/>
        </w:rPr>
        <w:t>beneficios que comportan las jornadas reducidas o, a su escasa proyección laboral, en</w:t>
      </w:r>
      <w:r>
        <w:rPr>
          <w:color w:val="231F20"/>
          <w:spacing w:val="-8"/>
        </w:rPr>
        <w:t> </w:t>
      </w:r>
      <w:r>
        <w:rPr>
          <w:color w:val="231F20"/>
        </w:rPr>
        <w:t>especial</w:t>
      </w:r>
      <w:r>
        <w:rPr>
          <w:color w:val="231F20"/>
          <w:spacing w:val="-8"/>
        </w:rPr>
        <w:t> </w:t>
      </w:r>
      <w:r>
        <w:rPr>
          <w:color w:val="231F20"/>
        </w:rPr>
        <w:t>en</w:t>
      </w:r>
      <w:r>
        <w:rPr>
          <w:color w:val="231F20"/>
          <w:spacing w:val="-8"/>
        </w:rPr>
        <w:t> </w:t>
      </w:r>
      <w:r>
        <w:rPr>
          <w:color w:val="231F20"/>
        </w:rPr>
        <w:t>empleos</w:t>
      </w:r>
      <w:r>
        <w:rPr>
          <w:color w:val="231F20"/>
          <w:spacing w:val="-8"/>
        </w:rPr>
        <w:t> </w:t>
      </w:r>
      <w:r>
        <w:rPr>
          <w:color w:val="231F20"/>
        </w:rPr>
        <w:t>de</w:t>
      </w:r>
      <w:r>
        <w:rPr>
          <w:color w:val="231F20"/>
          <w:spacing w:val="-7"/>
        </w:rPr>
        <w:t> </w:t>
      </w:r>
      <w:r>
        <w:rPr>
          <w:color w:val="231F20"/>
        </w:rPr>
        <w:t>mejor</w:t>
      </w:r>
      <w:r>
        <w:rPr>
          <w:color w:val="231F20"/>
          <w:spacing w:val="-8"/>
        </w:rPr>
        <w:t> </w:t>
      </w:r>
      <w:r>
        <w:rPr>
          <w:color w:val="231F20"/>
        </w:rPr>
        <w:t>calidad.</w:t>
      </w:r>
      <w:r>
        <w:rPr>
          <w:color w:val="231F20"/>
          <w:spacing w:val="-8"/>
        </w:rPr>
        <w:t> </w:t>
      </w:r>
      <w:r>
        <w:rPr>
          <w:color w:val="231F20"/>
        </w:rPr>
        <w:t>La</w:t>
      </w:r>
      <w:r>
        <w:rPr>
          <w:color w:val="231F20"/>
          <w:spacing w:val="-7"/>
        </w:rPr>
        <w:t> </w:t>
      </w:r>
      <w:r>
        <w:rPr>
          <w:color w:val="231F20"/>
        </w:rPr>
        <w:t>incidencia</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jornada</w:t>
      </w:r>
      <w:r>
        <w:rPr>
          <w:color w:val="231F20"/>
          <w:spacing w:val="-8"/>
        </w:rPr>
        <w:t> </w:t>
      </w:r>
      <w:r>
        <w:rPr>
          <w:color w:val="231F20"/>
        </w:rPr>
        <w:t>par- cial</w:t>
      </w:r>
      <w:r>
        <w:rPr>
          <w:color w:val="231F20"/>
          <w:spacing w:val="-6"/>
        </w:rPr>
        <w:t> </w:t>
      </w:r>
      <w:r>
        <w:rPr>
          <w:color w:val="231F20"/>
        </w:rPr>
        <w:t>difiere</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notoria</w:t>
      </w:r>
      <w:r>
        <w:rPr>
          <w:color w:val="231F20"/>
          <w:spacing w:val="-6"/>
        </w:rPr>
        <w:t> </w:t>
      </w:r>
      <w:r>
        <w:rPr>
          <w:color w:val="231F20"/>
        </w:rPr>
        <w:t>entre</w:t>
      </w:r>
      <w:r>
        <w:rPr>
          <w:color w:val="231F20"/>
          <w:spacing w:val="-6"/>
        </w:rPr>
        <w:t> </w:t>
      </w:r>
      <w:r>
        <w:rPr>
          <w:color w:val="231F20"/>
        </w:rPr>
        <w:t>los</w:t>
      </w:r>
      <w:r>
        <w:rPr>
          <w:color w:val="231F20"/>
          <w:spacing w:val="-6"/>
        </w:rPr>
        <w:t> </w:t>
      </w:r>
      <w:r>
        <w:rPr>
          <w:color w:val="231F20"/>
        </w:rPr>
        <w:t>países</w:t>
      </w:r>
      <w:r>
        <w:rPr>
          <w:color w:val="231F20"/>
          <w:spacing w:val="-6"/>
        </w:rPr>
        <w:t> </w:t>
      </w:r>
      <w:r>
        <w:rPr>
          <w:color w:val="231F20"/>
        </w:rPr>
        <w:t>de</w:t>
      </w:r>
      <w:r>
        <w:rPr>
          <w:color w:val="231F20"/>
          <w:spacing w:val="-17"/>
        </w:rPr>
        <w:t> </w:t>
      </w:r>
      <w:r>
        <w:rPr>
          <w:color w:val="231F20"/>
        </w:rPr>
        <w:t>América</w:t>
      </w:r>
      <w:r>
        <w:rPr>
          <w:color w:val="231F20"/>
          <w:spacing w:val="-6"/>
        </w:rPr>
        <w:t> </w:t>
      </w:r>
      <w:r>
        <w:rPr>
          <w:color w:val="231F20"/>
        </w:rPr>
        <w:t>Latina,</w:t>
      </w:r>
      <w:r>
        <w:rPr>
          <w:color w:val="231F20"/>
          <w:spacing w:val="-6"/>
        </w:rPr>
        <w:t> </w:t>
      </w:r>
      <w:r>
        <w:rPr>
          <w:color w:val="231F20"/>
        </w:rPr>
        <w:t>pero</w:t>
      </w:r>
      <w:r>
        <w:rPr>
          <w:color w:val="231F20"/>
          <w:spacing w:val="-6"/>
        </w:rPr>
        <w:t> </w:t>
      </w:r>
      <w:r>
        <w:rPr>
          <w:color w:val="231F20"/>
        </w:rPr>
        <w:t>en la mayoría de ellos las mujeres tienen una tasa mayor de empleo parcial que</w:t>
      </w:r>
      <w:r>
        <w:rPr>
          <w:color w:val="231F20"/>
          <w:spacing w:val="-8"/>
        </w:rPr>
        <w:t> </w:t>
      </w:r>
      <w:r>
        <w:rPr>
          <w:color w:val="231F20"/>
        </w:rPr>
        <w:t>los</w:t>
      </w:r>
      <w:r>
        <w:rPr>
          <w:color w:val="231F20"/>
          <w:spacing w:val="-8"/>
        </w:rPr>
        <w:t> </w:t>
      </w:r>
      <w:r>
        <w:rPr>
          <w:color w:val="231F20"/>
        </w:rPr>
        <w:t>hombres.</w:t>
      </w:r>
      <w:r>
        <w:rPr>
          <w:color w:val="231F20"/>
          <w:position w:val="7"/>
          <w:sz w:val="11"/>
        </w:rPr>
        <w:t>8</w:t>
      </w:r>
      <w:r>
        <w:rPr>
          <w:color w:val="231F20"/>
          <w:spacing w:val="14"/>
          <w:position w:val="7"/>
          <w:sz w:val="11"/>
        </w:rPr>
        <w:t> </w:t>
      </w:r>
      <w:r>
        <w:rPr>
          <w:color w:val="231F20"/>
        </w:rPr>
        <w:t>En</w:t>
      </w:r>
      <w:r>
        <w:rPr>
          <w:color w:val="231F20"/>
          <w:spacing w:val="-8"/>
        </w:rPr>
        <w:t> </w:t>
      </w:r>
      <w:r>
        <w:rPr>
          <w:color w:val="231F20"/>
        </w:rPr>
        <w:t>el</w:t>
      </w:r>
      <w:r>
        <w:rPr>
          <w:color w:val="231F20"/>
          <w:spacing w:val="-8"/>
        </w:rPr>
        <w:t> </w:t>
      </w:r>
      <w:r>
        <w:rPr>
          <w:color w:val="231F20"/>
        </w:rPr>
        <w:t>otro</w:t>
      </w:r>
      <w:r>
        <w:rPr>
          <w:color w:val="231F20"/>
          <w:spacing w:val="-8"/>
        </w:rPr>
        <w:t> </w:t>
      </w:r>
      <w:r>
        <w:rPr>
          <w:color w:val="231F20"/>
        </w:rPr>
        <w:t>extremo,</w:t>
      </w:r>
      <w:r>
        <w:rPr>
          <w:color w:val="231F20"/>
          <w:spacing w:val="-8"/>
        </w:rPr>
        <w:t> </w:t>
      </w:r>
      <w:r>
        <w:rPr>
          <w:color w:val="231F20"/>
        </w:rPr>
        <w:t>para</w:t>
      </w:r>
      <w:r>
        <w:rPr>
          <w:color w:val="231F20"/>
          <w:spacing w:val="-8"/>
        </w:rPr>
        <w:t> </w:t>
      </w:r>
      <w:r>
        <w:rPr>
          <w:color w:val="231F20"/>
        </w:rPr>
        <w:t>Chile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mismo</w:t>
      </w:r>
      <w:r>
        <w:rPr>
          <w:color w:val="231F20"/>
          <w:spacing w:val="-8"/>
        </w:rPr>
        <w:t> </w:t>
      </w:r>
      <w:r>
        <w:rPr>
          <w:color w:val="231F20"/>
        </w:rPr>
        <w:t>periodo,</w:t>
      </w:r>
      <w:r>
        <w:rPr>
          <w:color w:val="231F20"/>
          <w:spacing w:val="-8"/>
        </w:rPr>
        <w:t> </w:t>
      </w:r>
      <w:r>
        <w:rPr>
          <w:color w:val="231F20"/>
        </w:rPr>
        <w:t>30 por ciento del empleo tenía jornadas de trabajo de 56 horas</w:t>
      </w:r>
      <w:r>
        <w:rPr>
          <w:color w:val="231F20"/>
          <w:spacing w:val="-15"/>
        </w:rPr>
        <w:t> </w:t>
      </w:r>
      <w:r>
        <w:rPr>
          <w:color w:val="231F20"/>
        </w:rPr>
        <w:t>semanales.</w:t>
      </w:r>
    </w:p>
    <w:p>
      <w:pPr>
        <w:pStyle w:val="BodyText"/>
        <w:spacing w:line="249" w:lineRule="auto" w:before="1"/>
        <w:ind w:left="113" w:right="107" w:firstLine="283"/>
        <w:jc w:val="both"/>
      </w:pPr>
      <w:r>
        <w:rPr>
          <w:color w:val="231F20"/>
        </w:rPr>
        <w:t>La</w:t>
      </w:r>
      <w:r>
        <w:rPr>
          <w:color w:val="231F20"/>
          <w:spacing w:val="-5"/>
        </w:rPr>
        <w:t> </w:t>
      </w:r>
      <w:r>
        <w:rPr>
          <w:color w:val="231F20"/>
        </w:rPr>
        <w:t>mayor</w:t>
      </w:r>
      <w:r>
        <w:rPr>
          <w:color w:val="231F20"/>
          <w:spacing w:val="-6"/>
        </w:rPr>
        <w:t> </w:t>
      </w:r>
      <w:r>
        <w:rPr>
          <w:color w:val="231F20"/>
        </w:rPr>
        <w:t>heterogeneidad</w:t>
      </w:r>
      <w:r>
        <w:rPr>
          <w:color w:val="231F20"/>
          <w:spacing w:val="-5"/>
        </w:rPr>
        <w:t> </w:t>
      </w:r>
      <w:r>
        <w:rPr>
          <w:color w:val="231F20"/>
        </w:rPr>
        <w:t>en</w:t>
      </w:r>
      <w:r>
        <w:rPr>
          <w:color w:val="231F20"/>
          <w:spacing w:val="-6"/>
        </w:rPr>
        <w:t> </w:t>
      </w:r>
      <w:r>
        <w:rPr>
          <w:color w:val="231F20"/>
        </w:rPr>
        <w:t>la</w:t>
      </w:r>
      <w:r>
        <w:rPr>
          <w:color w:val="231F20"/>
          <w:spacing w:val="-5"/>
        </w:rPr>
        <w:t> </w:t>
      </w:r>
      <w:r>
        <w:rPr>
          <w:color w:val="231F20"/>
        </w:rPr>
        <w:t>organización</w:t>
      </w:r>
      <w:r>
        <w:rPr>
          <w:color w:val="231F20"/>
          <w:spacing w:val="-5"/>
        </w:rPr>
        <w:t> </w:t>
      </w:r>
      <w:r>
        <w:rPr>
          <w:color w:val="231F20"/>
        </w:rPr>
        <w:t>del</w:t>
      </w:r>
      <w:r>
        <w:rPr>
          <w:color w:val="231F20"/>
          <w:spacing w:val="-5"/>
        </w:rPr>
        <w:t> </w:t>
      </w:r>
      <w:r>
        <w:rPr>
          <w:color w:val="231F20"/>
        </w:rPr>
        <w:t>tiempo</w:t>
      </w:r>
      <w:r>
        <w:rPr>
          <w:color w:val="231F20"/>
          <w:spacing w:val="-6"/>
        </w:rPr>
        <w:t> </w:t>
      </w:r>
      <w:r>
        <w:rPr>
          <w:color w:val="231F20"/>
        </w:rPr>
        <w:t>de</w:t>
      </w:r>
      <w:r>
        <w:rPr>
          <w:color w:val="231F20"/>
          <w:spacing w:val="-5"/>
        </w:rPr>
        <w:t> </w:t>
      </w:r>
      <w:r>
        <w:rPr>
          <w:color w:val="231F20"/>
        </w:rPr>
        <w:t>trabajo</w:t>
      </w:r>
      <w:r>
        <w:rPr>
          <w:color w:val="231F20"/>
          <w:spacing w:val="-6"/>
        </w:rPr>
        <w:t> </w:t>
      </w:r>
      <w:r>
        <w:rPr>
          <w:color w:val="231F20"/>
        </w:rPr>
        <w:t>ha dado lugar a que el tiempo no laboral también se torne individual. Por</w:t>
      </w:r>
      <w:r>
        <w:rPr>
          <w:color w:val="231F20"/>
          <w:spacing w:val="-30"/>
        </w:rPr>
        <w:t> </w:t>
      </w:r>
      <w:r>
        <w:rPr>
          <w:color w:val="231F20"/>
        </w:rPr>
        <w:t>lo tanto, se produce una tensión y hasta incompatibilidad con los tiempos familiares y de cuidados, dificulta la sociabilidad y debilita nexos socia- les y</w:t>
      </w:r>
      <w:r>
        <w:rPr>
          <w:color w:val="231F20"/>
          <w:spacing w:val="-1"/>
        </w:rPr>
        <w:t> </w:t>
      </w:r>
      <w:r>
        <w:rPr>
          <w:color w:val="231F20"/>
        </w:rPr>
        <w:t>colectivos.</w:t>
      </w:r>
    </w:p>
    <w:p>
      <w:pPr>
        <w:pStyle w:val="BodyText"/>
        <w:spacing w:line="249" w:lineRule="auto" w:before="1"/>
        <w:ind w:left="113" w:right="108" w:firstLine="283"/>
        <w:jc w:val="both"/>
      </w:pPr>
      <w:r>
        <w:rPr>
          <w:color w:val="231F20"/>
        </w:rPr>
        <w:t>Las consecuencias sobre la calidad del empleo varían según el tipo de flexibilidad, la institucionalidad laboral y de la fuerza organizativa  y</w:t>
      </w:r>
    </w:p>
    <w:p>
      <w:pPr>
        <w:pStyle w:val="BodyText"/>
        <w:rPr>
          <w:sz w:val="24"/>
        </w:rPr>
      </w:pPr>
    </w:p>
    <w:p>
      <w:pPr>
        <w:spacing w:before="0"/>
        <w:ind w:left="113" w:right="108" w:firstLine="0"/>
        <w:jc w:val="both"/>
        <w:rPr>
          <w:sz w:val="14"/>
        </w:rPr>
      </w:pPr>
      <w:r>
        <w:rPr>
          <w:color w:val="231F20"/>
          <w:position w:val="5"/>
          <w:sz w:val="8"/>
        </w:rPr>
        <w:t>5</w:t>
      </w:r>
      <w:r>
        <w:rPr>
          <w:color w:val="231F20"/>
          <w:spacing w:val="9"/>
          <w:position w:val="5"/>
          <w:sz w:val="8"/>
        </w:rPr>
        <w:t> </w:t>
      </w:r>
      <w:r>
        <w:rPr>
          <w:color w:val="231F20"/>
          <w:sz w:val="14"/>
        </w:rPr>
        <w:t>El</w:t>
      </w:r>
      <w:r>
        <w:rPr>
          <w:color w:val="231F20"/>
          <w:spacing w:val="-6"/>
          <w:sz w:val="14"/>
        </w:rPr>
        <w:t> </w:t>
      </w:r>
      <w:r>
        <w:rPr>
          <w:color w:val="231F20"/>
          <w:sz w:val="14"/>
        </w:rPr>
        <w:t>término</w:t>
      </w:r>
      <w:r>
        <w:rPr>
          <w:color w:val="231F20"/>
          <w:spacing w:val="-6"/>
          <w:sz w:val="14"/>
        </w:rPr>
        <w:t> </w:t>
      </w:r>
      <w:r>
        <w:rPr>
          <w:color w:val="231F20"/>
          <w:sz w:val="14"/>
        </w:rPr>
        <w:t>se</w:t>
      </w:r>
      <w:r>
        <w:rPr>
          <w:color w:val="231F20"/>
          <w:spacing w:val="-6"/>
          <w:sz w:val="14"/>
        </w:rPr>
        <w:t> </w:t>
      </w:r>
      <w:r>
        <w:rPr>
          <w:color w:val="231F20"/>
          <w:sz w:val="14"/>
        </w:rPr>
        <w:t>refiere</w:t>
      </w:r>
      <w:r>
        <w:rPr>
          <w:color w:val="231F20"/>
          <w:spacing w:val="-6"/>
          <w:sz w:val="14"/>
        </w:rPr>
        <w:t> </w:t>
      </w:r>
      <w:r>
        <w:rPr>
          <w:color w:val="231F20"/>
          <w:sz w:val="14"/>
        </w:rPr>
        <w:t>a</w:t>
      </w:r>
      <w:r>
        <w:rPr>
          <w:color w:val="231F20"/>
          <w:spacing w:val="-6"/>
          <w:sz w:val="14"/>
        </w:rPr>
        <w:t> </w:t>
      </w:r>
      <w:r>
        <w:rPr>
          <w:color w:val="231F20"/>
          <w:sz w:val="14"/>
        </w:rPr>
        <w:t>horarios</w:t>
      </w:r>
      <w:r>
        <w:rPr>
          <w:color w:val="231F20"/>
          <w:spacing w:val="-6"/>
          <w:sz w:val="14"/>
        </w:rPr>
        <w:t> </w:t>
      </w:r>
      <w:r>
        <w:rPr>
          <w:color w:val="231F20"/>
          <w:sz w:val="14"/>
        </w:rPr>
        <w:t>en</w:t>
      </w:r>
      <w:r>
        <w:rPr>
          <w:color w:val="231F20"/>
          <w:spacing w:val="-6"/>
          <w:sz w:val="14"/>
        </w:rPr>
        <w:t> </w:t>
      </w:r>
      <w:r>
        <w:rPr>
          <w:color w:val="231F20"/>
          <w:sz w:val="14"/>
        </w:rPr>
        <w:t>que</w:t>
      </w:r>
      <w:r>
        <w:rPr>
          <w:color w:val="231F20"/>
          <w:spacing w:val="-6"/>
          <w:sz w:val="14"/>
        </w:rPr>
        <w:t> </w:t>
      </w:r>
      <w:r>
        <w:rPr>
          <w:color w:val="231F20"/>
          <w:sz w:val="14"/>
        </w:rPr>
        <w:t>la</w:t>
      </w:r>
      <w:r>
        <w:rPr>
          <w:color w:val="231F20"/>
          <w:spacing w:val="-6"/>
          <w:sz w:val="14"/>
        </w:rPr>
        <w:t> </w:t>
      </w:r>
      <w:r>
        <w:rPr>
          <w:color w:val="231F20"/>
          <w:sz w:val="14"/>
        </w:rPr>
        <w:t>mayoría</w:t>
      </w:r>
      <w:r>
        <w:rPr>
          <w:color w:val="231F20"/>
          <w:spacing w:val="-6"/>
          <w:sz w:val="14"/>
        </w:rPr>
        <w:t> </w:t>
      </w:r>
      <w:r>
        <w:rPr>
          <w:color w:val="231F20"/>
          <w:sz w:val="14"/>
        </w:rPr>
        <w:t>de</w:t>
      </w:r>
      <w:r>
        <w:rPr>
          <w:color w:val="231F20"/>
          <w:spacing w:val="-6"/>
          <w:sz w:val="14"/>
        </w:rPr>
        <w:t> </w:t>
      </w:r>
      <w:r>
        <w:rPr>
          <w:color w:val="231F20"/>
          <w:sz w:val="14"/>
        </w:rPr>
        <w:t>las</w:t>
      </w:r>
      <w:r>
        <w:rPr>
          <w:color w:val="231F20"/>
          <w:spacing w:val="-6"/>
          <w:sz w:val="14"/>
        </w:rPr>
        <w:t> </w:t>
      </w:r>
      <w:r>
        <w:rPr>
          <w:color w:val="231F20"/>
          <w:sz w:val="14"/>
        </w:rPr>
        <w:t>personas</w:t>
      </w:r>
      <w:r>
        <w:rPr>
          <w:color w:val="231F20"/>
          <w:spacing w:val="-6"/>
          <w:sz w:val="14"/>
        </w:rPr>
        <w:t> </w:t>
      </w:r>
      <w:r>
        <w:rPr>
          <w:color w:val="231F20"/>
          <w:sz w:val="14"/>
        </w:rPr>
        <w:t>no</w:t>
      </w:r>
      <w:r>
        <w:rPr>
          <w:color w:val="231F20"/>
          <w:spacing w:val="-6"/>
          <w:sz w:val="14"/>
        </w:rPr>
        <w:t> </w:t>
      </w:r>
      <w:r>
        <w:rPr>
          <w:color w:val="231F20"/>
          <w:sz w:val="14"/>
        </w:rPr>
        <w:t>está</w:t>
      </w:r>
      <w:r>
        <w:rPr>
          <w:color w:val="231F20"/>
          <w:spacing w:val="-6"/>
          <w:sz w:val="14"/>
        </w:rPr>
        <w:t> </w:t>
      </w:r>
      <w:r>
        <w:rPr>
          <w:color w:val="231F20"/>
          <w:sz w:val="14"/>
        </w:rPr>
        <w:t>en</w:t>
      </w:r>
      <w:r>
        <w:rPr>
          <w:color w:val="231F20"/>
          <w:spacing w:val="-6"/>
          <w:sz w:val="14"/>
        </w:rPr>
        <w:t> </w:t>
      </w:r>
      <w:r>
        <w:rPr>
          <w:color w:val="231F20"/>
          <w:sz w:val="14"/>
        </w:rPr>
        <w:t>horario</w:t>
      </w:r>
      <w:r>
        <w:rPr>
          <w:color w:val="231F20"/>
          <w:spacing w:val="-6"/>
          <w:sz w:val="14"/>
        </w:rPr>
        <w:t> </w:t>
      </w:r>
      <w:r>
        <w:rPr>
          <w:color w:val="231F20"/>
          <w:sz w:val="14"/>
        </w:rPr>
        <w:t>laboral</w:t>
      </w:r>
      <w:r>
        <w:rPr>
          <w:color w:val="231F20"/>
          <w:spacing w:val="-6"/>
          <w:sz w:val="14"/>
        </w:rPr>
        <w:t> </w:t>
      </w:r>
      <w:r>
        <w:rPr>
          <w:color w:val="231F20"/>
          <w:sz w:val="14"/>
        </w:rPr>
        <w:t>y</w:t>
      </w:r>
      <w:r>
        <w:rPr>
          <w:color w:val="231F20"/>
          <w:spacing w:val="-6"/>
          <w:sz w:val="14"/>
        </w:rPr>
        <w:t> </w:t>
      </w:r>
      <w:r>
        <w:rPr>
          <w:color w:val="231F20"/>
          <w:sz w:val="14"/>
        </w:rPr>
        <w:t>se</w:t>
      </w:r>
      <w:r>
        <w:rPr>
          <w:color w:val="231F20"/>
          <w:spacing w:val="-6"/>
          <w:sz w:val="14"/>
        </w:rPr>
        <w:t> </w:t>
      </w:r>
      <w:r>
        <w:rPr>
          <w:color w:val="231F20"/>
          <w:sz w:val="14"/>
        </w:rPr>
        <w:t>pueden utilizar en las relaciones sociales y</w:t>
      </w:r>
      <w:r>
        <w:rPr>
          <w:color w:val="231F20"/>
          <w:spacing w:val="-9"/>
          <w:sz w:val="14"/>
        </w:rPr>
        <w:t> </w:t>
      </w:r>
      <w:r>
        <w:rPr>
          <w:color w:val="231F20"/>
          <w:sz w:val="14"/>
        </w:rPr>
        <w:t>familiares.</w:t>
      </w:r>
    </w:p>
    <w:p>
      <w:pPr>
        <w:spacing w:before="0"/>
        <w:ind w:left="113" w:right="108" w:firstLine="0"/>
        <w:jc w:val="both"/>
        <w:rPr>
          <w:sz w:val="14"/>
        </w:rPr>
      </w:pPr>
      <w:r>
        <w:rPr>
          <w:color w:val="231F20"/>
          <w:position w:val="5"/>
          <w:sz w:val="8"/>
        </w:rPr>
        <w:t>6 </w:t>
      </w:r>
      <w:r>
        <w:rPr>
          <w:color w:val="231F20"/>
          <w:sz w:val="14"/>
        </w:rPr>
        <w:t>Las consecuencias en la desestructuración de la vida cotidiana varían dependiendo de la situación de vida. Este tipo de trabajo puede ser conveniente en un periodo en que la actividad principal es otra y no hay obligaciones familiares importantes. Por ejemplo, los fines de semana o las vacaciones pueden ser momentos laborales pasajeros para estudiantes.</w:t>
      </w:r>
    </w:p>
    <w:p>
      <w:pPr>
        <w:spacing w:before="0"/>
        <w:ind w:left="113" w:right="108" w:firstLine="0"/>
        <w:jc w:val="both"/>
        <w:rPr>
          <w:sz w:val="14"/>
        </w:rPr>
      </w:pPr>
      <w:r>
        <w:rPr>
          <w:color w:val="231F20"/>
          <w:position w:val="5"/>
          <w:sz w:val="8"/>
        </w:rPr>
        <w:t>7 </w:t>
      </w:r>
      <w:r>
        <w:rPr>
          <w:color w:val="231F20"/>
          <w:sz w:val="14"/>
        </w:rPr>
        <w:t>Fundación SOL. Minuta de Empleo núm. 14, trimestre julio-septiembre 2011, con datos de la Nueva Encuesta Nacional de Empleo.</w:t>
      </w:r>
    </w:p>
    <w:p>
      <w:pPr>
        <w:spacing w:before="0"/>
        <w:ind w:left="113" w:right="108" w:firstLine="0"/>
        <w:jc w:val="both"/>
        <w:rPr>
          <w:sz w:val="14"/>
        </w:rPr>
      </w:pPr>
      <w:r>
        <w:rPr>
          <w:color w:val="231F20"/>
          <w:position w:val="5"/>
          <w:sz w:val="8"/>
        </w:rPr>
        <w:t>8</w:t>
      </w:r>
      <w:r>
        <w:rPr>
          <w:color w:val="231F20"/>
          <w:spacing w:val="9"/>
          <w:position w:val="5"/>
          <w:sz w:val="8"/>
        </w:rPr>
        <w:t> </w:t>
      </w:r>
      <w:r>
        <w:rPr>
          <w:color w:val="231F20"/>
          <w:sz w:val="14"/>
        </w:rPr>
        <w:t>En</w:t>
      </w:r>
      <w:r>
        <w:rPr>
          <w:color w:val="231F20"/>
          <w:spacing w:val="-6"/>
          <w:sz w:val="14"/>
        </w:rPr>
        <w:t> </w:t>
      </w:r>
      <w:r>
        <w:rPr>
          <w:color w:val="231F20"/>
          <w:sz w:val="14"/>
        </w:rPr>
        <w:t>algunos</w:t>
      </w:r>
      <w:r>
        <w:rPr>
          <w:color w:val="231F20"/>
          <w:spacing w:val="-6"/>
          <w:sz w:val="14"/>
        </w:rPr>
        <w:t> </w:t>
      </w:r>
      <w:r>
        <w:rPr>
          <w:color w:val="231F20"/>
          <w:sz w:val="14"/>
        </w:rPr>
        <w:t>países,</w:t>
      </w:r>
      <w:r>
        <w:rPr>
          <w:color w:val="231F20"/>
          <w:spacing w:val="-6"/>
          <w:sz w:val="14"/>
        </w:rPr>
        <w:t> </w:t>
      </w:r>
      <w:r>
        <w:rPr>
          <w:color w:val="231F20"/>
          <w:sz w:val="14"/>
        </w:rPr>
        <w:t>como</w:t>
      </w:r>
      <w:r>
        <w:rPr>
          <w:color w:val="231F20"/>
          <w:spacing w:val="-6"/>
          <w:sz w:val="14"/>
        </w:rPr>
        <w:t> </w:t>
      </w:r>
      <w:r>
        <w:rPr>
          <w:color w:val="231F20"/>
          <w:sz w:val="14"/>
        </w:rPr>
        <w:t>Guatemala</w:t>
      </w:r>
      <w:r>
        <w:rPr>
          <w:color w:val="231F20"/>
          <w:spacing w:val="-5"/>
          <w:sz w:val="14"/>
        </w:rPr>
        <w:t> </w:t>
      </w:r>
      <w:r>
        <w:rPr>
          <w:color w:val="231F20"/>
          <w:sz w:val="14"/>
        </w:rPr>
        <w:t>y</w:t>
      </w:r>
      <w:r>
        <w:rPr>
          <w:color w:val="231F20"/>
          <w:spacing w:val="-6"/>
          <w:sz w:val="14"/>
        </w:rPr>
        <w:t> </w:t>
      </w:r>
      <w:r>
        <w:rPr>
          <w:color w:val="231F20"/>
          <w:sz w:val="14"/>
        </w:rPr>
        <w:t>México,</w:t>
      </w:r>
      <w:r>
        <w:rPr>
          <w:color w:val="231F20"/>
          <w:spacing w:val="-5"/>
          <w:sz w:val="14"/>
        </w:rPr>
        <w:t> </w:t>
      </w:r>
      <w:r>
        <w:rPr>
          <w:color w:val="231F20"/>
          <w:sz w:val="14"/>
        </w:rPr>
        <w:t>la</w:t>
      </w:r>
      <w:r>
        <w:rPr>
          <w:color w:val="231F20"/>
          <w:spacing w:val="-6"/>
          <w:sz w:val="14"/>
        </w:rPr>
        <w:t> </w:t>
      </w:r>
      <w:r>
        <w:rPr>
          <w:color w:val="231F20"/>
          <w:sz w:val="14"/>
        </w:rPr>
        <w:t>tasa</w:t>
      </w:r>
      <w:r>
        <w:rPr>
          <w:color w:val="231F20"/>
          <w:spacing w:val="-6"/>
          <w:sz w:val="14"/>
        </w:rPr>
        <w:t> </w:t>
      </w:r>
      <w:r>
        <w:rPr>
          <w:color w:val="231F20"/>
          <w:sz w:val="14"/>
        </w:rPr>
        <w:t>de</w:t>
      </w:r>
      <w:r>
        <w:rPr>
          <w:color w:val="231F20"/>
          <w:spacing w:val="-6"/>
          <w:sz w:val="14"/>
        </w:rPr>
        <w:t> </w:t>
      </w:r>
      <w:r>
        <w:rPr>
          <w:color w:val="231F20"/>
          <w:sz w:val="14"/>
        </w:rPr>
        <w:t>empleo</w:t>
      </w:r>
      <w:r>
        <w:rPr>
          <w:color w:val="231F20"/>
          <w:spacing w:val="-6"/>
          <w:sz w:val="14"/>
        </w:rPr>
        <w:t> </w:t>
      </w:r>
      <w:r>
        <w:rPr>
          <w:color w:val="231F20"/>
          <w:sz w:val="14"/>
        </w:rPr>
        <w:t>de</w:t>
      </w:r>
      <w:r>
        <w:rPr>
          <w:color w:val="231F20"/>
          <w:spacing w:val="-6"/>
          <w:sz w:val="14"/>
        </w:rPr>
        <w:t> </w:t>
      </w:r>
      <w:r>
        <w:rPr>
          <w:color w:val="231F20"/>
          <w:sz w:val="14"/>
        </w:rPr>
        <w:t>jornada</w:t>
      </w:r>
      <w:r>
        <w:rPr>
          <w:color w:val="231F20"/>
          <w:spacing w:val="-6"/>
          <w:sz w:val="14"/>
        </w:rPr>
        <w:t> </w:t>
      </w:r>
      <w:r>
        <w:rPr>
          <w:color w:val="231F20"/>
          <w:sz w:val="14"/>
        </w:rPr>
        <w:t>parcial</w:t>
      </w:r>
      <w:r>
        <w:rPr>
          <w:color w:val="231F20"/>
          <w:spacing w:val="-6"/>
          <w:sz w:val="14"/>
        </w:rPr>
        <w:t> </w:t>
      </w:r>
      <w:r>
        <w:rPr>
          <w:color w:val="231F20"/>
          <w:sz w:val="14"/>
        </w:rPr>
        <w:t>de</w:t>
      </w:r>
      <w:r>
        <w:rPr>
          <w:color w:val="231F20"/>
          <w:spacing w:val="-6"/>
          <w:sz w:val="14"/>
        </w:rPr>
        <w:t> </w:t>
      </w:r>
      <w:r>
        <w:rPr>
          <w:color w:val="231F20"/>
          <w:sz w:val="14"/>
        </w:rPr>
        <w:t>las</w:t>
      </w:r>
      <w:r>
        <w:rPr>
          <w:color w:val="231F20"/>
          <w:spacing w:val="-6"/>
          <w:sz w:val="14"/>
        </w:rPr>
        <w:t> </w:t>
      </w:r>
      <w:r>
        <w:rPr>
          <w:color w:val="231F20"/>
          <w:sz w:val="14"/>
        </w:rPr>
        <w:t>mujeres</w:t>
      </w:r>
      <w:r>
        <w:rPr>
          <w:color w:val="231F20"/>
          <w:spacing w:val="-6"/>
          <w:sz w:val="14"/>
        </w:rPr>
        <w:t> </w:t>
      </w:r>
      <w:r>
        <w:rPr>
          <w:color w:val="231F20"/>
          <w:sz w:val="14"/>
        </w:rPr>
        <w:t>cua- druplica la de los hombres, mientras en otros, tales como Ecuador, Nicaragua, Venezuela y Argentina, la duplican. Este último país mostraba en 2003 la tasa más alta de empleo a tiempo parcial femenino  de América Latina, alcanzando casi 43 por ciento. Las cifras sólo muestran tasas menores del 10 por ciento y similares entre hombres y mujeres en Chile y algunos países del Caribe. </w:t>
      </w:r>
      <w:r>
        <w:rPr>
          <w:color w:val="231F20"/>
          <w:spacing w:val="-6"/>
          <w:sz w:val="14"/>
        </w:rPr>
        <w:t>Ver </w:t>
      </w:r>
      <w:r>
        <w:rPr>
          <w:color w:val="231F20"/>
          <w:sz w:val="14"/>
        </w:rPr>
        <w:t>SIAL (Sistema de Información y Análisis</w:t>
      </w:r>
      <w:r>
        <w:rPr>
          <w:color w:val="231F20"/>
          <w:spacing w:val="-15"/>
          <w:sz w:val="14"/>
        </w:rPr>
        <w:t> </w:t>
      </w:r>
      <w:r>
        <w:rPr>
          <w:color w:val="231F20"/>
          <w:sz w:val="14"/>
        </w:rPr>
        <w:t>Laboral).</w:t>
      </w:r>
    </w:p>
    <w:p>
      <w:pPr>
        <w:spacing w:after="0"/>
        <w:jc w:val="both"/>
        <w:rPr>
          <w:sz w:val="14"/>
        </w:rPr>
        <w:sectPr>
          <w:footerReference w:type="default" r:id="rId237"/>
          <w:pgSz w:w="7770" w:h="11740"/>
          <w:pgMar w:footer="474" w:header="0" w:top="840" w:bottom="660" w:left="1020" w:right="740"/>
          <w:pgNumType w:start="193"/>
        </w:sectPr>
      </w:pPr>
    </w:p>
    <w:p>
      <w:pPr>
        <w:pStyle w:val="BodyText"/>
        <w:spacing w:line="249" w:lineRule="auto" w:before="60"/>
        <w:ind w:left="110" w:right="110"/>
        <w:jc w:val="both"/>
      </w:pPr>
      <w:r>
        <w:rPr>
          <w:color w:val="231F20"/>
        </w:rPr>
        <w:t>negociadora de trabajadores y trabajadoras. Pero es necesario pregun- tarse si la normativa laboral que fue creada en función de otro régimen económico,</w:t>
      </w:r>
      <w:r>
        <w:rPr>
          <w:color w:val="231F20"/>
          <w:spacing w:val="-10"/>
        </w:rPr>
        <w:t> </w:t>
      </w:r>
      <w:r>
        <w:rPr>
          <w:color w:val="231F20"/>
        </w:rPr>
        <w:t>logra</w:t>
      </w:r>
      <w:r>
        <w:rPr>
          <w:color w:val="231F20"/>
          <w:spacing w:val="-9"/>
        </w:rPr>
        <w:t> </w:t>
      </w:r>
      <w:r>
        <w:rPr>
          <w:color w:val="231F20"/>
        </w:rPr>
        <w:t>ser</w:t>
      </w:r>
      <w:r>
        <w:rPr>
          <w:color w:val="231F20"/>
          <w:spacing w:val="-9"/>
        </w:rPr>
        <w:t> </w:t>
      </w:r>
      <w:r>
        <w:rPr>
          <w:color w:val="231F20"/>
        </w:rPr>
        <w:t>protectora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actualidad</w:t>
      </w:r>
      <w:r>
        <w:rPr>
          <w:color w:val="231F20"/>
          <w:spacing w:val="-10"/>
        </w:rPr>
        <w:t> </w:t>
      </w:r>
      <w:r>
        <w:rPr>
          <w:color w:val="231F20"/>
        </w:rPr>
        <w:t>para</w:t>
      </w:r>
      <w:r>
        <w:rPr>
          <w:color w:val="231F20"/>
          <w:spacing w:val="-9"/>
        </w:rPr>
        <w:t> </w:t>
      </w:r>
      <w:r>
        <w:rPr>
          <w:color w:val="231F20"/>
        </w:rPr>
        <w:t>una</w:t>
      </w:r>
      <w:r>
        <w:rPr>
          <w:color w:val="231F20"/>
          <w:spacing w:val="-9"/>
        </w:rPr>
        <w:t> </w:t>
      </w:r>
      <w:r>
        <w:rPr>
          <w:color w:val="231F20"/>
        </w:rPr>
        <w:t>proporción</w:t>
      </w:r>
      <w:r>
        <w:rPr>
          <w:color w:val="231F20"/>
          <w:spacing w:val="-9"/>
        </w:rPr>
        <w:t> </w:t>
      </w:r>
      <w:r>
        <w:rPr>
          <w:color w:val="231F20"/>
        </w:rPr>
        <w:t>cre- ciente de la fuerza de trabajo. Robert Castel plantea al respecto que el desafío</w:t>
      </w:r>
      <w:r>
        <w:rPr>
          <w:color w:val="231F20"/>
          <w:spacing w:val="-6"/>
        </w:rPr>
        <w:t> </w:t>
      </w:r>
      <w:r>
        <w:rPr>
          <w:color w:val="231F20"/>
        </w:rPr>
        <w:t>actual</w:t>
      </w:r>
      <w:r>
        <w:rPr>
          <w:color w:val="231F20"/>
          <w:spacing w:val="-7"/>
        </w:rPr>
        <w:t> </w:t>
      </w:r>
      <w:r>
        <w:rPr>
          <w:color w:val="231F20"/>
        </w:rPr>
        <w:t>es</w:t>
      </w:r>
      <w:r>
        <w:rPr>
          <w:color w:val="231F20"/>
          <w:spacing w:val="-7"/>
        </w:rPr>
        <w:t> </w:t>
      </w:r>
      <w:r>
        <w:rPr>
          <w:color w:val="231F20"/>
        </w:rPr>
        <w:t>saber</w:t>
      </w:r>
      <w:r>
        <w:rPr>
          <w:color w:val="231F20"/>
          <w:spacing w:val="-6"/>
        </w:rPr>
        <w:t> </w:t>
      </w:r>
      <w:r>
        <w:rPr>
          <w:color w:val="231F20"/>
        </w:rPr>
        <w:t>si</w:t>
      </w:r>
      <w:r>
        <w:rPr>
          <w:color w:val="231F20"/>
          <w:spacing w:val="-6"/>
        </w:rPr>
        <w:t> </w:t>
      </w:r>
      <w:r>
        <w:rPr>
          <w:color w:val="231F20"/>
        </w:rPr>
        <w:t>es</w:t>
      </w:r>
      <w:r>
        <w:rPr>
          <w:color w:val="231F20"/>
          <w:spacing w:val="-7"/>
        </w:rPr>
        <w:t> </w:t>
      </w:r>
      <w:r>
        <w:rPr>
          <w:color w:val="231F20"/>
        </w:rPr>
        <w:t>posible</w:t>
      </w:r>
      <w:r>
        <w:rPr>
          <w:color w:val="231F20"/>
          <w:spacing w:val="-6"/>
        </w:rPr>
        <w:t> </w:t>
      </w:r>
      <w:r>
        <w:rPr>
          <w:color w:val="231F20"/>
        </w:rPr>
        <w:t>asociar</w:t>
      </w:r>
      <w:r>
        <w:rPr>
          <w:color w:val="231F20"/>
          <w:spacing w:val="-7"/>
        </w:rPr>
        <w:t> </w:t>
      </w:r>
      <w:r>
        <w:rPr>
          <w:color w:val="231F20"/>
        </w:rPr>
        <w:t>la</w:t>
      </w:r>
      <w:r>
        <w:rPr>
          <w:color w:val="231F20"/>
          <w:spacing w:val="-6"/>
        </w:rPr>
        <w:t> </w:t>
      </w:r>
      <w:r>
        <w:rPr>
          <w:color w:val="231F20"/>
        </w:rPr>
        <w:t>movilidad</w:t>
      </w:r>
      <w:r>
        <w:rPr>
          <w:color w:val="231F20"/>
          <w:spacing w:val="-7"/>
        </w:rPr>
        <w:t> </w:t>
      </w:r>
      <w:r>
        <w:rPr>
          <w:color w:val="231F20"/>
        </w:rPr>
        <w:t>laboral</w:t>
      </w:r>
      <w:r>
        <w:rPr>
          <w:color w:val="231F20"/>
          <w:spacing w:val="-7"/>
        </w:rPr>
        <w:t> </w:t>
      </w:r>
      <w:r>
        <w:rPr>
          <w:color w:val="231F20"/>
        </w:rPr>
        <w:t>a</w:t>
      </w:r>
      <w:r>
        <w:rPr>
          <w:color w:val="231F20"/>
          <w:spacing w:val="-6"/>
        </w:rPr>
        <w:t> </w:t>
      </w:r>
      <w:r>
        <w:rPr>
          <w:color w:val="231F20"/>
        </w:rPr>
        <w:t>nuevas seguridades</w:t>
      </w:r>
      <w:r>
        <w:rPr>
          <w:color w:val="231F20"/>
          <w:spacing w:val="-9"/>
        </w:rPr>
        <w:t> </w:t>
      </w:r>
      <w:r>
        <w:rPr>
          <w:color w:val="231F20"/>
        </w:rPr>
        <w:t>y</w:t>
      </w:r>
      <w:r>
        <w:rPr>
          <w:color w:val="231F20"/>
          <w:spacing w:val="-9"/>
        </w:rPr>
        <w:t> </w:t>
      </w:r>
      <w:r>
        <w:rPr>
          <w:color w:val="231F20"/>
        </w:rPr>
        <w:t>derechos.</w:t>
      </w:r>
      <w:r>
        <w:rPr>
          <w:color w:val="231F20"/>
          <w:spacing w:val="-19"/>
        </w:rPr>
        <w:t> </w:t>
      </w:r>
      <w:r>
        <w:rPr>
          <w:color w:val="231F20"/>
        </w:rPr>
        <w:t>Antes,</w:t>
      </w:r>
      <w:r>
        <w:rPr>
          <w:color w:val="231F20"/>
          <w:spacing w:val="-9"/>
        </w:rPr>
        <w:t> </w:t>
      </w:r>
      <w:r>
        <w:rPr>
          <w:color w:val="231F20"/>
        </w:rPr>
        <w:t>los</w:t>
      </w:r>
      <w:r>
        <w:rPr>
          <w:color w:val="231F20"/>
          <w:spacing w:val="-10"/>
        </w:rPr>
        <w:t> </w:t>
      </w:r>
      <w:r>
        <w:rPr>
          <w:color w:val="231F20"/>
        </w:rPr>
        <w:t>derechos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seguridad</w:t>
      </w:r>
      <w:r>
        <w:rPr>
          <w:color w:val="231F20"/>
          <w:spacing w:val="-9"/>
        </w:rPr>
        <w:t> </w:t>
      </w:r>
      <w:r>
        <w:rPr>
          <w:color w:val="231F20"/>
        </w:rPr>
        <w:t>social</w:t>
      </w:r>
      <w:r>
        <w:rPr>
          <w:color w:val="231F20"/>
          <w:spacing w:val="-9"/>
        </w:rPr>
        <w:t> </w:t>
      </w:r>
      <w:r>
        <w:rPr>
          <w:color w:val="231F20"/>
        </w:rPr>
        <w:t>estaban atados al empleo estable. Junto con la alerta ante cambios organizativos basados en el debilitamiento de derechos, si el empleo se convierte en intermitente,</w:t>
      </w:r>
      <w:r>
        <w:rPr>
          <w:color w:val="231F20"/>
          <w:spacing w:val="-6"/>
        </w:rPr>
        <w:t> </w:t>
      </w:r>
      <w:r>
        <w:rPr>
          <w:color w:val="231F20"/>
        </w:rPr>
        <w:t>discontinuo,</w:t>
      </w:r>
      <w:r>
        <w:rPr>
          <w:color w:val="231F20"/>
          <w:spacing w:val="-6"/>
        </w:rPr>
        <w:t> </w:t>
      </w:r>
      <w:r>
        <w:rPr>
          <w:color w:val="231F20"/>
        </w:rPr>
        <w:t>frágil,</w:t>
      </w:r>
      <w:r>
        <w:rPr>
          <w:color w:val="231F20"/>
          <w:spacing w:val="-6"/>
        </w:rPr>
        <w:t> </w:t>
      </w:r>
      <w:r>
        <w:rPr>
          <w:color w:val="231F20"/>
        </w:rPr>
        <w:t>habrá</w:t>
      </w:r>
      <w:r>
        <w:rPr>
          <w:color w:val="231F20"/>
          <w:spacing w:val="-6"/>
        </w:rPr>
        <w:t> </w:t>
      </w:r>
      <w:r>
        <w:rPr>
          <w:color w:val="231F20"/>
        </w:rPr>
        <w:t>que</w:t>
      </w:r>
      <w:r>
        <w:rPr>
          <w:color w:val="231F20"/>
          <w:spacing w:val="-6"/>
        </w:rPr>
        <w:t> </w:t>
      </w:r>
      <w:r>
        <w:rPr>
          <w:color w:val="231F20"/>
        </w:rPr>
        <w:t>darle</w:t>
      </w:r>
      <w:r>
        <w:rPr>
          <w:color w:val="231F20"/>
          <w:spacing w:val="-6"/>
        </w:rPr>
        <w:t> </w:t>
      </w:r>
      <w:r>
        <w:rPr>
          <w:color w:val="231F20"/>
        </w:rPr>
        <w:t>un</w:t>
      </w:r>
      <w:r>
        <w:rPr>
          <w:color w:val="231F20"/>
          <w:spacing w:val="-6"/>
        </w:rPr>
        <w:t> </w:t>
      </w:r>
      <w:r>
        <w:rPr>
          <w:color w:val="231F20"/>
        </w:rPr>
        <w:t>status</w:t>
      </w:r>
      <w:r>
        <w:rPr>
          <w:color w:val="231F20"/>
          <w:spacing w:val="-5"/>
        </w:rPr>
        <w:t> </w:t>
      </w:r>
      <w:r>
        <w:rPr>
          <w:color w:val="231F20"/>
        </w:rPr>
        <w:t>al</w:t>
      </w:r>
      <w:r>
        <w:rPr>
          <w:color w:val="231F20"/>
          <w:spacing w:val="-6"/>
        </w:rPr>
        <w:t> </w:t>
      </w:r>
      <w:r>
        <w:rPr>
          <w:color w:val="231F20"/>
        </w:rPr>
        <w:t>trabajador/a móvil con la protección y los derechos adecuados. Castel sostiene, en- tonces,</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necesariamente</w:t>
      </w:r>
      <w:r>
        <w:rPr>
          <w:color w:val="231F20"/>
          <w:spacing w:val="-9"/>
        </w:rPr>
        <w:t> </w:t>
      </w:r>
      <w:r>
        <w:rPr>
          <w:color w:val="231F20"/>
        </w:rPr>
        <w:t>la</w:t>
      </w:r>
      <w:r>
        <w:rPr>
          <w:color w:val="231F20"/>
          <w:spacing w:val="-9"/>
        </w:rPr>
        <w:t> </w:t>
      </w:r>
      <w:r>
        <w:rPr>
          <w:color w:val="231F20"/>
        </w:rPr>
        <w:t>movilidad</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debe</w:t>
      </w:r>
      <w:r>
        <w:rPr>
          <w:color w:val="231F20"/>
          <w:spacing w:val="-9"/>
        </w:rPr>
        <w:t> </w:t>
      </w:r>
      <w:r>
        <w:rPr>
          <w:color w:val="231F20"/>
        </w:rPr>
        <w:t>revertirse</w:t>
      </w:r>
      <w:r>
        <w:rPr>
          <w:color w:val="231F20"/>
          <w:spacing w:val="-9"/>
        </w:rPr>
        <w:t> </w:t>
      </w:r>
      <w:r>
        <w:rPr>
          <w:color w:val="231F20"/>
        </w:rPr>
        <w:t>sino generar formas de regulación efectivamente protectoras para nuevas</w:t>
      </w:r>
      <w:r>
        <w:rPr>
          <w:color w:val="231F20"/>
          <w:spacing w:val="-20"/>
        </w:rPr>
        <w:t> </w:t>
      </w:r>
      <w:r>
        <w:rPr>
          <w:color w:val="231F20"/>
        </w:rPr>
        <w:t>for- mas de organización de la producción y el trabajo, garantizando la segu- ridad</w:t>
      </w:r>
      <w:r>
        <w:rPr>
          <w:color w:val="231F20"/>
          <w:spacing w:val="-11"/>
        </w:rPr>
        <w:t> </w:t>
      </w:r>
      <w:r>
        <w:rPr>
          <w:color w:val="231F20"/>
        </w:rPr>
        <w:t>laboral</w:t>
      </w:r>
      <w:r>
        <w:rPr>
          <w:color w:val="231F20"/>
          <w:spacing w:val="-12"/>
        </w:rPr>
        <w:t> </w:t>
      </w:r>
      <w:r>
        <w:rPr>
          <w:color w:val="231F20"/>
        </w:rPr>
        <w:t>más</w:t>
      </w:r>
      <w:r>
        <w:rPr>
          <w:color w:val="231F20"/>
          <w:spacing w:val="-11"/>
        </w:rPr>
        <w:t> </w:t>
      </w:r>
      <w:r>
        <w:rPr>
          <w:color w:val="231F20"/>
        </w:rPr>
        <w:t>allá</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cambios</w:t>
      </w:r>
      <w:r>
        <w:rPr>
          <w:color w:val="231F20"/>
          <w:spacing w:val="-11"/>
        </w:rPr>
        <w:t> </w:t>
      </w:r>
      <w:r>
        <w:rPr>
          <w:color w:val="231F20"/>
        </w:rPr>
        <w:t>o</w:t>
      </w:r>
      <w:r>
        <w:rPr>
          <w:color w:val="231F20"/>
          <w:spacing w:val="-11"/>
        </w:rPr>
        <w:t> </w:t>
      </w:r>
      <w:r>
        <w:rPr>
          <w:color w:val="231F20"/>
        </w:rPr>
        <w:t>alternancia</w:t>
      </w:r>
      <w:r>
        <w:rPr>
          <w:color w:val="231F20"/>
          <w:spacing w:val="-12"/>
        </w:rPr>
        <w:t> </w:t>
      </w:r>
      <w:r>
        <w:rPr>
          <w:color w:val="231F20"/>
        </w:rPr>
        <w:t>de</w:t>
      </w:r>
      <w:r>
        <w:rPr>
          <w:color w:val="231F20"/>
          <w:spacing w:val="-11"/>
        </w:rPr>
        <w:t> </w:t>
      </w:r>
      <w:r>
        <w:rPr>
          <w:color w:val="231F20"/>
        </w:rPr>
        <w:t>empleos.</w:t>
      </w:r>
      <w:r>
        <w:rPr>
          <w:color w:val="231F20"/>
          <w:spacing w:val="-12"/>
        </w:rPr>
        <w:t> </w:t>
      </w:r>
      <w:r>
        <w:rPr>
          <w:color w:val="231F20"/>
        </w:rPr>
        <w:t>La</w:t>
      </w:r>
      <w:r>
        <w:rPr>
          <w:color w:val="231F20"/>
          <w:spacing w:val="-11"/>
        </w:rPr>
        <w:t> </w:t>
      </w:r>
      <w:r>
        <w:rPr>
          <w:color w:val="231F20"/>
        </w:rPr>
        <w:t>idea</w:t>
      </w:r>
      <w:r>
        <w:rPr>
          <w:color w:val="231F20"/>
          <w:spacing w:val="-11"/>
        </w:rPr>
        <w:t> </w:t>
      </w:r>
      <w:r>
        <w:rPr>
          <w:color w:val="231F20"/>
        </w:rPr>
        <w:t>es una seguridad laboral garantizada más allá de los cambios o</w:t>
      </w:r>
      <w:r>
        <w:rPr>
          <w:color w:val="231F20"/>
          <w:spacing w:val="-29"/>
        </w:rPr>
        <w:t> </w:t>
      </w:r>
      <w:r>
        <w:rPr>
          <w:color w:val="231F20"/>
        </w:rPr>
        <w:t>alternancias de empleos (Castel, 2005 y</w:t>
      </w:r>
      <w:r>
        <w:rPr>
          <w:color w:val="231F20"/>
          <w:spacing w:val="-1"/>
        </w:rPr>
        <w:t> </w:t>
      </w:r>
      <w:r>
        <w:rPr>
          <w:color w:val="231F20"/>
        </w:rPr>
        <w:t>2010).</w:t>
      </w:r>
    </w:p>
    <w:p>
      <w:pPr>
        <w:pStyle w:val="BodyText"/>
        <w:spacing w:line="249" w:lineRule="auto" w:before="1"/>
        <w:ind w:left="110" w:right="111" w:firstLine="283"/>
        <w:jc w:val="both"/>
      </w:pPr>
      <w:r>
        <w:rPr>
          <w:color w:val="231F20"/>
        </w:rPr>
        <w:t>En la evaluación de las formas de flexibilidad señaladas, así como</w:t>
      </w:r>
      <w:r>
        <w:rPr>
          <w:color w:val="231F20"/>
          <w:spacing w:val="-32"/>
        </w:rPr>
        <w:t> </w:t>
      </w:r>
      <w:r>
        <w:rPr>
          <w:color w:val="231F20"/>
        </w:rPr>
        <w:t>en la búsqueda de nuevas forma protectoras, el análisis de la relación entre la organización de la producción y el trabajo reproductivo y de cuidado no ha tenido aun suficiente consideración. Si se considera el empleo o trabajo remunerado de manera aislada de las condiciones de reproduc- ción y de los distintos trabajos y actividades necesarios para ella, no es posible entender las consecuencias de la flexibilidad</w:t>
      </w:r>
      <w:r>
        <w:rPr>
          <w:color w:val="231F20"/>
          <w:spacing w:val="-11"/>
        </w:rPr>
        <w:t> </w:t>
      </w:r>
      <w:r>
        <w:rPr>
          <w:color w:val="231F20"/>
        </w:rPr>
        <w:t>laboral.</w:t>
      </w:r>
    </w:p>
    <w:p>
      <w:pPr>
        <w:pStyle w:val="Heading4"/>
        <w:spacing w:line="240" w:lineRule="exact" w:before="166"/>
        <w:ind w:left="110" w:right="2095"/>
        <w:jc w:val="left"/>
      </w:pPr>
      <w:r>
        <w:rPr>
          <w:w w:val="75"/>
        </w:rPr>
        <w:t>Trabajo reproductivo y de cuidado en el debate de la flexibilidad del empleo</w:t>
      </w:r>
    </w:p>
    <w:p>
      <w:pPr>
        <w:pStyle w:val="BodyText"/>
        <w:spacing w:line="249" w:lineRule="auto" w:before="175"/>
        <w:ind w:left="110" w:right="110"/>
        <w:jc w:val="both"/>
        <w:rPr>
          <w:sz w:val="11"/>
        </w:rPr>
      </w:pPr>
      <w:r>
        <w:rPr>
          <w:color w:val="231F20"/>
        </w:rPr>
        <w:t>El trabajo reproductivo y de cuidado ha sido relegado a las esferas invi- sibilizadas de la economía. El sistema socioeconómico toma la forma</w:t>
      </w:r>
      <w:r>
        <w:rPr>
          <w:color w:val="231F20"/>
          <w:spacing w:val="-31"/>
        </w:rPr>
        <w:t> </w:t>
      </w:r>
      <w:r>
        <w:rPr>
          <w:color w:val="231F20"/>
        </w:rPr>
        <w:t>de un </w:t>
      </w:r>
      <w:r>
        <w:rPr>
          <w:i/>
          <w:color w:val="231F20"/>
          <w:spacing w:val="-3"/>
        </w:rPr>
        <w:t>iceberg</w:t>
      </w:r>
      <w:r>
        <w:rPr>
          <w:color w:val="231F20"/>
          <w:spacing w:val="-3"/>
        </w:rPr>
        <w:t>, </w:t>
      </w:r>
      <w:r>
        <w:rPr>
          <w:color w:val="231F20"/>
          <w:spacing w:val="-8"/>
        </w:rPr>
        <w:t>donde </w:t>
      </w:r>
      <w:r>
        <w:rPr>
          <w:color w:val="231F20"/>
          <w:spacing w:val="-7"/>
        </w:rPr>
        <w:t>las </w:t>
      </w:r>
      <w:r>
        <w:rPr>
          <w:color w:val="231F20"/>
          <w:spacing w:val="-9"/>
        </w:rPr>
        <w:t>diferentes esferas </w:t>
      </w:r>
      <w:r>
        <w:rPr>
          <w:color w:val="231F20"/>
          <w:spacing w:val="-5"/>
        </w:rPr>
        <w:t>de la </w:t>
      </w:r>
      <w:r>
        <w:rPr>
          <w:color w:val="231F20"/>
          <w:spacing w:val="-9"/>
        </w:rPr>
        <w:t>actividad </w:t>
      </w:r>
      <w:r>
        <w:rPr>
          <w:color w:val="231F20"/>
          <w:spacing w:val="-10"/>
        </w:rPr>
        <w:t>económica permanecen escindidas </w:t>
      </w:r>
      <w:r>
        <w:rPr>
          <w:color w:val="231F20"/>
          <w:spacing w:val="-6"/>
        </w:rPr>
        <w:t>en </w:t>
      </w:r>
      <w:r>
        <w:rPr>
          <w:color w:val="231F20"/>
          <w:spacing w:val="-10"/>
        </w:rPr>
        <w:t>función </w:t>
      </w:r>
      <w:r>
        <w:rPr>
          <w:color w:val="231F20"/>
          <w:spacing w:val="-6"/>
        </w:rPr>
        <w:t>de la </w:t>
      </w:r>
      <w:r>
        <w:rPr>
          <w:color w:val="231F20"/>
          <w:spacing w:val="-10"/>
        </w:rPr>
        <w:t>lógica operante </w:t>
      </w:r>
      <w:r>
        <w:rPr>
          <w:color w:val="231F20"/>
          <w:spacing w:val="-6"/>
        </w:rPr>
        <w:t>en </w:t>
      </w:r>
      <w:r>
        <w:rPr>
          <w:color w:val="231F20"/>
          <w:spacing w:val="-9"/>
        </w:rPr>
        <w:t>cada </w:t>
      </w:r>
      <w:r>
        <w:rPr>
          <w:color w:val="231F20"/>
          <w:spacing w:val="-8"/>
        </w:rPr>
        <w:t>una </w:t>
      </w:r>
      <w:r>
        <w:rPr>
          <w:color w:val="231F20"/>
          <w:spacing w:val="-6"/>
        </w:rPr>
        <w:t>de </w:t>
      </w:r>
      <w:r>
        <w:rPr>
          <w:color w:val="231F20"/>
        </w:rPr>
        <w:t>ellas (Pérez, 2006). Por ello, nos parece importante hacer algunas precisiones </w:t>
      </w:r>
      <w:r>
        <w:rPr>
          <w:color w:val="231F20"/>
          <w:spacing w:val="-2"/>
        </w:rPr>
        <w:t>conceptuales </w:t>
      </w:r>
      <w:r>
        <w:rPr>
          <w:color w:val="231F20"/>
        </w:rPr>
        <w:t>que ayuden a esclarecer el lugar económico del trabajo reproductivo y especificar</w:t>
      </w:r>
      <w:r>
        <w:rPr>
          <w:color w:val="231F20"/>
          <w:spacing w:val="-21"/>
        </w:rPr>
        <w:t> </w:t>
      </w:r>
      <w:r>
        <w:rPr>
          <w:color w:val="231F20"/>
        </w:rPr>
        <w:t>la</w:t>
      </w:r>
      <w:r>
        <w:rPr>
          <w:color w:val="231F20"/>
          <w:spacing w:val="-21"/>
        </w:rPr>
        <w:t> </w:t>
      </w:r>
      <w:r>
        <w:rPr>
          <w:color w:val="231F20"/>
        </w:rPr>
        <w:t>relación</w:t>
      </w:r>
      <w:r>
        <w:rPr>
          <w:color w:val="231F20"/>
          <w:spacing w:val="-21"/>
        </w:rPr>
        <w:t> </w:t>
      </w:r>
      <w:r>
        <w:rPr>
          <w:color w:val="231F20"/>
        </w:rPr>
        <w:t>producción-reproducción</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momento</w:t>
      </w:r>
      <w:r>
        <w:rPr>
          <w:color w:val="231F20"/>
          <w:spacing w:val="-21"/>
        </w:rPr>
        <w:t> </w:t>
      </w:r>
      <w:r>
        <w:rPr>
          <w:color w:val="231F20"/>
        </w:rPr>
        <w:t>actual.</w:t>
      </w:r>
      <w:r>
        <w:rPr>
          <w:color w:val="231F20"/>
          <w:position w:val="7"/>
          <w:sz w:val="11"/>
        </w:rPr>
        <w:t>9</w:t>
      </w:r>
    </w:p>
    <w:p>
      <w:pPr>
        <w:pStyle w:val="BodyText"/>
        <w:spacing w:before="1"/>
        <w:ind w:left="393"/>
        <w:jc w:val="both"/>
      </w:pPr>
      <w:r>
        <w:rPr>
          <w:color w:val="231F20"/>
        </w:rPr>
        <w:t>Antonella Picchio sostiene que el análisis del trabajo de mercado</w:t>
      </w:r>
    </w:p>
    <w:p>
      <w:pPr>
        <w:pStyle w:val="BodyText"/>
        <w:spacing w:line="249" w:lineRule="auto" w:before="123"/>
        <w:ind w:left="393" w:right="111"/>
        <w:jc w:val="both"/>
      </w:pPr>
      <w:r>
        <w:rPr>
          <w:color w:val="231F20"/>
        </w:rPr>
        <w:t>utiliza generalmente planteamientos teóricos que marginan y ocultan todo el proceso de reproducción del trabajo y su especificidad. La</w:t>
      </w:r>
      <w:r>
        <w:rPr>
          <w:color w:val="231F20"/>
          <w:spacing w:val="-33"/>
        </w:rPr>
        <w:t> </w:t>
      </w:r>
      <w:r>
        <w:rPr>
          <w:color w:val="231F20"/>
        </w:rPr>
        <w:t>in- capacidad de situar el trabajo de reproducción en un marco</w:t>
      </w:r>
      <w:r>
        <w:rPr>
          <w:color w:val="231F20"/>
          <w:spacing w:val="35"/>
        </w:rPr>
        <w:t> </w:t>
      </w:r>
      <w:r>
        <w:rPr>
          <w:color w:val="231F20"/>
        </w:rPr>
        <w:t>analítico</w:t>
      </w:r>
    </w:p>
    <w:p>
      <w:pPr>
        <w:spacing w:before="124"/>
        <w:ind w:left="110" w:right="111" w:firstLine="0"/>
        <w:jc w:val="both"/>
        <w:rPr>
          <w:sz w:val="14"/>
        </w:rPr>
      </w:pPr>
      <w:r>
        <w:rPr>
          <w:color w:val="231F20"/>
          <w:position w:val="5"/>
          <w:sz w:val="8"/>
        </w:rPr>
        <w:t>9</w:t>
      </w:r>
      <w:r>
        <w:rPr>
          <w:color w:val="231F20"/>
          <w:spacing w:val="11"/>
          <w:position w:val="5"/>
          <w:sz w:val="8"/>
        </w:rPr>
        <w:t> </w:t>
      </w:r>
      <w:r>
        <w:rPr>
          <w:color w:val="231F20"/>
          <w:sz w:val="14"/>
        </w:rPr>
        <w:t>Es</w:t>
      </w:r>
      <w:r>
        <w:rPr>
          <w:color w:val="231F20"/>
          <w:spacing w:val="-4"/>
          <w:sz w:val="14"/>
        </w:rPr>
        <w:t> </w:t>
      </w:r>
      <w:r>
        <w:rPr>
          <w:color w:val="231F20"/>
          <w:sz w:val="14"/>
        </w:rPr>
        <w:t>conveniente</w:t>
      </w:r>
      <w:r>
        <w:rPr>
          <w:color w:val="231F20"/>
          <w:spacing w:val="-4"/>
          <w:sz w:val="14"/>
        </w:rPr>
        <w:t> </w:t>
      </w:r>
      <w:r>
        <w:rPr>
          <w:color w:val="231F20"/>
          <w:sz w:val="14"/>
        </w:rPr>
        <w:t>aclarar</w:t>
      </w:r>
      <w:r>
        <w:rPr>
          <w:color w:val="231F20"/>
          <w:spacing w:val="-4"/>
          <w:sz w:val="14"/>
        </w:rPr>
        <w:t> </w:t>
      </w:r>
      <w:r>
        <w:rPr>
          <w:color w:val="231F20"/>
          <w:sz w:val="14"/>
        </w:rPr>
        <w:t>que</w:t>
      </w:r>
      <w:r>
        <w:rPr>
          <w:color w:val="231F20"/>
          <w:spacing w:val="-4"/>
          <w:sz w:val="14"/>
        </w:rPr>
        <w:t> </w:t>
      </w:r>
      <w:r>
        <w:rPr>
          <w:color w:val="231F20"/>
          <w:sz w:val="14"/>
        </w:rPr>
        <w:t>hay</w:t>
      </w:r>
      <w:r>
        <w:rPr>
          <w:color w:val="231F20"/>
          <w:spacing w:val="-4"/>
          <w:sz w:val="14"/>
        </w:rPr>
        <w:t> </w:t>
      </w:r>
      <w:r>
        <w:rPr>
          <w:color w:val="231F20"/>
          <w:sz w:val="14"/>
        </w:rPr>
        <w:t>una</w:t>
      </w:r>
      <w:r>
        <w:rPr>
          <w:color w:val="231F20"/>
          <w:spacing w:val="-4"/>
          <w:sz w:val="14"/>
        </w:rPr>
        <w:t> </w:t>
      </w:r>
      <w:r>
        <w:rPr>
          <w:color w:val="231F20"/>
          <w:sz w:val="14"/>
        </w:rPr>
        <w:t>cierta</w:t>
      </w:r>
      <w:r>
        <w:rPr>
          <w:color w:val="231F20"/>
          <w:spacing w:val="-4"/>
          <w:sz w:val="14"/>
        </w:rPr>
        <w:t> </w:t>
      </w:r>
      <w:r>
        <w:rPr>
          <w:color w:val="231F20"/>
          <w:sz w:val="14"/>
        </w:rPr>
        <w:t>imprecisión</w:t>
      </w:r>
      <w:r>
        <w:rPr>
          <w:color w:val="231F20"/>
          <w:spacing w:val="-4"/>
          <w:sz w:val="14"/>
        </w:rPr>
        <w:t> </w:t>
      </w:r>
      <w:r>
        <w:rPr>
          <w:color w:val="231F20"/>
          <w:sz w:val="14"/>
        </w:rPr>
        <w:t>en</w:t>
      </w:r>
      <w:r>
        <w:rPr>
          <w:color w:val="231F20"/>
          <w:spacing w:val="-4"/>
          <w:sz w:val="14"/>
        </w:rPr>
        <w:t> </w:t>
      </w:r>
      <w:r>
        <w:rPr>
          <w:color w:val="231F20"/>
          <w:sz w:val="14"/>
        </w:rPr>
        <w:t>las</w:t>
      </w:r>
      <w:r>
        <w:rPr>
          <w:color w:val="231F20"/>
          <w:spacing w:val="-4"/>
          <w:sz w:val="14"/>
        </w:rPr>
        <w:t> </w:t>
      </w:r>
      <w:r>
        <w:rPr>
          <w:color w:val="231F20"/>
          <w:sz w:val="14"/>
        </w:rPr>
        <w:t>definiciones</w:t>
      </w:r>
      <w:r>
        <w:rPr>
          <w:color w:val="231F20"/>
          <w:spacing w:val="-4"/>
          <w:sz w:val="14"/>
        </w:rPr>
        <w:t> </w:t>
      </w:r>
      <w:r>
        <w:rPr>
          <w:color w:val="231F20"/>
          <w:sz w:val="14"/>
        </w:rPr>
        <w:t>y</w:t>
      </w:r>
      <w:r>
        <w:rPr>
          <w:color w:val="231F20"/>
          <w:spacing w:val="-4"/>
          <w:sz w:val="14"/>
        </w:rPr>
        <w:t> </w:t>
      </w:r>
      <w:r>
        <w:rPr>
          <w:color w:val="231F20"/>
          <w:sz w:val="14"/>
        </w:rPr>
        <w:t>uso</w:t>
      </w:r>
      <w:r>
        <w:rPr>
          <w:color w:val="231F20"/>
          <w:spacing w:val="-4"/>
          <w:sz w:val="14"/>
        </w:rPr>
        <w:t> </w:t>
      </w:r>
      <w:r>
        <w:rPr>
          <w:color w:val="231F20"/>
          <w:sz w:val="14"/>
        </w:rPr>
        <w:t>de</w:t>
      </w:r>
      <w:r>
        <w:rPr>
          <w:color w:val="231F20"/>
          <w:spacing w:val="-4"/>
          <w:sz w:val="14"/>
        </w:rPr>
        <w:t> </w:t>
      </w:r>
      <w:r>
        <w:rPr>
          <w:color w:val="231F20"/>
          <w:sz w:val="14"/>
        </w:rPr>
        <w:t>los</w:t>
      </w:r>
      <w:r>
        <w:rPr>
          <w:color w:val="231F20"/>
          <w:spacing w:val="-4"/>
          <w:sz w:val="14"/>
        </w:rPr>
        <w:t> </w:t>
      </w:r>
      <w:r>
        <w:rPr>
          <w:color w:val="231F20"/>
          <w:sz w:val="14"/>
        </w:rPr>
        <w:t>términos</w:t>
      </w:r>
      <w:r>
        <w:rPr>
          <w:color w:val="231F20"/>
          <w:spacing w:val="-4"/>
          <w:sz w:val="14"/>
        </w:rPr>
        <w:t> </w:t>
      </w:r>
      <w:r>
        <w:rPr>
          <w:color w:val="231F20"/>
          <w:sz w:val="14"/>
        </w:rPr>
        <w:t>ligados a</w:t>
      </w:r>
      <w:r>
        <w:rPr>
          <w:color w:val="231F20"/>
          <w:spacing w:val="-2"/>
          <w:sz w:val="14"/>
        </w:rPr>
        <w:t> </w:t>
      </w:r>
      <w:r>
        <w:rPr>
          <w:color w:val="231F20"/>
          <w:sz w:val="14"/>
        </w:rPr>
        <w:t>la</w:t>
      </w:r>
      <w:r>
        <w:rPr>
          <w:color w:val="231F20"/>
          <w:spacing w:val="-2"/>
          <w:sz w:val="14"/>
        </w:rPr>
        <w:t> </w:t>
      </w:r>
      <w:r>
        <w:rPr>
          <w:color w:val="231F20"/>
          <w:sz w:val="14"/>
        </w:rPr>
        <w:t>reproducción</w:t>
      </w:r>
      <w:r>
        <w:rPr>
          <w:color w:val="231F20"/>
          <w:spacing w:val="-2"/>
          <w:sz w:val="14"/>
        </w:rPr>
        <w:t> </w:t>
      </w:r>
      <w:r>
        <w:rPr>
          <w:color w:val="231F20"/>
          <w:sz w:val="14"/>
        </w:rPr>
        <w:t>social.</w:t>
      </w:r>
      <w:r>
        <w:rPr>
          <w:color w:val="231F20"/>
          <w:spacing w:val="-5"/>
          <w:sz w:val="14"/>
        </w:rPr>
        <w:t> </w:t>
      </w:r>
      <w:r>
        <w:rPr>
          <w:color w:val="231F20"/>
          <w:sz w:val="14"/>
        </w:rPr>
        <w:t>Trabajo</w:t>
      </w:r>
      <w:r>
        <w:rPr>
          <w:color w:val="231F20"/>
          <w:spacing w:val="-2"/>
          <w:sz w:val="14"/>
        </w:rPr>
        <w:t> </w:t>
      </w:r>
      <w:r>
        <w:rPr>
          <w:color w:val="231F20"/>
          <w:sz w:val="14"/>
        </w:rPr>
        <w:t>reproductivo</w:t>
      </w:r>
      <w:r>
        <w:rPr>
          <w:color w:val="231F20"/>
          <w:spacing w:val="-3"/>
          <w:sz w:val="14"/>
        </w:rPr>
        <w:t> </w:t>
      </w:r>
      <w:r>
        <w:rPr>
          <w:color w:val="231F20"/>
          <w:sz w:val="14"/>
        </w:rPr>
        <w:t>se</w:t>
      </w:r>
      <w:r>
        <w:rPr>
          <w:color w:val="231F20"/>
          <w:spacing w:val="-2"/>
          <w:sz w:val="14"/>
        </w:rPr>
        <w:t> </w:t>
      </w:r>
      <w:r>
        <w:rPr>
          <w:color w:val="231F20"/>
          <w:sz w:val="14"/>
        </w:rPr>
        <w:t>usa</w:t>
      </w:r>
      <w:r>
        <w:rPr>
          <w:color w:val="231F20"/>
          <w:spacing w:val="-2"/>
          <w:sz w:val="14"/>
        </w:rPr>
        <w:t> </w:t>
      </w:r>
      <w:r>
        <w:rPr>
          <w:color w:val="231F20"/>
          <w:sz w:val="14"/>
        </w:rPr>
        <w:t>especialmente</w:t>
      </w:r>
      <w:r>
        <w:rPr>
          <w:color w:val="231F20"/>
          <w:spacing w:val="-3"/>
          <w:sz w:val="14"/>
        </w:rPr>
        <w:t> </w:t>
      </w:r>
      <w:r>
        <w:rPr>
          <w:color w:val="231F20"/>
          <w:sz w:val="14"/>
        </w:rPr>
        <w:t>para</w:t>
      </w:r>
      <w:r>
        <w:rPr>
          <w:color w:val="231F20"/>
          <w:spacing w:val="-2"/>
          <w:sz w:val="14"/>
        </w:rPr>
        <w:t> </w:t>
      </w:r>
      <w:r>
        <w:rPr>
          <w:color w:val="231F20"/>
          <w:sz w:val="14"/>
        </w:rPr>
        <w:t>la</w:t>
      </w:r>
      <w:r>
        <w:rPr>
          <w:color w:val="231F20"/>
          <w:spacing w:val="-2"/>
          <w:sz w:val="14"/>
        </w:rPr>
        <w:t> </w:t>
      </w:r>
      <w:r>
        <w:rPr>
          <w:color w:val="231F20"/>
          <w:sz w:val="14"/>
        </w:rPr>
        <w:t>reproducción</w:t>
      </w:r>
      <w:r>
        <w:rPr>
          <w:color w:val="231F20"/>
          <w:spacing w:val="-2"/>
          <w:sz w:val="14"/>
        </w:rPr>
        <w:t> </w:t>
      </w:r>
      <w:r>
        <w:rPr>
          <w:color w:val="231F20"/>
          <w:sz w:val="14"/>
        </w:rPr>
        <w:t>biológica</w:t>
      </w:r>
      <w:r>
        <w:rPr>
          <w:color w:val="231F20"/>
          <w:spacing w:val="-2"/>
          <w:sz w:val="14"/>
        </w:rPr>
        <w:t> </w:t>
      </w:r>
      <w:r>
        <w:rPr>
          <w:color w:val="231F20"/>
          <w:sz w:val="14"/>
        </w:rPr>
        <w:t>y</w:t>
      </w:r>
      <w:r>
        <w:rPr>
          <w:color w:val="231F20"/>
          <w:spacing w:val="-2"/>
          <w:sz w:val="14"/>
        </w:rPr>
        <w:t> </w:t>
      </w:r>
      <w:r>
        <w:rPr>
          <w:color w:val="231F20"/>
          <w:sz w:val="14"/>
        </w:rPr>
        <w:t>de la fuerza de trabajo, aunque también podríamos usar este término para expresar el tipo de sociedad que se reproduce: instituciones, valores, cultura,</w:t>
      </w:r>
      <w:r>
        <w:rPr>
          <w:color w:val="231F20"/>
          <w:spacing w:val="-3"/>
          <w:sz w:val="14"/>
        </w:rPr>
        <w:t> </w:t>
      </w:r>
      <w:r>
        <w:rPr>
          <w:color w:val="231F20"/>
          <w:sz w:val="14"/>
        </w:rPr>
        <w:t>etc.</w:t>
      </w:r>
    </w:p>
    <w:p>
      <w:pPr>
        <w:spacing w:after="0"/>
        <w:jc w:val="both"/>
        <w:rPr>
          <w:sz w:val="14"/>
        </w:rPr>
        <w:sectPr>
          <w:pgSz w:w="7770" w:h="11740"/>
          <w:pgMar w:header="0" w:footer="474" w:top="840" w:bottom="740" w:left="740" w:right="1020"/>
        </w:sectPr>
      </w:pPr>
    </w:p>
    <w:p>
      <w:pPr>
        <w:pStyle w:val="BodyText"/>
        <w:spacing w:line="249" w:lineRule="auto" w:before="60"/>
        <w:ind w:left="397"/>
      </w:pPr>
      <w:r>
        <w:rPr>
          <w:color w:val="231F20"/>
        </w:rPr>
        <w:t>adecuado ha llevado muchas veces a silenciarlo, como si fuese un trabajo invisible (1994: 453-454).</w:t>
      </w:r>
    </w:p>
    <w:p>
      <w:pPr>
        <w:pStyle w:val="BodyText"/>
        <w:spacing w:line="249" w:lineRule="auto" w:before="114"/>
        <w:ind w:left="113" w:right="108" w:firstLine="283"/>
        <w:jc w:val="both"/>
      </w:pPr>
      <w:r>
        <w:rPr>
          <w:color w:val="231F20"/>
        </w:rPr>
        <w:t>Esto ha dado lugar a una invisibilidad social de este trabajo y de </w:t>
      </w:r>
      <w:r>
        <w:rPr>
          <w:color w:val="231F20"/>
          <w:spacing w:val="-2"/>
        </w:rPr>
        <w:t>las </w:t>
      </w:r>
      <w:r>
        <w:rPr>
          <w:color w:val="231F20"/>
        </w:rPr>
        <w:t>personas</w:t>
      </w:r>
      <w:r>
        <w:rPr>
          <w:color w:val="231F20"/>
          <w:spacing w:val="-12"/>
        </w:rPr>
        <w:t> </w:t>
      </w:r>
      <w:r>
        <w:rPr>
          <w:color w:val="231F20"/>
        </w:rPr>
        <w:t>que</w:t>
      </w:r>
      <w:r>
        <w:rPr>
          <w:color w:val="231F20"/>
          <w:spacing w:val="-12"/>
        </w:rPr>
        <w:t> </w:t>
      </w:r>
      <w:r>
        <w:rPr>
          <w:color w:val="231F20"/>
        </w:rPr>
        <w:t>lo</w:t>
      </w:r>
      <w:r>
        <w:rPr>
          <w:color w:val="231F20"/>
          <w:spacing w:val="-12"/>
        </w:rPr>
        <w:t> </w:t>
      </w:r>
      <w:r>
        <w:rPr>
          <w:color w:val="231F20"/>
        </w:rPr>
        <w:t>realizan.</w:t>
      </w:r>
      <w:r>
        <w:rPr>
          <w:color w:val="231F20"/>
          <w:spacing w:val="-12"/>
        </w:rPr>
        <w:t> </w:t>
      </w:r>
      <w:r>
        <w:rPr>
          <w:color w:val="231F20"/>
        </w:rPr>
        <w:t>Pero</w:t>
      </w:r>
      <w:r>
        <w:rPr>
          <w:color w:val="231F20"/>
          <w:spacing w:val="-12"/>
        </w:rPr>
        <w:t> </w:t>
      </w:r>
      <w:r>
        <w:rPr>
          <w:color w:val="231F20"/>
        </w:rPr>
        <w:t>fundamentalmente</w:t>
      </w:r>
      <w:r>
        <w:rPr>
          <w:color w:val="231F20"/>
          <w:spacing w:val="-12"/>
        </w:rPr>
        <w:t> </w:t>
      </w:r>
      <w:r>
        <w:rPr>
          <w:color w:val="231F20"/>
        </w:rPr>
        <w:t>queda</w:t>
      </w:r>
      <w:r>
        <w:rPr>
          <w:color w:val="231F20"/>
          <w:spacing w:val="-12"/>
        </w:rPr>
        <w:t> </w:t>
      </w:r>
      <w:r>
        <w:rPr>
          <w:color w:val="231F20"/>
        </w:rPr>
        <w:t>fuera</w:t>
      </w:r>
      <w:r>
        <w:rPr>
          <w:color w:val="231F20"/>
          <w:spacing w:val="-12"/>
        </w:rPr>
        <w:t> </w:t>
      </w:r>
      <w:r>
        <w:rPr>
          <w:color w:val="231F20"/>
        </w:rPr>
        <w:t>del</w:t>
      </w:r>
      <w:r>
        <w:rPr>
          <w:color w:val="231F20"/>
          <w:spacing w:val="-12"/>
        </w:rPr>
        <w:t> </w:t>
      </w:r>
      <w:r>
        <w:rPr>
          <w:color w:val="231F20"/>
        </w:rPr>
        <w:t>análisis la</w:t>
      </w:r>
      <w:r>
        <w:rPr>
          <w:color w:val="231F20"/>
          <w:spacing w:val="-7"/>
        </w:rPr>
        <w:t> </w:t>
      </w:r>
      <w:r>
        <w:rPr>
          <w:color w:val="231F20"/>
        </w:rPr>
        <w:t>relación</w:t>
      </w:r>
      <w:r>
        <w:rPr>
          <w:color w:val="231F20"/>
          <w:spacing w:val="-7"/>
        </w:rPr>
        <w:t> </w:t>
      </w:r>
      <w:r>
        <w:rPr>
          <w:color w:val="231F20"/>
        </w:rPr>
        <w:t>producción-reproducción</w:t>
      </w:r>
      <w:r>
        <w:rPr>
          <w:color w:val="231F20"/>
          <w:spacing w:val="-7"/>
        </w:rPr>
        <w:t> </w:t>
      </w:r>
      <w:r>
        <w:rPr>
          <w:color w:val="231F20"/>
        </w:rPr>
        <w:t>que</w:t>
      </w:r>
      <w:r>
        <w:rPr>
          <w:color w:val="231F20"/>
          <w:spacing w:val="-7"/>
        </w:rPr>
        <w:t> </w:t>
      </w:r>
      <w:r>
        <w:rPr>
          <w:color w:val="231F20"/>
        </w:rPr>
        <w:t>caracteriza</w:t>
      </w:r>
      <w:r>
        <w:rPr>
          <w:color w:val="231F20"/>
          <w:spacing w:val="-7"/>
        </w:rPr>
        <w:t> </w:t>
      </w:r>
      <w:r>
        <w:rPr>
          <w:color w:val="231F20"/>
        </w:rPr>
        <w:t>el</w:t>
      </w:r>
      <w:r>
        <w:rPr>
          <w:color w:val="231F20"/>
          <w:spacing w:val="-7"/>
        </w:rPr>
        <w:t> </w:t>
      </w:r>
      <w:r>
        <w:rPr>
          <w:color w:val="231F20"/>
        </w:rPr>
        <w:t>sistema</w:t>
      </w:r>
      <w:r>
        <w:rPr>
          <w:color w:val="231F20"/>
          <w:spacing w:val="-7"/>
        </w:rPr>
        <w:t> </w:t>
      </w:r>
      <w:r>
        <w:rPr>
          <w:color w:val="231F20"/>
        </w:rPr>
        <w:t>económi- co,</w:t>
      </w:r>
      <w:r>
        <w:rPr>
          <w:color w:val="231F20"/>
          <w:spacing w:val="-14"/>
        </w:rPr>
        <w:t> </w:t>
      </w:r>
      <w:r>
        <w:rPr>
          <w:color w:val="231F20"/>
        </w:rPr>
        <w:t>un</w:t>
      </w:r>
      <w:r>
        <w:rPr>
          <w:color w:val="231F20"/>
          <w:spacing w:val="-13"/>
        </w:rPr>
        <w:t> </w:t>
      </w:r>
      <w:r>
        <w:rPr>
          <w:color w:val="231F20"/>
        </w:rPr>
        <w:t>problema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rPr>
        <w:t>analizado</w:t>
      </w:r>
      <w:r>
        <w:rPr>
          <w:color w:val="231F20"/>
          <w:spacing w:val="-14"/>
        </w:rPr>
        <w:t> </w:t>
      </w:r>
      <w:r>
        <w:rPr>
          <w:color w:val="231F20"/>
        </w:rPr>
        <w:t>como</w:t>
      </w:r>
      <w:r>
        <w:rPr>
          <w:color w:val="231F20"/>
          <w:spacing w:val="-14"/>
        </w:rPr>
        <w:t> </w:t>
      </w:r>
      <w:r>
        <w:rPr>
          <w:color w:val="231F20"/>
        </w:rPr>
        <w:t>una</w:t>
      </w:r>
      <w:r>
        <w:rPr>
          <w:color w:val="231F20"/>
          <w:spacing w:val="-13"/>
        </w:rPr>
        <w:t> </w:t>
      </w:r>
      <w:r>
        <w:rPr>
          <w:color w:val="231F20"/>
        </w:rPr>
        <w:t>cuestión</w:t>
      </w:r>
      <w:r>
        <w:rPr>
          <w:color w:val="231F20"/>
          <w:spacing w:val="-14"/>
        </w:rPr>
        <w:t> </w:t>
      </w:r>
      <w:r>
        <w:rPr>
          <w:color w:val="231F20"/>
        </w:rPr>
        <w:t>privada</w:t>
      </w:r>
      <w:r>
        <w:rPr>
          <w:color w:val="231F20"/>
          <w:spacing w:val="-13"/>
        </w:rPr>
        <w:t> </w:t>
      </w:r>
      <w:r>
        <w:rPr>
          <w:color w:val="231F20"/>
        </w:rPr>
        <w:t>y</w:t>
      </w:r>
      <w:r>
        <w:rPr>
          <w:color w:val="231F20"/>
          <w:spacing w:val="-13"/>
        </w:rPr>
        <w:t> </w:t>
      </w:r>
      <w:r>
        <w:rPr>
          <w:color w:val="231F20"/>
        </w:rPr>
        <w:t>como</w:t>
      </w:r>
      <w:r>
        <w:rPr>
          <w:color w:val="231F20"/>
          <w:spacing w:val="-14"/>
        </w:rPr>
        <w:t> </w:t>
      </w:r>
      <w:r>
        <w:rPr>
          <w:color w:val="231F20"/>
        </w:rPr>
        <w:t>si </w:t>
      </w:r>
      <w:r>
        <w:rPr>
          <w:color w:val="231F20"/>
          <w:w w:val="95"/>
        </w:rPr>
        <w:t>fuera  específicamente</w:t>
      </w:r>
      <w:r>
        <w:rPr>
          <w:color w:val="231F20"/>
          <w:spacing w:val="10"/>
          <w:w w:val="95"/>
        </w:rPr>
        <w:t> </w:t>
      </w:r>
      <w:r>
        <w:rPr>
          <w:color w:val="231F20"/>
          <w:w w:val="95"/>
        </w:rPr>
        <w:t>femenino.</w:t>
      </w:r>
    </w:p>
    <w:p>
      <w:pPr>
        <w:pStyle w:val="BodyText"/>
        <w:spacing w:line="249" w:lineRule="auto" w:before="1"/>
        <w:ind w:left="113" w:right="108" w:firstLine="283"/>
        <w:jc w:val="both"/>
      </w:pPr>
      <w:r>
        <w:rPr>
          <w:color w:val="231F20"/>
        </w:rPr>
        <w:t>El trabajo reproductivo y de cuidado doméstico no remunerado se</w:t>
      </w:r>
      <w:r>
        <w:rPr>
          <w:color w:val="231F20"/>
          <w:spacing w:val="-29"/>
        </w:rPr>
        <w:t> </w:t>
      </w:r>
      <w:r>
        <w:rPr>
          <w:color w:val="231F20"/>
        </w:rPr>
        <w:t>ha confiado históricamente a las mujeres, lo cual significa que a ellas se </w:t>
      </w:r>
      <w:r>
        <w:rPr>
          <w:color w:val="231F20"/>
          <w:spacing w:val="-2"/>
        </w:rPr>
        <w:t>les </w:t>
      </w:r>
      <w:r>
        <w:rPr>
          <w:color w:val="231F20"/>
        </w:rPr>
        <w:t>exige</w:t>
      </w:r>
      <w:r>
        <w:rPr>
          <w:color w:val="231F20"/>
          <w:spacing w:val="-11"/>
        </w:rPr>
        <w:t> </w:t>
      </w:r>
      <w:r>
        <w:rPr>
          <w:color w:val="231F20"/>
        </w:rPr>
        <w:t>que</w:t>
      </w:r>
      <w:r>
        <w:rPr>
          <w:color w:val="231F20"/>
          <w:spacing w:val="-11"/>
        </w:rPr>
        <w:t> </w:t>
      </w:r>
      <w:r>
        <w:rPr>
          <w:color w:val="231F20"/>
        </w:rPr>
        <w:t>compensen</w:t>
      </w:r>
      <w:r>
        <w:rPr>
          <w:color w:val="231F20"/>
          <w:spacing w:val="-11"/>
        </w:rPr>
        <w:t> </w:t>
      </w:r>
      <w:r>
        <w:rPr>
          <w:color w:val="231F20"/>
        </w:rPr>
        <w:t>la</w:t>
      </w:r>
      <w:r>
        <w:rPr>
          <w:color w:val="231F20"/>
          <w:spacing w:val="-11"/>
        </w:rPr>
        <w:t> </w:t>
      </w:r>
      <w:r>
        <w:rPr>
          <w:color w:val="231F20"/>
        </w:rPr>
        <w:t>insuficiencia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servicios</w:t>
      </w:r>
      <w:r>
        <w:rPr>
          <w:color w:val="231F20"/>
          <w:spacing w:val="-11"/>
        </w:rPr>
        <w:t> </w:t>
      </w:r>
      <w:r>
        <w:rPr>
          <w:color w:val="231F20"/>
        </w:rPr>
        <w:t>públicos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efec- tos</w:t>
      </w:r>
      <w:r>
        <w:rPr>
          <w:color w:val="231F20"/>
          <w:spacing w:val="-15"/>
        </w:rPr>
        <w:t> </w:t>
      </w:r>
      <w:r>
        <w:rPr>
          <w:color w:val="231F20"/>
        </w:rPr>
        <w:t>desgastantes</w:t>
      </w:r>
      <w:r>
        <w:rPr>
          <w:color w:val="231F20"/>
          <w:spacing w:val="-15"/>
        </w:rPr>
        <w:t> </w:t>
      </w:r>
      <w:r>
        <w:rPr>
          <w:color w:val="231F20"/>
        </w:rPr>
        <w:t>que</w:t>
      </w:r>
      <w:r>
        <w:rPr>
          <w:color w:val="231F20"/>
          <w:spacing w:val="-15"/>
        </w:rPr>
        <w:t> </w:t>
      </w:r>
      <w:r>
        <w:rPr>
          <w:color w:val="231F20"/>
        </w:rPr>
        <w:t>produce</w:t>
      </w:r>
      <w:r>
        <w:rPr>
          <w:color w:val="231F20"/>
          <w:spacing w:val="-15"/>
        </w:rPr>
        <w:t> </w:t>
      </w:r>
      <w:r>
        <w:rPr>
          <w:color w:val="231F20"/>
        </w:rPr>
        <w:t>el</w:t>
      </w:r>
      <w:r>
        <w:rPr>
          <w:color w:val="231F20"/>
          <w:spacing w:val="-15"/>
        </w:rPr>
        <w:t> </w:t>
      </w:r>
      <w:r>
        <w:rPr>
          <w:color w:val="231F20"/>
        </w:rPr>
        <w:t>trabajo</w:t>
      </w:r>
      <w:r>
        <w:rPr>
          <w:color w:val="231F20"/>
          <w:spacing w:val="-15"/>
        </w:rPr>
        <w:t> </w:t>
      </w:r>
      <w:r>
        <w:rPr>
          <w:color w:val="231F20"/>
        </w:rPr>
        <w:t>de</w:t>
      </w:r>
      <w:r>
        <w:rPr>
          <w:color w:val="231F20"/>
          <w:spacing w:val="-15"/>
        </w:rPr>
        <w:t> </w:t>
      </w:r>
      <w:r>
        <w:rPr>
          <w:color w:val="231F20"/>
        </w:rPr>
        <w:t>mercado.</w:t>
      </w:r>
    </w:p>
    <w:p>
      <w:pPr>
        <w:pStyle w:val="BodyText"/>
        <w:spacing w:line="249" w:lineRule="auto" w:before="1"/>
        <w:ind w:left="113" w:right="108" w:firstLine="283"/>
        <w:jc w:val="both"/>
      </w:pPr>
      <w:r>
        <w:rPr>
          <w:color w:val="231F20"/>
        </w:rPr>
        <w:t>Nos</w:t>
      </w:r>
      <w:r>
        <w:rPr>
          <w:color w:val="231F20"/>
          <w:spacing w:val="-7"/>
        </w:rPr>
        <w:t> </w:t>
      </w:r>
      <w:r>
        <w:rPr>
          <w:color w:val="231F20"/>
        </w:rPr>
        <w:t>referimos</w:t>
      </w:r>
      <w:r>
        <w:rPr>
          <w:color w:val="231F20"/>
          <w:spacing w:val="-7"/>
        </w:rPr>
        <w:t> </w:t>
      </w:r>
      <w:r>
        <w:rPr>
          <w:color w:val="231F20"/>
        </w:rPr>
        <w:t>al</w:t>
      </w:r>
      <w:r>
        <w:rPr>
          <w:color w:val="231F20"/>
          <w:spacing w:val="-7"/>
        </w:rPr>
        <w:t> </w:t>
      </w:r>
      <w:r>
        <w:rPr>
          <w:color w:val="231F20"/>
        </w:rPr>
        <w:t>trabajo</w:t>
      </w:r>
      <w:r>
        <w:rPr>
          <w:color w:val="231F20"/>
          <w:spacing w:val="-7"/>
        </w:rPr>
        <w:t> </w:t>
      </w:r>
      <w:r>
        <w:rPr>
          <w:color w:val="231F20"/>
        </w:rPr>
        <w:t>reproductivo</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cuidado</w:t>
      </w:r>
      <w:r>
        <w:rPr>
          <w:color w:val="231F20"/>
          <w:spacing w:val="-7"/>
        </w:rPr>
        <w:t> </w:t>
      </w:r>
      <w:r>
        <w:rPr>
          <w:color w:val="231F20"/>
        </w:rPr>
        <w:t>cuando</w:t>
      </w:r>
      <w:r>
        <w:rPr>
          <w:color w:val="231F20"/>
          <w:spacing w:val="-7"/>
        </w:rPr>
        <w:t> </w:t>
      </w:r>
      <w:r>
        <w:rPr>
          <w:color w:val="231F20"/>
        </w:rPr>
        <w:t>queremos explicitar que incluimos el cuidado de personas que no necesariamente forman</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fuerza</w:t>
      </w:r>
      <w:r>
        <w:rPr>
          <w:color w:val="231F20"/>
          <w:spacing w:val="-10"/>
        </w:rPr>
        <w:t> </w:t>
      </w:r>
      <w:r>
        <w:rPr>
          <w:color w:val="231F20"/>
        </w:rPr>
        <w:t>de</w:t>
      </w:r>
      <w:r>
        <w:rPr>
          <w:color w:val="231F20"/>
          <w:spacing w:val="-10"/>
        </w:rPr>
        <w:t> </w:t>
      </w:r>
      <w:r>
        <w:rPr>
          <w:color w:val="231F20"/>
        </w:rPr>
        <w:t>trabajo</w:t>
      </w:r>
      <w:r>
        <w:rPr>
          <w:color w:val="231F20"/>
          <w:spacing w:val="-11"/>
        </w:rPr>
        <w:t> </w:t>
      </w:r>
      <w:r>
        <w:rPr>
          <w:color w:val="231F20"/>
        </w:rPr>
        <w:t>presente</w:t>
      </w:r>
      <w:r>
        <w:rPr>
          <w:color w:val="231F20"/>
          <w:spacing w:val="-10"/>
        </w:rPr>
        <w:t> </w:t>
      </w:r>
      <w:r>
        <w:rPr>
          <w:color w:val="231F20"/>
        </w:rPr>
        <w:t>o</w:t>
      </w:r>
      <w:r>
        <w:rPr>
          <w:color w:val="231F20"/>
          <w:spacing w:val="-10"/>
        </w:rPr>
        <w:t> </w:t>
      </w:r>
      <w:r>
        <w:rPr>
          <w:color w:val="231F20"/>
        </w:rPr>
        <w:t>futura.</w:t>
      </w:r>
      <w:r>
        <w:rPr>
          <w:color w:val="231F20"/>
          <w:position w:val="7"/>
          <w:sz w:val="11"/>
        </w:rPr>
        <w:t>10</w:t>
      </w:r>
      <w:r>
        <w:rPr>
          <w:color w:val="231F20"/>
          <w:spacing w:val="13"/>
          <w:position w:val="7"/>
          <w:sz w:val="11"/>
        </w:rPr>
        <w:t> </w:t>
      </w:r>
      <w:r>
        <w:rPr>
          <w:color w:val="231F20"/>
        </w:rPr>
        <w:t>El</w:t>
      </w:r>
      <w:r>
        <w:rPr>
          <w:color w:val="231F20"/>
          <w:spacing w:val="-10"/>
        </w:rPr>
        <w:t> </w:t>
      </w:r>
      <w:r>
        <w:rPr>
          <w:color w:val="231F20"/>
        </w:rPr>
        <w:t>trabajo</w:t>
      </w:r>
      <w:r>
        <w:rPr>
          <w:color w:val="231F20"/>
          <w:spacing w:val="-11"/>
        </w:rPr>
        <w:t> </w:t>
      </w:r>
      <w:r>
        <w:rPr>
          <w:color w:val="231F20"/>
        </w:rPr>
        <w:t>domés- tico subsidia al trabajo para el mercado en la medida en que se realiza gratuitamente en los hogares. </w:t>
      </w:r>
      <w:r>
        <w:rPr>
          <w:color w:val="231F20"/>
          <w:spacing w:val="-4"/>
        </w:rPr>
        <w:t>También </w:t>
      </w:r>
      <w:r>
        <w:rPr>
          <w:color w:val="231F20"/>
        </w:rPr>
        <w:t>influye en el diseño de políticas públicas</w:t>
      </w:r>
      <w:r>
        <w:rPr>
          <w:color w:val="231F20"/>
          <w:spacing w:val="-5"/>
        </w:rPr>
        <w:t> </w:t>
      </w:r>
      <w:r>
        <w:rPr>
          <w:color w:val="231F20"/>
        </w:rPr>
        <w:t>regulando</w:t>
      </w:r>
      <w:r>
        <w:rPr>
          <w:color w:val="231F20"/>
          <w:spacing w:val="-5"/>
        </w:rPr>
        <w:t> </w:t>
      </w:r>
      <w:r>
        <w:rPr>
          <w:color w:val="231F20"/>
        </w:rPr>
        <w:t>la</w:t>
      </w:r>
      <w:r>
        <w:rPr>
          <w:color w:val="231F20"/>
          <w:spacing w:val="-5"/>
        </w:rPr>
        <w:t> </w:t>
      </w:r>
      <w:r>
        <w:rPr>
          <w:color w:val="231F20"/>
        </w:rPr>
        <w:t>magnitud</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subsidio</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servicios</w:t>
      </w:r>
      <w:r>
        <w:rPr>
          <w:color w:val="231F20"/>
          <w:spacing w:val="-5"/>
        </w:rPr>
        <w:t> </w:t>
      </w:r>
      <w:r>
        <w:rPr>
          <w:color w:val="231F20"/>
          <w:spacing w:val="-2"/>
        </w:rPr>
        <w:t>pú- </w:t>
      </w:r>
      <w:r>
        <w:rPr>
          <w:color w:val="231F20"/>
        </w:rPr>
        <w:t>blicos,</w:t>
      </w:r>
      <w:r>
        <w:rPr>
          <w:color w:val="231F20"/>
          <w:spacing w:val="-14"/>
        </w:rPr>
        <w:t> </w:t>
      </w:r>
      <w:r>
        <w:rPr>
          <w:color w:val="231F20"/>
        </w:rPr>
        <w:t>así</w:t>
      </w:r>
      <w:r>
        <w:rPr>
          <w:color w:val="231F20"/>
          <w:spacing w:val="-14"/>
        </w:rPr>
        <w:t> </w:t>
      </w:r>
      <w:r>
        <w:rPr>
          <w:color w:val="231F20"/>
        </w:rPr>
        <w:t>como</w:t>
      </w:r>
      <w:r>
        <w:rPr>
          <w:color w:val="231F20"/>
          <w:spacing w:val="-14"/>
        </w:rPr>
        <w:t> </w:t>
      </w:r>
      <w:r>
        <w:rPr>
          <w:color w:val="231F20"/>
        </w:rPr>
        <w:t>la</w:t>
      </w:r>
      <w:r>
        <w:rPr>
          <w:color w:val="231F20"/>
          <w:spacing w:val="-14"/>
        </w:rPr>
        <w:t> </w:t>
      </w:r>
      <w:r>
        <w:rPr>
          <w:color w:val="231F20"/>
        </w:rPr>
        <w:t>oferta</w:t>
      </w:r>
      <w:r>
        <w:rPr>
          <w:color w:val="231F20"/>
          <w:spacing w:val="-14"/>
        </w:rPr>
        <w:t> </w:t>
      </w:r>
      <w:r>
        <w:rPr>
          <w:color w:val="231F20"/>
        </w:rPr>
        <w:t>privada</w:t>
      </w:r>
      <w:r>
        <w:rPr>
          <w:color w:val="231F20"/>
          <w:spacing w:val="-14"/>
        </w:rPr>
        <w:t> </w:t>
      </w:r>
      <w:r>
        <w:rPr>
          <w:color w:val="231F20"/>
        </w:rPr>
        <w:t>de</w:t>
      </w:r>
      <w:r>
        <w:rPr>
          <w:color w:val="231F20"/>
          <w:spacing w:val="-14"/>
        </w:rPr>
        <w:t> </w:t>
      </w:r>
      <w:r>
        <w:rPr>
          <w:color w:val="231F20"/>
        </w:rPr>
        <w:t>servicios.</w:t>
      </w:r>
    </w:p>
    <w:p>
      <w:pPr>
        <w:pStyle w:val="BodyText"/>
        <w:spacing w:line="249" w:lineRule="auto" w:before="1"/>
        <w:ind w:left="113" w:right="108" w:firstLine="283"/>
        <w:jc w:val="both"/>
      </w:pPr>
      <w:r>
        <w:rPr>
          <w:color w:val="231F20"/>
        </w:rPr>
        <w:t>Antonella</w:t>
      </w:r>
      <w:r>
        <w:rPr>
          <w:color w:val="231F20"/>
          <w:spacing w:val="-5"/>
        </w:rPr>
        <w:t> </w:t>
      </w:r>
      <w:r>
        <w:rPr>
          <w:color w:val="231F20"/>
        </w:rPr>
        <w:t>Picchio</w:t>
      </w:r>
      <w:r>
        <w:rPr>
          <w:color w:val="231F20"/>
          <w:spacing w:val="-5"/>
        </w:rPr>
        <w:t> </w:t>
      </w:r>
      <w:r>
        <w:rPr>
          <w:color w:val="231F20"/>
        </w:rPr>
        <w:t>(1994)</w:t>
      </w:r>
      <w:r>
        <w:rPr>
          <w:color w:val="231F20"/>
          <w:spacing w:val="-5"/>
        </w:rPr>
        <w:t> </w:t>
      </w:r>
      <w:r>
        <w:rPr>
          <w:color w:val="231F20"/>
        </w:rPr>
        <w:t>ofrece</w:t>
      </w:r>
      <w:r>
        <w:rPr>
          <w:color w:val="231F20"/>
          <w:spacing w:val="-5"/>
        </w:rPr>
        <w:t> </w:t>
      </w:r>
      <w:r>
        <w:rPr>
          <w:color w:val="231F20"/>
        </w:rPr>
        <w:t>una</w:t>
      </w:r>
      <w:r>
        <w:rPr>
          <w:color w:val="231F20"/>
          <w:spacing w:val="-5"/>
        </w:rPr>
        <w:t> </w:t>
      </w:r>
      <w:r>
        <w:rPr>
          <w:color w:val="231F20"/>
        </w:rPr>
        <w:t>imagen</w:t>
      </w:r>
      <w:r>
        <w:rPr>
          <w:color w:val="231F20"/>
          <w:spacing w:val="-5"/>
        </w:rPr>
        <w:t> </w:t>
      </w:r>
      <w:r>
        <w:rPr>
          <w:color w:val="231F20"/>
        </w:rPr>
        <w:t>que</w:t>
      </w:r>
      <w:r>
        <w:rPr>
          <w:color w:val="231F20"/>
          <w:spacing w:val="-5"/>
        </w:rPr>
        <w:t> </w:t>
      </w:r>
      <w:r>
        <w:rPr>
          <w:color w:val="231F20"/>
        </w:rPr>
        <w:t>resulta</w:t>
      </w:r>
      <w:r>
        <w:rPr>
          <w:color w:val="231F20"/>
          <w:spacing w:val="-5"/>
        </w:rPr>
        <w:t> </w:t>
      </w:r>
      <w:r>
        <w:rPr>
          <w:color w:val="231F20"/>
        </w:rPr>
        <w:t>esclarecedo- ra para ver el papel del trabajo reproductivo de la</w:t>
      </w:r>
      <w:r>
        <w:rPr>
          <w:color w:val="231F20"/>
          <w:spacing w:val="-1"/>
        </w:rPr>
        <w:t> </w:t>
      </w:r>
      <w:r>
        <w:rPr>
          <w:color w:val="231F20"/>
        </w:rPr>
        <w:t>familia.</w:t>
      </w:r>
    </w:p>
    <w:p>
      <w:pPr>
        <w:pStyle w:val="BodyText"/>
        <w:spacing w:line="249" w:lineRule="auto" w:before="1"/>
        <w:ind w:left="113" w:right="109" w:firstLine="283"/>
        <w:jc w:val="both"/>
      </w:pPr>
      <w:r>
        <w:rPr>
          <w:color w:val="231F20"/>
        </w:rPr>
        <w:t>La familia, comoquiera que se defina y esté compuesta, funciona como un alternador: externamente, la energía se dirige de la reproduc- ción de las personas a la producción de mercancías; en su interior, la dirección de este flujo se invierte —al menos aparentemente— en favor de un proceso más humano, en el cual la reproducción de las personas constituye el fin y la producción de mercancías el medio.</w:t>
      </w:r>
    </w:p>
    <w:p>
      <w:pPr>
        <w:pStyle w:val="BodyText"/>
        <w:spacing w:line="249" w:lineRule="auto" w:before="1"/>
        <w:ind w:left="113" w:right="108" w:firstLine="283"/>
        <w:jc w:val="both"/>
      </w:pPr>
      <w:r>
        <w:rPr>
          <w:color w:val="231F20"/>
        </w:rPr>
        <w:t>Cuanto más desgastante sea el trabajo para el mercado, más difícil resultará el trabajo doméstico.</w:t>
      </w:r>
    </w:p>
    <w:p>
      <w:pPr>
        <w:pStyle w:val="BodyText"/>
        <w:spacing w:line="249" w:lineRule="auto" w:before="1"/>
        <w:ind w:left="113" w:right="108" w:firstLine="283"/>
        <w:jc w:val="both"/>
      </w:pPr>
      <w:r>
        <w:rPr>
          <w:color w:val="231F20"/>
        </w:rPr>
        <w:t>Sin embargo, sabemos que la familia, en sociedades cada vez más complejas, no puede cumplir con todos los requerimientos derivados de la</w:t>
      </w:r>
      <w:r>
        <w:rPr>
          <w:color w:val="231F20"/>
          <w:spacing w:val="-4"/>
        </w:rPr>
        <w:t> </w:t>
      </w:r>
      <w:r>
        <w:rPr>
          <w:color w:val="231F20"/>
        </w:rPr>
        <w:t>reproducción</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cuidado,</w:t>
      </w:r>
      <w:r>
        <w:rPr>
          <w:color w:val="231F20"/>
          <w:spacing w:val="-4"/>
        </w:rPr>
        <w:t> </w:t>
      </w:r>
      <w:r>
        <w:rPr>
          <w:color w:val="231F20"/>
        </w:rPr>
        <w:t>que</w:t>
      </w:r>
      <w:r>
        <w:rPr>
          <w:color w:val="231F20"/>
          <w:spacing w:val="-4"/>
        </w:rPr>
        <w:t> </w:t>
      </w:r>
      <w:r>
        <w:rPr>
          <w:color w:val="231F20"/>
        </w:rPr>
        <w:t>aumentan</w:t>
      </w:r>
      <w:r>
        <w:rPr>
          <w:color w:val="231F20"/>
          <w:spacing w:val="-4"/>
        </w:rPr>
        <w:t> </w:t>
      </w:r>
      <w:r>
        <w:rPr>
          <w:color w:val="231F20"/>
        </w:rPr>
        <w:t>en</w:t>
      </w:r>
      <w:r>
        <w:rPr>
          <w:color w:val="231F20"/>
          <w:spacing w:val="-4"/>
        </w:rPr>
        <w:t> </w:t>
      </w:r>
      <w:r>
        <w:rPr>
          <w:color w:val="231F20"/>
        </w:rPr>
        <w:t>cantidad</w:t>
      </w:r>
      <w:r>
        <w:rPr>
          <w:color w:val="231F20"/>
          <w:spacing w:val="-4"/>
        </w:rPr>
        <w:t> </w:t>
      </w:r>
      <w:r>
        <w:rPr>
          <w:color w:val="231F20"/>
        </w:rPr>
        <w:t>y</w:t>
      </w:r>
      <w:r>
        <w:rPr>
          <w:color w:val="231F20"/>
          <w:spacing w:val="-4"/>
        </w:rPr>
        <w:t> </w:t>
      </w:r>
      <w:r>
        <w:rPr>
          <w:color w:val="231F20"/>
        </w:rPr>
        <w:t>calidad.</w:t>
      </w:r>
      <w:r>
        <w:rPr>
          <w:color w:val="231F20"/>
          <w:spacing w:val="-4"/>
        </w:rPr>
        <w:t> </w:t>
      </w:r>
      <w:r>
        <w:rPr>
          <w:color w:val="231F20"/>
        </w:rPr>
        <w:t>Se</w:t>
      </w:r>
      <w:r>
        <w:rPr>
          <w:color w:val="231F20"/>
          <w:spacing w:val="-4"/>
        </w:rPr>
        <w:t> </w:t>
      </w:r>
      <w:r>
        <w:rPr>
          <w:color w:val="231F20"/>
        </w:rPr>
        <w:t>les exige más y más a las familias, lo cual redunda finalmente en</w:t>
      </w:r>
      <w:r>
        <w:rPr>
          <w:color w:val="231F20"/>
          <w:spacing w:val="-22"/>
        </w:rPr>
        <w:t> </w:t>
      </w:r>
      <w:r>
        <w:rPr>
          <w:color w:val="231F20"/>
        </w:rPr>
        <w:t>exigencias a las</w:t>
      </w:r>
      <w:r>
        <w:rPr>
          <w:color w:val="231F20"/>
          <w:spacing w:val="-1"/>
        </w:rPr>
        <w:t> </w:t>
      </w:r>
      <w:r>
        <w:rPr>
          <w:color w:val="231F20"/>
        </w:rPr>
        <w:t>mujeres.</w:t>
      </w:r>
    </w:p>
    <w:p>
      <w:pPr>
        <w:pStyle w:val="BodyText"/>
        <w:spacing w:line="249" w:lineRule="auto" w:before="1"/>
        <w:ind w:left="113" w:right="107" w:firstLine="283"/>
        <w:jc w:val="both"/>
      </w:pPr>
      <w:r>
        <w:rPr>
          <w:color w:val="231F20"/>
        </w:rPr>
        <w:t>Un ejemplo: la crianza y cuidado de niños y niñas presentan más exigencias para su desarrollo en la sociedad actual y con vistas al</w:t>
      </w:r>
      <w:r>
        <w:rPr>
          <w:color w:val="231F20"/>
          <w:spacing w:val="-33"/>
        </w:rPr>
        <w:t> </w:t>
      </w:r>
      <w:r>
        <w:rPr>
          <w:color w:val="231F20"/>
        </w:rPr>
        <w:t>futuro. Esto demanda un trabajo de cuidado doméstico de nuevo tipo </w:t>
      </w:r>
      <w:r>
        <w:rPr>
          <w:color w:val="231F20"/>
          <w:spacing w:val="-7"/>
        </w:rPr>
        <w:t>y,</w:t>
      </w:r>
      <w:r>
        <w:rPr>
          <w:color w:val="231F20"/>
          <w:spacing w:val="-23"/>
        </w:rPr>
        <w:t> </w:t>
      </w:r>
      <w:r>
        <w:rPr>
          <w:color w:val="231F20"/>
        </w:rPr>
        <w:t>además,</w:t>
      </w:r>
    </w:p>
    <w:p>
      <w:pPr>
        <w:pStyle w:val="BodyText"/>
        <w:spacing w:before="5"/>
        <w:rPr>
          <w:sz w:val="26"/>
        </w:rPr>
      </w:pPr>
    </w:p>
    <w:p>
      <w:pPr>
        <w:spacing w:before="0"/>
        <w:ind w:left="113" w:right="108" w:firstLine="0"/>
        <w:jc w:val="both"/>
        <w:rPr>
          <w:sz w:val="14"/>
        </w:rPr>
      </w:pPr>
      <w:r>
        <w:rPr>
          <w:color w:val="231F20"/>
          <w:position w:val="5"/>
          <w:sz w:val="8"/>
        </w:rPr>
        <w:t>10 </w:t>
      </w:r>
      <w:r>
        <w:rPr>
          <w:color w:val="231F20"/>
          <w:sz w:val="14"/>
        </w:rPr>
        <w:t>Si bien el trabajo reproductivo y de cuidado puede ser realizado tanto gratuitamente como remunera- do, dentro el hogar o fuera de él, la responsabilidad final de armonizar las demás formas de trabajo y/o absorber</w:t>
      </w:r>
      <w:r>
        <w:rPr>
          <w:color w:val="231F20"/>
          <w:spacing w:val="-6"/>
          <w:sz w:val="14"/>
        </w:rPr>
        <w:t> </w:t>
      </w:r>
      <w:r>
        <w:rPr>
          <w:color w:val="231F20"/>
          <w:sz w:val="14"/>
        </w:rPr>
        <w:t>sus</w:t>
      </w:r>
      <w:r>
        <w:rPr>
          <w:color w:val="231F20"/>
          <w:spacing w:val="-6"/>
          <w:sz w:val="14"/>
        </w:rPr>
        <w:t> </w:t>
      </w:r>
      <w:r>
        <w:rPr>
          <w:color w:val="231F20"/>
          <w:sz w:val="14"/>
        </w:rPr>
        <w:t>insuficiencias</w:t>
      </w:r>
      <w:r>
        <w:rPr>
          <w:color w:val="231F20"/>
          <w:spacing w:val="-6"/>
          <w:sz w:val="14"/>
        </w:rPr>
        <w:t> </w:t>
      </w:r>
      <w:r>
        <w:rPr>
          <w:color w:val="231F20"/>
          <w:sz w:val="14"/>
        </w:rPr>
        <w:t>sigue</w:t>
      </w:r>
      <w:r>
        <w:rPr>
          <w:color w:val="231F20"/>
          <w:spacing w:val="-6"/>
          <w:sz w:val="14"/>
        </w:rPr>
        <w:t> </w:t>
      </w:r>
      <w:r>
        <w:rPr>
          <w:color w:val="231F20"/>
          <w:sz w:val="14"/>
        </w:rPr>
        <w:t>recayendo</w:t>
      </w:r>
      <w:r>
        <w:rPr>
          <w:color w:val="231F20"/>
          <w:spacing w:val="-6"/>
          <w:sz w:val="14"/>
        </w:rPr>
        <w:t> </w:t>
      </w:r>
      <w:r>
        <w:rPr>
          <w:color w:val="231F20"/>
          <w:sz w:val="14"/>
        </w:rPr>
        <w:t>sobre</w:t>
      </w:r>
      <w:r>
        <w:rPr>
          <w:color w:val="231F20"/>
          <w:spacing w:val="-6"/>
          <w:sz w:val="14"/>
        </w:rPr>
        <w:t> </w:t>
      </w:r>
      <w:r>
        <w:rPr>
          <w:color w:val="231F20"/>
          <w:sz w:val="14"/>
        </w:rPr>
        <w:t>el</w:t>
      </w:r>
      <w:r>
        <w:rPr>
          <w:color w:val="231F20"/>
          <w:spacing w:val="-6"/>
          <w:sz w:val="14"/>
        </w:rPr>
        <w:t> </w:t>
      </w:r>
      <w:r>
        <w:rPr>
          <w:color w:val="231F20"/>
          <w:sz w:val="14"/>
        </w:rPr>
        <w:t>trabajo</w:t>
      </w:r>
      <w:r>
        <w:rPr>
          <w:color w:val="231F20"/>
          <w:spacing w:val="-6"/>
          <w:sz w:val="14"/>
        </w:rPr>
        <w:t> </w:t>
      </w:r>
      <w:r>
        <w:rPr>
          <w:color w:val="231F20"/>
          <w:sz w:val="14"/>
        </w:rPr>
        <w:t>familiar</w:t>
      </w:r>
      <w:r>
        <w:rPr>
          <w:color w:val="231F20"/>
          <w:spacing w:val="-6"/>
          <w:sz w:val="14"/>
        </w:rPr>
        <w:t> </w:t>
      </w:r>
      <w:r>
        <w:rPr>
          <w:color w:val="231F20"/>
          <w:sz w:val="14"/>
        </w:rPr>
        <w:t>no</w:t>
      </w:r>
      <w:r>
        <w:rPr>
          <w:color w:val="231F20"/>
          <w:spacing w:val="-6"/>
          <w:sz w:val="14"/>
        </w:rPr>
        <w:t> </w:t>
      </w:r>
      <w:r>
        <w:rPr>
          <w:color w:val="231F20"/>
          <w:sz w:val="14"/>
        </w:rPr>
        <w:t>remunerado.</w:t>
      </w:r>
      <w:r>
        <w:rPr>
          <w:color w:val="231F20"/>
          <w:spacing w:val="-6"/>
          <w:sz w:val="14"/>
        </w:rPr>
        <w:t> </w:t>
      </w:r>
      <w:r>
        <w:rPr>
          <w:color w:val="231F20"/>
          <w:sz w:val="14"/>
        </w:rPr>
        <w:t>Es</w:t>
      </w:r>
      <w:r>
        <w:rPr>
          <w:color w:val="231F20"/>
          <w:spacing w:val="-6"/>
          <w:sz w:val="14"/>
        </w:rPr>
        <w:t> </w:t>
      </w:r>
      <w:r>
        <w:rPr>
          <w:color w:val="231F20"/>
          <w:sz w:val="14"/>
        </w:rPr>
        <w:t>decir</w:t>
      </w:r>
      <w:r>
        <w:rPr>
          <w:color w:val="231F20"/>
          <w:spacing w:val="-6"/>
          <w:sz w:val="14"/>
        </w:rPr>
        <w:t> </w:t>
      </w:r>
      <w:r>
        <w:rPr>
          <w:color w:val="231F20"/>
          <w:sz w:val="14"/>
        </w:rPr>
        <w:t>que</w:t>
      </w:r>
      <w:r>
        <w:rPr>
          <w:color w:val="231F20"/>
          <w:spacing w:val="-6"/>
          <w:sz w:val="14"/>
        </w:rPr>
        <w:t> </w:t>
      </w:r>
      <w:r>
        <w:rPr>
          <w:color w:val="231F20"/>
          <w:sz w:val="14"/>
        </w:rPr>
        <w:t>este</w:t>
      </w:r>
      <w:r>
        <w:rPr>
          <w:color w:val="231F20"/>
          <w:spacing w:val="-6"/>
          <w:sz w:val="14"/>
        </w:rPr>
        <w:t> </w:t>
      </w:r>
      <w:r>
        <w:rPr>
          <w:color w:val="231F20"/>
          <w:sz w:val="14"/>
        </w:rPr>
        <w:t>es el responsable de última instancia de la reproducción y el cuidado. Como dice Corina Rodríguez-Enrí- quez (2005) se caracteriza por la forma de control que se deriva de las relaciones familiares</w:t>
      </w:r>
      <w:r>
        <w:rPr>
          <w:color w:val="231F20"/>
          <w:spacing w:val="-5"/>
          <w:sz w:val="14"/>
        </w:rPr>
        <w:t> </w:t>
      </w:r>
      <w:r>
        <w:rPr>
          <w:color w:val="231F20"/>
          <w:sz w:val="14"/>
        </w:rPr>
        <w:t>personales.</w:t>
      </w:r>
    </w:p>
    <w:p>
      <w:pPr>
        <w:spacing w:after="0"/>
        <w:jc w:val="both"/>
        <w:rPr>
          <w:sz w:val="14"/>
        </w:rPr>
        <w:sectPr>
          <w:footerReference w:type="default" r:id="rId238"/>
          <w:pgSz w:w="7770" w:h="11740"/>
          <w:pgMar w:footer="474" w:header="0" w:top="840" w:bottom="660" w:left="1020" w:right="740"/>
          <w:pgNumType w:start="195"/>
        </w:sectPr>
      </w:pPr>
    </w:p>
    <w:p>
      <w:pPr>
        <w:pStyle w:val="BodyText"/>
        <w:spacing w:line="249" w:lineRule="auto" w:before="60"/>
        <w:ind w:left="110" w:right="111"/>
        <w:jc w:val="both"/>
        <w:rPr>
          <w:sz w:val="11"/>
        </w:rPr>
      </w:pPr>
      <w:r>
        <w:rPr>
          <w:color w:val="231F20"/>
        </w:rPr>
        <w:t>compartido</w:t>
      </w:r>
      <w:r>
        <w:rPr>
          <w:color w:val="231F20"/>
          <w:spacing w:val="-6"/>
        </w:rPr>
        <w:t> </w:t>
      </w:r>
      <w:r>
        <w:rPr>
          <w:color w:val="231F20"/>
        </w:rPr>
        <w:t>entre</w:t>
      </w:r>
      <w:r>
        <w:rPr>
          <w:color w:val="231F20"/>
          <w:spacing w:val="-6"/>
        </w:rPr>
        <w:t> </w:t>
      </w:r>
      <w:r>
        <w:rPr>
          <w:color w:val="231F20"/>
        </w:rPr>
        <w:t>géneros,</w:t>
      </w:r>
      <w:r>
        <w:rPr>
          <w:color w:val="231F20"/>
          <w:spacing w:val="-6"/>
        </w:rPr>
        <w:t> </w:t>
      </w:r>
      <w:r>
        <w:rPr>
          <w:color w:val="231F20"/>
        </w:rPr>
        <w:t>pero</w:t>
      </w:r>
      <w:r>
        <w:rPr>
          <w:color w:val="231F20"/>
          <w:spacing w:val="-6"/>
        </w:rPr>
        <w:t> </w:t>
      </w:r>
      <w:r>
        <w:rPr>
          <w:color w:val="231F20"/>
        </w:rPr>
        <w:t>también</w:t>
      </w:r>
      <w:r>
        <w:rPr>
          <w:color w:val="231F20"/>
          <w:spacing w:val="-6"/>
        </w:rPr>
        <w:t> </w:t>
      </w:r>
      <w:r>
        <w:rPr>
          <w:color w:val="231F20"/>
        </w:rPr>
        <w:t>demanda</w:t>
      </w:r>
      <w:r>
        <w:rPr>
          <w:color w:val="231F20"/>
          <w:spacing w:val="-6"/>
        </w:rPr>
        <w:t> </w:t>
      </w:r>
      <w:r>
        <w:rPr>
          <w:color w:val="231F20"/>
        </w:rPr>
        <w:t>aquello</w:t>
      </w:r>
      <w:r>
        <w:rPr>
          <w:color w:val="231F20"/>
          <w:spacing w:val="-6"/>
        </w:rPr>
        <w:t> </w:t>
      </w:r>
      <w:r>
        <w:rPr>
          <w:color w:val="231F20"/>
        </w:rPr>
        <w:t>que</w:t>
      </w:r>
      <w:r>
        <w:rPr>
          <w:color w:val="231F20"/>
          <w:spacing w:val="-6"/>
        </w:rPr>
        <w:t> </w:t>
      </w:r>
      <w:r>
        <w:rPr>
          <w:color w:val="231F20"/>
        </w:rPr>
        <w:t>podríamos llamar responsabilidades reproductivas sociales. Niños y niñas</w:t>
      </w:r>
      <w:r>
        <w:rPr>
          <w:color w:val="231F20"/>
          <w:spacing w:val="-31"/>
        </w:rPr>
        <w:t> </w:t>
      </w:r>
      <w:r>
        <w:rPr>
          <w:color w:val="231F20"/>
        </w:rPr>
        <w:t>necesitan espacios</w:t>
      </w:r>
      <w:r>
        <w:rPr>
          <w:color w:val="231F20"/>
          <w:spacing w:val="-5"/>
        </w:rPr>
        <w:t> </w:t>
      </w:r>
      <w:r>
        <w:rPr>
          <w:color w:val="231F20"/>
        </w:rPr>
        <w:t>educativos</w:t>
      </w:r>
      <w:r>
        <w:rPr>
          <w:color w:val="231F20"/>
          <w:spacing w:val="-4"/>
        </w:rPr>
        <w:t> </w:t>
      </w:r>
      <w:r>
        <w:rPr>
          <w:color w:val="231F20"/>
        </w:rPr>
        <w:t>y</w:t>
      </w:r>
      <w:r>
        <w:rPr>
          <w:color w:val="231F20"/>
          <w:spacing w:val="-4"/>
        </w:rPr>
        <w:t> </w:t>
      </w:r>
      <w:r>
        <w:rPr>
          <w:color w:val="231F20"/>
        </w:rPr>
        <w:t>recreativos</w:t>
      </w:r>
      <w:r>
        <w:rPr>
          <w:color w:val="231F20"/>
          <w:spacing w:val="-4"/>
        </w:rPr>
        <w:t> </w:t>
      </w:r>
      <w:r>
        <w:rPr>
          <w:color w:val="231F20"/>
        </w:rPr>
        <w:t>desde</w:t>
      </w:r>
      <w:r>
        <w:rPr>
          <w:color w:val="231F20"/>
          <w:spacing w:val="-4"/>
        </w:rPr>
        <w:t> </w:t>
      </w:r>
      <w:r>
        <w:rPr>
          <w:color w:val="231F20"/>
        </w:rPr>
        <w:t>edades</w:t>
      </w:r>
      <w:r>
        <w:rPr>
          <w:color w:val="231F20"/>
          <w:spacing w:val="-5"/>
        </w:rPr>
        <w:t> </w:t>
      </w:r>
      <w:r>
        <w:rPr>
          <w:color w:val="231F20"/>
        </w:rPr>
        <w:t>muy</w:t>
      </w:r>
      <w:r>
        <w:rPr>
          <w:color w:val="231F20"/>
          <w:spacing w:val="-4"/>
        </w:rPr>
        <w:t> </w:t>
      </w:r>
      <w:r>
        <w:rPr>
          <w:color w:val="231F20"/>
        </w:rPr>
        <w:t>tempranas</w:t>
      </w:r>
      <w:r>
        <w:rPr>
          <w:color w:val="231F20"/>
          <w:spacing w:val="-5"/>
        </w:rPr>
        <w:t> </w:t>
      </w:r>
      <w:r>
        <w:rPr>
          <w:color w:val="231F20"/>
        </w:rPr>
        <w:t>si</w:t>
      </w:r>
      <w:r>
        <w:rPr>
          <w:color w:val="231F20"/>
          <w:spacing w:val="-4"/>
        </w:rPr>
        <w:t> </w:t>
      </w:r>
      <w:r>
        <w:rPr>
          <w:color w:val="231F20"/>
        </w:rPr>
        <w:t>se</w:t>
      </w:r>
      <w:r>
        <w:rPr>
          <w:color w:val="231F20"/>
          <w:spacing w:val="-4"/>
        </w:rPr>
        <w:t> </w:t>
      </w:r>
      <w:r>
        <w:rPr>
          <w:color w:val="231F20"/>
        </w:rPr>
        <w:t>qui- ere que desarrollen capacidades que les permitan hacer frente a los nue- vos desafíos y requerimientos </w:t>
      </w:r>
      <w:r>
        <w:rPr>
          <w:color w:val="231F20"/>
          <w:spacing w:val="-7"/>
        </w:rPr>
        <w:t>y, </w:t>
      </w:r>
      <w:r>
        <w:rPr>
          <w:color w:val="231F20"/>
        </w:rPr>
        <w:t>en el caso de los sectores más pobres, superar</w:t>
      </w:r>
      <w:r>
        <w:rPr>
          <w:color w:val="231F20"/>
          <w:spacing w:val="-9"/>
        </w:rPr>
        <w:t> </w:t>
      </w:r>
      <w:r>
        <w:rPr>
          <w:color w:val="231F20"/>
        </w:rPr>
        <w:t>el</w:t>
      </w:r>
      <w:r>
        <w:rPr>
          <w:color w:val="231F20"/>
          <w:spacing w:val="-9"/>
        </w:rPr>
        <w:t> </w:t>
      </w:r>
      <w:r>
        <w:rPr>
          <w:color w:val="231F20"/>
        </w:rPr>
        <w:t>círculo</w:t>
      </w:r>
      <w:r>
        <w:rPr>
          <w:color w:val="231F20"/>
          <w:spacing w:val="-9"/>
        </w:rPr>
        <w:t> </w:t>
      </w:r>
      <w:r>
        <w:rPr>
          <w:color w:val="231F20"/>
        </w:rPr>
        <w:t>vicioso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pobreza.</w:t>
      </w:r>
      <w:r>
        <w:rPr>
          <w:color w:val="231F20"/>
          <w:spacing w:val="-9"/>
        </w:rPr>
        <w:t> </w:t>
      </w:r>
      <w:r>
        <w:rPr>
          <w:color w:val="231F20"/>
        </w:rPr>
        <w:t>Las</w:t>
      </w:r>
      <w:r>
        <w:rPr>
          <w:color w:val="231F20"/>
          <w:spacing w:val="-9"/>
        </w:rPr>
        <w:t> </w:t>
      </w:r>
      <w:r>
        <w:rPr>
          <w:color w:val="231F20"/>
        </w:rPr>
        <w:t>sociedades</w:t>
      </w:r>
      <w:r>
        <w:rPr>
          <w:color w:val="231F20"/>
          <w:spacing w:val="-8"/>
        </w:rPr>
        <w:t> </w:t>
      </w:r>
      <w:r>
        <w:rPr>
          <w:color w:val="231F20"/>
        </w:rPr>
        <w:t>latinoamericanas sufren un alto grado de desigualdad y las familias de más bajos recursos no poseen suficiente capital social y cultural para enfrentar la tarea.</w:t>
      </w:r>
      <w:r>
        <w:rPr>
          <w:color w:val="231F20"/>
          <w:spacing w:val="-21"/>
        </w:rPr>
        <w:t> </w:t>
      </w:r>
      <w:r>
        <w:rPr>
          <w:color w:val="231F20"/>
        </w:rPr>
        <w:t>Esto exige servicios de calidad —no regidos exclusivamente por el mercado a fin de que no reproduzcan las desigualdades— para contrarrestar las brechas</w:t>
      </w:r>
      <w:r>
        <w:rPr>
          <w:color w:val="231F20"/>
          <w:spacing w:val="-5"/>
        </w:rPr>
        <w:t> </w:t>
      </w:r>
      <w:r>
        <w:rPr>
          <w:color w:val="231F20"/>
        </w:rPr>
        <w:t>existentes.</w:t>
      </w:r>
      <w:r>
        <w:rPr>
          <w:color w:val="231F20"/>
          <w:position w:val="7"/>
          <w:sz w:val="11"/>
        </w:rPr>
        <w:t>11</w:t>
      </w:r>
    </w:p>
    <w:p>
      <w:pPr>
        <w:pStyle w:val="BodyText"/>
        <w:spacing w:line="249" w:lineRule="auto" w:before="1"/>
        <w:ind w:left="110" w:right="111" w:firstLine="283"/>
        <w:jc w:val="both"/>
        <w:rPr>
          <w:sz w:val="11"/>
        </w:rPr>
      </w:pPr>
      <w:r>
        <w:rPr>
          <w:color w:val="231F20"/>
        </w:rPr>
        <w:t>Frente a los grandes cambios estructurales que han tenido lugar y a las nuevas exigencias, no ha habido una significativa respuesta social   ni de los varones en lo que dice relación con el trabajo reproductivo y  de cuidado.</w:t>
      </w:r>
      <w:r>
        <w:rPr>
          <w:color w:val="231F20"/>
          <w:position w:val="7"/>
          <w:sz w:val="11"/>
        </w:rPr>
        <w:t>12 </w:t>
      </w:r>
      <w:r>
        <w:rPr>
          <w:color w:val="231F20"/>
        </w:rPr>
        <w:t>Las mujeres han logrado mayor autonomía, pero también mayores conflictos en la organización de los tiempos del trabajo remu- nerado</w:t>
      </w:r>
      <w:r>
        <w:rPr>
          <w:color w:val="231F20"/>
          <w:spacing w:val="-10"/>
        </w:rPr>
        <w:t> </w:t>
      </w:r>
      <w:r>
        <w:rPr>
          <w:color w:val="231F20"/>
        </w:rPr>
        <w:t>y</w:t>
      </w:r>
      <w:r>
        <w:rPr>
          <w:color w:val="231F20"/>
          <w:spacing w:val="-10"/>
        </w:rPr>
        <w:t> </w:t>
      </w:r>
      <w:r>
        <w:rPr>
          <w:color w:val="231F20"/>
        </w:rPr>
        <w:t>reproductivo.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producido</w:t>
      </w:r>
      <w:r>
        <w:rPr>
          <w:color w:val="231F20"/>
          <w:spacing w:val="-10"/>
        </w:rPr>
        <w:t> </w:t>
      </w:r>
      <w:r>
        <w:rPr>
          <w:color w:val="231F20"/>
        </w:rPr>
        <w:t>un</w:t>
      </w:r>
      <w:r>
        <w:rPr>
          <w:color w:val="231F20"/>
          <w:spacing w:val="-10"/>
        </w:rPr>
        <w:t> </w:t>
      </w:r>
      <w:r>
        <w:rPr>
          <w:color w:val="231F20"/>
        </w:rPr>
        <w:t>cambio</w:t>
      </w:r>
      <w:r>
        <w:rPr>
          <w:color w:val="231F20"/>
          <w:spacing w:val="-11"/>
        </w:rPr>
        <w:t> </w:t>
      </w:r>
      <w:r>
        <w:rPr>
          <w:color w:val="231F20"/>
        </w:rPr>
        <w:t>del</w:t>
      </w:r>
      <w:r>
        <w:rPr>
          <w:color w:val="231F20"/>
          <w:spacing w:val="-10"/>
        </w:rPr>
        <w:t> </w:t>
      </w:r>
      <w:r>
        <w:rPr>
          <w:color w:val="231F20"/>
        </w:rPr>
        <w:t>modelo</w:t>
      </w:r>
      <w:r>
        <w:rPr>
          <w:color w:val="231F20"/>
          <w:spacing w:val="-11"/>
        </w:rPr>
        <w:t> </w:t>
      </w:r>
      <w:r>
        <w:rPr>
          <w:color w:val="231F20"/>
        </w:rPr>
        <w:t>normativo previo de “presencia masculina en el mercado/presencia femenina en lo privado”, al de “unipresencia masculina en el mercado/ doble presen- cia femenina” (mercado y doméstica no remunerada) (Carrasco </w:t>
      </w:r>
      <w:r>
        <w:rPr>
          <w:i/>
          <w:color w:val="231F20"/>
        </w:rPr>
        <w:t>et al</w:t>
      </w:r>
      <w:r>
        <w:rPr>
          <w:color w:val="231F20"/>
        </w:rPr>
        <w:t>., 2003).</w:t>
      </w:r>
      <w:r>
        <w:rPr>
          <w:color w:val="231F20"/>
          <w:position w:val="7"/>
          <w:sz w:val="11"/>
        </w:rPr>
        <w:t>13</w:t>
      </w:r>
    </w:p>
    <w:p>
      <w:pPr>
        <w:pStyle w:val="BodyText"/>
        <w:spacing w:line="249" w:lineRule="auto" w:before="1"/>
        <w:ind w:left="110" w:right="111" w:firstLine="283"/>
        <w:jc w:val="both"/>
      </w:pPr>
      <w:r>
        <w:rPr>
          <w:color w:val="231F20"/>
        </w:rPr>
        <w:t>Si bien no se puede negar la resistencia masculina a la ampliación</w:t>
      </w:r>
      <w:r>
        <w:rPr>
          <w:color w:val="231F20"/>
          <w:spacing w:val="-16"/>
        </w:rPr>
        <w:t> </w:t>
      </w:r>
      <w:r>
        <w:rPr>
          <w:color w:val="231F20"/>
        </w:rPr>
        <w:t>de sus roles, también incide en su “unipresencia” la organización de la pro- ducción, que sigue tomando la reproducción y el cuidado como un</w:t>
      </w:r>
      <w:r>
        <w:rPr>
          <w:color w:val="231F20"/>
          <w:spacing w:val="-26"/>
        </w:rPr>
        <w:t> </w:t>
      </w:r>
      <w:r>
        <w:rPr>
          <w:color w:val="231F20"/>
        </w:rPr>
        <w:t>“bien no producido”, y a las mujeres como las responsables de compatibilizar la relación producción-reproducción.</w:t>
      </w:r>
    </w:p>
    <w:p>
      <w:pPr>
        <w:pStyle w:val="BodyText"/>
        <w:spacing w:line="249" w:lineRule="auto" w:before="1"/>
        <w:ind w:left="110" w:right="111" w:firstLine="283"/>
        <w:jc w:val="both"/>
      </w:pPr>
      <w:r>
        <w:rPr>
          <w:color w:val="231F20"/>
        </w:rPr>
        <w:t>El tiempo es uno de los factores fundamentales para analizar el tra- bajo</w:t>
      </w:r>
      <w:r>
        <w:rPr>
          <w:color w:val="231F20"/>
          <w:spacing w:val="-6"/>
        </w:rPr>
        <w:t> </w:t>
      </w:r>
      <w:r>
        <w:rPr>
          <w:color w:val="231F20"/>
        </w:rPr>
        <w:t>reproductivo.</w:t>
      </w:r>
      <w:r>
        <w:rPr>
          <w:color w:val="231F20"/>
          <w:spacing w:val="-10"/>
        </w:rPr>
        <w:t> </w:t>
      </w:r>
      <w:r>
        <w:rPr>
          <w:color w:val="231F20"/>
        </w:rPr>
        <w:t>También</w:t>
      </w:r>
      <w:r>
        <w:rPr>
          <w:color w:val="231F20"/>
          <w:spacing w:val="-6"/>
        </w:rPr>
        <w:t> </w:t>
      </w:r>
      <w:r>
        <w:rPr>
          <w:color w:val="231F20"/>
        </w:rPr>
        <w:t>lo</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distribución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responsabilidades</w:t>
      </w:r>
    </w:p>
    <w:p>
      <w:pPr>
        <w:spacing w:before="98"/>
        <w:ind w:left="110" w:right="111" w:firstLine="0"/>
        <w:jc w:val="both"/>
        <w:rPr>
          <w:sz w:val="14"/>
        </w:rPr>
      </w:pPr>
      <w:r>
        <w:rPr>
          <w:color w:val="231F20"/>
          <w:position w:val="5"/>
          <w:sz w:val="8"/>
        </w:rPr>
        <w:t>11</w:t>
      </w:r>
      <w:r>
        <w:rPr>
          <w:color w:val="231F20"/>
          <w:spacing w:val="7"/>
          <w:position w:val="5"/>
          <w:sz w:val="8"/>
        </w:rPr>
        <w:t> </w:t>
      </w:r>
      <w:r>
        <w:rPr>
          <w:color w:val="231F20"/>
          <w:sz w:val="14"/>
        </w:rPr>
        <w:t>El</w:t>
      </w:r>
      <w:r>
        <w:rPr>
          <w:color w:val="231F20"/>
          <w:spacing w:val="-8"/>
          <w:sz w:val="14"/>
        </w:rPr>
        <w:t> </w:t>
      </w:r>
      <w:r>
        <w:rPr>
          <w:color w:val="231F20"/>
          <w:sz w:val="14"/>
        </w:rPr>
        <w:t>número</w:t>
      </w:r>
      <w:r>
        <w:rPr>
          <w:color w:val="231F20"/>
          <w:spacing w:val="-8"/>
          <w:sz w:val="14"/>
        </w:rPr>
        <w:t> </w:t>
      </w:r>
      <w:r>
        <w:rPr>
          <w:color w:val="231F20"/>
          <w:sz w:val="14"/>
        </w:rPr>
        <w:t>de</w:t>
      </w:r>
      <w:r>
        <w:rPr>
          <w:color w:val="231F20"/>
          <w:spacing w:val="-8"/>
          <w:sz w:val="14"/>
        </w:rPr>
        <w:t> </w:t>
      </w:r>
      <w:r>
        <w:rPr>
          <w:color w:val="231F20"/>
          <w:sz w:val="14"/>
        </w:rPr>
        <w:t>años</w:t>
      </w:r>
      <w:r>
        <w:rPr>
          <w:color w:val="231F20"/>
          <w:spacing w:val="-8"/>
          <w:sz w:val="14"/>
        </w:rPr>
        <w:t> </w:t>
      </w:r>
      <w:r>
        <w:rPr>
          <w:color w:val="231F20"/>
          <w:sz w:val="14"/>
        </w:rPr>
        <w:t>de</w:t>
      </w:r>
      <w:r>
        <w:rPr>
          <w:color w:val="231F20"/>
          <w:spacing w:val="-8"/>
          <w:sz w:val="14"/>
        </w:rPr>
        <w:t> </w:t>
      </w:r>
      <w:r>
        <w:rPr>
          <w:color w:val="231F20"/>
          <w:sz w:val="14"/>
        </w:rPr>
        <w:t>educación</w:t>
      </w:r>
      <w:r>
        <w:rPr>
          <w:color w:val="231F20"/>
          <w:spacing w:val="-8"/>
          <w:sz w:val="14"/>
        </w:rPr>
        <w:t> </w:t>
      </w:r>
      <w:r>
        <w:rPr>
          <w:color w:val="231F20"/>
          <w:sz w:val="14"/>
        </w:rPr>
        <w:t>preescolar</w:t>
      </w:r>
      <w:r>
        <w:rPr>
          <w:color w:val="231F20"/>
          <w:spacing w:val="-8"/>
          <w:sz w:val="14"/>
        </w:rPr>
        <w:t> </w:t>
      </w:r>
      <w:r>
        <w:rPr>
          <w:color w:val="231F20"/>
          <w:sz w:val="14"/>
        </w:rPr>
        <w:t>promedio</w:t>
      </w:r>
      <w:r>
        <w:rPr>
          <w:color w:val="231F20"/>
          <w:spacing w:val="-8"/>
          <w:sz w:val="14"/>
        </w:rPr>
        <w:t> </w:t>
      </w:r>
      <w:r>
        <w:rPr>
          <w:color w:val="231F20"/>
          <w:sz w:val="14"/>
        </w:rPr>
        <w:t>fluctúa</w:t>
      </w:r>
      <w:r>
        <w:rPr>
          <w:color w:val="231F20"/>
          <w:spacing w:val="-8"/>
          <w:sz w:val="14"/>
        </w:rPr>
        <w:t> </w:t>
      </w:r>
      <w:r>
        <w:rPr>
          <w:color w:val="231F20"/>
          <w:sz w:val="14"/>
        </w:rPr>
        <w:t>entre</w:t>
      </w:r>
      <w:r>
        <w:rPr>
          <w:color w:val="231F20"/>
          <w:spacing w:val="-8"/>
          <w:sz w:val="14"/>
        </w:rPr>
        <w:t> </w:t>
      </w:r>
      <w:r>
        <w:rPr>
          <w:color w:val="231F20"/>
          <w:sz w:val="14"/>
        </w:rPr>
        <w:t>0.9</w:t>
      </w:r>
      <w:r>
        <w:rPr>
          <w:color w:val="231F20"/>
          <w:spacing w:val="-8"/>
          <w:sz w:val="14"/>
        </w:rPr>
        <w:t> </w:t>
      </w:r>
      <w:r>
        <w:rPr>
          <w:color w:val="231F20"/>
          <w:sz w:val="14"/>
        </w:rPr>
        <w:t>y</w:t>
      </w:r>
      <w:r>
        <w:rPr>
          <w:color w:val="231F20"/>
          <w:spacing w:val="-8"/>
          <w:sz w:val="14"/>
        </w:rPr>
        <w:t> </w:t>
      </w:r>
      <w:r>
        <w:rPr>
          <w:color w:val="231F20"/>
          <w:sz w:val="14"/>
        </w:rPr>
        <w:t>dos</w:t>
      </w:r>
      <w:r>
        <w:rPr>
          <w:color w:val="231F20"/>
          <w:spacing w:val="-8"/>
          <w:sz w:val="14"/>
        </w:rPr>
        <w:t> </w:t>
      </w:r>
      <w:r>
        <w:rPr>
          <w:color w:val="231F20"/>
          <w:sz w:val="14"/>
        </w:rPr>
        <w:t>años</w:t>
      </w:r>
      <w:r>
        <w:rPr>
          <w:color w:val="231F20"/>
          <w:spacing w:val="-8"/>
          <w:sz w:val="14"/>
        </w:rPr>
        <w:t> </w:t>
      </w:r>
      <w:r>
        <w:rPr>
          <w:color w:val="231F20"/>
          <w:sz w:val="14"/>
        </w:rPr>
        <w:t>en</w:t>
      </w:r>
      <w:r>
        <w:rPr>
          <w:color w:val="231F20"/>
          <w:spacing w:val="-8"/>
          <w:sz w:val="14"/>
        </w:rPr>
        <w:t> </w:t>
      </w:r>
      <w:r>
        <w:rPr>
          <w:color w:val="231F20"/>
          <w:sz w:val="14"/>
        </w:rPr>
        <w:t>países</w:t>
      </w:r>
      <w:r>
        <w:rPr>
          <w:color w:val="231F20"/>
          <w:spacing w:val="-8"/>
          <w:sz w:val="14"/>
        </w:rPr>
        <w:t> </w:t>
      </w:r>
      <w:r>
        <w:rPr>
          <w:color w:val="231F20"/>
          <w:sz w:val="14"/>
        </w:rPr>
        <w:t>de</w:t>
      </w:r>
      <w:r>
        <w:rPr>
          <w:color w:val="231F20"/>
          <w:spacing w:val="-16"/>
          <w:sz w:val="14"/>
        </w:rPr>
        <w:t> </w:t>
      </w:r>
      <w:r>
        <w:rPr>
          <w:color w:val="231F20"/>
          <w:sz w:val="14"/>
        </w:rPr>
        <w:t>América Latina, mientras que en Europa fluctúa entre 2.9 y 3.4 según datos de Unesco, </w:t>
      </w:r>
      <w:r>
        <w:rPr>
          <w:i/>
          <w:color w:val="231F20"/>
          <w:sz w:val="14"/>
        </w:rPr>
        <w:t>Informe de seguimiento </w:t>
      </w:r>
      <w:r>
        <w:rPr>
          <w:i/>
          <w:color w:val="231F20"/>
          <w:sz w:val="14"/>
        </w:rPr>
        <w:t>de la educación para todos en el mundo</w:t>
      </w:r>
      <w:r>
        <w:rPr>
          <w:i/>
          <w:color w:val="231F20"/>
          <w:spacing w:val="-10"/>
          <w:sz w:val="14"/>
        </w:rPr>
        <w:t> </w:t>
      </w:r>
      <w:r>
        <w:rPr>
          <w:i/>
          <w:color w:val="231F20"/>
          <w:sz w:val="14"/>
        </w:rPr>
        <w:t>2007</w:t>
      </w:r>
      <w:r>
        <w:rPr>
          <w:color w:val="231F20"/>
          <w:sz w:val="14"/>
        </w:rPr>
        <w:t>.</w:t>
      </w:r>
    </w:p>
    <w:p>
      <w:pPr>
        <w:spacing w:before="0"/>
        <w:ind w:left="110" w:right="111" w:firstLine="0"/>
        <w:jc w:val="both"/>
        <w:rPr>
          <w:sz w:val="14"/>
        </w:rPr>
      </w:pPr>
      <w:r>
        <w:rPr>
          <w:color w:val="231F20"/>
          <w:position w:val="5"/>
          <w:sz w:val="8"/>
        </w:rPr>
        <w:t>12  </w:t>
      </w:r>
      <w:r>
        <w:rPr>
          <w:color w:val="231F20"/>
          <w:sz w:val="14"/>
        </w:rPr>
        <w:t>Podría ir en el texto algo de esto? Poner más sobre el tiempo. Las encuestas de uso del tiempo son   de aplicación reciente en América Latina por lo que no se puede analizar la evolución en el tiempo del reparto</w:t>
      </w:r>
      <w:r>
        <w:rPr>
          <w:color w:val="231F20"/>
          <w:spacing w:val="-8"/>
          <w:sz w:val="14"/>
        </w:rPr>
        <w:t> </w:t>
      </w:r>
      <w:r>
        <w:rPr>
          <w:color w:val="231F20"/>
          <w:sz w:val="14"/>
        </w:rPr>
        <w:t>de</w:t>
      </w:r>
      <w:r>
        <w:rPr>
          <w:color w:val="231F20"/>
          <w:spacing w:val="-8"/>
          <w:sz w:val="14"/>
        </w:rPr>
        <w:t> </w:t>
      </w:r>
      <w:r>
        <w:rPr>
          <w:color w:val="231F20"/>
          <w:sz w:val="14"/>
        </w:rPr>
        <w:t>responsabilidades</w:t>
      </w:r>
      <w:r>
        <w:rPr>
          <w:color w:val="231F20"/>
          <w:spacing w:val="-8"/>
          <w:sz w:val="14"/>
        </w:rPr>
        <w:t> </w:t>
      </w:r>
      <w:r>
        <w:rPr>
          <w:color w:val="231F20"/>
          <w:sz w:val="14"/>
        </w:rPr>
        <w:t>domésticas</w:t>
      </w:r>
      <w:r>
        <w:rPr>
          <w:color w:val="231F20"/>
          <w:spacing w:val="-8"/>
          <w:sz w:val="14"/>
        </w:rPr>
        <w:t> </w:t>
      </w:r>
      <w:r>
        <w:rPr>
          <w:color w:val="231F20"/>
          <w:sz w:val="14"/>
        </w:rPr>
        <w:t>entre</w:t>
      </w:r>
      <w:r>
        <w:rPr>
          <w:color w:val="231F20"/>
          <w:spacing w:val="-8"/>
          <w:sz w:val="14"/>
        </w:rPr>
        <w:t> </w:t>
      </w:r>
      <w:r>
        <w:rPr>
          <w:color w:val="231F20"/>
          <w:sz w:val="14"/>
        </w:rPr>
        <w:t>mujeres</w:t>
      </w:r>
      <w:r>
        <w:rPr>
          <w:color w:val="231F20"/>
          <w:spacing w:val="-8"/>
          <w:sz w:val="14"/>
        </w:rPr>
        <w:t> </w:t>
      </w:r>
      <w:r>
        <w:rPr>
          <w:color w:val="231F20"/>
          <w:sz w:val="14"/>
        </w:rPr>
        <w:t>y</w:t>
      </w:r>
      <w:r>
        <w:rPr>
          <w:color w:val="231F20"/>
          <w:spacing w:val="-8"/>
          <w:sz w:val="14"/>
        </w:rPr>
        <w:t> </w:t>
      </w:r>
      <w:r>
        <w:rPr>
          <w:color w:val="231F20"/>
          <w:sz w:val="14"/>
        </w:rPr>
        <w:t>hombres.</w:t>
      </w:r>
      <w:r>
        <w:rPr>
          <w:color w:val="231F20"/>
          <w:spacing w:val="-8"/>
          <w:sz w:val="14"/>
        </w:rPr>
        <w:t> </w:t>
      </w:r>
      <w:r>
        <w:rPr>
          <w:color w:val="231F20"/>
          <w:sz w:val="14"/>
        </w:rPr>
        <w:t>Estas</w:t>
      </w:r>
      <w:r>
        <w:rPr>
          <w:color w:val="231F20"/>
          <w:spacing w:val="-8"/>
          <w:sz w:val="14"/>
        </w:rPr>
        <w:t> </w:t>
      </w:r>
      <w:r>
        <w:rPr>
          <w:color w:val="231F20"/>
          <w:sz w:val="14"/>
        </w:rPr>
        <w:t>encuestas</w:t>
      </w:r>
      <w:r>
        <w:rPr>
          <w:color w:val="231F20"/>
          <w:spacing w:val="-8"/>
          <w:sz w:val="14"/>
        </w:rPr>
        <w:t> </w:t>
      </w:r>
      <w:r>
        <w:rPr>
          <w:color w:val="231F20"/>
          <w:sz w:val="14"/>
        </w:rPr>
        <w:t>permiten</w:t>
      </w:r>
      <w:r>
        <w:rPr>
          <w:color w:val="231F20"/>
          <w:spacing w:val="-8"/>
          <w:sz w:val="14"/>
        </w:rPr>
        <w:t> </w:t>
      </w:r>
      <w:r>
        <w:rPr>
          <w:color w:val="231F20"/>
          <w:sz w:val="14"/>
        </w:rPr>
        <w:t>sin</w:t>
      </w:r>
      <w:r>
        <w:rPr>
          <w:color w:val="231F20"/>
          <w:spacing w:val="-8"/>
          <w:sz w:val="14"/>
        </w:rPr>
        <w:t> </w:t>
      </w:r>
      <w:r>
        <w:rPr>
          <w:color w:val="231F20"/>
          <w:sz w:val="14"/>
        </w:rPr>
        <w:t>embargo afirmar que en la actualidad el reparto de trabajo doméstico y de cuidado es fuertemente sesgado hacia las mujeres. Se comprueba, además, una división sexual del trabajo por tareas, donde los hombres se concentran en tareas no cotidianas y las mujeres en el cuidado cotidiano del hogar y las personas (ver Aguirre, 2009; Aguirre y Betthyány, 2005; Cepal, 2005; </w:t>
      </w:r>
      <w:r>
        <w:rPr>
          <w:color w:val="231F20"/>
          <w:spacing w:val="-3"/>
          <w:sz w:val="14"/>
        </w:rPr>
        <w:t>Wanderley, </w:t>
      </w:r>
      <w:r>
        <w:rPr>
          <w:color w:val="231F20"/>
          <w:sz w:val="14"/>
        </w:rPr>
        <w:t>2003, entre otros). En el caso de la respuesta</w:t>
      </w:r>
      <w:r>
        <w:rPr>
          <w:color w:val="231F20"/>
          <w:spacing w:val="-4"/>
          <w:sz w:val="14"/>
        </w:rPr>
        <w:t> </w:t>
      </w:r>
      <w:r>
        <w:rPr>
          <w:color w:val="231F20"/>
          <w:sz w:val="14"/>
        </w:rPr>
        <w:t>social</w:t>
      </w:r>
      <w:r>
        <w:rPr>
          <w:color w:val="231F20"/>
          <w:spacing w:val="-4"/>
          <w:sz w:val="14"/>
        </w:rPr>
        <w:t> </w:t>
      </w:r>
      <w:r>
        <w:rPr>
          <w:color w:val="231F20"/>
          <w:sz w:val="14"/>
        </w:rPr>
        <w:t>se</w:t>
      </w:r>
      <w:r>
        <w:rPr>
          <w:color w:val="231F20"/>
          <w:spacing w:val="-4"/>
          <w:sz w:val="14"/>
        </w:rPr>
        <w:t> </w:t>
      </w:r>
      <w:r>
        <w:rPr>
          <w:color w:val="231F20"/>
          <w:sz w:val="14"/>
        </w:rPr>
        <w:t>observa</w:t>
      </w:r>
      <w:r>
        <w:rPr>
          <w:color w:val="231F20"/>
          <w:spacing w:val="-4"/>
          <w:sz w:val="14"/>
        </w:rPr>
        <w:t> </w:t>
      </w:r>
      <w:r>
        <w:rPr>
          <w:color w:val="231F20"/>
          <w:sz w:val="14"/>
        </w:rPr>
        <w:t>un</w:t>
      </w:r>
      <w:r>
        <w:rPr>
          <w:color w:val="231F20"/>
          <w:spacing w:val="-4"/>
          <w:sz w:val="14"/>
        </w:rPr>
        <w:t> </w:t>
      </w:r>
      <w:r>
        <w:rPr>
          <w:color w:val="231F20"/>
          <w:sz w:val="14"/>
        </w:rPr>
        <w:t>crecimiento</w:t>
      </w:r>
      <w:r>
        <w:rPr>
          <w:color w:val="231F20"/>
          <w:spacing w:val="-5"/>
          <w:sz w:val="14"/>
        </w:rPr>
        <w:t> </w:t>
      </w:r>
      <w:r>
        <w:rPr>
          <w:color w:val="231F20"/>
          <w:sz w:val="14"/>
        </w:rPr>
        <w:t>de</w:t>
      </w:r>
      <w:r>
        <w:rPr>
          <w:color w:val="231F20"/>
          <w:spacing w:val="-4"/>
          <w:sz w:val="14"/>
        </w:rPr>
        <w:t> </w:t>
      </w:r>
      <w:r>
        <w:rPr>
          <w:color w:val="231F20"/>
          <w:sz w:val="14"/>
        </w:rPr>
        <w:t>la</w:t>
      </w:r>
      <w:r>
        <w:rPr>
          <w:color w:val="231F20"/>
          <w:spacing w:val="-4"/>
          <w:sz w:val="14"/>
        </w:rPr>
        <w:t> </w:t>
      </w:r>
      <w:r>
        <w:rPr>
          <w:color w:val="231F20"/>
          <w:sz w:val="14"/>
        </w:rPr>
        <w:t>oferta</w:t>
      </w:r>
      <w:r>
        <w:rPr>
          <w:color w:val="231F20"/>
          <w:spacing w:val="-4"/>
          <w:sz w:val="14"/>
        </w:rPr>
        <w:t> </w:t>
      </w:r>
      <w:r>
        <w:rPr>
          <w:color w:val="231F20"/>
          <w:sz w:val="14"/>
        </w:rPr>
        <w:t>de</w:t>
      </w:r>
      <w:r>
        <w:rPr>
          <w:color w:val="231F20"/>
          <w:spacing w:val="-4"/>
          <w:sz w:val="14"/>
        </w:rPr>
        <w:t> </w:t>
      </w:r>
      <w:r>
        <w:rPr>
          <w:color w:val="231F20"/>
          <w:sz w:val="14"/>
        </w:rPr>
        <w:t>servicios</w:t>
      </w:r>
      <w:r>
        <w:rPr>
          <w:color w:val="231F20"/>
          <w:spacing w:val="-4"/>
          <w:sz w:val="14"/>
        </w:rPr>
        <w:t> </w:t>
      </w:r>
      <w:r>
        <w:rPr>
          <w:color w:val="231F20"/>
          <w:sz w:val="14"/>
        </w:rPr>
        <w:t>de</w:t>
      </w:r>
      <w:r>
        <w:rPr>
          <w:color w:val="231F20"/>
          <w:spacing w:val="-4"/>
          <w:sz w:val="14"/>
        </w:rPr>
        <w:t> </w:t>
      </w:r>
      <w:r>
        <w:rPr>
          <w:color w:val="231F20"/>
          <w:sz w:val="14"/>
        </w:rPr>
        <w:t>cuidado</w:t>
      </w:r>
      <w:r>
        <w:rPr>
          <w:color w:val="231F20"/>
          <w:spacing w:val="-4"/>
          <w:sz w:val="14"/>
        </w:rPr>
        <w:t> </w:t>
      </w:r>
      <w:r>
        <w:rPr>
          <w:color w:val="231F20"/>
          <w:sz w:val="14"/>
        </w:rPr>
        <w:t>infantil</w:t>
      </w:r>
      <w:r>
        <w:rPr>
          <w:color w:val="231F20"/>
          <w:spacing w:val="-4"/>
          <w:sz w:val="14"/>
        </w:rPr>
        <w:t> </w:t>
      </w:r>
      <w:r>
        <w:rPr>
          <w:color w:val="231F20"/>
          <w:sz w:val="14"/>
        </w:rPr>
        <w:t>pero</w:t>
      </w:r>
      <w:r>
        <w:rPr>
          <w:color w:val="231F20"/>
          <w:spacing w:val="-4"/>
          <w:sz w:val="14"/>
        </w:rPr>
        <w:t> </w:t>
      </w:r>
      <w:r>
        <w:rPr>
          <w:color w:val="231F20"/>
          <w:sz w:val="14"/>
        </w:rPr>
        <w:t>que</w:t>
      </w:r>
      <w:r>
        <w:rPr>
          <w:color w:val="231F20"/>
          <w:spacing w:val="-4"/>
          <w:sz w:val="14"/>
        </w:rPr>
        <w:t> </w:t>
      </w:r>
      <w:r>
        <w:rPr>
          <w:color w:val="231F20"/>
          <w:sz w:val="14"/>
        </w:rPr>
        <w:t>rara</w:t>
      </w:r>
      <w:r>
        <w:rPr>
          <w:color w:val="231F20"/>
          <w:spacing w:val="-4"/>
          <w:sz w:val="14"/>
        </w:rPr>
        <w:t> </w:t>
      </w:r>
      <w:r>
        <w:rPr>
          <w:color w:val="231F20"/>
          <w:sz w:val="14"/>
        </w:rPr>
        <w:t>vez toma en cuenta la heterogeneidad de situaciones y tiempos laborales. Tampoco se han hecho progresos significativos</w:t>
      </w:r>
      <w:r>
        <w:rPr>
          <w:color w:val="231F20"/>
          <w:spacing w:val="-8"/>
          <w:sz w:val="14"/>
        </w:rPr>
        <w:t> </w:t>
      </w:r>
      <w:r>
        <w:rPr>
          <w:color w:val="231F20"/>
          <w:sz w:val="14"/>
        </w:rPr>
        <w:t>en</w:t>
      </w:r>
      <w:r>
        <w:rPr>
          <w:color w:val="231F20"/>
          <w:spacing w:val="-8"/>
          <w:sz w:val="14"/>
        </w:rPr>
        <w:t> </w:t>
      </w:r>
      <w:r>
        <w:rPr>
          <w:color w:val="231F20"/>
          <w:sz w:val="14"/>
        </w:rPr>
        <w:t>la</w:t>
      </w:r>
      <w:r>
        <w:rPr>
          <w:color w:val="231F20"/>
          <w:spacing w:val="-8"/>
          <w:sz w:val="14"/>
        </w:rPr>
        <w:t> </w:t>
      </w:r>
      <w:r>
        <w:rPr>
          <w:color w:val="231F20"/>
          <w:sz w:val="14"/>
        </w:rPr>
        <w:t>inclusión,</w:t>
      </w:r>
      <w:r>
        <w:rPr>
          <w:color w:val="231F20"/>
          <w:spacing w:val="-8"/>
          <w:sz w:val="14"/>
        </w:rPr>
        <w:t> </w:t>
      </w:r>
      <w:r>
        <w:rPr>
          <w:color w:val="231F20"/>
          <w:sz w:val="14"/>
        </w:rPr>
        <w:t>por</w:t>
      </w:r>
      <w:r>
        <w:rPr>
          <w:color w:val="231F20"/>
          <w:spacing w:val="-8"/>
          <w:sz w:val="14"/>
        </w:rPr>
        <w:t> </w:t>
      </w:r>
      <w:r>
        <w:rPr>
          <w:color w:val="231F20"/>
          <w:sz w:val="14"/>
        </w:rPr>
        <w:t>parte</w:t>
      </w:r>
      <w:r>
        <w:rPr>
          <w:color w:val="231F20"/>
          <w:spacing w:val="-8"/>
          <w:sz w:val="14"/>
        </w:rPr>
        <w:t> </w:t>
      </w:r>
      <w:r>
        <w:rPr>
          <w:color w:val="231F20"/>
          <w:sz w:val="14"/>
        </w:rPr>
        <w:t>de</w:t>
      </w:r>
      <w:r>
        <w:rPr>
          <w:color w:val="231F20"/>
          <w:spacing w:val="-8"/>
          <w:sz w:val="14"/>
        </w:rPr>
        <w:t> </w:t>
      </w:r>
      <w:r>
        <w:rPr>
          <w:color w:val="231F20"/>
          <w:sz w:val="14"/>
        </w:rPr>
        <w:t>las</w:t>
      </w:r>
      <w:r>
        <w:rPr>
          <w:color w:val="231F20"/>
          <w:spacing w:val="-8"/>
          <w:sz w:val="14"/>
        </w:rPr>
        <w:t> </w:t>
      </w:r>
      <w:r>
        <w:rPr>
          <w:color w:val="231F20"/>
          <w:sz w:val="14"/>
        </w:rPr>
        <w:t>empresas,</w:t>
      </w:r>
      <w:r>
        <w:rPr>
          <w:color w:val="231F20"/>
          <w:spacing w:val="-8"/>
          <w:sz w:val="14"/>
        </w:rPr>
        <w:t> </w:t>
      </w:r>
      <w:r>
        <w:rPr>
          <w:color w:val="231F20"/>
          <w:sz w:val="14"/>
        </w:rPr>
        <w:t>de</w:t>
      </w:r>
      <w:r>
        <w:rPr>
          <w:color w:val="231F20"/>
          <w:spacing w:val="-8"/>
          <w:sz w:val="14"/>
        </w:rPr>
        <w:t> </w:t>
      </w:r>
      <w:r>
        <w:rPr>
          <w:color w:val="231F20"/>
          <w:sz w:val="14"/>
        </w:rPr>
        <w:t>los</w:t>
      </w:r>
      <w:r>
        <w:rPr>
          <w:color w:val="231F20"/>
          <w:spacing w:val="-8"/>
          <w:sz w:val="14"/>
        </w:rPr>
        <w:t> </w:t>
      </w:r>
      <w:r>
        <w:rPr>
          <w:color w:val="231F20"/>
          <w:sz w:val="14"/>
        </w:rPr>
        <w:t>padres</w:t>
      </w:r>
      <w:r>
        <w:rPr>
          <w:color w:val="231F20"/>
          <w:spacing w:val="-8"/>
          <w:sz w:val="14"/>
        </w:rPr>
        <w:t> </w:t>
      </w:r>
      <w:r>
        <w:rPr>
          <w:color w:val="231F20"/>
          <w:sz w:val="14"/>
        </w:rPr>
        <w:t>a</w:t>
      </w:r>
      <w:r>
        <w:rPr>
          <w:color w:val="231F20"/>
          <w:spacing w:val="-8"/>
          <w:sz w:val="14"/>
        </w:rPr>
        <w:t> </w:t>
      </w:r>
      <w:r>
        <w:rPr>
          <w:color w:val="231F20"/>
          <w:sz w:val="14"/>
        </w:rPr>
        <w:t>los</w:t>
      </w:r>
      <w:r>
        <w:rPr>
          <w:color w:val="231F20"/>
          <w:spacing w:val="-8"/>
          <w:sz w:val="14"/>
        </w:rPr>
        <w:t> </w:t>
      </w:r>
      <w:r>
        <w:rPr>
          <w:color w:val="231F20"/>
          <w:sz w:val="14"/>
        </w:rPr>
        <w:t>beneficios</w:t>
      </w:r>
      <w:r>
        <w:rPr>
          <w:color w:val="231F20"/>
          <w:spacing w:val="-8"/>
          <w:sz w:val="14"/>
        </w:rPr>
        <w:t> </w:t>
      </w:r>
      <w:r>
        <w:rPr>
          <w:color w:val="231F20"/>
          <w:sz w:val="14"/>
        </w:rPr>
        <w:t>de</w:t>
      </w:r>
      <w:r>
        <w:rPr>
          <w:color w:val="231F20"/>
          <w:spacing w:val="-8"/>
          <w:sz w:val="14"/>
        </w:rPr>
        <w:t> </w:t>
      </w:r>
      <w:r>
        <w:rPr>
          <w:color w:val="231F20"/>
          <w:sz w:val="14"/>
        </w:rPr>
        <w:t>cuidado</w:t>
      </w:r>
      <w:r>
        <w:rPr>
          <w:color w:val="231F20"/>
          <w:spacing w:val="-8"/>
          <w:sz w:val="14"/>
        </w:rPr>
        <w:t> </w:t>
      </w:r>
      <w:r>
        <w:rPr>
          <w:color w:val="231F20"/>
          <w:sz w:val="14"/>
        </w:rPr>
        <w:t>de</w:t>
      </w:r>
      <w:r>
        <w:rPr>
          <w:color w:val="231F20"/>
          <w:spacing w:val="-8"/>
          <w:sz w:val="14"/>
        </w:rPr>
        <w:t> </w:t>
      </w:r>
      <w:r>
        <w:rPr>
          <w:color w:val="231F20"/>
          <w:sz w:val="14"/>
        </w:rPr>
        <w:t>hijos menores.</w:t>
      </w:r>
      <w:r>
        <w:rPr>
          <w:color w:val="231F20"/>
          <w:spacing w:val="-6"/>
          <w:sz w:val="14"/>
        </w:rPr>
        <w:t> </w:t>
      </w:r>
      <w:r>
        <w:rPr>
          <w:color w:val="231F20"/>
          <w:sz w:val="14"/>
        </w:rPr>
        <w:t>La</w:t>
      </w:r>
      <w:r>
        <w:rPr>
          <w:color w:val="231F20"/>
          <w:spacing w:val="-6"/>
          <w:sz w:val="14"/>
        </w:rPr>
        <w:t> </w:t>
      </w:r>
      <w:r>
        <w:rPr>
          <w:color w:val="231F20"/>
          <w:sz w:val="14"/>
        </w:rPr>
        <w:t>afirmación</w:t>
      </w:r>
      <w:r>
        <w:rPr>
          <w:color w:val="231F20"/>
          <w:spacing w:val="-6"/>
          <w:sz w:val="14"/>
        </w:rPr>
        <w:t> </w:t>
      </w:r>
      <w:r>
        <w:rPr>
          <w:color w:val="231F20"/>
          <w:sz w:val="14"/>
        </w:rPr>
        <w:t>realizada</w:t>
      </w:r>
      <w:r>
        <w:rPr>
          <w:color w:val="231F20"/>
          <w:spacing w:val="-6"/>
          <w:sz w:val="14"/>
        </w:rPr>
        <w:t> </w:t>
      </w:r>
      <w:r>
        <w:rPr>
          <w:color w:val="231F20"/>
          <w:sz w:val="14"/>
        </w:rPr>
        <w:t>en</w:t>
      </w:r>
      <w:r>
        <w:rPr>
          <w:color w:val="231F20"/>
          <w:spacing w:val="-6"/>
          <w:sz w:val="14"/>
        </w:rPr>
        <w:t> </w:t>
      </w:r>
      <w:r>
        <w:rPr>
          <w:color w:val="231F20"/>
          <w:sz w:val="14"/>
        </w:rPr>
        <w:t>el</w:t>
      </w:r>
      <w:r>
        <w:rPr>
          <w:color w:val="231F20"/>
          <w:spacing w:val="-6"/>
          <w:sz w:val="14"/>
        </w:rPr>
        <w:t> </w:t>
      </w:r>
      <w:r>
        <w:rPr>
          <w:color w:val="231F20"/>
          <w:sz w:val="14"/>
        </w:rPr>
        <w:t>texto</w:t>
      </w:r>
      <w:r>
        <w:rPr>
          <w:color w:val="231F20"/>
          <w:spacing w:val="-6"/>
          <w:sz w:val="14"/>
        </w:rPr>
        <w:t> </w:t>
      </w:r>
      <w:r>
        <w:rPr>
          <w:color w:val="231F20"/>
          <w:sz w:val="14"/>
        </w:rPr>
        <w:t>está</w:t>
      </w:r>
      <w:r>
        <w:rPr>
          <w:color w:val="231F20"/>
          <w:spacing w:val="-6"/>
          <w:sz w:val="14"/>
        </w:rPr>
        <w:t> </w:t>
      </w:r>
      <w:r>
        <w:rPr>
          <w:color w:val="231F20"/>
          <w:sz w:val="14"/>
        </w:rPr>
        <w:t>basada</w:t>
      </w:r>
      <w:r>
        <w:rPr>
          <w:color w:val="231F20"/>
          <w:spacing w:val="-6"/>
          <w:sz w:val="14"/>
        </w:rPr>
        <w:t> </w:t>
      </w:r>
      <w:r>
        <w:rPr>
          <w:color w:val="231F20"/>
          <w:sz w:val="14"/>
        </w:rPr>
        <w:t>fundamentalmente</w:t>
      </w:r>
      <w:r>
        <w:rPr>
          <w:color w:val="231F20"/>
          <w:spacing w:val="-6"/>
          <w:sz w:val="14"/>
        </w:rPr>
        <w:t> </w:t>
      </w:r>
      <w:r>
        <w:rPr>
          <w:color w:val="231F20"/>
          <w:sz w:val="14"/>
        </w:rPr>
        <w:t>en</w:t>
      </w:r>
      <w:r>
        <w:rPr>
          <w:color w:val="231F20"/>
          <w:spacing w:val="-6"/>
          <w:sz w:val="14"/>
        </w:rPr>
        <w:t> </w:t>
      </w:r>
      <w:r>
        <w:rPr>
          <w:color w:val="231F20"/>
          <w:sz w:val="14"/>
        </w:rPr>
        <w:t>investigaciones</w:t>
      </w:r>
      <w:r>
        <w:rPr>
          <w:color w:val="231F20"/>
          <w:spacing w:val="-6"/>
          <w:sz w:val="14"/>
        </w:rPr>
        <w:t> </w:t>
      </w:r>
      <w:r>
        <w:rPr>
          <w:color w:val="231F20"/>
          <w:sz w:val="14"/>
        </w:rPr>
        <w:t>de</w:t>
      </w:r>
      <w:r>
        <w:rPr>
          <w:color w:val="231F20"/>
          <w:spacing w:val="-6"/>
          <w:sz w:val="14"/>
        </w:rPr>
        <w:t> </w:t>
      </w:r>
      <w:r>
        <w:rPr>
          <w:color w:val="231F20"/>
          <w:sz w:val="14"/>
        </w:rPr>
        <w:t>países desarrollados y reafirmada por estudios cualitativos de caso en América</w:t>
      </w:r>
      <w:r>
        <w:rPr>
          <w:color w:val="231F20"/>
          <w:spacing w:val="-17"/>
          <w:sz w:val="14"/>
        </w:rPr>
        <w:t> </w:t>
      </w:r>
      <w:r>
        <w:rPr>
          <w:color w:val="231F20"/>
          <w:sz w:val="14"/>
        </w:rPr>
        <w:t>Latina.</w:t>
      </w:r>
    </w:p>
    <w:p>
      <w:pPr>
        <w:spacing w:before="0"/>
        <w:ind w:left="110" w:right="111" w:firstLine="0"/>
        <w:jc w:val="both"/>
        <w:rPr>
          <w:sz w:val="14"/>
        </w:rPr>
      </w:pPr>
      <w:r>
        <w:rPr>
          <w:color w:val="231F20"/>
          <w:position w:val="5"/>
          <w:sz w:val="8"/>
        </w:rPr>
        <w:t>13 </w:t>
      </w:r>
      <w:r>
        <w:rPr>
          <w:color w:val="231F20"/>
          <w:spacing w:val="-6"/>
          <w:sz w:val="14"/>
        </w:rPr>
        <w:t>Ver </w:t>
      </w:r>
      <w:r>
        <w:rPr>
          <w:color w:val="231F20"/>
          <w:sz w:val="14"/>
        </w:rPr>
        <w:t>también Balbo (1978). Según esta autora “doble presencia” tiene una connotación diferente a doble</w:t>
      </w:r>
      <w:r>
        <w:rPr>
          <w:color w:val="231F20"/>
          <w:spacing w:val="-8"/>
          <w:sz w:val="14"/>
        </w:rPr>
        <w:t> </w:t>
      </w:r>
      <w:r>
        <w:rPr>
          <w:color w:val="231F20"/>
          <w:sz w:val="14"/>
        </w:rPr>
        <w:t>trabajo:</w:t>
      </w:r>
      <w:r>
        <w:rPr>
          <w:color w:val="231F20"/>
          <w:spacing w:val="-8"/>
          <w:sz w:val="14"/>
        </w:rPr>
        <w:t> </w:t>
      </w:r>
      <w:r>
        <w:rPr>
          <w:color w:val="231F20"/>
          <w:sz w:val="14"/>
        </w:rPr>
        <w:t>la</w:t>
      </w:r>
      <w:r>
        <w:rPr>
          <w:color w:val="231F20"/>
          <w:spacing w:val="-8"/>
          <w:sz w:val="14"/>
        </w:rPr>
        <w:t> </w:t>
      </w:r>
      <w:r>
        <w:rPr>
          <w:color w:val="231F20"/>
          <w:sz w:val="14"/>
        </w:rPr>
        <w:t>primera</w:t>
      </w:r>
      <w:r>
        <w:rPr>
          <w:color w:val="231F20"/>
          <w:spacing w:val="-8"/>
          <w:sz w:val="14"/>
        </w:rPr>
        <w:t> </w:t>
      </w:r>
      <w:r>
        <w:rPr>
          <w:color w:val="231F20"/>
          <w:sz w:val="14"/>
        </w:rPr>
        <w:t>indica</w:t>
      </w:r>
      <w:r>
        <w:rPr>
          <w:color w:val="231F20"/>
          <w:spacing w:val="-8"/>
          <w:sz w:val="14"/>
        </w:rPr>
        <w:t> </w:t>
      </w:r>
      <w:r>
        <w:rPr>
          <w:color w:val="231F20"/>
          <w:sz w:val="14"/>
        </w:rPr>
        <w:t>estar</w:t>
      </w:r>
      <w:r>
        <w:rPr>
          <w:color w:val="231F20"/>
          <w:spacing w:val="-8"/>
          <w:sz w:val="14"/>
        </w:rPr>
        <w:t> </w:t>
      </w:r>
      <w:r>
        <w:rPr>
          <w:color w:val="231F20"/>
          <w:sz w:val="14"/>
        </w:rPr>
        <w:t>contemporáneamente</w:t>
      </w:r>
      <w:r>
        <w:rPr>
          <w:color w:val="231F20"/>
          <w:spacing w:val="-8"/>
          <w:sz w:val="14"/>
        </w:rPr>
        <w:t> </w:t>
      </w:r>
      <w:r>
        <w:rPr>
          <w:color w:val="231F20"/>
          <w:sz w:val="14"/>
        </w:rPr>
        <w:t>en</w:t>
      </w:r>
      <w:r>
        <w:rPr>
          <w:color w:val="231F20"/>
          <w:spacing w:val="-8"/>
          <w:sz w:val="14"/>
        </w:rPr>
        <w:t> </w:t>
      </w:r>
      <w:r>
        <w:rPr>
          <w:color w:val="231F20"/>
          <w:sz w:val="14"/>
        </w:rPr>
        <w:t>dos</w:t>
      </w:r>
      <w:r>
        <w:rPr>
          <w:color w:val="231F20"/>
          <w:spacing w:val="-8"/>
          <w:sz w:val="14"/>
        </w:rPr>
        <w:t> </w:t>
      </w:r>
      <w:r>
        <w:rPr>
          <w:color w:val="231F20"/>
          <w:sz w:val="14"/>
        </w:rPr>
        <w:t>realidades</w:t>
      </w:r>
      <w:r>
        <w:rPr>
          <w:color w:val="231F20"/>
          <w:spacing w:val="-8"/>
          <w:sz w:val="14"/>
        </w:rPr>
        <w:t> </w:t>
      </w:r>
      <w:r>
        <w:rPr>
          <w:color w:val="231F20"/>
          <w:sz w:val="14"/>
        </w:rPr>
        <w:t>diversas,</w:t>
      </w:r>
      <w:r>
        <w:rPr>
          <w:color w:val="231F20"/>
          <w:spacing w:val="-8"/>
          <w:sz w:val="14"/>
        </w:rPr>
        <w:t> </w:t>
      </w:r>
      <w:r>
        <w:rPr>
          <w:color w:val="231F20"/>
          <w:sz w:val="14"/>
        </w:rPr>
        <w:t>tratando</w:t>
      </w:r>
      <w:r>
        <w:rPr>
          <w:color w:val="231F20"/>
          <w:spacing w:val="-8"/>
          <w:sz w:val="14"/>
        </w:rPr>
        <w:t> </w:t>
      </w:r>
      <w:r>
        <w:rPr>
          <w:color w:val="231F20"/>
          <w:sz w:val="14"/>
        </w:rPr>
        <w:t>de</w:t>
      </w:r>
      <w:r>
        <w:rPr>
          <w:color w:val="231F20"/>
          <w:spacing w:val="-8"/>
          <w:sz w:val="14"/>
        </w:rPr>
        <w:t> </w:t>
      </w:r>
      <w:r>
        <w:rPr>
          <w:color w:val="231F20"/>
          <w:sz w:val="14"/>
        </w:rPr>
        <w:t>conci- liarlas</w:t>
      </w:r>
      <w:r>
        <w:rPr>
          <w:color w:val="231F20"/>
          <w:spacing w:val="-7"/>
          <w:sz w:val="14"/>
        </w:rPr>
        <w:t> </w:t>
      </w:r>
      <w:r>
        <w:rPr>
          <w:color w:val="231F20"/>
          <w:sz w:val="14"/>
        </w:rPr>
        <w:t>y</w:t>
      </w:r>
      <w:r>
        <w:rPr>
          <w:color w:val="231F20"/>
          <w:spacing w:val="-6"/>
          <w:sz w:val="14"/>
        </w:rPr>
        <w:t> </w:t>
      </w:r>
      <w:r>
        <w:rPr>
          <w:color w:val="231F20"/>
          <w:sz w:val="14"/>
        </w:rPr>
        <w:t>recomponerlas</w:t>
      </w:r>
      <w:r>
        <w:rPr>
          <w:color w:val="231F20"/>
          <w:spacing w:val="-6"/>
          <w:sz w:val="14"/>
        </w:rPr>
        <w:t> </w:t>
      </w:r>
      <w:r>
        <w:rPr>
          <w:color w:val="231F20"/>
          <w:sz w:val="14"/>
        </w:rPr>
        <w:t>en</w:t>
      </w:r>
      <w:r>
        <w:rPr>
          <w:color w:val="231F20"/>
          <w:spacing w:val="-6"/>
          <w:sz w:val="14"/>
        </w:rPr>
        <w:t> </w:t>
      </w:r>
      <w:r>
        <w:rPr>
          <w:color w:val="231F20"/>
          <w:sz w:val="14"/>
        </w:rPr>
        <w:t>una</w:t>
      </w:r>
      <w:r>
        <w:rPr>
          <w:color w:val="231F20"/>
          <w:spacing w:val="-6"/>
          <w:sz w:val="14"/>
        </w:rPr>
        <w:t> </w:t>
      </w:r>
      <w:r>
        <w:rPr>
          <w:color w:val="231F20"/>
          <w:sz w:val="14"/>
        </w:rPr>
        <w:t>unidad,</w:t>
      </w:r>
      <w:r>
        <w:rPr>
          <w:color w:val="231F20"/>
          <w:spacing w:val="-6"/>
          <w:sz w:val="14"/>
        </w:rPr>
        <w:t> </w:t>
      </w:r>
      <w:r>
        <w:rPr>
          <w:color w:val="231F20"/>
          <w:sz w:val="14"/>
        </w:rPr>
        <w:t>mientras</w:t>
      </w:r>
      <w:r>
        <w:rPr>
          <w:color w:val="231F20"/>
          <w:spacing w:val="-6"/>
          <w:sz w:val="14"/>
        </w:rPr>
        <w:t> </w:t>
      </w:r>
      <w:r>
        <w:rPr>
          <w:color w:val="231F20"/>
          <w:sz w:val="14"/>
        </w:rPr>
        <w:t>que</w:t>
      </w:r>
      <w:r>
        <w:rPr>
          <w:color w:val="231F20"/>
          <w:spacing w:val="-6"/>
          <w:sz w:val="14"/>
        </w:rPr>
        <w:t> </w:t>
      </w:r>
      <w:r>
        <w:rPr>
          <w:color w:val="231F20"/>
          <w:sz w:val="14"/>
        </w:rPr>
        <w:t>doble</w:t>
      </w:r>
      <w:r>
        <w:rPr>
          <w:color w:val="231F20"/>
          <w:spacing w:val="-6"/>
          <w:sz w:val="14"/>
        </w:rPr>
        <w:t> </w:t>
      </w:r>
      <w:r>
        <w:rPr>
          <w:color w:val="231F20"/>
          <w:sz w:val="14"/>
        </w:rPr>
        <w:t>trabajo</w:t>
      </w:r>
      <w:r>
        <w:rPr>
          <w:color w:val="231F20"/>
          <w:spacing w:val="-7"/>
          <w:sz w:val="14"/>
        </w:rPr>
        <w:t> </w:t>
      </w:r>
      <w:r>
        <w:rPr>
          <w:color w:val="231F20"/>
          <w:sz w:val="14"/>
        </w:rPr>
        <w:t>indica</w:t>
      </w:r>
      <w:r>
        <w:rPr>
          <w:color w:val="231F20"/>
          <w:spacing w:val="-7"/>
          <w:sz w:val="14"/>
        </w:rPr>
        <w:t> </w:t>
      </w:r>
      <w:r>
        <w:rPr>
          <w:color w:val="231F20"/>
          <w:sz w:val="14"/>
        </w:rPr>
        <w:t>una</w:t>
      </w:r>
      <w:r>
        <w:rPr>
          <w:color w:val="231F20"/>
          <w:spacing w:val="-6"/>
          <w:sz w:val="14"/>
        </w:rPr>
        <w:t> </w:t>
      </w:r>
      <w:r>
        <w:rPr>
          <w:color w:val="231F20"/>
          <w:sz w:val="14"/>
        </w:rPr>
        <w:t>jerarquización</w:t>
      </w:r>
      <w:r>
        <w:rPr>
          <w:color w:val="231F20"/>
          <w:spacing w:val="-7"/>
          <w:sz w:val="14"/>
        </w:rPr>
        <w:t> </w:t>
      </w:r>
      <w:r>
        <w:rPr>
          <w:color w:val="231F20"/>
          <w:sz w:val="14"/>
        </w:rPr>
        <w:t>entre</w:t>
      </w:r>
      <w:r>
        <w:rPr>
          <w:color w:val="231F20"/>
          <w:spacing w:val="-6"/>
          <w:sz w:val="14"/>
        </w:rPr>
        <w:t> </w:t>
      </w:r>
      <w:r>
        <w:rPr>
          <w:color w:val="231F20"/>
          <w:sz w:val="14"/>
        </w:rPr>
        <w:t>ambos trabajos y una participación</w:t>
      </w:r>
      <w:r>
        <w:rPr>
          <w:color w:val="231F20"/>
          <w:spacing w:val="-12"/>
          <w:sz w:val="14"/>
        </w:rPr>
        <w:t> </w:t>
      </w:r>
      <w:r>
        <w:rPr>
          <w:color w:val="231F20"/>
          <w:sz w:val="14"/>
        </w:rPr>
        <w:t>secuencial.</w:t>
      </w:r>
    </w:p>
    <w:p>
      <w:pPr>
        <w:spacing w:after="0"/>
        <w:jc w:val="both"/>
        <w:rPr>
          <w:sz w:val="14"/>
        </w:rPr>
        <w:sectPr>
          <w:pgSz w:w="7770" w:h="11740"/>
          <w:pgMar w:header="0" w:footer="474" w:top="840" w:bottom="740" w:left="740" w:right="1020"/>
        </w:sectPr>
      </w:pPr>
    </w:p>
    <w:p>
      <w:pPr>
        <w:pStyle w:val="BodyText"/>
        <w:spacing w:line="249" w:lineRule="auto" w:before="60"/>
        <w:ind w:left="113" w:right="109"/>
        <w:jc w:val="both"/>
      </w:pPr>
      <w:r>
        <w:rPr>
          <w:color w:val="231F20"/>
        </w:rPr>
        <w:t>de la reproducción social, que depende no sólo de lo que sucede al inte- rior de los hogares, sino también de la existencia, calidad y distribución espacial de servicios públicos y privados pertinentes a las necesidades reproductivas de cada sistema social.</w:t>
      </w:r>
    </w:p>
    <w:p>
      <w:pPr>
        <w:pStyle w:val="BodyText"/>
        <w:spacing w:line="249" w:lineRule="auto" w:before="1"/>
        <w:ind w:left="113" w:right="107" w:firstLine="283"/>
        <w:jc w:val="both"/>
      </w:pPr>
      <w:r>
        <w:rPr>
          <w:color w:val="231F20"/>
        </w:rPr>
        <w:t>No se trata sólo de la magnitud del tiempo involucrado, sino que es fundamental considerar su distribución. Como ya hemos señalado, mu- chas de las formas de flexibilidad laboral actuales representan rigideces para el trabajo reproductivo y de cuidado, y para el mantenimiento y reproducción de la fuerza de trabajo propia por parte de los individuos. Al mismo tiempo, el trabajo reproductivo y de cuidado tiene sus propias rigideces.</w:t>
      </w:r>
      <w:r>
        <w:rPr>
          <w:color w:val="231F20"/>
          <w:spacing w:val="-7"/>
        </w:rPr>
        <w:t> </w:t>
      </w:r>
      <w:r>
        <w:rPr>
          <w:color w:val="231F20"/>
        </w:rPr>
        <w:t>Si</w:t>
      </w:r>
      <w:r>
        <w:rPr>
          <w:color w:val="231F20"/>
          <w:spacing w:val="-7"/>
        </w:rPr>
        <w:t> </w:t>
      </w:r>
      <w:r>
        <w:rPr>
          <w:color w:val="231F20"/>
        </w:rPr>
        <w:t>bien</w:t>
      </w:r>
      <w:r>
        <w:rPr>
          <w:color w:val="231F20"/>
          <w:spacing w:val="-7"/>
        </w:rPr>
        <w:t> </w:t>
      </w:r>
      <w:r>
        <w:rPr>
          <w:color w:val="231F20"/>
        </w:rPr>
        <w:t>hay</w:t>
      </w:r>
      <w:r>
        <w:rPr>
          <w:color w:val="231F20"/>
          <w:spacing w:val="-7"/>
        </w:rPr>
        <w:t> </w:t>
      </w:r>
      <w:r>
        <w:rPr>
          <w:color w:val="231F20"/>
        </w:rPr>
        <w:t>actividades</w:t>
      </w:r>
      <w:r>
        <w:rPr>
          <w:color w:val="231F20"/>
          <w:spacing w:val="-8"/>
        </w:rPr>
        <w:t> </w:t>
      </w:r>
      <w:r>
        <w:rPr>
          <w:color w:val="231F20"/>
        </w:rPr>
        <w:t>sin</w:t>
      </w:r>
      <w:r>
        <w:rPr>
          <w:color w:val="231F20"/>
          <w:spacing w:val="-7"/>
        </w:rPr>
        <w:t> </w:t>
      </w:r>
      <w:r>
        <w:rPr>
          <w:color w:val="231F20"/>
        </w:rPr>
        <w:t>horario,</w:t>
      </w:r>
      <w:r>
        <w:rPr>
          <w:color w:val="231F20"/>
          <w:spacing w:val="-7"/>
        </w:rPr>
        <w:t> </w:t>
      </w:r>
      <w:r>
        <w:rPr>
          <w:color w:val="231F20"/>
        </w:rPr>
        <w:t>como</w:t>
      </w:r>
      <w:r>
        <w:rPr>
          <w:color w:val="231F20"/>
          <w:spacing w:val="-8"/>
        </w:rPr>
        <w:t> </w:t>
      </w:r>
      <w:r>
        <w:rPr>
          <w:color w:val="231F20"/>
        </w:rPr>
        <w:t>podría</w:t>
      </w:r>
      <w:r>
        <w:rPr>
          <w:color w:val="231F20"/>
          <w:spacing w:val="-7"/>
        </w:rPr>
        <w:t> </w:t>
      </w:r>
      <w:r>
        <w:rPr>
          <w:color w:val="231F20"/>
        </w:rPr>
        <w:t>ser</w:t>
      </w:r>
      <w:r>
        <w:rPr>
          <w:color w:val="231F20"/>
          <w:spacing w:val="-7"/>
        </w:rPr>
        <w:t> </w:t>
      </w:r>
      <w:r>
        <w:rPr>
          <w:color w:val="231F20"/>
        </w:rPr>
        <w:t>el</w:t>
      </w:r>
      <w:r>
        <w:rPr>
          <w:color w:val="231F20"/>
          <w:spacing w:val="-7"/>
        </w:rPr>
        <w:t> </w:t>
      </w:r>
      <w:r>
        <w:rPr>
          <w:color w:val="231F20"/>
        </w:rPr>
        <w:t>cuidado de la vivienda, atender a las personas, más aún si son niños/as, tiene un componente relativamente alto de horarios predeterminados. Muchos de los</w:t>
      </w:r>
      <w:r>
        <w:rPr>
          <w:color w:val="231F20"/>
          <w:spacing w:val="-10"/>
        </w:rPr>
        <w:t> </w:t>
      </w:r>
      <w:r>
        <w:rPr>
          <w:color w:val="231F20"/>
        </w:rPr>
        <w:t>servicios</w:t>
      </w:r>
      <w:r>
        <w:rPr>
          <w:color w:val="231F20"/>
          <w:spacing w:val="-9"/>
        </w:rPr>
        <w:t> </w:t>
      </w:r>
      <w:r>
        <w:rPr>
          <w:color w:val="231F20"/>
        </w:rPr>
        <w:t>públicos</w:t>
      </w:r>
      <w:r>
        <w:rPr>
          <w:color w:val="231F20"/>
          <w:spacing w:val="-10"/>
        </w:rPr>
        <w:t> </w:t>
      </w:r>
      <w:r>
        <w:rPr>
          <w:color w:val="231F20"/>
        </w:rPr>
        <w:t>le</w:t>
      </w:r>
      <w:r>
        <w:rPr>
          <w:color w:val="231F20"/>
          <w:spacing w:val="-10"/>
        </w:rPr>
        <w:t> </w:t>
      </w:r>
      <w:r>
        <w:rPr>
          <w:color w:val="231F20"/>
        </w:rPr>
        <w:t>suman</w:t>
      </w:r>
      <w:r>
        <w:rPr>
          <w:color w:val="231F20"/>
          <w:spacing w:val="-9"/>
        </w:rPr>
        <w:t> </w:t>
      </w:r>
      <w:r>
        <w:rPr>
          <w:color w:val="231F20"/>
        </w:rPr>
        <w:t>más</w:t>
      </w:r>
      <w:r>
        <w:rPr>
          <w:color w:val="231F20"/>
          <w:spacing w:val="-10"/>
        </w:rPr>
        <w:t> </w:t>
      </w:r>
      <w:r>
        <w:rPr>
          <w:color w:val="231F20"/>
        </w:rPr>
        <w:t>rigideces</w:t>
      </w:r>
      <w:r>
        <w:rPr>
          <w:color w:val="231F20"/>
          <w:spacing w:val="-10"/>
        </w:rPr>
        <w:t> </w:t>
      </w:r>
      <w:r>
        <w:rPr>
          <w:color w:val="231F20"/>
        </w:rPr>
        <w:t>cuando</w:t>
      </w:r>
      <w:r>
        <w:rPr>
          <w:color w:val="231F20"/>
          <w:spacing w:val="-10"/>
        </w:rPr>
        <w:t> </w:t>
      </w:r>
      <w:r>
        <w:rPr>
          <w:color w:val="231F20"/>
        </w:rPr>
        <w:t>parten</w:t>
      </w:r>
      <w:r>
        <w:rPr>
          <w:color w:val="231F20"/>
          <w:spacing w:val="-10"/>
        </w:rPr>
        <w:t> </w:t>
      </w:r>
      <w:r>
        <w:rPr>
          <w:color w:val="231F20"/>
        </w:rPr>
        <w:t>del</w:t>
      </w:r>
      <w:r>
        <w:rPr>
          <w:color w:val="231F20"/>
          <w:spacing w:val="-10"/>
        </w:rPr>
        <w:t> </w:t>
      </w:r>
      <w:r>
        <w:rPr>
          <w:color w:val="231F20"/>
        </w:rPr>
        <w:t>supuesto de la disponibilidad de las mujeres para adaptarse a los horarios que el- los fijen. La falta de flexibilidad se suele transformar en precariedad del uso de los servicios y de otras actividades. Por lo tanto, este juego de rigideces y flexibilidades resulta en precariedad en las condiciones del trabajo reproductivo y de cuidado que los hogares, mayoritariamente las mujeres, deben</w:t>
      </w:r>
      <w:r>
        <w:rPr>
          <w:color w:val="231F20"/>
          <w:spacing w:val="-13"/>
        </w:rPr>
        <w:t> </w:t>
      </w:r>
      <w:r>
        <w:rPr>
          <w:color w:val="231F20"/>
        </w:rPr>
        <w:t>compensar.</w:t>
      </w:r>
    </w:p>
    <w:p>
      <w:pPr>
        <w:pStyle w:val="BodyText"/>
        <w:spacing w:line="249" w:lineRule="auto" w:before="1"/>
        <w:ind w:left="113" w:right="108" w:firstLine="283"/>
        <w:jc w:val="both"/>
      </w:pPr>
      <w:r>
        <w:rPr>
          <w:color w:val="231F20"/>
        </w:rPr>
        <w:t>Estas contradicciones e incompatibilidades en los tiempos es un problema de la sociedad en su conjunto, que como tal necesita buscar formas para enfrentarlas.</w:t>
      </w:r>
    </w:p>
    <w:p>
      <w:pPr>
        <w:pStyle w:val="BodyText"/>
        <w:spacing w:line="249" w:lineRule="auto" w:before="114"/>
        <w:ind w:left="397" w:right="109"/>
        <w:jc w:val="both"/>
      </w:pPr>
      <w:r>
        <w:rPr>
          <w:color w:val="231F20"/>
        </w:rPr>
        <w:t>Una desvalorización ancestral del universo privado llevó a la socie- dad a desconsiderar uno de los platos de la balanza. Esa desvalo- rización explica por qué la migración de las mujeres del hogar al espacio público se ha dado sin que la sociedad se preguntase, seria- mente, como y por quién serían abastecidas las funciones que ellas desempeñaban.</w:t>
      </w:r>
      <w:r>
        <w:rPr>
          <w:color w:val="231F20"/>
          <w:spacing w:val="-4"/>
        </w:rPr>
        <w:t> </w:t>
      </w:r>
      <w:r>
        <w:rPr>
          <w:color w:val="231F20"/>
        </w:rPr>
        <w:t>El</w:t>
      </w:r>
      <w:r>
        <w:rPr>
          <w:color w:val="231F20"/>
          <w:spacing w:val="-4"/>
        </w:rPr>
        <w:t> </w:t>
      </w:r>
      <w:r>
        <w:rPr>
          <w:color w:val="231F20"/>
        </w:rPr>
        <w:t>hecho</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contrato</w:t>
      </w:r>
      <w:r>
        <w:rPr>
          <w:color w:val="231F20"/>
          <w:spacing w:val="-5"/>
        </w:rPr>
        <w:t> </w:t>
      </w:r>
      <w:r>
        <w:rPr>
          <w:color w:val="231F20"/>
        </w:rPr>
        <w:t>social</w:t>
      </w:r>
      <w:r>
        <w:rPr>
          <w:color w:val="231F20"/>
          <w:spacing w:val="-4"/>
        </w:rPr>
        <w:t> </w:t>
      </w:r>
      <w:r>
        <w:rPr>
          <w:color w:val="231F20"/>
        </w:rPr>
        <w:t>no</w:t>
      </w:r>
      <w:r>
        <w:rPr>
          <w:color w:val="231F20"/>
          <w:spacing w:val="-4"/>
        </w:rPr>
        <w:t> </w:t>
      </w:r>
      <w:r>
        <w:rPr>
          <w:color w:val="231F20"/>
        </w:rPr>
        <w:t>haya</w:t>
      </w:r>
      <w:r>
        <w:rPr>
          <w:color w:val="231F20"/>
          <w:spacing w:val="-4"/>
        </w:rPr>
        <w:t> </w:t>
      </w:r>
      <w:r>
        <w:rPr>
          <w:color w:val="231F20"/>
        </w:rPr>
        <w:t>sido</w:t>
      </w:r>
      <w:r>
        <w:rPr>
          <w:color w:val="231F20"/>
          <w:spacing w:val="-4"/>
        </w:rPr>
        <w:t> </w:t>
      </w:r>
      <w:r>
        <w:rPr>
          <w:color w:val="231F20"/>
        </w:rPr>
        <w:t>revisado impone a las mujeres una aceleración de sus ritmos y cadencias (de Oliveira,</w:t>
      </w:r>
      <w:r>
        <w:rPr>
          <w:color w:val="231F20"/>
          <w:spacing w:val="-8"/>
        </w:rPr>
        <w:t> </w:t>
      </w:r>
      <w:r>
        <w:rPr>
          <w:color w:val="231F20"/>
        </w:rPr>
        <w:t>2005).</w:t>
      </w:r>
    </w:p>
    <w:p>
      <w:pPr>
        <w:pStyle w:val="BodyText"/>
        <w:spacing w:line="249" w:lineRule="auto" w:before="114"/>
        <w:ind w:left="113" w:right="108" w:firstLine="350"/>
        <w:jc w:val="both"/>
      </w:pPr>
      <w:r>
        <w:rPr>
          <w:color w:val="231F20"/>
        </w:rPr>
        <w:t>Pero esto no resolverá el conflicto. Empleados y empleadores ten- drán</w:t>
      </w:r>
      <w:r>
        <w:rPr>
          <w:color w:val="231F20"/>
          <w:spacing w:val="-8"/>
        </w:rPr>
        <w:t> </w:t>
      </w:r>
      <w:r>
        <w:rPr>
          <w:color w:val="231F20"/>
        </w:rPr>
        <w:t>que</w:t>
      </w:r>
      <w:r>
        <w:rPr>
          <w:color w:val="231F20"/>
          <w:spacing w:val="-8"/>
        </w:rPr>
        <w:t> </w:t>
      </w:r>
      <w:r>
        <w:rPr>
          <w:color w:val="231F20"/>
        </w:rPr>
        <w:t>confrontar</w:t>
      </w:r>
      <w:r>
        <w:rPr>
          <w:color w:val="231F20"/>
          <w:spacing w:val="-9"/>
        </w:rPr>
        <w:t> </w:t>
      </w:r>
      <w:r>
        <w:rPr>
          <w:color w:val="231F20"/>
        </w:rPr>
        <w:t>la</w:t>
      </w:r>
      <w:r>
        <w:rPr>
          <w:color w:val="231F20"/>
          <w:spacing w:val="-8"/>
        </w:rPr>
        <w:t> </w:t>
      </w:r>
      <w:r>
        <w:rPr>
          <w:color w:val="231F20"/>
        </w:rPr>
        <w:t>verdad</w:t>
      </w:r>
      <w:r>
        <w:rPr>
          <w:color w:val="231F20"/>
          <w:spacing w:val="-8"/>
        </w:rPr>
        <w:t> </w:t>
      </w:r>
      <w:r>
        <w:rPr>
          <w:color w:val="231F20"/>
        </w:rPr>
        <w:t>que</w:t>
      </w:r>
      <w:r>
        <w:rPr>
          <w:color w:val="231F20"/>
          <w:spacing w:val="-8"/>
        </w:rPr>
        <w:t> </w:t>
      </w:r>
      <w:r>
        <w:rPr>
          <w:color w:val="231F20"/>
        </w:rPr>
        <w:t>está</w:t>
      </w:r>
      <w:r>
        <w:rPr>
          <w:color w:val="231F20"/>
          <w:spacing w:val="-9"/>
        </w:rPr>
        <w:t> </w:t>
      </w:r>
      <w:r>
        <w:rPr>
          <w:color w:val="231F20"/>
        </w:rPr>
        <w:t>siendo</w:t>
      </w:r>
      <w:r>
        <w:rPr>
          <w:color w:val="231F20"/>
          <w:spacing w:val="-8"/>
        </w:rPr>
        <w:t> </w:t>
      </w:r>
      <w:r>
        <w:rPr>
          <w:color w:val="231F20"/>
        </w:rPr>
        <w:t>escamoteada:</w:t>
      </w:r>
      <w:r>
        <w:rPr>
          <w:color w:val="231F20"/>
          <w:spacing w:val="-9"/>
        </w:rPr>
        <w:t> </w:t>
      </w:r>
      <w:r>
        <w:rPr>
          <w:color w:val="231F20"/>
        </w:rPr>
        <w:t>el</w:t>
      </w:r>
      <w:r>
        <w:rPr>
          <w:color w:val="231F20"/>
          <w:spacing w:val="-8"/>
        </w:rPr>
        <w:t> </w:t>
      </w:r>
      <w:r>
        <w:rPr>
          <w:color w:val="231F20"/>
        </w:rPr>
        <w:t>mundo</w:t>
      </w:r>
      <w:r>
        <w:rPr>
          <w:color w:val="231F20"/>
          <w:spacing w:val="-9"/>
        </w:rPr>
        <w:t> </w:t>
      </w:r>
      <w:r>
        <w:rPr>
          <w:color w:val="231F20"/>
        </w:rPr>
        <w:t>del trabajo y el mundo de la vida dependen el uno del</w:t>
      </w:r>
      <w:r>
        <w:rPr>
          <w:color w:val="231F20"/>
          <w:spacing w:val="-2"/>
        </w:rPr>
        <w:t> </w:t>
      </w:r>
      <w:r>
        <w:rPr>
          <w:color w:val="231F20"/>
        </w:rPr>
        <w:t>otro.</w:t>
      </w:r>
    </w:p>
    <w:p>
      <w:pPr>
        <w:pStyle w:val="BodyText"/>
        <w:spacing w:line="249" w:lineRule="auto" w:before="1"/>
        <w:ind w:left="113" w:right="107" w:firstLine="283"/>
        <w:jc w:val="both"/>
      </w:pPr>
      <w:r>
        <w:rPr>
          <w:color w:val="231F20"/>
        </w:rPr>
        <w:t>La flexibilidad laboral se presenta como una fórmula para compati- bilizar el trabajo productivo y reproductivo, sin percibir ni enfrentar el hecho de que la distribución de los tiempos los puede hacer incompati- bles. El lenguaje comúnmente utilizado es conciliación trabajo-familia. Sin embargo, es necesario incluir otros aspectos de la vida extra-laboral</w:t>
      </w:r>
    </w:p>
    <w:p>
      <w:pPr>
        <w:spacing w:after="0" w:line="249" w:lineRule="auto"/>
        <w:jc w:val="both"/>
        <w:sectPr>
          <w:footerReference w:type="default" r:id="rId239"/>
          <w:pgSz w:w="7770" w:h="11740"/>
          <w:pgMar w:footer="474" w:header="0" w:top="840" w:bottom="660" w:left="1020" w:right="740"/>
          <w:pgNumType w:start="197"/>
        </w:sectPr>
      </w:pPr>
    </w:p>
    <w:p>
      <w:pPr>
        <w:pStyle w:val="BodyText"/>
        <w:spacing w:line="249" w:lineRule="auto" w:before="60"/>
        <w:ind w:left="110" w:right="111"/>
        <w:jc w:val="both"/>
      </w:pPr>
      <w:r>
        <w:rPr>
          <w:color w:val="231F20"/>
        </w:rPr>
        <w:t>cuando</w:t>
      </w:r>
      <w:r>
        <w:rPr>
          <w:color w:val="231F20"/>
          <w:spacing w:val="-8"/>
        </w:rPr>
        <w:t> </w:t>
      </w:r>
      <w:r>
        <w:rPr>
          <w:color w:val="231F20"/>
        </w:rPr>
        <w:t>tratamos</w:t>
      </w:r>
      <w:r>
        <w:rPr>
          <w:color w:val="231F20"/>
          <w:spacing w:val="-8"/>
        </w:rPr>
        <w:t> </w:t>
      </w:r>
      <w:r>
        <w:rPr>
          <w:color w:val="231F20"/>
        </w:rPr>
        <w:t>de</w:t>
      </w:r>
      <w:r>
        <w:rPr>
          <w:color w:val="231F20"/>
          <w:spacing w:val="-8"/>
        </w:rPr>
        <w:t> </w:t>
      </w:r>
      <w:r>
        <w:rPr>
          <w:color w:val="231F20"/>
        </w:rPr>
        <w:t>debatir</w:t>
      </w:r>
      <w:r>
        <w:rPr>
          <w:color w:val="231F20"/>
          <w:spacing w:val="-8"/>
        </w:rPr>
        <w:t> </w:t>
      </w:r>
      <w:r>
        <w:rPr>
          <w:color w:val="231F20"/>
        </w:rPr>
        <w:t>en</w:t>
      </w:r>
      <w:r>
        <w:rPr>
          <w:color w:val="231F20"/>
          <w:spacing w:val="-8"/>
        </w:rPr>
        <w:t> </w:t>
      </w:r>
      <w:r>
        <w:rPr>
          <w:color w:val="231F20"/>
        </w:rPr>
        <w:t>torno</w:t>
      </w:r>
      <w:r>
        <w:rPr>
          <w:color w:val="231F20"/>
          <w:spacing w:val="-8"/>
        </w:rPr>
        <w:t> </w:t>
      </w:r>
      <w:r>
        <w:rPr>
          <w:color w:val="231F20"/>
        </w:rPr>
        <w:t>a</w:t>
      </w:r>
      <w:r>
        <w:rPr>
          <w:color w:val="231F20"/>
          <w:spacing w:val="-8"/>
        </w:rPr>
        <w:t> </w:t>
      </w:r>
      <w:r>
        <w:rPr>
          <w:color w:val="231F20"/>
        </w:rPr>
        <w:t>formas</w:t>
      </w:r>
      <w:r>
        <w:rPr>
          <w:color w:val="231F20"/>
          <w:spacing w:val="-8"/>
        </w:rPr>
        <w:t> </w:t>
      </w:r>
      <w:r>
        <w:rPr>
          <w:color w:val="231F20"/>
        </w:rPr>
        <w:t>de</w:t>
      </w:r>
      <w:r>
        <w:rPr>
          <w:color w:val="231F20"/>
          <w:spacing w:val="-8"/>
        </w:rPr>
        <w:t> </w:t>
      </w:r>
      <w:r>
        <w:rPr>
          <w:color w:val="231F20"/>
        </w:rPr>
        <w:t>flexibilidad</w:t>
      </w:r>
      <w:r>
        <w:rPr>
          <w:color w:val="231F20"/>
          <w:spacing w:val="-8"/>
        </w:rPr>
        <w:t> </w:t>
      </w:r>
      <w:r>
        <w:rPr>
          <w:color w:val="231F20"/>
        </w:rPr>
        <w:t>virtuosas.</w:t>
      </w:r>
      <w:r>
        <w:rPr>
          <w:color w:val="231F20"/>
          <w:spacing w:val="-8"/>
        </w:rPr>
        <w:t> </w:t>
      </w:r>
      <w:r>
        <w:rPr>
          <w:color w:val="231F20"/>
          <w:spacing w:val="-5"/>
        </w:rPr>
        <w:t>El </w:t>
      </w:r>
      <w:r>
        <w:rPr>
          <w:color w:val="231F20"/>
          <w:spacing w:val="-9"/>
        </w:rPr>
        <w:t>reparto</w:t>
      </w:r>
      <w:r>
        <w:rPr>
          <w:color w:val="231F20"/>
          <w:spacing w:val="-26"/>
        </w:rPr>
        <w:t> </w:t>
      </w:r>
      <w:r>
        <w:rPr>
          <w:color w:val="231F20"/>
          <w:spacing w:val="-5"/>
        </w:rPr>
        <w:t>de</w:t>
      </w:r>
      <w:r>
        <w:rPr>
          <w:color w:val="231F20"/>
          <w:spacing w:val="-26"/>
        </w:rPr>
        <w:t> </w:t>
      </w:r>
      <w:r>
        <w:rPr>
          <w:color w:val="231F20"/>
          <w:spacing w:val="-7"/>
        </w:rPr>
        <w:t>las</w:t>
      </w:r>
      <w:r>
        <w:rPr>
          <w:color w:val="231F20"/>
          <w:spacing w:val="-27"/>
        </w:rPr>
        <w:t> </w:t>
      </w:r>
      <w:r>
        <w:rPr>
          <w:color w:val="231F20"/>
          <w:spacing w:val="-9"/>
        </w:rPr>
        <w:t>tareas</w:t>
      </w:r>
      <w:r>
        <w:rPr>
          <w:color w:val="231F20"/>
          <w:spacing w:val="-27"/>
        </w:rPr>
        <w:t> </w:t>
      </w:r>
      <w:r>
        <w:rPr>
          <w:color w:val="231F20"/>
          <w:spacing w:val="-10"/>
        </w:rPr>
        <w:t>reproductivas</w:t>
      </w:r>
      <w:r>
        <w:rPr>
          <w:color w:val="231F20"/>
          <w:spacing w:val="-26"/>
        </w:rPr>
        <w:t> </w:t>
      </w:r>
      <w:r>
        <w:rPr>
          <w:color w:val="231F20"/>
        </w:rPr>
        <w:t>y</w:t>
      </w:r>
      <w:r>
        <w:rPr>
          <w:color w:val="231F20"/>
          <w:spacing w:val="-26"/>
        </w:rPr>
        <w:t> </w:t>
      </w:r>
      <w:r>
        <w:rPr>
          <w:color w:val="231F20"/>
          <w:spacing w:val="-5"/>
        </w:rPr>
        <w:t>de</w:t>
      </w:r>
      <w:r>
        <w:rPr>
          <w:color w:val="231F20"/>
          <w:spacing w:val="-26"/>
        </w:rPr>
        <w:t> </w:t>
      </w:r>
      <w:r>
        <w:rPr>
          <w:color w:val="231F20"/>
          <w:spacing w:val="-9"/>
        </w:rPr>
        <w:t>cuidado</w:t>
      </w:r>
      <w:r>
        <w:rPr>
          <w:color w:val="231F20"/>
          <w:spacing w:val="-27"/>
        </w:rPr>
        <w:t> </w:t>
      </w:r>
      <w:r>
        <w:rPr>
          <w:color w:val="231F20"/>
          <w:spacing w:val="-5"/>
        </w:rPr>
        <w:t>al</w:t>
      </w:r>
      <w:r>
        <w:rPr>
          <w:color w:val="231F20"/>
          <w:spacing w:val="-26"/>
        </w:rPr>
        <w:t> </w:t>
      </w:r>
      <w:r>
        <w:rPr>
          <w:color w:val="231F20"/>
          <w:spacing w:val="-9"/>
        </w:rPr>
        <w:t>interior</w:t>
      </w:r>
      <w:r>
        <w:rPr>
          <w:color w:val="231F20"/>
          <w:spacing w:val="-27"/>
        </w:rPr>
        <w:t> </w:t>
      </w:r>
      <w:r>
        <w:rPr>
          <w:color w:val="231F20"/>
          <w:spacing w:val="-5"/>
        </w:rPr>
        <w:t>de</w:t>
      </w:r>
      <w:r>
        <w:rPr>
          <w:color w:val="231F20"/>
          <w:spacing w:val="-26"/>
        </w:rPr>
        <w:t> </w:t>
      </w:r>
      <w:r>
        <w:rPr>
          <w:color w:val="231F20"/>
          <w:spacing w:val="-5"/>
        </w:rPr>
        <w:t>la</w:t>
      </w:r>
      <w:r>
        <w:rPr>
          <w:color w:val="231F20"/>
          <w:spacing w:val="-26"/>
        </w:rPr>
        <w:t> </w:t>
      </w:r>
      <w:r>
        <w:rPr>
          <w:color w:val="231F20"/>
          <w:spacing w:val="-9"/>
        </w:rPr>
        <w:t>familia</w:t>
      </w:r>
      <w:r>
        <w:rPr>
          <w:color w:val="231F20"/>
          <w:spacing w:val="-26"/>
        </w:rPr>
        <w:t> </w:t>
      </w:r>
      <w:r>
        <w:rPr>
          <w:color w:val="231F20"/>
          <w:spacing w:val="-5"/>
        </w:rPr>
        <w:t>es</w:t>
      </w:r>
      <w:r>
        <w:rPr>
          <w:color w:val="231F20"/>
          <w:spacing w:val="-27"/>
        </w:rPr>
        <w:t> </w:t>
      </w:r>
      <w:r>
        <w:rPr>
          <w:color w:val="231F20"/>
          <w:spacing w:val="-10"/>
        </w:rPr>
        <w:t>condición </w:t>
      </w:r>
      <w:r>
        <w:rPr>
          <w:color w:val="231F20"/>
          <w:spacing w:val="-9"/>
        </w:rPr>
        <w:t>necesaria,</w:t>
      </w:r>
      <w:r>
        <w:rPr>
          <w:color w:val="231F20"/>
          <w:spacing w:val="-20"/>
        </w:rPr>
        <w:t> </w:t>
      </w:r>
      <w:r>
        <w:rPr>
          <w:color w:val="231F20"/>
          <w:spacing w:val="-8"/>
        </w:rPr>
        <w:t>pero</w:t>
      </w:r>
      <w:r>
        <w:rPr>
          <w:color w:val="231F20"/>
          <w:spacing w:val="-20"/>
        </w:rPr>
        <w:t> </w:t>
      </w:r>
      <w:r>
        <w:rPr>
          <w:color w:val="231F20"/>
          <w:spacing w:val="-5"/>
        </w:rPr>
        <w:t>no</w:t>
      </w:r>
      <w:r>
        <w:rPr>
          <w:color w:val="231F20"/>
          <w:spacing w:val="-20"/>
        </w:rPr>
        <w:t> </w:t>
      </w:r>
      <w:r>
        <w:rPr>
          <w:color w:val="231F20"/>
          <w:spacing w:val="-10"/>
        </w:rPr>
        <w:t>suficiente.</w:t>
      </w:r>
    </w:p>
    <w:p>
      <w:pPr>
        <w:pStyle w:val="BodyText"/>
        <w:spacing w:line="249" w:lineRule="auto" w:before="1"/>
        <w:ind w:left="110" w:right="111" w:firstLine="283"/>
        <w:jc w:val="both"/>
      </w:pPr>
      <w:r>
        <w:rPr>
          <w:color w:val="231F20"/>
        </w:rPr>
        <w:t>Mantener y reproducir la fuerza de trabajo en las nuevas</w:t>
      </w:r>
      <w:r>
        <w:rPr>
          <w:color w:val="231F20"/>
          <w:spacing w:val="-20"/>
        </w:rPr>
        <w:t> </w:t>
      </w:r>
      <w:r>
        <w:rPr>
          <w:color w:val="231F20"/>
        </w:rPr>
        <w:t>condiciones productivas y tecnológicas requiere capacitación permanente para en- frentar a la inestabilidad laboral, la flexibilidad productiva y la obsoles- cencia rápida de las destrezas laborales. Las habilidades requeridas van más allá de la capacitación formal en la propia actividad: implican ob- tener capacidades generales que permitan enfrentar situaciones</w:t>
      </w:r>
      <w:r>
        <w:rPr>
          <w:color w:val="231F20"/>
          <w:spacing w:val="-13"/>
        </w:rPr>
        <w:t> </w:t>
      </w:r>
      <w:r>
        <w:rPr>
          <w:color w:val="231F20"/>
        </w:rPr>
        <w:t>nuevas.</w:t>
      </w:r>
    </w:p>
    <w:p>
      <w:pPr>
        <w:pStyle w:val="BodyText"/>
        <w:spacing w:line="249" w:lineRule="auto" w:before="1"/>
        <w:ind w:left="110" w:right="111" w:firstLine="283"/>
        <w:jc w:val="both"/>
      </w:pPr>
      <w:r>
        <w:rPr>
          <w:color w:val="231F20"/>
        </w:rPr>
        <w:t>Además de la formación laboral para adquirir nuevos conocimientos y destrezas, se plantean exigencias nuevas en términos de habilidades personales, psíquicas e intelectuales necesarias para la rápida</w:t>
      </w:r>
      <w:r>
        <w:rPr>
          <w:color w:val="231F20"/>
          <w:spacing w:val="-18"/>
        </w:rPr>
        <w:t> </w:t>
      </w:r>
      <w:r>
        <w:rPr>
          <w:color w:val="231F20"/>
        </w:rPr>
        <w:t>adaptabili- dad</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cambios,</w:t>
      </w:r>
      <w:r>
        <w:rPr>
          <w:color w:val="231F20"/>
          <w:spacing w:val="-11"/>
        </w:rPr>
        <w:t> </w:t>
      </w:r>
      <w:r>
        <w:rPr>
          <w:color w:val="231F20"/>
        </w:rPr>
        <w:t>capacidad</w:t>
      </w:r>
      <w:r>
        <w:rPr>
          <w:color w:val="231F20"/>
          <w:spacing w:val="-11"/>
        </w:rPr>
        <w:t> </w:t>
      </w:r>
      <w:r>
        <w:rPr>
          <w:color w:val="231F20"/>
        </w:rPr>
        <w:t>de</w:t>
      </w:r>
      <w:r>
        <w:rPr>
          <w:color w:val="231F20"/>
          <w:spacing w:val="-11"/>
        </w:rPr>
        <w:t> </w:t>
      </w:r>
      <w:r>
        <w:rPr>
          <w:color w:val="231F20"/>
        </w:rPr>
        <w:t>resolución</w:t>
      </w:r>
      <w:r>
        <w:rPr>
          <w:color w:val="231F20"/>
          <w:spacing w:val="-11"/>
        </w:rPr>
        <w:t> </w:t>
      </w:r>
      <w:r>
        <w:rPr>
          <w:color w:val="231F20"/>
        </w:rPr>
        <w:t>de</w:t>
      </w:r>
      <w:r>
        <w:rPr>
          <w:color w:val="231F20"/>
          <w:spacing w:val="-11"/>
        </w:rPr>
        <w:t> </w:t>
      </w:r>
      <w:r>
        <w:rPr>
          <w:color w:val="231F20"/>
        </w:rPr>
        <w:t>problemas,</w:t>
      </w:r>
      <w:r>
        <w:rPr>
          <w:color w:val="231F20"/>
          <w:spacing w:val="-11"/>
        </w:rPr>
        <w:t> </w:t>
      </w:r>
      <w:r>
        <w:rPr>
          <w:color w:val="231F20"/>
        </w:rPr>
        <w:t>administración del tiempo propio y hacer posible la utilización de controles e</w:t>
      </w:r>
      <w:r>
        <w:rPr>
          <w:color w:val="231F20"/>
          <w:spacing w:val="-24"/>
        </w:rPr>
        <w:t> </w:t>
      </w:r>
      <w:r>
        <w:rPr>
          <w:color w:val="231F20"/>
        </w:rPr>
        <w:t>incentivos laborales totalmente diferentes a los del período</w:t>
      </w:r>
      <w:r>
        <w:rPr>
          <w:color w:val="231F20"/>
          <w:spacing w:val="-15"/>
        </w:rPr>
        <w:t> </w:t>
      </w:r>
      <w:r>
        <w:rPr>
          <w:color w:val="231F20"/>
        </w:rPr>
        <w:t>anterior.</w:t>
      </w:r>
    </w:p>
    <w:p>
      <w:pPr>
        <w:pStyle w:val="BodyText"/>
        <w:spacing w:line="249" w:lineRule="auto" w:before="1"/>
        <w:ind w:left="110" w:right="111" w:firstLine="283"/>
        <w:jc w:val="both"/>
      </w:pPr>
      <w:r>
        <w:rPr>
          <w:color w:val="231F20"/>
        </w:rPr>
        <w:t>Las capacidades que crecientemente se están requiriendo implican una forma de socialización y de inserción social que demanda también tiempo no laboral, que debe compatibilizarse con el trabajo productivo, reproductivo y de cuidado. Como señala Christopher Dejours (1998), sólo se puede beneficiar del dispositivo de formación de competencias aquel que logra utilizar eficazmente todas las técnicas que existen fuera del trabajo y que se dan por supuesto en cualquier trabajador o trabaja- dora en el momento actual. Este tipo de formación es, además, parte de la socialización temprana que se constituye, como hemos señalado, en nuevos requisitos para el trabajo reproductivo.</w:t>
      </w:r>
    </w:p>
    <w:p>
      <w:pPr>
        <w:pStyle w:val="BodyText"/>
        <w:spacing w:line="249" w:lineRule="auto" w:before="1"/>
        <w:ind w:left="110" w:right="111" w:firstLine="283"/>
        <w:jc w:val="both"/>
      </w:pPr>
      <w:r>
        <w:rPr>
          <w:color w:val="231F20"/>
        </w:rPr>
        <w:t>Por otra parte, las actividades culturales y la participación ciudadana deben tener lugar en la vida de las personas, si pensamos en la</w:t>
      </w:r>
      <w:r>
        <w:rPr>
          <w:color w:val="231F20"/>
          <w:spacing w:val="-34"/>
        </w:rPr>
        <w:t> </w:t>
      </w:r>
      <w:r>
        <w:rPr>
          <w:color w:val="231F20"/>
        </w:rPr>
        <w:t>reproduc- ción social en un sentido amplio, pero inclusive si nos restringimos a la reproducción de la fuerza de trabajo.</w:t>
      </w:r>
    </w:p>
    <w:p>
      <w:pPr>
        <w:pStyle w:val="Heading4"/>
        <w:ind w:left="110"/>
      </w:pPr>
      <w:r>
        <w:rPr>
          <w:w w:val="75"/>
        </w:rPr>
        <w:t>A modo de conclusión: ¿flexibilidad para qué y para quiénes?</w:t>
      </w:r>
    </w:p>
    <w:p>
      <w:pPr>
        <w:pStyle w:val="BodyText"/>
        <w:spacing w:line="249" w:lineRule="auto" w:before="171"/>
        <w:ind w:left="110" w:right="111"/>
        <w:jc w:val="both"/>
      </w:pPr>
      <w:r>
        <w:rPr>
          <w:color w:val="231F20"/>
        </w:rPr>
        <w:t>La polémica sobre flexibilidad laboral se presenta muchas veces como una dicotomía: por un lado, están quienes quieren “flexibilizar” general- mente</w:t>
      </w:r>
      <w:r>
        <w:rPr>
          <w:color w:val="231F20"/>
          <w:spacing w:val="-10"/>
        </w:rPr>
        <w:t> </w:t>
      </w:r>
      <w:r>
        <w:rPr>
          <w:color w:val="231F20"/>
        </w:rPr>
        <w:t>empresarios,</w:t>
      </w:r>
      <w:r>
        <w:rPr>
          <w:color w:val="231F20"/>
          <w:spacing w:val="-11"/>
        </w:rPr>
        <w:t> </w:t>
      </w:r>
      <w:r>
        <w:rPr>
          <w:color w:val="231F20"/>
        </w:rPr>
        <w:t>y</w:t>
      </w:r>
      <w:r>
        <w:rPr>
          <w:color w:val="231F20"/>
          <w:spacing w:val="-10"/>
        </w:rPr>
        <w:t> </w:t>
      </w:r>
      <w:r>
        <w:rPr>
          <w:color w:val="231F20"/>
        </w:rPr>
        <w:t>por</w:t>
      </w:r>
      <w:r>
        <w:rPr>
          <w:color w:val="231F20"/>
          <w:spacing w:val="-10"/>
        </w:rPr>
        <w:t> </w:t>
      </w:r>
      <w:r>
        <w:rPr>
          <w:color w:val="231F20"/>
        </w:rPr>
        <w:t>otro,</w:t>
      </w:r>
      <w:r>
        <w:rPr>
          <w:color w:val="231F20"/>
          <w:spacing w:val="-10"/>
        </w:rPr>
        <w:t> </w:t>
      </w:r>
      <w:r>
        <w:rPr>
          <w:color w:val="231F20"/>
        </w:rPr>
        <w:t>quienes</w:t>
      </w:r>
      <w:r>
        <w:rPr>
          <w:color w:val="231F20"/>
          <w:spacing w:val="-10"/>
        </w:rPr>
        <w:t> </w:t>
      </w:r>
      <w:r>
        <w:rPr>
          <w:color w:val="231F20"/>
        </w:rPr>
        <w:t>supuestamente</w:t>
      </w:r>
      <w:r>
        <w:rPr>
          <w:color w:val="231F20"/>
          <w:spacing w:val="-9"/>
        </w:rPr>
        <w:t> </w:t>
      </w:r>
      <w:r>
        <w:rPr>
          <w:color w:val="231F20"/>
        </w:rPr>
        <w:t>buscan</w:t>
      </w:r>
      <w:r>
        <w:rPr>
          <w:color w:val="231F20"/>
          <w:spacing w:val="-10"/>
        </w:rPr>
        <w:t> </w:t>
      </w:r>
      <w:r>
        <w:rPr>
          <w:color w:val="231F20"/>
        </w:rPr>
        <w:t>“rigidizar” las relaciones laborales —generalmente trabajadores, sindicatos y algu- nas instancias del aparato del Estado. Los primeros quieren proyectar una imagen de impulsores del progreso económico y social, mientras  los segundos son acusados de estar estancados en épocas pasadas. </w:t>
      </w:r>
      <w:r>
        <w:rPr>
          <w:color w:val="231F20"/>
          <w:spacing w:val="-3"/>
        </w:rPr>
        <w:t>Visto </w:t>
      </w:r>
      <w:r>
        <w:rPr>
          <w:color w:val="231F20"/>
        </w:rPr>
        <w:t>desde el ángulo opuesto, la flexibilidad se considera como sinónimo de la eliminación de toda normativa protectora del trabajo </w:t>
      </w:r>
      <w:r>
        <w:rPr>
          <w:color w:val="231F20"/>
          <w:spacing w:val="-4"/>
        </w:rPr>
        <w:t>(Yañez,</w:t>
      </w:r>
      <w:r>
        <w:rPr>
          <w:color w:val="231F20"/>
          <w:spacing w:val="2"/>
        </w:rPr>
        <w:t> </w:t>
      </w:r>
      <w:r>
        <w:rPr>
          <w:color w:val="231F20"/>
        </w:rPr>
        <w:t>2004).</w:t>
      </w:r>
    </w:p>
    <w:p>
      <w:pPr>
        <w:pStyle w:val="BodyText"/>
        <w:spacing w:before="1"/>
        <w:ind w:left="393"/>
      </w:pPr>
      <w:r>
        <w:rPr>
          <w:color w:val="231F20"/>
        </w:rPr>
        <w:t>Los empresarios atribuyen a las normas protectoras de la fuerza    de</w:t>
      </w:r>
    </w:p>
    <w:p>
      <w:pPr>
        <w:spacing w:after="0"/>
        <w:sectPr>
          <w:pgSz w:w="7770" w:h="11740"/>
          <w:pgMar w:header="0" w:footer="474" w:top="840" w:bottom="740" w:left="740" w:right="1020"/>
        </w:sectPr>
      </w:pPr>
    </w:p>
    <w:p>
      <w:pPr>
        <w:pStyle w:val="BodyText"/>
        <w:spacing w:line="249" w:lineRule="auto" w:before="60"/>
        <w:ind w:left="113" w:right="108"/>
        <w:jc w:val="both"/>
      </w:pPr>
      <w:r>
        <w:rPr>
          <w:color w:val="231F20"/>
        </w:rPr>
        <w:t>trabajo</w:t>
      </w:r>
      <w:r>
        <w:rPr>
          <w:color w:val="231F20"/>
          <w:spacing w:val="-6"/>
        </w:rPr>
        <w:t> </w:t>
      </w:r>
      <w:r>
        <w:rPr>
          <w:color w:val="231F20"/>
        </w:rPr>
        <w:t>la</w:t>
      </w:r>
      <w:r>
        <w:rPr>
          <w:color w:val="231F20"/>
          <w:spacing w:val="-5"/>
        </w:rPr>
        <w:t> </w:t>
      </w:r>
      <w:r>
        <w:rPr>
          <w:color w:val="231F20"/>
        </w:rPr>
        <w:t>creación</w:t>
      </w:r>
      <w:r>
        <w:rPr>
          <w:color w:val="231F20"/>
          <w:spacing w:val="-5"/>
        </w:rPr>
        <w:t> </w:t>
      </w:r>
      <w:r>
        <w:rPr>
          <w:color w:val="231F20"/>
        </w:rPr>
        <w:t>de</w:t>
      </w:r>
      <w:r>
        <w:rPr>
          <w:color w:val="231F20"/>
          <w:spacing w:val="-5"/>
        </w:rPr>
        <w:t> </w:t>
      </w:r>
      <w:r>
        <w:rPr>
          <w:color w:val="231F20"/>
        </w:rPr>
        <w:t>rigideces</w:t>
      </w:r>
      <w:r>
        <w:rPr>
          <w:color w:val="231F20"/>
          <w:spacing w:val="-5"/>
        </w:rPr>
        <w:t> </w:t>
      </w:r>
      <w:r>
        <w:rPr>
          <w:color w:val="231F20"/>
        </w:rPr>
        <w:t>que</w:t>
      </w:r>
      <w:r>
        <w:rPr>
          <w:color w:val="231F20"/>
          <w:spacing w:val="-5"/>
        </w:rPr>
        <w:t> </w:t>
      </w:r>
      <w:r>
        <w:rPr>
          <w:color w:val="231F20"/>
        </w:rPr>
        <w:t>impiden</w:t>
      </w:r>
      <w:r>
        <w:rPr>
          <w:color w:val="231F20"/>
          <w:spacing w:val="-6"/>
        </w:rPr>
        <w:t> </w:t>
      </w:r>
      <w:r>
        <w:rPr>
          <w:color w:val="231F20"/>
        </w:rPr>
        <w:t>que</w:t>
      </w:r>
      <w:r>
        <w:rPr>
          <w:color w:val="231F20"/>
          <w:spacing w:val="-5"/>
        </w:rPr>
        <w:t> </w:t>
      </w:r>
      <w:r>
        <w:rPr>
          <w:color w:val="231F20"/>
        </w:rPr>
        <w:t>las</w:t>
      </w:r>
      <w:r>
        <w:rPr>
          <w:color w:val="231F20"/>
          <w:spacing w:val="-6"/>
        </w:rPr>
        <w:t> </w:t>
      </w:r>
      <w:r>
        <w:rPr>
          <w:color w:val="231F20"/>
        </w:rPr>
        <w:t>empresas</w:t>
      </w:r>
      <w:r>
        <w:rPr>
          <w:color w:val="231F20"/>
          <w:spacing w:val="-6"/>
        </w:rPr>
        <w:t> </w:t>
      </w:r>
      <w:r>
        <w:rPr>
          <w:color w:val="231F20"/>
        </w:rPr>
        <w:t>se</w:t>
      </w:r>
      <w:r>
        <w:rPr>
          <w:color w:val="231F20"/>
          <w:spacing w:val="-5"/>
        </w:rPr>
        <w:t> </w:t>
      </w:r>
      <w:r>
        <w:rPr>
          <w:color w:val="231F20"/>
        </w:rPr>
        <w:t>adapten a</w:t>
      </w:r>
      <w:r>
        <w:rPr>
          <w:color w:val="231F20"/>
          <w:spacing w:val="-6"/>
        </w:rPr>
        <w:t> </w:t>
      </w:r>
      <w:r>
        <w:rPr>
          <w:color w:val="231F20"/>
        </w:rPr>
        <w:t>situaciones</w:t>
      </w:r>
      <w:r>
        <w:rPr>
          <w:color w:val="231F20"/>
          <w:spacing w:val="-6"/>
        </w:rPr>
        <w:t> </w:t>
      </w:r>
      <w:r>
        <w:rPr>
          <w:color w:val="231F20"/>
        </w:rPr>
        <w:t>cambiantes</w:t>
      </w:r>
      <w:r>
        <w:rPr>
          <w:color w:val="231F20"/>
          <w:spacing w:val="-6"/>
        </w:rPr>
        <w:t> </w:t>
      </w:r>
      <w:r>
        <w:rPr>
          <w:color w:val="231F20"/>
        </w:rPr>
        <w:t>y</w:t>
      </w:r>
      <w:r>
        <w:rPr>
          <w:color w:val="231F20"/>
          <w:spacing w:val="-6"/>
        </w:rPr>
        <w:t> </w:t>
      </w:r>
      <w:r>
        <w:rPr>
          <w:color w:val="231F20"/>
        </w:rPr>
        <w:t>sostienen</w:t>
      </w:r>
      <w:r>
        <w:rPr>
          <w:color w:val="231F20"/>
          <w:spacing w:val="-6"/>
        </w:rPr>
        <w:t> </w:t>
      </w:r>
      <w:r>
        <w:rPr>
          <w:color w:val="231F20"/>
        </w:rPr>
        <w:t>que</w:t>
      </w:r>
      <w:r>
        <w:rPr>
          <w:color w:val="231F20"/>
          <w:spacing w:val="-6"/>
        </w:rPr>
        <w:t> </w:t>
      </w:r>
      <w:r>
        <w:rPr>
          <w:color w:val="231F20"/>
        </w:rPr>
        <w:t>ello</w:t>
      </w:r>
      <w:r>
        <w:rPr>
          <w:color w:val="231F20"/>
          <w:spacing w:val="-6"/>
        </w:rPr>
        <w:t> </w:t>
      </w:r>
      <w:r>
        <w:rPr>
          <w:color w:val="231F20"/>
        </w:rPr>
        <w:t>impide</w:t>
      </w:r>
      <w:r>
        <w:rPr>
          <w:color w:val="231F20"/>
          <w:spacing w:val="-6"/>
        </w:rPr>
        <w:t> </w:t>
      </w:r>
      <w:r>
        <w:rPr>
          <w:color w:val="231F20"/>
        </w:rPr>
        <w:t>generar</w:t>
      </w:r>
      <w:r>
        <w:rPr>
          <w:color w:val="231F20"/>
          <w:spacing w:val="-6"/>
        </w:rPr>
        <w:t> </w:t>
      </w:r>
      <w:r>
        <w:rPr>
          <w:color w:val="231F20"/>
        </w:rPr>
        <w:t>empleo</w:t>
      </w:r>
      <w:r>
        <w:rPr>
          <w:color w:val="231F20"/>
          <w:spacing w:val="-6"/>
        </w:rPr>
        <w:t> </w:t>
      </w:r>
      <w:r>
        <w:rPr>
          <w:color w:val="231F20"/>
        </w:rPr>
        <w:t>por lo que la protección terminaría perjudicando a trabajadores y trabajado- ras.</w:t>
      </w:r>
    </w:p>
    <w:p>
      <w:pPr>
        <w:pStyle w:val="BodyText"/>
        <w:spacing w:line="249" w:lineRule="auto" w:before="1"/>
        <w:ind w:left="113" w:right="107" w:firstLine="283"/>
        <w:jc w:val="both"/>
      </w:pPr>
      <w:r>
        <w:rPr>
          <w:color w:val="231F20"/>
        </w:rPr>
        <w:t>Dado que los derechos laborales y/o su aplicación se han debilitado en los países latinoamericanos, se puede explicar que exista resistencia de parte de las organizaciones sindicales a una “flexibilización” que, en términos de la mayoría, sólo ha significado la pérdida de poder negocia- dor</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organizaciones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contexto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transformaciones</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or- ganización de la producción y el trabajo. La flexibilidad se ha integrado a la institucionalidad laboral por la vía de prácticas que operan muchas veces</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márgenes</w:t>
      </w:r>
      <w:r>
        <w:rPr>
          <w:color w:val="231F20"/>
          <w:spacing w:val="-10"/>
        </w:rPr>
        <w:t> </w:t>
      </w:r>
      <w:r>
        <w:rPr>
          <w:color w:val="231F20"/>
        </w:rPr>
        <w:t>grises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normativa</w:t>
      </w:r>
      <w:r>
        <w:rPr>
          <w:color w:val="231F20"/>
          <w:spacing w:val="-10"/>
        </w:rPr>
        <w:t> </w:t>
      </w:r>
      <w:r>
        <w:rPr>
          <w:color w:val="231F20"/>
        </w:rPr>
        <w:t>laboral,</w:t>
      </w:r>
      <w:r>
        <w:rPr>
          <w:color w:val="231F20"/>
          <w:spacing w:val="-10"/>
        </w:rPr>
        <w:t> </w:t>
      </w:r>
      <w:r>
        <w:rPr>
          <w:color w:val="231F20"/>
        </w:rPr>
        <w:t>con</w:t>
      </w:r>
      <w:r>
        <w:rPr>
          <w:color w:val="231F20"/>
          <w:spacing w:val="-10"/>
        </w:rPr>
        <w:t> </w:t>
      </w:r>
      <w:r>
        <w:rPr>
          <w:color w:val="231F20"/>
        </w:rPr>
        <w:t>prácticas</w:t>
      </w:r>
      <w:r>
        <w:rPr>
          <w:color w:val="231F20"/>
          <w:spacing w:val="-10"/>
        </w:rPr>
        <w:t> </w:t>
      </w:r>
      <w:r>
        <w:rPr>
          <w:color w:val="231F20"/>
        </w:rPr>
        <w:t>domi- nadas por relaciones desiguales de poder y marcadas por la debilidad de los actores laborales. Esta debilidad tiene relación con la inestabilidad y relaciones</w:t>
      </w:r>
      <w:r>
        <w:rPr>
          <w:color w:val="231F20"/>
          <w:spacing w:val="-8"/>
        </w:rPr>
        <w:t> </w:t>
      </w:r>
      <w:r>
        <w:rPr>
          <w:color w:val="231F20"/>
        </w:rPr>
        <w:t>laborales</w:t>
      </w:r>
      <w:r>
        <w:rPr>
          <w:color w:val="231F20"/>
          <w:spacing w:val="-8"/>
        </w:rPr>
        <w:t> </w:t>
      </w:r>
      <w:r>
        <w:rPr>
          <w:color w:val="231F20"/>
        </w:rPr>
        <w:t>atípicas,</w:t>
      </w:r>
      <w:r>
        <w:rPr>
          <w:color w:val="231F20"/>
          <w:spacing w:val="-8"/>
        </w:rPr>
        <w:t> </w:t>
      </w:r>
      <w:r>
        <w:rPr>
          <w:color w:val="231F20"/>
        </w:rPr>
        <w:t>pero</w:t>
      </w:r>
      <w:r>
        <w:rPr>
          <w:color w:val="231F20"/>
          <w:spacing w:val="-8"/>
        </w:rPr>
        <w:t> </w:t>
      </w:r>
      <w:r>
        <w:rPr>
          <w:color w:val="231F20"/>
        </w:rPr>
        <w:t>también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flexibilidad</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lugares de trabajo y horarios (Todaro,</w:t>
      </w:r>
      <w:r>
        <w:rPr>
          <w:color w:val="231F20"/>
          <w:spacing w:val="-16"/>
        </w:rPr>
        <w:t> </w:t>
      </w:r>
      <w:r>
        <w:rPr>
          <w:color w:val="231F20"/>
        </w:rPr>
        <w:t>2004).</w:t>
      </w:r>
    </w:p>
    <w:p>
      <w:pPr>
        <w:pStyle w:val="BodyText"/>
        <w:spacing w:line="249" w:lineRule="auto" w:before="1"/>
        <w:ind w:left="113" w:right="107" w:firstLine="351"/>
        <w:jc w:val="both"/>
      </w:pPr>
      <w:r>
        <w:rPr>
          <w:color w:val="231F20"/>
        </w:rPr>
        <w:t>El trabajo remunerado de las mujeres se constituye como parte de  la estrategia desreguladora en virtud de la segregación en trabajos peor pagados y de las formas de flexibilidad adoptadas. Esto es al mismo tiempo producto de la discriminación laboral de que son objeto y de la posibilidad que algunos de estos trabajos les otorgan para compatibili- zar el trabajo productivo y reproductivo no remunerado. Esta estrategia no se limita a los trabajos de peor calidad sino que también se presen-  ta en trabajos de servicios más calificados y profesionales. La tensión producción/reproducción que señaláramos en párrafos anteriores estaría impulsando una fórmula renovada de la división sexual del trabajo. Se adjudicaría a las mujeres trabajos que buscan nuevas formas de compa- tibilidad con el trabajo reproductivo y de cuidado, pretendiendo evitar cambios mayores en las relaciones de género y reproduciendo</w:t>
      </w:r>
      <w:r>
        <w:rPr>
          <w:color w:val="231F20"/>
          <w:spacing w:val="-15"/>
        </w:rPr>
        <w:t> </w:t>
      </w:r>
      <w:r>
        <w:rPr>
          <w:color w:val="231F20"/>
        </w:rPr>
        <w:t>jerarquías en el ámbito laboral y</w:t>
      </w:r>
      <w:r>
        <w:rPr>
          <w:color w:val="231F20"/>
          <w:spacing w:val="-3"/>
        </w:rPr>
        <w:t> </w:t>
      </w:r>
      <w:r>
        <w:rPr>
          <w:color w:val="231F20"/>
        </w:rPr>
        <w:t>privado.</w:t>
      </w:r>
    </w:p>
    <w:p>
      <w:pPr>
        <w:pStyle w:val="BodyText"/>
        <w:spacing w:line="249" w:lineRule="auto" w:before="1"/>
        <w:ind w:left="113" w:right="107" w:firstLine="283"/>
        <w:jc w:val="both"/>
      </w:pPr>
      <w:r>
        <w:rPr>
          <w:color w:val="231F20"/>
        </w:rPr>
        <w:t>La flexibilidad laboral es, por lo tanto, necesaria para la vida</w:t>
      </w:r>
      <w:r>
        <w:rPr>
          <w:color w:val="231F20"/>
          <w:spacing w:val="-22"/>
        </w:rPr>
        <w:t> </w:t>
      </w:r>
      <w:r>
        <w:rPr>
          <w:color w:val="231F20"/>
        </w:rPr>
        <w:t>cotidia- na de las personas, la que requiere de mayores márgenes de libertad en el trabajo remunerado. El dilema no es entre regular o desregular sino cuáles son las regulaciones que corresponden a la realidad actual y las requeridas para cumplir con su función de protección, que estarán en contraposición con las estandarizaciones rígidas que dificultan la pro- tección de una población y relaciones laborales y sociales más heterogé- neas. Pero los cambios en la organización de la producción y el trabajo repercuten no sólo en el ámbito laboral sino que se extiende al ámbito reproductivo en el sentido más amplio. Actualmente, la división sexual del trabajo productivo y reproductivo está cuestionada como sustento</w:t>
      </w:r>
      <w:r>
        <w:rPr>
          <w:color w:val="231F20"/>
          <w:spacing w:val="-11"/>
        </w:rPr>
        <w:t> </w:t>
      </w:r>
      <w:r>
        <w:rPr>
          <w:color w:val="231F20"/>
        </w:rPr>
        <w:t>de</w:t>
      </w:r>
    </w:p>
    <w:p>
      <w:pPr>
        <w:spacing w:after="0" w:line="249" w:lineRule="auto"/>
        <w:jc w:val="both"/>
        <w:sectPr>
          <w:footerReference w:type="default" r:id="rId240"/>
          <w:pgSz w:w="7770" w:h="11740"/>
          <w:pgMar w:footer="474" w:header="0" w:top="840" w:bottom="660" w:left="1020" w:right="740"/>
          <w:pgNumType w:start="19"/>
        </w:sectPr>
      </w:pPr>
    </w:p>
    <w:p>
      <w:pPr>
        <w:pStyle w:val="BodyText"/>
        <w:spacing w:line="249" w:lineRule="auto" w:before="60"/>
        <w:ind w:left="110" w:right="111"/>
        <w:jc w:val="both"/>
      </w:pPr>
      <w:r>
        <w:rPr>
          <w:color w:val="231F20"/>
        </w:rPr>
        <w:t>la</w:t>
      </w:r>
      <w:r>
        <w:rPr>
          <w:color w:val="231F20"/>
          <w:spacing w:val="-11"/>
        </w:rPr>
        <w:t> </w:t>
      </w:r>
      <w:r>
        <w:rPr>
          <w:color w:val="231F20"/>
        </w:rPr>
        <w:t>reproducción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fuerza</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No</w:t>
      </w:r>
      <w:r>
        <w:rPr>
          <w:color w:val="231F20"/>
          <w:spacing w:val="-10"/>
        </w:rPr>
        <w:t> </w:t>
      </w:r>
      <w:r>
        <w:rPr>
          <w:color w:val="231F20"/>
        </w:rPr>
        <w:t>sólo</w:t>
      </w:r>
      <w:r>
        <w:rPr>
          <w:color w:val="231F20"/>
          <w:spacing w:val="-10"/>
        </w:rPr>
        <w:t> </w:t>
      </w:r>
      <w:r>
        <w:rPr>
          <w:color w:val="231F20"/>
        </w:rPr>
        <w:t>las</w:t>
      </w:r>
      <w:r>
        <w:rPr>
          <w:color w:val="231F20"/>
          <w:spacing w:val="-11"/>
        </w:rPr>
        <w:t> </w:t>
      </w:r>
      <w:r>
        <w:rPr>
          <w:color w:val="231F20"/>
        </w:rPr>
        <w:t>mujeres</w:t>
      </w:r>
      <w:r>
        <w:rPr>
          <w:color w:val="231F20"/>
          <w:spacing w:val="-11"/>
        </w:rPr>
        <w:t> </w:t>
      </w:r>
      <w:r>
        <w:rPr>
          <w:color w:val="231F20"/>
        </w:rPr>
        <w:t>se</w:t>
      </w:r>
      <w:r>
        <w:rPr>
          <w:color w:val="231F20"/>
          <w:spacing w:val="-11"/>
        </w:rPr>
        <w:t> </w:t>
      </w:r>
      <w:r>
        <w:rPr>
          <w:color w:val="231F20"/>
        </w:rPr>
        <w:t>incorporan crecientemente</w:t>
      </w:r>
      <w:r>
        <w:rPr>
          <w:color w:val="231F20"/>
          <w:spacing w:val="-8"/>
        </w:rPr>
        <w:t> </w:t>
      </w:r>
      <w:r>
        <w:rPr>
          <w:color w:val="231F20"/>
        </w:rPr>
        <w:t>al</w:t>
      </w:r>
      <w:r>
        <w:rPr>
          <w:color w:val="231F20"/>
          <w:spacing w:val="-7"/>
        </w:rPr>
        <w:t> </w:t>
      </w:r>
      <w:r>
        <w:rPr>
          <w:color w:val="231F20"/>
        </w:rPr>
        <w:t>trabajo</w:t>
      </w:r>
      <w:r>
        <w:rPr>
          <w:color w:val="231F20"/>
          <w:spacing w:val="-8"/>
        </w:rPr>
        <w:t> </w:t>
      </w:r>
      <w:r>
        <w:rPr>
          <w:color w:val="231F20"/>
        </w:rPr>
        <w:t>remunerado</w:t>
      </w:r>
      <w:r>
        <w:rPr>
          <w:color w:val="231F20"/>
          <w:spacing w:val="-7"/>
        </w:rPr>
        <w:t> </w:t>
      </w:r>
      <w:r>
        <w:rPr>
          <w:color w:val="231F20"/>
        </w:rPr>
        <w:t>sino</w:t>
      </w:r>
      <w:r>
        <w:rPr>
          <w:color w:val="231F20"/>
          <w:spacing w:val="-7"/>
        </w:rPr>
        <w:t> </w:t>
      </w:r>
      <w:r>
        <w:rPr>
          <w:color w:val="231F20"/>
        </w:rPr>
        <w:t>que</w:t>
      </w:r>
      <w:r>
        <w:rPr>
          <w:color w:val="231F20"/>
          <w:spacing w:val="-7"/>
        </w:rPr>
        <w:t> </w:t>
      </w:r>
      <w:r>
        <w:rPr>
          <w:color w:val="231F20"/>
        </w:rPr>
        <w:t>cambian</w:t>
      </w:r>
      <w:r>
        <w:rPr>
          <w:color w:val="231F20"/>
          <w:spacing w:val="-8"/>
        </w:rPr>
        <w:t> </w:t>
      </w:r>
      <w:r>
        <w:rPr>
          <w:color w:val="231F20"/>
        </w:rPr>
        <w:t>los</w:t>
      </w:r>
      <w:r>
        <w:rPr>
          <w:color w:val="231F20"/>
          <w:spacing w:val="-8"/>
        </w:rPr>
        <w:t> </w:t>
      </w:r>
      <w:r>
        <w:rPr>
          <w:color w:val="231F20"/>
        </w:rPr>
        <w:t>requerimien- tos impuestos a la reproducción. Estos planteos conducen a la necesidad de</w:t>
      </w:r>
      <w:r>
        <w:rPr>
          <w:color w:val="231F20"/>
          <w:spacing w:val="-4"/>
        </w:rPr>
        <w:t> </w:t>
      </w:r>
      <w:r>
        <w:rPr>
          <w:color w:val="231F20"/>
        </w:rPr>
        <w:t>poner</w:t>
      </w:r>
      <w:r>
        <w:rPr>
          <w:color w:val="231F20"/>
          <w:spacing w:val="-4"/>
        </w:rPr>
        <w:t> </w:t>
      </w:r>
      <w:r>
        <w:rPr>
          <w:color w:val="231F20"/>
        </w:rPr>
        <w:t>al</w:t>
      </w:r>
      <w:r>
        <w:rPr>
          <w:color w:val="231F20"/>
          <w:spacing w:val="-4"/>
        </w:rPr>
        <w:t> </w:t>
      </w:r>
      <w:r>
        <w:rPr>
          <w:color w:val="231F20"/>
        </w:rPr>
        <w:t>debate</w:t>
      </w:r>
      <w:r>
        <w:rPr>
          <w:color w:val="231F20"/>
          <w:spacing w:val="-4"/>
        </w:rPr>
        <w:t> </w:t>
      </w:r>
      <w:r>
        <w:rPr>
          <w:color w:val="231F20"/>
        </w:rPr>
        <w:t>la</w:t>
      </w:r>
      <w:r>
        <w:rPr>
          <w:color w:val="231F20"/>
          <w:spacing w:val="-4"/>
        </w:rPr>
        <w:t> </w:t>
      </w:r>
      <w:r>
        <w:rPr>
          <w:color w:val="231F20"/>
        </w:rPr>
        <w:t>construcción</w:t>
      </w:r>
      <w:r>
        <w:rPr>
          <w:color w:val="231F20"/>
          <w:spacing w:val="-4"/>
        </w:rPr>
        <w:t> </w:t>
      </w:r>
      <w:r>
        <w:rPr>
          <w:color w:val="231F20"/>
        </w:rPr>
        <w:t>un</w:t>
      </w:r>
      <w:r>
        <w:rPr>
          <w:color w:val="231F20"/>
          <w:spacing w:val="-4"/>
        </w:rPr>
        <w:t> </w:t>
      </w:r>
      <w:r>
        <w:rPr>
          <w:color w:val="231F20"/>
        </w:rPr>
        <w:t>nuevo</w:t>
      </w:r>
      <w:r>
        <w:rPr>
          <w:color w:val="231F20"/>
          <w:spacing w:val="-4"/>
        </w:rPr>
        <w:t> </w:t>
      </w:r>
      <w:r>
        <w:rPr>
          <w:color w:val="231F20"/>
        </w:rPr>
        <w:t>contrato</w:t>
      </w:r>
      <w:r>
        <w:rPr>
          <w:color w:val="231F20"/>
          <w:spacing w:val="-4"/>
        </w:rPr>
        <w:t> </w:t>
      </w:r>
      <w:r>
        <w:rPr>
          <w:color w:val="231F20"/>
        </w:rPr>
        <w:t>laboral</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género que garanticen la reproducción</w:t>
      </w:r>
      <w:r>
        <w:rPr>
          <w:color w:val="231F20"/>
          <w:spacing w:val="-7"/>
        </w:rPr>
        <w:t> </w:t>
      </w:r>
      <w:r>
        <w:rPr>
          <w:color w:val="231F20"/>
        </w:rPr>
        <w:t>social.</w:t>
      </w:r>
    </w:p>
    <w:p>
      <w:pPr>
        <w:pStyle w:val="BodyText"/>
        <w:spacing w:line="249" w:lineRule="auto" w:before="1"/>
        <w:ind w:left="110" w:right="111" w:firstLine="283"/>
        <w:jc w:val="both"/>
      </w:pPr>
      <w:r>
        <w:rPr>
          <w:color w:val="231F20"/>
        </w:rPr>
        <w:t>Desde un enfoque económico más amplio, se abre un nuevo tipo de argumentación. Se plantea que la flexibilización ofrece posibilidades para debilitar las estructuras laborales rígidas que organizaban la vida</w:t>
      </w:r>
      <w:r>
        <w:rPr>
          <w:color w:val="231F20"/>
          <w:spacing w:val="-34"/>
        </w:rPr>
        <w:t> </w:t>
      </w:r>
      <w:r>
        <w:rPr>
          <w:color w:val="231F20"/>
        </w:rPr>
        <w:t>de mujeres y hombres, permite reconocer la diversidad de los proyectos y estilos de vida, y por lo tanto, hace posible una mayor autonomía de las personas. Este discurso ve en la flexibilidad una oportunidad de recon- ciliación entre trabajo y vida personal, entre las jornadas laborales y las necesidades de educación y capacitación para el progreso en el trabajo, la posibilidad de compatibilizar el trabajo productivo y el reproductivo, y una estructuración de relaciones sociales de género más equitativas dentro y fuera del ámbito laboral. Pero esta perspectiva, a pesar de su validez en términos abstractos, es difícil de percibir como posibilidad</w:t>
      </w:r>
      <w:r>
        <w:rPr>
          <w:color w:val="231F20"/>
          <w:spacing w:val="-20"/>
        </w:rPr>
        <w:t> </w:t>
      </w:r>
      <w:r>
        <w:rPr>
          <w:color w:val="231F20"/>
        </w:rPr>
        <w:t>en el contexto actual en que la flexibilidad laboral es controlada desde los intereses de la</w:t>
      </w:r>
      <w:r>
        <w:rPr>
          <w:color w:val="231F20"/>
          <w:spacing w:val="-1"/>
        </w:rPr>
        <w:t> </w:t>
      </w:r>
      <w:r>
        <w:rPr>
          <w:color w:val="231F20"/>
        </w:rPr>
        <w:t>empresa.</w:t>
      </w:r>
    </w:p>
    <w:p>
      <w:pPr>
        <w:pStyle w:val="BodyText"/>
        <w:spacing w:line="249" w:lineRule="auto" w:before="1"/>
        <w:ind w:left="110" w:right="111" w:firstLine="283"/>
        <w:jc w:val="both"/>
      </w:pPr>
      <w:r>
        <w:rPr>
          <w:color w:val="231F20"/>
        </w:rPr>
        <w:t>Sin embargo, para ello es fundamental analizar los procesos de</w:t>
      </w:r>
      <w:r>
        <w:rPr>
          <w:color w:val="231F20"/>
          <w:spacing w:val="-26"/>
        </w:rPr>
        <w:t> </w:t>
      </w:r>
      <w:r>
        <w:rPr>
          <w:color w:val="231F20"/>
        </w:rPr>
        <w:t>cons- trucción de agencia y las estrategias de acción de movimientos sociales para incidir en el curso de los acontecimientos. En este sentido resulta pertinente cuestionar la dicotomía con que se aborda el tema y poner    al debate argumentos que muestren los límites de la flexibilidad real- mente existente. En este sentido, creemos importante no confundir la flexibilidad propiamente tal con el encauzamiento regulatorio</w:t>
      </w:r>
      <w:r>
        <w:rPr>
          <w:color w:val="231F20"/>
          <w:spacing w:val="-14"/>
        </w:rPr>
        <w:t> </w:t>
      </w:r>
      <w:r>
        <w:rPr>
          <w:color w:val="231F20"/>
        </w:rPr>
        <w:t>específico de este proceso de desregulación neoliberal que ha tenido lugar durante las últimas décadas, orientadas a disminuir costos y/o a mejorar la com- petitividad de corto plazo. La flexibilidad laboral, como otras categorías socioeconómicas, es construida socialmente </w:t>
      </w:r>
      <w:r>
        <w:rPr>
          <w:color w:val="231F20"/>
          <w:spacing w:val="-7"/>
        </w:rPr>
        <w:t>y</w:t>
      </w:r>
      <w:r>
        <w:rPr>
          <w:color w:val="0000FF"/>
          <w:spacing w:val="-7"/>
        </w:rPr>
        <w:t>, </w:t>
      </w:r>
      <w:r>
        <w:rPr>
          <w:color w:val="231F20"/>
        </w:rPr>
        <w:t>en tanto tal, ni sus conte- nidos ni su futuro están predeterminados </w:t>
      </w:r>
      <w:r>
        <w:rPr>
          <w:color w:val="231F20"/>
          <w:spacing w:val="-3"/>
        </w:rPr>
        <w:t>(Yañez, </w:t>
      </w:r>
      <w:r>
        <w:rPr>
          <w:color w:val="231F20"/>
        </w:rPr>
        <w:t>2004).</w:t>
      </w:r>
    </w:p>
    <w:p>
      <w:pPr>
        <w:pStyle w:val="BodyText"/>
        <w:spacing w:line="249" w:lineRule="auto" w:before="1"/>
        <w:ind w:left="110" w:right="111" w:firstLine="283"/>
        <w:jc w:val="both"/>
      </w:pPr>
      <w:r>
        <w:rPr>
          <w:color w:val="231F20"/>
        </w:rPr>
        <w:t>Un cambio en la organización productiva, laboral y de los mercados tiene como contrapartida la modificación de la institucionalidad adap- tándola a las nuevas condiciones de la reproducción social, donde la re- producción de la fuerza de trabajo es parte fundamental. En este campo, el análisis de la relación entre tipos de flexibilidad y modalidades de las relaciones</w:t>
      </w:r>
      <w:r>
        <w:rPr>
          <w:color w:val="231F20"/>
          <w:spacing w:val="-11"/>
        </w:rPr>
        <w:t> </w:t>
      </w:r>
      <w:r>
        <w:rPr>
          <w:color w:val="231F20"/>
        </w:rPr>
        <w:t>sociales,</w:t>
      </w:r>
      <w:r>
        <w:rPr>
          <w:color w:val="231F20"/>
          <w:spacing w:val="-11"/>
        </w:rPr>
        <w:t> </w:t>
      </w:r>
      <w:r>
        <w:rPr>
          <w:color w:val="231F20"/>
        </w:rPr>
        <w:t>en</w:t>
      </w:r>
      <w:r>
        <w:rPr>
          <w:color w:val="231F20"/>
          <w:spacing w:val="-11"/>
        </w:rPr>
        <w:t> </w:t>
      </w:r>
      <w:r>
        <w:rPr>
          <w:color w:val="231F20"/>
        </w:rPr>
        <w:t>particular</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de</w:t>
      </w:r>
      <w:r>
        <w:rPr>
          <w:color w:val="231F20"/>
          <w:spacing w:val="-11"/>
        </w:rPr>
        <w:t> </w:t>
      </w:r>
      <w:r>
        <w:rPr>
          <w:color w:val="231F20"/>
        </w:rPr>
        <w:t>género,</w:t>
      </w:r>
      <w:r>
        <w:rPr>
          <w:color w:val="231F20"/>
          <w:spacing w:val="-11"/>
        </w:rPr>
        <w:t> </w:t>
      </w:r>
      <w:r>
        <w:rPr>
          <w:color w:val="231F20"/>
        </w:rPr>
        <w:t>tiene</w:t>
      </w:r>
      <w:r>
        <w:rPr>
          <w:color w:val="231F20"/>
          <w:spacing w:val="-11"/>
        </w:rPr>
        <w:t> </w:t>
      </w:r>
      <w:r>
        <w:rPr>
          <w:color w:val="231F20"/>
        </w:rPr>
        <w:t>particular relevancia (Hirata, 2001).</w:t>
      </w:r>
    </w:p>
    <w:p>
      <w:pPr>
        <w:pStyle w:val="BodyText"/>
        <w:spacing w:line="249" w:lineRule="auto" w:before="1"/>
        <w:ind w:left="110" w:right="111" w:firstLine="283"/>
        <w:jc w:val="both"/>
      </w:pPr>
      <w:r>
        <w:rPr>
          <w:color w:val="231F20"/>
        </w:rPr>
        <w:t>La flexibilidad puede traer aparejados tanto efectos perversos como virtuosos, pero los costos y los beneficios no están repartidos</w:t>
      </w:r>
      <w:r>
        <w:rPr>
          <w:color w:val="231F20"/>
          <w:spacing w:val="-12"/>
        </w:rPr>
        <w:t> </w:t>
      </w:r>
      <w:r>
        <w:rPr>
          <w:color w:val="231F20"/>
        </w:rPr>
        <w:t>equitativa-</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mente. La sustentabilidad económica, social y humana pone el desafío ineludible de avanzar hacia un nuevo contrato social y de género.</w:t>
      </w:r>
    </w:p>
    <w:p>
      <w:pPr>
        <w:pStyle w:val="BodyText"/>
        <w:spacing w:line="249" w:lineRule="auto" w:before="1"/>
        <w:ind w:left="113" w:right="108" w:firstLine="283"/>
        <w:jc w:val="both"/>
      </w:pPr>
      <w:r>
        <w:rPr>
          <w:color w:val="231F20"/>
        </w:rPr>
        <w:t>El lugar del trabajo reproductivo en la organización del trabajo re- munerado, en las instituciones laborales así como en las organizaciones sindicales es muy limitado. Ha ganado terreno lentamente en apenas al- gunos temas del debate económico: las explicaciones de la segregación laboral por sexo o en la discriminación de las remuneraciones. Se ha finalmente aceptado que permite entender mejor los movimientos en el mercado de trabajo. Pero no ha permeado hasta ahora el debate sobre el desarrollo.</w:t>
      </w:r>
    </w:p>
    <w:p>
      <w:pPr>
        <w:pStyle w:val="BodyText"/>
        <w:spacing w:before="10"/>
        <w:rPr>
          <w:sz w:val="21"/>
        </w:rPr>
      </w:pPr>
    </w:p>
    <w:p>
      <w:pPr>
        <w:pStyle w:val="Heading4"/>
        <w:spacing w:before="0"/>
      </w:pPr>
      <w:r>
        <w:rPr>
          <w:w w:val="85"/>
        </w:rPr>
        <w:t>Bibliografía</w:t>
      </w:r>
    </w:p>
    <w:p>
      <w:pPr>
        <w:pStyle w:val="BodyText"/>
        <w:spacing w:before="10"/>
        <w:rPr>
          <w:b/>
          <w:sz w:val="26"/>
        </w:rPr>
      </w:pPr>
    </w:p>
    <w:p>
      <w:pPr>
        <w:spacing w:line="254" w:lineRule="auto" w:before="0"/>
        <w:ind w:left="113" w:right="108" w:firstLine="0"/>
        <w:jc w:val="both"/>
        <w:rPr>
          <w:sz w:val="18"/>
        </w:rPr>
      </w:pPr>
      <w:r>
        <w:rPr>
          <w:color w:val="231F20"/>
          <w:sz w:val="18"/>
        </w:rPr>
        <w:t>Aguirre, Rosario (ed.) (2009) </w:t>
      </w:r>
      <w:r>
        <w:rPr>
          <w:i/>
          <w:color w:val="231F20"/>
          <w:sz w:val="18"/>
        </w:rPr>
        <w:t>Las bases invisibles del bienestar social. El</w:t>
      </w:r>
      <w:r>
        <w:rPr>
          <w:i/>
          <w:color w:val="231F20"/>
          <w:spacing w:val="-27"/>
          <w:sz w:val="18"/>
        </w:rPr>
        <w:t> </w:t>
      </w:r>
      <w:r>
        <w:rPr>
          <w:i/>
          <w:color w:val="231F20"/>
          <w:sz w:val="18"/>
        </w:rPr>
        <w:t>traba- </w:t>
      </w:r>
      <w:r>
        <w:rPr>
          <w:i/>
          <w:color w:val="231F20"/>
          <w:sz w:val="18"/>
        </w:rPr>
        <w:t>jo no remunerado en Uruguay</w:t>
      </w:r>
      <w:r>
        <w:rPr>
          <w:color w:val="231F20"/>
          <w:sz w:val="18"/>
        </w:rPr>
        <w:t>, Montevideo: INE, Inmujeres, Universidad de la República,</w:t>
      </w:r>
      <w:r>
        <w:rPr>
          <w:color w:val="231F20"/>
          <w:spacing w:val="-7"/>
          <w:sz w:val="18"/>
        </w:rPr>
        <w:t> </w:t>
      </w:r>
      <w:r>
        <w:rPr>
          <w:color w:val="231F20"/>
          <w:sz w:val="18"/>
        </w:rPr>
        <w:t>UNIFEM.</w:t>
      </w:r>
    </w:p>
    <w:p>
      <w:pPr>
        <w:spacing w:line="254" w:lineRule="auto" w:before="57"/>
        <w:ind w:left="113" w:right="108" w:firstLine="0"/>
        <w:jc w:val="both"/>
        <w:rPr>
          <w:sz w:val="18"/>
        </w:rPr>
      </w:pPr>
      <w:r>
        <w:rPr>
          <w:color w:val="231F20"/>
          <w:sz w:val="18"/>
        </w:rPr>
        <w:t>Aguirre,</w:t>
      </w:r>
      <w:r>
        <w:rPr>
          <w:color w:val="231F20"/>
          <w:spacing w:val="-3"/>
          <w:sz w:val="18"/>
        </w:rPr>
        <w:t> </w:t>
      </w:r>
      <w:r>
        <w:rPr>
          <w:color w:val="231F20"/>
          <w:sz w:val="18"/>
        </w:rPr>
        <w:t>Rosario</w:t>
      </w:r>
      <w:r>
        <w:rPr>
          <w:color w:val="231F20"/>
          <w:spacing w:val="-4"/>
          <w:sz w:val="18"/>
        </w:rPr>
        <w:t> </w:t>
      </w:r>
      <w:r>
        <w:rPr>
          <w:color w:val="231F20"/>
          <w:sz w:val="18"/>
        </w:rPr>
        <w:t>y</w:t>
      </w:r>
      <w:r>
        <w:rPr>
          <w:color w:val="231F20"/>
          <w:spacing w:val="-4"/>
          <w:sz w:val="18"/>
        </w:rPr>
        <w:t> </w:t>
      </w:r>
      <w:r>
        <w:rPr>
          <w:color w:val="231F20"/>
          <w:sz w:val="18"/>
        </w:rPr>
        <w:t>Karina</w:t>
      </w:r>
      <w:r>
        <w:rPr>
          <w:color w:val="231F20"/>
          <w:spacing w:val="-3"/>
          <w:sz w:val="18"/>
        </w:rPr>
        <w:t> </w:t>
      </w:r>
      <w:r>
        <w:rPr>
          <w:color w:val="231F20"/>
          <w:sz w:val="18"/>
        </w:rPr>
        <w:t>Batthayány</w:t>
      </w:r>
      <w:r>
        <w:rPr>
          <w:color w:val="231F20"/>
          <w:spacing w:val="-4"/>
          <w:sz w:val="18"/>
        </w:rPr>
        <w:t> </w:t>
      </w:r>
      <w:r>
        <w:rPr>
          <w:color w:val="231F20"/>
          <w:sz w:val="18"/>
        </w:rPr>
        <w:t>(2005)</w:t>
      </w:r>
      <w:r>
        <w:rPr>
          <w:color w:val="231F20"/>
          <w:spacing w:val="-3"/>
          <w:sz w:val="18"/>
        </w:rPr>
        <w:t> </w:t>
      </w:r>
      <w:r>
        <w:rPr>
          <w:i/>
          <w:color w:val="231F20"/>
          <w:sz w:val="18"/>
        </w:rPr>
        <w:t>Uso</w:t>
      </w:r>
      <w:r>
        <w:rPr>
          <w:i/>
          <w:color w:val="231F20"/>
          <w:spacing w:val="-3"/>
          <w:sz w:val="18"/>
        </w:rPr>
        <w:t> </w:t>
      </w:r>
      <w:r>
        <w:rPr>
          <w:i/>
          <w:color w:val="231F20"/>
          <w:sz w:val="18"/>
        </w:rPr>
        <w:t>del</w:t>
      </w:r>
      <w:r>
        <w:rPr>
          <w:i/>
          <w:color w:val="231F20"/>
          <w:spacing w:val="-4"/>
          <w:sz w:val="18"/>
        </w:rPr>
        <w:t> </w:t>
      </w:r>
      <w:r>
        <w:rPr>
          <w:i/>
          <w:color w:val="231F20"/>
          <w:sz w:val="18"/>
        </w:rPr>
        <w:t>tiempo</w:t>
      </w:r>
      <w:r>
        <w:rPr>
          <w:i/>
          <w:color w:val="231F20"/>
          <w:spacing w:val="-4"/>
          <w:sz w:val="18"/>
        </w:rPr>
        <w:t> </w:t>
      </w:r>
      <w:r>
        <w:rPr>
          <w:i/>
          <w:color w:val="231F20"/>
          <w:sz w:val="18"/>
        </w:rPr>
        <w:t>y</w:t>
      </w:r>
      <w:r>
        <w:rPr>
          <w:i/>
          <w:color w:val="231F20"/>
          <w:spacing w:val="-4"/>
          <w:sz w:val="18"/>
        </w:rPr>
        <w:t> </w:t>
      </w:r>
      <w:r>
        <w:rPr>
          <w:i/>
          <w:color w:val="231F20"/>
          <w:sz w:val="18"/>
        </w:rPr>
        <w:t>trabajo</w:t>
      </w:r>
      <w:r>
        <w:rPr>
          <w:i/>
          <w:color w:val="231F20"/>
          <w:spacing w:val="-4"/>
          <w:sz w:val="18"/>
        </w:rPr>
        <w:t> </w:t>
      </w:r>
      <w:r>
        <w:rPr>
          <w:i/>
          <w:color w:val="231F20"/>
          <w:sz w:val="18"/>
        </w:rPr>
        <w:t>no</w:t>
      </w:r>
      <w:r>
        <w:rPr>
          <w:i/>
          <w:color w:val="231F20"/>
          <w:spacing w:val="-4"/>
          <w:sz w:val="18"/>
        </w:rPr>
        <w:t> </w:t>
      </w:r>
      <w:r>
        <w:rPr>
          <w:i/>
          <w:color w:val="231F20"/>
          <w:sz w:val="18"/>
        </w:rPr>
        <w:t>remu- </w:t>
      </w:r>
      <w:r>
        <w:rPr>
          <w:i/>
          <w:color w:val="231F20"/>
          <w:sz w:val="18"/>
        </w:rPr>
        <w:t>nerado. Encuesta en Montevideo y área metropolitana 2003</w:t>
      </w:r>
      <w:r>
        <w:rPr>
          <w:color w:val="231F20"/>
          <w:sz w:val="18"/>
        </w:rPr>
        <w:t>, Montevideo: UNI- FEM/Universidad de la</w:t>
      </w:r>
      <w:r>
        <w:rPr>
          <w:color w:val="231F20"/>
          <w:spacing w:val="-14"/>
          <w:sz w:val="18"/>
        </w:rPr>
        <w:t> </w:t>
      </w:r>
      <w:r>
        <w:rPr>
          <w:color w:val="231F20"/>
          <w:sz w:val="18"/>
        </w:rPr>
        <w:t>República.</w:t>
      </w:r>
    </w:p>
    <w:p>
      <w:pPr>
        <w:spacing w:before="57"/>
        <w:ind w:left="113" w:right="0" w:firstLine="0"/>
        <w:jc w:val="both"/>
        <w:rPr>
          <w:sz w:val="18"/>
        </w:rPr>
      </w:pPr>
      <w:r>
        <w:rPr>
          <w:color w:val="231F20"/>
          <w:sz w:val="18"/>
        </w:rPr>
        <w:t>Balbo, Laura (1978) </w:t>
      </w:r>
      <w:r>
        <w:rPr>
          <w:i/>
          <w:color w:val="231F20"/>
          <w:sz w:val="18"/>
        </w:rPr>
        <w:t>La doppia presenza</w:t>
      </w:r>
      <w:r>
        <w:rPr>
          <w:color w:val="231F20"/>
          <w:sz w:val="18"/>
        </w:rPr>
        <w:t>, Bari: Inchiesta, 32.</w:t>
      </w:r>
    </w:p>
    <w:p>
      <w:pPr>
        <w:spacing w:line="254" w:lineRule="auto" w:before="69"/>
        <w:ind w:left="113" w:right="108" w:firstLine="0"/>
        <w:jc w:val="both"/>
        <w:rPr>
          <w:sz w:val="18"/>
        </w:rPr>
      </w:pPr>
      <w:r>
        <w:rPr>
          <w:color w:val="231F20"/>
          <w:sz w:val="18"/>
        </w:rPr>
        <w:t>Carrasco, Cristina, Anna Alabart, Andrés Coco, Màrius Domínguez, Àngels Martínez, Maribel Mayordomo, Alberto Recio y Mónica Serrano (2003), </w:t>
      </w:r>
      <w:r>
        <w:rPr>
          <w:i/>
          <w:color w:val="231F20"/>
          <w:spacing w:val="-3"/>
          <w:sz w:val="18"/>
        </w:rPr>
        <w:t>Tiem- </w:t>
      </w:r>
      <w:r>
        <w:rPr>
          <w:i/>
          <w:color w:val="231F20"/>
          <w:sz w:val="18"/>
        </w:rPr>
        <w:t>pos</w:t>
      </w:r>
      <w:r>
        <w:rPr>
          <w:i/>
          <w:color w:val="231F20"/>
          <w:spacing w:val="-10"/>
          <w:sz w:val="18"/>
        </w:rPr>
        <w:t> </w:t>
      </w:r>
      <w:r>
        <w:rPr>
          <w:i/>
          <w:color w:val="231F20"/>
          <w:sz w:val="18"/>
        </w:rPr>
        <w:t>trabajos</w:t>
      </w:r>
      <w:r>
        <w:rPr>
          <w:i/>
          <w:color w:val="231F20"/>
          <w:spacing w:val="-10"/>
          <w:sz w:val="18"/>
        </w:rPr>
        <w:t> </w:t>
      </w:r>
      <w:r>
        <w:rPr>
          <w:i/>
          <w:color w:val="231F20"/>
          <w:sz w:val="18"/>
        </w:rPr>
        <w:t>y</w:t>
      </w:r>
      <w:r>
        <w:rPr>
          <w:i/>
          <w:color w:val="231F20"/>
          <w:spacing w:val="-10"/>
          <w:sz w:val="18"/>
        </w:rPr>
        <w:t> </w:t>
      </w:r>
      <w:r>
        <w:rPr>
          <w:i/>
          <w:color w:val="231F20"/>
          <w:sz w:val="18"/>
        </w:rPr>
        <w:t>flexibilidad:</w:t>
      </w:r>
      <w:r>
        <w:rPr>
          <w:i/>
          <w:color w:val="231F20"/>
          <w:spacing w:val="-10"/>
          <w:sz w:val="18"/>
        </w:rPr>
        <w:t> </w:t>
      </w:r>
      <w:r>
        <w:rPr>
          <w:i/>
          <w:color w:val="231F20"/>
          <w:sz w:val="18"/>
        </w:rPr>
        <w:t>una</w:t>
      </w:r>
      <w:r>
        <w:rPr>
          <w:i/>
          <w:color w:val="231F20"/>
          <w:spacing w:val="-10"/>
          <w:sz w:val="18"/>
        </w:rPr>
        <w:t> </w:t>
      </w:r>
      <w:r>
        <w:rPr>
          <w:i/>
          <w:color w:val="231F20"/>
          <w:sz w:val="18"/>
        </w:rPr>
        <w:t>cuestión</w:t>
      </w:r>
      <w:r>
        <w:rPr>
          <w:i/>
          <w:color w:val="231F20"/>
          <w:spacing w:val="-10"/>
          <w:sz w:val="18"/>
        </w:rPr>
        <w:t> </w:t>
      </w:r>
      <w:r>
        <w:rPr>
          <w:i/>
          <w:color w:val="231F20"/>
          <w:sz w:val="18"/>
        </w:rPr>
        <w:t>de</w:t>
      </w:r>
      <w:r>
        <w:rPr>
          <w:i/>
          <w:color w:val="231F20"/>
          <w:spacing w:val="-10"/>
          <w:sz w:val="18"/>
        </w:rPr>
        <w:t> </w:t>
      </w:r>
      <w:r>
        <w:rPr>
          <w:i/>
          <w:color w:val="231F20"/>
          <w:sz w:val="18"/>
        </w:rPr>
        <w:t>género</w:t>
      </w:r>
      <w:r>
        <w:rPr>
          <w:color w:val="231F20"/>
          <w:sz w:val="18"/>
        </w:rPr>
        <w:t>,</w:t>
      </w:r>
      <w:r>
        <w:rPr>
          <w:color w:val="231F20"/>
          <w:spacing w:val="-10"/>
          <w:sz w:val="18"/>
        </w:rPr>
        <w:t> </w:t>
      </w:r>
      <w:r>
        <w:rPr>
          <w:color w:val="231F20"/>
          <w:sz w:val="18"/>
        </w:rPr>
        <w:t>Madrid:</w:t>
      </w:r>
      <w:r>
        <w:rPr>
          <w:color w:val="231F20"/>
          <w:spacing w:val="-10"/>
          <w:sz w:val="18"/>
        </w:rPr>
        <w:t> </w:t>
      </w:r>
      <w:r>
        <w:rPr>
          <w:color w:val="231F20"/>
          <w:sz w:val="18"/>
        </w:rPr>
        <w:t>Instituto</w:t>
      </w:r>
      <w:r>
        <w:rPr>
          <w:color w:val="231F20"/>
          <w:spacing w:val="-10"/>
          <w:sz w:val="18"/>
        </w:rPr>
        <w:t> </w:t>
      </w:r>
      <w:r>
        <w:rPr>
          <w:color w:val="231F20"/>
          <w:sz w:val="18"/>
        </w:rPr>
        <w:t>de</w:t>
      </w:r>
      <w:r>
        <w:rPr>
          <w:color w:val="231F20"/>
          <w:spacing w:val="-10"/>
          <w:sz w:val="18"/>
        </w:rPr>
        <w:t> </w:t>
      </w:r>
      <w:r>
        <w:rPr>
          <w:color w:val="231F20"/>
          <w:sz w:val="18"/>
        </w:rPr>
        <w:t>la</w:t>
      </w:r>
      <w:r>
        <w:rPr>
          <w:color w:val="231F20"/>
          <w:spacing w:val="-10"/>
          <w:sz w:val="18"/>
        </w:rPr>
        <w:t> </w:t>
      </w:r>
      <w:r>
        <w:rPr>
          <w:color w:val="231F20"/>
          <w:spacing w:val="-3"/>
          <w:sz w:val="18"/>
        </w:rPr>
        <w:t>Mujer.</w:t>
      </w:r>
    </w:p>
    <w:p>
      <w:pPr>
        <w:spacing w:line="254" w:lineRule="auto" w:before="57"/>
        <w:ind w:left="113" w:right="108" w:firstLine="0"/>
        <w:jc w:val="both"/>
        <w:rPr>
          <w:sz w:val="18"/>
        </w:rPr>
      </w:pPr>
      <w:r>
        <w:rPr>
          <w:color w:val="231F20"/>
          <w:sz w:val="18"/>
        </w:rPr>
        <w:t>Castel, Robert (2005) Entrevista de Mabel Thwaites Rey: “Trabajo móvil pero seguro”, en </w:t>
      </w:r>
      <w:r>
        <w:rPr>
          <w:i/>
          <w:color w:val="231F20"/>
          <w:sz w:val="18"/>
        </w:rPr>
        <w:t>Clarín</w:t>
      </w:r>
      <w:r>
        <w:rPr>
          <w:color w:val="231F20"/>
          <w:sz w:val="18"/>
        </w:rPr>
        <w:t>, Buenos Aires, 21 de agosto.</w:t>
      </w:r>
    </w:p>
    <w:p>
      <w:pPr>
        <w:spacing w:line="254" w:lineRule="auto" w:before="57"/>
        <w:ind w:left="113" w:right="108" w:firstLine="0"/>
        <w:jc w:val="both"/>
        <w:rPr>
          <w:sz w:val="18"/>
        </w:rPr>
      </w:pPr>
      <w:r>
        <w:rPr>
          <w:color w:val="231F20"/>
          <w:sz w:val="18"/>
        </w:rPr>
        <w:t>Castel, Robert (2010) </w:t>
      </w:r>
      <w:r>
        <w:rPr>
          <w:i/>
          <w:color w:val="231F20"/>
          <w:sz w:val="18"/>
        </w:rPr>
        <w:t>El ascenso de las incertidumbres. Trabajo, protecciones, </w:t>
      </w:r>
      <w:r>
        <w:rPr>
          <w:i/>
          <w:color w:val="231F20"/>
          <w:sz w:val="18"/>
        </w:rPr>
        <w:t>estatuto del individuo. </w:t>
      </w:r>
      <w:r>
        <w:rPr>
          <w:color w:val="231F20"/>
          <w:sz w:val="18"/>
        </w:rPr>
        <w:t>Buenos Aires: Fondo de Cultura Económica.</w:t>
      </w:r>
    </w:p>
    <w:p>
      <w:pPr>
        <w:spacing w:line="254" w:lineRule="auto" w:before="57"/>
        <w:ind w:left="113" w:right="108" w:firstLine="0"/>
        <w:jc w:val="both"/>
        <w:rPr>
          <w:sz w:val="18"/>
        </w:rPr>
      </w:pPr>
      <w:r>
        <w:rPr>
          <w:color w:val="231F20"/>
          <w:sz w:val="18"/>
        </w:rPr>
        <w:t>Cepal (2005) </w:t>
      </w:r>
      <w:r>
        <w:rPr>
          <w:i/>
          <w:color w:val="231F20"/>
          <w:sz w:val="18"/>
        </w:rPr>
        <w:t>Reunión Regional Las encuestas de uso del tiempo: su diseño y </w:t>
      </w:r>
      <w:r>
        <w:rPr>
          <w:i/>
          <w:color w:val="231F20"/>
          <w:sz w:val="18"/>
        </w:rPr>
        <w:t>aplicación</w:t>
      </w:r>
      <w:r>
        <w:rPr>
          <w:color w:val="231F20"/>
          <w:sz w:val="18"/>
        </w:rPr>
        <w:t>, Santiago de Chile.</w:t>
      </w:r>
    </w:p>
    <w:p>
      <w:pPr>
        <w:spacing w:line="254" w:lineRule="auto" w:before="57"/>
        <w:ind w:left="113" w:right="108" w:firstLine="0"/>
        <w:jc w:val="both"/>
        <w:rPr>
          <w:sz w:val="18"/>
        </w:rPr>
      </w:pPr>
      <w:r>
        <w:rPr>
          <w:color w:val="231F20"/>
          <w:sz w:val="18"/>
        </w:rPr>
        <w:t>Dejours, Christophe (1998) “Centralité ou déclin du travail?”, en Jacques Ker- goat, Josiane Boutet, Henri Jacot, Danièle Linhart, orgs. </w:t>
      </w:r>
      <w:r>
        <w:rPr>
          <w:i/>
          <w:color w:val="231F20"/>
          <w:sz w:val="18"/>
        </w:rPr>
        <w:t>Le Monde du Travail</w:t>
      </w:r>
      <w:r>
        <w:rPr>
          <w:color w:val="231F20"/>
          <w:sz w:val="18"/>
        </w:rPr>
        <w:t>, Paris: Éditions La Découverte.</w:t>
      </w:r>
    </w:p>
    <w:p>
      <w:pPr>
        <w:spacing w:line="254" w:lineRule="auto" w:before="57"/>
        <w:ind w:left="113" w:right="108" w:firstLine="0"/>
        <w:jc w:val="both"/>
        <w:rPr>
          <w:sz w:val="18"/>
        </w:rPr>
      </w:pPr>
      <w:r>
        <w:rPr>
          <w:color w:val="231F20"/>
          <w:sz w:val="18"/>
        </w:rPr>
        <w:t>De</w:t>
      </w:r>
      <w:r>
        <w:rPr>
          <w:color w:val="231F20"/>
          <w:spacing w:val="-10"/>
          <w:sz w:val="18"/>
        </w:rPr>
        <w:t> </w:t>
      </w:r>
      <w:r>
        <w:rPr>
          <w:color w:val="231F20"/>
          <w:sz w:val="18"/>
        </w:rPr>
        <w:t>Oliveira,</w:t>
      </w:r>
      <w:r>
        <w:rPr>
          <w:color w:val="231F20"/>
          <w:spacing w:val="-10"/>
          <w:sz w:val="18"/>
        </w:rPr>
        <w:t> </w:t>
      </w:r>
      <w:r>
        <w:rPr>
          <w:color w:val="231F20"/>
          <w:sz w:val="18"/>
        </w:rPr>
        <w:t>Rosiska</w:t>
      </w:r>
      <w:r>
        <w:rPr>
          <w:color w:val="231F20"/>
          <w:spacing w:val="-10"/>
          <w:sz w:val="18"/>
        </w:rPr>
        <w:t> </w:t>
      </w:r>
      <w:r>
        <w:rPr>
          <w:color w:val="231F20"/>
          <w:sz w:val="18"/>
        </w:rPr>
        <w:t>Darcy</w:t>
      </w:r>
      <w:r>
        <w:rPr>
          <w:color w:val="231F20"/>
          <w:spacing w:val="-10"/>
          <w:sz w:val="18"/>
        </w:rPr>
        <w:t> </w:t>
      </w:r>
      <w:r>
        <w:rPr>
          <w:color w:val="231F20"/>
          <w:sz w:val="18"/>
        </w:rPr>
        <w:t>(2005)</w:t>
      </w:r>
      <w:r>
        <w:rPr>
          <w:color w:val="231F20"/>
          <w:spacing w:val="-10"/>
          <w:sz w:val="18"/>
        </w:rPr>
        <w:t> </w:t>
      </w:r>
      <w:r>
        <w:rPr>
          <w:i/>
          <w:color w:val="231F20"/>
          <w:sz w:val="18"/>
        </w:rPr>
        <w:t>Reengenharia</w:t>
      </w:r>
      <w:r>
        <w:rPr>
          <w:i/>
          <w:color w:val="231F20"/>
          <w:spacing w:val="-11"/>
          <w:sz w:val="18"/>
        </w:rPr>
        <w:t> </w:t>
      </w:r>
      <w:r>
        <w:rPr>
          <w:i/>
          <w:color w:val="231F20"/>
          <w:sz w:val="18"/>
        </w:rPr>
        <w:t>do</w:t>
      </w:r>
      <w:r>
        <w:rPr>
          <w:i/>
          <w:color w:val="231F20"/>
          <w:spacing w:val="-10"/>
          <w:sz w:val="18"/>
        </w:rPr>
        <w:t> </w:t>
      </w:r>
      <w:r>
        <w:rPr>
          <w:i/>
          <w:color w:val="231F20"/>
          <w:sz w:val="18"/>
        </w:rPr>
        <w:t>tempo</w:t>
      </w:r>
      <w:r>
        <w:rPr>
          <w:color w:val="231F20"/>
          <w:sz w:val="18"/>
        </w:rPr>
        <w:t>.</w:t>
      </w:r>
      <w:r>
        <w:rPr>
          <w:color w:val="231F20"/>
          <w:spacing w:val="-10"/>
          <w:sz w:val="18"/>
        </w:rPr>
        <w:t> </w:t>
      </w:r>
      <w:r>
        <w:rPr>
          <w:color w:val="231F20"/>
          <w:sz w:val="18"/>
        </w:rPr>
        <w:t>Ponencia</w:t>
      </w:r>
      <w:r>
        <w:rPr>
          <w:color w:val="231F20"/>
          <w:spacing w:val="-10"/>
          <w:sz w:val="18"/>
        </w:rPr>
        <w:t> </w:t>
      </w:r>
      <w:r>
        <w:rPr>
          <w:color w:val="231F20"/>
          <w:sz w:val="18"/>
        </w:rPr>
        <w:t>presentada en la XXXVIII Reunión de la Mesa Directiva de la Conferencia Regional sobre la</w:t>
      </w:r>
      <w:r>
        <w:rPr>
          <w:color w:val="231F20"/>
          <w:spacing w:val="-2"/>
          <w:sz w:val="18"/>
        </w:rPr>
        <w:t> </w:t>
      </w:r>
      <w:r>
        <w:rPr>
          <w:color w:val="231F20"/>
          <w:sz w:val="18"/>
        </w:rPr>
        <w:t>Mujer</w:t>
      </w:r>
      <w:r>
        <w:rPr>
          <w:color w:val="231F20"/>
          <w:spacing w:val="-2"/>
          <w:sz w:val="18"/>
        </w:rPr>
        <w:t> </w:t>
      </w:r>
      <w:r>
        <w:rPr>
          <w:color w:val="231F20"/>
          <w:sz w:val="18"/>
        </w:rPr>
        <w:t>de</w:t>
      </w:r>
      <w:r>
        <w:rPr>
          <w:color w:val="231F20"/>
          <w:spacing w:val="-13"/>
          <w:sz w:val="18"/>
        </w:rPr>
        <w:t> </w:t>
      </w:r>
      <w:r>
        <w:rPr>
          <w:color w:val="231F20"/>
          <w:sz w:val="18"/>
        </w:rPr>
        <w:t>América</w:t>
      </w:r>
      <w:r>
        <w:rPr>
          <w:color w:val="231F20"/>
          <w:spacing w:val="-2"/>
          <w:sz w:val="18"/>
        </w:rPr>
        <w:t> </w:t>
      </w:r>
      <w:r>
        <w:rPr>
          <w:color w:val="231F20"/>
          <w:sz w:val="18"/>
        </w:rPr>
        <w:t>Latina</w:t>
      </w:r>
      <w:r>
        <w:rPr>
          <w:color w:val="231F20"/>
          <w:spacing w:val="-3"/>
          <w:sz w:val="18"/>
        </w:rPr>
        <w:t> </w:t>
      </w:r>
      <w:r>
        <w:rPr>
          <w:color w:val="231F20"/>
          <w:sz w:val="18"/>
        </w:rPr>
        <w:t>y</w:t>
      </w:r>
      <w:r>
        <w:rPr>
          <w:color w:val="231F20"/>
          <w:spacing w:val="-2"/>
          <w:sz w:val="18"/>
        </w:rPr>
        <w:t> </w:t>
      </w:r>
      <w:r>
        <w:rPr>
          <w:color w:val="231F20"/>
          <w:sz w:val="18"/>
        </w:rPr>
        <w:t>el</w:t>
      </w:r>
      <w:r>
        <w:rPr>
          <w:color w:val="231F20"/>
          <w:spacing w:val="-2"/>
          <w:sz w:val="18"/>
        </w:rPr>
        <w:t> </w:t>
      </w:r>
      <w:r>
        <w:rPr>
          <w:color w:val="231F20"/>
          <w:sz w:val="18"/>
        </w:rPr>
        <w:t>Caribe,</w:t>
      </w:r>
      <w:r>
        <w:rPr>
          <w:color w:val="231F20"/>
          <w:spacing w:val="-2"/>
          <w:sz w:val="18"/>
        </w:rPr>
        <w:t> </w:t>
      </w:r>
      <w:r>
        <w:rPr>
          <w:color w:val="231F20"/>
          <w:sz w:val="18"/>
        </w:rPr>
        <w:t>Mar</w:t>
      </w:r>
      <w:r>
        <w:rPr>
          <w:color w:val="231F20"/>
          <w:spacing w:val="-2"/>
          <w:sz w:val="18"/>
        </w:rPr>
        <w:t> </w:t>
      </w:r>
      <w:r>
        <w:rPr>
          <w:color w:val="231F20"/>
          <w:sz w:val="18"/>
        </w:rPr>
        <w:t>del</w:t>
      </w:r>
      <w:r>
        <w:rPr>
          <w:color w:val="231F20"/>
          <w:spacing w:val="-2"/>
          <w:sz w:val="18"/>
        </w:rPr>
        <w:t> </w:t>
      </w:r>
      <w:r>
        <w:rPr>
          <w:color w:val="231F20"/>
          <w:sz w:val="18"/>
        </w:rPr>
        <w:t>Plata,</w:t>
      </w:r>
      <w:r>
        <w:rPr>
          <w:color w:val="231F20"/>
          <w:spacing w:val="-2"/>
          <w:sz w:val="18"/>
        </w:rPr>
        <w:t> </w:t>
      </w:r>
      <w:r>
        <w:rPr>
          <w:color w:val="231F20"/>
          <w:sz w:val="18"/>
        </w:rPr>
        <w:t>7</w:t>
      </w:r>
      <w:r>
        <w:rPr>
          <w:color w:val="231F20"/>
          <w:spacing w:val="-2"/>
          <w:sz w:val="18"/>
        </w:rPr>
        <w:t> </w:t>
      </w:r>
      <w:r>
        <w:rPr>
          <w:color w:val="231F20"/>
          <w:sz w:val="18"/>
        </w:rPr>
        <w:t>y</w:t>
      </w:r>
      <w:r>
        <w:rPr>
          <w:color w:val="231F20"/>
          <w:spacing w:val="-2"/>
          <w:sz w:val="18"/>
        </w:rPr>
        <w:t> </w:t>
      </w:r>
      <w:r>
        <w:rPr>
          <w:color w:val="231F20"/>
          <w:sz w:val="18"/>
        </w:rPr>
        <w:t>8</w:t>
      </w:r>
      <w:r>
        <w:rPr>
          <w:color w:val="231F20"/>
          <w:spacing w:val="-2"/>
          <w:sz w:val="18"/>
        </w:rPr>
        <w:t> </w:t>
      </w:r>
      <w:r>
        <w:rPr>
          <w:color w:val="231F20"/>
          <w:sz w:val="18"/>
        </w:rPr>
        <w:t>de</w:t>
      </w:r>
      <w:r>
        <w:rPr>
          <w:color w:val="231F20"/>
          <w:spacing w:val="-2"/>
          <w:sz w:val="18"/>
        </w:rPr>
        <w:t> </w:t>
      </w:r>
      <w:r>
        <w:rPr>
          <w:color w:val="231F20"/>
          <w:sz w:val="18"/>
        </w:rPr>
        <w:t>septiembre.</w:t>
      </w:r>
    </w:p>
    <w:p>
      <w:pPr>
        <w:spacing w:line="254" w:lineRule="auto" w:before="57"/>
        <w:ind w:left="113" w:right="108" w:firstLine="0"/>
        <w:jc w:val="both"/>
        <w:rPr>
          <w:sz w:val="18"/>
        </w:rPr>
      </w:pPr>
      <w:r>
        <w:rPr>
          <w:color w:val="231F20"/>
          <w:sz w:val="18"/>
        </w:rPr>
        <w:t>Díaz, Ximena y Eugenia Hola (eds.) (2001) </w:t>
      </w:r>
      <w:r>
        <w:rPr>
          <w:i/>
          <w:color w:val="231F20"/>
          <w:sz w:val="18"/>
        </w:rPr>
        <w:t>Trabajo, flexibilidad y género: ten- </w:t>
      </w:r>
      <w:r>
        <w:rPr>
          <w:i/>
          <w:color w:val="231F20"/>
          <w:sz w:val="18"/>
        </w:rPr>
        <w:t>siones de un proceso</w:t>
      </w:r>
      <w:r>
        <w:rPr>
          <w:color w:val="231F20"/>
          <w:sz w:val="18"/>
        </w:rPr>
        <w:t>, Santiago de Chile: Ediciones CEM.</w:t>
      </w:r>
    </w:p>
    <w:p>
      <w:pPr>
        <w:spacing w:line="254" w:lineRule="auto" w:before="57"/>
        <w:ind w:left="113" w:right="108" w:firstLine="0"/>
        <w:jc w:val="both"/>
        <w:rPr>
          <w:sz w:val="18"/>
        </w:rPr>
      </w:pPr>
      <w:r>
        <w:rPr>
          <w:color w:val="231F20"/>
          <w:sz w:val="18"/>
        </w:rPr>
        <w:t>Díaz, Ximena y Rosalba Todaro (2004) </w:t>
      </w:r>
      <w:r>
        <w:rPr>
          <w:b/>
          <w:color w:val="231F20"/>
          <w:sz w:val="18"/>
        </w:rPr>
        <w:t>“</w:t>
      </w:r>
      <w:r>
        <w:rPr>
          <w:color w:val="231F20"/>
          <w:sz w:val="18"/>
        </w:rPr>
        <w:t>Riesgos e inseguridades de las nuevas formas de uso flexible del tiempo de trabajo”, Serie </w:t>
      </w:r>
      <w:r>
        <w:rPr>
          <w:i/>
          <w:color w:val="231F20"/>
          <w:sz w:val="18"/>
        </w:rPr>
        <w:t>En foco, </w:t>
      </w:r>
      <w:r>
        <w:rPr>
          <w:color w:val="231F20"/>
          <w:sz w:val="18"/>
        </w:rPr>
        <w:t>núm. 35, Santiago de Chile: Expansiva.</w:t>
      </w:r>
    </w:p>
    <w:p>
      <w:pPr>
        <w:spacing w:after="0" w:line="254" w:lineRule="auto"/>
        <w:jc w:val="both"/>
        <w:rPr>
          <w:sz w:val="18"/>
        </w:rPr>
        <w:sectPr>
          <w:footerReference w:type="default" r:id="rId241"/>
          <w:pgSz w:w="7770" w:h="11740"/>
          <w:pgMar w:footer="474" w:header="0" w:top="840" w:bottom="660" w:left="1020" w:right="740"/>
          <w:pgNumType w:start="201"/>
        </w:sectPr>
      </w:pPr>
    </w:p>
    <w:p>
      <w:pPr>
        <w:spacing w:line="254" w:lineRule="auto" w:before="50"/>
        <w:ind w:left="110" w:right="111" w:firstLine="0"/>
        <w:jc w:val="both"/>
        <w:rPr>
          <w:sz w:val="18"/>
        </w:rPr>
      </w:pPr>
      <w:r>
        <w:rPr>
          <w:color w:val="231F20"/>
          <w:sz w:val="18"/>
        </w:rPr>
        <w:t>Fundación Sol (2011) </w:t>
      </w:r>
      <w:r>
        <w:rPr>
          <w:i/>
          <w:color w:val="231F20"/>
          <w:sz w:val="18"/>
        </w:rPr>
        <w:t>Minuta de Empleo N°14</w:t>
      </w:r>
      <w:r>
        <w:rPr>
          <w:color w:val="231F20"/>
          <w:sz w:val="18"/>
        </w:rPr>
        <w:t>, en </w:t>
      </w:r>
      <w:hyperlink r:id="rId242">
        <w:r>
          <w:rPr>
            <w:color w:val="231F20"/>
            <w:sz w:val="18"/>
          </w:rPr>
          <w:t>http://www.fundacionsol.cl/</w:t>
        </w:r>
      </w:hyperlink>
      <w:r>
        <w:rPr>
          <w:color w:val="231F20"/>
          <w:sz w:val="18"/>
        </w:rPr>
        <w:t> wp-content/uploads/2011/12/Minuta-Julio-Septiembre-2011.pdf</w:t>
      </w:r>
    </w:p>
    <w:p>
      <w:pPr>
        <w:spacing w:line="254" w:lineRule="auto" w:before="57"/>
        <w:ind w:left="110" w:right="111" w:firstLine="0"/>
        <w:jc w:val="both"/>
        <w:rPr>
          <w:sz w:val="18"/>
        </w:rPr>
      </w:pPr>
      <w:r>
        <w:rPr>
          <w:color w:val="231F20"/>
          <w:sz w:val="18"/>
        </w:rPr>
        <w:t>Gálvez, Thelma (2001) </w:t>
      </w:r>
      <w:r>
        <w:rPr>
          <w:i/>
          <w:color w:val="231F20"/>
          <w:sz w:val="18"/>
        </w:rPr>
        <w:t>Para reclasificar el empleo: lo clásico y lo nuevo</w:t>
      </w:r>
      <w:r>
        <w:rPr>
          <w:color w:val="231F20"/>
          <w:sz w:val="18"/>
        </w:rPr>
        <w:t>. Cua- derno de Investigación 14, Santiago de Chile: Dirección del Trabajo. Departa- mento de Estudios.</w:t>
      </w:r>
    </w:p>
    <w:p>
      <w:pPr>
        <w:spacing w:line="254" w:lineRule="auto" w:before="57"/>
        <w:ind w:left="110" w:right="111" w:firstLine="0"/>
        <w:jc w:val="both"/>
        <w:rPr>
          <w:sz w:val="18"/>
        </w:rPr>
      </w:pPr>
      <w:r>
        <w:rPr>
          <w:color w:val="231F20"/>
          <w:sz w:val="18"/>
        </w:rPr>
        <w:t>Gálvez, Thelma (2005) </w:t>
      </w:r>
      <w:r>
        <w:rPr>
          <w:i/>
          <w:color w:val="231F20"/>
          <w:sz w:val="18"/>
        </w:rPr>
        <w:t>Flexibilidad laboral ¿Quiénes y cómo se flexibilizan?</w:t>
      </w:r>
      <w:r>
        <w:rPr>
          <w:color w:val="231F20"/>
          <w:sz w:val="18"/>
        </w:rPr>
        <w:t>, Ponencia presentada en </w:t>
      </w:r>
      <w:r>
        <w:rPr>
          <w:i/>
          <w:color w:val="231F20"/>
          <w:sz w:val="18"/>
        </w:rPr>
        <w:t>el Seminario Género y economía: Desafiando fronteras. </w:t>
      </w:r>
      <w:r>
        <w:rPr>
          <w:i/>
          <w:color w:val="231F20"/>
          <w:sz w:val="18"/>
        </w:rPr>
        <w:t>Desarrollo de la disciplina y de las políticas públicas</w:t>
      </w:r>
      <w:r>
        <w:rPr>
          <w:color w:val="231F20"/>
          <w:sz w:val="18"/>
        </w:rPr>
        <w:t>, Centro de Estudios de la Mujer, Santiago de Chile.</w:t>
      </w:r>
    </w:p>
    <w:p>
      <w:pPr>
        <w:spacing w:line="254" w:lineRule="auto" w:before="57"/>
        <w:ind w:left="110" w:right="111" w:firstLine="0"/>
        <w:jc w:val="both"/>
        <w:rPr>
          <w:sz w:val="18"/>
        </w:rPr>
      </w:pPr>
      <w:r>
        <w:rPr>
          <w:color w:val="231F20"/>
          <w:sz w:val="18"/>
        </w:rPr>
        <w:t>Heckman,</w:t>
      </w:r>
      <w:r>
        <w:rPr>
          <w:color w:val="231F20"/>
          <w:spacing w:val="-4"/>
          <w:sz w:val="18"/>
        </w:rPr>
        <w:t> </w:t>
      </w:r>
      <w:r>
        <w:rPr>
          <w:color w:val="231F20"/>
          <w:sz w:val="18"/>
        </w:rPr>
        <w:t>James</w:t>
      </w:r>
      <w:r>
        <w:rPr>
          <w:color w:val="231F20"/>
          <w:spacing w:val="-5"/>
          <w:sz w:val="18"/>
        </w:rPr>
        <w:t> </w:t>
      </w:r>
      <w:r>
        <w:rPr>
          <w:color w:val="231F20"/>
          <w:sz w:val="18"/>
        </w:rPr>
        <w:t>y</w:t>
      </w:r>
      <w:r>
        <w:rPr>
          <w:color w:val="231F20"/>
          <w:spacing w:val="-5"/>
          <w:sz w:val="18"/>
        </w:rPr>
        <w:t> </w:t>
      </w:r>
      <w:r>
        <w:rPr>
          <w:color w:val="231F20"/>
          <w:sz w:val="18"/>
        </w:rPr>
        <w:t>Carmen</w:t>
      </w:r>
      <w:r>
        <w:rPr>
          <w:color w:val="231F20"/>
          <w:spacing w:val="-5"/>
          <w:sz w:val="18"/>
        </w:rPr>
        <w:t> </w:t>
      </w:r>
      <w:r>
        <w:rPr>
          <w:color w:val="231F20"/>
          <w:sz w:val="18"/>
        </w:rPr>
        <w:t>Pagés-Serra</w:t>
      </w:r>
      <w:r>
        <w:rPr>
          <w:color w:val="231F20"/>
          <w:spacing w:val="-4"/>
          <w:sz w:val="18"/>
        </w:rPr>
        <w:t> </w:t>
      </w:r>
      <w:r>
        <w:rPr>
          <w:color w:val="231F20"/>
          <w:sz w:val="18"/>
        </w:rPr>
        <w:t>(2000)</w:t>
      </w:r>
      <w:r>
        <w:rPr>
          <w:color w:val="231F20"/>
          <w:spacing w:val="-5"/>
          <w:sz w:val="18"/>
        </w:rPr>
        <w:t> </w:t>
      </w:r>
      <w:r>
        <w:rPr>
          <w:color w:val="231F20"/>
          <w:sz w:val="18"/>
        </w:rPr>
        <w:t>“The</w:t>
      </w:r>
      <w:r>
        <w:rPr>
          <w:color w:val="231F20"/>
          <w:spacing w:val="-5"/>
          <w:sz w:val="18"/>
        </w:rPr>
        <w:t> </w:t>
      </w:r>
      <w:r>
        <w:rPr>
          <w:color w:val="231F20"/>
          <w:sz w:val="18"/>
        </w:rPr>
        <w:t>Cost</w:t>
      </w:r>
      <w:r>
        <w:rPr>
          <w:color w:val="231F20"/>
          <w:spacing w:val="-5"/>
          <w:sz w:val="18"/>
        </w:rPr>
        <w:t> </w:t>
      </w:r>
      <w:r>
        <w:rPr>
          <w:color w:val="231F20"/>
          <w:sz w:val="18"/>
        </w:rPr>
        <w:t>of</w:t>
      </w:r>
      <w:r>
        <w:rPr>
          <w:color w:val="231F20"/>
          <w:spacing w:val="-5"/>
          <w:sz w:val="18"/>
        </w:rPr>
        <w:t> </w:t>
      </w:r>
      <w:r>
        <w:rPr>
          <w:color w:val="231F20"/>
          <w:sz w:val="18"/>
        </w:rPr>
        <w:t>Job</w:t>
      </w:r>
      <w:r>
        <w:rPr>
          <w:color w:val="231F20"/>
          <w:spacing w:val="-5"/>
          <w:sz w:val="18"/>
        </w:rPr>
        <w:t> </w:t>
      </w:r>
      <w:r>
        <w:rPr>
          <w:color w:val="231F20"/>
          <w:sz w:val="18"/>
        </w:rPr>
        <w:t>Security</w:t>
      </w:r>
      <w:r>
        <w:rPr>
          <w:color w:val="231F20"/>
          <w:spacing w:val="-4"/>
          <w:sz w:val="18"/>
        </w:rPr>
        <w:t> </w:t>
      </w:r>
      <w:r>
        <w:rPr>
          <w:color w:val="231F20"/>
          <w:sz w:val="18"/>
        </w:rPr>
        <w:t>Regu- lation:</w:t>
      </w:r>
      <w:r>
        <w:rPr>
          <w:color w:val="231F20"/>
          <w:spacing w:val="-8"/>
          <w:sz w:val="18"/>
        </w:rPr>
        <w:t> </w:t>
      </w:r>
      <w:r>
        <w:rPr>
          <w:color w:val="231F20"/>
          <w:sz w:val="18"/>
        </w:rPr>
        <w:t>Comments</w:t>
      </w:r>
      <w:r>
        <w:rPr>
          <w:color w:val="231F20"/>
          <w:spacing w:val="-8"/>
          <w:sz w:val="18"/>
        </w:rPr>
        <w:t> </w:t>
      </w:r>
      <w:r>
        <w:rPr>
          <w:color w:val="231F20"/>
          <w:sz w:val="18"/>
        </w:rPr>
        <w:t>Evidence</w:t>
      </w:r>
      <w:r>
        <w:rPr>
          <w:color w:val="231F20"/>
          <w:spacing w:val="-9"/>
          <w:sz w:val="18"/>
        </w:rPr>
        <w:t> </w:t>
      </w:r>
      <w:r>
        <w:rPr>
          <w:color w:val="231F20"/>
          <w:sz w:val="18"/>
        </w:rPr>
        <w:t>from</w:t>
      </w:r>
      <w:r>
        <w:rPr>
          <w:color w:val="231F20"/>
          <w:spacing w:val="-8"/>
          <w:sz w:val="18"/>
        </w:rPr>
        <w:t> </w:t>
      </w:r>
      <w:r>
        <w:rPr>
          <w:color w:val="231F20"/>
          <w:sz w:val="18"/>
        </w:rPr>
        <w:t>Latin</w:t>
      </w:r>
      <w:r>
        <w:rPr>
          <w:color w:val="231F20"/>
          <w:spacing w:val="-18"/>
          <w:sz w:val="18"/>
        </w:rPr>
        <w:t> </w:t>
      </w:r>
      <w:r>
        <w:rPr>
          <w:color w:val="231F20"/>
          <w:sz w:val="18"/>
        </w:rPr>
        <w:t>American</w:t>
      </w:r>
      <w:r>
        <w:rPr>
          <w:color w:val="231F20"/>
          <w:spacing w:val="-8"/>
          <w:sz w:val="18"/>
        </w:rPr>
        <w:t> </w:t>
      </w:r>
      <w:r>
        <w:rPr>
          <w:color w:val="231F20"/>
          <w:sz w:val="18"/>
        </w:rPr>
        <w:t>Labor</w:t>
      </w:r>
      <w:r>
        <w:rPr>
          <w:color w:val="231F20"/>
          <w:spacing w:val="-8"/>
          <w:sz w:val="18"/>
        </w:rPr>
        <w:t> </w:t>
      </w:r>
      <w:r>
        <w:rPr>
          <w:color w:val="231F20"/>
          <w:sz w:val="18"/>
        </w:rPr>
        <w:t>Markets”,</w:t>
      </w:r>
      <w:r>
        <w:rPr>
          <w:color w:val="231F20"/>
          <w:spacing w:val="-8"/>
          <w:sz w:val="18"/>
        </w:rPr>
        <w:t> </w:t>
      </w:r>
      <w:r>
        <w:rPr>
          <w:color w:val="231F20"/>
          <w:sz w:val="18"/>
        </w:rPr>
        <w:t>en</w:t>
      </w:r>
      <w:r>
        <w:rPr>
          <w:color w:val="231F20"/>
          <w:spacing w:val="-8"/>
          <w:sz w:val="18"/>
        </w:rPr>
        <w:t> </w:t>
      </w:r>
      <w:r>
        <w:rPr>
          <w:i/>
          <w:color w:val="231F20"/>
          <w:sz w:val="18"/>
        </w:rPr>
        <w:t>Economia, </w:t>
      </w:r>
      <w:r>
        <w:rPr>
          <w:color w:val="231F20"/>
          <w:sz w:val="18"/>
        </w:rPr>
        <w:t>vol. 1. num. 1, pp. 109-144, Brooking</w:t>
      </w:r>
      <w:r>
        <w:rPr>
          <w:color w:val="231F20"/>
          <w:spacing w:val="-6"/>
          <w:sz w:val="18"/>
        </w:rPr>
        <w:t> </w:t>
      </w:r>
      <w:r>
        <w:rPr>
          <w:color w:val="231F20"/>
          <w:sz w:val="18"/>
        </w:rPr>
        <w:t>Press.</w:t>
      </w:r>
    </w:p>
    <w:p>
      <w:pPr>
        <w:spacing w:line="254" w:lineRule="auto" w:before="57"/>
        <w:ind w:left="110" w:right="111" w:firstLine="0"/>
        <w:jc w:val="both"/>
        <w:rPr>
          <w:sz w:val="18"/>
        </w:rPr>
      </w:pPr>
      <w:r>
        <w:rPr>
          <w:color w:val="231F20"/>
          <w:sz w:val="18"/>
        </w:rPr>
        <w:t>Hirata, Helena (2001) “Flexibilidad, trabajo y género”, en Ximena Díaz y Euge- nia</w:t>
      </w:r>
      <w:r>
        <w:rPr>
          <w:color w:val="231F20"/>
          <w:spacing w:val="-5"/>
          <w:sz w:val="18"/>
        </w:rPr>
        <w:t> </w:t>
      </w:r>
      <w:r>
        <w:rPr>
          <w:color w:val="231F20"/>
          <w:sz w:val="18"/>
        </w:rPr>
        <w:t>Hola</w:t>
      </w:r>
      <w:r>
        <w:rPr>
          <w:color w:val="231F20"/>
          <w:spacing w:val="-5"/>
          <w:sz w:val="18"/>
        </w:rPr>
        <w:t> </w:t>
      </w:r>
      <w:r>
        <w:rPr>
          <w:color w:val="231F20"/>
          <w:sz w:val="18"/>
        </w:rPr>
        <w:t>(eds.)</w:t>
      </w:r>
      <w:r>
        <w:rPr>
          <w:color w:val="231F20"/>
          <w:spacing w:val="-5"/>
          <w:sz w:val="18"/>
        </w:rPr>
        <w:t> </w:t>
      </w:r>
      <w:r>
        <w:rPr>
          <w:i/>
          <w:color w:val="231F20"/>
          <w:sz w:val="18"/>
        </w:rPr>
        <w:t>Trabajo,</w:t>
      </w:r>
      <w:r>
        <w:rPr>
          <w:i/>
          <w:color w:val="231F20"/>
          <w:spacing w:val="-5"/>
          <w:sz w:val="18"/>
        </w:rPr>
        <w:t> </w:t>
      </w:r>
      <w:r>
        <w:rPr>
          <w:i/>
          <w:color w:val="231F20"/>
          <w:sz w:val="18"/>
        </w:rPr>
        <w:t>flexibilidad</w:t>
      </w:r>
      <w:r>
        <w:rPr>
          <w:i/>
          <w:color w:val="231F20"/>
          <w:spacing w:val="-5"/>
          <w:sz w:val="18"/>
        </w:rPr>
        <w:t> </w:t>
      </w:r>
      <w:r>
        <w:rPr>
          <w:i/>
          <w:color w:val="231F20"/>
          <w:sz w:val="18"/>
        </w:rPr>
        <w:t>y</w:t>
      </w:r>
      <w:r>
        <w:rPr>
          <w:i/>
          <w:color w:val="231F20"/>
          <w:spacing w:val="-5"/>
          <w:sz w:val="18"/>
        </w:rPr>
        <w:t> </w:t>
      </w:r>
      <w:r>
        <w:rPr>
          <w:i/>
          <w:color w:val="231F20"/>
          <w:sz w:val="18"/>
        </w:rPr>
        <w:t>género:</w:t>
      </w:r>
      <w:r>
        <w:rPr>
          <w:i/>
          <w:color w:val="231F20"/>
          <w:spacing w:val="-5"/>
          <w:sz w:val="18"/>
        </w:rPr>
        <w:t> </w:t>
      </w:r>
      <w:r>
        <w:rPr>
          <w:i/>
          <w:color w:val="231F20"/>
          <w:sz w:val="18"/>
        </w:rPr>
        <w:t>tensiones</w:t>
      </w:r>
      <w:r>
        <w:rPr>
          <w:i/>
          <w:color w:val="231F20"/>
          <w:spacing w:val="-5"/>
          <w:sz w:val="18"/>
        </w:rPr>
        <w:t> </w:t>
      </w:r>
      <w:r>
        <w:rPr>
          <w:i/>
          <w:color w:val="231F20"/>
          <w:sz w:val="18"/>
        </w:rPr>
        <w:t>de</w:t>
      </w:r>
      <w:r>
        <w:rPr>
          <w:i/>
          <w:color w:val="231F20"/>
          <w:spacing w:val="-5"/>
          <w:sz w:val="18"/>
        </w:rPr>
        <w:t> </w:t>
      </w:r>
      <w:r>
        <w:rPr>
          <w:i/>
          <w:color w:val="231F20"/>
          <w:sz w:val="18"/>
        </w:rPr>
        <w:t>un</w:t>
      </w:r>
      <w:r>
        <w:rPr>
          <w:i/>
          <w:color w:val="231F20"/>
          <w:spacing w:val="-5"/>
          <w:sz w:val="18"/>
        </w:rPr>
        <w:t> </w:t>
      </w:r>
      <w:r>
        <w:rPr>
          <w:i/>
          <w:color w:val="231F20"/>
          <w:sz w:val="18"/>
        </w:rPr>
        <w:t>proceso</w:t>
      </w:r>
      <w:r>
        <w:rPr>
          <w:color w:val="231F20"/>
          <w:sz w:val="18"/>
        </w:rPr>
        <w:t>,</w:t>
      </w:r>
      <w:r>
        <w:rPr>
          <w:color w:val="231F20"/>
          <w:spacing w:val="-5"/>
          <w:sz w:val="18"/>
        </w:rPr>
        <w:t> </w:t>
      </w:r>
      <w:r>
        <w:rPr>
          <w:color w:val="231F20"/>
          <w:sz w:val="18"/>
        </w:rPr>
        <w:t>Santiago de Chile: Ediciones</w:t>
      </w:r>
      <w:r>
        <w:rPr>
          <w:color w:val="231F20"/>
          <w:spacing w:val="-1"/>
          <w:sz w:val="18"/>
        </w:rPr>
        <w:t> </w:t>
      </w:r>
      <w:r>
        <w:rPr>
          <w:color w:val="231F20"/>
          <w:sz w:val="18"/>
        </w:rPr>
        <w:t>CEM.</w:t>
      </w:r>
    </w:p>
    <w:p>
      <w:pPr>
        <w:spacing w:line="254" w:lineRule="auto" w:before="57"/>
        <w:ind w:left="110" w:right="111" w:firstLine="0"/>
        <w:jc w:val="both"/>
        <w:rPr>
          <w:sz w:val="18"/>
        </w:rPr>
      </w:pPr>
      <w:r>
        <w:rPr>
          <w:color w:val="231F20"/>
          <w:sz w:val="18"/>
        </w:rPr>
        <w:t>Nun,</w:t>
      </w:r>
      <w:r>
        <w:rPr>
          <w:color w:val="231F20"/>
          <w:spacing w:val="-4"/>
          <w:sz w:val="18"/>
        </w:rPr>
        <w:t> </w:t>
      </w:r>
      <w:r>
        <w:rPr>
          <w:color w:val="231F20"/>
          <w:sz w:val="18"/>
        </w:rPr>
        <w:t>José</w:t>
      </w:r>
      <w:r>
        <w:rPr>
          <w:color w:val="231F20"/>
          <w:spacing w:val="-4"/>
          <w:sz w:val="18"/>
        </w:rPr>
        <w:t> </w:t>
      </w:r>
      <w:r>
        <w:rPr>
          <w:color w:val="231F20"/>
          <w:sz w:val="18"/>
        </w:rPr>
        <w:t>(2001)</w:t>
      </w:r>
      <w:r>
        <w:rPr>
          <w:color w:val="231F20"/>
          <w:spacing w:val="-4"/>
          <w:sz w:val="18"/>
        </w:rPr>
        <w:t> </w:t>
      </w:r>
      <w:r>
        <w:rPr>
          <w:i/>
          <w:color w:val="231F20"/>
          <w:sz w:val="18"/>
        </w:rPr>
        <w:t>Marginalidad</w:t>
      </w:r>
      <w:r>
        <w:rPr>
          <w:i/>
          <w:color w:val="231F20"/>
          <w:spacing w:val="-4"/>
          <w:sz w:val="18"/>
        </w:rPr>
        <w:t> </w:t>
      </w:r>
      <w:r>
        <w:rPr>
          <w:i/>
          <w:color w:val="231F20"/>
          <w:sz w:val="18"/>
        </w:rPr>
        <w:t>y</w:t>
      </w:r>
      <w:r>
        <w:rPr>
          <w:i/>
          <w:color w:val="231F20"/>
          <w:spacing w:val="-4"/>
          <w:sz w:val="18"/>
        </w:rPr>
        <w:t> </w:t>
      </w:r>
      <w:r>
        <w:rPr>
          <w:i/>
          <w:color w:val="231F20"/>
          <w:sz w:val="18"/>
        </w:rPr>
        <w:t>exclusión</w:t>
      </w:r>
      <w:r>
        <w:rPr>
          <w:i/>
          <w:color w:val="231F20"/>
          <w:spacing w:val="-4"/>
          <w:sz w:val="18"/>
        </w:rPr>
        <w:t> </w:t>
      </w:r>
      <w:r>
        <w:rPr>
          <w:i/>
          <w:color w:val="231F20"/>
          <w:sz w:val="18"/>
        </w:rPr>
        <w:t>social</w:t>
      </w:r>
      <w:r>
        <w:rPr>
          <w:color w:val="231F20"/>
          <w:sz w:val="18"/>
        </w:rPr>
        <w:t>,</w:t>
      </w:r>
      <w:r>
        <w:rPr>
          <w:color w:val="231F20"/>
          <w:spacing w:val="-4"/>
          <w:sz w:val="18"/>
        </w:rPr>
        <w:t> </w:t>
      </w:r>
      <w:r>
        <w:rPr>
          <w:color w:val="231F20"/>
          <w:sz w:val="18"/>
        </w:rPr>
        <w:t>Buenos</w:t>
      </w:r>
      <w:r>
        <w:rPr>
          <w:color w:val="231F20"/>
          <w:spacing w:val="-13"/>
          <w:sz w:val="18"/>
        </w:rPr>
        <w:t> </w:t>
      </w:r>
      <w:r>
        <w:rPr>
          <w:color w:val="231F20"/>
          <w:sz w:val="18"/>
        </w:rPr>
        <w:t>Aires:</w:t>
      </w:r>
      <w:r>
        <w:rPr>
          <w:color w:val="231F20"/>
          <w:spacing w:val="-4"/>
          <w:sz w:val="18"/>
        </w:rPr>
        <w:t> </w:t>
      </w:r>
      <w:r>
        <w:rPr>
          <w:color w:val="231F20"/>
          <w:sz w:val="18"/>
        </w:rPr>
        <w:t>Fondo</w:t>
      </w:r>
      <w:r>
        <w:rPr>
          <w:color w:val="231F20"/>
          <w:spacing w:val="-4"/>
          <w:sz w:val="18"/>
        </w:rPr>
        <w:t> </w:t>
      </w:r>
      <w:r>
        <w:rPr>
          <w:color w:val="231F20"/>
          <w:sz w:val="18"/>
        </w:rPr>
        <w:t>de</w:t>
      </w:r>
      <w:r>
        <w:rPr>
          <w:color w:val="231F20"/>
          <w:spacing w:val="-4"/>
          <w:sz w:val="18"/>
        </w:rPr>
        <w:t> </w:t>
      </w:r>
      <w:r>
        <w:rPr>
          <w:color w:val="231F20"/>
          <w:sz w:val="18"/>
        </w:rPr>
        <w:t>Cul- tura</w:t>
      </w:r>
      <w:r>
        <w:rPr>
          <w:color w:val="231F20"/>
          <w:spacing w:val="-1"/>
          <w:sz w:val="18"/>
        </w:rPr>
        <w:t> </w:t>
      </w:r>
      <w:r>
        <w:rPr>
          <w:color w:val="231F20"/>
          <w:sz w:val="18"/>
        </w:rPr>
        <w:t>Económica.</w:t>
      </w:r>
    </w:p>
    <w:p>
      <w:pPr>
        <w:spacing w:line="254" w:lineRule="auto" w:before="57"/>
        <w:ind w:left="110" w:right="111" w:firstLine="0"/>
        <w:jc w:val="both"/>
        <w:rPr>
          <w:sz w:val="18"/>
        </w:rPr>
      </w:pPr>
      <w:r>
        <w:rPr>
          <w:color w:val="231F20"/>
          <w:sz w:val="18"/>
        </w:rPr>
        <w:t>Pérez Orozco, Amaia (2006) “Amenaza tormenta: la crisis de los cuidados y la reorganización</w:t>
      </w:r>
      <w:r>
        <w:rPr>
          <w:color w:val="231F20"/>
          <w:spacing w:val="-8"/>
          <w:sz w:val="18"/>
        </w:rPr>
        <w:t> </w:t>
      </w:r>
      <w:r>
        <w:rPr>
          <w:color w:val="231F20"/>
          <w:sz w:val="18"/>
        </w:rPr>
        <w:t>del</w:t>
      </w:r>
      <w:r>
        <w:rPr>
          <w:color w:val="231F20"/>
          <w:spacing w:val="-8"/>
          <w:sz w:val="18"/>
        </w:rPr>
        <w:t> </w:t>
      </w:r>
      <w:r>
        <w:rPr>
          <w:color w:val="231F20"/>
          <w:sz w:val="18"/>
        </w:rPr>
        <w:t>sistema</w:t>
      </w:r>
      <w:r>
        <w:rPr>
          <w:color w:val="231F20"/>
          <w:spacing w:val="-7"/>
          <w:sz w:val="18"/>
        </w:rPr>
        <w:t> </w:t>
      </w:r>
      <w:r>
        <w:rPr>
          <w:color w:val="231F20"/>
          <w:sz w:val="18"/>
        </w:rPr>
        <w:t>económico”,</w:t>
      </w:r>
      <w:r>
        <w:rPr>
          <w:color w:val="231F20"/>
          <w:spacing w:val="-8"/>
          <w:sz w:val="18"/>
        </w:rPr>
        <w:t> </w:t>
      </w:r>
      <w:r>
        <w:rPr>
          <w:color w:val="231F20"/>
          <w:sz w:val="18"/>
        </w:rPr>
        <w:t>en</w:t>
      </w:r>
      <w:r>
        <w:rPr>
          <w:color w:val="231F20"/>
          <w:spacing w:val="-8"/>
          <w:sz w:val="18"/>
        </w:rPr>
        <w:t> </w:t>
      </w:r>
      <w:r>
        <w:rPr>
          <w:i/>
          <w:color w:val="231F20"/>
          <w:sz w:val="18"/>
        </w:rPr>
        <w:t>Revista</w:t>
      </w:r>
      <w:r>
        <w:rPr>
          <w:i/>
          <w:color w:val="231F20"/>
          <w:spacing w:val="-8"/>
          <w:sz w:val="18"/>
        </w:rPr>
        <w:t> </w:t>
      </w:r>
      <w:r>
        <w:rPr>
          <w:i/>
          <w:color w:val="231F20"/>
          <w:sz w:val="18"/>
        </w:rPr>
        <w:t>de</w:t>
      </w:r>
      <w:r>
        <w:rPr>
          <w:i/>
          <w:color w:val="231F20"/>
          <w:spacing w:val="-8"/>
          <w:sz w:val="18"/>
        </w:rPr>
        <w:t> </w:t>
      </w:r>
      <w:r>
        <w:rPr>
          <w:i/>
          <w:color w:val="231F20"/>
          <w:sz w:val="18"/>
        </w:rPr>
        <w:t>Economía</w:t>
      </w:r>
      <w:r>
        <w:rPr>
          <w:i/>
          <w:color w:val="231F20"/>
          <w:spacing w:val="-8"/>
          <w:sz w:val="18"/>
        </w:rPr>
        <w:t> </w:t>
      </w:r>
      <w:r>
        <w:rPr>
          <w:i/>
          <w:color w:val="231F20"/>
          <w:sz w:val="18"/>
        </w:rPr>
        <w:t>Crítica</w:t>
      </w:r>
      <w:r>
        <w:rPr>
          <w:color w:val="231F20"/>
          <w:sz w:val="18"/>
        </w:rPr>
        <w:t>,</w:t>
      </w:r>
      <w:r>
        <w:rPr>
          <w:color w:val="231F20"/>
          <w:spacing w:val="-8"/>
          <w:sz w:val="18"/>
        </w:rPr>
        <w:t> </w:t>
      </w:r>
      <w:r>
        <w:rPr>
          <w:color w:val="231F20"/>
          <w:sz w:val="18"/>
        </w:rPr>
        <w:t>núm.</w:t>
      </w:r>
      <w:r>
        <w:rPr>
          <w:color w:val="231F20"/>
          <w:spacing w:val="-8"/>
          <w:sz w:val="18"/>
        </w:rPr>
        <w:t> </w:t>
      </w:r>
      <w:r>
        <w:rPr>
          <w:color w:val="231F20"/>
          <w:sz w:val="18"/>
        </w:rPr>
        <w:t>5.</w:t>
      </w:r>
    </w:p>
    <w:p>
      <w:pPr>
        <w:spacing w:line="254" w:lineRule="auto" w:before="57"/>
        <w:ind w:left="110" w:right="111" w:firstLine="0"/>
        <w:jc w:val="both"/>
        <w:rPr>
          <w:sz w:val="18"/>
        </w:rPr>
      </w:pPr>
      <w:r>
        <w:rPr>
          <w:color w:val="231F20"/>
          <w:sz w:val="18"/>
        </w:rPr>
        <w:t>Perrons, Diane, Colette Fagan, Linda McDowell, Kath Ray, Kevin Ward, (eds.) (2007) </w:t>
      </w:r>
      <w:r>
        <w:rPr>
          <w:i/>
          <w:color w:val="231F20"/>
          <w:sz w:val="18"/>
        </w:rPr>
        <w:t>Gender Divisions and Working Time In The New Economy</w:t>
      </w:r>
      <w:r>
        <w:rPr>
          <w:color w:val="231F20"/>
          <w:sz w:val="18"/>
        </w:rPr>
        <w:t>, Cheltenham: Edward Elgar Publishing Ltd.</w:t>
      </w:r>
    </w:p>
    <w:p>
      <w:pPr>
        <w:spacing w:line="254" w:lineRule="auto" w:before="57"/>
        <w:ind w:left="110" w:right="111" w:firstLine="0"/>
        <w:jc w:val="both"/>
        <w:rPr>
          <w:sz w:val="18"/>
        </w:rPr>
      </w:pPr>
      <w:r>
        <w:rPr>
          <w:color w:val="231F20"/>
          <w:sz w:val="18"/>
        </w:rPr>
        <w:t>Picchio,</w:t>
      </w:r>
      <w:r>
        <w:rPr>
          <w:color w:val="231F20"/>
          <w:spacing w:val="-17"/>
          <w:sz w:val="18"/>
        </w:rPr>
        <w:t> </w:t>
      </w:r>
      <w:r>
        <w:rPr>
          <w:color w:val="231F20"/>
          <w:sz w:val="18"/>
        </w:rPr>
        <w:t>Antonella</w:t>
      </w:r>
      <w:r>
        <w:rPr>
          <w:color w:val="231F20"/>
          <w:spacing w:val="-8"/>
          <w:sz w:val="18"/>
        </w:rPr>
        <w:t> </w:t>
      </w:r>
      <w:r>
        <w:rPr>
          <w:color w:val="231F20"/>
          <w:sz w:val="18"/>
        </w:rPr>
        <w:t>(1994)</w:t>
      </w:r>
      <w:r>
        <w:rPr>
          <w:color w:val="231F20"/>
          <w:spacing w:val="-8"/>
          <w:sz w:val="18"/>
        </w:rPr>
        <w:t> </w:t>
      </w:r>
      <w:r>
        <w:rPr>
          <w:color w:val="231F20"/>
          <w:sz w:val="18"/>
        </w:rPr>
        <w:t>“El</w:t>
      </w:r>
      <w:r>
        <w:rPr>
          <w:color w:val="231F20"/>
          <w:spacing w:val="-8"/>
          <w:sz w:val="18"/>
        </w:rPr>
        <w:t> </w:t>
      </w:r>
      <w:r>
        <w:rPr>
          <w:color w:val="231F20"/>
          <w:sz w:val="18"/>
        </w:rPr>
        <w:t>trabajo</w:t>
      </w:r>
      <w:r>
        <w:rPr>
          <w:color w:val="231F20"/>
          <w:spacing w:val="-8"/>
          <w:sz w:val="18"/>
        </w:rPr>
        <w:t> </w:t>
      </w:r>
      <w:r>
        <w:rPr>
          <w:color w:val="231F20"/>
          <w:sz w:val="18"/>
        </w:rPr>
        <w:t>de</w:t>
      </w:r>
      <w:r>
        <w:rPr>
          <w:color w:val="231F20"/>
          <w:spacing w:val="-8"/>
          <w:sz w:val="18"/>
        </w:rPr>
        <w:t> </w:t>
      </w:r>
      <w:r>
        <w:rPr>
          <w:color w:val="231F20"/>
          <w:sz w:val="18"/>
        </w:rPr>
        <w:t>reproducción,</w:t>
      </w:r>
      <w:r>
        <w:rPr>
          <w:color w:val="231F20"/>
          <w:spacing w:val="-8"/>
          <w:sz w:val="18"/>
        </w:rPr>
        <w:t> </w:t>
      </w:r>
      <w:r>
        <w:rPr>
          <w:color w:val="231F20"/>
          <w:sz w:val="18"/>
        </w:rPr>
        <w:t>tema</w:t>
      </w:r>
      <w:r>
        <w:rPr>
          <w:color w:val="231F20"/>
          <w:spacing w:val="-8"/>
          <w:sz w:val="18"/>
        </w:rPr>
        <w:t> </w:t>
      </w:r>
      <w:r>
        <w:rPr>
          <w:color w:val="231F20"/>
          <w:sz w:val="18"/>
        </w:rPr>
        <w:t>central</w:t>
      </w:r>
      <w:r>
        <w:rPr>
          <w:color w:val="231F20"/>
          <w:spacing w:val="-8"/>
          <w:sz w:val="18"/>
        </w:rPr>
        <w:t> </w:t>
      </w:r>
      <w:r>
        <w:rPr>
          <w:color w:val="231F20"/>
          <w:sz w:val="18"/>
        </w:rPr>
        <w:t>en</w:t>
      </w:r>
      <w:r>
        <w:rPr>
          <w:color w:val="231F20"/>
          <w:spacing w:val="-8"/>
          <w:sz w:val="18"/>
        </w:rPr>
        <w:t> </w:t>
      </w:r>
      <w:r>
        <w:rPr>
          <w:color w:val="231F20"/>
          <w:sz w:val="18"/>
        </w:rPr>
        <w:t>el</w:t>
      </w:r>
      <w:r>
        <w:rPr>
          <w:color w:val="231F20"/>
          <w:spacing w:val="-8"/>
          <w:sz w:val="18"/>
        </w:rPr>
        <w:t> </w:t>
      </w:r>
      <w:r>
        <w:rPr>
          <w:color w:val="231F20"/>
          <w:sz w:val="18"/>
        </w:rPr>
        <w:t>análisis del mercado de trabajo”, en Cristina Borderías, Cristina Carrasco y Carmen</w:t>
      </w:r>
      <w:r>
        <w:rPr>
          <w:color w:val="231F20"/>
          <w:spacing w:val="-28"/>
          <w:sz w:val="18"/>
        </w:rPr>
        <w:t> </w:t>
      </w:r>
      <w:r>
        <w:rPr>
          <w:color w:val="231F20"/>
          <w:sz w:val="18"/>
        </w:rPr>
        <w:t>Ale- many</w:t>
      </w:r>
      <w:r>
        <w:rPr>
          <w:color w:val="231F20"/>
          <w:spacing w:val="-12"/>
          <w:sz w:val="18"/>
        </w:rPr>
        <w:t> </w:t>
      </w:r>
      <w:r>
        <w:rPr>
          <w:color w:val="231F20"/>
          <w:sz w:val="18"/>
        </w:rPr>
        <w:t>(comps.)</w:t>
      </w:r>
      <w:r>
        <w:rPr>
          <w:color w:val="231F20"/>
          <w:spacing w:val="-12"/>
          <w:sz w:val="18"/>
        </w:rPr>
        <w:t> </w:t>
      </w:r>
      <w:r>
        <w:rPr>
          <w:i/>
          <w:color w:val="231F20"/>
          <w:sz w:val="18"/>
        </w:rPr>
        <w:t>Las</w:t>
      </w:r>
      <w:r>
        <w:rPr>
          <w:i/>
          <w:color w:val="231F20"/>
          <w:spacing w:val="-12"/>
          <w:sz w:val="18"/>
        </w:rPr>
        <w:t> </w:t>
      </w:r>
      <w:r>
        <w:rPr>
          <w:i/>
          <w:color w:val="231F20"/>
          <w:sz w:val="18"/>
        </w:rPr>
        <w:t>mujeres</w:t>
      </w:r>
      <w:r>
        <w:rPr>
          <w:i/>
          <w:color w:val="231F20"/>
          <w:spacing w:val="-12"/>
          <w:sz w:val="18"/>
        </w:rPr>
        <w:t> </w:t>
      </w:r>
      <w:r>
        <w:rPr>
          <w:i/>
          <w:color w:val="231F20"/>
          <w:sz w:val="18"/>
        </w:rPr>
        <w:t>y</w:t>
      </w:r>
      <w:r>
        <w:rPr>
          <w:i/>
          <w:color w:val="231F20"/>
          <w:spacing w:val="-12"/>
          <w:sz w:val="18"/>
        </w:rPr>
        <w:t> </w:t>
      </w:r>
      <w:r>
        <w:rPr>
          <w:i/>
          <w:color w:val="231F20"/>
          <w:sz w:val="18"/>
        </w:rPr>
        <w:t>el</w:t>
      </w:r>
      <w:r>
        <w:rPr>
          <w:i/>
          <w:color w:val="231F20"/>
          <w:spacing w:val="-12"/>
          <w:sz w:val="18"/>
        </w:rPr>
        <w:t> </w:t>
      </w:r>
      <w:r>
        <w:rPr>
          <w:i/>
          <w:color w:val="231F20"/>
          <w:sz w:val="18"/>
        </w:rPr>
        <w:t>trabajo.</w:t>
      </w:r>
      <w:r>
        <w:rPr>
          <w:i/>
          <w:color w:val="231F20"/>
          <w:spacing w:val="-12"/>
          <w:sz w:val="18"/>
        </w:rPr>
        <w:t> </w:t>
      </w:r>
      <w:r>
        <w:rPr>
          <w:i/>
          <w:color w:val="231F20"/>
          <w:sz w:val="18"/>
        </w:rPr>
        <w:t>Rupturas</w:t>
      </w:r>
      <w:r>
        <w:rPr>
          <w:i/>
          <w:color w:val="231F20"/>
          <w:spacing w:val="-12"/>
          <w:sz w:val="18"/>
        </w:rPr>
        <w:t> </w:t>
      </w:r>
      <w:r>
        <w:rPr>
          <w:i/>
          <w:color w:val="231F20"/>
          <w:sz w:val="18"/>
        </w:rPr>
        <w:t>conceptuales</w:t>
      </w:r>
      <w:r>
        <w:rPr>
          <w:color w:val="231F20"/>
          <w:sz w:val="18"/>
        </w:rPr>
        <w:t>,</w:t>
      </w:r>
      <w:r>
        <w:rPr>
          <w:color w:val="231F20"/>
          <w:spacing w:val="-12"/>
          <w:sz w:val="18"/>
        </w:rPr>
        <w:t> </w:t>
      </w:r>
      <w:r>
        <w:rPr>
          <w:color w:val="231F20"/>
          <w:sz w:val="18"/>
        </w:rPr>
        <w:t>Madrid:</w:t>
      </w:r>
      <w:r>
        <w:rPr>
          <w:color w:val="231F20"/>
          <w:spacing w:val="-12"/>
          <w:sz w:val="18"/>
        </w:rPr>
        <w:t> </w:t>
      </w:r>
      <w:r>
        <w:rPr>
          <w:color w:val="231F20"/>
          <w:sz w:val="18"/>
        </w:rPr>
        <w:t>Fuhem/ Icaria.</w:t>
      </w:r>
    </w:p>
    <w:p>
      <w:pPr>
        <w:spacing w:line="254" w:lineRule="auto" w:before="57"/>
        <w:ind w:left="110" w:right="111" w:firstLine="0"/>
        <w:jc w:val="both"/>
        <w:rPr>
          <w:sz w:val="18"/>
        </w:rPr>
      </w:pPr>
      <w:r>
        <w:rPr>
          <w:color w:val="231F20"/>
          <w:sz w:val="18"/>
        </w:rPr>
        <w:t>Stecher, Antonio (2012) “Perfiles identitarios de trabajadores de grandes</w:t>
      </w:r>
      <w:r>
        <w:rPr>
          <w:color w:val="231F20"/>
          <w:spacing w:val="-9"/>
          <w:sz w:val="18"/>
        </w:rPr>
        <w:t> </w:t>
      </w:r>
      <w:r>
        <w:rPr>
          <w:color w:val="231F20"/>
          <w:sz w:val="18"/>
        </w:rPr>
        <w:t>empre- sas</w:t>
      </w:r>
      <w:r>
        <w:rPr>
          <w:color w:val="231F20"/>
          <w:spacing w:val="-6"/>
          <w:sz w:val="18"/>
        </w:rPr>
        <w:t> </w:t>
      </w:r>
      <w:r>
        <w:rPr>
          <w:color w:val="231F20"/>
          <w:sz w:val="18"/>
        </w:rPr>
        <w:t>del</w:t>
      </w:r>
      <w:r>
        <w:rPr>
          <w:color w:val="231F20"/>
          <w:spacing w:val="-6"/>
          <w:sz w:val="18"/>
        </w:rPr>
        <w:t> </w:t>
      </w:r>
      <w:r>
        <w:rPr>
          <w:color w:val="231F20"/>
          <w:sz w:val="18"/>
        </w:rPr>
        <w:t>Retail</w:t>
      </w:r>
      <w:r>
        <w:rPr>
          <w:color w:val="231F20"/>
          <w:spacing w:val="-6"/>
          <w:sz w:val="18"/>
        </w:rPr>
        <w:t> </w:t>
      </w:r>
      <w:r>
        <w:rPr>
          <w:color w:val="231F20"/>
          <w:sz w:val="18"/>
        </w:rPr>
        <w:t>en</w:t>
      </w:r>
      <w:r>
        <w:rPr>
          <w:color w:val="231F20"/>
          <w:spacing w:val="-6"/>
          <w:sz w:val="18"/>
        </w:rPr>
        <w:t> </w:t>
      </w:r>
      <w:r>
        <w:rPr>
          <w:color w:val="231F20"/>
          <w:sz w:val="18"/>
        </w:rPr>
        <w:t>Santiago</w:t>
      </w:r>
      <w:r>
        <w:rPr>
          <w:color w:val="231F20"/>
          <w:spacing w:val="-6"/>
          <w:sz w:val="18"/>
        </w:rPr>
        <w:t> </w:t>
      </w:r>
      <w:r>
        <w:rPr>
          <w:color w:val="231F20"/>
          <w:sz w:val="18"/>
        </w:rPr>
        <w:t>de</w:t>
      </w:r>
      <w:r>
        <w:rPr>
          <w:color w:val="231F20"/>
          <w:spacing w:val="-6"/>
          <w:sz w:val="18"/>
        </w:rPr>
        <w:t> </w:t>
      </w:r>
      <w:r>
        <w:rPr>
          <w:color w:val="231F20"/>
          <w:sz w:val="18"/>
        </w:rPr>
        <w:t>Chile:</w:t>
      </w:r>
      <w:r>
        <w:rPr>
          <w:color w:val="231F20"/>
          <w:spacing w:val="-6"/>
          <w:sz w:val="18"/>
        </w:rPr>
        <w:t> </w:t>
      </w:r>
      <w:r>
        <w:rPr>
          <w:color w:val="231F20"/>
          <w:sz w:val="18"/>
        </w:rPr>
        <w:t>aportes</w:t>
      </w:r>
      <w:r>
        <w:rPr>
          <w:color w:val="231F20"/>
          <w:spacing w:val="-6"/>
          <w:sz w:val="18"/>
        </w:rPr>
        <w:t> </w:t>
      </w:r>
      <w:r>
        <w:rPr>
          <w:color w:val="231F20"/>
          <w:sz w:val="18"/>
        </w:rPr>
        <w:t>psicosociales</w:t>
      </w:r>
      <w:r>
        <w:rPr>
          <w:color w:val="231F20"/>
          <w:spacing w:val="-6"/>
          <w:sz w:val="18"/>
        </w:rPr>
        <w:t> </w:t>
      </w:r>
      <w:r>
        <w:rPr>
          <w:color w:val="231F20"/>
          <w:sz w:val="18"/>
        </w:rPr>
        <w:t>a</w:t>
      </w:r>
      <w:r>
        <w:rPr>
          <w:color w:val="231F20"/>
          <w:spacing w:val="-6"/>
          <w:sz w:val="18"/>
        </w:rPr>
        <w:t> </w:t>
      </w:r>
      <w:r>
        <w:rPr>
          <w:color w:val="231F20"/>
          <w:sz w:val="18"/>
        </w:rPr>
        <w:t>la</w:t>
      </w:r>
      <w:r>
        <w:rPr>
          <w:color w:val="231F20"/>
          <w:spacing w:val="-6"/>
          <w:sz w:val="18"/>
        </w:rPr>
        <w:t> </w:t>
      </w:r>
      <w:r>
        <w:rPr>
          <w:color w:val="231F20"/>
          <w:sz w:val="18"/>
        </w:rPr>
        <w:t>comprensión</w:t>
      </w:r>
      <w:r>
        <w:rPr>
          <w:color w:val="231F20"/>
          <w:spacing w:val="-7"/>
          <w:sz w:val="18"/>
        </w:rPr>
        <w:t> </w:t>
      </w:r>
      <w:r>
        <w:rPr>
          <w:color w:val="231F20"/>
          <w:sz w:val="18"/>
        </w:rPr>
        <w:t>de</w:t>
      </w:r>
      <w:r>
        <w:rPr>
          <w:color w:val="231F20"/>
          <w:spacing w:val="-6"/>
          <w:sz w:val="18"/>
        </w:rPr>
        <w:t> </w:t>
      </w:r>
      <w:r>
        <w:rPr>
          <w:color w:val="231F20"/>
          <w:sz w:val="18"/>
        </w:rPr>
        <w:t>las identidades</w:t>
      </w:r>
      <w:r>
        <w:rPr>
          <w:color w:val="231F20"/>
          <w:spacing w:val="-6"/>
          <w:sz w:val="18"/>
        </w:rPr>
        <w:t> </w:t>
      </w:r>
      <w:r>
        <w:rPr>
          <w:color w:val="231F20"/>
          <w:sz w:val="18"/>
        </w:rPr>
        <w:t>laborales”,</w:t>
      </w:r>
      <w:r>
        <w:rPr>
          <w:color w:val="231F20"/>
          <w:spacing w:val="-6"/>
          <w:sz w:val="18"/>
        </w:rPr>
        <w:t> </w:t>
      </w:r>
      <w:r>
        <w:rPr>
          <w:color w:val="231F20"/>
          <w:sz w:val="18"/>
        </w:rPr>
        <w:t>en</w:t>
      </w:r>
      <w:r>
        <w:rPr>
          <w:color w:val="231F20"/>
          <w:spacing w:val="-5"/>
          <w:sz w:val="18"/>
        </w:rPr>
        <w:t> </w:t>
      </w:r>
      <w:r>
        <w:rPr>
          <w:i/>
          <w:color w:val="231F20"/>
          <w:sz w:val="18"/>
        </w:rPr>
        <w:t>Psykhe</w:t>
      </w:r>
      <w:r>
        <w:rPr>
          <w:color w:val="231F20"/>
          <w:sz w:val="18"/>
        </w:rPr>
        <w:t>,</w:t>
      </w:r>
      <w:r>
        <w:rPr>
          <w:color w:val="231F20"/>
          <w:spacing w:val="-5"/>
          <w:sz w:val="18"/>
        </w:rPr>
        <w:t> </w:t>
      </w:r>
      <w:r>
        <w:rPr>
          <w:color w:val="231F20"/>
          <w:sz w:val="18"/>
        </w:rPr>
        <w:t>vol.</w:t>
      </w:r>
      <w:r>
        <w:rPr>
          <w:color w:val="231F20"/>
          <w:spacing w:val="-5"/>
          <w:sz w:val="18"/>
        </w:rPr>
        <w:t> </w:t>
      </w:r>
      <w:r>
        <w:rPr>
          <w:color w:val="231F20"/>
          <w:sz w:val="18"/>
        </w:rPr>
        <w:t>21</w:t>
      </w:r>
      <w:r>
        <w:rPr>
          <w:color w:val="231F20"/>
          <w:spacing w:val="-5"/>
          <w:sz w:val="18"/>
        </w:rPr>
        <w:t> </w:t>
      </w:r>
      <w:r>
        <w:rPr>
          <w:color w:val="231F20"/>
          <w:sz w:val="18"/>
        </w:rPr>
        <w:t>núm.</w:t>
      </w:r>
      <w:r>
        <w:rPr>
          <w:color w:val="231F20"/>
          <w:spacing w:val="-5"/>
          <w:sz w:val="18"/>
        </w:rPr>
        <w:t> </w:t>
      </w:r>
      <w:r>
        <w:rPr>
          <w:color w:val="231F20"/>
          <w:sz w:val="18"/>
        </w:rPr>
        <w:t>2,</w:t>
      </w:r>
      <w:r>
        <w:rPr>
          <w:color w:val="231F20"/>
          <w:spacing w:val="-5"/>
          <w:sz w:val="18"/>
        </w:rPr>
        <w:t> </w:t>
      </w:r>
      <w:r>
        <w:rPr>
          <w:color w:val="231F20"/>
          <w:sz w:val="18"/>
        </w:rPr>
        <w:t>noviembre,</w:t>
      </w:r>
      <w:r>
        <w:rPr>
          <w:color w:val="231F20"/>
          <w:spacing w:val="-5"/>
          <w:sz w:val="18"/>
        </w:rPr>
        <w:t> </w:t>
      </w:r>
      <w:r>
        <w:rPr>
          <w:color w:val="231F20"/>
          <w:sz w:val="18"/>
        </w:rPr>
        <w:t>Santiago</w:t>
      </w:r>
      <w:r>
        <w:rPr>
          <w:color w:val="231F20"/>
          <w:spacing w:val="-5"/>
          <w:sz w:val="18"/>
        </w:rPr>
        <w:t> </w:t>
      </w:r>
      <w:r>
        <w:rPr>
          <w:color w:val="231F20"/>
          <w:sz w:val="18"/>
        </w:rPr>
        <w:t>de</w:t>
      </w:r>
      <w:r>
        <w:rPr>
          <w:color w:val="231F20"/>
          <w:spacing w:val="-5"/>
          <w:sz w:val="18"/>
        </w:rPr>
        <w:t> </w:t>
      </w:r>
      <w:r>
        <w:rPr>
          <w:color w:val="231F20"/>
          <w:sz w:val="18"/>
        </w:rPr>
        <w:t>Chile: Pontificia Universidad Católica de</w:t>
      </w:r>
      <w:r>
        <w:rPr>
          <w:color w:val="231F20"/>
          <w:spacing w:val="-10"/>
          <w:sz w:val="18"/>
        </w:rPr>
        <w:t> </w:t>
      </w:r>
      <w:r>
        <w:rPr>
          <w:color w:val="231F20"/>
          <w:sz w:val="18"/>
        </w:rPr>
        <w:t>Chile.</w:t>
      </w:r>
    </w:p>
    <w:p>
      <w:pPr>
        <w:spacing w:line="254" w:lineRule="auto" w:before="57"/>
        <w:ind w:left="110" w:right="111" w:firstLine="0"/>
        <w:jc w:val="both"/>
        <w:rPr>
          <w:sz w:val="18"/>
        </w:rPr>
      </w:pPr>
      <w:r>
        <w:rPr>
          <w:color w:val="231F20"/>
          <w:sz w:val="18"/>
        </w:rPr>
        <w:t>Todaro, Rosalba y Sonia Yañez (eds.) (2004) </w:t>
      </w:r>
      <w:r>
        <w:rPr>
          <w:i/>
          <w:color w:val="231F20"/>
          <w:sz w:val="18"/>
        </w:rPr>
        <w:t>El trabajo se transforma. Relacio- </w:t>
      </w:r>
      <w:r>
        <w:rPr>
          <w:i/>
          <w:color w:val="231F20"/>
          <w:sz w:val="18"/>
        </w:rPr>
        <w:t>nes de producción y relaciones de género, </w:t>
      </w:r>
      <w:r>
        <w:rPr>
          <w:color w:val="231F20"/>
          <w:sz w:val="18"/>
        </w:rPr>
        <w:t>Santiago de Chile: CEM.</w:t>
      </w:r>
    </w:p>
    <w:p>
      <w:pPr>
        <w:spacing w:line="254" w:lineRule="auto" w:before="57"/>
        <w:ind w:left="110" w:right="111" w:firstLine="0"/>
        <w:jc w:val="both"/>
        <w:rPr>
          <w:sz w:val="18"/>
        </w:rPr>
      </w:pPr>
      <w:r>
        <w:rPr>
          <w:color w:val="231F20"/>
          <w:spacing w:val="-4"/>
          <w:sz w:val="18"/>
        </w:rPr>
        <w:t>Vosko,</w:t>
      </w:r>
      <w:r>
        <w:rPr>
          <w:color w:val="231F20"/>
          <w:spacing w:val="-7"/>
          <w:sz w:val="18"/>
        </w:rPr>
        <w:t> </w:t>
      </w:r>
      <w:r>
        <w:rPr>
          <w:color w:val="231F20"/>
          <w:sz w:val="18"/>
        </w:rPr>
        <w:t>Leah,</w:t>
      </w:r>
      <w:r>
        <w:rPr>
          <w:color w:val="231F20"/>
          <w:spacing w:val="-7"/>
          <w:sz w:val="18"/>
        </w:rPr>
        <w:t> </w:t>
      </w:r>
      <w:r>
        <w:rPr>
          <w:color w:val="231F20"/>
          <w:sz w:val="18"/>
        </w:rPr>
        <w:t>Martha</w:t>
      </w:r>
      <w:r>
        <w:rPr>
          <w:color w:val="231F20"/>
          <w:spacing w:val="-6"/>
          <w:sz w:val="18"/>
        </w:rPr>
        <w:t> </w:t>
      </w:r>
      <w:r>
        <w:rPr>
          <w:color w:val="231F20"/>
          <w:sz w:val="18"/>
        </w:rPr>
        <w:t>MacDonal</w:t>
      </w:r>
      <w:r>
        <w:rPr>
          <w:color w:val="231F20"/>
          <w:spacing w:val="-6"/>
          <w:sz w:val="18"/>
        </w:rPr>
        <w:t> </w:t>
      </w:r>
      <w:r>
        <w:rPr>
          <w:color w:val="231F20"/>
          <w:sz w:val="18"/>
        </w:rPr>
        <w:t>and</w:t>
      </w:r>
      <w:r>
        <w:rPr>
          <w:color w:val="231F20"/>
          <w:spacing w:val="-7"/>
          <w:sz w:val="18"/>
        </w:rPr>
        <w:t> </w:t>
      </w:r>
      <w:r>
        <w:rPr>
          <w:color w:val="231F20"/>
          <w:sz w:val="18"/>
        </w:rPr>
        <w:t>Lain</w:t>
      </w:r>
      <w:r>
        <w:rPr>
          <w:color w:val="231F20"/>
          <w:spacing w:val="-7"/>
          <w:sz w:val="18"/>
        </w:rPr>
        <w:t> </w:t>
      </w:r>
      <w:r>
        <w:rPr>
          <w:color w:val="231F20"/>
          <w:sz w:val="18"/>
        </w:rPr>
        <w:t>Campbell</w:t>
      </w:r>
      <w:r>
        <w:rPr>
          <w:color w:val="231F20"/>
          <w:spacing w:val="-7"/>
          <w:sz w:val="18"/>
        </w:rPr>
        <w:t> </w:t>
      </w:r>
      <w:r>
        <w:rPr>
          <w:color w:val="231F20"/>
          <w:sz w:val="18"/>
        </w:rPr>
        <w:t>(2009)</w:t>
      </w:r>
      <w:r>
        <w:rPr>
          <w:color w:val="231F20"/>
          <w:spacing w:val="-7"/>
          <w:sz w:val="18"/>
        </w:rPr>
        <w:t> </w:t>
      </w:r>
      <w:r>
        <w:rPr>
          <w:i/>
          <w:color w:val="231F20"/>
          <w:sz w:val="18"/>
        </w:rPr>
        <w:t>Gender</w:t>
      </w:r>
      <w:r>
        <w:rPr>
          <w:i/>
          <w:color w:val="231F20"/>
          <w:spacing w:val="-7"/>
          <w:sz w:val="18"/>
        </w:rPr>
        <w:t> </w:t>
      </w:r>
      <w:r>
        <w:rPr>
          <w:i/>
          <w:color w:val="231F20"/>
          <w:sz w:val="18"/>
        </w:rPr>
        <w:t>and</w:t>
      </w:r>
      <w:r>
        <w:rPr>
          <w:i/>
          <w:color w:val="231F20"/>
          <w:spacing w:val="-7"/>
          <w:sz w:val="18"/>
        </w:rPr>
        <w:t> </w:t>
      </w:r>
      <w:r>
        <w:rPr>
          <w:i/>
          <w:color w:val="231F20"/>
          <w:sz w:val="18"/>
        </w:rPr>
        <w:t>the</w:t>
      </w:r>
      <w:r>
        <w:rPr>
          <w:i/>
          <w:color w:val="231F20"/>
          <w:spacing w:val="-7"/>
          <w:sz w:val="18"/>
        </w:rPr>
        <w:t> </w:t>
      </w:r>
      <w:r>
        <w:rPr>
          <w:i/>
          <w:color w:val="231F20"/>
          <w:sz w:val="18"/>
        </w:rPr>
        <w:t>Con- </w:t>
      </w:r>
      <w:r>
        <w:rPr>
          <w:i/>
          <w:color w:val="231F20"/>
          <w:sz w:val="18"/>
        </w:rPr>
        <w:t>tours of Precarious Employment</w:t>
      </w:r>
      <w:r>
        <w:rPr>
          <w:color w:val="231F20"/>
          <w:sz w:val="18"/>
        </w:rPr>
        <w:t>, New </w:t>
      </w:r>
      <w:r>
        <w:rPr>
          <w:color w:val="231F20"/>
          <w:spacing w:val="-5"/>
          <w:sz w:val="18"/>
        </w:rPr>
        <w:t>York </w:t>
      </w:r>
      <w:r>
        <w:rPr>
          <w:color w:val="231F20"/>
          <w:sz w:val="18"/>
        </w:rPr>
        <w:t>and Oxon:</w:t>
      </w:r>
      <w:r>
        <w:rPr>
          <w:color w:val="231F20"/>
          <w:spacing w:val="-18"/>
          <w:sz w:val="18"/>
        </w:rPr>
        <w:t> </w:t>
      </w:r>
      <w:r>
        <w:rPr>
          <w:color w:val="231F20"/>
          <w:sz w:val="18"/>
        </w:rPr>
        <w:t>Routledge.</w:t>
      </w:r>
    </w:p>
    <w:p>
      <w:pPr>
        <w:spacing w:line="254" w:lineRule="auto" w:before="57"/>
        <w:ind w:left="110" w:right="111" w:firstLine="0"/>
        <w:jc w:val="both"/>
        <w:rPr>
          <w:sz w:val="18"/>
        </w:rPr>
      </w:pPr>
      <w:r>
        <w:rPr>
          <w:color w:val="231F20"/>
          <w:sz w:val="18"/>
        </w:rPr>
        <w:t>Wanderley, Fernanda (2003) </w:t>
      </w:r>
      <w:r>
        <w:rPr>
          <w:i/>
          <w:color w:val="231F20"/>
          <w:sz w:val="18"/>
        </w:rPr>
        <w:t>Inserción laboral y trabajo no mercantil. Un abor- </w:t>
      </w:r>
      <w:r>
        <w:rPr>
          <w:i/>
          <w:color w:val="231F20"/>
          <w:sz w:val="18"/>
        </w:rPr>
        <w:t>daje de género desde los hogares</w:t>
      </w:r>
      <w:r>
        <w:rPr>
          <w:color w:val="231F20"/>
          <w:sz w:val="18"/>
        </w:rPr>
        <w:t>, La Paz: CIDES-UMSA/Plural.</w:t>
      </w:r>
    </w:p>
    <w:p>
      <w:pPr>
        <w:spacing w:line="254" w:lineRule="auto" w:before="57"/>
        <w:ind w:left="110" w:right="111" w:firstLine="0"/>
        <w:jc w:val="both"/>
        <w:rPr>
          <w:sz w:val="18"/>
        </w:rPr>
      </w:pPr>
      <w:r>
        <w:rPr>
          <w:color w:val="231F20"/>
          <w:spacing w:val="-3"/>
          <w:sz w:val="18"/>
        </w:rPr>
        <w:t>Yañez, </w:t>
      </w:r>
      <w:r>
        <w:rPr>
          <w:color w:val="231F20"/>
          <w:sz w:val="18"/>
        </w:rPr>
        <w:t>Sonia (2004) “La flexibilidad laboral como nuevo eje de la producción y la</w:t>
      </w:r>
      <w:r>
        <w:rPr>
          <w:color w:val="231F20"/>
          <w:spacing w:val="-8"/>
          <w:sz w:val="18"/>
        </w:rPr>
        <w:t> </w:t>
      </w:r>
      <w:r>
        <w:rPr>
          <w:color w:val="231F20"/>
          <w:sz w:val="18"/>
        </w:rPr>
        <w:t>reproducción”,</w:t>
      </w:r>
      <w:r>
        <w:rPr>
          <w:color w:val="231F20"/>
          <w:spacing w:val="-8"/>
          <w:sz w:val="18"/>
        </w:rPr>
        <w:t> </w:t>
      </w:r>
      <w:r>
        <w:rPr>
          <w:color w:val="231F20"/>
          <w:sz w:val="18"/>
        </w:rPr>
        <w:t>en</w:t>
      </w:r>
      <w:r>
        <w:rPr>
          <w:color w:val="231F20"/>
          <w:spacing w:val="-8"/>
          <w:sz w:val="18"/>
        </w:rPr>
        <w:t> </w:t>
      </w:r>
      <w:r>
        <w:rPr>
          <w:color w:val="231F20"/>
          <w:sz w:val="18"/>
        </w:rPr>
        <w:t>Rosalba</w:t>
      </w:r>
      <w:r>
        <w:rPr>
          <w:color w:val="231F20"/>
          <w:spacing w:val="-11"/>
          <w:sz w:val="18"/>
        </w:rPr>
        <w:t> </w:t>
      </w:r>
      <w:r>
        <w:rPr>
          <w:color w:val="231F20"/>
          <w:spacing w:val="-3"/>
          <w:sz w:val="18"/>
        </w:rPr>
        <w:t>Todaro</w:t>
      </w:r>
      <w:r>
        <w:rPr>
          <w:color w:val="231F20"/>
          <w:spacing w:val="-8"/>
          <w:sz w:val="18"/>
        </w:rPr>
        <w:t> </w:t>
      </w:r>
      <w:r>
        <w:rPr>
          <w:color w:val="231F20"/>
          <w:sz w:val="18"/>
        </w:rPr>
        <w:t>y</w:t>
      </w:r>
      <w:r>
        <w:rPr>
          <w:color w:val="231F20"/>
          <w:spacing w:val="-8"/>
          <w:sz w:val="18"/>
        </w:rPr>
        <w:t> </w:t>
      </w:r>
      <w:r>
        <w:rPr>
          <w:color w:val="231F20"/>
          <w:sz w:val="18"/>
        </w:rPr>
        <w:t>Sonia</w:t>
      </w:r>
      <w:r>
        <w:rPr>
          <w:color w:val="231F20"/>
          <w:spacing w:val="-14"/>
          <w:sz w:val="18"/>
        </w:rPr>
        <w:t> </w:t>
      </w:r>
      <w:r>
        <w:rPr>
          <w:color w:val="231F20"/>
          <w:spacing w:val="-4"/>
          <w:sz w:val="18"/>
        </w:rPr>
        <w:t>Yañez</w:t>
      </w:r>
      <w:r>
        <w:rPr>
          <w:color w:val="231F20"/>
          <w:spacing w:val="-8"/>
          <w:sz w:val="18"/>
        </w:rPr>
        <w:t> </w:t>
      </w:r>
      <w:r>
        <w:rPr>
          <w:color w:val="231F20"/>
          <w:sz w:val="18"/>
        </w:rPr>
        <w:t>(eds.),</w:t>
      </w:r>
      <w:r>
        <w:rPr>
          <w:color w:val="231F20"/>
          <w:spacing w:val="-8"/>
          <w:sz w:val="18"/>
        </w:rPr>
        <w:t> </w:t>
      </w:r>
      <w:r>
        <w:rPr>
          <w:i/>
          <w:color w:val="231F20"/>
          <w:sz w:val="18"/>
        </w:rPr>
        <w:t>El</w:t>
      </w:r>
      <w:r>
        <w:rPr>
          <w:i/>
          <w:color w:val="231F20"/>
          <w:spacing w:val="-8"/>
          <w:sz w:val="18"/>
        </w:rPr>
        <w:t> </w:t>
      </w:r>
      <w:r>
        <w:rPr>
          <w:i/>
          <w:color w:val="231F20"/>
          <w:sz w:val="18"/>
        </w:rPr>
        <w:t>trabajo</w:t>
      </w:r>
      <w:r>
        <w:rPr>
          <w:i/>
          <w:color w:val="231F20"/>
          <w:spacing w:val="-8"/>
          <w:sz w:val="18"/>
        </w:rPr>
        <w:t> </w:t>
      </w:r>
      <w:r>
        <w:rPr>
          <w:i/>
          <w:color w:val="231F20"/>
          <w:sz w:val="18"/>
        </w:rPr>
        <w:t>se</w:t>
      </w:r>
      <w:r>
        <w:rPr>
          <w:i/>
          <w:color w:val="231F20"/>
          <w:spacing w:val="-8"/>
          <w:sz w:val="18"/>
        </w:rPr>
        <w:t> </w:t>
      </w:r>
      <w:r>
        <w:rPr>
          <w:i/>
          <w:color w:val="231F20"/>
          <w:sz w:val="18"/>
        </w:rPr>
        <w:t>transfor- </w:t>
      </w:r>
      <w:r>
        <w:rPr>
          <w:i/>
          <w:color w:val="231F20"/>
          <w:sz w:val="18"/>
        </w:rPr>
        <w:t>ma.</w:t>
      </w:r>
      <w:r>
        <w:rPr>
          <w:i/>
          <w:color w:val="231F20"/>
          <w:spacing w:val="-3"/>
          <w:sz w:val="18"/>
        </w:rPr>
        <w:t> </w:t>
      </w:r>
      <w:r>
        <w:rPr>
          <w:i/>
          <w:color w:val="231F20"/>
          <w:sz w:val="18"/>
        </w:rPr>
        <w:t>Relaciones</w:t>
      </w:r>
      <w:r>
        <w:rPr>
          <w:i/>
          <w:color w:val="231F20"/>
          <w:spacing w:val="-4"/>
          <w:sz w:val="18"/>
        </w:rPr>
        <w:t> </w:t>
      </w:r>
      <w:r>
        <w:rPr>
          <w:i/>
          <w:color w:val="231F20"/>
          <w:sz w:val="18"/>
        </w:rPr>
        <w:t>de</w:t>
      </w:r>
      <w:r>
        <w:rPr>
          <w:i/>
          <w:color w:val="231F20"/>
          <w:spacing w:val="-3"/>
          <w:sz w:val="18"/>
        </w:rPr>
        <w:t> </w:t>
      </w:r>
      <w:r>
        <w:rPr>
          <w:i/>
          <w:color w:val="231F20"/>
          <w:sz w:val="18"/>
        </w:rPr>
        <w:t>producción</w:t>
      </w:r>
      <w:r>
        <w:rPr>
          <w:i/>
          <w:color w:val="231F20"/>
          <w:spacing w:val="-3"/>
          <w:sz w:val="18"/>
        </w:rPr>
        <w:t> </w:t>
      </w:r>
      <w:r>
        <w:rPr>
          <w:i/>
          <w:color w:val="231F20"/>
          <w:sz w:val="18"/>
        </w:rPr>
        <w:t>y</w:t>
      </w:r>
      <w:r>
        <w:rPr>
          <w:i/>
          <w:color w:val="231F20"/>
          <w:spacing w:val="-3"/>
          <w:sz w:val="18"/>
        </w:rPr>
        <w:t> </w:t>
      </w:r>
      <w:r>
        <w:rPr>
          <w:i/>
          <w:color w:val="231F20"/>
          <w:sz w:val="18"/>
        </w:rPr>
        <w:t>relaciones</w:t>
      </w:r>
      <w:r>
        <w:rPr>
          <w:i/>
          <w:color w:val="231F20"/>
          <w:spacing w:val="-4"/>
          <w:sz w:val="18"/>
        </w:rPr>
        <w:t> </w:t>
      </w:r>
      <w:r>
        <w:rPr>
          <w:i/>
          <w:color w:val="231F20"/>
          <w:sz w:val="18"/>
        </w:rPr>
        <w:t>de</w:t>
      </w:r>
      <w:r>
        <w:rPr>
          <w:i/>
          <w:color w:val="231F20"/>
          <w:spacing w:val="-3"/>
          <w:sz w:val="18"/>
        </w:rPr>
        <w:t> </w:t>
      </w:r>
      <w:r>
        <w:rPr>
          <w:i/>
          <w:color w:val="231F20"/>
          <w:sz w:val="18"/>
        </w:rPr>
        <w:t>género,</w:t>
      </w:r>
      <w:r>
        <w:rPr>
          <w:i/>
          <w:color w:val="231F20"/>
          <w:spacing w:val="-3"/>
          <w:sz w:val="18"/>
        </w:rPr>
        <w:t> </w:t>
      </w:r>
      <w:r>
        <w:rPr>
          <w:color w:val="231F20"/>
          <w:sz w:val="18"/>
        </w:rPr>
        <w:t>Santiago</w:t>
      </w:r>
      <w:r>
        <w:rPr>
          <w:color w:val="231F20"/>
          <w:spacing w:val="-3"/>
          <w:sz w:val="18"/>
        </w:rPr>
        <w:t> </w:t>
      </w:r>
      <w:r>
        <w:rPr>
          <w:color w:val="231F20"/>
          <w:sz w:val="18"/>
        </w:rPr>
        <w:t>de</w:t>
      </w:r>
      <w:r>
        <w:rPr>
          <w:color w:val="231F20"/>
          <w:spacing w:val="-3"/>
          <w:sz w:val="18"/>
        </w:rPr>
        <w:t> </w:t>
      </w:r>
      <w:r>
        <w:rPr>
          <w:color w:val="231F20"/>
          <w:sz w:val="18"/>
        </w:rPr>
        <w:t>Chile:</w:t>
      </w:r>
      <w:r>
        <w:rPr>
          <w:color w:val="231F20"/>
          <w:spacing w:val="-3"/>
          <w:sz w:val="18"/>
        </w:rPr>
        <w:t> </w:t>
      </w:r>
      <w:r>
        <w:rPr>
          <w:color w:val="231F20"/>
          <w:sz w:val="18"/>
        </w:rPr>
        <w:t>CEM.</w:t>
      </w:r>
    </w:p>
    <w:p>
      <w:pPr>
        <w:spacing w:after="0" w:line="254" w:lineRule="auto"/>
        <w:jc w:val="both"/>
        <w:rPr>
          <w:sz w:val="18"/>
        </w:rPr>
        <w:sectPr>
          <w:pgSz w:w="7770" w:h="11740"/>
          <w:pgMar w:header="0" w:footer="474" w:top="840" w:bottom="740" w:left="740" w:right="1020"/>
        </w:sectPr>
      </w:pPr>
    </w:p>
    <w:p>
      <w:pPr>
        <w:pStyle w:val="Heading1"/>
        <w:spacing w:before="91"/>
        <w:ind w:left="1697" w:hanging="1228"/>
      </w:pPr>
      <w:r>
        <w:rPr>
          <w:color w:val="231F20"/>
          <w:w w:val="70"/>
        </w:rPr>
        <w:t>Desigualdades de género, trabajo reproductivo y mujeres migrantes. Reflexiones sobre</w:t>
      </w:r>
    </w:p>
    <w:p>
      <w:pPr>
        <w:spacing w:line="407" w:lineRule="exact" w:before="0"/>
        <w:ind w:left="3610" w:right="0" w:firstLine="0"/>
        <w:jc w:val="left"/>
        <w:rPr>
          <w:sz w:val="40"/>
        </w:rPr>
      </w:pPr>
      <w:r>
        <w:rPr>
          <w:color w:val="231F20"/>
          <w:w w:val="70"/>
          <w:sz w:val="40"/>
        </w:rPr>
        <w:t>el debate inconcluso</w:t>
      </w:r>
    </w:p>
    <w:p>
      <w:pPr>
        <w:pStyle w:val="BodyText"/>
        <w:spacing w:before="4"/>
        <w:rPr>
          <w:sz w:val="52"/>
        </w:rPr>
      </w:pPr>
    </w:p>
    <w:p>
      <w:pPr>
        <w:pStyle w:val="Heading3"/>
        <w:ind w:left="3739"/>
      </w:pPr>
      <w:r>
        <w:rPr>
          <w:color w:val="231F20"/>
        </w:rPr>
        <w:t>Norma Baca Tavira*</w:t>
      </w:r>
    </w:p>
    <w:p>
      <w:pPr>
        <w:pStyle w:val="BodyText"/>
        <w:rPr>
          <w:sz w:val="26"/>
        </w:rPr>
      </w:pPr>
    </w:p>
    <w:p>
      <w:pPr>
        <w:pStyle w:val="BodyText"/>
        <w:spacing w:before="6"/>
        <w:rPr>
          <w:sz w:val="35"/>
        </w:rPr>
      </w:pPr>
    </w:p>
    <w:p>
      <w:pPr>
        <w:pStyle w:val="Heading4"/>
        <w:spacing w:before="0"/>
        <w:ind w:right="792"/>
        <w:jc w:val="left"/>
      </w:pPr>
      <w:r>
        <w:rPr>
          <w:w w:val="85"/>
        </w:rPr>
        <w:t>Introducción</w:t>
      </w:r>
    </w:p>
    <w:p>
      <w:pPr>
        <w:pStyle w:val="BodyText"/>
        <w:rPr>
          <w:b/>
        </w:rPr>
      </w:pPr>
    </w:p>
    <w:p>
      <w:pPr>
        <w:pStyle w:val="BodyText"/>
        <w:spacing w:before="5"/>
        <w:rPr>
          <w:b/>
          <w:sz w:val="19"/>
        </w:rPr>
      </w:pPr>
    </w:p>
    <w:p>
      <w:pPr>
        <w:pStyle w:val="BodyText"/>
        <w:spacing w:line="249" w:lineRule="auto"/>
        <w:ind w:left="113" w:right="108"/>
        <w:jc w:val="both"/>
      </w:pPr>
      <w:r>
        <w:rPr>
          <w:color w:val="231F20"/>
        </w:rPr>
        <w:t>Históricamente, las condiciones y requerimientos de la reproducción de la fuerza de trabajo, han estado permeadas por las dinámicas sociales, tecnológicas,</w:t>
      </w:r>
      <w:r>
        <w:rPr>
          <w:color w:val="231F20"/>
          <w:spacing w:val="-11"/>
        </w:rPr>
        <w:t> </w:t>
      </w:r>
      <w:r>
        <w:rPr>
          <w:color w:val="231F20"/>
        </w:rPr>
        <w:t>culturales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respectivas</w:t>
      </w:r>
      <w:r>
        <w:rPr>
          <w:color w:val="231F20"/>
          <w:spacing w:val="-11"/>
        </w:rPr>
        <w:t> </w:t>
      </w:r>
      <w:r>
        <w:rPr>
          <w:color w:val="231F20"/>
        </w:rPr>
        <w:t>formaciones</w:t>
      </w:r>
      <w:r>
        <w:rPr>
          <w:color w:val="231F20"/>
          <w:spacing w:val="-11"/>
        </w:rPr>
        <w:t> </w:t>
      </w:r>
      <w:r>
        <w:rPr>
          <w:color w:val="231F20"/>
        </w:rPr>
        <w:t>socioeconómicas. En el mundo global, la revolución tecnológica, la globalización, la</w:t>
      </w:r>
      <w:r>
        <w:rPr>
          <w:color w:val="231F20"/>
          <w:spacing w:val="-13"/>
        </w:rPr>
        <w:t> </w:t>
      </w:r>
      <w:r>
        <w:rPr>
          <w:color w:val="231F20"/>
        </w:rPr>
        <w:t>flexi- bilidad, en tanto modifican la participación de los seres humanos en los procesos de producción de bienes y servicios han dado origen a nuevas y amplias exigencias de reproducción de la fuerza de trabajo presente    y futura, y a nuevas formas de uso de la fuerza de trabajo individual y colectiva </w:t>
      </w:r>
      <w:r>
        <w:rPr>
          <w:color w:val="231F20"/>
          <w:spacing w:val="-3"/>
        </w:rPr>
        <w:t>(Yañez, </w:t>
      </w:r>
      <w:r>
        <w:rPr>
          <w:color w:val="231F20"/>
        </w:rPr>
        <w:t>2004:</w:t>
      </w:r>
      <w:r>
        <w:rPr>
          <w:color w:val="231F20"/>
          <w:spacing w:val="1"/>
        </w:rPr>
        <w:t> </w:t>
      </w:r>
      <w:r>
        <w:rPr>
          <w:color w:val="231F20"/>
        </w:rPr>
        <w:t>67).</w:t>
      </w:r>
    </w:p>
    <w:p>
      <w:pPr>
        <w:pStyle w:val="BodyText"/>
        <w:spacing w:line="249" w:lineRule="auto" w:before="1"/>
        <w:ind w:left="113" w:right="107" w:firstLine="283"/>
        <w:jc w:val="both"/>
      </w:pPr>
      <w:r>
        <w:rPr>
          <w:color w:val="231F20"/>
        </w:rPr>
        <w:t>La globalización tiene como fundamento estratégico la creación de condiciones</w:t>
      </w:r>
      <w:r>
        <w:rPr>
          <w:color w:val="231F20"/>
          <w:spacing w:val="-7"/>
        </w:rPr>
        <w:t> </w:t>
      </w:r>
      <w:r>
        <w:rPr>
          <w:color w:val="231F20"/>
        </w:rPr>
        <w:t>para</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intercambios</w:t>
      </w:r>
      <w:r>
        <w:rPr>
          <w:color w:val="231F20"/>
          <w:spacing w:val="-7"/>
        </w:rPr>
        <w:t> </w:t>
      </w:r>
      <w:r>
        <w:rPr>
          <w:color w:val="231F20"/>
        </w:rPr>
        <w:t>comerciales</w:t>
      </w:r>
      <w:r>
        <w:rPr>
          <w:color w:val="231F20"/>
          <w:spacing w:val="-7"/>
        </w:rPr>
        <w:t> </w:t>
      </w:r>
      <w:r>
        <w:rPr>
          <w:color w:val="231F20"/>
        </w:rPr>
        <w:t>y</w:t>
      </w:r>
      <w:r>
        <w:rPr>
          <w:color w:val="231F20"/>
          <w:spacing w:val="-6"/>
        </w:rPr>
        <w:t> </w:t>
      </w:r>
      <w:r>
        <w:rPr>
          <w:color w:val="231F20"/>
        </w:rPr>
        <w:t>el</w:t>
      </w:r>
      <w:r>
        <w:rPr>
          <w:color w:val="231F20"/>
          <w:spacing w:val="-6"/>
        </w:rPr>
        <w:t> </w:t>
      </w:r>
      <w:r>
        <w:rPr>
          <w:color w:val="231F20"/>
        </w:rPr>
        <w:t>apro- vechamiento</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mayor</w:t>
      </w:r>
      <w:r>
        <w:rPr>
          <w:color w:val="231F20"/>
          <w:spacing w:val="-10"/>
        </w:rPr>
        <w:t> </w:t>
      </w:r>
      <w:r>
        <w:rPr>
          <w:color w:val="231F20"/>
        </w:rPr>
        <w:t>rentabilidad</w:t>
      </w:r>
      <w:r>
        <w:rPr>
          <w:color w:val="231F20"/>
          <w:spacing w:val="-10"/>
        </w:rPr>
        <w:t> </w:t>
      </w:r>
      <w:r>
        <w:rPr>
          <w:color w:val="231F20"/>
        </w:rPr>
        <w:t>por</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diversos</w:t>
      </w:r>
      <w:r>
        <w:rPr>
          <w:color w:val="231F20"/>
          <w:spacing w:val="-10"/>
        </w:rPr>
        <w:t> </w:t>
      </w:r>
      <w:r>
        <w:rPr>
          <w:color w:val="231F20"/>
        </w:rPr>
        <w:t>sectores capitalistas. En tal sentido, la reestructuración productiva es un proceso fundamental en el avance de la globalización, por lo que los mercados de trabajo se han ajustado a la lógica y escala de los procesos y</w:t>
      </w:r>
      <w:r>
        <w:rPr>
          <w:color w:val="231F20"/>
          <w:spacing w:val="-26"/>
        </w:rPr>
        <w:t> </w:t>
      </w:r>
      <w:r>
        <w:rPr>
          <w:color w:val="231F20"/>
        </w:rPr>
        <w:t>conexio- nes económicas, donde la implementación de procesos flexibles fungen como</w:t>
      </w:r>
      <w:r>
        <w:rPr>
          <w:color w:val="231F20"/>
          <w:spacing w:val="-8"/>
        </w:rPr>
        <w:t> </w:t>
      </w:r>
      <w:r>
        <w:rPr>
          <w:color w:val="231F20"/>
        </w:rPr>
        <w:t>ejes</w:t>
      </w:r>
      <w:r>
        <w:rPr>
          <w:color w:val="231F20"/>
          <w:spacing w:val="-8"/>
        </w:rPr>
        <w:t> </w:t>
      </w:r>
      <w:r>
        <w:rPr>
          <w:color w:val="231F20"/>
        </w:rPr>
        <w:t>claves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reconvención</w:t>
      </w:r>
      <w:r>
        <w:rPr>
          <w:color w:val="231F20"/>
          <w:spacing w:val="-8"/>
        </w:rPr>
        <w:t> </w:t>
      </w:r>
      <w:r>
        <w:rPr>
          <w:color w:val="231F20"/>
        </w:rPr>
        <w:t>productiva,</w:t>
      </w:r>
      <w:r>
        <w:rPr>
          <w:color w:val="231F20"/>
          <w:spacing w:val="-8"/>
        </w:rPr>
        <w:t> </w:t>
      </w:r>
      <w:r>
        <w:rPr>
          <w:color w:val="231F20"/>
        </w:rPr>
        <w:t>pero</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fase</w:t>
      </w:r>
      <w:r>
        <w:rPr>
          <w:color w:val="231F20"/>
          <w:spacing w:val="-8"/>
        </w:rPr>
        <w:t> </w:t>
      </w:r>
      <w:r>
        <w:rPr>
          <w:color w:val="231F20"/>
        </w:rPr>
        <w:t>distinta de internacionalización de la economía, afectando de manera esencial   la estructura del empleo y las ocupaciones, es decir, las relaciones de producción, empero también han sido impactadas las condiciones de    la reproducción social y la relación género-economía, no obstante que “para los hombres y las mujeres, la vinculación con el mercado ha sido históricamente</w:t>
      </w:r>
      <w:r>
        <w:rPr>
          <w:color w:val="231F20"/>
          <w:spacing w:val="-8"/>
        </w:rPr>
        <w:t> </w:t>
      </w:r>
      <w:r>
        <w:rPr>
          <w:color w:val="231F20"/>
        </w:rPr>
        <w:t>distinta,</w:t>
      </w:r>
      <w:r>
        <w:rPr>
          <w:color w:val="231F20"/>
          <w:spacing w:val="-8"/>
        </w:rPr>
        <w:t> </w:t>
      </w:r>
      <w:r>
        <w:rPr>
          <w:color w:val="231F20"/>
        </w:rPr>
        <w:t>con</w:t>
      </w:r>
      <w:r>
        <w:rPr>
          <w:color w:val="231F20"/>
          <w:spacing w:val="-8"/>
        </w:rPr>
        <w:t> </w:t>
      </w:r>
      <w:r>
        <w:rPr>
          <w:color w:val="231F20"/>
        </w:rPr>
        <w:t>consecuencias</w:t>
      </w:r>
      <w:r>
        <w:rPr>
          <w:color w:val="231F20"/>
          <w:spacing w:val="-9"/>
        </w:rPr>
        <w:t> </w:t>
      </w:r>
      <w:r>
        <w:rPr>
          <w:color w:val="231F20"/>
        </w:rPr>
        <w:t>particulares</w:t>
      </w:r>
      <w:r>
        <w:rPr>
          <w:color w:val="231F20"/>
          <w:spacing w:val="-8"/>
        </w:rPr>
        <w:t> </w:t>
      </w:r>
      <w:r>
        <w:rPr>
          <w:color w:val="231F20"/>
        </w:rPr>
        <w:t>en</w:t>
      </w:r>
      <w:r>
        <w:rPr>
          <w:color w:val="231F20"/>
          <w:spacing w:val="-8"/>
        </w:rPr>
        <w:t> </w:t>
      </w:r>
      <w:r>
        <w:rPr>
          <w:color w:val="231F20"/>
        </w:rPr>
        <w:t>sus</w:t>
      </w:r>
      <w:r>
        <w:rPr>
          <w:color w:val="231F20"/>
          <w:spacing w:val="-8"/>
        </w:rPr>
        <w:t> </w:t>
      </w:r>
      <w:r>
        <w:rPr>
          <w:color w:val="231F20"/>
        </w:rPr>
        <w:t>opciones</w:t>
      </w:r>
      <w:r>
        <w:rPr>
          <w:color w:val="231F20"/>
          <w:spacing w:val="-8"/>
        </w:rPr>
        <w:t> </w:t>
      </w:r>
      <w:r>
        <w:rPr>
          <w:color w:val="231F20"/>
        </w:rPr>
        <w:t>y en su conducta” (Benería, 2003:</w:t>
      </w:r>
      <w:r>
        <w:rPr>
          <w:color w:val="231F20"/>
          <w:spacing w:val="-3"/>
        </w:rPr>
        <w:t> </w:t>
      </w:r>
      <w:r>
        <w:rPr>
          <w:color w:val="231F20"/>
        </w:rPr>
        <w:t>24).</w:t>
      </w:r>
    </w:p>
    <w:p>
      <w:pPr>
        <w:spacing w:before="149"/>
        <w:ind w:left="113" w:right="0" w:firstLine="0"/>
        <w:jc w:val="left"/>
        <w:rPr>
          <w:sz w:val="18"/>
        </w:rPr>
      </w:pPr>
      <w:r>
        <w:rPr>
          <w:color w:val="231F20"/>
          <w:sz w:val="14"/>
        </w:rPr>
        <w:t>* </w:t>
      </w:r>
      <w:r>
        <w:rPr>
          <w:color w:val="231F20"/>
          <w:sz w:val="18"/>
        </w:rPr>
        <w:t>Profesora-investigadora de la Universidad Autónoma del Estado de México.</w:t>
      </w:r>
    </w:p>
    <w:p>
      <w:pPr>
        <w:spacing w:after="0"/>
        <w:jc w:val="left"/>
        <w:rPr>
          <w:sz w:val="18"/>
        </w:rPr>
        <w:sectPr>
          <w:footerReference w:type="default" r:id="rId243"/>
          <w:pgSz w:w="7770" w:h="11740"/>
          <w:pgMar w:footer="474" w:header="0" w:top="800" w:bottom="660" w:left="1020" w:right="740"/>
          <w:pgNumType w:start="203"/>
        </w:sectPr>
      </w:pPr>
    </w:p>
    <w:p>
      <w:pPr>
        <w:pStyle w:val="BodyText"/>
        <w:spacing w:line="249" w:lineRule="auto" w:before="50"/>
        <w:ind w:left="110" w:right="110" w:firstLine="283"/>
        <w:jc w:val="both"/>
      </w:pPr>
      <w:r>
        <w:rPr>
          <w:color w:val="231F20"/>
        </w:rPr>
        <w:t>En</w:t>
      </w:r>
      <w:r>
        <w:rPr>
          <w:color w:val="231F20"/>
          <w:spacing w:val="-21"/>
        </w:rPr>
        <w:t> </w:t>
      </w:r>
      <w:r>
        <w:rPr>
          <w:color w:val="231F20"/>
        </w:rPr>
        <w:t>América</w:t>
      </w:r>
      <w:r>
        <w:rPr>
          <w:color w:val="231F20"/>
          <w:spacing w:val="-9"/>
        </w:rPr>
        <w:t> </w:t>
      </w:r>
      <w:r>
        <w:rPr>
          <w:color w:val="231F20"/>
        </w:rPr>
        <w:t>Latina,</w:t>
      </w:r>
      <w:r>
        <w:rPr>
          <w:color w:val="231F20"/>
          <w:spacing w:val="-10"/>
        </w:rPr>
        <w:t> </w:t>
      </w:r>
      <w:r>
        <w:rPr>
          <w:color w:val="231F20"/>
        </w:rPr>
        <w:t>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reestructuración</w:t>
      </w:r>
      <w:r>
        <w:rPr>
          <w:color w:val="231F20"/>
          <w:spacing w:val="-10"/>
        </w:rPr>
        <w:t> </w:t>
      </w:r>
      <w:r>
        <w:rPr>
          <w:color w:val="231F20"/>
        </w:rPr>
        <w:t>productiva,</w:t>
      </w:r>
      <w:r>
        <w:rPr>
          <w:color w:val="231F20"/>
          <w:spacing w:val="-10"/>
        </w:rPr>
        <w:t> </w:t>
      </w:r>
      <w:r>
        <w:rPr>
          <w:color w:val="231F20"/>
        </w:rPr>
        <w:t>coinci- de</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redefinición</w:t>
      </w:r>
      <w:r>
        <w:rPr>
          <w:color w:val="231F20"/>
          <w:spacing w:val="-9"/>
        </w:rPr>
        <w:t> </w:t>
      </w:r>
      <w:r>
        <w:rPr>
          <w:color w:val="231F20"/>
        </w:rPr>
        <w:t>del</w:t>
      </w:r>
      <w:r>
        <w:rPr>
          <w:color w:val="231F20"/>
          <w:spacing w:val="-9"/>
        </w:rPr>
        <w:t> </w:t>
      </w:r>
      <w:r>
        <w:rPr>
          <w:color w:val="231F20"/>
        </w:rPr>
        <w:t>papel</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en</w:t>
      </w:r>
      <w:r>
        <w:rPr>
          <w:color w:val="231F20"/>
          <w:spacing w:val="-9"/>
        </w:rPr>
        <w:t> </w:t>
      </w:r>
      <w:r>
        <w:rPr>
          <w:color w:val="231F20"/>
        </w:rPr>
        <w:t>cuanto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participación</w:t>
      </w:r>
      <w:r>
        <w:rPr>
          <w:color w:val="231F20"/>
          <w:spacing w:val="-9"/>
        </w:rPr>
        <w:t> </w:t>
      </w:r>
      <w:r>
        <w:rPr>
          <w:color w:val="231F20"/>
        </w:rPr>
        <w:t>en la</w:t>
      </w:r>
      <w:r>
        <w:rPr>
          <w:color w:val="231F20"/>
          <w:spacing w:val="-7"/>
        </w:rPr>
        <w:t> </w:t>
      </w:r>
      <w:r>
        <w:rPr>
          <w:color w:val="231F20"/>
        </w:rPr>
        <w:t>economía</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retiro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tareas</w:t>
      </w:r>
      <w:r>
        <w:rPr>
          <w:color w:val="231F20"/>
          <w:spacing w:val="-7"/>
        </w:rPr>
        <w:t> </w:t>
      </w:r>
      <w:r>
        <w:rPr>
          <w:color w:val="231F20"/>
        </w:rPr>
        <w:t>de</w:t>
      </w:r>
      <w:r>
        <w:rPr>
          <w:color w:val="231F20"/>
          <w:spacing w:val="-7"/>
        </w:rPr>
        <w:t> </w:t>
      </w:r>
      <w:r>
        <w:rPr>
          <w:color w:val="231F20"/>
        </w:rPr>
        <w:t>bienestar</w:t>
      </w:r>
      <w:r>
        <w:rPr>
          <w:color w:val="231F20"/>
          <w:spacing w:val="-7"/>
        </w:rPr>
        <w:t> </w:t>
      </w:r>
      <w:r>
        <w:rPr>
          <w:color w:val="231F20"/>
        </w:rPr>
        <w:t>social,</w:t>
      </w:r>
      <w:r>
        <w:rPr>
          <w:color w:val="231F20"/>
          <w:spacing w:val="-7"/>
        </w:rPr>
        <w:t> </w:t>
      </w:r>
      <w:r>
        <w:rPr>
          <w:color w:val="231F20"/>
        </w:rPr>
        <w:t>aunado</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dis- minución de la presencia y acción de los sindicatos.Aplicando una serie de reformas estructurales, un número creciente de países se convirtieron en economías orientadas al mercado y abiertas al resto del mundo. En el decenio de los noventa, la mayoría de las naciones habían implantado   el nuevo modelo económico y avanzaron los procesos de liberalización de las importaciones, liberalización financiera interna e internacional y privatizaciones, además de la reforma laboral. La reconversión produc- tiva ha provocado —en América Latina y en el mundo— un aumento de ocupaciones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pueden</w:t>
      </w:r>
      <w:r>
        <w:rPr>
          <w:color w:val="231F20"/>
          <w:spacing w:val="-11"/>
        </w:rPr>
        <w:t> </w:t>
      </w:r>
      <w:r>
        <w:rPr>
          <w:color w:val="231F20"/>
        </w:rPr>
        <w:t>definir</w:t>
      </w:r>
      <w:r>
        <w:rPr>
          <w:color w:val="231F20"/>
          <w:spacing w:val="-11"/>
        </w:rPr>
        <w:t> </w:t>
      </w:r>
      <w:r>
        <w:rPr>
          <w:color w:val="231F20"/>
        </w:rPr>
        <w:t>como</w:t>
      </w:r>
      <w:r>
        <w:rPr>
          <w:color w:val="231F20"/>
          <w:spacing w:val="-11"/>
        </w:rPr>
        <w:t> </w:t>
      </w:r>
      <w:r>
        <w:rPr>
          <w:color w:val="231F20"/>
        </w:rPr>
        <w:t>precarias</w:t>
      </w:r>
      <w:r>
        <w:rPr>
          <w:color w:val="231F20"/>
          <w:spacing w:val="-11"/>
        </w:rPr>
        <w:t> </w:t>
      </w:r>
      <w:r>
        <w:rPr>
          <w:color w:val="231F20"/>
        </w:rPr>
        <w:t>en</w:t>
      </w:r>
      <w:r>
        <w:rPr>
          <w:color w:val="231F20"/>
          <w:spacing w:val="-11"/>
        </w:rPr>
        <w:t> </w:t>
      </w:r>
      <w:r>
        <w:rPr>
          <w:color w:val="231F20"/>
        </w:rPr>
        <w:t>términos</w:t>
      </w:r>
      <w:r>
        <w:rPr>
          <w:color w:val="231F20"/>
          <w:spacing w:val="-11"/>
        </w:rPr>
        <w:t> </w:t>
      </w:r>
      <w:r>
        <w:rPr>
          <w:color w:val="231F20"/>
        </w:rPr>
        <w:t>de</w:t>
      </w:r>
      <w:r>
        <w:rPr>
          <w:color w:val="231F20"/>
          <w:spacing w:val="-11"/>
        </w:rPr>
        <w:t> </w:t>
      </w:r>
      <w:r>
        <w:rPr>
          <w:color w:val="231F20"/>
        </w:rPr>
        <w:t>discon- tinuidad</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tiempo,</w:t>
      </w:r>
      <w:r>
        <w:rPr>
          <w:color w:val="231F20"/>
          <w:spacing w:val="-6"/>
        </w:rPr>
        <w:t> </w:t>
      </w:r>
      <w:r>
        <w:rPr>
          <w:color w:val="231F20"/>
        </w:rPr>
        <w:t>falta</w:t>
      </w:r>
      <w:r>
        <w:rPr>
          <w:color w:val="231F20"/>
          <w:spacing w:val="-6"/>
        </w:rPr>
        <w:t> </w:t>
      </w:r>
      <w:r>
        <w:rPr>
          <w:color w:val="231F20"/>
        </w:rPr>
        <w:t>de</w:t>
      </w:r>
      <w:r>
        <w:rPr>
          <w:color w:val="231F20"/>
          <w:spacing w:val="-6"/>
        </w:rPr>
        <w:t> </w:t>
      </w:r>
      <w:r>
        <w:rPr>
          <w:color w:val="231F20"/>
        </w:rPr>
        <w:t>regulación</w:t>
      </w:r>
      <w:r>
        <w:rPr>
          <w:color w:val="231F20"/>
          <w:spacing w:val="-6"/>
        </w:rPr>
        <w:t> </w:t>
      </w:r>
      <w:r>
        <w:rPr>
          <w:color w:val="231F20"/>
        </w:rPr>
        <w:t>en</w:t>
      </w:r>
      <w:r>
        <w:rPr>
          <w:color w:val="231F20"/>
          <w:spacing w:val="-6"/>
        </w:rPr>
        <w:t> </w:t>
      </w:r>
      <w:r>
        <w:rPr>
          <w:color w:val="231F20"/>
        </w:rPr>
        <w:t>salarios,</w:t>
      </w:r>
      <w:r>
        <w:rPr>
          <w:color w:val="231F20"/>
          <w:spacing w:val="-5"/>
        </w:rPr>
        <w:t> </w:t>
      </w:r>
      <w:r>
        <w:rPr>
          <w:color w:val="231F20"/>
        </w:rPr>
        <w:t>horarios,</w:t>
      </w:r>
      <w:r>
        <w:rPr>
          <w:color w:val="231F20"/>
          <w:spacing w:val="-6"/>
        </w:rPr>
        <w:t> </w:t>
      </w:r>
      <w:r>
        <w:rPr>
          <w:color w:val="231F20"/>
        </w:rPr>
        <w:t>seguridad social e higiene (Castillo, 2009). Asimismo, las migraciones internacio- nales y una mayor incorporación de fuerza de trabajo femenina y de jó- venes a la diversidad de actividades económicas, parecen consolidarse como rasgos de los mercados de trabajo en la era de la globalización (Castillo, 2009, Baca </w:t>
      </w:r>
      <w:r>
        <w:rPr>
          <w:i/>
          <w:color w:val="231F20"/>
        </w:rPr>
        <w:t>et al</w:t>
      </w:r>
      <w:r>
        <w:rPr>
          <w:color w:val="231F20"/>
        </w:rPr>
        <w:t>.,</w:t>
      </w:r>
      <w:r>
        <w:rPr>
          <w:color w:val="231F20"/>
          <w:spacing w:val="-10"/>
        </w:rPr>
        <w:t> </w:t>
      </w:r>
      <w:r>
        <w:rPr>
          <w:color w:val="231F20"/>
        </w:rPr>
        <w:t>2011).</w:t>
      </w:r>
    </w:p>
    <w:p>
      <w:pPr>
        <w:pStyle w:val="BodyText"/>
        <w:spacing w:line="249" w:lineRule="auto" w:before="1"/>
        <w:ind w:left="110" w:right="111" w:firstLine="283"/>
        <w:jc w:val="both"/>
      </w:pPr>
      <w:r>
        <w:rPr>
          <w:color w:val="231F20"/>
        </w:rPr>
        <w:t>Con la transformación del modelo de producción-desarrollo-acumu- lación, los cambios sociales han sido profundos, pues no sólo se dejó atrás un modelo de regulación fordista, basado en el trabajo asalariado (estable y masculino), sino que se impactó lo que se ha conocido como “sociedad del trabajo”, una sociedad que había colocado en el centro neurálgico del sistema al trabajo, lo cual es de gran trascendencia social en tanto la sociedad del trabajo constituye una categoría que alude a una situación sociopolítica específica, por lo que al entrar en cuestionamien- to,</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replantea</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orden</w:t>
      </w:r>
      <w:r>
        <w:rPr>
          <w:color w:val="231F20"/>
          <w:spacing w:val="-10"/>
        </w:rPr>
        <w:t> </w:t>
      </w:r>
      <w:r>
        <w:rPr>
          <w:color w:val="231F20"/>
        </w:rPr>
        <w:t>social</w:t>
      </w:r>
      <w:r>
        <w:rPr>
          <w:color w:val="231F20"/>
          <w:spacing w:val="-10"/>
        </w:rPr>
        <w:t> </w:t>
      </w:r>
      <w:r>
        <w:rPr>
          <w:color w:val="231F20"/>
        </w:rPr>
        <w:t>específico</w:t>
      </w:r>
      <w:r>
        <w:rPr>
          <w:color w:val="231F20"/>
          <w:spacing w:val="-10"/>
        </w:rPr>
        <w:t> </w:t>
      </w:r>
      <w:r>
        <w:rPr>
          <w:color w:val="231F20"/>
        </w:rPr>
        <w:t>(Beck,</w:t>
      </w:r>
      <w:r>
        <w:rPr>
          <w:color w:val="231F20"/>
          <w:spacing w:val="-10"/>
        </w:rPr>
        <w:t> </w:t>
      </w:r>
      <w:r>
        <w:rPr>
          <w:color w:val="231F20"/>
        </w:rPr>
        <w:t>2002,</w:t>
      </w:r>
      <w:r>
        <w:rPr>
          <w:color w:val="231F20"/>
          <w:spacing w:val="-10"/>
        </w:rPr>
        <w:t> </w:t>
      </w:r>
      <w:r>
        <w:rPr>
          <w:color w:val="231F20"/>
        </w:rPr>
        <w:t>Castillo, 2009). Ahora, las exigencias de la nueva dinámica económica (global, financiera, desregulada), han reconstruido los mercados de trabajo (que comparten rasgos de flexibilización, segmentación, dualización, exclu- sión)</w:t>
      </w:r>
      <w:r>
        <w:rPr>
          <w:color w:val="231F20"/>
          <w:spacing w:val="-10"/>
        </w:rPr>
        <w:t> </w:t>
      </w:r>
      <w:r>
        <w:rPr>
          <w:color w:val="231F20"/>
        </w:rPr>
        <w:t>donde</w:t>
      </w:r>
      <w:r>
        <w:rPr>
          <w:color w:val="231F20"/>
          <w:spacing w:val="-10"/>
        </w:rPr>
        <w:t> </w:t>
      </w:r>
      <w:r>
        <w:rPr>
          <w:color w:val="231F20"/>
        </w:rPr>
        <w:t>los</w:t>
      </w:r>
      <w:r>
        <w:rPr>
          <w:color w:val="231F20"/>
          <w:spacing w:val="-11"/>
        </w:rPr>
        <w:t> </w:t>
      </w:r>
      <w:r>
        <w:rPr>
          <w:color w:val="231F20"/>
        </w:rPr>
        <w:t>trabajadores</w:t>
      </w:r>
      <w:r>
        <w:rPr>
          <w:color w:val="231F20"/>
          <w:spacing w:val="-11"/>
        </w:rPr>
        <w:t> </w:t>
      </w:r>
      <w:r>
        <w:rPr>
          <w:color w:val="231F20"/>
        </w:rPr>
        <w:t>laboran</w:t>
      </w:r>
      <w:r>
        <w:rPr>
          <w:color w:val="231F20"/>
          <w:spacing w:val="-11"/>
        </w:rPr>
        <w:t> </w:t>
      </w:r>
      <w:r>
        <w:rPr>
          <w:color w:val="231F20"/>
        </w:rPr>
        <w:t>en</w:t>
      </w:r>
      <w:r>
        <w:rPr>
          <w:color w:val="231F20"/>
          <w:spacing w:val="-11"/>
        </w:rPr>
        <w:t> </w:t>
      </w:r>
      <w:r>
        <w:rPr>
          <w:color w:val="231F20"/>
        </w:rPr>
        <w:t>la</w:t>
      </w:r>
      <w:r>
        <w:rPr>
          <w:color w:val="231F20"/>
          <w:spacing w:val="-10"/>
        </w:rPr>
        <w:t> </w:t>
      </w:r>
      <w:r>
        <w:rPr>
          <w:color w:val="231F20"/>
        </w:rPr>
        <w:t>incertidumbre</w:t>
      </w:r>
      <w:r>
        <w:rPr>
          <w:color w:val="231F20"/>
          <w:spacing w:val="-11"/>
        </w:rPr>
        <w:t> </w:t>
      </w:r>
      <w:r>
        <w:rPr>
          <w:color w:val="231F20"/>
        </w:rPr>
        <w:t>y</w:t>
      </w:r>
      <w:r>
        <w:rPr>
          <w:color w:val="231F20"/>
          <w:spacing w:val="-10"/>
        </w:rPr>
        <w:t> </w:t>
      </w:r>
      <w:r>
        <w:rPr>
          <w:color w:val="231F20"/>
        </w:rPr>
        <w:t>en</w:t>
      </w:r>
      <w:r>
        <w:rPr>
          <w:color w:val="231F20"/>
          <w:spacing w:val="-11"/>
        </w:rPr>
        <w:t> </w:t>
      </w:r>
      <w:r>
        <w:rPr>
          <w:color w:val="231F20"/>
        </w:rPr>
        <w:t>un</w:t>
      </w:r>
      <w:r>
        <w:rPr>
          <w:color w:val="231F20"/>
          <w:spacing w:val="-10"/>
        </w:rPr>
        <w:t> </w:t>
      </w:r>
      <w:r>
        <w:rPr>
          <w:color w:val="231F20"/>
        </w:rPr>
        <w:t>contexto de vulnerabilidad, claramente bajo condiciones de</w:t>
      </w:r>
      <w:r>
        <w:rPr>
          <w:color w:val="231F20"/>
          <w:spacing w:val="-2"/>
        </w:rPr>
        <w:t> </w:t>
      </w:r>
      <w:r>
        <w:rPr>
          <w:color w:val="231F20"/>
        </w:rPr>
        <w:t>precariedad.</w:t>
      </w:r>
    </w:p>
    <w:p>
      <w:pPr>
        <w:pStyle w:val="BodyText"/>
        <w:spacing w:line="249" w:lineRule="auto" w:before="1"/>
        <w:ind w:left="110" w:right="111" w:firstLine="283"/>
        <w:jc w:val="both"/>
      </w:pPr>
      <w:r>
        <w:rPr>
          <w:color w:val="231F20"/>
        </w:rPr>
        <w:t>La</w:t>
      </w:r>
      <w:r>
        <w:rPr>
          <w:color w:val="231F20"/>
          <w:spacing w:val="-11"/>
        </w:rPr>
        <w:t> </w:t>
      </w:r>
      <w:r>
        <w:rPr>
          <w:color w:val="231F20"/>
        </w:rPr>
        <w:t>precarización</w:t>
      </w:r>
      <w:r>
        <w:rPr>
          <w:color w:val="231F20"/>
          <w:spacing w:val="-11"/>
        </w:rPr>
        <w:t> </w:t>
      </w:r>
      <w:r>
        <w:rPr>
          <w:color w:val="231F20"/>
        </w:rPr>
        <w:t>del</w:t>
      </w:r>
      <w:r>
        <w:rPr>
          <w:color w:val="231F20"/>
          <w:spacing w:val="-11"/>
        </w:rPr>
        <w:t> </w:t>
      </w:r>
      <w:r>
        <w:rPr>
          <w:color w:val="231F20"/>
        </w:rPr>
        <w:t>trabajo</w:t>
      </w:r>
      <w:r>
        <w:rPr>
          <w:color w:val="231F20"/>
          <w:spacing w:val="-12"/>
        </w:rPr>
        <w:t> </w:t>
      </w:r>
      <w:r>
        <w:rPr>
          <w:color w:val="231F20"/>
        </w:rPr>
        <w:t>ha</w:t>
      </w:r>
      <w:r>
        <w:rPr>
          <w:color w:val="231F20"/>
          <w:spacing w:val="-11"/>
        </w:rPr>
        <w:t> </w:t>
      </w:r>
      <w:r>
        <w:rPr>
          <w:color w:val="231F20"/>
        </w:rPr>
        <w:t>coincidido</w:t>
      </w:r>
      <w:r>
        <w:rPr>
          <w:color w:val="231F20"/>
          <w:spacing w:val="-12"/>
        </w:rPr>
        <w:t> </w:t>
      </w:r>
      <w:r>
        <w:rPr>
          <w:color w:val="231F20"/>
        </w:rPr>
        <w:t>con</w:t>
      </w:r>
      <w:r>
        <w:rPr>
          <w:color w:val="231F20"/>
          <w:spacing w:val="-11"/>
        </w:rPr>
        <w:t> </w:t>
      </w:r>
      <w:r>
        <w:rPr>
          <w:color w:val="231F20"/>
        </w:rPr>
        <w:t>la</w:t>
      </w:r>
      <w:r>
        <w:rPr>
          <w:color w:val="231F20"/>
          <w:spacing w:val="-11"/>
        </w:rPr>
        <w:t> </w:t>
      </w:r>
      <w:r>
        <w:rPr>
          <w:color w:val="231F20"/>
        </w:rPr>
        <w:t>tendencia</w:t>
      </w:r>
      <w:r>
        <w:rPr>
          <w:color w:val="231F20"/>
          <w:spacing w:val="-12"/>
        </w:rPr>
        <w:t> </w:t>
      </w:r>
      <w:r>
        <w:rPr>
          <w:color w:val="231F20"/>
        </w:rPr>
        <w:t>de</w:t>
      </w:r>
      <w:r>
        <w:rPr>
          <w:color w:val="231F20"/>
          <w:spacing w:val="-11"/>
        </w:rPr>
        <w:t> </w:t>
      </w:r>
      <w:r>
        <w:rPr>
          <w:color w:val="231F20"/>
        </w:rPr>
        <w:t>femini- zación</w:t>
      </w:r>
      <w:r>
        <w:rPr>
          <w:color w:val="231F20"/>
          <w:spacing w:val="-5"/>
        </w:rPr>
        <w:t> </w:t>
      </w:r>
      <w:r>
        <w:rPr>
          <w:color w:val="231F20"/>
        </w:rPr>
        <w:t>del</w:t>
      </w:r>
      <w:r>
        <w:rPr>
          <w:color w:val="231F20"/>
          <w:spacing w:val="-5"/>
        </w:rPr>
        <w:t> </w:t>
      </w:r>
      <w:r>
        <w:rPr>
          <w:color w:val="231F20"/>
        </w:rPr>
        <w:t>trabajo</w:t>
      </w:r>
      <w:r>
        <w:rPr>
          <w:color w:val="231F20"/>
          <w:position w:val="7"/>
          <w:sz w:val="11"/>
        </w:rPr>
        <w:t>1</w:t>
      </w:r>
      <w:r>
        <w:rPr>
          <w:color w:val="231F20"/>
        </w:rPr>
        <w:t>.</w:t>
      </w:r>
      <w:r>
        <w:rPr>
          <w:color w:val="231F20"/>
          <w:spacing w:val="-5"/>
        </w:rPr>
        <w:t> </w:t>
      </w:r>
      <w:r>
        <w:rPr>
          <w:color w:val="231F20"/>
        </w:rPr>
        <w:t>La</w:t>
      </w:r>
      <w:r>
        <w:rPr>
          <w:color w:val="231F20"/>
          <w:spacing w:val="-5"/>
        </w:rPr>
        <w:t> </w:t>
      </w:r>
      <w:r>
        <w:rPr>
          <w:color w:val="231F20"/>
        </w:rPr>
        <w:t>reestructuración</w:t>
      </w:r>
      <w:r>
        <w:rPr>
          <w:color w:val="231F20"/>
          <w:spacing w:val="-5"/>
        </w:rPr>
        <w:t> </w:t>
      </w:r>
      <w:r>
        <w:rPr>
          <w:color w:val="231F20"/>
        </w:rPr>
        <w:t>económica</w:t>
      </w:r>
      <w:r>
        <w:rPr>
          <w:color w:val="231F20"/>
          <w:spacing w:val="-5"/>
        </w:rPr>
        <w:t> </w:t>
      </w:r>
      <w:r>
        <w:rPr>
          <w:color w:val="231F20"/>
        </w:rPr>
        <w:t>ha</w:t>
      </w:r>
      <w:r>
        <w:rPr>
          <w:color w:val="231F20"/>
          <w:spacing w:val="-5"/>
        </w:rPr>
        <w:t> </w:t>
      </w:r>
      <w:r>
        <w:rPr>
          <w:color w:val="231F20"/>
        </w:rPr>
        <w:t>afectado</w:t>
      </w:r>
      <w:r>
        <w:rPr>
          <w:color w:val="231F20"/>
          <w:spacing w:val="-5"/>
        </w:rPr>
        <w:t> </w:t>
      </w:r>
      <w:r>
        <w:rPr>
          <w:color w:val="231F20"/>
        </w:rPr>
        <w:t>a</w:t>
      </w:r>
      <w:r>
        <w:rPr>
          <w:color w:val="231F20"/>
          <w:spacing w:val="-5"/>
        </w:rPr>
        <w:t> </w:t>
      </w:r>
      <w:r>
        <w:rPr>
          <w:color w:val="231F20"/>
        </w:rPr>
        <w:t>varones y a mujeres de forma bastante diferente. Esto queda referenciado en la evolución</w:t>
      </w:r>
      <w:r>
        <w:rPr>
          <w:color w:val="231F20"/>
          <w:spacing w:val="-4"/>
        </w:rPr>
        <w:t> </w:t>
      </w:r>
      <w:r>
        <w:rPr>
          <w:color w:val="231F20"/>
        </w:rPr>
        <w:t>de</w:t>
      </w:r>
      <w:r>
        <w:rPr>
          <w:color w:val="231F20"/>
          <w:spacing w:val="-3"/>
        </w:rPr>
        <w:t> </w:t>
      </w:r>
      <w:r>
        <w:rPr>
          <w:color w:val="231F20"/>
        </w:rPr>
        <w:t>las</w:t>
      </w:r>
      <w:r>
        <w:rPr>
          <w:color w:val="231F20"/>
          <w:spacing w:val="-3"/>
        </w:rPr>
        <w:t> </w:t>
      </w:r>
      <w:r>
        <w:rPr>
          <w:color w:val="231F20"/>
        </w:rPr>
        <w:t>tasas</w:t>
      </w:r>
      <w:r>
        <w:rPr>
          <w:color w:val="231F20"/>
          <w:spacing w:val="-4"/>
        </w:rPr>
        <w:t> </w:t>
      </w:r>
      <w:r>
        <w:rPr>
          <w:color w:val="231F20"/>
        </w:rPr>
        <w:t>de</w:t>
      </w:r>
      <w:r>
        <w:rPr>
          <w:color w:val="231F20"/>
          <w:spacing w:val="-3"/>
        </w:rPr>
        <w:t> </w:t>
      </w:r>
      <w:r>
        <w:rPr>
          <w:color w:val="231F20"/>
        </w:rPr>
        <w:t>participación</w:t>
      </w:r>
      <w:r>
        <w:rPr>
          <w:color w:val="231F20"/>
          <w:spacing w:val="-3"/>
        </w:rPr>
        <w:t> </w:t>
      </w:r>
      <w:r>
        <w:rPr>
          <w:color w:val="231F20"/>
        </w:rPr>
        <w:t>económica</w:t>
      </w:r>
      <w:r>
        <w:rPr>
          <w:color w:val="231F20"/>
          <w:spacing w:val="-4"/>
        </w:rPr>
        <w:t> </w:t>
      </w:r>
      <w:r>
        <w:rPr>
          <w:color w:val="231F20"/>
        </w:rPr>
        <w:t>de</w:t>
      </w:r>
      <w:r>
        <w:rPr>
          <w:color w:val="231F20"/>
          <w:spacing w:val="-3"/>
        </w:rPr>
        <w:t> </w:t>
      </w:r>
      <w:r>
        <w:rPr>
          <w:color w:val="231F20"/>
        </w:rPr>
        <w:t>unos</w:t>
      </w:r>
      <w:r>
        <w:rPr>
          <w:color w:val="231F20"/>
          <w:spacing w:val="-3"/>
        </w:rPr>
        <w:t> </w:t>
      </w:r>
      <w:r>
        <w:rPr>
          <w:color w:val="231F20"/>
        </w:rPr>
        <w:t>y</w:t>
      </w:r>
      <w:r>
        <w:rPr>
          <w:color w:val="231F20"/>
          <w:spacing w:val="-3"/>
        </w:rPr>
        <w:t> </w:t>
      </w:r>
      <w:r>
        <w:rPr>
          <w:color w:val="231F20"/>
        </w:rPr>
        <w:t>otras,</w:t>
      </w:r>
      <w:r>
        <w:rPr>
          <w:color w:val="231F20"/>
          <w:spacing w:val="-3"/>
        </w:rPr>
        <w:t> </w:t>
      </w:r>
      <w:r>
        <w:rPr>
          <w:color w:val="231F20"/>
        </w:rPr>
        <w:t>en</w:t>
      </w:r>
      <w:r>
        <w:rPr>
          <w:color w:val="231F20"/>
          <w:spacing w:val="-3"/>
        </w:rPr>
        <w:t> </w:t>
      </w:r>
      <w:r>
        <w:rPr>
          <w:color w:val="231F20"/>
        </w:rPr>
        <w:t>los</w:t>
      </w:r>
    </w:p>
    <w:p>
      <w:pPr>
        <w:spacing w:before="126"/>
        <w:ind w:left="110" w:right="111" w:firstLine="0"/>
        <w:jc w:val="both"/>
        <w:rPr>
          <w:sz w:val="14"/>
        </w:rPr>
      </w:pPr>
      <w:r>
        <w:rPr>
          <w:color w:val="231F20"/>
          <w:position w:val="5"/>
          <w:sz w:val="8"/>
        </w:rPr>
        <w:t>1 </w:t>
      </w:r>
      <w:r>
        <w:rPr>
          <w:color w:val="231F20"/>
          <w:sz w:val="14"/>
        </w:rPr>
        <w:t>América Latina y el Caribe han experimentado avances importantes en la participación de las mujeres en el mercado laboral. En 1990, la tasa de participación económica de las mujeres fue de 39 por ciento, para</w:t>
      </w:r>
      <w:r>
        <w:rPr>
          <w:color w:val="231F20"/>
          <w:spacing w:val="-6"/>
          <w:sz w:val="14"/>
        </w:rPr>
        <w:t> </w:t>
      </w:r>
      <w:r>
        <w:rPr>
          <w:color w:val="231F20"/>
          <w:sz w:val="14"/>
        </w:rPr>
        <w:t>1998,</w:t>
      </w:r>
      <w:r>
        <w:rPr>
          <w:color w:val="231F20"/>
          <w:spacing w:val="-6"/>
          <w:sz w:val="14"/>
        </w:rPr>
        <w:t> </w:t>
      </w:r>
      <w:r>
        <w:rPr>
          <w:color w:val="231F20"/>
          <w:sz w:val="14"/>
        </w:rPr>
        <w:t>dicha</w:t>
      </w:r>
      <w:r>
        <w:rPr>
          <w:color w:val="231F20"/>
          <w:spacing w:val="-6"/>
          <w:sz w:val="14"/>
        </w:rPr>
        <w:t> </w:t>
      </w:r>
      <w:r>
        <w:rPr>
          <w:color w:val="231F20"/>
          <w:sz w:val="14"/>
        </w:rPr>
        <w:t>tasa</w:t>
      </w:r>
      <w:r>
        <w:rPr>
          <w:color w:val="231F20"/>
          <w:spacing w:val="-6"/>
          <w:sz w:val="14"/>
        </w:rPr>
        <w:t> </w:t>
      </w:r>
      <w:r>
        <w:rPr>
          <w:color w:val="231F20"/>
          <w:sz w:val="14"/>
        </w:rPr>
        <w:t>fue</w:t>
      </w:r>
      <w:r>
        <w:rPr>
          <w:color w:val="231F20"/>
          <w:spacing w:val="-6"/>
          <w:sz w:val="14"/>
        </w:rPr>
        <w:t> </w:t>
      </w:r>
      <w:r>
        <w:rPr>
          <w:color w:val="231F20"/>
          <w:sz w:val="14"/>
        </w:rPr>
        <w:t>de</w:t>
      </w:r>
      <w:r>
        <w:rPr>
          <w:color w:val="231F20"/>
          <w:spacing w:val="-6"/>
          <w:sz w:val="14"/>
        </w:rPr>
        <w:t> </w:t>
      </w:r>
      <w:r>
        <w:rPr>
          <w:color w:val="231F20"/>
          <w:sz w:val="14"/>
        </w:rPr>
        <w:t>44.7</w:t>
      </w:r>
      <w:r>
        <w:rPr>
          <w:color w:val="231F20"/>
          <w:spacing w:val="-6"/>
          <w:sz w:val="14"/>
        </w:rPr>
        <w:t> </w:t>
      </w:r>
      <w:r>
        <w:rPr>
          <w:color w:val="231F20"/>
          <w:sz w:val="14"/>
        </w:rPr>
        <w:t>por</w:t>
      </w:r>
      <w:r>
        <w:rPr>
          <w:color w:val="231F20"/>
          <w:spacing w:val="-6"/>
          <w:sz w:val="14"/>
        </w:rPr>
        <w:t> </w:t>
      </w:r>
      <w:r>
        <w:rPr>
          <w:color w:val="231F20"/>
          <w:sz w:val="14"/>
        </w:rPr>
        <w:t>ciento</w:t>
      </w:r>
      <w:r>
        <w:rPr>
          <w:color w:val="231F20"/>
          <w:spacing w:val="-6"/>
          <w:sz w:val="14"/>
        </w:rPr>
        <w:t> </w:t>
      </w:r>
      <w:r>
        <w:rPr>
          <w:color w:val="231F20"/>
          <w:sz w:val="14"/>
        </w:rPr>
        <w:t>en</w:t>
      </w:r>
      <w:r>
        <w:rPr>
          <w:color w:val="231F20"/>
          <w:spacing w:val="-6"/>
          <w:sz w:val="14"/>
        </w:rPr>
        <w:t> </w:t>
      </w:r>
      <w:r>
        <w:rPr>
          <w:color w:val="231F20"/>
          <w:sz w:val="14"/>
        </w:rPr>
        <w:t>promedio</w:t>
      </w:r>
      <w:r>
        <w:rPr>
          <w:color w:val="231F20"/>
          <w:spacing w:val="-6"/>
          <w:sz w:val="14"/>
        </w:rPr>
        <w:t> </w:t>
      </w:r>
      <w:r>
        <w:rPr>
          <w:color w:val="231F20"/>
          <w:sz w:val="14"/>
        </w:rPr>
        <w:t>para</w:t>
      </w:r>
      <w:r>
        <w:rPr>
          <w:color w:val="231F20"/>
          <w:spacing w:val="-6"/>
          <w:sz w:val="14"/>
        </w:rPr>
        <w:t> </w:t>
      </w:r>
      <w:r>
        <w:rPr>
          <w:color w:val="231F20"/>
          <w:sz w:val="14"/>
        </w:rPr>
        <w:t>la</w:t>
      </w:r>
      <w:r>
        <w:rPr>
          <w:color w:val="231F20"/>
          <w:spacing w:val="-6"/>
          <w:sz w:val="14"/>
        </w:rPr>
        <w:t> </w:t>
      </w:r>
      <w:r>
        <w:rPr>
          <w:color w:val="231F20"/>
          <w:sz w:val="14"/>
        </w:rPr>
        <w:t>región,</w:t>
      </w:r>
      <w:r>
        <w:rPr>
          <w:color w:val="231F20"/>
          <w:spacing w:val="-6"/>
          <w:sz w:val="14"/>
        </w:rPr>
        <w:t> </w:t>
      </w:r>
      <w:r>
        <w:rPr>
          <w:color w:val="231F20"/>
          <w:sz w:val="14"/>
        </w:rPr>
        <w:t>en</w:t>
      </w:r>
      <w:r>
        <w:rPr>
          <w:color w:val="231F20"/>
          <w:spacing w:val="-6"/>
          <w:sz w:val="14"/>
        </w:rPr>
        <w:t> </w:t>
      </w:r>
      <w:r>
        <w:rPr>
          <w:color w:val="231F20"/>
          <w:sz w:val="14"/>
        </w:rPr>
        <w:t>tanto</w:t>
      </w:r>
      <w:r>
        <w:rPr>
          <w:color w:val="231F20"/>
          <w:spacing w:val="-6"/>
          <w:sz w:val="14"/>
        </w:rPr>
        <w:t> </w:t>
      </w:r>
      <w:r>
        <w:rPr>
          <w:color w:val="231F20"/>
          <w:sz w:val="14"/>
        </w:rPr>
        <w:t>la</w:t>
      </w:r>
      <w:r>
        <w:rPr>
          <w:color w:val="231F20"/>
          <w:spacing w:val="-6"/>
          <w:sz w:val="14"/>
        </w:rPr>
        <w:t> </w:t>
      </w:r>
      <w:r>
        <w:rPr>
          <w:color w:val="231F20"/>
          <w:sz w:val="14"/>
        </w:rPr>
        <w:t>de</w:t>
      </w:r>
      <w:r>
        <w:rPr>
          <w:color w:val="231F20"/>
          <w:spacing w:val="-6"/>
          <w:sz w:val="14"/>
        </w:rPr>
        <w:t> </w:t>
      </w:r>
      <w:r>
        <w:rPr>
          <w:color w:val="231F20"/>
          <w:sz w:val="14"/>
        </w:rPr>
        <w:t>los</w:t>
      </w:r>
      <w:r>
        <w:rPr>
          <w:color w:val="231F20"/>
          <w:spacing w:val="-6"/>
          <w:sz w:val="14"/>
        </w:rPr>
        <w:t> </w:t>
      </w:r>
      <w:r>
        <w:rPr>
          <w:color w:val="231F20"/>
          <w:sz w:val="14"/>
        </w:rPr>
        <w:t>hombres</w:t>
      </w:r>
      <w:r>
        <w:rPr>
          <w:color w:val="231F20"/>
          <w:spacing w:val="-6"/>
          <w:sz w:val="14"/>
        </w:rPr>
        <w:t> </w:t>
      </w:r>
      <w:r>
        <w:rPr>
          <w:color w:val="231F20"/>
          <w:sz w:val="14"/>
        </w:rPr>
        <w:t>fue</w:t>
      </w:r>
      <w:r>
        <w:rPr>
          <w:color w:val="231F20"/>
          <w:spacing w:val="-6"/>
          <w:sz w:val="14"/>
        </w:rPr>
        <w:t> </w:t>
      </w:r>
      <w:r>
        <w:rPr>
          <w:color w:val="231F20"/>
          <w:sz w:val="14"/>
        </w:rPr>
        <w:t>de</w:t>
      </w:r>
    </w:p>
    <w:p>
      <w:pPr>
        <w:spacing w:before="0"/>
        <w:ind w:left="110" w:right="111" w:firstLine="0"/>
        <w:jc w:val="both"/>
        <w:rPr>
          <w:sz w:val="14"/>
        </w:rPr>
      </w:pPr>
      <w:r>
        <w:rPr>
          <w:color w:val="231F20"/>
          <w:sz w:val="14"/>
        </w:rPr>
        <w:t>74.6 por ciento </w:t>
      </w:r>
      <w:r>
        <w:rPr>
          <w:color w:val="231F20"/>
          <w:spacing w:val="-3"/>
          <w:sz w:val="14"/>
        </w:rPr>
        <w:t>(OIT, </w:t>
      </w:r>
      <w:r>
        <w:rPr>
          <w:color w:val="231F20"/>
          <w:sz w:val="14"/>
        </w:rPr>
        <w:t>1999). En 2010, la Comisión Económica para América Latina y el Caribe (Cepal) estimó que las mujeres tuvieron una tasa de participación en la actividad económica de 52.5 por ciento, mientras la tasa de los hombres fue de 79.7 por ciento (Cepal, 2013).</w:t>
      </w:r>
    </w:p>
    <w:p>
      <w:pPr>
        <w:spacing w:after="0"/>
        <w:jc w:val="both"/>
        <w:rPr>
          <w:sz w:val="14"/>
        </w:rPr>
        <w:sectPr>
          <w:pgSz w:w="7770" w:h="11740"/>
          <w:pgMar w:header="0" w:footer="474" w:top="840" w:bottom="740" w:left="740" w:right="1020"/>
        </w:sectPr>
      </w:pPr>
    </w:p>
    <w:p>
      <w:pPr>
        <w:pStyle w:val="BodyText"/>
        <w:spacing w:line="249" w:lineRule="auto" w:before="60"/>
        <w:ind w:left="113" w:right="108"/>
        <w:jc w:val="both"/>
      </w:pPr>
      <w:r>
        <w:rPr>
          <w:color w:val="231F20"/>
        </w:rPr>
        <w:t>cambiantes esquemas de empleo en sectores y profesiones según sexo, así</w:t>
      </w:r>
      <w:r>
        <w:rPr>
          <w:color w:val="231F20"/>
          <w:spacing w:val="-8"/>
        </w:rPr>
        <w:t> </w:t>
      </w:r>
      <w:r>
        <w:rPr>
          <w:color w:val="231F20"/>
        </w:rPr>
        <w:t>como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significativa</w:t>
      </w:r>
      <w:r>
        <w:rPr>
          <w:color w:val="231F20"/>
          <w:spacing w:val="-9"/>
        </w:rPr>
        <w:t> </w:t>
      </w:r>
      <w:r>
        <w:rPr>
          <w:color w:val="231F20"/>
        </w:rPr>
        <w:t>presencia</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contingentes de trabajadores internacionales que se movilizan entre regiones y países en un contexto de economía</w:t>
      </w:r>
      <w:r>
        <w:rPr>
          <w:color w:val="231F20"/>
          <w:spacing w:val="-3"/>
        </w:rPr>
        <w:t> </w:t>
      </w:r>
      <w:r>
        <w:rPr>
          <w:color w:val="231F20"/>
        </w:rPr>
        <w:t>global.</w:t>
      </w:r>
    </w:p>
    <w:p>
      <w:pPr>
        <w:pStyle w:val="BodyText"/>
        <w:spacing w:line="249" w:lineRule="auto" w:before="1"/>
        <w:ind w:left="113" w:right="108" w:firstLine="283"/>
        <w:jc w:val="both"/>
      </w:pPr>
      <w:r>
        <w:rPr>
          <w:color w:val="231F20"/>
        </w:rPr>
        <w:t>Las transformaciones económicas han generado cambios no sólo a nivel</w:t>
      </w:r>
      <w:r>
        <w:rPr>
          <w:color w:val="231F20"/>
          <w:spacing w:val="-9"/>
        </w:rPr>
        <w:t> </w:t>
      </w:r>
      <w:r>
        <w:rPr>
          <w:color w:val="231F20"/>
        </w:rPr>
        <w:t>territorial</w:t>
      </w:r>
      <w:r>
        <w:rPr>
          <w:color w:val="231F20"/>
          <w:spacing w:val="-9"/>
        </w:rPr>
        <w:t> </w:t>
      </w:r>
      <w:r>
        <w:rPr>
          <w:color w:val="231F20"/>
        </w:rPr>
        <w:t>en</w:t>
      </w:r>
      <w:r>
        <w:rPr>
          <w:color w:val="231F20"/>
          <w:spacing w:val="-9"/>
        </w:rPr>
        <w:t> </w:t>
      </w:r>
      <w:r>
        <w:rPr>
          <w:color w:val="231F20"/>
        </w:rPr>
        <w:t>cuanto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emergencia</w:t>
      </w:r>
      <w:r>
        <w:rPr>
          <w:color w:val="231F20"/>
          <w:spacing w:val="-9"/>
        </w:rPr>
        <w:t> </w:t>
      </w:r>
      <w:r>
        <w:rPr>
          <w:color w:val="231F20"/>
        </w:rPr>
        <w:t>de</w:t>
      </w:r>
      <w:r>
        <w:rPr>
          <w:color w:val="231F20"/>
          <w:spacing w:val="-9"/>
        </w:rPr>
        <w:t> </w:t>
      </w:r>
      <w:r>
        <w:rPr>
          <w:color w:val="231F20"/>
        </w:rPr>
        <w:t>nuevas</w:t>
      </w:r>
      <w:r>
        <w:rPr>
          <w:color w:val="231F20"/>
          <w:spacing w:val="-9"/>
        </w:rPr>
        <w:t> </w:t>
      </w:r>
      <w:r>
        <w:rPr>
          <w:color w:val="231F20"/>
        </w:rPr>
        <w:t>dinámicas</w:t>
      </w:r>
      <w:r>
        <w:rPr>
          <w:color w:val="231F20"/>
          <w:spacing w:val="-9"/>
        </w:rPr>
        <w:t> </w:t>
      </w:r>
      <w:r>
        <w:rPr>
          <w:color w:val="231F20"/>
        </w:rPr>
        <w:t>socioeco- nómicas, una diversidad de grupos y sujetos aparecen como elementos centrales en ciertas dinámicas socioeconómicas de la escena global. La feminización de la migración internacional o la mayor participación de la fuerza de trabajo femenina en circuitos migratorios transnacionales es un ejemplo de</w:t>
      </w:r>
      <w:r>
        <w:rPr>
          <w:color w:val="231F20"/>
          <w:spacing w:val="-1"/>
        </w:rPr>
        <w:t> </w:t>
      </w:r>
      <w:r>
        <w:rPr>
          <w:color w:val="231F20"/>
        </w:rPr>
        <w:t>ello.</w:t>
      </w:r>
    </w:p>
    <w:p>
      <w:pPr>
        <w:pStyle w:val="BodyText"/>
        <w:spacing w:line="249" w:lineRule="auto" w:before="1"/>
        <w:ind w:left="113" w:right="107" w:firstLine="283"/>
        <w:jc w:val="both"/>
      </w:pPr>
      <w:r>
        <w:rPr>
          <w:color w:val="231F20"/>
        </w:rPr>
        <w:t>No hay duda que en la base de los desplazamientos espaciales de la población —con excepción de migraciones forzosas— se encuentran las desigualdades económicas y sociales dentro de cada país y entre los paí- ses, en el contexto de las transformaciones estructurales de los</w:t>
      </w:r>
      <w:r>
        <w:rPr>
          <w:color w:val="231F20"/>
          <w:spacing w:val="-33"/>
        </w:rPr>
        <w:t> </w:t>
      </w:r>
      <w:r>
        <w:rPr>
          <w:color w:val="231F20"/>
        </w:rPr>
        <w:t>mercados de</w:t>
      </w:r>
      <w:r>
        <w:rPr>
          <w:color w:val="231F20"/>
          <w:spacing w:val="-5"/>
        </w:rPr>
        <w:t> </w:t>
      </w:r>
      <w:r>
        <w:rPr>
          <w:color w:val="231F20"/>
        </w:rPr>
        <w:t>trabajo.</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estudio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movilidades</w:t>
      </w:r>
      <w:r>
        <w:rPr>
          <w:color w:val="231F20"/>
          <w:spacing w:val="-5"/>
        </w:rPr>
        <w:t> </w:t>
      </w:r>
      <w:r>
        <w:rPr>
          <w:color w:val="231F20"/>
        </w:rPr>
        <w:t>laborales</w:t>
      </w:r>
      <w:r>
        <w:rPr>
          <w:color w:val="231F20"/>
          <w:spacing w:val="-5"/>
        </w:rPr>
        <w:t> </w:t>
      </w:r>
      <w:r>
        <w:rPr>
          <w:color w:val="231F20"/>
        </w:rPr>
        <w:t>debe</w:t>
      </w:r>
      <w:r>
        <w:rPr>
          <w:color w:val="231F20"/>
          <w:spacing w:val="-5"/>
        </w:rPr>
        <w:t> </w:t>
      </w:r>
      <w:r>
        <w:rPr>
          <w:color w:val="231F20"/>
        </w:rPr>
        <w:t>hacer- se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contextualización</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cambios</w:t>
      </w:r>
      <w:r>
        <w:rPr>
          <w:color w:val="231F20"/>
          <w:spacing w:val="-10"/>
        </w:rPr>
        <w:t> </w:t>
      </w:r>
      <w:r>
        <w:rPr>
          <w:color w:val="231F20"/>
        </w:rPr>
        <w:t>sociales</w:t>
      </w:r>
      <w:r>
        <w:rPr>
          <w:color w:val="231F20"/>
          <w:spacing w:val="-9"/>
        </w:rPr>
        <w:t> </w:t>
      </w:r>
      <w:r>
        <w:rPr>
          <w:color w:val="231F20"/>
        </w:rPr>
        <w:t>y</w:t>
      </w:r>
      <w:r>
        <w:rPr>
          <w:color w:val="231F20"/>
          <w:spacing w:val="-10"/>
        </w:rPr>
        <w:t> </w:t>
      </w:r>
      <w:r>
        <w:rPr>
          <w:color w:val="231F20"/>
        </w:rPr>
        <w:t>políticos</w:t>
      </w:r>
      <w:r>
        <w:rPr>
          <w:color w:val="231F20"/>
          <w:spacing w:val="-10"/>
        </w:rPr>
        <w:t> </w:t>
      </w:r>
      <w:r>
        <w:rPr>
          <w:color w:val="231F20"/>
        </w:rPr>
        <w:t>acontecidos a nivel mundial, tendientes a la internacionalización, cada vez mayor,  de la economía. Sin embargo, no se ha tenido muy en cuenta que esta internacionalización</w:t>
      </w:r>
      <w:r>
        <w:rPr>
          <w:color w:val="231F20"/>
          <w:spacing w:val="-10"/>
        </w:rPr>
        <w:t> </w:t>
      </w:r>
      <w:r>
        <w:rPr>
          <w:color w:val="231F20"/>
        </w:rPr>
        <w:t>de</w:t>
      </w:r>
      <w:r>
        <w:rPr>
          <w:color w:val="231F20"/>
          <w:spacing w:val="-8"/>
        </w:rPr>
        <w:t> </w:t>
      </w:r>
      <w:r>
        <w:rPr>
          <w:color w:val="231F20"/>
        </w:rPr>
        <w:t>la</w:t>
      </w:r>
      <w:r>
        <w:rPr>
          <w:color w:val="231F20"/>
          <w:spacing w:val="-8"/>
        </w:rPr>
        <w:t> </w:t>
      </w:r>
      <w:r>
        <w:rPr>
          <w:color w:val="231F20"/>
        </w:rPr>
        <w:t>economía</w:t>
      </w:r>
      <w:r>
        <w:rPr>
          <w:color w:val="231F20"/>
          <w:spacing w:val="-9"/>
        </w:rPr>
        <w:t> </w:t>
      </w:r>
      <w:r>
        <w:rPr>
          <w:color w:val="231F20"/>
        </w:rPr>
        <w:t>no</w:t>
      </w:r>
      <w:r>
        <w:rPr>
          <w:color w:val="231F20"/>
          <w:spacing w:val="-8"/>
        </w:rPr>
        <w:t> </w:t>
      </w:r>
      <w:r>
        <w:rPr>
          <w:color w:val="231F20"/>
        </w:rPr>
        <w:t>actúa</w:t>
      </w:r>
      <w:r>
        <w:rPr>
          <w:color w:val="231F20"/>
          <w:spacing w:val="-9"/>
        </w:rPr>
        <w:t> </w:t>
      </w:r>
      <w:r>
        <w:rPr>
          <w:color w:val="231F20"/>
        </w:rPr>
        <w:t>separada</w:t>
      </w:r>
      <w:r>
        <w:rPr>
          <w:color w:val="231F20"/>
          <w:spacing w:val="-8"/>
        </w:rPr>
        <w:t> </w:t>
      </w:r>
      <w:r>
        <w:rPr>
          <w:color w:val="231F20"/>
        </w:rPr>
        <w:t>de</w:t>
      </w:r>
      <w:r>
        <w:rPr>
          <w:color w:val="231F20"/>
          <w:spacing w:val="-8"/>
        </w:rPr>
        <w:t> </w:t>
      </w:r>
      <w:r>
        <w:rPr>
          <w:color w:val="231F20"/>
        </w:rPr>
        <w:t>los</w:t>
      </w:r>
      <w:r>
        <w:rPr>
          <w:color w:val="231F20"/>
          <w:spacing w:val="-9"/>
        </w:rPr>
        <w:t> </w:t>
      </w:r>
      <w:r>
        <w:rPr>
          <w:color w:val="231F20"/>
        </w:rPr>
        <w:t>sistemas</w:t>
      </w:r>
      <w:r>
        <w:rPr>
          <w:color w:val="231F20"/>
          <w:spacing w:val="-8"/>
        </w:rPr>
        <w:t> </w:t>
      </w:r>
      <w:r>
        <w:rPr>
          <w:color w:val="231F20"/>
        </w:rPr>
        <w:t>de creación de desigualdades de género, como consecuencia de lo cual se amplía la brecha, no sólo entre regiones y clases sociales, sino también entre géneros, evidencia de ellos es el proceso de feminización de la po- breza,</w:t>
      </w:r>
      <w:r>
        <w:rPr>
          <w:color w:val="231F20"/>
          <w:spacing w:val="-10"/>
        </w:rPr>
        <w:t> </w:t>
      </w:r>
      <w:r>
        <w:rPr>
          <w:color w:val="231F20"/>
        </w:rPr>
        <w:t>la</w:t>
      </w:r>
      <w:r>
        <w:rPr>
          <w:color w:val="231F20"/>
          <w:spacing w:val="-10"/>
        </w:rPr>
        <w:t> </w:t>
      </w:r>
      <w:r>
        <w:rPr>
          <w:color w:val="231F20"/>
        </w:rPr>
        <w:t>explotación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industrias</w:t>
      </w:r>
      <w:r>
        <w:rPr>
          <w:color w:val="231F20"/>
          <w:spacing w:val="-11"/>
        </w:rPr>
        <w:t> </w:t>
      </w:r>
      <w:r>
        <w:rPr>
          <w:color w:val="231F20"/>
        </w:rPr>
        <w:t>transnacionalizadas, el trabajo a domicilio, la industria del turismo y la</w:t>
      </w:r>
      <w:r>
        <w:rPr>
          <w:color w:val="231F20"/>
          <w:spacing w:val="-3"/>
        </w:rPr>
        <w:t> </w:t>
      </w:r>
      <w:r>
        <w:rPr>
          <w:color w:val="231F20"/>
        </w:rPr>
        <w:t>prostitución.</w:t>
      </w:r>
    </w:p>
    <w:p>
      <w:pPr>
        <w:pStyle w:val="BodyText"/>
        <w:spacing w:line="249" w:lineRule="auto" w:before="1"/>
        <w:ind w:left="113" w:right="108" w:firstLine="283"/>
        <w:jc w:val="both"/>
      </w:pPr>
      <w:r>
        <w:rPr>
          <w:color w:val="231F20"/>
        </w:rPr>
        <w:t>En este capítulo se hace uso a la perspectiva de género en tanto tene- mos</w:t>
      </w:r>
      <w:r>
        <w:rPr>
          <w:color w:val="231F20"/>
          <w:spacing w:val="-7"/>
        </w:rPr>
        <w:t> </w:t>
      </w:r>
      <w:r>
        <w:rPr>
          <w:color w:val="231F20"/>
        </w:rPr>
        <w:t>el</w:t>
      </w:r>
      <w:r>
        <w:rPr>
          <w:color w:val="231F20"/>
          <w:spacing w:val="-7"/>
        </w:rPr>
        <w:t> </w:t>
      </w:r>
      <w:r>
        <w:rPr>
          <w:color w:val="231F20"/>
        </w:rPr>
        <w:t>convencimiento</w:t>
      </w:r>
      <w:r>
        <w:rPr>
          <w:color w:val="231F20"/>
          <w:spacing w:val="-7"/>
        </w:rPr>
        <w:t> </w:t>
      </w:r>
      <w:r>
        <w:rPr>
          <w:color w:val="231F20"/>
        </w:rPr>
        <w:t>que</w:t>
      </w:r>
      <w:r>
        <w:rPr>
          <w:color w:val="231F20"/>
          <w:spacing w:val="-7"/>
        </w:rPr>
        <w:t> </w:t>
      </w:r>
      <w:r>
        <w:rPr>
          <w:color w:val="231F20"/>
        </w:rPr>
        <w:t>contribuye</w:t>
      </w:r>
      <w:r>
        <w:rPr>
          <w:color w:val="231F20"/>
          <w:spacing w:val="-7"/>
        </w:rPr>
        <w:t> </w:t>
      </w:r>
      <w:r>
        <w:rPr>
          <w:color w:val="231F20"/>
        </w:rPr>
        <w:t>a</w:t>
      </w:r>
      <w:r>
        <w:rPr>
          <w:color w:val="231F20"/>
          <w:spacing w:val="-7"/>
        </w:rPr>
        <w:t> </w:t>
      </w:r>
      <w:r>
        <w:rPr>
          <w:color w:val="231F20"/>
        </w:rPr>
        <w:t>comprender</w:t>
      </w:r>
      <w:r>
        <w:rPr>
          <w:color w:val="231F20"/>
          <w:spacing w:val="-7"/>
        </w:rPr>
        <w:t> </w:t>
      </w:r>
      <w:r>
        <w:rPr>
          <w:color w:val="231F20"/>
        </w:rPr>
        <w:t>la</w:t>
      </w:r>
      <w:r>
        <w:rPr>
          <w:color w:val="231F20"/>
          <w:spacing w:val="-7"/>
        </w:rPr>
        <w:t> </w:t>
      </w:r>
      <w:r>
        <w:rPr>
          <w:color w:val="231F20"/>
        </w:rPr>
        <w:t>especificidad</w:t>
      </w:r>
      <w:r>
        <w:rPr>
          <w:color w:val="231F20"/>
          <w:spacing w:val="-7"/>
        </w:rPr>
        <w:t> </w:t>
      </w:r>
      <w:r>
        <w:rPr>
          <w:color w:val="231F20"/>
        </w:rPr>
        <w:t>del trabajo de las mujeres en el contexto de la reestructuración productiva   y de la globalización, tema del que nos ocupamos en una primera parte. Luego, nos concentramos en la </w:t>
      </w:r>
      <w:r>
        <w:rPr>
          <w:color w:val="231F20"/>
          <w:spacing w:val="-3"/>
        </w:rPr>
        <w:t>relación entre migración </w:t>
      </w:r>
      <w:r>
        <w:rPr>
          <w:color w:val="231F20"/>
        </w:rPr>
        <w:t>y </w:t>
      </w:r>
      <w:r>
        <w:rPr>
          <w:color w:val="231F20"/>
          <w:spacing w:val="-3"/>
        </w:rPr>
        <w:t>mercados de trabajo</w:t>
      </w:r>
      <w:r>
        <w:rPr>
          <w:color w:val="231F20"/>
          <w:spacing w:val="-10"/>
        </w:rPr>
        <w:t> </w:t>
      </w:r>
      <w:r>
        <w:rPr>
          <w:color w:val="231F20"/>
          <w:spacing w:val="-3"/>
        </w:rPr>
        <w:t>tratando</w:t>
      </w:r>
      <w:r>
        <w:rPr>
          <w:color w:val="231F20"/>
          <w:spacing w:val="-10"/>
        </w:rPr>
        <w:t> </w:t>
      </w:r>
      <w:r>
        <w:rPr>
          <w:color w:val="231F20"/>
        </w:rPr>
        <w:t>de</w:t>
      </w:r>
      <w:r>
        <w:rPr>
          <w:color w:val="231F20"/>
          <w:spacing w:val="-9"/>
        </w:rPr>
        <w:t> </w:t>
      </w:r>
      <w:r>
        <w:rPr>
          <w:color w:val="231F20"/>
          <w:spacing w:val="-3"/>
        </w:rPr>
        <w:t>rescatar</w:t>
      </w:r>
      <w:r>
        <w:rPr>
          <w:color w:val="231F20"/>
          <w:spacing w:val="-9"/>
        </w:rPr>
        <w:t> </w:t>
      </w:r>
      <w:r>
        <w:rPr>
          <w:color w:val="231F20"/>
          <w:spacing w:val="-3"/>
        </w:rPr>
        <w:t>algunos</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spacing w:val="-3"/>
        </w:rPr>
        <w:t>elementos</w:t>
      </w:r>
      <w:r>
        <w:rPr>
          <w:color w:val="231F20"/>
          <w:spacing w:val="-10"/>
        </w:rPr>
        <w:t> </w:t>
      </w:r>
      <w:r>
        <w:rPr>
          <w:color w:val="231F20"/>
          <w:spacing w:val="-3"/>
        </w:rPr>
        <w:t>sociales</w:t>
      </w:r>
      <w:r>
        <w:rPr>
          <w:color w:val="231F20"/>
          <w:spacing w:val="-9"/>
        </w:rPr>
        <w:t> </w:t>
      </w:r>
      <w:r>
        <w:rPr>
          <w:color w:val="231F20"/>
        </w:rPr>
        <w:t>que</w:t>
      </w:r>
      <w:r>
        <w:rPr>
          <w:color w:val="231F20"/>
          <w:spacing w:val="-9"/>
        </w:rPr>
        <w:t> </w:t>
      </w:r>
      <w:r>
        <w:rPr>
          <w:color w:val="231F20"/>
        </w:rPr>
        <w:t>han</w:t>
      </w:r>
      <w:r>
        <w:rPr>
          <w:color w:val="231F20"/>
          <w:spacing w:val="-9"/>
        </w:rPr>
        <w:t> </w:t>
      </w:r>
      <w:r>
        <w:rPr>
          <w:color w:val="231F20"/>
          <w:spacing w:val="-3"/>
        </w:rPr>
        <w:t>con- tribuido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complejización</w:t>
      </w:r>
      <w:r>
        <w:rPr>
          <w:color w:val="231F20"/>
          <w:spacing w:val="-13"/>
        </w:rPr>
        <w:t> </w:t>
      </w:r>
      <w:r>
        <w:rPr>
          <w:color w:val="231F20"/>
        </w:rPr>
        <w:t>del</w:t>
      </w:r>
      <w:r>
        <w:rPr>
          <w:color w:val="231F20"/>
          <w:spacing w:val="-13"/>
        </w:rPr>
        <w:t> </w:t>
      </w:r>
      <w:r>
        <w:rPr>
          <w:color w:val="231F20"/>
          <w:spacing w:val="-3"/>
        </w:rPr>
        <w:t>análisis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misma</w:t>
      </w:r>
      <w:r>
        <w:rPr>
          <w:color w:val="231F20"/>
          <w:spacing w:val="-13"/>
        </w:rPr>
        <w:t> </w:t>
      </w:r>
      <w:r>
        <w:rPr>
          <w:color w:val="231F20"/>
        </w:rPr>
        <w:t>a</w:t>
      </w:r>
      <w:r>
        <w:rPr>
          <w:color w:val="231F20"/>
          <w:spacing w:val="-13"/>
        </w:rPr>
        <w:t> </w:t>
      </w:r>
      <w:r>
        <w:rPr>
          <w:color w:val="231F20"/>
        </w:rPr>
        <w:t>la</w:t>
      </w:r>
      <w:r>
        <w:rPr>
          <w:color w:val="231F20"/>
          <w:spacing w:val="-12"/>
        </w:rPr>
        <w:t> </w:t>
      </w:r>
      <w:r>
        <w:rPr>
          <w:color w:val="231F20"/>
        </w:rPr>
        <w:t>vez</w:t>
      </w:r>
      <w:r>
        <w:rPr>
          <w:color w:val="231F20"/>
          <w:spacing w:val="-12"/>
        </w:rPr>
        <w:t> </w:t>
      </w:r>
      <w:r>
        <w:rPr>
          <w:color w:val="231F20"/>
        </w:rPr>
        <w:t>que</w:t>
      </w:r>
      <w:r>
        <w:rPr>
          <w:color w:val="231F20"/>
          <w:spacing w:val="-13"/>
        </w:rPr>
        <w:t> </w:t>
      </w:r>
      <w:r>
        <w:rPr>
          <w:color w:val="231F20"/>
          <w:spacing w:val="-3"/>
        </w:rPr>
        <w:t>abordar</w:t>
      </w:r>
      <w:r>
        <w:rPr>
          <w:color w:val="231F20"/>
          <w:spacing w:val="-13"/>
        </w:rPr>
        <w:t> </w:t>
      </w:r>
      <w:r>
        <w:rPr>
          <w:color w:val="231F20"/>
          <w:spacing w:val="-3"/>
        </w:rPr>
        <w:t>el tema </w:t>
      </w:r>
      <w:r>
        <w:rPr>
          <w:color w:val="231F20"/>
        </w:rPr>
        <w:t>de </w:t>
      </w:r>
      <w:r>
        <w:rPr>
          <w:color w:val="231F20"/>
          <w:spacing w:val="-3"/>
        </w:rPr>
        <w:t>relativa actualidad </w:t>
      </w:r>
      <w:r>
        <w:rPr>
          <w:color w:val="231F20"/>
        </w:rPr>
        <w:t>en la </w:t>
      </w:r>
      <w:r>
        <w:rPr>
          <w:color w:val="231F20"/>
          <w:spacing w:val="-3"/>
        </w:rPr>
        <w:t>agenda </w:t>
      </w:r>
      <w:r>
        <w:rPr>
          <w:color w:val="231F20"/>
        </w:rPr>
        <w:t>de </w:t>
      </w:r>
      <w:r>
        <w:rPr>
          <w:color w:val="231F20"/>
          <w:spacing w:val="-3"/>
        </w:rPr>
        <w:t>investigación sobre migración femenina: </w:t>
      </w:r>
      <w:r>
        <w:rPr>
          <w:color w:val="231F20"/>
        </w:rPr>
        <w:t>la </w:t>
      </w:r>
      <w:r>
        <w:rPr>
          <w:color w:val="231F20"/>
          <w:spacing w:val="-3"/>
        </w:rPr>
        <w:t>economía </w:t>
      </w:r>
      <w:r>
        <w:rPr>
          <w:color w:val="231F20"/>
        </w:rPr>
        <w:t>del </w:t>
      </w:r>
      <w:r>
        <w:rPr>
          <w:color w:val="231F20"/>
          <w:spacing w:val="-3"/>
        </w:rPr>
        <w:t>cuidado. </w:t>
      </w:r>
      <w:r>
        <w:rPr>
          <w:color w:val="231F20"/>
        </w:rPr>
        <w:t>En el </w:t>
      </w:r>
      <w:r>
        <w:rPr>
          <w:color w:val="231F20"/>
          <w:spacing w:val="-3"/>
        </w:rPr>
        <w:t>capítulo </w:t>
      </w:r>
      <w:r>
        <w:rPr>
          <w:color w:val="231F20"/>
        </w:rPr>
        <w:t>no se </w:t>
      </w:r>
      <w:r>
        <w:rPr>
          <w:color w:val="231F20"/>
          <w:spacing w:val="-3"/>
        </w:rPr>
        <w:t>trata </w:t>
      </w:r>
      <w:r>
        <w:rPr>
          <w:color w:val="231F20"/>
        </w:rPr>
        <w:t>de </w:t>
      </w:r>
      <w:r>
        <w:rPr>
          <w:color w:val="231F20"/>
          <w:spacing w:val="-3"/>
        </w:rPr>
        <w:t>analizar sólo </w:t>
      </w:r>
      <w:r>
        <w:rPr>
          <w:color w:val="231F20"/>
        </w:rPr>
        <w:t>la </w:t>
      </w:r>
      <w:r>
        <w:rPr>
          <w:color w:val="231F20"/>
          <w:spacing w:val="-3"/>
        </w:rPr>
        <w:t>inserción diferencial </w:t>
      </w:r>
      <w:r>
        <w:rPr>
          <w:color w:val="231F20"/>
        </w:rPr>
        <w:t>de las </w:t>
      </w:r>
      <w:r>
        <w:rPr>
          <w:color w:val="231F20"/>
          <w:spacing w:val="-3"/>
        </w:rPr>
        <w:t>mujeres </w:t>
      </w:r>
      <w:r>
        <w:rPr>
          <w:color w:val="231F20"/>
        </w:rPr>
        <w:t>en los </w:t>
      </w:r>
      <w:r>
        <w:rPr>
          <w:color w:val="231F20"/>
          <w:spacing w:val="-3"/>
        </w:rPr>
        <w:t>mercados </w:t>
      </w:r>
      <w:r>
        <w:rPr>
          <w:color w:val="231F20"/>
        </w:rPr>
        <w:t>de </w:t>
      </w:r>
      <w:r>
        <w:rPr>
          <w:color w:val="231F20"/>
          <w:spacing w:val="-3"/>
        </w:rPr>
        <w:t>trabajo in- ternacionales, sino </w:t>
      </w:r>
      <w:r>
        <w:rPr>
          <w:color w:val="231F20"/>
        </w:rPr>
        <w:t>de </w:t>
      </w:r>
      <w:r>
        <w:rPr>
          <w:color w:val="231F20"/>
          <w:spacing w:val="-3"/>
        </w:rPr>
        <w:t>sacar </w:t>
      </w:r>
      <w:r>
        <w:rPr>
          <w:color w:val="231F20"/>
        </w:rPr>
        <w:t>a </w:t>
      </w:r>
      <w:r>
        <w:rPr>
          <w:color w:val="231F20"/>
          <w:spacing w:val="-3"/>
        </w:rPr>
        <w:t>relucir cómo </w:t>
      </w:r>
      <w:r>
        <w:rPr>
          <w:color w:val="231F20"/>
        </w:rPr>
        <w:t>el </w:t>
      </w:r>
      <w:r>
        <w:rPr>
          <w:color w:val="231F20"/>
          <w:spacing w:val="-3"/>
        </w:rPr>
        <w:t>género, </w:t>
      </w:r>
      <w:r>
        <w:rPr>
          <w:color w:val="231F20"/>
        </w:rPr>
        <w:t>vía la </w:t>
      </w:r>
      <w:r>
        <w:rPr>
          <w:color w:val="231F20"/>
          <w:spacing w:val="-3"/>
        </w:rPr>
        <w:t>reproducción social </w:t>
      </w:r>
      <w:r>
        <w:rPr>
          <w:color w:val="231F20"/>
        </w:rPr>
        <w:t>y la </w:t>
      </w:r>
      <w:r>
        <w:rPr>
          <w:color w:val="231F20"/>
          <w:spacing w:val="-3"/>
        </w:rPr>
        <w:t>configuración </w:t>
      </w:r>
      <w:r>
        <w:rPr>
          <w:color w:val="231F20"/>
        </w:rPr>
        <w:t>de </w:t>
      </w:r>
      <w:r>
        <w:rPr>
          <w:color w:val="231F20"/>
          <w:spacing w:val="-3"/>
        </w:rPr>
        <w:t>flujos migratorios transnacionales específicos contribuye </w:t>
      </w:r>
      <w:r>
        <w:rPr>
          <w:color w:val="231F20"/>
        </w:rPr>
        <w:t>a la </w:t>
      </w:r>
      <w:r>
        <w:rPr>
          <w:color w:val="231F20"/>
          <w:spacing w:val="-3"/>
        </w:rPr>
        <w:t>gestación </w:t>
      </w:r>
      <w:r>
        <w:rPr>
          <w:color w:val="231F20"/>
        </w:rPr>
        <w:t>de la </w:t>
      </w:r>
      <w:r>
        <w:rPr>
          <w:color w:val="231F20"/>
          <w:spacing w:val="-3"/>
        </w:rPr>
        <w:t>desigualdad </w:t>
      </w:r>
      <w:r>
        <w:rPr>
          <w:color w:val="231F20"/>
        </w:rPr>
        <w:t>en</w:t>
      </w:r>
      <w:r>
        <w:rPr>
          <w:color w:val="231F20"/>
          <w:spacing w:val="-34"/>
        </w:rPr>
        <w:t> </w:t>
      </w:r>
      <w:r>
        <w:rPr>
          <w:color w:val="231F20"/>
          <w:spacing w:val="-3"/>
        </w:rPr>
        <w:t>esta esfera social.</w:t>
      </w:r>
    </w:p>
    <w:p>
      <w:pPr>
        <w:spacing w:after="0" w:line="249" w:lineRule="auto"/>
        <w:jc w:val="both"/>
        <w:sectPr>
          <w:footerReference w:type="default" r:id="rId244"/>
          <w:pgSz w:w="7770" w:h="11740"/>
          <w:pgMar w:footer="474" w:header="0" w:top="840" w:bottom="660" w:left="1020" w:right="740"/>
          <w:pgNumType w:start="205"/>
        </w:sectPr>
      </w:pPr>
    </w:p>
    <w:p>
      <w:pPr>
        <w:pStyle w:val="Heading4"/>
        <w:spacing w:before="47"/>
        <w:ind w:left="110"/>
      </w:pPr>
      <w:r>
        <w:rPr>
          <w:w w:val="75"/>
        </w:rPr>
        <w:t>Trabajo de mujeres: producción / reproducción</w:t>
      </w:r>
    </w:p>
    <w:p>
      <w:pPr>
        <w:pStyle w:val="BodyText"/>
        <w:spacing w:line="249" w:lineRule="auto" w:before="171"/>
        <w:ind w:left="110" w:right="111"/>
        <w:jc w:val="both"/>
      </w:pPr>
      <w:r>
        <w:rPr>
          <w:color w:val="231F20"/>
        </w:rPr>
        <w:t>En el seno de toda formación social coexisten una producción social de bienes y una producción social de seres humanos. Producción y repro- ducción son indisociables. Para que el proceso de reproducción social capitalista funcione (lo que incluye la provisión de fuerza de trabajo), las relaciones de producción y de reproducción ─en tanto componentes cruciales del proceso de reproducción social─ deben evitar contradic- ciones entre sí. Hasta la etapa industrializadora, este funcionamiento se había asegurado a través del contrato laboral y del contrato de género; en primera instancia, la reorganización del sistema del trabajo salarial mediante una institucionalidad laboral, social y familiar era, a la vez, sostenedora</w:t>
      </w:r>
      <w:r>
        <w:rPr>
          <w:color w:val="231F20"/>
          <w:spacing w:val="-10"/>
        </w:rPr>
        <w:t> </w:t>
      </w:r>
      <w:r>
        <w:rPr>
          <w:color w:val="231F20"/>
        </w:rPr>
        <w:t>y</w:t>
      </w:r>
      <w:r>
        <w:rPr>
          <w:color w:val="231F20"/>
          <w:spacing w:val="-10"/>
        </w:rPr>
        <w:t> </w:t>
      </w:r>
      <w:r>
        <w:rPr>
          <w:color w:val="231F20"/>
        </w:rPr>
        <w:t>reguladora</w:t>
      </w:r>
      <w:r>
        <w:rPr>
          <w:color w:val="231F20"/>
          <w:spacing w:val="-10"/>
        </w:rPr>
        <w:t> </w:t>
      </w:r>
      <w:r>
        <w:rPr>
          <w:color w:val="231F20"/>
        </w:rPr>
        <w:t>en</w:t>
      </w:r>
      <w:r>
        <w:rPr>
          <w:color w:val="231F20"/>
          <w:spacing w:val="-10"/>
        </w:rPr>
        <w:t> </w:t>
      </w:r>
      <w:r>
        <w:rPr>
          <w:color w:val="231F20"/>
        </w:rPr>
        <w:t>términos</w:t>
      </w:r>
      <w:r>
        <w:rPr>
          <w:color w:val="231F20"/>
          <w:spacing w:val="-10"/>
        </w:rPr>
        <w:t> </w:t>
      </w:r>
      <w:r>
        <w:rPr>
          <w:color w:val="231F20"/>
        </w:rPr>
        <w:t>de</w:t>
      </w:r>
      <w:r>
        <w:rPr>
          <w:color w:val="231F20"/>
          <w:spacing w:val="-10"/>
        </w:rPr>
        <w:t> </w:t>
      </w:r>
      <w:r>
        <w:rPr>
          <w:color w:val="231F20"/>
        </w:rPr>
        <w:t>reproducción.</w:t>
      </w:r>
      <w:r>
        <w:rPr>
          <w:color w:val="231F20"/>
          <w:spacing w:val="-10"/>
        </w:rPr>
        <w:t> </w:t>
      </w:r>
      <w:r>
        <w:rPr>
          <w:color w:val="231F20"/>
        </w:rPr>
        <w:t>La</w:t>
      </w:r>
      <w:r>
        <w:rPr>
          <w:color w:val="231F20"/>
          <w:spacing w:val="-10"/>
        </w:rPr>
        <w:t> </w:t>
      </w:r>
      <w:r>
        <w:rPr>
          <w:color w:val="231F20"/>
        </w:rPr>
        <w:t>fórmula,</w:t>
      </w:r>
      <w:r>
        <w:rPr>
          <w:color w:val="231F20"/>
          <w:spacing w:val="-10"/>
        </w:rPr>
        <w:t> </w:t>
      </w:r>
      <w:r>
        <w:rPr>
          <w:color w:val="231F20"/>
        </w:rPr>
        <w:t>la</w:t>
      </w:r>
      <w:r>
        <w:rPr>
          <w:color w:val="231F20"/>
          <w:spacing w:val="-10"/>
        </w:rPr>
        <w:t> </w:t>
      </w:r>
      <w:r>
        <w:rPr>
          <w:color w:val="231F20"/>
        </w:rPr>
        <w:t>del hombre</w:t>
      </w:r>
      <w:r>
        <w:rPr>
          <w:color w:val="231F20"/>
          <w:spacing w:val="-10"/>
        </w:rPr>
        <w:t> </w:t>
      </w:r>
      <w:r>
        <w:rPr>
          <w:color w:val="231F20"/>
        </w:rPr>
        <w:t>proveedor</w:t>
      </w:r>
      <w:r>
        <w:rPr>
          <w:color w:val="231F20"/>
          <w:spacing w:val="-10"/>
        </w:rPr>
        <w:t> </w:t>
      </w:r>
      <w:r>
        <w:rPr>
          <w:color w:val="231F20"/>
        </w:rPr>
        <w:t>dedicado</w:t>
      </w:r>
      <w:r>
        <w:rPr>
          <w:color w:val="231F20"/>
          <w:spacing w:val="-10"/>
        </w:rPr>
        <w:t> </w:t>
      </w:r>
      <w:r>
        <w:rPr>
          <w:color w:val="231F20"/>
        </w:rPr>
        <w:t>al</w:t>
      </w:r>
      <w:r>
        <w:rPr>
          <w:color w:val="231F20"/>
          <w:spacing w:val="-10"/>
        </w:rPr>
        <w:t> </w:t>
      </w:r>
      <w:r>
        <w:rPr>
          <w:color w:val="231F20"/>
        </w:rPr>
        <w:t>trabajo</w:t>
      </w:r>
      <w:r>
        <w:rPr>
          <w:color w:val="231F20"/>
          <w:spacing w:val="-10"/>
        </w:rPr>
        <w:t> </w:t>
      </w:r>
      <w:r>
        <w:rPr>
          <w:color w:val="231F20"/>
        </w:rPr>
        <w:t>productivo</w:t>
      </w:r>
      <w:r>
        <w:rPr>
          <w:color w:val="231F20"/>
          <w:spacing w:val="-10"/>
        </w:rPr>
        <w:t> </w:t>
      </w:r>
      <w:r>
        <w:rPr>
          <w:color w:val="231F20"/>
        </w:rPr>
        <w:t>remunerado,</w:t>
      </w:r>
      <w:r>
        <w:rPr>
          <w:color w:val="231F20"/>
          <w:spacing w:val="-10"/>
        </w:rPr>
        <w:t> </w:t>
      </w:r>
      <w:r>
        <w:rPr>
          <w:color w:val="231F20"/>
        </w:rPr>
        <w:t>de</w:t>
      </w:r>
      <w:r>
        <w:rPr>
          <w:color w:val="231F20"/>
          <w:spacing w:val="-10"/>
        </w:rPr>
        <w:t> </w:t>
      </w:r>
      <w:r>
        <w:rPr>
          <w:color w:val="231F20"/>
        </w:rPr>
        <w:t>tiempo completo</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w:t>
      </w:r>
      <w:r>
        <w:rPr>
          <w:color w:val="231F20"/>
          <w:spacing w:val="-11"/>
        </w:rPr>
        <w:t> </w:t>
      </w:r>
      <w:r>
        <w:rPr>
          <w:color w:val="231F20"/>
        </w:rPr>
        <w:t>toda</w:t>
      </w:r>
      <w:r>
        <w:rPr>
          <w:color w:val="231F20"/>
          <w:spacing w:val="-11"/>
        </w:rPr>
        <w:t> </w:t>
      </w:r>
      <w:r>
        <w:rPr>
          <w:color w:val="231F20"/>
        </w:rPr>
        <w:t>su</w:t>
      </w:r>
      <w:r>
        <w:rPr>
          <w:color w:val="231F20"/>
          <w:spacing w:val="-11"/>
        </w:rPr>
        <w:t> </w:t>
      </w:r>
      <w:r>
        <w:rPr>
          <w:color w:val="231F20"/>
        </w:rPr>
        <w:t>vida,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mujer</w:t>
      </w:r>
      <w:r>
        <w:rPr>
          <w:color w:val="231F20"/>
          <w:spacing w:val="-11"/>
        </w:rPr>
        <w:t> </w:t>
      </w:r>
      <w:r>
        <w:rPr>
          <w:color w:val="231F20"/>
        </w:rPr>
        <w:t>ama</w:t>
      </w:r>
      <w:r>
        <w:rPr>
          <w:color w:val="231F20"/>
          <w:spacing w:val="-11"/>
        </w:rPr>
        <w:t> </w:t>
      </w:r>
      <w:r>
        <w:rPr>
          <w:color w:val="231F20"/>
        </w:rPr>
        <w:t>de</w:t>
      </w:r>
      <w:r>
        <w:rPr>
          <w:color w:val="231F20"/>
          <w:spacing w:val="-11"/>
        </w:rPr>
        <w:t> </w:t>
      </w:r>
      <w:r>
        <w:rPr>
          <w:color w:val="231F20"/>
        </w:rPr>
        <w:t>casa,</w:t>
      </w:r>
      <w:r>
        <w:rPr>
          <w:color w:val="231F20"/>
          <w:spacing w:val="-11"/>
        </w:rPr>
        <w:t> </w:t>
      </w:r>
      <w:r>
        <w:rPr>
          <w:color w:val="231F20"/>
        </w:rPr>
        <w:t>responsable del</w:t>
      </w:r>
      <w:r>
        <w:rPr>
          <w:color w:val="231F20"/>
          <w:spacing w:val="-5"/>
        </w:rPr>
        <w:t> </w:t>
      </w:r>
      <w:r>
        <w:rPr>
          <w:color w:val="231F20"/>
        </w:rPr>
        <w:t>trabajo</w:t>
      </w:r>
      <w:r>
        <w:rPr>
          <w:color w:val="231F20"/>
          <w:spacing w:val="-5"/>
        </w:rPr>
        <w:t> </w:t>
      </w:r>
      <w:r>
        <w:rPr>
          <w:color w:val="231F20"/>
        </w:rPr>
        <w:t>reproductivo</w:t>
      </w:r>
      <w:r>
        <w:rPr>
          <w:color w:val="231F20"/>
          <w:spacing w:val="-5"/>
        </w:rPr>
        <w:t> </w:t>
      </w:r>
      <w:r>
        <w:rPr>
          <w:color w:val="231F20"/>
        </w:rPr>
        <w:t>no</w:t>
      </w:r>
      <w:r>
        <w:rPr>
          <w:color w:val="231F20"/>
          <w:spacing w:val="-4"/>
        </w:rPr>
        <w:t> </w:t>
      </w:r>
      <w:r>
        <w:rPr>
          <w:color w:val="231F20"/>
        </w:rPr>
        <w:t>remunerado,</w:t>
      </w:r>
      <w:r>
        <w:rPr>
          <w:color w:val="231F20"/>
          <w:spacing w:val="-5"/>
        </w:rPr>
        <w:t> </w:t>
      </w:r>
      <w:r>
        <w:rPr>
          <w:color w:val="231F20"/>
        </w:rPr>
        <w:t>de</w:t>
      </w:r>
      <w:r>
        <w:rPr>
          <w:color w:val="231F20"/>
          <w:spacing w:val="-5"/>
        </w:rPr>
        <w:t> </w:t>
      </w:r>
      <w:r>
        <w:rPr>
          <w:color w:val="231F20"/>
        </w:rPr>
        <w:t>tiempo</w:t>
      </w:r>
      <w:r>
        <w:rPr>
          <w:color w:val="231F20"/>
          <w:spacing w:val="-5"/>
        </w:rPr>
        <w:t> </w:t>
      </w:r>
      <w:r>
        <w:rPr>
          <w:color w:val="231F20"/>
        </w:rPr>
        <w:t>completo</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lo</w:t>
      </w:r>
      <w:r>
        <w:rPr>
          <w:color w:val="231F20"/>
          <w:spacing w:val="-5"/>
        </w:rPr>
        <w:t> </w:t>
      </w:r>
      <w:r>
        <w:rPr>
          <w:color w:val="231F20"/>
        </w:rPr>
        <w:t>largo de su vida (Yáñez, 2004:</w:t>
      </w:r>
      <w:r>
        <w:rPr>
          <w:color w:val="231F20"/>
          <w:spacing w:val="-1"/>
        </w:rPr>
        <w:t> </w:t>
      </w:r>
      <w:r>
        <w:rPr>
          <w:color w:val="231F20"/>
        </w:rPr>
        <w:t>64-65).</w:t>
      </w:r>
    </w:p>
    <w:p>
      <w:pPr>
        <w:pStyle w:val="BodyText"/>
        <w:spacing w:line="249" w:lineRule="auto" w:before="1"/>
        <w:ind w:left="110" w:right="111" w:firstLine="283"/>
        <w:jc w:val="both"/>
      </w:pPr>
      <w:r>
        <w:rPr>
          <w:color w:val="231F20"/>
        </w:rPr>
        <w:t>En</w:t>
      </w:r>
      <w:r>
        <w:rPr>
          <w:color w:val="231F20"/>
          <w:spacing w:val="-10"/>
        </w:rPr>
        <w:t> </w:t>
      </w:r>
      <w:r>
        <w:rPr>
          <w:color w:val="231F20"/>
        </w:rPr>
        <w:t>realidad,</w:t>
      </w:r>
      <w:r>
        <w:rPr>
          <w:color w:val="231F20"/>
          <w:spacing w:val="-10"/>
        </w:rPr>
        <w:t> </w:t>
      </w:r>
      <w:r>
        <w:rPr>
          <w:color w:val="231F20"/>
        </w:rPr>
        <w:t>el</w:t>
      </w:r>
      <w:r>
        <w:rPr>
          <w:color w:val="231F20"/>
          <w:spacing w:val="-10"/>
        </w:rPr>
        <w:t> </w:t>
      </w:r>
      <w:r>
        <w:rPr>
          <w:color w:val="231F20"/>
        </w:rPr>
        <w:t>sistema</w:t>
      </w:r>
      <w:r>
        <w:rPr>
          <w:color w:val="231F20"/>
          <w:spacing w:val="-10"/>
        </w:rPr>
        <w:t> </w:t>
      </w:r>
      <w:r>
        <w:rPr>
          <w:color w:val="231F20"/>
        </w:rPr>
        <w:t>capitalista</w:t>
      </w:r>
      <w:r>
        <w:rPr>
          <w:color w:val="231F20"/>
          <w:spacing w:val="-10"/>
        </w:rPr>
        <w:t> </w:t>
      </w:r>
      <w:r>
        <w:rPr>
          <w:color w:val="231F20"/>
        </w:rPr>
        <w:t>patriarcal</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beneficiado</w:t>
      </w:r>
      <w:r>
        <w:rPr>
          <w:color w:val="231F20"/>
          <w:spacing w:val="-10"/>
        </w:rPr>
        <w:t> </w:t>
      </w:r>
      <w:r>
        <w:rPr>
          <w:color w:val="231F20"/>
        </w:rPr>
        <w:t>amplia- mente del trabajo doméstico no pagado que las mujeres han realizado históricamente. Aunque todos los sistemas sociales que han explotado  el trabajo humano, han explotado a las mujeres de una forma particular, porque las mujeres son las que producen trabajadores. El capitalismo es una forma de explotación específica que tiene relaciones diferentes. De acuerdo con Silvia Federici (2013), la historia de las mujeres demanda analizar los cambios que el capitalismo introdujo en el proceso de re- producción social y especialmente en el de reproducción de la fuerza   de trabajo. En ese sentido, emerge el “orden capitalista patriarcal de la reproducción” que impuso que las mujeres fueran sirvientas de la fuerza de trabajo masculina (Hartmann, 1994; Federici,</w:t>
      </w:r>
      <w:r>
        <w:rPr>
          <w:color w:val="231F20"/>
          <w:spacing w:val="-10"/>
        </w:rPr>
        <w:t> </w:t>
      </w:r>
      <w:r>
        <w:rPr>
          <w:color w:val="231F20"/>
        </w:rPr>
        <w:t>2010).</w:t>
      </w:r>
    </w:p>
    <w:p>
      <w:pPr>
        <w:pStyle w:val="BodyText"/>
        <w:spacing w:line="249" w:lineRule="auto" w:before="1"/>
        <w:ind w:left="110" w:right="111" w:firstLine="283"/>
        <w:jc w:val="both"/>
      </w:pPr>
      <w:r>
        <w:rPr>
          <w:color w:val="231F20"/>
        </w:rPr>
        <w:t>El</w:t>
      </w:r>
      <w:r>
        <w:rPr>
          <w:color w:val="231F20"/>
          <w:spacing w:val="-6"/>
        </w:rPr>
        <w:t> </w:t>
      </w:r>
      <w:r>
        <w:rPr>
          <w:color w:val="231F20"/>
        </w:rPr>
        <w:t>trabajo</w:t>
      </w:r>
      <w:r>
        <w:rPr>
          <w:color w:val="231F20"/>
          <w:spacing w:val="-6"/>
        </w:rPr>
        <w:t> </w:t>
      </w:r>
      <w:r>
        <w:rPr>
          <w:color w:val="231F20"/>
        </w:rPr>
        <w:t>de</w:t>
      </w:r>
      <w:r>
        <w:rPr>
          <w:color w:val="231F20"/>
          <w:spacing w:val="-6"/>
        </w:rPr>
        <w:t> </w:t>
      </w:r>
      <w:r>
        <w:rPr>
          <w:color w:val="231F20"/>
        </w:rPr>
        <w:t>Heidi</w:t>
      </w:r>
      <w:r>
        <w:rPr>
          <w:color w:val="231F20"/>
          <w:spacing w:val="-6"/>
        </w:rPr>
        <w:t> </w:t>
      </w:r>
      <w:r>
        <w:rPr>
          <w:color w:val="231F20"/>
        </w:rPr>
        <w:t>Hartmann</w:t>
      </w:r>
      <w:r>
        <w:rPr>
          <w:color w:val="231F20"/>
          <w:spacing w:val="-6"/>
        </w:rPr>
        <w:t> </w:t>
      </w:r>
      <w:r>
        <w:rPr>
          <w:color w:val="231F20"/>
        </w:rPr>
        <w:t>(1994)</w:t>
      </w:r>
      <w:r>
        <w:rPr>
          <w:color w:val="231F20"/>
          <w:spacing w:val="-6"/>
        </w:rPr>
        <w:t> </w:t>
      </w:r>
      <w:r>
        <w:rPr>
          <w:color w:val="231F20"/>
        </w:rPr>
        <w:t>nos</w:t>
      </w:r>
      <w:r>
        <w:rPr>
          <w:color w:val="231F20"/>
          <w:spacing w:val="-6"/>
        </w:rPr>
        <w:t> </w:t>
      </w:r>
      <w:r>
        <w:rPr>
          <w:color w:val="231F20"/>
        </w:rPr>
        <w:t>recuerda</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sociedad moderna, las mujeres tienen menos poder social que los hombres, y</w:t>
      </w:r>
      <w:r>
        <w:rPr>
          <w:color w:val="231F20"/>
          <w:spacing w:val="-22"/>
        </w:rPr>
        <w:t> </w:t>
      </w:r>
      <w:r>
        <w:rPr>
          <w:color w:val="231F20"/>
        </w:rPr>
        <w:t>bien sabemos que esta posición del género femenino corresponde con la</w:t>
      </w:r>
      <w:r>
        <w:rPr>
          <w:color w:val="231F20"/>
          <w:spacing w:val="-28"/>
        </w:rPr>
        <w:t> </w:t>
      </w:r>
      <w:r>
        <w:rPr>
          <w:color w:val="231F20"/>
        </w:rPr>
        <w:t>divi- sión sexual del trabajo. En esta etapa de la historia, los hombres mantie- nen su control sobre la fuerza de trabajo de las mujeres. Ese control está mediado</w:t>
      </w:r>
      <w:r>
        <w:rPr>
          <w:color w:val="231F20"/>
          <w:spacing w:val="-4"/>
        </w:rPr>
        <w:t> </w:t>
      </w:r>
      <w:r>
        <w:rPr>
          <w:color w:val="231F20"/>
        </w:rPr>
        <w:t>por</w:t>
      </w:r>
      <w:r>
        <w:rPr>
          <w:color w:val="231F20"/>
          <w:spacing w:val="-4"/>
        </w:rPr>
        <w:t> </w:t>
      </w:r>
      <w:r>
        <w:rPr>
          <w:color w:val="231F20"/>
        </w:rPr>
        <w:t>instituciones</w:t>
      </w:r>
      <w:r>
        <w:rPr>
          <w:color w:val="231F20"/>
          <w:spacing w:val="-5"/>
        </w:rPr>
        <w:t> </w:t>
      </w:r>
      <w:r>
        <w:rPr>
          <w:color w:val="231F20"/>
        </w:rPr>
        <w:t>y</w:t>
      </w:r>
      <w:r>
        <w:rPr>
          <w:color w:val="231F20"/>
          <w:spacing w:val="-4"/>
        </w:rPr>
        <w:t> </w:t>
      </w:r>
      <w:r>
        <w:rPr>
          <w:color w:val="231F20"/>
        </w:rPr>
        <w:t>abarca</w:t>
      </w:r>
      <w:r>
        <w:rPr>
          <w:color w:val="231F20"/>
          <w:spacing w:val="-4"/>
        </w:rPr>
        <w:t> </w:t>
      </w:r>
      <w:r>
        <w:rPr>
          <w:color w:val="231F20"/>
        </w:rPr>
        <w:t>a</w:t>
      </w:r>
      <w:r>
        <w:rPr>
          <w:color w:val="231F20"/>
          <w:spacing w:val="-4"/>
        </w:rPr>
        <w:t> </w:t>
      </w:r>
      <w:r>
        <w:rPr>
          <w:color w:val="231F20"/>
        </w:rPr>
        <w:t>toda</w:t>
      </w:r>
      <w:r>
        <w:rPr>
          <w:color w:val="231F20"/>
          <w:spacing w:val="-4"/>
        </w:rPr>
        <w:t> </w:t>
      </w:r>
      <w:r>
        <w:rPr>
          <w:color w:val="231F20"/>
        </w:rPr>
        <w:t>la</w:t>
      </w:r>
      <w:r>
        <w:rPr>
          <w:color w:val="231F20"/>
          <w:spacing w:val="-4"/>
        </w:rPr>
        <w:t> </w:t>
      </w:r>
      <w:r>
        <w:rPr>
          <w:color w:val="231F20"/>
        </w:rPr>
        <w:t>sociedad.</w:t>
      </w:r>
      <w:r>
        <w:rPr>
          <w:color w:val="231F20"/>
          <w:spacing w:val="-3"/>
        </w:rPr>
        <w:t> </w:t>
      </w:r>
      <w:r>
        <w:rPr>
          <w:color w:val="231F20"/>
        </w:rPr>
        <w:t>La</w:t>
      </w:r>
      <w:r>
        <w:rPr>
          <w:color w:val="231F20"/>
          <w:spacing w:val="-4"/>
        </w:rPr>
        <w:t> </w:t>
      </w:r>
      <w:r>
        <w:rPr>
          <w:color w:val="231F20"/>
        </w:rPr>
        <w:t>vida,</w:t>
      </w:r>
      <w:r>
        <w:rPr>
          <w:color w:val="231F20"/>
          <w:spacing w:val="-4"/>
        </w:rPr>
        <w:t> </w:t>
      </w:r>
      <w:r>
        <w:rPr>
          <w:color w:val="231F20"/>
        </w:rPr>
        <w:t>el</w:t>
      </w:r>
      <w:r>
        <w:rPr>
          <w:color w:val="231F20"/>
          <w:spacing w:val="-4"/>
        </w:rPr>
        <w:t> </w:t>
      </w:r>
      <w:r>
        <w:rPr>
          <w:color w:val="231F20"/>
        </w:rPr>
        <w:t>cuerpo y</w:t>
      </w:r>
      <w:r>
        <w:rPr>
          <w:color w:val="231F20"/>
          <w:spacing w:val="-8"/>
        </w:rPr>
        <w:t> </w:t>
      </w:r>
      <w:r>
        <w:rPr>
          <w:color w:val="231F20"/>
        </w:rPr>
        <w:t>el</w:t>
      </w:r>
      <w:r>
        <w:rPr>
          <w:color w:val="231F20"/>
          <w:spacing w:val="-8"/>
        </w:rPr>
        <w:t> </w:t>
      </w:r>
      <w:r>
        <w:rPr>
          <w:color w:val="231F20"/>
        </w:rPr>
        <w:t>trabajo</w:t>
      </w:r>
      <w:r>
        <w:rPr>
          <w:color w:val="231F20"/>
          <w:spacing w:val="-8"/>
        </w:rPr>
        <w:t> </w:t>
      </w:r>
      <w:r>
        <w:rPr>
          <w:color w:val="231F20"/>
        </w:rPr>
        <w:t>doméstico</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cuidados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se</w:t>
      </w:r>
      <w:r>
        <w:rPr>
          <w:color w:val="231F20"/>
          <w:spacing w:val="-8"/>
        </w:rPr>
        <w:t> </w:t>
      </w:r>
      <w:r>
        <w:rPr>
          <w:color w:val="231F20"/>
        </w:rPr>
        <w:t>mantiene</w:t>
      </w:r>
      <w:r>
        <w:rPr>
          <w:color w:val="231F20"/>
          <w:spacing w:val="-8"/>
        </w:rPr>
        <w:t> </w:t>
      </w:r>
      <w:r>
        <w:rPr>
          <w:color w:val="231F20"/>
        </w:rPr>
        <w:t>al</w:t>
      </w:r>
      <w:r>
        <w:rPr>
          <w:color w:val="231F20"/>
          <w:spacing w:val="-8"/>
        </w:rPr>
        <w:t> </w:t>
      </w:r>
      <w:r>
        <w:rPr>
          <w:color w:val="231F20"/>
        </w:rPr>
        <w:t>servi- cio de la familia como dispositivo de explotación y de generación de ri- queza,</w:t>
      </w:r>
      <w:r>
        <w:rPr>
          <w:color w:val="231F20"/>
          <w:spacing w:val="-10"/>
        </w:rPr>
        <w:t> </w:t>
      </w:r>
      <w:r>
        <w:rPr>
          <w:color w:val="231F20"/>
        </w:rPr>
        <w:t>porque</w:t>
      </w:r>
      <w:r>
        <w:rPr>
          <w:color w:val="231F20"/>
          <w:spacing w:val="-10"/>
        </w:rPr>
        <w:t> </w:t>
      </w:r>
      <w:r>
        <w:rPr>
          <w:color w:val="231F20"/>
        </w:rPr>
        <w:t>el</w:t>
      </w:r>
      <w:r>
        <w:rPr>
          <w:color w:val="231F20"/>
          <w:spacing w:val="-10"/>
        </w:rPr>
        <w:t> </w:t>
      </w:r>
      <w:r>
        <w:rPr>
          <w:color w:val="231F20"/>
        </w:rPr>
        <w:t>cuerpo</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mujeres</w:t>
      </w:r>
      <w:r>
        <w:rPr>
          <w:color w:val="231F20"/>
          <w:spacing w:val="-11"/>
        </w:rPr>
        <w:t> </w:t>
      </w:r>
      <w:r>
        <w:rPr>
          <w:color w:val="231F20"/>
        </w:rPr>
        <w:t>genera</w:t>
      </w:r>
      <w:r>
        <w:rPr>
          <w:color w:val="231F20"/>
          <w:spacing w:val="-10"/>
        </w:rPr>
        <w:t> </w:t>
      </w:r>
      <w:r>
        <w:rPr>
          <w:color w:val="231F20"/>
        </w:rPr>
        <w:t>mano</w:t>
      </w:r>
      <w:r>
        <w:rPr>
          <w:color w:val="231F20"/>
          <w:spacing w:val="-10"/>
        </w:rPr>
        <w:t> </w:t>
      </w:r>
      <w:r>
        <w:rPr>
          <w:color w:val="231F20"/>
        </w:rPr>
        <w:t>de</w:t>
      </w:r>
      <w:r>
        <w:rPr>
          <w:color w:val="231F20"/>
          <w:spacing w:val="-10"/>
        </w:rPr>
        <w:t> </w:t>
      </w:r>
      <w:r>
        <w:rPr>
          <w:color w:val="231F20"/>
        </w:rPr>
        <w:t>obra.</w:t>
      </w:r>
      <w:r>
        <w:rPr>
          <w:color w:val="231F20"/>
          <w:spacing w:val="-10"/>
        </w:rPr>
        <w:t> </w:t>
      </w:r>
      <w:r>
        <w:rPr>
          <w:color w:val="231F20"/>
        </w:rPr>
        <w:t>No</w:t>
      </w:r>
      <w:r>
        <w:rPr>
          <w:color w:val="231F20"/>
          <w:spacing w:val="-10"/>
        </w:rPr>
        <w:t> </w:t>
      </w:r>
      <w:r>
        <w:rPr>
          <w:color w:val="231F20"/>
        </w:rPr>
        <w:t>obstante que ellas cocinan, cuidan, etc., ese trabajo que realizan las mujeres</w:t>
      </w:r>
      <w:r>
        <w:rPr>
          <w:color w:val="231F20"/>
          <w:spacing w:val="-33"/>
        </w:rPr>
        <w:t> </w:t>
      </w:r>
      <w:r>
        <w:rPr>
          <w:color w:val="231F20"/>
        </w:rPr>
        <w:t>sigue considerándose pre-capitalista, es decir, no son vistas como</w:t>
      </w:r>
      <w:r>
        <w:rPr>
          <w:color w:val="231F20"/>
          <w:spacing w:val="19"/>
        </w:rPr>
        <w:t> </w:t>
      </w:r>
      <w:r>
        <w:rPr>
          <w:color w:val="231F20"/>
        </w:rPr>
        <w:t>productoras</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de capital, su trabajo carece de reconocimiento porque la clase política  y la clase económica siguen sin reconocer que el trabajo doméstico y de cuidados es socialmente</w:t>
      </w:r>
      <w:r>
        <w:rPr>
          <w:color w:val="231F20"/>
          <w:spacing w:val="-12"/>
        </w:rPr>
        <w:t> </w:t>
      </w:r>
      <w:r>
        <w:rPr>
          <w:color w:val="231F20"/>
        </w:rPr>
        <w:t>necesario.</w:t>
      </w:r>
    </w:p>
    <w:p>
      <w:pPr>
        <w:pStyle w:val="BodyText"/>
        <w:spacing w:line="249" w:lineRule="auto" w:before="1"/>
        <w:ind w:left="113" w:right="107" w:firstLine="283"/>
        <w:jc w:val="both"/>
      </w:pPr>
      <w:r>
        <w:rPr>
          <w:color w:val="231F20"/>
        </w:rPr>
        <w:t>Las construcciones de género han contribuido a definir qué género queda “adscrito” a un espacio de actuación y quiénes quedan excluidos.</w:t>
      </w:r>
    </w:p>
    <w:p>
      <w:pPr>
        <w:pStyle w:val="BodyText"/>
        <w:spacing w:line="249" w:lineRule="auto" w:before="1"/>
        <w:ind w:left="113" w:right="107"/>
        <w:jc w:val="both"/>
      </w:pPr>
      <w:r>
        <w:rPr>
          <w:color w:val="231F20"/>
        </w:rPr>
        <w:t>¿Por qué la vida pública se ha considerado, implícitamente, como la es- fera de los hombres? La respuesta nos remite a la historia de la</w:t>
      </w:r>
      <w:r>
        <w:rPr>
          <w:color w:val="231F20"/>
          <w:spacing w:val="-26"/>
        </w:rPr>
        <w:t> </w:t>
      </w:r>
      <w:r>
        <w:rPr>
          <w:color w:val="231F20"/>
        </w:rPr>
        <w:t>conexión entre la separación del ámbito del hogar y la emergencia de la familia como el paradigma de lo privado. Esto es relevante frente a sociedades con una cultura patriarcal, donde las visiones sobre los roles asignados por sexo son tradicionales y ubican a las mujeres en el espacio privado, el hogar y la familia.</w:t>
      </w:r>
    </w:p>
    <w:p>
      <w:pPr>
        <w:pStyle w:val="BodyText"/>
        <w:spacing w:line="249" w:lineRule="auto" w:before="1"/>
        <w:ind w:left="113" w:right="108" w:firstLine="283"/>
        <w:jc w:val="both"/>
      </w:pPr>
      <w:r>
        <w:rPr>
          <w:color w:val="231F20"/>
        </w:rPr>
        <w:t>Desde</w:t>
      </w:r>
      <w:r>
        <w:rPr>
          <w:color w:val="231F20"/>
          <w:spacing w:val="-12"/>
        </w:rPr>
        <w:t> </w:t>
      </w:r>
      <w:r>
        <w:rPr>
          <w:color w:val="231F20"/>
        </w:rPr>
        <w:t>mediados</w:t>
      </w:r>
      <w:r>
        <w:rPr>
          <w:color w:val="231F20"/>
          <w:spacing w:val="-12"/>
        </w:rPr>
        <w:t> </w:t>
      </w:r>
      <w:r>
        <w:rPr>
          <w:color w:val="231F20"/>
        </w:rPr>
        <w:t>del</w:t>
      </w:r>
      <w:r>
        <w:rPr>
          <w:color w:val="231F20"/>
          <w:spacing w:val="-12"/>
        </w:rPr>
        <w:t> </w:t>
      </w:r>
      <w:r>
        <w:rPr>
          <w:color w:val="231F20"/>
        </w:rPr>
        <w:t>siglo</w:t>
      </w:r>
      <w:r>
        <w:rPr>
          <w:color w:val="231F20"/>
          <w:spacing w:val="-12"/>
        </w:rPr>
        <w:t> </w:t>
      </w:r>
      <w:r>
        <w:rPr>
          <w:color w:val="231F20"/>
        </w:rPr>
        <w:t>XIX</w:t>
      </w:r>
      <w:r>
        <w:rPr>
          <w:color w:val="231F20"/>
          <w:spacing w:val="-12"/>
        </w:rPr>
        <w:t> </w:t>
      </w:r>
      <w:r>
        <w:rPr>
          <w:color w:val="231F20"/>
        </w:rPr>
        <w:t>la</w:t>
      </w:r>
      <w:r>
        <w:rPr>
          <w:color w:val="231F20"/>
          <w:spacing w:val="-12"/>
        </w:rPr>
        <w:t> </w:t>
      </w:r>
      <w:r>
        <w:rPr>
          <w:color w:val="231F20"/>
        </w:rPr>
        <w:t>esposa</w:t>
      </w:r>
      <w:r>
        <w:rPr>
          <w:color w:val="231F20"/>
          <w:spacing w:val="-12"/>
        </w:rPr>
        <w:t> </w:t>
      </w:r>
      <w:r>
        <w:rPr>
          <w:color w:val="231F20"/>
        </w:rPr>
        <w:t>económicamente</w:t>
      </w:r>
      <w:r>
        <w:rPr>
          <w:color w:val="231F20"/>
          <w:spacing w:val="-13"/>
        </w:rPr>
        <w:t> </w:t>
      </w:r>
      <w:r>
        <w:rPr>
          <w:color w:val="231F20"/>
        </w:rPr>
        <w:t>dependien- te se mostró como referente ideal para todas las clases respetables de    la sociedad. Desde luego que las mujeres nunca estuvieron totalmente excluidas de la vida pública, sin embargo “la forma en que se produjo su inclusión se basó con la misma firmeza que su posición en la esfera doméstica, en creencias y practicas patriarcales” (Pateman, 1996: 17). Las</w:t>
      </w:r>
      <w:r>
        <w:rPr>
          <w:color w:val="231F20"/>
          <w:spacing w:val="-6"/>
        </w:rPr>
        <w:t> </w:t>
      </w:r>
      <w:r>
        <w:rPr>
          <w:color w:val="231F20"/>
        </w:rPr>
        <w:t>esposas</w:t>
      </w:r>
      <w:r>
        <w:rPr>
          <w:color w:val="231F20"/>
          <w:spacing w:val="-6"/>
        </w:rPr>
        <w:t> </w:t>
      </w:r>
      <w:r>
        <w:rPr>
          <w:color w:val="231F20"/>
        </w:rPr>
        <w:t>de</w:t>
      </w:r>
      <w:r>
        <w:rPr>
          <w:color w:val="231F20"/>
          <w:spacing w:val="-6"/>
        </w:rPr>
        <w:t> </w:t>
      </w:r>
      <w:r>
        <w:rPr>
          <w:color w:val="231F20"/>
        </w:rPr>
        <w:t>estratos</w:t>
      </w:r>
      <w:r>
        <w:rPr>
          <w:color w:val="231F20"/>
          <w:spacing w:val="-6"/>
        </w:rPr>
        <w:t> </w:t>
      </w:r>
      <w:r>
        <w:rPr>
          <w:color w:val="231F20"/>
        </w:rPr>
        <w:t>bajos,</w:t>
      </w:r>
      <w:r>
        <w:rPr>
          <w:color w:val="231F20"/>
          <w:spacing w:val="-6"/>
        </w:rPr>
        <w:t> </w:t>
      </w:r>
      <w:r>
        <w:rPr>
          <w:color w:val="231F20"/>
        </w:rPr>
        <w:t>han</w:t>
      </w:r>
      <w:r>
        <w:rPr>
          <w:color w:val="231F20"/>
          <w:spacing w:val="-6"/>
        </w:rPr>
        <w:t> </w:t>
      </w:r>
      <w:r>
        <w:rPr>
          <w:color w:val="231F20"/>
        </w:rPr>
        <w:t>tenido</w:t>
      </w:r>
      <w:r>
        <w:rPr>
          <w:color w:val="231F20"/>
          <w:spacing w:val="-6"/>
        </w:rPr>
        <w:t> </w:t>
      </w:r>
      <w:r>
        <w:rPr>
          <w:color w:val="231F20"/>
        </w:rPr>
        <w:t>siempre</w:t>
      </w:r>
      <w:r>
        <w:rPr>
          <w:color w:val="231F20"/>
          <w:spacing w:val="-6"/>
        </w:rPr>
        <w:t> </w:t>
      </w:r>
      <w:r>
        <w:rPr>
          <w:color w:val="231F20"/>
        </w:rPr>
        <w:t>que</w:t>
      </w:r>
      <w:r>
        <w:rPr>
          <w:color w:val="231F20"/>
          <w:spacing w:val="-6"/>
        </w:rPr>
        <w:t> </w:t>
      </w:r>
      <w:r>
        <w:rPr>
          <w:color w:val="231F20"/>
        </w:rPr>
        <w:t>entrar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mundo público del trabajo remunerado para asegurar la supervivencia de sus familias, no en vano desde mediados del siglo XX, uno de los rasgos más sobresalientes del capitalismo ha sido la incorporación sostenida de mujeres al trabajo extradoméstico. Empero, de acuerdo con Carole</w:t>
      </w:r>
      <w:r>
        <w:rPr>
          <w:color w:val="231F20"/>
          <w:spacing w:val="-20"/>
        </w:rPr>
        <w:t> </w:t>
      </w:r>
      <w:r>
        <w:rPr>
          <w:color w:val="231F20"/>
        </w:rPr>
        <w:t>Pate- man (1996), la presencia de las esposas en el mundo laboral ha servido para resaltar la continuidad patriarcal existente entre la división sexual del trabajo en la familia y la división sexual del trabajo en el ámbito del empleo, el mecanismo: la segregación ocupacional por</w:t>
      </w:r>
      <w:r>
        <w:rPr>
          <w:color w:val="231F20"/>
          <w:spacing w:val="-12"/>
        </w:rPr>
        <w:t> </w:t>
      </w:r>
      <w:r>
        <w:rPr>
          <w:color w:val="231F20"/>
        </w:rPr>
        <w:t>género.</w:t>
      </w:r>
    </w:p>
    <w:p>
      <w:pPr>
        <w:pStyle w:val="BodyText"/>
        <w:spacing w:line="249" w:lineRule="auto" w:before="1"/>
        <w:ind w:left="113" w:right="107" w:firstLine="283"/>
        <w:jc w:val="both"/>
      </w:pPr>
      <w:r>
        <w:rPr>
          <w:color w:val="231F20"/>
        </w:rPr>
        <w:t>En</w:t>
      </w:r>
      <w:r>
        <w:rPr>
          <w:color w:val="231F20"/>
          <w:spacing w:val="-5"/>
        </w:rPr>
        <w:t> </w:t>
      </w:r>
      <w:r>
        <w:rPr>
          <w:color w:val="231F20"/>
        </w:rPr>
        <w:t>la</w:t>
      </w:r>
      <w:r>
        <w:rPr>
          <w:color w:val="231F20"/>
          <w:spacing w:val="-5"/>
        </w:rPr>
        <w:t> </w:t>
      </w:r>
      <w:r>
        <w:rPr>
          <w:color w:val="231F20"/>
        </w:rPr>
        <w:t>década</w:t>
      </w:r>
      <w:r>
        <w:rPr>
          <w:color w:val="231F20"/>
          <w:spacing w:val="-5"/>
        </w:rPr>
        <w:t> </w:t>
      </w:r>
      <w:r>
        <w:rPr>
          <w:color w:val="231F20"/>
        </w:rPr>
        <w:t>de</w:t>
      </w:r>
      <w:r>
        <w:rPr>
          <w:color w:val="231F20"/>
          <w:spacing w:val="-5"/>
        </w:rPr>
        <w:t> </w:t>
      </w:r>
      <w:r>
        <w:rPr>
          <w:color w:val="231F20"/>
        </w:rPr>
        <w:t>1970,</w:t>
      </w:r>
      <w:r>
        <w:rPr>
          <w:color w:val="231F20"/>
          <w:spacing w:val="-5"/>
        </w:rPr>
        <w:t> </w:t>
      </w:r>
      <w:r>
        <w:rPr>
          <w:color w:val="231F20"/>
        </w:rPr>
        <w:t>la</w:t>
      </w:r>
      <w:r>
        <w:rPr>
          <w:color w:val="231F20"/>
          <w:spacing w:val="-5"/>
        </w:rPr>
        <w:t> </w:t>
      </w:r>
      <w:r>
        <w:rPr>
          <w:color w:val="231F20"/>
        </w:rPr>
        <w:t>socióloga</w:t>
      </w:r>
      <w:r>
        <w:rPr>
          <w:color w:val="231F20"/>
          <w:spacing w:val="-4"/>
        </w:rPr>
        <w:t> </w:t>
      </w:r>
      <w:r>
        <w:rPr>
          <w:color w:val="231F20"/>
        </w:rPr>
        <w:t>británica</w:t>
      </w:r>
      <w:r>
        <w:rPr>
          <w:color w:val="231F20"/>
          <w:spacing w:val="-8"/>
        </w:rPr>
        <w:t> </w:t>
      </w:r>
      <w:r>
        <w:rPr>
          <w:color w:val="231F20"/>
          <w:spacing w:val="-3"/>
        </w:rPr>
        <w:t>Verónica</w:t>
      </w:r>
      <w:r>
        <w:rPr>
          <w:color w:val="231F20"/>
          <w:spacing w:val="-5"/>
        </w:rPr>
        <w:t> </w:t>
      </w:r>
      <w:r>
        <w:rPr>
          <w:color w:val="231F20"/>
        </w:rPr>
        <w:t>Beechey</w:t>
      </w:r>
      <w:r>
        <w:rPr>
          <w:color w:val="231F20"/>
          <w:spacing w:val="-5"/>
        </w:rPr>
        <w:t> </w:t>
      </w:r>
      <w:r>
        <w:rPr>
          <w:color w:val="231F20"/>
        </w:rPr>
        <w:t>expli- có</w:t>
      </w:r>
      <w:r>
        <w:rPr>
          <w:color w:val="231F20"/>
          <w:spacing w:val="-7"/>
        </w:rPr>
        <w:t> </w:t>
      </w:r>
      <w:r>
        <w:rPr>
          <w:color w:val="231F20"/>
        </w:rPr>
        <w:t>la</w:t>
      </w:r>
      <w:r>
        <w:rPr>
          <w:color w:val="231F20"/>
          <w:spacing w:val="-6"/>
        </w:rPr>
        <w:t> </w:t>
      </w:r>
      <w:r>
        <w:rPr>
          <w:color w:val="231F20"/>
        </w:rPr>
        <w:t>lógica</w:t>
      </w:r>
      <w:r>
        <w:rPr>
          <w:color w:val="231F20"/>
          <w:spacing w:val="-7"/>
        </w:rPr>
        <w:t> </w:t>
      </w:r>
      <w:r>
        <w:rPr>
          <w:color w:val="231F20"/>
        </w:rPr>
        <w:t>del</w:t>
      </w:r>
      <w:r>
        <w:rPr>
          <w:color w:val="231F20"/>
          <w:spacing w:val="-6"/>
        </w:rPr>
        <w:t> </w:t>
      </w:r>
      <w:r>
        <w:rPr>
          <w:color w:val="231F20"/>
        </w:rPr>
        <w:t>crecimiento</w:t>
      </w:r>
      <w:r>
        <w:rPr>
          <w:color w:val="231F20"/>
          <w:spacing w:val="-7"/>
        </w:rPr>
        <w:t> </w:t>
      </w:r>
      <w:r>
        <w:rPr>
          <w:color w:val="231F20"/>
        </w:rPr>
        <w:t>del</w:t>
      </w:r>
      <w:r>
        <w:rPr>
          <w:color w:val="231F20"/>
          <w:spacing w:val="-6"/>
        </w:rPr>
        <w:t> </w:t>
      </w:r>
      <w:r>
        <w:rPr>
          <w:color w:val="231F20"/>
        </w:rPr>
        <w:t>empleo</w:t>
      </w:r>
      <w:r>
        <w:rPr>
          <w:color w:val="231F20"/>
          <w:spacing w:val="-7"/>
        </w:rPr>
        <w:t> </w:t>
      </w:r>
      <w:r>
        <w:rPr>
          <w:color w:val="231F20"/>
        </w:rPr>
        <w:t>entre</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casadas</w:t>
      </w:r>
      <w:r>
        <w:rPr>
          <w:color w:val="231F20"/>
          <w:spacing w:val="-7"/>
        </w:rPr>
        <w:t> </w:t>
      </w:r>
      <w:r>
        <w:rPr>
          <w:color w:val="231F20"/>
        </w:rPr>
        <w:t>británi- cas en los años sesenta y setenta. Según Beechey (1977, 1994), las mu- jeres</w:t>
      </w:r>
      <w:r>
        <w:rPr>
          <w:color w:val="231F20"/>
          <w:spacing w:val="-4"/>
        </w:rPr>
        <w:t> </w:t>
      </w:r>
      <w:r>
        <w:rPr>
          <w:color w:val="231F20"/>
        </w:rPr>
        <w:t>casadas</w:t>
      </w:r>
      <w:r>
        <w:rPr>
          <w:color w:val="231F20"/>
          <w:spacing w:val="-5"/>
        </w:rPr>
        <w:t> </w:t>
      </w:r>
      <w:r>
        <w:rPr>
          <w:color w:val="231F20"/>
        </w:rPr>
        <w:t>fueron</w:t>
      </w:r>
      <w:r>
        <w:rPr>
          <w:color w:val="231F20"/>
          <w:spacing w:val="-4"/>
        </w:rPr>
        <w:t> </w:t>
      </w:r>
      <w:r>
        <w:rPr>
          <w:color w:val="231F20"/>
        </w:rPr>
        <w:t>una</w:t>
      </w:r>
      <w:r>
        <w:rPr>
          <w:color w:val="231F20"/>
          <w:spacing w:val="-4"/>
        </w:rPr>
        <w:t> </w:t>
      </w:r>
      <w:r>
        <w:rPr>
          <w:color w:val="231F20"/>
        </w:rPr>
        <w:t>mano</w:t>
      </w:r>
      <w:r>
        <w:rPr>
          <w:color w:val="231F20"/>
          <w:spacing w:val="-4"/>
        </w:rPr>
        <w:t> </w:t>
      </w:r>
      <w:r>
        <w:rPr>
          <w:color w:val="231F20"/>
        </w:rPr>
        <w:t>de</w:t>
      </w:r>
      <w:r>
        <w:rPr>
          <w:color w:val="231F20"/>
          <w:spacing w:val="-4"/>
        </w:rPr>
        <w:t> </w:t>
      </w:r>
      <w:r>
        <w:rPr>
          <w:color w:val="231F20"/>
        </w:rPr>
        <w:t>obra</w:t>
      </w:r>
      <w:r>
        <w:rPr>
          <w:color w:val="231F20"/>
          <w:spacing w:val="-4"/>
        </w:rPr>
        <w:t> </w:t>
      </w:r>
      <w:r>
        <w:rPr>
          <w:color w:val="231F20"/>
        </w:rPr>
        <w:t>especialmente</w:t>
      </w:r>
      <w:r>
        <w:rPr>
          <w:color w:val="231F20"/>
          <w:spacing w:val="-5"/>
        </w:rPr>
        <w:t> </w:t>
      </w:r>
      <w:r>
        <w:rPr>
          <w:color w:val="231F20"/>
        </w:rPr>
        <w:t>provechosa</w:t>
      </w:r>
      <w:r>
        <w:rPr>
          <w:color w:val="231F20"/>
          <w:spacing w:val="-4"/>
        </w:rPr>
        <w:t> </w:t>
      </w:r>
      <w:r>
        <w:rPr>
          <w:color w:val="231F20"/>
        </w:rPr>
        <w:t>para</w:t>
      </w:r>
      <w:r>
        <w:rPr>
          <w:color w:val="231F20"/>
          <w:spacing w:val="-4"/>
        </w:rPr>
        <w:t> </w:t>
      </w:r>
      <w:r>
        <w:rPr>
          <w:color w:val="231F20"/>
        </w:rPr>
        <w:t>el capital, entre los atributos de esta fuerza de trabajo, sobresalía su escasa afiliación</w:t>
      </w:r>
      <w:r>
        <w:rPr>
          <w:color w:val="231F20"/>
          <w:spacing w:val="-6"/>
        </w:rPr>
        <w:t> </w:t>
      </w:r>
      <w:r>
        <w:rPr>
          <w:color w:val="231F20"/>
        </w:rPr>
        <w:t>sindical,</w:t>
      </w:r>
      <w:r>
        <w:rPr>
          <w:color w:val="231F20"/>
          <w:spacing w:val="-6"/>
        </w:rPr>
        <w:t> </w:t>
      </w:r>
      <w:r>
        <w:rPr>
          <w:color w:val="231F20"/>
        </w:rPr>
        <w:t>estaban</w:t>
      </w:r>
      <w:r>
        <w:rPr>
          <w:color w:val="231F20"/>
          <w:spacing w:val="-6"/>
        </w:rPr>
        <w:t> </w:t>
      </w:r>
      <w:r>
        <w:rPr>
          <w:color w:val="231F20"/>
        </w:rPr>
        <w:t>desprotegidas</w:t>
      </w:r>
      <w:r>
        <w:rPr>
          <w:color w:val="231F20"/>
          <w:spacing w:val="-6"/>
        </w:rPr>
        <w:t> </w:t>
      </w:r>
      <w:r>
        <w:rPr>
          <w:color w:val="231F20"/>
        </w:rPr>
        <w:t>respecto</w:t>
      </w:r>
      <w:r>
        <w:rPr>
          <w:color w:val="231F20"/>
          <w:spacing w:val="-6"/>
        </w:rPr>
        <w:t> </w:t>
      </w:r>
      <w:r>
        <w:rPr>
          <w:color w:val="231F20"/>
        </w:rPr>
        <w:t>de</w:t>
      </w:r>
      <w:r>
        <w:rPr>
          <w:color w:val="231F20"/>
          <w:spacing w:val="-6"/>
        </w:rPr>
        <w:t> </w:t>
      </w:r>
      <w:r>
        <w:rPr>
          <w:color w:val="231F20"/>
        </w:rPr>
        <w:t>derechos</w:t>
      </w:r>
      <w:r>
        <w:rPr>
          <w:color w:val="231F20"/>
          <w:spacing w:val="-6"/>
        </w:rPr>
        <w:t> </w:t>
      </w:r>
      <w:r>
        <w:rPr>
          <w:color w:val="231F20"/>
        </w:rPr>
        <w:t>laborales: compensaciones</w:t>
      </w:r>
      <w:r>
        <w:rPr>
          <w:color w:val="231F20"/>
          <w:spacing w:val="-10"/>
        </w:rPr>
        <w:t> </w:t>
      </w:r>
      <w:r>
        <w:rPr>
          <w:color w:val="231F20"/>
        </w:rPr>
        <w:t>por</w:t>
      </w:r>
      <w:r>
        <w:rPr>
          <w:color w:val="231F20"/>
          <w:spacing w:val="-9"/>
        </w:rPr>
        <w:t> </w:t>
      </w:r>
      <w:r>
        <w:rPr>
          <w:color w:val="231F20"/>
        </w:rPr>
        <w:t>despidos</w:t>
      </w:r>
      <w:r>
        <w:rPr>
          <w:color w:val="231F20"/>
          <w:spacing w:val="-9"/>
        </w:rPr>
        <w:t> </w:t>
      </w:r>
      <w:r>
        <w:rPr>
          <w:color w:val="231F20"/>
        </w:rPr>
        <w:t>o</w:t>
      </w:r>
      <w:r>
        <w:rPr>
          <w:color w:val="231F20"/>
          <w:spacing w:val="-9"/>
        </w:rPr>
        <w:t> </w:t>
      </w:r>
      <w:r>
        <w:rPr>
          <w:color w:val="231F20"/>
        </w:rPr>
        <w:t>subsidios</w:t>
      </w:r>
      <w:r>
        <w:rPr>
          <w:color w:val="231F20"/>
          <w:spacing w:val="-9"/>
        </w:rPr>
        <w:t> </w:t>
      </w:r>
      <w:r>
        <w:rPr>
          <w:color w:val="231F20"/>
        </w:rPr>
        <w:t>estatales</w:t>
      </w:r>
      <w:r>
        <w:rPr>
          <w:color w:val="231F20"/>
          <w:spacing w:val="-10"/>
        </w:rPr>
        <w:t> </w:t>
      </w:r>
      <w:r>
        <w:rPr>
          <w:color w:val="231F20"/>
        </w:rPr>
        <w:t>de</w:t>
      </w:r>
      <w:r>
        <w:rPr>
          <w:color w:val="231F20"/>
          <w:spacing w:val="-9"/>
        </w:rPr>
        <w:t> </w:t>
      </w:r>
      <w:r>
        <w:rPr>
          <w:color w:val="231F20"/>
        </w:rPr>
        <w:t>desempleo.</w:t>
      </w:r>
      <w:r>
        <w:rPr>
          <w:color w:val="231F20"/>
          <w:spacing w:val="-9"/>
        </w:rPr>
        <w:t> </w:t>
      </w:r>
      <w:r>
        <w:rPr>
          <w:color w:val="231F20"/>
        </w:rPr>
        <w:t>Para</w:t>
      </w:r>
      <w:r>
        <w:rPr>
          <w:color w:val="231F20"/>
          <w:spacing w:val="-9"/>
        </w:rPr>
        <w:t> </w:t>
      </w:r>
      <w:r>
        <w:rPr>
          <w:color w:val="231F20"/>
        </w:rPr>
        <w:t>el mismo</w:t>
      </w:r>
      <w:r>
        <w:rPr>
          <w:color w:val="231F20"/>
          <w:spacing w:val="-5"/>
        </w:rPr>
        <w:t> </w:t>
      </w:r>
      <w:r>
        <w:rPr>
          <w:color w:val="231F20"/>
        </w:rPr>
        <w:t>caso,</w:t>
      </w:r>
      <w:r>
        <w:rPr>
          <w:color w:val="231F20"/>
          <w:spacing w:val="-5"/>
        </w:rPr>
        <w:t> </w:t>
      </w:r>
      <w:r>
        <w:rPr>
          <w:color w:val="231F20"/>
        </w:rPr>
        <w:t>Linda</w:t>
      </w:r>
      <w:r>
        <w:rPr>
          <w:color w:val="231F20"/>
          <w:spacing w:val="-5"/>
        </w:rPr>
        <w:t> </w:t>
      </w:r>
      <w:r>
        <w:rPr>
          <w:color w:val="231F20"/>
        </w:rPr>
        <w:t>MacDowell</w:t>
      </w:r>
      <w:r>
        <w:rPr>
          <w:color w:val="231F20"/>
          <w:spacing w:val="-4"/>
        </w:rPr>
        <w:t> </w:t>
      </w:r>
      <w:r>
        <w:rPr>
          <w:color w:val="231F20"/>
        </w:rPr>
        <w:t>(1999:</w:t>
      </w:r>
      <w:r>
        <w:rPr>
          <w:color w:val="231F20"/>
          <w:spacing w:val="-5"/>
        </w:rPr>
        <w:t> </w:t>
      </w:r>
      <w:r>
        <w:rPr>
          <w:color w:val="231F20"/>
        </w:rPr>
        <w:t>196)</w:t>
      </w:r>
      <w:r>
        <w:rPr>
          <w:color w:val="231F20"/>
          <w:spacing w:val="-5"/>
        </w:rPr>
        <w:t> </w:t>
      </w:r>
      <w:r>
        <w:rPr>
          <w:color w:val="231F20"/>
        </w:rPr>
        <w:t>explica</w:t>
      </w:r>
      <w:r>
        <w:rPr>
          <w:color w:val="231F20"/>
          <w:spacing w:val="-5"/>
        </w:rPr>
        <w:t> </w:t>
      </w:r>
      <w:r>
        <w:rPr>
          <w:color w:val="231F20"/>
        </w:rPr>
        <w:t>que</w:t>
      </w:r>
      <w:r>
        <w:rPr>
          <w:color w:val="231F20"/>
          <w:spacing w:val="-5"/>
        </w:rPr>
        <w:t> </w:t>
      </w:r>
      <w:r>
        <w:rPr>
          <w:color w:val="231F20"/>
        </w:rPr>
        <w:t>“esa</w:t>
      </w:r>
      <w:r>
        <w:rPr>
          <w:color w:val="231F20"/>
          <w:spacing w:val="-5"/>
        </w:rPr>
        <w:t> </w:t>
      </w:r>
      <w:r>
        <w:rPr>
          <w:color w:val="231F20"/>
        </w:rPr>
        <w:t>carencia</w:t>
      </w:r>
      <w:r>
        <w:rPr>
          <w:color w:val="231F20"/>
          <w:spacing w:val="-5"/>
        </w:rPr>
        <w:t> </w:t>
      </w:r>
      <w:r>
        <w:rPr>
          <w:color w:val="231F20"/>
        </w:rPr>
        <w:t>de derechos se basaba en que los sistemas de impuestos y asistencia social consideraban que las mujeres casadas dependían de los maridos, ya que su primera responsabilidad era crear un hogar y cuidar del hombre y de los hijos”. Era justamente la consideración de las mujeres como grupo dependiente</w:t>
      </w:r>
      <w:r>
        <w:rPr>
          <w:color w:val="231F20"/>
          <w:spacing w:val="22"/>
        </w:rPr>
        <w:t> </w:t>
      </w:r>
      <w:r>
        <w:rPr>
          <w:color w:val="231F20"/>
        </w:rPr>
        <w:t>por</w:t>
      </w:r>
      <w:r>
        <w:rPr>
          <w:color w:val="231F20"/>
          <w:spacing w:val="22"/>
        </w:rPr>
        <w:t> </w:t>
      </w:r>
      <w:r>
        <w:rPr>
          <w:color w:val="231F20"/>
        </w:rPr>
        <w:t>parte</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empresarios</w:t>
      </w:r>
      <w:r>
        <w:rPr>
          <w:color w:val="231F20"/>
          <w:spacing w:val="21"/>
        </w:rPr>
        <w:t> </w:t>
      </w:r>
      <w:r>
        <w:rPr>
          <w:color w:val="231F20"/>
        </w:rPr>
        <w:t>y</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legislación</w:t>
      </w:r>
      <w:r>
        <w:rPr>
          <w:color w:val="231F20"/>
          <w:spacing w:val="21"/>
        </w:rPr>
        <w:t> </w:t>
      </w:r>
      <w:r>
        <w:rPr>
          <w:color w:val="231F20"/>
        </w:rPr>
        <w:t>estatal</w:t>
      </w:r>
      <w:r>
        <w:rPr>
          <w:color w:val="231F20"/>
          <w:spacing w:val="22"/>
        </w:rPr>
        <w:t> </w:t>
      </w:r>
      <w:r>
        <w:rPr>
          <w:color w:val="231F20"/>
        </w:rPr>
        <w:t>lo</w:t>
      </w:r>
    </w:p>
    <w:p>
      <w:pPr>
        <w:spacing w:after="0" w:line="249" w:lineRule="auto"/>
        <w:jc w:val="both"/>
        <w:sectPr>
          <w:footerReference w:type="default" r:id="rId245"/>
          <w:pgSz w:w="7770" w:h="11740"/>
          <w:pgMar w:footer="474" w:header="0" w:top="840" w:bottom="660" w:left="1020" w:right="740"/>
          <w:pgNumType w:start="207"/>
        </w:sectPr>
      </w:pPr>
    </w:p>
    <w:p>
      <w:pPr>
        <w:pStyle w:val="BodyText"/>
        <w:spacing w:line="249" w:lineRule="auto" w:before="60"/>
        <w:ind w:left="110" w:right="111"/>
        <w:jc w:val="both"/>
      </w:pPr>
      <w:r>
        <w:rPr>
          <w:color w:val="231F20"/>
        </w:rPr>
        <w:t>que las condenaba a seguir siendo responsables del trabajo doméstico y el</w:t>
      </w:r>
      <w:r>
        <w:rPr>
          <w:color w:val="231F20"/>
          <w:spacing w:val="-7"/>
        </w:rPr>
        <w:t> </w:t>
      </w:r>
      <w:r>
        <w:rPr>
          <w:color w:val="231F20"/>
        </w:rPr>
        <w:t>cuidado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hijos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confinaba</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número</w:t>
      </w:r>
      <w:r>
        <w:rPr>
          <w:color w:val="231F20"/>
          <w:spacing w:val="-7"/>
        </w:rPr>
        <w:t> </w:t>
      </w:r>
      <w:r>
        <w:rPr>
          <w:color w:val="231F20"/>
        </w:rPr>
        <w:t>limitado</w:t>
      </w:r>
      <w:r>
        <w:rPr>
          <w:color w:val="231F20"/>
          <w:spacing w:val="-8"/>
        </w:rPr>
        <w:t> </w:t>
      </w:r>
      <w:r>
        <w:rPr>
          <w:color w:val="231F20"/>
        </w:rPr>
        <w:t>de</w:t>
      </w:r>
      <w:r>
        <w:rPr>
          <w:color w:val="231F20"/>
          <w:spacing w:val="-7"/>
        </w:rPr>
        <w:t> </w:t>
      </w:r>
      <w:r>
        <w:rPr>
          <w:color w:val="231F20"/>
        </w:rPr>
        <w:t>empleos “apropiados” MacDowell (1999). Como ya se decía, en el mercado de trabajo, la segregación de los empleos por género ha sido uno de los mecanismos</w:t>
      </w:r>
      <w:r>
        <w:rPr>
          <w:color w:val="231F20"/>
          <w:spacing w:val="-9"/>
        </w:rPr>
        <w:t> </w:t>
      </w:r>
      <w:r>
        <w:rPr>
          <w:color w:val="231F20"/>
        </w:rPr>
        <w:t>que</w:t>
      </w:r>
      <w:r>
        <w:rPr>
          <w:color w:val="231F20"/>
          <w:spacing w:val="-8"/>
        </w:rPr>
        <w:t> </w:t>
      </w:r>
      <w:r>
        <w:rPr>
          <w:color w:val="231F20"/>
        </w:rPr>
        <w:t>permiten</w:t>
      </w:r>
      <w:r>
        <w:rPr>
          <w:color w:val="231F20"/>
          <w:spacing w:val="-9"/>
        </w:rPr>
        <w:t> </w:t>
      </w:r>
      <w:r>
        <w:rPr>
          <w:color w:val="231F20"/>
        </w:rPr>
        <w:t>la</w:t>
      </w:r>
      <w:r>
        <w:rPr>
          <w:color w:val="231F20"/>
          <w:spacing w:val="-8"/>
        </w:rPr>
        <w:t> </w:t>
      </w:r>
      <w:r>
        <w:rPr>
          <w:color w:val="231F20"/>
        </w:rPr>
        <w:t>subordinación</w:t>
      </w:r>
      <w:r>
        <w:rPr>
          <w:color w:val="231F20"/>
          <w:spacing w:val="-8"/>
        </w:rPr>
        <w:t> </w:t>
      </w:r>
      <w:r>
        <w:rPr>
          <w:color w:val="231F20"/>
        </w:rPr>
        <w:t>de</w:t>
      </w:r>
      <w:r>
        <w:rPr>
          <w:color w:val="231F20"/>
          <w:spacing w:val="-8"/>
        </w:rPr>
        <w:t> </w:t>
      </w:r>
      <w:r>
        <w:rPr>
          <w:color w:val="231F20"/>
        </w:rPr>
        <w:t>las</w:t>
      </w:r>
      <w:r>
        <w:rPr>
          <w:color w:val="231F20"/>
          <w:spacing w:val="-9"/>
        </w:rPr>
        <w:t> </w:t>
      </w:r>
      <w:r>
        <w:rPr>
          <w:color w:val="231F20"/>
        </w:rPr>
        <w:t>mujeres</w:t>
      </w:r>
      <w:r>
        <w:rPr>
          <w:color w:val="231F20"/>
          <w:spacing w:val="-9"/>
        </w:rPr>
        <w:t> </w:t>
      </w:r>
      <w:r>
        <w:rPr>
          <w:color w:val="231F20"/>
        </w:rPr>
        <w:t>en</w:t>
      </w:r>
      <w:r>
        <w:rPr>
          <w:color w:val="231F20"/>
          <w:spacing w:val="-9"/>
        </w:rPr>
        <w:t> </w:t>
      </w:r>
      <w:r>
        <w:rPr>
          <w:color w:val="231F20"/>
        </w:rPr>
        <w:t>la</w:t>
      </w:r>
      <w:r>
        <w:rPr>
          <w:color w:val="231F20"/>
          <w:spacing w:val="-8"/>
        </w:rPr>
        <w:t> </w:t>
      </w:r>
      <w:r>
        <w:rPr>
          <w:color w:val="231F20"/>
        </w:rPr>
        <w:t>sociedad capitalista patriarcal. Otro aspecto sustancial que la historia del traba-   jo de las mujeres nos muestra es que el capitalismo tiene muy clara la conveniencia del uso de la fuerza de trabajo femenina para atender sus procesos de expansión y de cambios en la</w:t>
      </w:r>
      <w:r>
        <w:rPr>
          <w:color w:val="231F20"/>
          <w:spacing w:val="-3"/>
        </w:rPr>
        <w:t> </w:t>
      </w:r>
      <w:r>
        <w:rPr>
          <w:color w:val="231F20"/>
        </w:rPr>
        <w:t>producción.</w:t>
      </w:r>
    </w:p>
    <w:p>
      <w:pPr>
        <w:pStyle w:val="BodyText"/>
        <w:spacing w:line="249" w:lineRule="auto" w:before="1"/>
        <w:ind w:left="110" w:right="111" w:firstLine="283"/>
        <w:jc w:val="both"/>
      </w:pPr>
      <w:r>
        <w:rPr>
          <w:color w:val="231F20"/>
        </w:rPr>
        <w:t>Pero</w:t>
      </w:r>
      <w:r>
        <w:rPr>
          <w:color w:val="231F20"/>
          <w:spacing w:val="-10"/>
        </w:rPr>
        <w:t> </w:t>
      </w:r>
      <w:r>
        <w:rPr>
          <w:color w:val="231F20"/>
        </w:rPr>
        <w:t>en</w:t>
      </w:r>
      <w:r>
        <w:rPr>
          <w:color w:val="231F20"/>
          <w:spacing w:val="-11"/>
        </w:rPr>
        <w:t> </w:t>
      </w:r>
      <w:r>
        <w:rPr>
          <w:color w:val="231F20"/>
        </w:rPr>
        <w:t>este</w:t>
      </w:r>
      <w:r>
        <w:rPr>
          <w:color w:val="231F20"/>
          <w:spacing w:val="-11"/>
        </w:rPr>
        <w:t> </w:t>
      </w:r>
      <w:r>
        <w:rPr>
          <w:color w:val="231F20"/>
        </w:rPr>
        <w:t>momento</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importa</w:t>
      </w:r>
      <w:r>
        <w:rPr>
          <w:color w:val="231F20"/>
          <w:spacing w:val="-11"/>
        </w:rPr>
        <w:t> </w:t>
      </w:r>
      <w:r>
        <w:rPr>
          <w:color w:val="231F20"/>
        </w:rPr>
        <w:t>es</w:t>
      </w:r>
      <w:r>
        <w:rPr>
          <w:color w:val="231F20"/>
          <w:spacing w:val="-11"/>
        </w:rPr>
        <w:t> </w:t>
      </w:r>
      <w:r>
        <w:rPr>
          <w:color w:val="231F20"/>
        </w:rPr>
        <w:t>insistir</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reiterado</w:t>
      </w:r>
      <w:r>
        <w:rPr>
          <w:color w:val="231F20"/>
          <w:spacing w:val="-11"/>
        </w:rPr>
        <w:t> </w:t>
      </w:r>
      <w:r>
        <w:rPr>
          <w:color w:val="231F20"/>
        </w:rPr>
        <w:t>señala- miento</w:t>
      </w:r>
      <w:r>
        <w:rPr>
          <w:color w:val="231F20"/>
          <w:spacing w:val="-6"/>
        </w:rPr>
        <w:t> </w:t>
      </w:r>
      <w:r>
        <w:rPr>
          <w:color w:val="231F20"/>
        </w:rPr>
        <w:t>desde</w:t>
      </w:r>
      <w:r>
        <w:rPr>
          <w:color w:val="231F20"/>
          <w:spacing w:val="-6"/>
        </w:rPr>
        <w:t> </w:t>
      </w:r>
      <w:r>
        <w:rPr>
          <w:color w:val="231F20"/>
        </w:rPr>
        <w:t>los</w:t>
      </w:r>
      <w:r>
        <w:rPr>
          <w:color w:val="231F20"/>
          <w:spacing w:val="-6"/>
        </w:rPr>
        <w:t> </w:t>
      </w:r>
      <w:r>
        <w:rPr>
          <w:color w:val="231F20"/>
        </w:rPr>
        <w:t>estudios</w:t>
      </w:r>
      <w:r>
        <w:rPr>
          <w:color w:val="231F20"/>
          <w:spacing w:val="-6"/>
        </w:rPr>
        <w:t> </w:t>
      </w:r>
      <w:r>
        <w:rPr>
          <w:color w:val="231F20"/>
        </w:rPr>
        <w:t>de</w:t>
      </w:r>
      <w:r>
        <w:rPr>
          <w:color w:val="231F20"/>
          <w:spacing w:val="-6"/>
        </w:rPr>
        <w:t> </w:t>
      </w:r>
      <w:r>
        <w:rPr>
          <w:color w:val="231F20"/>
        </w:rPr>
        <w:t>género</w:t>
      </w:r>
      <w:r>
        <w:rPr>
          <w:color w:val="231F20"/>
          <w:spacing w:val="-6"/>
        </w:rPr>
        <w:t> </w:t>
      </w:r>
      <w:r>
        <w:rPr>
          <w:color w:val="231F20"/>
        </w:rPr>
        <w:t>respecto</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debates</w:t>
      </w:r>
      <w:r>
        <w:rPr>
          <w:color w:val="231F20"/>
          <w:spacing w:val="-6"/>
        </w:rPr>
        <w:t> </w:t>
      </w:r>
      <w:r>
        <w:rPr>
          <w:color w:val="231F20"/>
        </w:rPr>
        <w:t>sobre la</w:t>
      </w:r>
      <w:r>
        <w:rPr>
          <w:color w:val="231F20"/>
          <w:spacing w:val="-4"/>
        </w:rPr>
        <w:t> </w:t>
      </w:r>
      <w:r>
        <w:rPr>
          <w:color w:val="231F20"/>
        </w:rPr>
        <w:t>vida</w:t>
      </w:r>
      <w:r>
        <w:rPr>
          <w:color w:val="231F20"/>
          <w:spacing w:val="-4"/>
        </w:rPr>
        <w:t> </w:t>
      </w:r>
      <w:r>
        <w:rPr>
          <w:color w:val="231F20"/>
        </w:rPr>
        <w:t>laboral</w:t>
      </w:r>
      <w:r>
        <w:rPr>
          <w:color w:val="231F20"/>
          <w:spacing w:val="-4"/>
        </w:rPr>
        <w:t> </w:t>
      </w:r>
      <w:r>
        <w:rPr>
          <w:color w:val="231F20"/>
        </w:rPr>
        <w:t>o</w:t>
      </w:r>
      <w:r>
        <w:rPr>
          <w:color w:val="231F20"/>
          <w:spacing w:val="-3"/>
        </w:rPr>
        <w:t> </w:t>
      </w:r>
      <w:r>
        <w:rPr>
          <w:color w:val="231F20"/>
        </w:rPr>
        <w:t>del</w:t>
      </w:r>
      <w:r>
        <w:rPr>
          <w:color w:val="231F20"/>
          <w:spacing w:val="-4"/>
        </w:rPr>
        <w:t> </w:t>
      </w:r>
      <w:r>
        <w:rPr>
          <w:color w:val="231F20"/>
        </w:rPr>
        <w:t>trabajo,</w:t>
      </w:r>
      <w:r>
        <w:rPr>
          <w:color w:val="231F20"/>
          <w:spacing w:val="-4"/>
        </w:rPr>
        <w:t> </w:t>
      </w:r>
      <w:r>
        <w:rPr>
          <w:color w:val="231F20"/>
        </w:rPr>
        <w:t>se</w:t>
      </w:r>
      <w:r>
        <w:rPr>
          <w:color w:val="231F20"/>
          <w:spacing w:val="-3"/>
        </w:rPr>
        <w:t> </w:t>
      </w:r>
      <w:r>
        <w:rPr>
          <w:color w:val="231F20"/>
        </w:rPr>
        <w:t>continúe</w:t>
      </w:r>
      <w:r>
        <w:rPr>
          <w:color w:val="231F20"/>
          <w:spacing w:val="-4"/>
        </w:rPr>
        <w:t> </w:t>
      </w:r>
      <w:r>
        <w:rPr>
          <w:color w:val="231F20"/>
        </w:rPr>
        <w:t>dando</w:t>
      </w:r>
      <w:r>
        <w:rPr>
          <w:color w:val="231F20"/>
          <w:spacing w:val="-4"/>
        </w:rPr>
        <w:t> </w:t>
      </w:r>
      <w:r>
        <w:rPr>
          <w:color w:val="231F20"/>
        </w:rPr>
        <w:t>por</w:t>
      </w:r>
      <w:r>
        <w:rPr>
          <w:color w:val="231F20"/>
          <w:spacing w:val="-3"/>
        </w:rPr>
        <w:t> </w:t>
      </w:r>
      <w:r>
        <w:rPr>
          <w:color w:val="231F20"/>
        </w:rPr>
        <w:t>supuesto</w:t>
      </w:r>
      <w:r>
        <w:rPr>
          <w:color w:val="231F20"/>
          <w:spacing w:val="-3"/>
        </w:rPr>
        <w:t> </w:t>
      </w:r>
      <w:r>
        <w:rPr>
          <w:color w:val="231F20"/>
        </w:rPr>
        <w:t>que</w:t>
      </w:r>
      <w:r>
        <w:rPr>
          <w:color w:val="231F20"/>
          <w:spacing w:val="-4"/>
        </w:rPr>
        <w:t> </w:t>
      </w:r>
      <w:r>
        <w:rPr>
          <w:color w:val="231F20"/>
        </w:rPr>
        <w:t>es</w:t>
      </w:r>
      <w:r>
        <w:rPr>
          <w:color w:val="231F20"/>
          <w:spacing w:val="-4"/>
        </w:rPr>
        <w:t> </w:t>
      </w:r>
      <w:r>
        <w:rPr>
          <w:color w:val="231F20"/>
        </w:rPr>
        <w:t>posi- ble entender la actividad económica prescindiendo de la vida doméstica. Se “omite” que el trabajador —que invariablemente se considera que es un hombre— puede estar en condiciones para trabajar y concentrarse en sus actividades liberado de la necesidad de limpiar, preparar alimentos, cuidar y alimentar a sus hijos, únicamente porque estas tareas son reali- zadas</w:t>
      </w:r>
      <w:r>
        <w:rPr>
          <w:color w:val="231F20"/>
          <w:spacing w:val="-5"/>
        </w:rPr>
        <w:t> </w:t>
      </w:r>
      <w:r>
        <w:rPr>
          <w:color w:val="231F20"/>
        </w:rPr>
        <w:t>de</w:t>
      </w:r>
      <w:r>
        <w:rPr>
          <w:color w:val="231F20"/>
          <w:spacing w:val="-5"/>
        </w:rPr>
        <w:t> </w:t>
      </w:r>
      <w:r>
        <w:rPr>
          <w:color w:val="231F20"/>
        </w:rPr>
        <w:t>forma</w:t>
      </w:r>
      <w:r>
        <w:rPr>
          <w:color w:val="231F20"/>
          <w:spacing w:val="-5"/>
        </w:rPr>
        <w:t> </w:t>
      </w:r>
      <w:r>
        <w:rPr>
          <w:color w:val="231F20"/>
        </w:rPr>
        <w:t>no</w:t>
      </w:r>
      <w:r>
        <w:rPr>
          <w:color w:val="231F20"/>
          <w:spacing w:val="-5"/>
        </w:rPr>
        <w:t> </w:t>
      </w:r>
      <w:r>
        <w:rPr>
          <w:color w:val="231F20"/>
        </w:rPr>
        <w:t>remunerada</w:t>
      </w:r>
      <w:r>
        <w:rPr>
          <w:color w:val="231F20"/>
          <w:spacing w:val="-5"/>
        </w:rPr>
        <w:t> </w:t>
      </w:r>
      <w:r>
        <w:rPr>
          <w:color w:val="231F20"/>
        </w:rPr>
        <w:t>por</w:t>
      </w:r>
      <w:r>
        <w:rPr>
          <w:color w:val="231F20"/>
          <w:spacing w:val="-5"/>
        </w:rPr>
        <w:t> </w:t>
      </w:r>
      <w:r>
        <w:rPr>
          <w:color w:val="231F20"/>
        </w:rPr>
        <w:t>su</w:t>
      </w:r>
      <w:r>
        <w:rPr>
          <w:color w:val="231F20"/>
          <w:spacing w:val="-5"/>
        </w:rPr>
        <w:t> </w:t>
      </w:r>
      <w:r>
        <w:rPr>
          <w:color w:val="231F20"/>
        </w:rPr>
        <w:t>esposa</w:t>
      </w:r>
      <w:r>
        <w:rPr>
          <w:color w:val="231F20"/>
          <w:spacing w:val="-5"/>
        </w:rPr>
        <w:t> </w:t>
      </w:r>
      <w:r>
        <w:rPr>
          <w:color w:val="231F20"/>
        </w:rPr>
        <w:t>(u</w:t>
      </w:r>
      <w:r>
        <w:rPr>
          <w:color w:val="231F20"/>
          <w:spacing w:val="-5"/>
        </w:rPr>
        <w:t> </w:t>
      </w:r>
      <w:r>
        <w:rPr>
          <w:color w:val="231F20"/>
        </w:rPr>
        <w:t>otras</w:t>
      </w:r>
      <w:r>
        <w:rPr>
          <w:color w:val="231F20"/>
          <w:spacing w:val="-5"/>
        </w:rPr>
        <w:t> </w:t>
      </w:r>
      <w:r>
        <w:rPr>
          <w:color w:val="231F20"/>
        </w:rPr>
        <w:t>mujeres</w:t>
      </w:r>
      <w:r>
        <w:rPr>
          <w:color w:val="231F20"/>
          <w:spacing w:val="-5"/>
        </w:rPr>
        <w:t> </w:t>
      </w:r>
      <w:r>
        <w:rPr>
          <w:color w:val="231F20"/>
        </w:rPr>
        <w:t>confinadas al espacio doméstico). Y si ésta es también trabajadora remunerada en- tonces</w:t>
      </w:r>
      <w:r>
        <w:rPr>
          <w:color w:val="231F20"/>
          <w:spacing w:val="-6"/>
        </w:rPr>
        <w:t> </w:t>
      </w:r>
      <w:r>
        <w:rPr>
          <w:color w:val="231F20"/>
        </w:rPr>
        <w:t>ella</w:t>
      </w:r>
      <w:r>
        <w:rPr>
          <w:color w:val="231F20"/>
          <w:spacing w:val="-5"/>
        </w:rPr>
        <w:t> </w:t>
      </w:r>
      <w:r>
        <w:rPr>
          <w:color w:val="231F20"/>
        </w:rPr>
        <w:t>tiene</w:t>
      </w:r>
      <w:r>
        <w:rPr>
          <w:color w:val="231F20"/>
          <w:spacing w:val="-5"/>
        </w:rPr>
        <w:t> </w:t>
      </w:r>
      <w:r>
        <w:rPr>
          <w:color w:val="231F20"/>
        </w:rPr>
        <w:t>que</w:t>
      </w:r>
      <w:r>
        <w:rPr>
          <w:color w:val="231F20"/>
          <w:spacing w:val="-5"/>
        </w:rPr>
        <w:t> </w:t>
      </w:r>
      <w:r>
        <w:rPr>
          <w:color w:val="231F20"/>
        </w:rPr>
        <w:t>dedicar</w:t>
      </w:r>
      <w:r>
        <w:rPr>
          <w:color w:val="231F20"/>
          <w:spacing w:val="-5"/>
        </w:rPr>
        <w:t> </w:t>
      </w:r>
      <w:r>
        <w:rPr>
          <w:color w:val="231F20"/>
        </w:rPr>
        <w:t>una</w:t>
      </w:r>
      <w:r>
        <w:rPr>
          <w:color w:val="231F20"/>
          <w:spacing w:val="-5"/>
        </w:rPr>
        <w:t> </w:t>
      </w:r>
      <w:r>
        <w:rPr>
          <w:color w:val="231F20"/>
        </w:rPr>
        <w:t>jornada</w:t>
      </w:r>
      <w:r>
        <w:rPr>
          <w:color w:val="231F20"/>
          <w:spacing w:val="-6"/>
        </w:rPr>
        <w:t> </w:t>
      </w:r>
      <w:r>
        <w:rPr>
          <w:color w:val="231F20"/>
        </w:rPr>
        <w:t>complementaria</w:t>
      </w:r>
      <w:r>
        <w:rPr>
          <w:color w:val="231F20"/>
          <w:spacing w:val="-6"/>
        </w:rPr>
        <w:t> </w:t>
      </w:r>
      <w:r>
        <w:rPr>
          <w:color w:val="231F20"/>
        </w:rPr>
        <w:t>a</w:t>
      </w:r>
      <w:r>
        <w:rPr>
          <w:color w:val="231F20"/>
          <w:spacing w:val="-5"/>
        </w:rPr>
        <w:t> </w:t>
      </w:r>
      <w:r>
        <w:rPr>
          <w:color w:val="231F20"/>
        </w:rPr>
        <w:t>realizar</w:t>
      </w:r>
      <w:r>
        <w:rPr>
          <w:color w:val="231F20"/>
          <w:spacing w:val="-5"/>
        </w:rPr>
        <w:t> </w:t>
      </w:r>
      <w:r>
        <w:rPr>
          <w:color w:val="231F20"/>
        </w:rPr>
        <w:t>estas actividades</w:t>
      </w:r>
      <w:r>
        <w:rPr>
          <w:color w:val="231F20"/>
          <w:spacing w:val="-11"/>
        </w:rPr>
        <w:t> </w:t>
      </w:r>
      <w:r>
        <w:rPr>
          <w:color w:val="231F20"/>
        </w:rPr>
        <w:t>“naturales”</w:t>
      </w:r>
      <w:r>
        <w:rPr>
          <w:color w:val="231F20"/>
          <w:spacing w:val="-11"/>
        </w:rPr>
        <w:t> </w:t>
      </w:r>
      <w:r>
        <w:rPr>
          <w:color w:val="231F20"/>
        </w:rPr>
        <w:t>(o</w:t>
      </w:r>
      <w:r>
        <w:rPr>
          <w:color w:val="231F20"/>
          <w:spacing w:val="-11"/>
        </w:rPr>
        <w:t> </w:t>
      </w:r>
      <w:r>
        <w:rPr>
          <w:color w:val="231F20"/>
        </w:rPr>
        <w:t>pagar</w:t>
      </w:r>
      <w:r>
        <w:rPr>
          <w:color w:val="231F20"/>
          <w:spacing w:val="-11"/>
        </w:rPr>
        <w:t> </w:t>
      </w:r>
      <w:r>
        <w:rPr>
          <w:color w:val="231F20"/>
        </w:rPr>
        <w:t>y</w:t>
      </w:r>
      <w:r>
        <w:rPr>
          <w:color w:val="231F20"/>
          <w:spacing w:val="-11"/>
        </w:rPr>
        <w:t> </w:t>
      </w:r>
      <w:r>
        <w:rPr>
          <w:color w:val="231F20"/>
        </w:rPr>
        <w:t>coordinarse</w:t>
      </w:r>
      <w:r>
        <w:rPr>
          <w:color w:val="231F20"/>
          <w:spacing w:val="-11"/>
        </w:rPr>
        <w:t> </w:t>
      </w:r>
      <w:r>
        <w:rPr>
          <w:color w:val="231F20"/>
        </w:rPr>
        <w:t>con</w:t>
      </w:r>
      <w:r>
        <w:rPr>
          <w:color w:val="231F20"/>
          <w:spacing w:val="-11"/>
        </w:rPr>
        <w:t> </w:t>
      </w:r>
      <w:r>
        <w:rPr>
          <w:color w:val="231F20"/>
        </w:rPr>
        <w:t>otras</w:t>
      </w:r>
      <w:r>
        <w:rPr>
          <w:color w:val="231F20"/>
          <w:spacing w:val="-11"/>
        </w:rPr>
        <w:t> </w:t>
      </w:r>
      <w:r>
        <w:rPr>
          <w:color w:val="231F20"/>
        </w:rPr>
        <w:t>mujeres</w:t>
      </w:r>
      <w:r>
        <w:rPr>
          <w:color w:val="231F20"/>
          <w:spacing w:val="-11"/>
        </w:rPr>
        <w:t> </w:t>
      </w:r>
      <w:r>
        <w:rPr>
          <w:color w:val="231F20"/>
        </w:rPr>
        <w:t>confina- das</w:t>
      </w:r>
      <w:r>
        <w:rPr>
          <w:color w:val="231F20"/>
          <w:spacing w:val="-6"/>
        </w:rPr>
        <w:t> </w:t>
      </w:r>
      <w:r>
        <w:rPr>
          <w:color w:val="231F20"/>
        </w:rPr>
        <w:t>al</w:t>
      </w:r>
      <w:r>
        <w:rPr>
          <w:color w:val="231F20"/>
          <w:spacing w:val="-6"/>
        </w:rPr>
        <w:t> </w:t>
      </w:r>
      <w:r>
        <w:rPr>
          <w:color w:val="231F20"/>
        </w:rPr>
        <w:t>espacio</w:t>
      </w:r>
      <w:r>
        <w:rPr>
          <w:color w:val="231F20"/>
          <w:spacing w:val="-7"/>
        </w:rPr>
        <w:t> </w:t>
      </w:r>
      <w:r>
        <w:rPr>
          <w:color w:val="231F20"/>
        </w:rPr>
        <w:t>doméstico).</w:t>
      </w:r>
      <w:r>
        <w:rPr>
          <w:color w:val="231F20"/>
          <w:spacing w:val="-6"/>
        </w:rPr>
        <w:t> </w:t>
      </w:r>
      <w:r>
        <w:rPr>
          <w:color w:val="231F20"/>
        </w:rPr>
        <w:t>Por</w:t>
      </w:r>
      <w:r>
        <w:rPr>
          <w:color w:val="231F20"/>
          <w:spacing w:val="-6"/>
        </w:rPr>
        <w:t> </w:t>
      </w:r>
      <w:r>
        <w:rPr>
          <w:color w:val="231F20"/>
        </w:rPr>
        <w:t>consiguiente,</w:t>
      </w:r>
      <w:r>
        <w:rPr>
          <w:color w:val="231F20"/>
          <w:spacing w:val="-7"/>
        </w:rPr>
        <w:t> </w:t>
      </w:r>
      <w:r>
        <w:rPr>
          <w:color w:val="231F20"/>
        </w:rPr>
        <w:t>siguiendo</w:t>
      </w:r>
      <w:r>
        <w:rPr>
          <w:color w:val="231F20"/>
          <w:spacing w:val="-6"/>
        </w:rPr>
        <w:t> </w:t>
      </w:r>
      <w:r>
        <w:rPr>
          <w:color w:val="231F20"/>
        </w:rPr>
        <w:t>a</w:t>
      </w:r>
      <w:r>
        <w:rPr>
          <w:color w:val="231F20"/>
          <w:spacing w:val="-6"/>
        </w:rPr>
        <w:t> </w:t>
      </w:r>
      <w:r>
        <w:rPr>
          <w:color w:val="231F20"/>
        </w:rPr>
        <w:t>Pateman</w:t>
      </w:r>
      <w:r>
        <w:rPr>
          <w:color w:val="231F20"/>
          <w:spacing w:val="-6"/>
        </w:rPr>
        <w:t> </w:t>
      </w:r>
      <w:r>
        <w:rPr>
          <w:color w:val="231F20"/>
        </w:rPr>
        <w:t>(1996:</w:t>
      </w:r>
    </w:p>
    <w:p>
      <w:pPr>
        <w:pStyle w:val="BodyText"/>
        <w:spacing w:line="249" w:lineRule="auto" w:before="1"/>
        <w:ind w:left="110" w:right="111"/>
        <w:jc w:val="both"/>
      </w:pPr>
      <w:r>
        <w:rPr>
          <w:color w:val="231F20"/>
        </w:rPr>
        <w:t>18) “solo será posible obtener una explicación completa de la estructura 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opera</w:t>
      </w:r>
      <w:r>
        <w:rPr>
          <w:color w:val="231F20"/>
          <w:spacing w:val="-8"/>
        </w:rPr>
        <w:t> </w:t>
      </w:r>
      <w:r>
        <w:rPr>
          <w:color w:val="231F20"/>
        </w:rPr>
        <w:t>el</w:t>
      </w:r>
      <w:r>
        <w:rPr>
          <w:color w:val="231F20"/>
          <w:spacing w:val="-8"/>
        </w:rPr>
        <w:t> </w:t>
      </w:r>
      <w:r>
        <w:rPr>
          <w:color w:val="231F20"/>
        </w:rPr>
        <w:t>capitalismo</w:t>
      </w:r>
      <w:r>
        <w:rPr>
          <w:color w:val="231F20"/>
          <w:spacing w:val="-8"/>
        </w:rPr>
        <w:t> </w:t>
      </w:r>
      <w:r>
        <w:rPr>
          <w:color w:val="231F20"/>
        </w:rPr>
        <w:t>cuando,</w:t>
      </w:r>
      <w:r>
        <w:rPr>
          <w:color w:val="231F20"/>
          <w:spacing w:val="-8"/>
        </w:rPr>
        <w:t> </w:t>
      </w:r>
      <w:r>
        <w:rPr>
          <w:color w:val="231F20"/>
        </w:rPr>
        <w:t>además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figura</w:t>
      </w:r>
      <w:r>
        <w:rPr>
          <w:color w:val="231F20"/>
          <w:spacing w:val="-8"/>
        </w:rPr>
        <w:t> </w:t>
      </w:r>
      <w:r>
        <w:rPr>
          <w:color w:val="231F20"/>
        </w:rPr>
        <w:t>del trabajador, se tenga en cuenta también la del ama de</w:t>
      </w:r>
      <w:r>
        <w:rPr>
          <w:color w:val="231F20"/>
          <w:spacing w:val="-15"/>
        </w:rPr>
        <w:t> </w:t>
      </w:r>
      <w:r>
        <w:rPr>
          <w:color w:val="231F20"/>
        </w:rPr>
        <w:t>casa”.</w:t>
      </w:r>
    </w:p>
    <w:p>
      <w:pPr>
        <w:pStyle w:val="BodyText"/>
        <w:spacing w:line="249" w:lineRule="auto" w:before="1"/>
        <w:ind w:left="110" w:right="111" w:firstLine="283"/>
        <w:jc w:val="both"/>
      </w:pPr>
      <w:r>
        <w:rPr>
          <w:color w:val="231F20"/>
        </w:rPr>
        <w:t>El</w:t>
      </w:r>
      <w:r>
        <w:rPr>
          <w:color w:val="231F20"/>
          <w:spacing w:val="-8"/>
        </w:rPr>
        <w:t> </w:t>
      </w:r>
      <w:r>
        <w:rPr>
          <w:color w:val="231F20"/>
        </w:rPr>
        <w:t>trabajo</w:t>
      </w:r>
      <w:r>
        <w:rPr>
          <w:color w:val="231F20"/>
          <w:spacing w:val="-9"/>
        </w:rPr>
        <w:t> </w:t>
      </w:r>
      <w:r>
        <w:rPr>
          <w:color w:val="231F20"/>
        </w:rPr>
        <w:t>de</w:t>
      </w:r>
      <w:r>
        <w:rPr>
          <w:color w:val="231F20"/>
          <w:spacing w:val="-8"/>
        </w:rPr>
        <w:t> </w:t>
      </w:r>
      <w:r>
        <w:rPr>
          <w:color w:val="231F20"/>
        </w:rPr>
        <w:t>reproducción,</w:t>
      </w:r>
      <w:r>
        <w:rPr>
          <w:color w:val="231F20"/>
          <w:spacing w:val="-8"/>
        </w:rPr>
        <w:t> </w:t>
      </w:r>
      <w:r>
        <w:rPr>
          <w:color w:val="231F20"/>
        </w:rPr>
        <w:t>ha</w:t>
      </w:r>
      <w:r>
        <w:rPr>
          <w:color w:val="231F20"/>
          <w:spacing w:val="-8"/>
        </w:rPr>
        <w:t> </w:t>
      </w:r>
      <w:r>
        <w:rPr>
          <w:color w:val="231F20"/>
        </w:rPr>
        <w:t>condicionado</w:t>
      </w:r>
      <w:r>
        <w:rPr>
          <w:color w:val="231F20"/>
          <w:spacing w:val="-9"/>
        </w:rPr>
        <w:t> </w:t>
      </w:r>
      <w:r>
        <w:rPr>
          <w:color w:val="231F20"/>
        </w:rPr>
        <w:t>la</w:t>
      </w:r>
      <w:r>
        <w:rPr>
          <w:color w:val="231F20"/>
          <w:spacing w:val="-8"/>
        </w:rPr>
        <w:t> </w:t>
      </w:r>
      <w:r>
        <w:rPr>
          <w:color w:val="231F20"/>
        </w:rPr>
        <w:t>vida</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trabajo</w:t>
      </w:r>
      <w:r>
        <w:rPr>
          <w:color w:val="231F20"/>
          <w:spacing w:val="-9"/>
        </w:rPr>
        <w:t> </w:t>
      </w:r>
      <w:r>
        <w:rPr>
          <w:color w:val="231F20"/>
        </w:rPr>
        <w:t>de</w:t>
      </w:r>
      <w:r>
        <w:rPr>
          <w:color w:val="231F20"/>
          <w:spacing w:val="-8"/>
        </w:rPr>
        <w:t> </w:t>
      </w:r>
      <w:r>
        <w:rPr>
          <w:color w:val="231F20"/>
        </w:rPr>
        <w:t>las mujeres.</w:t>
      </w:r>
      <w:r>
        <w:rPr>
          <w:color w:val="231F20"/>
          <w:spacing w:val="-8"/>
        </w:rPr>
        <w:t> </w:t>
      </w:r>
      <w:r>
        <w:rPr>
          <w:color w:val="231F20"/>
        </w:rPr>
        <w:t>Sin</w:t>
      </w:r>
      <w:r>
        <w:rPr>
          <w:color w:val="231F20"/>
          <w:spacing w:val="-7"/>
        </w:rPr>
        <w:t> </w:t>
      </w:r>
      <w:r>
        <w:rPr>
          <w:color w:val="231F20"/>
        </w:rPr>
        <w:t>embargo,</w:t>
      </w:r>
      <w:r>
        <w:rPr>
          <w:color w:val="231F20"/>
          <w:spacing w:val="-7"/>
        </w:rPr>
        <w:t> </w:t>
      </w:r>
      <w:r>
        <w:rPr>
          <w:color w:val="231F20"/>
        </w:rPr>
        <w:t>para</w:t>
      </w:r>
      <w:r>
        <w:rPr>
          <w:color w:val="231F20"/>
          <w:spacing w:val="-8"/>
        </w:rPr>
        <w:t> </w:t>
      </w:r>
      <w:r>
        <w:rPr>
          <w:color w:val="231F20"/>
        </w:rPr>
        <w:t>la</w:t>
      </w:r>
      <w:r>
        <w:rPr>
          <w:color w:val="231F20"/>
          <w:spacing w:val="-8"/>
        </w:rPr>
        <w:t> </w:t>
      </w:r>
      <w:r>
        <w:rPr>
          <w:color w:val="231F20"/>
        </w:rPr>
        <w:t>teoría</w:t>
      </w:r>
      <w:r>
        <w:rPr>
          <w:color w:val="231F20"/>
          <w:spacing w:val="-8"/>
        </w:rPr>
        <w:t> </w:t>
      </w:r>
      <w:r>
        <w:rPr>
          <w:color w:val="231F20"/>
        </w:rPr>
        <w:t>económica,</w:t>
      </w:r>
      <w:r>
        <w:rPr>
          <w:color w:val="231F20"/>
          <w:spacing w:val="-8"/>
        </w:rPr>
        <w:t> </w:t>
      </w:r>
      <w:r>
        <w:rPr>
          <w:color w:val="231F20"/>
        </w:rPr>
        <w:t>el</w:t>
      </w:r>
      <w:r>
        <w:rPr>
          <w:color w:val="231F20"/>
          <w:spacing w:val="-8"/>
        </w:rPr>
        <w:t> </w:t>
      </w:r>
      <w:r>
        <w:rPr>
          <w:color w:val="231F20"/>
        </w:rPr>
        <w:t>trabajo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mujeres se</w:t>
      </w:r>
      <w:r>
        <w:rPr>
          <w:color w:val="231F20"/>
          <w:spacing w:val="-9"/>
        </w:rPr>
        <w:t> </w:t>
      </w:r>
      <w:r>
        <w:rPr>
          <w:color w:val="231F20"/>
        </w:rPr>
        <w:t>aborda</w:t>
      </w:r>
      <w:r>
        <w:rPr>
          <w:color w:val="231F20"/>
          <w:spacing w:val="-10"/>
        </w:rPr>
        <w:t> </w:t>
      </w:r>
      <w:r>
        <w:rPr>
          <w:color w:val="231F20"/>
        </w:rPr>
        <w:t>desde</w:t>
      </w:r>
      <w:r>
        <w:rPr>
          <w:color w:val="231F20"/>
          <w:spacing w:val="-9"/>
        </w:rPr>
        <w:t> </w:t>
      </w:r>
      <w:r>
        <w:rPr>
          <w:color w:val="231F20"/>
        </w:rPr>
        <w:t>el</w:t>
      </w:r>
      <w:r>
        <w:rPr>
          <w:color w:val="231F20"/>
          <w:spacing w:val="-10"/>
        </w:rPr>
        <w:t> </w:t>
      </w:r>
      <w:r>
        <w:rPr>
          <w:color w:val="231F20"/>
        </w:rPr>
        <w:t>lado</w:t>
      </w:r>
      <w:r>
        <w:rPr>
          <w:color w:val="231F20"/>
          <w:spacing w:val="-10"/>
        </w:rPr>
        <w:t> </w:t>
      </w:r>
      <w:r>
        <w:rPr>
          <w:color w:val="231F20"/>
        </w:rPr>
        <w:t>de</w:t>
      </w:r>
      <w:r>
        <w:rPr>
          <w:color w:val="231F20"/>
          <w:spacing w:val="-9"/>
        </w:rPr>
        <w:t> </w:t>
      </w:r>
      <w:r>
        <w:rPr>
          <w:color w:val="231F20"/>
        </w:rPr>
        <w:t>la</w:t>
      </w:r>
      <w:r>
        <w:rPr>
          <w:color w:val="231F20"/>
          <w:spacing w:val="-10"/>
        </w:rPr>
        <w:t> </w:t>
      </w:r>
      <w:r>
        <w:rPr>
          <w:color w:val="231F20"/>
        </w:rPr>
        <w:t>demanda</w:t>
      </w:r>
      <w:r>
        <w:rPr>
          <w:color w:val="231F20"/>
          <w:spacing w:val="-10"/>
        </w:rPr>
        <w:t> </w:t>
      </w:r>
      <w:r>
        <w:rPr>
          <w:color w:val="231F20"/>
        </w:rPr>
        <w:t>—es</w:t>
      </w:r>
      <w:r>
        <w:rPr>
          <w:color w:val="231F20"/>
          <w:spacing w:val="-9"/>
        </w:rPr>
        <w:t> </w:t>
      </w:r>
      <w:r>
        <w:rPr>
          <w:color w:val="231F20"/>
        </w:rPr>
        <w:t>decir,</w:t>
      </w:r>
      <w:r>
        <w:rPr>
          <w:color w:val="231F20"/>
          <w:spacing w:val="-9"/>
        </w:rPr>
        <w:t> </w:t>
      </w:r>
      <w:r>
        <w:rPr>
          <w:color w:val="231F20"/>
        </w:rPr>
        <w:t>de</w:t>
      </w:r>
      <w:r>
        <w:rPr>
          <w:color w:val="231F20"/>
          <w:spacing w:val="-9"/>
        </w:rPr>
        <w:t> </w:t>
      </w:r>
      <w:r>
        <w:rPr>
          <w:color w:val="231F20"/>
        </w:rPr>
        <w:t>las</w:t>
      </w:r>
      <w:r>
        <w:rPr>
          <w:color w:val="231F20"/>
          <w:spacing w:val="-10"/>
        </w:rPr>
        <w:t> </w:t>
      </w:r>
      <w:r>
        <w:rPr>
          <w:color w:val="231F20"/>
        </w:rPr>
        <w:t>exigencias</w:t>
      </w:r>
      <w:r>
        <w:rPr>
          <w:color w:val="231F20"/>
          <w:spacing w:val="-10"/>
        </w:rPr>
        <w:t> </w:t>
      </w:r>
      <w:r>
        <w:rPr>
          <w:color w:val="231F20"/>
        </w:rPr>
        <w:t>de</w:t>
      </w:r>
      <w:r>
        <w:rPr>
          <w:color w:val="231F20"/>
          <w:spacing w:val="-9"/>
        </w:rPr>
        <w:t> </w:t>
      </w:r>
      <w:r>
        <w:rPr>
          <w:color w:val="231F20"/>
        </w:rPr>
        <w:t>los empleadores—</w:t>
      </w:r>
      <w:r>
        <w:rPr>
          <w:color w:val="231F20"/>
          <w:spacing w:val="-13"/>
        </w:rPr>
        <w:t> </w:t>
      </w:r>
      <w:r>
        <w:rPr>
          <w:color w:val="231F20"/>
        </w:rPr>
        <w:t>o</w:t>
      </w:r>
      <w:r>
        <w:rPr>
          <w:color w:val="231F20"/>
          <w:spacing w:val="-12"/>
        </w:rPr>
        <w:t> </w:t>
      </w:r>
      <w:r>
        <w:rPr>
          <w:color w:val="231F20"/>
        </w:rPr>
        <w:t>desde</w:t>
      </w:r>
      <w:r>
        <w:rPr>
          <w:color w:val="231F20"/>
          <w:spacing w:val="-12"/>
        </w:rPr>
        <w:t> </w:t>
      </w:r>
      <w:r>
        <w:rPr>
          <w:color w:val="231F20"/>
        </w:rPr>
        <w:t>la</w:t>
      </w:r>
      <w:r>
        <w:rPr>
          <w:color w:val="231F20"/>
          <w:spacing w:val="-12"/>
        </w:rPr>
        <w:t> </w:t>
      </w:r>
      <w:r>
        <w:rPr>
          <w:color w:val="231F20"/>
        </w:rPr>
        <w:t>oferta</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las</w:t>
      </w:r>
      <w:r>
        <w:rPr>
          <w:color w:val="231F20"/>
          <w:spacing w:val="-13"/>
        </w:rPr>
        <w:t> </w:t>
      </w:r>
      <w:r>
        <w:rPr>
          <w:color w:val="231F20"/>
        </w:rPr>
        <w:t>características</w:t>
      </w:r>
      <w:r>
        <w:rPr>
          <w:color w:val="231F20"/>
          <w:spacing w:val="-13"/>
        </w:rPr>
        <w:t> </w:t>
      </w:r>
      <w:r>
        <w:rPr>
          <w:color w:val="231F20"/>
        </w:rPr>
        <w:t>y</w:t>
      </w:r>
      <w:r>
        <w:rPr>
          <w:color w:val="231F20"/>
          <w:spacing w:val="-12"/>
        </w:rPr>
        <w:t> </w:t>
      </w:r>
      <w:r>
        <w:rPr>
          <w:color w:val="231F20"/>
        </w:rPr>
        <w:t>motiva- ciones</w:t>
      </w:r>
      <w:r>
        <w:rPr>
          <w:color w:val="231F20"/>
          <w:spacing w:val="-12"/>
        </w:rPr>
        <w:t> </w:t>
      </w:r>
      <w:r>
        <w:rPr>
          <w:color w:val="231F20"/>
        </w:rPr>
        <w:t>de</w:t>
      </w:r>
      <w:r>
        <w:rPr>
          <w:color w:val="231F20"/>
          <w:spacing w:val="-11"/>
        </w:rPr>
        <w:t> </w:t>
      </w:r>
      <w:r>
        <w:rPr>
          <w:color w:val="231F20"/>
        </w:rPr>
        <w:t>los</w:t>
      </w:r>
      <w:r>
        <w:rPr>
          <w:color w:val="231F20"/>
          <w:spacing w:val="-12"/>
        </w:rPr>
        <w:t> </w:t>
      </w:r>
      <w:r>
        <w:rPr>
          <w:color w:val="231F20"/>
        </w:rPr>
        <w:t>trabajadores—,</w:t>
      </w:r>
      <w:r>
        <w:rPr>
          <w:color w:val="231F20"/>
          <w:spacing w:val="-12"/>
        </w:rPr>
        <w:t> </w:t>
      </w:r>
      <w:r>
        <w:rPr>
          <w:color w:val="231F20"/>
        </w:rPr>
        <w:t>lo</w:t>
      </w:r>
      <w:r>
        <w:rPr>
          <w:color w:val="231F20"/>
          <w:spacing w:val="-12"/>
        </w:rPr>
        <w:t> </w:t>
      </w:r>
      <w:r>
        <w:rPr>
          <w:color w:val="231F20"/>
        </w:rPr>
        <w:t>cual</w:t>
      </w:r>
      <w:r>
        <w:rPr>
          <w:color w:val="231F20"/>
          <w:spacing w:val="-12"/>
        </w:rPr>
        <w:t> </w:t>
      </w:r>
      <w:r>
        <w:rPr>
          <w:color w:val="231F20"/>
        </w:rPr>
        <w:t>resulta</w:t>
      </w:r>
      <w:r>
        <w:rPr>
          <w:color w:val="231F20"/>
          <w:spacing w:val="-11"/>
        </w:rPr>
        <w:t> </w:t>
      </w:r>
      <w:r>
        <w:rPr>
          <w:color w:val="231F20"/>
        </w:rPr>
        <w:t>en</w:t>
      </w:r>
      <w:r>
        <w:rPr>
          <w:color w:val="231F20"/>
          <w:spacing w:val="-12"/>
        </w:rPr>
        <w:t> </w:t>
      </w:r>
      <w:r>
        <w:rPr>
          <w:color w:val="231F20"/>
        </w:rPr>
        <w:t>un</w:t>
      </w:r>
      <w:r>
        <w:rPr>
          <w:color w:val="231F20"/>
          <w:spacing w:val="-11"/>
        </w:rPr>
        <w:t> </w:t>
      </w:r>
      <w:r>
        <w:rPr>
          <w:color w:val="231F20"/>
        </w:rPr>
        <w:t>análisis</w:t>
      </w:r>
      <w:r>
        <w:rPr>
          <w:color w:val="231F20"/>
          <w:spacing w:val="-12"/>
        </w:rPr>
        <w:t> </w:t>
      </w:r>
      <w:r>
        <w:rPr>
          <w:color w:val="231F20"/>
        </w:rPr>
        <w:t>general,</w:t>
      </w:r>
      <w:r>
        <w:rPr>
          <w:color w:val="231F20"/>
          <w:spacing w:val="-11"/>
        </w:rPr>
        <w:t> </w:t>
      </w:r>
      <w:r>
        <w:rPr>
          <w:color w:val="231F20"/>
        </w:rPr>
        <w:t>simple y parcializado, tomando en cuenta que las actividades económicas que realizan las mujeres se encuentran tanto en el campo de la producción como en el de la reproducción. Desde mi punto de vista, los postulados de las teorías Neoclásica y de la Segmentación eluden tratar la relación existente entre el género y la estructura ocupacional,</w:t>
      </w:r>
      <w:r>
        <w:rPr>
          <w:color w:val="231F20"/>
          <w:position w:val="7"/>
          <w:sz w:val="11"/>
        </w:rPr>
        <w:t>2  </w:t>
      </w:r>
      <w:r>
        <w:rPr>
          <w:color w:val="231F20"/>
        </w:rPr>
        <w:t>pues el género</w:t>
      </w:r>
      <w:r>
        <w:rPr>
          <w:color w:val="231F20"/>
          <w:spacing w:val="6"/>
        </w:rPr>
        <w:t> </w:t>
      </w:r>
      <w:r>
        <w:rPr>
          <w:color w:val="231F20"/>
        </w:rPr>
        <w:t>en-</w:t>
      </w:r>
    </w:p>
    <w:p>
      <w:pPr>
        <w:pStyle w:val="BodyText"/>
        <w:rPr>
          <w:sz w:val="17"/>
        </w:rPr>
      </w:pPr>
    </w:p>
    <w:p>
      <w:pPr>
        <w:spacing w:before="1"/>
        <w:ind w:left="110" w:right="111" w:firstLine="0"/>
        <w:jc w:val="both"/>
        <w:rPr>
          <w:sz w:val="14"/>
        </w:rPr>
      </w:pPr>
      <w:r>
        <w:rPr>
          <w:color w:val="231F20"/>
          <w:position w:val="5"/>
          <w:sz w:val="8"/>
        </w:rPr>
        <w:t>2 </w:t>
      </w:r>
      <w:r>
        <w:rPr>
          <w:color w:val="231F20"/>
          <w:sz w:val="14"/>
        </w:rPr>
        <w:t>Desde los movimientos de mujeres se consideró que estos modelos teóricos no reunían las carac- terísticas que permitieran interrogar, y mucho menos responder, a las cuestiones de los movimientos feministas de la década de 1970, sobre la socialización y desigualdades de género y menos aún sobre las relaciones asimétricas de poder. Sin embargo, la hegemonía de la Nueva Economía Doméstica, propuesta por Gary Becker (1981), continúo y pese a las severas críticas feministas recibidas durante más</w:t>
      </w:r>
      <w:r>
        <w:rPr>
          <w:color w:val="231F20"/>
          <w:spacing w:val="-7"/>
          <w:sz w:val="14"/>
        </w:rPr>
        <w:t> </w:t>
      </w:r>
      <w:r>
        <w:rPr>
          <w:color w:val="231F20"/>
          <w:sz w:val="14"/>
        </w:rPr>
        <w:t>de</w:t>
      </w:r>
      <w:r>
        <w:rPr>
          <w:color w:val="231F20"/>
          <w:spacing w:val="-7"/>
          <w:sz w:val="14"/>
        </w:rPr>
        <w:t> </w:t>
      </w:r>
      <w:r>
        <w:rPr>
          <w:color w:val="231F20"/>
          <w:sz w:val="14"/>
        </w:rPr>
        <w:t>tres</w:t>
      </w:r>
      <w:r>
        <w:rPr>
          <w:color w:val="231F20"/>
          <w:spacing w:val="-7"/>
          <w:sz w:val="14"/>
        </w:rPr>
        <w:t> </w:t>
      </w:r>
      <w:r>
        <w:rPr>
          <w:color w:val="231F20"/>
          <w:sz w:val="14"/>
        </w:rPr>
        <w:t>décadas,</w:t>
      </w:r>
      <w:r>
        <w:rPr>
          <w:color w:val="231F20"/>
          <w:spacing w:val="-7"/>
          <w:sz w:val="14"/>
        </w:rPr>
        <w:t> </w:t>
      </w:r>
      <w:r>
        <w:rPr>
          <w:color w:val="231F20"/>
          <w:sz w:val="14"/>
        </w:rPr>
        <w:t>los</w:t>
      </w:r>
      <w:r>
        <w:rPr>
          <w:color w:val="231F20"/>
          <w:spacing w:val="-7"/>
          <w:sz w:val="14"/>
        </w:rPr>
        <w:t> </w:t>
      </w:r>
      <w:r>
        <w:rPr>
          <w:color w:val="231F20"/>
          <w:sz w:val="14"/>
        </w:rPr>
        <w:t>economistas</w:t>
      </w:r>
      <w:r>
        <w:rPr>
          <w:color w:val="231F20"/>
          <w:spacing w:val="-8"/>
          <w:sz w:val="14"/>
        </w:rPr>
        <w:t> </w:t>
      </w:r>
      <w:r>
        <w:rPr>
          <w:color w:val="231F20"/>
          <w:sz w:val="14"/>
        </w:rPr>
        <w:t>neoclásicos</w:t>
      </w:r>
      <w:r>
        <w:rPr>
          <w:color w:val="231F20"/>
          <w:spacing w:val="-7"/>
          <w:sz w:val="14"/>
        </w:rPr>
        <w:t> </w:t>
      </w:r>
      <w:r>
        <w:rPr>
          <w:color w:val="231F20"/>
          <w:sz w:val="14"/>
        </w:rPr>
        <w:t>continúan</w:t>
      </w:r>
      <w:r>
        <w:rPr>
          <w:color w:val="231F20"/>
          <w:spacing w:val="-8"/>
          <w:sz w:val="14"/>
        </w:rPr>
        <w:t> </w:t>
      </w:r>
      <w:r>
        <w:rPr>
          <w:color w:val="231F20"/>
          <w:sz w:val="14"/>
        </w:rPr>
        <w:t>ignorando</w:t>
      </w:r>
      <w:r>
        <w:rPr>
          <w:color w:val="231F20"/>
          <w:spacing w:val="-8"/>
          <w:sz w:val="14"/>
        </w:rPr>
        <w:t> </w:t>
      </w:r>
      <w:r>
        <w:rPr>
          <w:color w:val="231F20"/>
          <w:sz w:val="14"/>
        </w:rPr>
        <w:t>el</w:t>
      </w:r>
      <w:r>
        <w:rPr>
          <w:color w:val="231F20"/>
          <w:spacing w:val="-7"/>
          <w:sz w:val="14"/>
        </w:rPr>
        <w:t> </w:t>
      </w:r>
      <w:r>
        <w:rPr>
          <w:color w:val="231F20"/>
          <w:sz w:val="14"/>
        </w:rPr>
        <w:t>análisis</w:t>
      </w:r>
      <w:r>
        <w:rPr>
          <w:color w:val="231F20"/>
          <w:spacing w:val="-8"/>
          <w:sz w:val="14"/>
        </w:rPr>
        <w:t> </w:t>
      </w:r>
      <w:r>
        <w:rPr>
          <w:color w:val="231F20"/>
          <w:sz w:val="14"/>
        </w:rPr>
        <w:t>de</w:t>
      </w:r>
      <w:r>
        <w:rPr>
          <w:color w:val="231F20"/>
          <w:spacing w:val="-7"/>
          <w:sz w:val="14"/>
        </w:rPr>
        <w:t> </w:t>
      </w:r>
      <w:r>
        <w:rPr>
          <w:color w:val="231F20"/>
          <w:sz w:val="14"/>
        </w:rPr>
        <w:t>género</w:t>
      </w:r>
      <w:r>
        <w:rPr>
          <w:color w:val="231F20"/>
          <w:spacing w:val="-7"/>
          <w:sz w:val="14"/>
        </w:rPr>
        <w:t> </w:t>
      </w:r>
      <w:r>
        <w:rPr>
          <w:color w:val="231F20"/>
          <w:sz w:val="14"/>
        </w:rPr>
        <w:t>y</w:t>
      </w:r>
      <w:r>
        <w:rPr>
          <w:color w:val="231F20"/>
          <w:spacing w:val="-7"/>
          <w:sz w:val="14"/>
        </w:rPr>
        <w:t> </w:t>
      </w:r>
      <w:r>
        <w:rPr>
          <w:color w:val="231F20"/>
          <w:sz w:val="14"/>
        </w:rPr>
        <w:t>las</w:t>
      </w:r>
      <w:r>
        <w:rPr>
          <w:color w:val="231F20"/>
          <w:spacing w:val="-7"/>
          <w:sz w:val="14"/>
        </w:rPr>
        <w:t> </w:t>
      </w:r>
      <w:r>
        <w:rPr>
          <w:color w:val="231F20"/>
          <w:sz w:val="14"/>
        </w:rPr>
        <w:t>preocu- paciones feministas. Por otro lado, a la teoría de la segmentación (Edwards </w:t>
      </w:r>
      <w:r>
        <w:rPr>
          <w:i/>
          <w:color w:val="231F20"/>
          <w:sz w:val="14"/>
        </w:rPr>
        <w:t>et al</w:t>
      </w:r>
      <w:r>
        <w:rPr>
          <w:color w:val="231F20"/>
          <w:sz w:val="14"/>
        </w:rPr>
        <w:t>., 1973; Gordon </w:t>
      </w:r>
      <w:r>
        <w:rPr>
          <w:i/>
          <w:color w:val="231F20"/>
          <w:sz w:val="14"/>
        </w:rPr>
        <w:t>et</w:t>
      </w:r>
      <w:r>
        <w:rPr>
          <w:i/>
          <w:color w:val="231F20"/>
          <w:spacing w:val="34"/>
          <w:sz w:val="14"/>
        </w:rPr>
        <w:t> </w:t>
      </w:r>
      <w:r>
        <w:rPr>
          <w:i/>
          <w:color w:val="231F20"/>
          <w:sz w:val="14"/>
        </w:rPr>
        <w:t>al</w:t>
      </w:r>
      <w:r>
        <w:rPr>
          <w:color w:val="231F20"/>
          <w:sz w:val="14"/>
        </w:rPr>
        <w:t>.,</w:t>
      </w:r>
    </w:p>
    <w:p>
      <w:pPr>
        <w:spacing w:after="0"/>
        <w:jc w:val="both"/>
        <w:rPr>
          <w:sz w:val="14"/>
        </w:rPr>
        <w:sectPr>
          <w:pgSz w:w="7770" w:h="11740"/>
          <w:pgMar w:header="0" w:footer="474" w:top="840" w:bottom="740" w:left="740" w:right="1020"/>
        </w:sectPr>
      </w:pPr>
    </w:p>
    <w:p>
      <w:pPr>
        <w:pStyle w:val="BodyText"/>
        <w:spacing w:line="249" w:lineRule="auto" w:before="60"/>
        <w:ind w:left="113" w:right="107"/>
        <w:jc w:val="both"/>
      </w:pPr>
      <w:r>
        <w:rPr>
          <w:color w:val="231F20"/>
        </w:rPr>
        <w:t>tra</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elemento</w:t>
      </w:r>
      <w:r>
        <w:rPr>
          <w:color w:val="231F20"/>
          <w:spacing w:val="-7"/>
        </w:rPr>
        <w:t> </w:t>
      </w:r>
      <w:r>
        <w:rPr>
          <w:color w:val="231F20"/>
        </w:rPr>
        <w:t>subsidiario</w:t>
      </w:r>
      <w:r>
        <w:rPr>
          <w:color w:val="231F20"/>
          <w:spacing w:val="-6"/>
        </w:rPr>
        <w:t> </w:t>
      </w:r>
      <w:r>
        <w:rPr>
          <w:color w:val="231F20"/>
        </w:rPr>
        <w:t>para</w:t>
      </w:r>
      <w:r>
        <w:rPr>
          <w:color w:val="231F20"/>
          <w:spacing w:val="-6"/>
        </w:rPr>
        <w:t> </w:t>
      </w:r>
      <w:r>
        <w:rPr>
          <w:color w:val="231F20"/>
        </w:rPr>
        <w:t>explicar</w:t>
      </w:r>
      <w:r>
        <w:rPr>
          <w:color w:val="231F20"/>
          <w:spacing w:val="-7"/>
        </w:rPr>
        <w:t> </w:t>
      </w:r>
      <w:r>
        <w:rPr>
          <w:color w:val="231F20"/>
        </w:rPr>
        <w:t>el</w:t>
      </w:r>
      <w:r>
        <w:rPr>
          <w:color w:val="231F20"/>
          <w:spacing w:val="-6"/>
        </w:rPr>
        <w:t> </w:t>
      </w:r>
      <w:r>
        <w:rPr>
          <w:color w:val="231F20"/>
        </w:rPr>
        <w:t>comportamiento</w:t>
      </w:r>
      <w:r>
        <w:rPr>
          <w:color w:val="231F20"/>
          <w:spacing w:val="-6"/>
        </w:rPr>
        <w:t> </w:t>
      </w:r>
      <w:r>
        <w:rPr>
          <w:color w:val="231F20"/>
        </w:rPr>
        <w:t>de</w:t>
      </w:r>
      <w:r>
        <w:rPr>
          <w:color w:val="231F20"/>
          <w:spacing w:val="-6"/>
        </w:rPr>
        <w:t> </w:t>
      </w:r>
      <w:r>
        <w:rPr>
          <w:color w:val="231F20"/>
        </w:rPr>
        <w:t>las unidades domésticas, pero no la manera en que el trabajo de las</w:t>
      </w:r>
      <w:r>
        <w:rPr>
          <w:color w:val="231F20"/>
          <w:spacing w:val="17"/>
        </w:rPr>
        <w:t> </w:t>
      </w:r>
      <w:r>
        <w:rPr>
          <w:color w:val="231F20"/>
        </w:rPr>
        <w:t>mujeres</w:t>
      </w:r>
    </w:p>
    <w:p>
      <w:pPr>
        <w:pStyle w:val="BodyText"/>
        <w:spacing w:line="249" w:lineRule="auto" w:before="1"/>
        <w:ind w:left="113" w:right="108"/>
        <w:jc w:val="both"/>
      </w:pPr>
      <w:r>
        <w:rPr>
          <w:color w:val="231F20"/>
        </w:rPr>
        <w:t>—doméstico, de cuidados y extradoméstico— se corresponde con la reestructuración económica y cómo, al mismo tiempo se explica en gran medida por la transformación de las formas de producción y del actual uso de la fuerza de trabajo.</w:t>
      </w:r>
    </w:p>
    <w:p>
      <w:pPr>
        <w:pStyle w:val="BodyText"/>
        <w:spacing w:line="249" w:lineRule="auto" w:before="1"/>
        <w:ind w:left="113" w:right="107" w:firstLine="283"/>
        <w:jc w:val="both"/>
      </w:pPr>
      <w:r>
        <w:rPr>
          <w:color w:val="231F20"/>
        </w:rPr>
        <w:t>La situación real de las mujeres es de dobles y triples jornadas de trabajo, al mismo tiempo de logros y diversas paradojas; todo depende del</w:t>
      </w:r>
      <w:r>
        <w:rPr>
          <w:color w:val="231F20"/>
          <w:spacing w:val="-5"/>
        </w:rPr>
        <w:t> </w:t>
      </w:r>
      <w:r>
        <w:rPr>
          <w:color w:val="231F20"/>
        </w:rPr>
        <w:t>criterio</w:t>
      </w:r>
      <w:r>
        <w:rPr>
          <w:color w:val="231F20"/>
          <w:spacing w:val="-6"/>
        </w:rPr>
        <w:t> </w:t>
      </w:r>
      <w:r>
        <w:rPr>
          <w:color w:val="231F20"/>
        </w:rPr>
        <w:t>utilizado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análisis.</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es</w:t>
      </w:r>
      <w:r>
        <w:rPr>
          <w:color w:val="231F20"/>
          <w:spacing w:val="-5"/>
        </w:rPr>
        <w:t> </w:t>
      </w:r>
      <w:r>
        <w:rPr>
          <w:color w:val="231F20"/>
        </w:rPr>
        <w:t>optimista</w:t>
      </w:r>
      <w:r>
        <w:rPr>
          <w:color w:val="231F20"/>
          <w:spacing w:val="-5"/>
        </w:rPr>
        <w:t> </w:t>
      </w:r>
      <w:r>
        <w:rPr>
          <w:color w:val="231F20"/>
        </w:rPr>
        <w:t>si</w:t>
      </w:r>
      <w:r>
        <w:rPr>
          <w:color w:val="231F20"/>
          <w:spacing w:val="-5"/>
        </w:rPr>
        <w:t> </w:t>
      </w:r>
      <w:r>
        <w:rPr>
          <w:color w:val="231F20"/>
        </w:rPr>
        <w:t>comparamos</w:t>
      </w:r>
      <w:r>
        <w:rPr>
          <w:color w:val="231F20"/>
          <w:spacing w:val="-5"/>
        </w:rPr>
        <w:t> </w:t>
      </w:r>
      <w:r>
        <w:rPr>
          <w:color w:val="231F20"/>
        </w:rPr>
        <w:t>la situación de las mujeres en la actualidad respecto de mujeres de genera- ciones</w:t>
      </w:r>
      <w:r>
        <w:rPr>
          <w:color w:val="231F20"/>
          <w:spacing w:val="-9"/>
        </w:rPr>
        <w:t> </w:t>
      </w:r>
      <w:r>
        <w:rPr>
          <w:color w:val="231F20"/>
        </w:rPr>
        <w:t>anteriores,</w:t>
      </w:r>
      <w:r>
        <w:rPr>
          <w:color w:val="231F20"/>
          <w:spacing w:val="-9"/>
        </w:rPr>
        <w:t> </w:t>
      </w:r>
      <w:r>
        <w:rPr>
          <w:color w:val="231F20"/>
        </w:rPr>
        <w:t>pero</w:t>
      </w:r>
      <w:r>
        <w:rPr>
          <w:color w:val="231F20"/>
          <w:spacing w:val="-9"/>
        </w:rPr>
        <w:t> </w:t>
      </w:r>
      <w:r>
        <w:rPr>
          <w:color w:val="231F20"/>
        </w:rPr>
        <w:t>es</w:t>
      </w:r>
      <w:r>
        <w:rPr>
          <w:color w:val="231F20"/>
          <w:spacing w:val="-9"/>
        </w:rPr>
        <w:t> </w:t>
      </w:r>
      <w:r>
        <w:rPr>
          <w:color w:val="231F20"/>
        </w:rPr>
        <w:t>pesimista</w:t>
      </w:r>
      <w:r>
        <w:rPr>
          <w:color w:val="231F20"/>
          <w:spacing w:val="-9"/>
        </w:rPr>
        <w:t> </w:t>
      </w:r>
      <w:r>
        <w:rPr>
          <w:color w:val="231F20"/>
        </w:rPr>
        <w:t>cuando</w:t>
      </w:r>
      <w:r>
        <w:rPr>
          <w:color w:val="231F20"/>
          <w:spacing w:val="-9"/>
        </w:rPr>
        <w:t> </w:t>
      </w:r>
      <w:r>
        <w:rPr>
          <w:color w:val="231F20"/>
        </w:rPr>
        <w:t>se</w:t>
      </w:r>
      <w:r>
        <w:rPr>
          <w:color w:val="231F20"/>
          <w:spacing w:val="-9"/>
        </w:rPr>
        <w:t> </w:t>
      </w:r>
      <w:r>
        <w:rPr>
          <w:color w:val="231F20"/>
        </w:rPr>
        <w:t>contrata</w:t>
      </w:r>
      <w:r>
        <w:rPr>
          <w:color w:val="231F20"/>
          <w:spacing w:val="-10"/>
        </w:rPr>
        <w:t> </w:t>
      </w:r>
      <w:r>
        <w:rPr>
          <w:color w:val="231F20"/>
        </w:rPr>
        <w:t>la</w:t>
      </w:r>
      <w:r>
        <w:rPr>
          <w:color w:val="231F20"/>
          <w:spacing w:val="-9"/>
        </w:rPr>
        <w:t> </w:t>
      </w:r>
      <w:r>
        <w:rPr>
          <w:color w:val="231F20"/>
        </w:rPr>
        <w:t>situación</w:t>
      </w:r>
      <w:r>
        <w:rPr>
          <w:color w:val="231F20"/>
          <w:spacing w:val="-9"/>
        </w:rPr>
        <w:t> </w:t>
      </w:r>
      <w:r>
        <w:rPr>
          <w:color w:val="231F20"/>
        </w:rPr>
        <w:t>social de</w:t>
      </w:r>
      <w:r>
        <w:rPr>
          <w:color w:val="231F20"/>
          <w:spacing w:val="-8"/>
        </w:rPr>
        <w:t> </w:t>
      </w:r>
      <w:r>
        <w:rPr>
          <w:color w:val="231F20"/>
        </w:rPr>
        <w:t>mujeres</w:t>
      </w:r>
      <w:r>
        <w:rPr>
          <w:color w:val="231F20"/>
          <w:spacing w:val="-9"/>
        </w:rPr>
        <w:t> </w:t>
      </w:r>
      <w:r>
        <w:rPr>
          <w:color w:val="231F20"/>
        </w:rPr>
        <w:t>y</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tiempo,</w:t>
      </w:r>
      <w:r>
        <w:rPr>
          <w:color w:val="231F20"/>
          <w:spacing w:val="-8"/>
        </w:rPr>
        <w:t> </w:t>
      </w:r>
      <w:r>
        <w:rPr>
          <w:color w:val="231F20"/>
        </w:rPr>
        <w:t>respecto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hombres.</w:t>
      </w:r>
      <w:r>
        <w:rPr>
          <w:color w:val="231F20"/>
          <w:spacing w:val="-8"/>
        </w:rPr>
        <w:t> </w:t>
      </w:r>
      <w:r>
        <w:rPr>
          <w:color w:val="231F20"/>
        </w:rPr>
        <w:t>El</w:t>
      </w:r>
      <w:r>
        <w:rPr>
          <w:color w:val="231F20"/>
          <w:spacing w:val="-8"/>
        </w:rPr>
        <w:t> </w:t>
      </w:r>
      <w:r>
        <w:rPr>
          <w:color w:val="231F20"/>
        </w:rPr>
        <w:t>incremento de la participación de las mujeres en la actividad económica no ha sido proporcional</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incorporación</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hombres</w:t>
      </w:r>
      <w:r>
        <w:rPr>
          <w:color w:val="231F20"/>
          <w:spacing w:val="-6"/>
        </w:rPr>
        <w:t> </w:t>
      </w:r>
      <w:r>
        <w:rPr>
          <w:color w:val="231F20"/>
        </w:rPr>
        <w:t>al</w:t>
      </w:r>
      <w:r>
        <w:rPr>
          <w:color w:val="231F20"/>
          <w:spacing w:val="-6"/>
        </w:rPr>
        <w:t> </w:t>
      </w:r>
      <w:r>
        <w:rPr>
          <w:color w:val="231F20"/>
        </w:rPr>
        <w:t>trabajo</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esfera</w:t>
      </w:r>
      <w:r>
        <w:rPr>
          <w:color w:val="231F20"/>
          <w:spacing w:val="-7"/>
        </w:rPr>
        <w:t> </w:t>
      </w:r>
      <w:r>
        <w:rPr>
          <w:color w:val="231F20"/>
        </w:rPr>
        <w:t>do- méstica y de atención a personas dependientes, de hecho, la mayoría de los hombres cotidianamente sigue beneficiándose del trabajo no pagado que las mujeres</w:t>
      </w:r>
      <w:r>
        <w:rPr>
          <w:color w:val="231F20"/>
          <w:spacing w:val="-2"/>
        </w:rPr>
        <w:t> </w:t>
      </w:r>
      <w:r>
        <w:rPr>
          <w:color w:val="231F20"/>
        </w:rPr>
        <w:t>realizan.</w:t>
      </w:r>
    </w:p>
    <w:p>
      <w:pPr>
        <w:pStyle w:val="BodyText"/>
        <w:spacing w:line="249" w:lineRule="auto" w:before="1"/>
        <w:ind w:left="113" w:right="107" w:firstLine="283"/>
        <w:jc w:val="both"/>
      </w:pPr>
      <w:r>
        <w:rPr>
          <w:color w:val="231F20"/>
        </w:rPr>
        <w:t>Aquel contrato sexual, aunque desde hace décadas ha sido fuerte- mente presionado por el acceso masivo de las mujeres a la educación superior, a la población activa y al espacio público en general, no se ha agotado </w:t>
      </w:r>
      <w:r>
        <w:rPr>
          <w:color w:val="231F20"/>
          <w:spacing w:val="-7"/>
        </w:rPr>
        <w:t>y, </w:t>
      </w:r>
      <w:r>
        <w:rPr>
          <w:color w:val="231F20"/>
        </w:rPr>
        <w:t>sigue reproduciéndose cotidianamente, manteniendo vigentes las asimétricas relaciones de género. El ajuste del modelo liberal</w:t>
      </w:r>
      <w:r>
        <w:rPr>
          <w:color w:val="231F20"/>
          <w:spacing w:val="-26"/>
        </w:rPr>
        <w:t> </w:t>
      </w:r>
      <w:r>
        <w:rPr>
          <w:color w:val="231F20"/>
        </w:rPr>
        <w:t>patriar- cal no ha ido acompañado de una revisión o cambio de paradigma de funcionamiento</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organización</w:t>
      </w:r>
      <w:r>
        <w:rPr>
          <w:color w:val="231F20"/>
          <w:spacing w:val="-9"/>
        </w:rPr>
        <w:t> </w:t>
      </w:r>
      <w:r>
        <w:rPr>
          <w:color w:val="231F20"/>
        </w:rPr>
        <w:t>social.</w:t>
      </w:r>
      <w:r>
        <w:rPr>
          <w:color w:val="231F20"/>
          <w:spacing w:val="-9"/>
        </w:rPr>
        <w:t> </w:t>
      </w:r>
      <w:r>
        <w:rPr>
          <w:color w:val="231F20"/>
        </w:rPr>
        <w:t>En</w:t>
      </w:r>
      <w:r>
        <w:rPr>
          <w:color w:val="231F20"/>
          <w:spacing w:val="-10"/>
        </w:rPr>
        <w:t> </w:t>
      </w:r>
      <w:r>
        <w:rPr>
          <w:color w:val="231F20"/>
        </w:rPr>
        <w:t>esta</w:t>
      </w:r>
      <w:r>
        <w:rPr>
          <w:color w:val="231F20"/>
          <w:spacing w:val="-10"/>
        </w:rPr>
        <w:t> </w:t>
      </w:r>
      <w:r>
        <w:rPr>
          <w:color w:val="231F20"/>
        </w:rPr>
        <w:t>dimensión,</w:t>
      </w:r>
      <w:r>
        <w:rPr>
          <w:color w:val="231F20"/>
          <w:spacing w:val="-9"/>
        </w:rPr>
        <w:t> </w:t>
      </w:r>
      <w:r>
        <w:rPr>
          <w:color w:val="231F20"/>
        </w:rPr>
        <w:t>las</w:t>
      </w:r>
      <w:r>
        <w:rPr>
          <w:color w:val="231F20"/>
          <w:spacing w:val="-10"/>
        </w:rPr>
        <w:t> </w:t>
      </w:r>
      <w:r>
        <w:rPr>
          <w:color w:val="231F20"/>
        </w:rPr>
        <w:t>cosas</w:t>
      </w:r>
      <w:r>
        <w:rPr>
          <w:color w:val="231F20"/>
          <w:spacing w:val="-10"/>
        </w:rPr>
        <w:t> </w:t>
      </w:r>
      <w:r>
        <w:rPr>
          <w:color w:val="231F20"/>
        </w:rPr>
        <w:t>no han cambiado tanto. “La presencia de las mujeres en el mundo público no</w:t>
      </w:r>
      <w:r>
        <w:rPr>
          <w:color w:val="231F20"/>
          <w:spacing w:val="-8"/>
        </w:rPr>
        <w:t> </w:t>
      </w:r>
      <w:r>
        <w:rPr>
          <w:color w:val="231F20"/>
        </w:rPr>
        <w:t>ha</w:t>
      </w:r>
      <w:r>
        <w:rPr>
          <w:color w:val="231F20"/>
          <w:spacing w:val="-8"/>
        </w:rPr>
        <w:t> </w:t>
      </w:r>
      <w:r>
        <w:rPr>
          <w:color w:val="231F20"/>
        </w:rPr>
        <w:t>significado</w:t>
      </w:r>
      <w:r>
        <w:rPr>
          <w:color w:val="231F20"/>
          <w:spacing w:val="-8"/>
        </w:rPr>
        <w:t> </w:t>
      </w:r>
      <w:r>
        <w:rPr>
          <w:color w:val="231F20"/>
        </w:rPr>
        <w:t>ni</w:t>
      </w:r>
      <w:r>
        <w:rPr>
          <w:color w:val="231F20"/>
          <w:spacing w:val="-8"/>
        </w:rPr>
        <w:t> </w:t>
      </w:r>
      <w:r>
        <w:rPr>
          <w:color w:val="231F20"/>
        </w:rPr>
        <w:t>la</w:t>
      </w:r>
      <w:r>
        <w:rPr>
          <w:color w:val="231F20"/>
          <w:spacing w:val="-8"/>
        </w:rPr>
        <w:t> </w:t>
      </w:r>
      <w:r>
        <w:rPr>
          <w:color w:val="231F20"/>
        </w:rPr>
        <w:t>desactivación</w:t>
      </w:r>
      <w:r>
        <w:rPr>
          <w:color w:val="231F20"/>
          <w:spacing w:val="-8"/>
        </w:rPr>
        <w:t> </w:t>
      </w:r>
      <w:r>
        <w:rPr>
          <w:color w:val="231F20"/>
        </w:rPr>
        <w:t>del</w:t>
      </w:r>
      <w:r>
        <w:rPr>
          <w:color w:val="231F20"/>
          <w:spacing w:val="-8"/>
        </w:rPr>
        <w:t> </w:t>
      </w:r>
      <w:r>
        <w:rPr>
          <w:color w:val="231F20"/>
        </w:rPr>
        <w:t>rol</w:t>
      </w:r>
      <w:r>
        <w:rPr>
          <w:color w:val="231F20"/>
          <w:spacing w:val="-8"/>
        </w:rPr>
        <w:t> </w:t>
      </w:r>
      <w:r>
        <w:rPr>
          <w:color w:val="231F20"/>
        </w:rPr>
        <w:t>privado</w:t>
      </w:r>
      <w:r>
        <w:rPr>
          <w:color w:val="231F20"/>
          <w:spacing w:val="-8"/>
        </w:rPr>
        <w:t> </w:t>
      </w:r>
      <w:r>
        <w:rPr>
          <w:color w:val="231F20"/>
        </w:rPr>
        <w:t>tradicional,</w:t>
      </w:r>
      <w:r>
        <w:rPr>
          <w:color w:val="231F20"/>
          <w:spacing w:val="-8"/>
        </w:rPr>
        <w:t> </w:t>
      </w:r>
      <w:r>
        <w:rPr>
          <w:color w:val="231F20"/>
        </w:rPr>
        <w:t>asociado a tareas de cuidado, ni un tratamiento que integre el trabajo y las</w:t>
      </w:r>
      <w:r>
        <w:rPr>
          <w:color w:val="231F20"/>
          <w:spacing w:val="-34"/>
        </w:rPr>
        <w:t> </w:t>
      </w:r>
      <w:r>
        <w:rPr>
          <w:color w:val="231F20"/>
        </w:rPr>
        <w:t>respon- sabilidades públicas y privadas” (Nuño, 2010:</w:t>
      </w:r>
      <w:r>
        <w:rPr>
          <w:color w:val="231F20"/>
          <w:spacing w:val="-10"/>
        </w:rPr>
        <w:t> </w:t>
      </w:r>
      <w:r>
        <w:rPr>
          <w:color w:val="231F20"/>
        </w:rPr>
        <w:t>24).</w:t>
      </w:r>
    </w:p>
    <w:p>
      <w:pPr>
        <w:pStyle w:val="Heading4"/>
      </w:pPr>
      <w:r>
        <w:rPr>
          <w:w w:val="75"/>
        </w:rPr>
        <w:t>Género, globalización y usos de la fuerza de trabajo femenina</w:t>
      </w:r>
    </w:p>
    <w:p>
      <w:pPr>
        <w:pStyle w:val="BodyText"/>
        <w:spacing w:line="249" w:lineRule="auto" w:before="171"/>
        <w:ind w:left="113" w:right="108"/>
        <w:jc w:val="both"/>
      </w:pPr>
      <w:r>
        <w:rPr/>
        <w:pict>
          <v:line style="position:absolute;mso-position-horizontal-relative:page;mso-position-vertical-relative:paragraph;z-index:7840;mso-wrap-distance-left:0;mso-wrap-distance-right:0" from="56.692902pt,63.834141pt" to="344.692902pt,63.834141pt" stroked="true" strokeweight="1pt" strokecolor="#231f20">
            <w10:wrap type="topAndBottom"/>
          </v:line>
        </w:pict>
      </w:r>
      <w:r>
        <w:rPr>
          <w:color w:val="231F20"/>
        </w:rPr>
        <w:t>Hay la percepción de que la economía se ha inclinado hacia una visión de la vida económica como una organización social centrada en el inter- cambio, borrando la noción de proveer para la humanidad. No sólo para las</w:t>
      </w:r>
      <w:r>
        <w:rPr>
          <w:color w:val="231F20"/>
          <w:spacing w:val="-6"/>
        </w:rPr>
        <w:t> </w:t>
      </w:r>
      <w:r>
        <w:rPr>
          <w:color w:val="231F20"/>
        </w:rPr>
        <w:t>feministas,</w:t>
      </w:r>
      <w:r>
        <w:rPr>
          <w:color w:val="231F20"/>
          <w:spacing w:val="-6"/>
        </w:rPr>
        <w:t> </w:t>
      </w:r>
      <w:r>
        <w:rPr>
          <w:color w:val="231F20"/>
        </w:rPr>
        <w:t>la</w:t>
      </w:r>
      <w:r>
        <w:rPr>
          <w:color w:val="231F20"/>
          <w:spacing w:val="-5"/>
        </w:rPr>
        <w:t> </w:t>
      </w:r>
      <w:r>
        <w:rPr>
          <w:color w:val="231F20"/>
        </w:rPr>
        <w:t>economía</w:t>
      </w:r>
      <w:r>
        <w:rPr>
          <w:color w:val="231F20"/>
          <w:spacing w:val="-6"/>
        </w:rPr>
        <w:t> </w:t>
      </w:r>
      <w:r>
        <w:rPr>
          <w:color w:val="231F20"/>
        </w:rPr>
        <w:t>convencional</w:t>
      </w:r>
      <w:r>
        <w:rPr>
          <w:color w:val="231F20"/>
          <w:spacing w:val="-6"/>
        </w:rPr>
        <w:t> </w:t>
      </w:r>
      <w:r>
        <w:rPr>
          <w:color w:val="231F20"/>
        </w:rPr>
        <w:t>se</w:t>
      </w:r>
      <w:r>
        <w:rPr>
          <w:color w:val="231F20"/>
          <w:spacing w:val="-5"/>
        </w:rPr>
        <w:t> </w:t>
      </w:r>
      <w:r>
        <w:rPr>
          <w:color w:val="231F20"/>
        </w:rPr>
        <w:t>muestra</w:t>
      </w:r>
      <w:r>
        <w:rPr>
          <w:color w:val="231F20"/>
          <w:spacing w:val="-6"/>
        </w:rPr>
        <w:t> </w:t>
      </w:r>
      <w:r>
        <w:rPr>
          <w:color w:val="231F20"/>
        </w:rPr>
        <w:t>indiferente</w:t>
      </w:r>
      <w:r>
        <w:rPr>
          <w:color w:val="231F20"/>
          <w:spacing w:val="-6"/>
        </w:rPr>
        <w:t> </w:t>
      </w:r>
      <w:r>
        <w:rPr>
          <w:color w:val="231F20"/>
        </w:rPr>
        <w:t>respecto</w:t>
      </w:r>
    </w:p>
    <w:p>
      <w:pPr>
        <w:spacing w:before="0"/>
        <w:ind w:left="113" w:right="107" w:firstLine="0"/>
        <w:jc w:val="both"/>
        <w:rPr>
          <w:sz w:val="14"/>
        </w:rPr>
      </w:pPr>
      <w:r>
        <w:rPr>
          <w:color w:val="231F20"/>
          <w:sz w:val="14"/>
        </w:rPr>
        <w:t>1982) también se le reprocha que el género no fuera considerado en el modelo y las mujeres aparecían como</w:t>
      </w:r>
      <w:r>
        <w:rPr>
          <w:color w:val="231F20"/>
          <w:spacing w:val="-4"/>
          <w:sz w:val="14"/>
        </w:rPr>
        <w:t> </w:t>
      </w:r>
      <w:r>
        <w:rPr>
          <w:color w:val="231F20"/>
          <w:sz w:val="14"/>
        </w:rPr>
        <w:t>simple</w:t>
      </w:r>
      <w:r>
        <w:rPr>
          <w:color w:val="231F20"/>
          <w:spacing w:val="-4"/>
          <w:sz w:val="14"/>
        </w:rPr>
        <w:t> </w:t>
      </w:r>
      <w:r>
        <w:rPr>
          <w:color w:val="231F20"/>
          <w:sz w:val="14"/>
        </w:rPr>
        <w:t>añadidura,</w:t>
      </w:r>
      <w:r>
        <w:rPr>
          <w:color w:val="231F20"/>
          <w:spacing w:val="-4"/>
          <w:sz w:val="14"/>
        </w:rPr>
        <w:t> </w:t>
      </w:r>
      <w:r>
        <w:rPr>
          <w:color w:val="231F20"/>
          <w:sz w:val="14"/>
        </w:rPr>
        <w:t>utilizada</w:t>
      </w:r>
      <w:r>
        <w:rPr>
          <w:color w:val="231F20"/>
          <w:spacing w:val="-4"/>
          <w:sz w:val="14"/>
        </w:rPr>
        <w:t> </w:t>
      </w:r>
      <w:r>
        <w:rPr>
          <w:color w:val="231F20"/>
          <w:sz w:val="14"/>
        </w:rPr>
        <w:t>sólo</w:t>
      </w:r>
      <w:r>
        <w:rPr>
          <w:color w:val="231F20"/>
          <w:spacing w:val="-4"/>
          <w:sz w:val="14"/>
        </w:rPr>
        <w:t> </w:t>
      </w:r>
      <w:r>
        <w:rPr>
          <w:color w:val="231F20"/>
          <w:sz w:val="14"/>
        </w:rPr>
        <w:t>para</w:t>
      </w:r>
      <w:r>
        <w:rPr>
          <w:color w:val="231F20"/>
          <w:spacing w:val="-4"/>
          <w:sz w:val="14"/>
        </w:rPr>
        <w:t> </w:t>
      </w:r>
      <w:r>
        <w:rPr>
          <w:color w:val="231F20"/>
          <w:sz w:val="14"/>
        </w:rPr>
        <w:t>describir</w:t>
      </w:r>
      <w:r>
        <w:rPr>
          <w:color w:val="231F20"/>
          <w:spacing w:val="-4"/>
          <w:sz w:val="14"/>
        </w:rPr>
        <w:t> </w:t>
      </w:r>
      <w:r>
        <w:rPr>
          <w:color w:val="231F20"/>
          <w:sz w:val="14"/>
        </w:rPr>
        <w:t>su</w:t>
      </w:r>
      <w:r>
        <w:rPr>
          <w:color w:val="231F20"/>
          <w:spacing w:val="-4"/>
          <w:sz w:val="14"/>
        </w:rPr>
        <w:t> </w:t>
      </w:r>
      <w:r>
        <w:rPr>
          <w:color w:val="231F20"/>
          <w:sz w:val="14"/>
        </w:rPr>
        <w:t>ubicación</w:t>
      </w:r>
      <w:r>
        <w:rPr>
          <w:color w:val="231F20"/>
          <w:spacing w:val="-4"/>
          <w:sz w:val="14"/>
        </w:rPr>
        <w:t> </w:t>
      </w:r>
      <w:r>
        <w:rPr>
          <w:color w:val="231F20"/>
          <w:sz w:val="14"/>
        </w:rPr>
        <w:t>y</w:t>
      </w:r>
      <w:r>
        <w:rPr>
          <w:color w:val="231F20"/>
          <w:spacing w:val="-4"/>
          <w:sz w:val="14"/>
        </w:rPr>
        <w:t> </w:t>
      </w:r>
      <w:r>
        <w:rPr>
          <w:color w:val="231F20"/>
          <w:sz w:val="14"/>
        </w:rPr>
        <w:t>participación</w:t>
      </w:r>
      <w:r>
        <w:rPr>
          <w:color w:val="231F20"/>
          <w:spacing w:val="-4"/>
          <w:sz w:val="14"/>
        </w:rPr>
        <w:t> </w:t>
      </w:r>
      <w:r>
        <w:rPr>
          <w:color w:val="231F20"/>
          <w:sz w:val="14"/>
        </w:rPr>
        <w:t>en</w:t>
      </w:r>
      <w:r>
        <w:rPr>
          <w:color w:val="231F20"/>
          <w:spacing w:val="-4"/>
          <w:sz w:val="14"/>
        </w:rPr>
        <w:t> </w:t>
      </w:r>
      <w:r>
        <w:rPr>
          <w:color w:val="231F20"/>
          <w:sz w:val="14"/>
        </w:rPr>
        <w:t>el</w:t>
      </w:r>
      <w:r>
        <w:rPr>
          <w:color w:val="231F20"/>
          <w:spacing w:val="-4"/>
          <w:sz w:val="14"/>
        </w:rPr>
        <w:t> </w:t>
      </w:r>
      <w:r>
        <w:rPr>
          <w:color w:val="231F20"/>
          <w:sz w:val="14"/>
        </w:rPr>
        <w:t>mercado</w:t>
      </w:r>
      <w:r>
        <w:rPr>
          <w:color w:val="231F20"/>
          <w:spacing w:val="-4"/>
          <w:sz w:val="14"/>
        </w:rPr>
        <w:t> </w:t>
      </w:r>
      <w:r>
        <w:rPr>
          <w:color w:val="231F20"/>
          <w:sz w:val="14"/>
        </w:rPr>
        <w:t>laboral, más que como un factor que realmente explicara el papel del género en la segmentación ocupacional. Pese a ello, una de las aportaciones de la teoría institucional consiste en plantear la idea de que los procesos sociales no se rigen por leyes universales y por tanto carecen de significado universal, por lo que el aporte para el feminismo va en el sentido de ubicar el análisis dentro de los contextos culturales e históricos, incluyendo los cambios institucionales con el objetivo de “explicar las desventajas de las mujeres” (Benería, 2003:</w:t>
      </w:r>
      <w:r>
        <w:rPr>
          <w:color w:val="231F20"/>
          <w:spacing w:val="-1"/>
          <w:sz w:val="14"/>
        </w:rPr>
        <w:t> </w:t>
      </w:r>
      <w:r>
        <w:rPr>
          <w:color w:val="231F20"/>
          <w:sz w:val="14"/>
        </w:rPr>
        <w:t>32).</w:t>
      </w:r>
    </w:p>
    <w:p>
      <w:pPr>
        <w:spacing w:after="0"/>
        <w:jc w:val="both"/>
        <w:rPr>
          <w:sz w:val="14"/>
        </w:rPr>
        <w:sectPr>
          <w:footerReference w:type="default" r:id="rId246"/>
          <w:pgSz w:w="7770" w:h="11740"/>
          <w:pgMar w:footer="474" w:header="0" w:top="840" w:bottom="660" w:left="1020" w:right="740"/>
          <w:pgNumType w:start="209"/>
        </w:sectPr>
      </w:pPr>
    </w:p>
    <w:p>
      <w:pPr>
        <w:pStyle w:val="BodyText"/>
        <w:spacing w:line="249" w:lineRule="auto" w:before="60"/>
        <w:ind w:left="110" w:right="111"/>
        <w:jc w:val="both"/>
      </w:pPr>
      <w:r>
        <w:rPr>
          <w:color w:val="231F20"/>
        </w:rPr>
        <w:t>a</w:t>
      </w:r>
      <w:r>
        <w:rPr>
          <w:color w:val="231F20"/>
          <w:spacing w:val="-8"/>
        </w:rPr>
        <w:t> </w:t>
      </w:r>
      <w:r>
        <w:rPr>
          <w:color w:val="231F20"/>
        </w:rPr>
        <w:t>temas</w:t>
      </w:r>
      <w:r>
        <w:rPr>
          <w:color w:val="231F20"/>
          <w:spacing w:val="-9"/>
        </w:rPr>
        <w:t> </w:t>
      </w:r>
      <w:r>
        <w:rPr>
          <w:color w:val="231F20"/>
        </w:rPr>
        <w:t>sociales</w:t>
      </w:r>
      <w:r>
        <w:rPr>
          <w:color w:val="231F20"/>
          <w:spacing w:val="-8"/>
        </w:rPr>
        <w:t> </w:t>
      </w:r>
      <w:r>
        <w:rPr>
          <w:color w:val="231F20"/>
        </w:rPr>
        <w:t>como</w:t>
      </w:r>
      <w:r>
        <w:rPr>
          <w:color w:val="231F20"/>
          <w:spacing w:val="-9"/>
        </w:rPr>
        <w:t> </w:t>
      </w:r>
      <w:r>
        <w:rPr>
          <w:color w:val="231F20"/>
        </w:rPr>
        <w:t>la</w:t>
      </w:r>
      <w:r>
        <w:rPr>
          <w:color w:val="231F20"/>
          <w:spacing w:val="-8"/>
        </w:rPr>
        <w:t> </w:t>
      </w:r>
      <w:r>
        <w:rPr>
          <w:color w:val="231F20"/>
        </w:rPr>
        <w:t>salud</w:t>
      </w:r>
      <w:r>
        <w:rPr>
          <w:color w:val="231F20"/>
          <w:spacing w:val="-8"/>
        </w:rPr>
        <w:t> </w:t>
      </w:r>
      <w:r>
        <w:rPr>
          <w:color w:val="231F20"/>
        </w:rPr>
        <w:t>o</w:t>
      </w:r>
      <w:r>
        <w:rPr>
          <w:color w:val="231F20"/>
          <w:spacing w:val="-8"/>
        </w:rPr>
        <w:t> </w:t>
      </w:r>
      <w:r>
        <w:rPr>
          <w:color w:val="231F20"/>
        </w:rPr>
        <w:t>el</w:t>
      </w:r>
      <w:r>
        <w:rPr>
          <w:color w:val="231F20"/>
          <w:spacing w:val="-8"/>
        </w:rPr>
        <w:t> </w:t>
      </w:r>
      <w:r>
        <w:rPr>
          <w:color w:val="231F20"/>
        </w:rPr>
        <w:t>deterioro</w:t>
      </w:r>
      <w:r>
        <w:rPr>
          <w:color w:val="231F20"/>
          <w:spacing w:val="-8"/>
        </w:rPr>
        <w:t> </w:t>
      </w:r>
      <w:r>
        <w:rPr>
          <w:color w:val="231F20"/>
        </w:rPr>
        <w:t>ambiental,</w:t>
      </w:r>
      <w:r>
        <w:rPr>
          <w:color w:val="231F20"/>
          <w:spacing w:val="-9"/>
        </w:rPr>
        <w:t> </w:t>
      </w:r>
      <w:r>
        <w:rPr>
          <w:color w:val="231F20"/>
        </w:rPr>
        <w:t>entre</w:t>
      </w:r>
      <w:r>
        <w:rPr>
          <w:color w:val="231F20"/>
          <w:spacing w:val="-9"/>
        </w:rPr>
        <w:t> </w:t>
      </w:r>
      <w:r>
        <w:rPr>
          <w:color w:val="231F20"/>
        </w:rPr>
        <w:t>otros.</w:t>
      </w:r>
      <w:r>
        <w:rPr>
          <w:color w:val="231F20"/>
          <w:spacing w:val="-18"/>
        </w:rPr>
        <w:t> </w:t>
      </w:r>
      <w:r>
        <w:rPr>
          <w:color w:val="231F20"/>
        </w:rPr>
        <w:t>Aun- que en algunos círculos académicos se reconoce que la economía femi- nista ha introducido una nueva dimensión a los debates entre provisión del bienestar individual y colectivo como objetivo alternativo y funda- mental de la economía. En este marco aparece enfatizada la importancia del trabajo no remunerado </w:t>
      </w:r>
      <w:r>
        <w:rPr>
          <w:color w:val="231F20"/>
          <w:spacing w:val="-7"/>
        </w:rPr>
        <w:t>y, </w:t>
      </w:r>
      <w:r>
        <w:rPr>
          <w:color w:val="231F20"/>
        </w:rPr>
        <w:t>la economía del cuidado</w:t>
      </w:r>
      <w:r>
        <w:rPr>
          <w:color w:val="231F20"/>
          <w:position w:val="7"/>
          <w:sz w:val="11"/>
        </w:rPr>
        <w:t>3 </w:t>
      </w:r>
      <w:r>
        <w:rPr>
          <w:color w:val="231F20"/>
        </w:rPr>
        <w:t>que aporta</w:t>
      </w:r>
      <w:r>
        <w:rPr>
          <w:color w:val="231F20"/>
          <w:spacing w:val="-23"/>
        </w:rPr>
        <w:t> </w:t>
      </w:r>
      <w:r>
        <w:rPr>
          <w:color w:val="231F20"/>
        </w:rPr>
        <w:t>mucho al bienestar social (Benería, 2003:</w:t>
      </w:r>
      <w:r>
        <w:rPr>
          <w:color w:val="231F20"/>
          <w:spacing w:val="-5"/>
        </w:rPr>
        <w:t> </w:t>
      </w:r>
      <w:r>
        <w:rPr>
          <w:color w:val="231F20"/>
        </w:rPr>
        <w:t>36-38).</w:t>
      </w:r>
    </w:p>
    <w:p>
      <w:pPr>
        <w:pStyle w:val="BodyText"/>
        <w:spacing w:line="249" w:lineRule="auto" w:before="1"/>
        <w:ind w:left="110" w:right="111" w:firstLine="283"/>
        <w:jc w:val="both"/>
      </w:pPr>
      <w:r>
        <w:rPr>
          <w:color w:val="231F20"/>
        </w:rPr>
        <w:t>Al exaltar el papel fundamental de las mujeres como proveedoras de bienestar social y en su concentración tradicional en el ámbito del traba- jo no pagado, la economía feminista contribuye a repensar el campo de la economía. Por un lado, evidencia la naturaleza y función del trabajo no pagado y por otro lado, plantea la invisibilidad de ese trabajo de las mujeres. </w:t>
      </w:r>
      <w:r>
        <w:rPr>
          <w:color w:val="231F20"/>
          <w:spacing w:val="-3"/>
        </w:rPr>
        <w:t>Tales </w:t>
      </w:r>
      <w:r>
        <w:rPr>
          <w:color w:val="231F20"/>
        </w:rPr>
        <w:t>contribuciones, son de la mayor importancia, pues como se</w:t>
      </w:r>
      <w:r>
        <w:rPr>
          <w:color w:val="231F20"/>
          <w:spacing w:val="-5"/>
        </w:rPr>
        <w:t> </w:t>
      </w:r>
      <w:r>
        <w:rPr>
          <w:color w:val="231F20"/>
        </w:rPr>
        <w:t>ha</w:t>
      </w:r>
      <w:r>
        <w:rPr>
          <w:color w:val="231F20"/>
          <w:spacing w:val="-5"/>
        </w:rPr>
        <w:t> </w:t>
      </w:r>
      <w:r>
        <w:rPr>
          <w:color w:val="231F20"/>
        </w:rPr>
        <w:t>dicho</w:t>
      </w:r>
      <w:r>
        <w:rPr>
          <w:color w:val="231F20"/>
          <w:spacing w:val="-5"/>
        </w:rPr>
        <w:t> </w:t>
      </w:r>
      <w:r>
        <w:rPr>
          <w:color w:val="231F20"/>
        </w:rPr>
        <w:t>arriba,</w:t>
      </w:r>
      <w:r>
        <w:rPr>
          <w:color w:val="231F20"/>
          <w:spacing w:val="-5"/>
        </w:rPr>
        <w:t> </w:t>
      </w:r>
      <w:r>
        <w:rPr>
          <w:color w:val="231F20"/>
        </w:rPr>
        <w:t>revelan</w:t>
      </w:r>
      <w:r>
        <w:rPr>
          <w:color w:val="231F20"/>
          <w:spacing w:val="-5"/>
        </w:rPr>
        <w:t> </w:t>
      </w:r>
      <w:r>
        <w:rPr>
          <w:color w:val="231F20"/>
        </w:rPr>
        <w:t>un</w:t>
      </w:r>
      <w:r>
        <w:rPr>
          <w:color w:val="231F20"/>
          <w:spacing w:val="-5"/>
        </w:rPr>
        <w:t> </w:t>
      </w:r>
      <w:r>
        <w:rPr>
          <w:color w:val="231F20"/>
        </w:rPr>
        <w:t>profundo</w:t>
      </w:r>
      <w:r>
        <w:rPr>
          <w:color w:val="231F20"/>
          <w:spacing w:val="-5"/>
        </w:rPr>
        <w:t> </w:t>
      </w:r>
      <w:r>
        <w:rPr>
          <w:color w:val="231F20"/>
        </w:rPr>
        <w:t>conflicto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anida</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fun- damentos del sistema social y</w:t>
      </w:r>
      <w:r>
        <w:rPr>
          <w:color w:val="231F20"/>
          <w:spacing w:val="-11"/>
        </w:rPr>
        <w:t> </w:t>
      </w:r>
      <w:r>
        <w:rPr>
          <w:color w:val="231F20"/>
        </w:rPr>
        <w:t>económico.</w:t>
      </w:r>
    </w:p>
    <w:p>
      <w:pPr>
        <w:pStyle w:val="BodyText"/>
        <w:spacing w:line="249" w:lineRule="auto" w:before="1"/>
        <w:ind w:left="110" w:right="111" w:firstLine="283"/>
        <w:jc w:val="both"/>
      </w:pPr>
      <w:r>
        <w:rPr>
          <w:color w:val="231F20"/>
        </w:rPr>
        <w:t>Con la perspectiva de la economía del cuidado, el feminismo hace visibles no sólo los conflictos ocultos en relación con los tiempos y tra- bajos y las desigualdades entre los géneros femenino y masculino, sino también nombra a quienes asumen la responsabilidad del cuidado de la vida: las mujeres, prioritariamente.</w:t>
      </w:r>
    </w:p>
    <w:p>
      <w:pPr>
        <w:pStyle w:val="BodyText"/>
        <w:spacing w:line="249" w:lineRule="auto" w:before="1"/>
        <w:ind w:left="110" w:right="111" w:firstLine="283"/>
        <w:jc w:val="both"/>
      </w:pPr>
      <w:r>
        <w:rPr>
          <w:color w:val="231F20"/>
        </w:rPr>
        <w:t>No obstante, lo que para mí resulta de mayor interés en este mo- mento es reflexionar sobre el trabajo femenino extradoméstico teniendo en cuenta su interacción con las otras esferas sociales. En tanto hemos establecido que el estudio del trabajo femenino centrado</w:t>
      </w:r>
      <w:r>
        <w:rPr>
          <w:color w:val="231F20"/>
          <w:spacing w:val="-21"/>
        </w:rPr>
        <w:t> </w:t>
      </w:r>
      <w:r>
        <w:rPr>
          <w:color w:val="231F20"/>
        </w:rPr>
        <w:t>exclusivamente en el trabajo remunerado no posibilita poner en evidencia la dimensión real de la problemática del trabajo de las mujeres y sus mecanismos de funcionamiento. Por la forma específica en que la fuerza de trabajo fe- menina —diferenciada de la masculina— se integra en los mercados de trabajo, el análisis exige, por una parte, hacer visible el trabajo familiar doméstico,</w:t>
      </w:r>
      <w:r>
        <w:rPr>
          <w:color w:val="231F20"/>
          <w:spacing w:val="-8"/>
        </w:rPr>
        <w:t> </w:t>
      </w:r>
      <w:r>
        <w:rPr>
          <w:color w:val="231F20"/>
          <w:spacing w:val="-7"/>
        </w:rPr>
        <w:t>y,</w:t>
      </w:r>
      <w:r>
        <w:rPr>
          <w:color w:val="231F20"/>
          <w:spacing w:val="-8"/>
        </w:rPr>
        <w:t> </w:t>
      </w:r>
      <w:r>
        <w:rPr>
          <w:color w:val="231F20"/>
        </w:rPr>
        <w:t>por</w:t>
      </w:r>
      <w:r>
        <w:rPr>
          <w:color w:val="231F20"/>
          <w:spacing w:val="-8"/>
        </w:rPr>
        <w:t> </w:t>
      </w:r>
      <w:r>
        <w:rPr>
          <w:color w:val="231F20"/>
        </w:rPr>
        <w:t>otra,</w:t>
      </w:r>
      <w:r>
        <w:rPr>
          <w:color w:val="231F20"/>
          <w:spacing w:val="-8"/>
        </w:rPr>
        <w:t> </w:t>
      </w:r>
      <w:r>
        <w:rPr>
          <w:color w:val="231F20"/>
        </w:rPr>
        <w:t>tener</w:t>
      </w:r>
      <w:r>
        <w:rPr>
          <w:color w:val="231F20"/>
          <w:spacing w:val="-8"/>
        </w:rPr>
        <w:t> </w:t>
      </w:r>
      <w:r>
        <w:rPr>
          <w:color w:val="231F20"/>
        </w:rPr>
        <w:t>en</w:t>
      </w:r>
      <w:r>
        <w:rPr>
          <w:color w:val="231F20"/>
          <w:spacing w:val="-8"/>
        </w:rPr>
        <w:t> </w:t>
      </w:r>
      <w:r>
        <w:rPr>
          <w:color w:val="231F20"/>
        </w:rPr>
        <w:t>cuenta</w:t>
      </w:r>
      <w:r>
        <w:rPr>
          <w:color w:val="231F20"/>
          <w:spacing w:val="-8"/>
        </w:rPr>
        <w:t> </w:t>
      </w:r>
      <w:r>
        <w:rPr>
          <w:color w:val="231F20"/>
        </w:rPr>
        <w:t>la</w:t>
      </w:r>
      <w:r>
        <w:rPr>
          <w:color w:val="231F20"/>
          <w:spacing w:val="-8"/>
        </w:rPr>
        <w:t> </w:t>
      </w:r>
      <w:r>
        <w:rPr>
          <w:color w:val="231F20"/>
        </w:rPr>
        <w:t>situación</w:t>
      </w:r>
      <w:r>
        <w:rPr>
          <w:color w:val="231F20"/>
          <w:spacing w:val="-7"/>
        </w:rPr>
        <w:t> </w:t>
      </w:r>
      <w:r>
        <w:rPr>
          <w:color w:val="231F20"/>
        </w:rPr>
        <w:t>particular</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muje- res,</w:t>
      </w:r>
      <w:r>
        <w:rPr>
          <w:color w:val="231F20"/>
          <w:spacing w:val="-11"/>
        </w:rPr>
        <w:t> </w:t>
      </w:r>
      <w:r>
        <w:rPr>
          <w:color w:val="231F20"/>
        </w:rPr>
        <w:t>donde</w:t>
      </w:r>
      <w:r>
        <w:rPr>
          <w:color w:val="231F20"/>
          <w:spacing w:val="-11"/>
        </w:rPr>
        <w:t> </w:t>
      </w:r>
      <w:r>
        <w:rPr>
          <w:color w:val="231F20"/>
        </w:rPr>
        <w:t>sobresalen</w:t>
      </w:r>
      <w:r>
        <w:rPr>
          <w:color w:val="231F20"/>
          <w:spacing w:val="-11"/>
        </w:rPr>
        <w:t> </w:t>
      </w:r>
      <w:r>
        <w:rPr>
          <w:color w:val="231F20"/>
        </w:rPr>
        <w:t>condicionamientos</w:t>
      </w:r>
      <w:r>
        <w:rPr>
          <w:color w:val="231F20"/>
          <w:spacing w:val="-12"/>
        </w:rPr>
        <w:t> </w:t>
      </w:r>
      <w:r>
        <w:rPr>
          <w:color w:val="231F20"/>
        </w:rPr>
        <w:t>sociales,</w:t>
      </w:r>
      <w:r>
        <w:rPr>
          <w:color w:val="231F20"/>
          <w:spacing w:val="-11"/>
        </w:rPr>
        <w:t> </w:t>
      </w:r>
      <w:r>
        <w:rPr>
          <w:color w:val="231F20"/>
        </w:rPr>
        <w:t>culturales</w:t>
      </w:r>
      <w:r>
        <w:rPr>
          <w:color w:val="231F20"/>
          <w:spacing w:val="-12"/>
        </w:rPr>
        <w:t> </w:t>
      </w:r>
      <w:r>
        <w:rPr>
          <w:color w:val="231F20"/>
        </w:rPr>
        <w:t>y</w:t>
      </w:r>
      <w:r>
        <w:rPr>
          <w:color w:val="231F20"/>
          <w:spacing w:val="-11"/>
        </w:rPr>
        <w:t> </w:t>
      </w:r>
      <w:r>
        <w:rPr>
          <w:color w:val="231F20"/>
        </w:rPr>
        <w:t>familiares en su participación</w:t>
      </w:r>
      <w:r>
        <w:rPr>
          <w:color w:val="231F20"/>
          <w:spacing w:val="-2"/>
        </w:rPr>
        <w:t> </w:t>
      </w:r>
      <w:r>
        <w:rPr>
          <w:color w:val="231F20"/>
        </w:rPr>
        <w:t>laboral.</w:t>
      </w:r>
    </w:p>
    <w:p>
      <w:pPr>
        <w:pStyle w:val="BodyText"/>
        <w:spacing w:line="249" w:lineRule="auto" w:before="1"/>
        <w:ind w:left="110" w:right="110" w:firstLine="283"/>
        <w:jc w:val="both"/>
      </w:pPr>
      <w:r>
        <w:rPr>
          <w:color w:val="231F20"/>
        </w:rPr>
        <w:t>La creciente incorporación de las mujeres al trabajo extradoméstico, no tiene como resultado el abandono del trabajo familiar: las mujeres continúan realizando esta actividad, fundamentalmente porque le otor- gan el valor que la sociedad patriarcal capitalista no ha querido  recono-</w:t>
      </w:r>
    </w:p>
    <w:p>
      <w:pPr>
        <w:pStyle w:val="BodyText"/>
        <w:rPr>
          <w:sz w:val="24"/>
        </w:rPr>
      </w:pPr>
    </w:p>
    <w:p>
      <w:pPr>
        <w:spacing w:before="0"/>
        <w:ind w:left="110" w:right="111" w:firstLine="0"/>
        <w:jc w:val="both"/>
        <w:rPr>
          <w:sz w:val="14"/>
        </w:rPr>
      </w:pPr>
      <w:r>
        <w:rPr>
          <w:color w:val="231F20"/>
          <w:position w:val="5"/>
          <w:sz w:val="8"/>
        </w:rPr>
        <w:t>3 </w:t>
      </w:r>
      <w:r>
        <w:rPr>
          <w:color w:val="231F20"/>
          <w:sz w:val="14"/>
        </w:rPr>
        <w:t>Desde la economía feminista se define a la “economía del cuidado” como las actividades que “se asu- men</w:t>
      </w:r>
      <w:r>
        <w:rPr>
          <w:color w:val="231F20"/>
          <w:spacing w:val="-3"/>
          <w:sz w:val="14"/>
        </w:rPr>
        <w:t> </w:t>
      </w:r>
      <w:r>
        <w:rPr>
          <w:color w:val="231F20"/>
          <w:sz w:val="14"/>
        </w:rPr>
        <w:t>motivadas</w:t>
      </w:r>
      <w:r>
        <w:rPr>
          <w:color w:val="231F20"/>
          <w:spacing w:val="-3"/>
          <w:sz w:val="14"/>
        </w:rPr>
        <w:t> </w:t>
      </w:r>
      <w:r>
        <w:rPr>
          <w:color w:val="231F20"/>
          <w:sz w:val="14"/>
        </w:rPr>
        <w:t>por</w:t>
      </w:r>
      <w:r>
        <w:rPr>
          <w:color w:val="231F20"/>
          <w:spacing w:val="-3"/>
          <w:sz w:val="14"/>
        </w:rPr>
        <w:t> </w:t>
      </w:r>
      <w:r>
        <w:rPr>
          <w:color w:val="231F20"/>
          <w:sz w:val="14"/>
        </w:rPr>
        <w:t>el</w:t>
      </w:r>
      <w:r>
        <w:rPr>
          <w:color w:val="231F20"/>
          <w:spacing w:val="-3"/>
          <w:sz w:val="14"/>
        </w:rPr>
        <w:t> </w:t>
      </w:r>
      <w:r>
        <w:rPr>
          <w:color w:val="231F20"/>
          <w:sz w:val="14"/>
        </w:rPr>
        <w:t>afecto</w:t>
      </w:r>
      <w:r>
        <w:rPr>
          <w:color w:val="231F20"/>
          <w:spacing w:val="-3"/>
          <w:sz w:val="14"/>
        </w:rPr>
        <w:t> </w:t>
      </w:r>
      <w:r>
        <w:rPr>
          <w:color w:val="231F20"/>
          <w:sz w:val="14"/>
        </w:rPr>
        <w:t>o</w:t>
      </w:r>
      <w:r>
        <w:rPr>
          <w:color w:val="231F20"/>
          <w:spacing w:val="-3"/>
          <w:sz w:val="14"/>
        </w:rPr>
        <w:t> </w:t>
      </w:r>
      <w:r>
        <w:rPr>
          <w:color w:val="231F20"/>
          <w:sz w:val="14"/>
        </w:rPr>
        <w:t>con</w:t>
      </w:r>
      <w:r>
        <w:rPr>
          <w:color w:val="231F20"/>
          <w:spacing w:val="-3"/>
          <w:sz w:val="14"/>
        </w:rPr>
        <w:t> </w:t>
      </w:r>
      <w:r>
        <w:rPr>
          <w:color w:val="231F20"/>
          <w:sz w:val="14"/>
        </w:rPr>
        <w:t>un</w:t>
      </w:r>
      <w:r>
        <w:rPr>
          <w:color w:val="231F20"/>
          <w:spacing w:val="-3"/>
          <w:sz w:val="14"/>
        </w:rPr>
        <w:t> </w:t>
      </w:r>
      <w:r>
        <w:rPr>
          <w:color w:val="231F20"/>
          <w:sz w:val="14"/>
        </w:rPr>
        <w:t>sentido</w:t>
      </w:r>
      <w:r>
        <w:rPr>
          <w:color w:val="231F20"/>
          <w:spacing w:val="-2"/>
          <w:sz w:val="14"/>
        </w:rPr>
        <w:t> </w:t>
      </w:r>
      <w:r>
        <w:rPr>
          <w:color w:val="231F20"/>
          <w:sz w:val="14"/>
        </w:rPr>
        <w:t>de</w:t>
      </w:r>
      <w:r>
        <w:rPr>
          <w:color w:val="231F20"/>
          <w:spacing w:val="-3"/>
          <w:sz w:val="14"/>
        </w:rPr>
        <w:t> </w:t>
      </w:r>
      <w:r>
        <w:rPr>
          <w:color w:val="231F20"/>
          <w:sz w:val="14"/>
        </w:rPr>
        <w:t>responsabilidad</w:t>
      </w:r>
      <w:r>
        <w:rPr>
          <w:color w:val="231F20"/>
          <w:spacing w:val="-3"/>
          <w:sz w:val="14"/>
        </w:rPr>
        <w:t> </w:t>
      </w:r>
      <w:r>
        <w:rPr>
          <w:color w:val="231F20"/>
          <w:sz w:val="14"/>
        </w:rPr>
        <w:t>por</w:t>
      </w:r>
      <w:r>
        <w:rPr>
          <w:color w:val="231F20"/>
          <w:spacing w:val="-3"/>
          <w:sz w:val="14"/>
        </w:rPr>
        <w:t> </w:t>
      </w:r>
      <w:r>
        <w:rPr>
          <w:color w:val="231F20"/>
          <w:sz w:val="14"/>
        </w:rPr>
        <w:t>otras</w:t>
      </w:r>
      <w:r>
        <w:rPr>
          <w:color w:val="231F20"/>
          <w:spacing w:val="-3"/>
          <w:sz w:val="14"/>
        </w:rPr>
        <w:t> </w:t>
      </w:r>
      <w:r>
        <w:rPr>
          <w:color w:val="231F20"/>
          <w:sz w:val="14"/>
        </w:rPr>
        <w:t>personas</w:t>
      </w:r>
      <w:r>
        <w:rPr>
          <w:color w:val="231F20"/>
          <w:spacing w:val="-3"/>
          <w:sz w:val="14"/>
        </w:rPr>
        <w:t> </w:t>
      </w:r>
      <w:r>
        <w:rPr>
          <w:color w:val="231F20"/>
          <w:sz w:val="14"/>
        </w:rPr>
        <w:t>sin</w:t>
      </w:r>
      <w:r>
        <w:rPr>
          <w:color w:val="231F20"/>
          <w:spacing w:val="-3"/>
          <w:sz w:val="14"/>
        </w:rPr>
        <w:t> </w:t>
      </w:r>
      <w:r>
        <w:rPr>
          <w:color w:val="231F20"/>
          <w:sz w:val="14"/>
        </w:rPr>
        <w:t>esperar</w:t>
      </w:r>
      <w:r>
        <w:rPr>
          <w:color w:val="231F20"/>
          <w:spacing w:val="-3"/>
          <w:sz w:val="14"/>
        </w:rPr>
        <w:t> </w:t>
      </w:r>
      <w:r>
        <w:rPr>
          <w:color w:val="231F20"/>
          <w:sz w:val="14"/>
        </w:rPr>
        <w:t>ninguna gratificación inmediata en dinero (Folbre, 2000; Folbre y Hartmann, 1999; Benería, 2003; Carrasco, 2001, 2009; Borderías, Carrasco y Torns, 2011). Actualmente este tema es fundamental en la teoría feminista.</w:t>
      </w:r>
    </w:p>
    <w:p>
      <w:pPr>
        <w:spacing w:after="0"/>
        <w:jc w:val="both"/>
        <w:rPr>
          <w:sz w:val="14"/>
        </w:rPr>
        <w:sectPr>
          <w:pgSz w:w="7770" w:h="11740"/>
          <w:pgMar w:header="0" w:footer="474" w:top="840" w:bottom="740" w:left="740" w:right="1020"/>
        </w:sectPr>
      </w:pPr>
    </w:p>
    <w:p>
      <w:pPr>
        <w:pStyle w:val="BodyText"/>
        <w:spacing w:line="249" w:lineRule="auto" w:before="60"/>
        <w:ind w:left="113" w:right="107"/>
        <w:jc w:val="both"/>
      </w:pPr>
      <w:r>
        <w:rPr>
          <w:color w:val="231F20"/>
        </w:rPr>
        <w:t>cerles. De manera tal que los cambios culturales y de comportamiento realizados por las mujeres no han tenido el eco correspondiente en el resto de la sociedad. Ni los varones como grupo de población, ni las instituciones “aceptan” los cambios vividos por las mujeres lo que ha provocado que “el funcionamiento social no haya experimentado trans- formaciones sustanciales y los efectos de las nueva situación han tenido que ser asumidos por las propias mujeres” (Carrasco, 2001: 38).</w:t>
      </w:r>
    </w:p>
    <w:p>
      <w:pPr>
        <w:pStyle w:val="BodyText"/>
        <w:spacing w:line="249" w:lineRule="auto" w:before="1"/>
        <w:ind w:left="113" w:right="107" w:firstLine="283"/>
        <w:jc w:val="right"/>
      </w:pPr>
      <w:r>
        <w:rPr>
          <w:color w:val="231F20"/>
        </w:rPr>
        <w:t>La</w:t>
      </w:r>
      <w:r>
        <w:rPr>
          <w:color w:val="231F20"/>
          <w:spacing w:val="-7"/>
        </w:rPr>
        <w:t> </w:t>
      </w:r>
      <w:r>
        <w:rPr>
          <w:color w:val="231F20"/>
        </w:rPr>
        <w:t>experiencia</w:t>
      </w:r>
      <w:r>
        <w:rPr>
          <w:color w:val="231F20"/>
          <w:spacing w:val="-7"/>
        </w:rPr>
        <w:t> </w:t>
      </w:r>
      <w:r>
        <w:rPr>
          <w:color w:val="231F20"/>
        </w:rPr>
        <w:t>de</w:t>
      </w:r>
      <w:r>
        <w:rPr>
          <w:color w:val="231F20"/>
          <w:spacing w:val="-7"/>
        </w:rPr>
        <w:t> </w:t>
      </w:r>
      <w:r>
        <w:rPr>
          <w:color w:val="231F20"/>
        </w:rPr>
        <w:t>vida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se</w:t>
      </w:r>
      <w:r>
        <w:rPr>
          <w:color w:val="231F20"/>
          <w:spacing w:val="-7"/>
        </w:rPr>
        <w:t> </w:t>
      </w:r>
      <w:r>
        <w:rPr>
          <w:color w:val="231F20"/>
        </w:rPr>
        <w:t>puede</w:t>
      </w:r>
      <w:r>
        <w:rPr>
          <w:color w:val="231F20"/>
          <w:spacing w:val="-7"/>
        </w:rPr>
        <w:t> </w:t>
      </w:r>
      <w:r>
        <w:rPr>
          <w:color w:val="231F20"/>
        </w:rPr>
        <w:t>resumir</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entrar</w:t>
      </w:r>
      <w:r>
        <w:rPr>
          <w:color w:val="231F20"/>
          <w:spacing w:val="-7"/>
        </w:rPr>
        <w:t> </w:t>
      </w:r>
      <w:r>
        <w:rPr>
          <w:color w:val="231F20"/>
        </w:rPr>
        <w:t>y salir de ambientes físicos diversos, de funciones distintas:</w:t>
      </w:r>
      <w:r>
        <w:rPr>
          <w:color w:val="231F20"/>
          <w:spacing w:val="2"/>
        </w:rPr>
        <w:t> </w:t>
      </w:r>
      <w:r>
        <w:rPr>
          <w:color w:val="231F20"/>
        </w:rPr>
        <w:t>ahora</w:t>
      </w:r>
      <w:r>
        <w:rPr>
          <w:color w:val="231F20"/>
          <w:spacing w:val="6"/>
        </w:rPr>
        <w:t> </w:t>
      </w:r>
      <w:r>
        <w:rPr>
          <w:color w:val="231F20"/>
        </w:rPr>
        <w:t>madre, ahora trabajadora, ahora esposa, ahora estudiante, ahora</w:t>
      </w:r>
      <w:r>
        <w:rPr>
          <w:color w:val="231F20"/>
          <w:spacing w:val="1"/>
        </w:rPr>
        <w:t> </w:t>
      </w:r>
      <w:r>
        <w:rPr>
          <w:color w:val="231F20"/>
        </w:rPr>
        <w:t>cuidadora</w:t>
      </w:r>
      <w:r>
        <w:rPr>
          <w:color w:val="231F20"/>
          <w:spacing w:val="22"/>
        </w:rPr>
        <w:t> </w:t>
      </w:r>
      <w:r>
        <w:rPr>
          <w:color w:val="231F20"/>
        </w:rPr>
        <w:t>del padre o madre adultos mayores, etcétera. Más aún, un entrar y</w:t>
      </w:r>
      <w:r>
        <w:rPr>
          <w:color w:val="231F20"/>
          <w:spacing w:val="2"/>
        </w:rPr>
        <w:t> </w:t>
      </w:r>
      <w:r>
        <w:rPr>
          <w:color w:val="231F20"/>
        </w:rPr>
        <w:t>salir</w:t>
      </w:r>
      <w:r>
        <w:rPr>
          <w:color w:val="231F20"/>
          <w:spacing w:val="14"/>
        </w:rPr>
        <w:t> </w:t>
      </w:r>
      <w:r>
        <w:rPr>
          <w:color w:val="231F20"/>
        </w:rPr>
        <w:t>de diversas formas de relación con “los otros”, el hombre promedio</w:t>
      </w:r>
      <w:r>
        <w:rPr>
          <w:color w:val="231F20"/>
          <w:spacing w:val="-30"/>
        </w:rPr>
        <w:t> </w:t>
      </w:r>
      <w:r>
        <w:rPr>
          <w:color w:val="231F20"/>
        </w:rPr>
        <w:t>no</w:t>
      </w:r>
      <w:r>
        <w:rPr>
          <w:color w:val="231F20"/>
          <w:spacing w:val="-3"/>
        </w:rPr>
        <w:t> </w:t>
      </w:r>
      <w:r>
        <w:rPr>
          <w:color w:val="231F20"/>
        </w:rPr>
        <w:t>vive una experiencia comparable. Ciertamente, los hombres en</w:t>
      </w:r>
      <w:r>
        <w:rPr>
          <w:color w:val="231F20"/>
          <w:spacing w:val="6"/>
        </w:rPr>
        <w:t> </w:t>
      </w:r>
      <w:r>
        <w:rPr>
          <w:color w:val="231F20"/>
        </w:rPr>
        <w:t>los</w:t>
      </w:r>
      <w:r>
        <w:rPr>
          <w:color w:val="231F20"/>
          <w:spacing w:val="22"/>
        </w:rPr>
        <w:t> </w:t>
      </w:r>
      <w:r>
        <w:rPr>
          <w:color w:val="231F20"/>
        </w:rPr>
        <w:t>tiempos actuales desempeñan más papeles y se mueven en más</w:t>
      </w:r>
      <w:r>
        <w:rPr>
          <w:color w:val="231F20"/>
          <w:spacing w:val="36"/>
        </w:rPr>
        <w:t> </w:t>
      </w:r>
      <w:r>
        <w:rPr>
          <w:color w:val="231F20"/>
        </w:rPr>
        <w:t>ambientes,</w:t>
      </w:r>
      <w:r>
        <w:rPr>
          <w:color w:val="231F20"/>
          <w:spacing w:val="9"/>
        </w:rPr>
        <w:t> </w:t>
      </w:r>
      <w:r>
        <w:rPr>
          <w:color w:val="231F20"/>
        </w:rPr>
        <w:t>pero para</w:t>
      </w:r>
      <w:r>
        <w:rPr>
          <w:color w:val="231F20"/>
          <w:spacing w:val="-4"/>
        </w:rPr>
        <w:t> </w:t>
      </w:r>
      <w:r>
        <w:rPr>
          <w:color w:val="231F20"/>
        </w:rPr>
        <w:t>ellos</w:t>
      </w:r>
      <w:r>
        <w:rPr>
          <w:color w:val="231F20"/>
          <w:spacing w:val="-4"/>
        </w:rPr>
        <w:t> </w:t>
      </w:r>
      <w:r>
        <w:rPr>
          <w:color w:val="231F20"/>
        </w:rPr>
        <w:t>el</w:t>
      </w:r>
      <w:r>
        <w:rPr>
          <w:color w:val="231F20"/>
          <w:spacing w:val="-4"/>
        </w:rPr>
        <w:t> </w:t>
      </w:r>
      <w:r>
        <w:rPr>
          <w:color w:val="231F20"/>
        </w:rPr>
        <w:t>centro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experiencia</w:t>
      </w:r>
      <w:r>
        <w:rPr>
          <w:color w:val="231F20"/>
          <w:spacing w:val="-4"/>
        </w:rPr>
        <w:t> </w:t>
      </w:r>
      <w:r>
        <w:rPr>
          <w:color w:val="231F20"/>
        </w:rPr>
        <w:t>sigue</w:t>
      </w:r>
      <w:r>
        <w:rPr>
          <w:color w:val="231F20"/>
          <w:spacing w:val="-3"/>
        </w:rPr>
        <w:t> </w:t>
      </w:r>
      <w:r>
        <w:rPr>
          <w:color w:val="231F20"/>
        </w:rPr>
        <w:t>anclada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binomio</w:t>
      </w:r>
      <w:r>
        <w:rPr>
          <w:color w:val="231F20"/>
          <w:spacing w:val="-4"/>
        </w:rPr>
        <w:t> </w:t>
      </w:r>
      <w:r>
        <w:rPr>
          <w:color w:val="231F20"/>
        </w:rPr>
        <w:t>trabajo y no-trabajo. Sin embargo, esa experiencia de vida de las mujeres</w:t>
      </w:r>
      <w:r>
        <w:rPr>
          <w:color w:val="231F20"/>
          <w:spacing w:val="9"/>
        </w:rPr>
        <w:t> </w:t>
      </w:r>
      <w:r>
        <w:rPr>
          <w:color w:val="231F20"/>
        </w:rPr>
        <w:t>no</w:t>
      </w:r>
      <w:r>
        <w:rPr>
          <w:color w:val="231F20"/>
          <w:spacing w:val="5"/>
        </w:rPr>
        <w:t> </w:t>
      </w:r>
      <w:r>
        <w:rPr>
          <w:color w:val="231F20"/>
        </w:rPr>
        <w:t>es comprensible, ni puede interpretarse, en términos de una</w:t>
      </w:r>
      <w:r>
        <w:rPr>
          <w:color w:val="231F20"/>
          <w:spacing w:val="45"/>
        </w:rPr>
        <w:t> </w:t>
      </w:r>
      <w:r>
        <w:rPr>
          <w:color w:val="231F20"/>
        </w:rPr>
        <w:t>doble</w:t>
      </w:r>
      <w:r>
        <w:rPr>
          <w:color w:val="231F20"/>
          <w:spacing w:val="5"/>
        </w:rPr>
        <w:t> </w:t>
      </w:r>
      <w:r>
        <w:rPr>
          <w:color w:val="231F20"/>
        </w:rPr>
        <w:t>explota- ción o de las condiciones de precariedad de las familias, más</w:t>
      </w:r>
      <w:r>
        <w:rPr>
          <w:color w:val="231F20"/>
          <w:spacing w:val="48"/>
        </w:rPr>
        <w:t> </w:t>
      </w:r>
      <w:r>
        <w:rPr>
          <w:color w:val="231F20"/>
        </w:rPr>
        <w:t>bien,</w:t>
      </w:r>
      <w:r>
        <w:rPr>
          <w:color w:val="231F20"/>
          <w:spacing w:val="9"/>
        </w:rPr>
        <w:t> </w:t>
      </w:r>
      <w:r>
        <w:rPr>
          <w:color w:val="231F20"/>
        </w:rPr>
        <w:t>está posibilitada por la manera en que se reestructura la</w:t>
      </w:r>
      <w:r>
        <w:rPr>
          <w:color w:val="231F20"/>
          <w:spacing w:val="8"/>
        </w:rPr>
        <w:t> </w:t>
      </w:r>
      <w:r>
        <w:rPr>
          <w:color w:val="231F20"/>
        </w:rPr>
        <w:t>actividad económica y el mercado de trabajo, al mismo tiempo que se han</w:t>
      </w:r>
      <w:r>
        <w:rPr>
          <w:color w:val="231F20"/>
          <w:spacing w:val="28"/>
        </w:rPr>
        <w:t> </w:t>
      </w:r>
      <w:r>
        <w:rPr>
          <w:color w:val="231F20"/>
        </w:rPr>
        <w:t>ido</w:t>
      </w:r>
      <w:r>
        <w:rPr>
          <w:color w:val="231F20"/>
          <w:spacing w:val="10"/>
        </w:rPr>
        <w:t> </w:t>
      </w:r>
      <w:r>
        <w:rPr>
          <w:color w:val="231F20"/>
        </w:rPr>
        <w:t>transformado las estructuras y organización familiares, poniendo de</w:t>
      </w:r>
      <w:r>
        <w:rPr>
          <w:color w:val="231F20"/>
          <w:spacing w:val="19"/>
        </w:rPr>
        <w:t> </w:t>
      </w:r>
      <w:r>
        <w:rPr>
          <w:color w:val="231F20"/>
        </w:rPr>
        <w:t>manifiesto,</w:t>
      </w:r>
      <w:r>
        <w:rPr>
          <w:color w:val="231F20"/>
          <w:spacing w:val="24"/>
        </w:rPr>
        <w:t> </w:t>
      </w:r>
      <w:r>
        <w:rPr>
          <w:color w:val="231F20"/>
        </w:rPr>
        <w:t>con</w:t>
      </w:r>
      <w:r>
        <w:rPr>
          <w:color w:val="231F20"/>
          <w:w w:val="100"/>
        </w:rPr>
        <w:t> </w:t>
      </w:r>
      <w:r>
        <w:rPr>
          <w:color w:val="231F20"/>
        </w:rPr>
        <w:t>mayor</w:t>
      </w:r>
      <w:r>
        <w:rPr>
          <w:color w:val="231F20"/>
          <w:spacing w:val="-6"/>
        </w:rPr>
        <w:t> </w:t>
      </w:r>
      <w:r>
        <w:rPr>
          <w:color w:val="231F20"/>
        </w:rPr>
        <w:t>violencia,</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de</w:t>
      </w:r>
      <w:r>
        <w:rPr>
          <w:color w:val="231F20"/>
          <w:spacing w:val="-6"/>
        </w:rPr>
        <w:t> </w:t>
      </w:r>
      <w:r>
        <w:rPr>
          <w:color w:val="231F20"/>
        </w:rPr>
        <w:t>dominio,</w:t>
      </w:r>
      <w:r>
        <w:rPr>
          <w:color w:val="231F20"/>
          <w:spacing w:val="-6"/>
        </w:rPr>
        <w:t> </w:t>
      </w:r>
      <w:r>
        <w:rPr>
          <w:color w:val="231F20"/>
        </w:rPr>
        <w:t>de</w:t>
      </w:r>
      <w:r>
        <w:rPr>
          <w:color w:val="231F20"/>
          <w:spacing w:val="-6"/>
        </w:rPr>
        <w:t> </w:t>
      </w:r>
      <w:r>
        <w:rPr>
          <w:color w:val="231F20"/>
        </w:rPr>
        <w:t>segregación</w:t>
      </w:r>
      <w:r>
        <w:rPr>
          <w:color w:val="231F20"/>
          <w:spacing w:val="-6"/>
        </w:rPr>
        <w:t> </w:t>
      </w:r>
      <w:r>
        <w:rPr>
          <w:color w:val="231F20"/>
        </w:rPr>
        <w:t>social</w:t>
      </w:r>
      <w:r>
        <w:rPr>
          <w:color w:val="231F20"/>
          <w:spacing w:val="-6"/>
        </w:rPr>
        <w:t> </w:t>
      </w:r>
      <w:r>
        <w:rPr>
          <w:color w:val="231F20"/>
        </w:rPr>
        <w:t>de</w:t>
      </w:r>
      <w:r>
        <w:rPr>
          <w:color w:val="231F20"/>
          <w:spacing w:val="-6"/>
        </w:rPr>
        <w:t> </w:t>
      </w:r>
      <w:r>
        <w:rPr>
          <w:color w:val="231F20"/>
        </w:rPr>
        <w:t>que</w:t>
      </w:r>
      <w:r>
        <w:rPr>
          <w:color w:val="231F20"/>
          <w:w w:val="100"/>
        </w:rPr>
        <w:t> </w:t>
      </w:r>
      <w:r>
        <w:rPr>
          <w:color w:val="231F20"/>
        </w:rPr>
        <w:t>son objeto determinados sujetos sociales en</w:t>
      </w:r>
      <w:r>
        <w:rPr>
          <w:color w:val="231F20"/>
          <w:spacing w:val="38"/>
        </w:rPr>
        <w:t> </w:t>
      </w:r>
      <w:r>
        <w:rPr>
          <w:color w:val="231F20"/>
        </w:rPr>
        <w:t>marcos</w:t>
      </w:r>
      <w:r>
        <w:rPr>
          <w:color w:val="231F20"/>
          <w:spacing w:val="30"/>
        </w:rPr>
        <w:t> </w:t>
      </w:r>
      <w:r>
        <w:rPr>
          <w:color w:val="231F20"/>
        </w:rPr>
        <w:t>socioeconómicos</w:t>
      </w:r>
      <w:r>
        <w:rPr>
          <w:color w:val="231F20"/>
          <w:w w:val="100"/>
        </w:rPr>
        <w:t> </w:t>
      </w:r>
      <w:r>
        <w:rPr>
          <w:color w:val="231F20"/>
        </w:rPr>
        <w:t>desligados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directa</w:t>
      </w:r>
      <w:r>
        <w:rPr>
          <w:color w:val="231F20"/>
          <w:spacing w:val="-5"/>
        </w:rPr>
        <w:t> </w:t>
      </w:r>
      <w:r>
        <w:rPr>
          <w:color w:val="231F20"/>
        </w:rPr>
        <w:t>de</w:t>
      </w:r>
      <w:r>
        <w:rPr>
          <w:color w:val="231F20"/>
          <w:spacing w:val="-5"/>
        </w:rPr>
        <w:t> </w:t>
      </w:r>
      <w:r>
        <w:rPr>
          <w:color w:val="231F20"/>
        </w:rPr>
        <w:t>valor,</w:t>
      </w:r>
      <w:r>
        <w:rPr>
          <w:color w:val="231F20"/>
          <w:spacing w:val="-5"/>
        </w:rPr>
        <w:t> </w:t>
      </w:r>
      <w:r>
        <w:rPr>
          <w:color w:val="231F20"/>
        </w:rPr>
        <w:t>pues</w:t>
      </w:r>
      <w:r>
        <w:rPr>
          <w:color w:val="231F20"/>
          <w:spacing w:val="-5"/>
        </w:rPr>
        <w:t> </w:t>
      </w:r>
      <w:r>
        <w:rPr>
          <w:color w:val="231F20"/>
        </w:rPr>
        <w:t>se</w:t>
      </w:r>
      <w:r>
        <w:rPr>
          <w:color w:val="231F20"/>
          <w:spacing w:val="-5"/>
        </w:rPr>
        <w:t> </w:t>
      </w:r>
      <w:r>
        <w:rPr>
          <w:color w:val="231F20"/>
        </w:rPr>
        <w:t>inscriben</w:t>
      </w:r>
      <w:r>
        <w:rPr>
          <w:color w:val="231F20"/>
          <w:spacing w:val="-6"/>
        </w:rPr>
        <w:t> </w:t>
      </w:r>
      <w:r>
        <w:rPr>
          <w:color w:val="231F20"/>
        </w:rPr>
        <w:t>en</w:t>
      </w:r>
      <w:r>
        <w:rPr>
          <w:color w:val="231F20"/>
          <w:spacing w:val="-5"/>
        </w:rPr>
        <w:t> </w:t>
      </w:r>
      <w:r>
        <w:rPr>
          <w:color w:val="231F20"/>
        </w:rPr>
        <w:t>los</w:t>
      </w:r>
      <w:r>
        <w:rPr>
          <w:color w:val="231F20"/>
          <w:spacing w:val="-5"/>
        </w:rPr>
        <w:t> </w:t>
      </w:r>
      <w:r>
        <w:rPr>
          <w:color w:val="231F20"/>
        </w:rPr>
        <w:t>cir-</w:t>
      </w:r>
      <w:r>
        <w:rPr>
          <w:color w:val="231F20"/>
          <w:w w:val="100"/>
        </w:rPr>
        <w:t> </w:t>
      </w:r>
      <w:r>
        <w:rPr>
          <w:color w:val="231F20"/>
        </w:rPr>
        <w:t>cuitos de la circulación y realización del valor de las mercancías,</w:t>
      </w:r>
      <w:r>
        <w:rPr>
          <w:color w:val="231F20"/>
          <w:spacing w:val="-5"/>
        </w:rPr>
        <w:t> </w:t>
      </w:r>
      <w:r>
        <w:rPr>
          <w:color w:val="231F20"/>
        </w:rPr>
        <w:t>lo</w:t>
      </w:r>
      <w:r>
        <w:rPr>
          <w:color w:val="231F20"/>
          <w:spacing w:val="-1"/>
        </w:rPr>
        <w:t> </w:t>
      </w:r>
      <w:r>
        <w:rPr>
          <w:color w:val="231F20"/>
        </w:rPr>
        <w:t>cual</w:t>
      </w:r>
      <w:r>
        <w:rPr>
          <w:color w:val="231F20"/>
          <w:w w:val="100"/>
        </w:rPr>
        <w:t> </w:t>
      </w:r>
      <w:r>
        <w:rPr>
          <w:color w:val="231F20"/>
        </w:rPr>
        <w:t>se manifiesta en la expansión del sector de los servicios y en</w:t>
      </w:r>
      <w:r>
        <w:rPr>
          <w:color w:val="231F20"/>
          <w:spacing w:val="12"/>
        </w:rPr>
        <w:t> </w:t>
      </w:r>
      <w:r>
        <w:rPr>
          <w:color w:val="231F20"/>
        </w:rPr>
        <w:t>la</w:t>
      </w:r>
      <w:r>
        <w:rPr>
          <w:color w:val="231F20"/>
          <w:spacing w:val="5"/>
        </w:rPr>
        <w:t> </w:t>
      </w:r>
      <w:r>
        <w:rPr>
          <w:color w:val="231F20"/>
        </w:rPr>
        <w:t>llamada</w:t>
      </w:r>
      <w:r>
        <w:rPr>
          <w:color w:val="231F20"/>
          <w:w w:val="100"/>
        </w:rPr>
        <w:t> </w:t>
      </w:r>
      <w:r>
        <w:rPr>
          <w:color w:val="231F20"/>
        </w:rPr>
        <w:t>economía informal. Pues en un contexto de</w:t>
      </w:r>
      <w:r>
        <w:rPr>
          <w:color w:val="231F20"/>
          <w:spacing w:val="47"/>
        </w:rPr>
        <w:t> </w:t>
      </w:r>
      <w:r>
        <w:rPr>
          <w:color w:val="231F20"/>
        </w:rPr>
        <w:t>reestructuración</w:t>
      </w:r>
      <w:r>
        <w:rPr>
          <w:color w:val="231F20"/>
          <w:spacing w:val="21"/>
        </w:rPr>
        <w:t> </w:t>
      </w:r>
      <w:r>
        <w:rPr>
          <w:color w:val="231F20"/>
        </w:rPr>
        <w:t>económi- ca, el trabajo a tiempo parcial, trabajo a domicilio, subcontratación</w:t>
      </w:r>
      <w:r>
        <w:rPr>
          <w:color w:val="231F20"/>
          <w:spacing w:val="18"/>
        </w:rPr>
        <w:t> </w:t>
      </w:r>
      <w:r>
        <w:rPr>
          <w:color w:val="231F20"/>
        </w:rPr>
        <w:t>y</w:t>
      </w:r>
      <w:r>
        <w:rPr>
          <w:color w:val="231F20"/>
          <w:spacing w:val="6"/>
        </w:rPr>
        <w:t> </w:t>
      </w:r>
      <w:r>
        <w:rPr>
          <w:color w:val="231F20"/>
        </w:rPr>
        <w:t>la precarización en las condiciones de trabajo, aunados a las</w:t>
      </w:r>
      <w:r>
        <w:rPr>
          <w:color w:val="231F20"/>
          <w:spacing w:val="5"/>
        </w:rPr>
        <w:t> </w:t>
      </w:r>
      <w:r>
        <w:rPr>
          <w:color w:val="231F20"/>
        </w:rPr>
        <w:t>diferencias</w:t>
      </w:r>
      <w:r>
        <w:rPr>
          <w:color w:val="231F20"/>
          <w:spacing w:val="1"/>
        </w:rPr>
        <w:t> </w:t>
      </w:r>
      <w:r>
        <w:rPr>
          <w:color w:val="231F20"/>
        </w:rPr>
        <w:t>de género, muestran que este tipo de trabajos se</w:t>
      </w:r>
      <w:r>
        <w:rPr>
          <w:color w:val="231F20"/>
          <w:spacing w:val="39"/>
        </w:rPr>
        <w:t> </w:t>
      </w:r>
      <w:r>
        <w:rPr>
          <w:color w:val="231F20"/>
        </w:rPr>
        <w:t>expanden</w:t>
      </w:r>
      <w:r>
        <w:rPr>
          <w:color w:val="231F20"/>
          <w:spacing w:val="16"/>
        </w:rPr>
        <w:t> </w:t>
      </w:r>
      <w:r>
        <w:rPr>
          <w:color w:val="231F20"/>
        </w:rPr>
        <w:t>conjuntamente con el aumento de la participación de las mujeres en el</w:t>
      </w:r>
      <w:r>
        <w:rPr>
          <w:color w:val="231F20"/>
          <w:spacing w:val="-5"/>
        </w:rPr>
        <w:t> </w:t>
      </w:r>
      <w:r>
        <w:rPr>
          <w:color w:val="231F20"/>
        </w:rPr>
        <w:t>mercado</w:t>
      </w:r>
      <w:r>
        <w:rPr>
          <w:color w:val="231F20"/>
          <w:spacing w:val="-1"/>
        </w:rPr>
        <w:t> </w:t>
      </w:r>
      <w:r>
        <w:rPr>
          <w:color w:val="231F20"/>
        </w:rPr>
        <w:t>laboral. Estamos ante un trabajo de mercado que está demandando</w:t>
      </w:r>
      <w:r>
        <w:rPr>
          <w:color w:val="231F20"/>
          <w:spacing w:val="16"/>
        </w:rPr>
        <w:t> </w:t>
      </w:r>
      <w:r>
        <w:rPr>
          <w:color w:val="231F20"/>
        </w:rPr>
        <w:t>con</w:t>
      </w:r>
      <w:r>
        <w:rPr>
          <w:color w:val="231F20"/>
          <w:spacing w:val="12"/>
        </w:rPr>
        <w:t> </w:t>
      </w:r>
      <w:r>
        <w:rPr>
          <w:color w:val="231F20"/>
        </w:rPr>
        <w:t>ma- yor</w:t>
      </w:r>
      <w:r>
        <w:rPr>
          <w:color w:val="231F20"/>
          <w:spacing w:val="-9"/>
        </w:rPr>
        <w:t> </w:t>
      </w:r>
      <w:r>
        <w:rPr>
          <w:color w:val="231F20"/>
        </w:rPr>
        <w:t>intensidad</w:t>
      </w:r>
      <w:r>
        <w:rPr>
          <w:color w:val="231F20"/>
          <w:spacing w:val="-10"/>
        </w:rPr>
        <w:t> </w:t>
      </w:r>
      <w:r>
        <w:rPr>
          <w:color w:val="231F20"/>
        </w:rPr>
        <w:t>fuerza</w:t>
      </w:r>
      <w:r>
        <w:rPr>
          <w:color w:val="231F20"/>
          <w:spacing w:val="-9"/>
        </w:rPr>
        <w:t> </w:t>
      </w:r>
      <w:r>
        <w:rPr>
          <w:color w:val="231F20"/>
        </w:rPr>
        <w:t>de</w:t>
      </w:r>
      <w:r>
        <w:rPr>
          <w:color w:val="231F20"/>
          <w:spacing w:val="-9"/>
        </w:rPr>
        <w:t> </w:t>
      </w:r>
      <w:r>
        <w:rPr>
          <w:color w:val="231F20"/>
        </w:rPr>
        <w:t>trabajo</w:t>
      </w:r>
      <w:r>
        <w:rPr>
          <w:color w:val="231F20"/>
          <w:spacing w:val="-10"/>
        </w:rPr>
        <w:t> </w:t>
      </w:r>
      <w:r>
        <w:rPr>
          <w:color w:val="231F20"/>
        </w:rPr>
        <w:t>femenina.</w:t>
      </w:r>
      <w:r>
        <w:rPr>
          <w:color w:val="231F20"/>
          <w:spacing w:val="-9"/>
        </w:rPr>
        <w:t> </w:t>
      </w:r>
      <w:r>
        <w:rPr>
          <w:color w:val="231F20"/>
        </w:rPr>
        <w:t>El</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reestructuración productiva</w:t>
      </w:r>
      <w:r>
        <w:rPr>
          <w:color w:val="231F20"/>
          <w:spacing w:val="20"/>
        </w:rPr>
        <w:t> </w:t>
      </w:r>
      <w:r>
        <w:rPr>
          <w:color w:val="231F20"/>
        </w:rPr>
        <w:t>vino</w:t>
      </w:r>
      <w:r>
        <w:rPr>
          <w:color w:val="231F20"/>
          <w:spacing w:val="20"/>
        </w:rPr>
        <w:t> </w:t>
      </w:r>
      <w:r>
        <w:rPr>
          <w:color w:val="231F20"/>
        </w:rPr>
        <w:t>aparejado</w:t>
      </w:r>
      <w:r>
        <w:rPr>
          <w:color w:val="231F20"/>
          <w:spacing w:val="19"/>
        </w:rPr>
        <w:t> </w:t>
      </w:r>
      <w:r>
        <w:rPr>
          <w:color w:val="231F20"/>
        </w:rPr>
        <w:t>con</w:t>
      </w:r>
      <w:r>
        <w:rPr>
          <w:color w:val="231F20"/>
          <w:spacing w:val="20"/>
        </w:rPr>
        <w:t> </w:t>
      </w:r>
      <w:r>
        <w:rPr>
          <w:color w:val="231F20"/>
        </w:rPr>
        <w:t>un</w:t>
      </w:r>
      <w:r>
        <w:rPr>
          <w:color w:val="231F20"/>
          <w:spacing w:val="20"/>
        </w:rPr>
        <w:t> </w:t>
      </w:r>
      <w:r>
        <w:rPr>
          <w:color w:val="231F20"/>
        </w:rPr>
        <w:t>retiro</w:t>
      </w:r>
      <w:r>
        <w:rPr>
          <w:color w:val="231F20"/>
          <w:spacing w:val="20"/>
        </w:rPr>
        <w:t> </w:t>
      </w:r>
      <w:r>
        <w:rPr>
          <w:color w:val="231F20"/>
        </w:rPr>
        <w:t>del</w:t>
      </w:r>
      <w:r>
        <w:rPr>
          <w:color w:val="231F20"/>
          <w:spacing w:val="20"/>
        </w:rPr>
        <w:t> </w:t>
      </w:r>
      <w:r>
        <w:rPr>
          <w:color w:val="231F20"/>
        </w:rPr>
        <w:t>Estado</w:t>
      </w:r>
      <w:r>
        <w:rPr>
          <w:color w:val="231F20"/>
          <w:spacing w:val="19"/>
        </w:rPr>
        <w:t> </w:t>
      </w:r>
      <w:r>
        <w:rPr>
          <w:color w:val="231F20"/>
        </w:rPr>
        <w:t>de</w:t>
      </w:r>
      <w:r>
        <w:rPr>
          <w:color w:val="231F20"/>
          <w:spacing w:val="20"/>
        </w:rPr>
        <w:t> </w:t>
      </w:r>
      <w:r>
        <w:rPr>
          <w:color w:val="231F20"/>
        </w:rPr>
        <w:t>las</w:t>
      </w:r>
      <w:r>
        <w:rPr>
          <w:color w:val="231F20"/>
          <w:spacing w:val="20"/>
        </w:rPr>
        <w:t> </w:t>
      </w:r>
      <w:r>
        <w:rPr>
          <w:color w:val="231F20"/>
        </w:rPr>
        <w:t>áreas</w:t>
      </w:r>
      <w:r>
        <w:rPr>
          <w:color w:val="231F20"/>
          <w:spacing w:val="20"/>
        </w:rPr>
        <w:t> </w:t>
      </w:r>
      <w:r>
        <w:rPr>
          <w:color w:val="231F20"/>
        </w:rPr>
        <w:t>socia- les; en el esquema de las políticas de ajuste, algunos resultados</w:t>
      </w:r>
      <w:r>
        <w:rPr>
          <w:color w:val="231F20"/>
          <w:spacing w:val="15"/>
        </w:rPr>
        <w:t> </w:t>
      </w:r>
      <w:r>
        <w:rPr>
          <w:color w:val="231F20"/>
        </w:rPr>
        <w:t>bajo</w:t>
      </w:r>
      <w:r>
        <w:rPr>
          <w:color w:val="231F20"/>
          <w:spacing w:val="5"/>
        </w:rPr>
        <w:t> </w:t>
      </w:r>
      <w:r>
        <w:rPr>
          <w:color w:val="231F20"/>
        </w:rPr>
        <w:t>las nuevas condiciones han sido por un lado, la reducción del</w:t>
      </w:r>
      <w:r>
        <w:rPr>
          <w:color w:val="231F20"/>
          <w:spacing w:val="42"/>
        </w:rPr>
        <w:t> </w:t>
      </w:r>
      <w:r>
        <w:rPr>
          <w:color w:val="231F20"/>
        </w:rPr>
        <w:t>gasto</w:t>
      </w:r>
      <w:r>
        <w:rPr>
          <w:color w:val="231F20"/>
          <w:spacing w:val="14"/>
        </w:rPr>
        <w:t> </w:t>
      </w:r>
      <w:r>
        <w:rPr>
          <w:color w:val="231F20"/>
        </w:rPr>
        <w:t>social</w:t>
      </w:r>
      <w:r>
        <w:rPr>
          <w:color w:val="231F20"/>
          <w:spacing w:val="-1"/>
        </w:rPr>
        <w:t> </w:t>
      </w:r>
      <w:r>
        <w:rPr>
          <w:color w:val="231F20"/>
        </w:rPr>
        <w:t>particularmente</w:t>
      </w:r>
      <w:r>
        <w:rPr>
          <w:color w:val="231F20"/>
          <w:spacing w:val="-10"/>
        </w:rPr>
        <w:t> </w:t>
      </w:r>
      <w:r>
        <w:rPr>
          <w:color w:val="231F20"/>
        </w:rPr>
        <w:t>en</w:t>
      </w:r>
      <w:r>
        <w:rPr>
          <w:color w:val="231F20"/>
          <w:spacing w:val="-10"/>
        </w:rPr>
        <w:t> </w:t>
      </w:r>
      <w:r>
        <w:rPr>
          <w:color w:val="231F20"/>
        </w:rPr>
        <w:t>materia</w:t>
      </w:r>
      <w:r>
        <w:rPr>
          <w:color w:val="231F20"/>
          <w:spacing w:val="-10"/>
        </w:rPr>
        <w:t> </w:t>
      </w:r>
      <w:r>
        <w:rPr>
          <w:color w:val="231F20"/>
        </w:rPr>
        <w:t>educativa</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servicios</w:t>
      </w:r>
      <w:r>
        <w:rPr>
          <w:color w:val="231F20"/>
          <w:spacing w:val="-9"/>
        </w:rPr>
        <w:t> </w:t>
      </w:r>
      <w:r>
        <w:rPr>
          <w:color w:val="231F20"/>
        </w:rPr>
        <w:t>de</w:t>
      </w:r>
      <w:r>
        <w:rPr>
          <w:color w:val="231F20"/>
          <w:spacing w:val="-10"/>
        </w:rPr>
        <w:t> </w:t>
      </w:r>
      <w:r>
        <w:rPr>
          <w:color w:val="231F20"/>
        </w:rPr>
        <w:t>salud,</w:t>
      </w:r>
      <w:r>
        <w:rPr>
          <w:color w:val="231F20"/>
          <w:spacing w:val="-10"/>
        </w:rPr>
        <w:t> </w:t>
      </w:r>
      <w:r>
        <w:rPr>
          <w:color w:val="231F20"/>
        </w:rPr>
        <w:t>caída</w:t>
      </w:r>
      <w:r>
        <w:rPr>
          <w:color w:val="231F20"/>
          <w:spacing w:val="-10"/>
        </w:rPr>
        <w:t> </w:t>
      </w:r>
      <w:r>
        <w:rPr>
          <w:color w:val="231F20"/>
        </w:rPr>
        <w:t>de</w:t>
      </w:r>
      <w:r>
        <w:rPr>
          <w:color w:val="231F20"/>
          <w:spacing w:val="-10"/>
        </w:rPr>
        <w:t> </w:t>
      </w:r>
      <w:r>
        <w:rPr>
          <w:color w:val="231F20"/>
        </w:rPr>
        <w:t>los salarios reales, empobrecimiento de amplios sectores de la</w:t>
      </w:r>
      <w:r>
        <w:rPr>
          <w:color w:val="231F20"/>
          <w:spacing w:val="5"/>
        </w:rPr>
        <w:t> </w:t>
      </w:r>
      <w:r>
        <w:rPr>
          <w:color w:val="231F20"/>
        </w:rPr>
        <w:t>población, al mismo tiempo que precarización de las condiciones de trabajo,</w:t>
      </w:r>
      <w:r>
        <w:rPr>
          <w:color w:val="231F20"/>
          <w:spacing w:val="41"/>
        </w:rPr>
        <w:t> </w:t>
      </w:r>
      <w:r>
        <w:rPr>
          <w:color w:val="231F20"/>
        </w:rPr>
        <w:t>por</w:t>
      </w:r>
      <w:r>
        <w:rPr>
          <w:color w:val="231F20"/>
          <w:spacing w:val="4"/>
        </w:rPr>
        <w:t> </w:t>
      </w:r>
      <w:r>
        <w:rPr>
          <w:color w:val="231F20"/>
        </w:rPr>
        <w:t>sólo</w:t>
      </w:r>
      <w:r>
        <w:rPr>
          <w:color w:val="231F20"/>
          <w:spacing w:val="-1"/>
        </w:rPr>
        <w:t> </w:t>
      </w:r>
      <w:r>
        <w:rPr>
          <w:color w:val="231F20"/>
        </w:rPr>
        <w:t>mencionar unos cuantos. En ese contexto, la creciente incorporación </w:t>
      </w:r>
      <w:r>
        <w:rPr>
          <w:color w:val="231F20"/>
          <w:spacing w:val="11"/>
        </w:rPr>
        <w:t> </w:t>
      </w:r>
      <w:r>
        <w:rPr>
          <w:color w:val="231F20"/>
        </w:rPr>
        <w:t>de</w:t>
      </w:r>
    </w:p>
    <w:p>
      <w:pPr>
        <w:spacing w:after="0" w:line="249" w:lineRule="auto"/>
        <w:jc w:val="right"/>
        <w:sectPr>
          <w:footerReference w:type="default" r:id="rId247"/>
          <w:pgSz w:w="7770" w:h="11740"/>
          <w:pgMar w:footer="474" w:header="0" w:top="840" w:bottom="660" w:left="1020" w:right="740"/>
          <w:pgNumType w:start="211"/>
        </w:sectPr>
      </w:pPr>
    </w:p>
    <w:p>
      <w:pPr>
        <w:pStyle w:val="BodyText"/>
        <w:spacing w:line="249" w:lineRule="auto" w:before="60"/>
        <w:ind w:left="110" w:right="111"/>
        <w:jc w:val="both"/>
      </w:pPr>
      <w:r>
        <w:rPr>
          <w:color w:val="231F20"/>
        </w:rPr>
        <w:t>las</w:t>
      </w:r>
      <w:r>
        <w:rPr>
          <w:color w:val="231F20"/>
          <w:spacing w:val="-9"/>
        </w:rPr>
        <w:t> </w:t>
      </w:r>
      <w:r>
        <w:rPr>
          <w:color w:val="231F20"/>
        </w:rPr>
        <w:t>mujeres</w:t>
      </w:r>
      <w:r>
        <w:rPr>
          <w:color w:val="231F20"/>
          <w:spacing w:val="-9"/>
        </w:rPr>
        <w:t> </w:t>
      </w:r>
      <w:r>
        <w:rPr>
          <w:color w:val="231F20"/>
        </w:rPr>
        <w:t>al</w:t>
      </w:r>
      <w:r>
        <w:rPr>
          <w:color w:val="231F20"/>
          <w:spacing w:val="-9"/>
        </w:rPr>
        <w:t> </w:t>
      </w:r>
      <w:r>
        <w:rPr>
          <w:color w:val="231F20"/>
        </w:rPr>
        <w:t>trabajo</w:t>
      </w:r>
      <w:r>
        <w:rPr>
          <w:color w:val="231F20"/>
          <w:spacing w:val="-9"/>
        </w:rPr>
        <w:t> </w:t>
      </w:r>
      <w:r>
        <w:rPr>
          <w:color w:val="231F20"/>
        </w:rPr>
        <w:t>de</w:t>
      </w:r>
      <w:r>
        <w:rPr>
          <w:color w:val="231F20"/>
          <w:spacing w:val="-9"/>
        </w:rPr>
        <w:t> </w:t>
      </w:r>
      <w:r>
        <w:rPr>
          <w:color w:val="231F20"/>
        </w:rPr>
        <w:t>mercado</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trabajo</w:t>
      </w:r>
      <w:r>
        <w:rPr>
          <w:color w:val="231F20"/>
          <w:spacing w:val="-9"/>
        </w:rPr>
        <w:t> </w:t>
      </w:r>
      <w:r>
        <w:rPr>
          <w:color w:val="231F20"/>
        </w:rPr>
        <w:t>doméstico</w:t>
      </w:r>
      <w:r>
        <w:rPr>
          <w:color w:val="231F20"/>
          <w:spacing w:val="-9"/>
        </w:rPr>
        <w:t> </w:t>
      </w:r>
      <w:r>
        <w:rPr>
          <w:color w:val="231F20"/>
        </w:rPr>
        <w:t>no</w:t>
      </w:r>
      <w:r>
        <w:rPr>
          <w:color w:val="231F20"/>
          <w:spacing w:val="-9"/>
        </w:rPr>
        <w:t> </w:t>
      </w:r>
      <w:r>
        <w:rPr>
          <w:color w:val="231F20"/>
        </w:rPr>
        <w:t>pagado</w:t>
      </w:r>
      <w:r>
        <w:rPr>
          <w:color w:val="231F20"/>
          <w:spacing w:val="-9"/>
        </w:rPr>
        <w:t> </w:t>
      </w:r>
      <w:r>
        <w:rPr>
          <w:color w:val="231F20"/>
        </w:rPr>
        <w:t>de</w:t>
      </w:r>
      <w:r>
        <w:rPr>
          <w:color w:val="231F20"/>
          <w:spacing w:val="-9"/>
        </w:rPr>
        <w:t> </w:t>
      </w:r>
      <w:r>
        <w:rPr>
          <w:color w:val="231F20"/>
        </w:rPr>
        <w:t>las mujeres continúan siendo parte sustancial de las estrategias de los hoga- res para su reproducción, especialmente de los sectores populares. Pero no</w:t>
      </w:r>
      <w:r>
        <w:rPr>
          <w:color w:val="231F20"/>
          <w:spacing w:val="-5"/>
        </w:rPr>
        <w:t> </w:t>
      </w:r>
      <w:r>
        <w:rPr>
          <w:color w:val="231F20"/>
        </w:rPr>
        <w:t>sólo</w:t>
      </w:r>
      <w:r>
        <w:rPr>
          <w:color w:val="231F20"/>
          <w:spacing w:val="-5"/>
        </w:rPr>
        <w:t> </w:t>
      </w:r>
      <w:r>
        <w:rPr>
          <w:color w:val="231F20"/>
        </w:rPr>
        <w:t>de</w:t>
      </w:r>
      <w:r>
        <w:rPr>
          <w:color w:val="231F20"/>
          <w:spacing w:val="-5"/>
        </w:rPr>
        <w:t> </w:t>
      </w:r>
      <w:r>
        <w:rPr>
          <w:color w:val="231F20"/>
        </w:rPr>
        <w:t>éstos,</w:t>
      </w:r>
      <w:r>
        <w:rPr>
          <w:color w:val="231F20"/>
          <w:spacing w:val="-5"/>
        </w:rPr>
        <w:t> </w:t>
      </w:r>
      <w:r>
        <w:rPr>
          <w:color w:val="231F20"/>
        </w:rPr>
        <w:t>hemos</w:t>
      </w:r>
      <w:r>
        <w:rPr>
          <w:color w:val="231F20"/>
          <w:spacing w:val="-5"/>
        </w:rPr>
        <w:t> </w:t>
      </w:r>
      <w:r>
        <w:rPr>
          <w:color w:val="231F20"/>
        </w:rPr>
        <w:t>hablado</w:t>
      </w:r>
      <w:r>
        <w:rPr>
          <w:color w:val="231F20"/>
          <w:spacing w:val="-5"/>
        </w:rPr>
        <w:t> </w:t>
      </w:r>
      <w:r>
        <w:rPr>
          <w:color w:val="231F20"/>
        </w:rPr>
        <w:t>antes</w:t>
      </w:r>
      <w:r>
        <w:rPr>
          <w:color w:val="231F20"/>
          <w:spacing w:val="-5"/>
        </w:rPr>
        <w:t> </w:t>
      </w:r>
      <w:r>
        <w:rPr>
          <w:color w:val="231F20"/>
        </w:rPr>
        <w:t>de</w:t>
      </w:r>
      <w:r>
        <w:rPr>
          <w:color w:val="231F20"/>
          <w:spacing w:val="-5"/>
        </w:rPr>
        <w:t> </w:t>
      </w:r>
      <w:r>
        <w:rPr>
          <w:color w:val="231F20"/>
        </w:rPr>
        <w:t>cómo</w:t>
      </w:r>
      <w:r>
        <w:rPr>
          <w:color w:val="231F20"/>
          <w:spacing w:val="-5"/>
        </w:rPr>
        <w:t> </w:t>
      </w:r>
      <w:r>
        <w:rPr>
          <w:color w:val="231F20"/>
        </w:rPr>
        <w:t>el</w:t>
      </w:r>
      <w:r>
        <w:rPr>
          <w:color w:val="231F20"/>
          <w:spacing w:val="-5"/>
        </w:rPr>
        <w:t> </w:t>
      </w:r>
      <w:r>
        <w:rPr>
          <w:color w:val="231F20"/>
        </w:rPr>
        <w:t>trabajo</w:t>
      </w:r>
      <w:r>
        <w:rPr>
          <w:color w:val="231F20"/>
          <w:spacing w:val="-6"/>
        </w:rPr>
        <w:t> </w:t>
      </w:r>
      <w:r>
        <w:rPr>
          <w:color w:val="231F20"/>
        </w:rPr>
        <w:t>no</w:t>
      </w:r>
      <w:r>
        <w:rPr>
          <w:color w:val="231F20"/>
          <w:spacing w:val="-5"/>
        </w:rPr>
        <w:t> </w:t>
      </w:r>
      <w:r>
        <w:rPr>
          <w:color w:val="231F20"/>
        </w:rPr>
        <w:t>remunerado de</w:t>
      </w:r>
      <w:r>
        <w:rPr>
          <w:color w:val="231F20"/>
          <w:spacing w:val="-4"/>
        </w:rPr>
        <w:t> </w:t>
      </w:r>
      <w:r>
        <w:rPr>
          <w:color w:val="231F20"/>
        </w:rPr>
        <w:t>las</w:t>
      </w:r>
      <w:r>
        <w:rPr>
          <w:color w:val="231F20"/>
          <w:spacing w:val="-4"/>
        </w:rPr>
        <w:t> </w:t>
      </w:r>
      <w:r>
        <w:rPr>
          <w:color w:val="231F20"/>
        </w:rPr>
        <w:t>mujeres</w:t>
      </w:r>
      <w:r>
        <w:rPr>
          <w:color w:val="231F20"/>
          <w:spacing w:val="-4"/>
        </w:rPr>
        <w:t> </w:t>
      </w:r>
      <w:r>
        <w:rPr>
          <w:color w:val="231F20"/>
        </w:rPr>
        <w:t>tiene</w:t>
      </w:r>
      <w:r>
        <w:rPr>
          <w:color w:val="231F20"/>
          <w:spacing w:val="-4"/>
        </w:rPr>
        <w:t> </w:t>
      </w:r>
      <w:r>
        <w:rPr>
          <w:color w:val="231F20"/>
        </w:rPr>
        <w:t>una</w:t>
      </w:r>
      <w:r>
        <w:rPr>
          <w:color w:val="231F20"/>
          <w:spacing w:val="-4"/>
        </w:rPr>
        <w:t> </w:t>
      </w:r>
      <w:r>
        <w:rPr>
          <w:color w:val="231F20"/>
        </w:rPr>
        <w:t>importancia</w:t>
      </w:r>
      <w:r>
        <w:rPr>
          <w:color w:val="231F20"/>
          <w:spacing w:val="-5"/>
        </w:rPr>
        <w:t> </w:t>
      </w:r>
      <w:r>
        <w:rPr>
          <w:color w:val="231F20"/>
        </w:rPr>
        <w:t>vital</w:t>
      </w:r>
      <w:r>
        <w:rPr>
          <w:color w:val="231F20"/>
          <w:spacing w:val="-4"/>
        </w:rPr>
        <w:t> </w:t>
      </w:r>
      <w:r>
        <w:rPr>
          <w:color w:val="231F20"/>
        </w:rPr>
        <w:t>y</w:t>
      </w:r>
      <w:r>
        <w:rPr>
          <w:color w:val="231F20"/>
          <w:spacing w:val="-4"/>
        </w:rPr>
        <w:t> </w:t>
      </w:r>
      <w:r>
        <w:rPr>
          <w:color w:val="231F20"/>
        </w:rPr>
        <w:t>estratégica</w:t>
      </w:r>
      <w:r>
        <w:rPr>
          <w:color w:val="231F20"/>
          <w:spacing w:val="-4"/>
        </w:rPr>
        <w:t> </w:t>
      </w:r>
      <w:r>
        <w:rPr>
          <w:color w:val="231F20"/>
        </w:rPr>
        <w:t>para</w:t>
      </w:r>
      <w:r>
        <w:rPr>
          <w:color w:val="231F20"/>
          <w:spacing w:val="-4"/>
        </w:rPr>
        <w:t> </w:t>
      </w:r>
      <w:r>
        <w:rPr>
          <w:color w:val="231F20"/>
        </w:rPr>
        <w:t>sus</w:t>
      </w:r>
      <w:r>
        <w:rPr>
          <w:color w:val="231F20"/>
          <w:spacing w:val="-4"/>
        </w:rPr>
        <w:t> </w:t>
      </w:r>
      <w:r>
        <w:rPr>
          <w:color w:val="231F20"/>
        </w:rPr>
        <w:t>hogares, pero</w:t>
      </w:r>
      <w:r>
        <w:rPr>
          <w:color w:val="231F20"/>
          <w:spacing w:val="-10"/>
        </w:rPr>
        <w:t> </w:t>
      </w:r>
      <w:r>
        <w:rPr>
          <w:color w:val="231F20"/>
        </w:rPr>
        <w:t>también</w:t>
      </w:r>
      <w:r>
        <w:rPr>
          <w:color w:val="231F20"/>
          <w:spacing w:val="-10"/>
        </w:rPr>
        <w:t> </w:t>
      </w:r>
      <w:r>
        <w:rPr>
          <w:color w:val="231F20"/>
        </w:rPr>
        <w:t>durante</w:t>
      </w:r>
      <w:r>
        <w:rPr>
          <w:color w:val="231F20"/>
          <w:spacing w:val="-10"/>
        </w:rPr>
        <w:t> </w:t>
      </w:r>
      <w:r>
        <w:rPr>
          <w:color w:val="231F20"/>
        </w:rPr>
        <w:t>décadas</w:t>
      </w:r>
      <w:r>
        <w:rPr>
          <w:color w:val="231F20"/>
          <w:spacing w:val="-10"/>
        </w:rPr>
        <w:t> </w:t>
      </w:r>
      <w:r>
        <w:rPr>
          <w:color w:val="231F20"/>
        </w:rPr>
        <w:t>los</w:t>
      </w:r>
      <w:r>
        <w:rPr>
          <w:color w:val="231F20"/>
          <w:spacing w:val="-10"/>
        </w:rPr>
        <w:t> </w:t>
      </w:r>
      <w:r>
        <w:rPr>
          <w:color w:val="231F20"/>
        </w:rPr>
        <w:t>trabajos</w:t>
      </w:r>
      <w:r>
        <w:rPr>
          <w:color w:val="231F20"/>
          <w:spacing w:val="-10"/>
        </w:rPr>
        <w:t> </w:t>
      </w:r>
      <w:r>
        <w:rPr>
          <w:color w:val="231F20"/>
        </w:rPr>
        <w:t>(productivo</w:t>
      </w:r>
      <w:r>
        <w:rPr>
          <w:color w:val="231F20"/>
          <w:spacing w:val="-10"/>
        </w:rPr>
        <w:t> </w:t>
      </w:r>
      <w:r>
        <w:rPr>
          <w:color w:val="231F20"/>
        </w:rPr>
        <w:t>y</w:t>
      </w:r>
      <w:r>
        <w:rPr>
          <w:color w:val="231F20"/>
          <w:spacing w:val="-10"/>
        </w:rPr>
        <w:t> </w:t>
      </w:r>
      <w:r>
        <w:rPr>
          <w:color w:val="231F20"/>
        </w:rPr>
        <w:t>reproductivo)</w:t>
      </w:r>
      <w:r>
        <w:rPr>
          <w:color w:val="231F20"/>
          <w:spacing w:val="-10"/>
        </w:rPr>
        <w:t> </w:t>
      </w:r>
      <w:r>
        <w:rPr>
          <w:color w:val="231F20"/>
        </w:rPr>
        <w:t>de las mujeres han sido funcionales a los gobiernos en cuanto contribuyen a</w:t>
      </w:r>
      <w:r>
        <w:rPr>
          <w:color w:val="231F20"/>
          <w:spacing w:val="-4"/>
        </w:rPr>
        <w:t> </w:t>
      </w:r>
      <w:r>
        <w:rPr>
          <w:color w:val="231F20"/>
        </w:rPr>
        <w:t>ocultar</w:t>
      </w:r>
      <w:r>
        <w:rPr>
          <w:color w:val="231F20"/>
          <w:spacing w:val="-4"/>
        </w:rPr>
        <w:t> </w:t>
      </w:r>
      <w:r>
        <w:rPr>
          <w:color w:val="231F20"/>
        </w:rPr>
        <w:t>las</w:t>
      </w:r>
      <w:r>
        <w:rPr>
          <w:color w:val="231F20"/>
          <w:spacing w:val="-4"/>
        </w:rPr>
        <w:t> </w:t>
      </w:r>
      <w:r>
        <w:rPr>
          <w:color w:val="231F20"/>
        </w:rPr>
        <w:t>diversas</w:t>
      </w:r>
      <w:r>
        <w:rPr>
          <w:color w:val="231F20"/>
          <w:spacing w:val="-4"/>
        </w:rPr>
        <w:t> </w:t>
      </w:r>
      <w:r>
        <w:rPr>
          <w:color w:val="231F20"/>
        </w:rPr>
        <w:t>omisiones</w:t>
      </w:r>
      <w:r>
        <w:rPr>
          <w:color w:val="231F20"/>
          <w:spacing w:val="-4"/>
        </w:rPr>
        <w:t> </w:t>
      </w:r>
      <w:r>
        <w:rPr>
          <w:color w:val="231F20"/>
        </w:rPr>
        <w:t>e</w:t>
      </w:r>
      <w:r>
        <w:rPr>
          <w:color w:val="231F20"/>
          <w:spacing w:val="-4"/>
        </w:rPr>
        <w:t> </w:t>
      </w:r>
      <w:r>
        <w:rPr>
          <w:color w:val="231F20"/>
        </w:rPr>
        <w:t>ineficiencias</w:t>
      </w:r>
      <w:r>
        <w:rPr>
          <w:color w:val="231F20"/>
          <w:spacing w:val="-4"/>
        </w:rPr>
        <w:t> </w:t>
      </w:r>
      <w:r>
        <w:rPr>
          <w:color w:val="231F20"/>
        </w:rPr>
        <w:t>de</w:t>
      </w:r>
      <w:r>
        <w:rPr>
          <w:color w:val="231F20"/>
          <w:spacing w:val="-4"/>
        </w:rPr>
        <w:t> </w:t>
      </w:r>
      <w:r>
        <w:rPr>
          <w:color w:val="231F20"/>
        </w:rPr>
        <w:t>atención</w:t>
      </w:r>
      <w:r>
        <w:rPr>
          <w:color w:val="231F20"/>
          <w:spacing w:val="-4"/>
        </w:rPr>
        <w:t> </w:t>
      </w:r>
      <w:r>
        <w:rPr>
          <w:color w:val="231F20"/>
        </w:rPr>
        <w:t>en</w:t>
      </w:r>
      <w:r>
        <w:rPr>
          <w:color w:val="231F20"/>
          <w:spacing w:val="-4"/>
        </w:rPr>
        <w:t> </w:t>
      </w:r>
      <w:r>
        <w:rPr>
          <w:color w:val="231F20"/>
        </w:rPr>
        <w:t>materia</w:t>
      </w:r>
      <w:r>
        <w:rPr>
          <w:color w:val="231F20"/>
          <w:spacing w:val="-4"/>
        </w:rPr>
        <w:t> </w:t>
      </w:r>
      <w:r>
        <w:rPr>
          <w:color w:val="231F20"/>
        </w:rPr>
        <w:t>de servicios de cuidados a la</w:t>
      </w:r>
      <w:r>
        <w:rPr>
          <w:color w:val="231F20"/>
          <w:spacing w:val="-9"/>
        </w:rPr>
        <w:t> </w:t>
      </w:r>
      <w:r>
        <w:rPr>
          <w:color w:val="231F20"/>
        </w:rPr>
        <w:t>población.</w:t>
      </w:r>
    </w:p>
    <w:p>
      <w:pPr>
        <w:pStyle w:val="BodyText"/>
        <w:spacing w:line="249" w:lineRule="auto" w:before="114"/>
        <w:ind w:left="393" w:right="111"/>
        <w:jc w:val="both"/>
      </w:pPr>
      <w:r>
        <w:rPr>
          <w:color w:val="231F20"/>
        </w:rPr>
        <w:t>Así como en respuesta a la desestructuración del sector moderno, la informalización de la economía se constituyó en el mecanismo de supervivencia del mercado, la extensión del trabajo doméstico no re- munerado</w:t>
      </w:r>
      <w:r>
        <w:rPr>
          <w:color w:val="231F20"/>
          <w:spacing w:val="-7"/>
        </w:rPr>
        <w:t> </w:t>
      </w:r>
      <w:r>
        <w:rPr>
          <w:color w:val="231F20"/>
        </w:rPr>
        <w:t>se</w:t>
      </w:r>
      <w:r>
        <w:rPr>
          <w:color w:val="231F20"/>
          <w:spacing w:val="-7"/>
        </w:rPr>
        <w:t> </w:t>
      </w:r>
      <w:r>
        <w:rPr>
          <w:color w:val="231F20"/>
        </w:rPr>
        <w:t>convirtió</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instrumento</w:t>
      </w:r>
      <w:r>
        <w:rPr>
          <w:color w:val="231F20"/>
          <w:spacing w:val="-8"/>
        </w:rPr>
        <w:t> </w:t>
      </w:r>
      <w:r>
        <w:rPr>
          <w:color w:val="231F20"/>
        </w:rPr>
        <w:t>interno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unidad</w:t>
      </w:r>
      <w:r>
        <w:rPr>
          <w:color w:val="231F20"/>
          <w:spacing w:val="-7"/>
        </w:rPr>
        <w:t> </w:t>
      </w:r>
      <w:r>
        <w:rPr>
          <w:color w:val="231F20"/>
        </w:rPr>
        <w:t>familiar […] que permitió compensar la caída de los ingresos en el primero (Kritz, 1984: 61).</w:t>
      </w:r>
    </w:p>
    <w:p>
      <w:pPr>
        <w:pStyle w:val="BodyText"/>
        <w:spacing w:line="249" w:lineRule="auto" w:before="114"/>
        <w:ind w:left="110" w:right="111" w:firstLine="283"/>
        <w:jc w:val="both"/>
      </w:pPr>
      <w:r>
        <w:rPr>
          <w:color w:val="231F20"/>
        </w:rPr>
        <w:t>La profunda reestructuración productiva generada con el proceso de globalización</w:t>
      </w:r>
      <w:r>
        <w:rPr>
          <w:color w:val="231F20"/>
          <w:spacing w:val="-7"/>
        </w:rPr>
        <w:t> </w:t>
      </w:r>
      <w:r>
        <w:rPr>
          <w:color w:val="231F20"/>
        </w:rPr>
        <w:t>económica</w:t>
      </w:r>
      <w:r>
        <w:rPr>
          <w:color w:val="231F20"/>
          <w:spacing w:val="-8"/>
        </w:rPr>
        <w:t> </w:t>
      </w:r>
      <w:r>
        <w:rPr>
          <w:color w:val="231F20"/>
        </w:rPr>
        <w:t>no</w:t>
      </w:r>
      <w:r>
        <w:rPr>
          <w:color w:val="231F20"/>
          <w:spacing w:val="-7"/>
        </w:rPr>
        <w:t> </w:t>
      </w:r>
      <w:r>
        <w:rPr>
          <w:color w:val="231F20"/>
        </w:rPr>
        <w:t>implica</w:t>
      </w:r>
      <w:r>
        <w:rPr>
          <w:color w:val="231F20"/>
          <w:spacing w:val="-8"/>
        </w:rPr>
        <w:t> </w:t>
      </w:r>
      <w:r>
        <w:rPr>
          <w:color w:val="231F20"/>
        </w:rPr>
        <w:t>solamente</w:t>
      </w:r>
      <w:r>
        <w:rPr>
          <w:color w:val="231F20"/>
          <w:spacing w:val="-7"/>
        </w:rPr>
        <w:t> </w:t>
      </w:r>
      <w:r>
        <w:rPr>
          <w:color w:val="231F20"/>
        </w:rPr>
        <w:t>a</w:t>
      </w:r>
      <w:r>
        <w:rPr>
          <w:color w:val="231F20"/>
          <w:spacing w:val="-7"/>
        </w:rPr>
        <w:t> </w:t>
      </w:r>
      <w:r>
        <w:rPr>
          <w:color w:val="231F20"/>
        </w:rPr>
        <w:t>los</w:t>
      </w:r>
      <w:r>
        <w:rPr>
          <w:color w:val="231F20"/>
          <w:spacing w:val="-8"/>
        </w:rPr>
        <w:t> </w:t>
      </w:r>
      <w:r>
        <w:rPr>
          <w:color w:val="231F20"/>
        </w:rPr>
        <w:t>mercados</w:t>
      </w:r>
      <w:r>
        <w:rPr>
          <w:color w:val="231F20"/>
          <w:spacing w:val="-8"/>
        </w:rPr>
        <w:t> </w:t>
      </w:r>
      <w:r>
        <w:rPr>
          <w:color w:val="231F20"/>
        </w:rPr>
        <w:t>de</w:t>
      </w:r>
      <w:r>
        <w:rPr>
          <w:color w:val="231F20"/>
          <w:spacing w:val="-7"/>
        </w:rPr>
        <w:t> </w:t>
      </w:r>
      <w:r>
        <w:rPr>
          <w:color w:val="231F20"/>
        </w:rPr>
        <w:t>trabajo “formales” correspondientes a la esfera pública sino a la globalización del trabajo de reproducción social y biológica, tradicionalmente adju- dicado a las mujeres en la esfera doméstica. En el marco de la división internacional del trabajo, la fuerza laboral transnacional se estructura jerárquicamente, trabajadores y trabajadoras migrantes se insertan prio- ritariamente en ciertos nichos laborales, destacando las ocupaciones</w:t>
      </w:r>
      <w:r>
        <w:rPr>
          <w:color w:val="231F20"/>
          <w:spacing w:val="-17"/>
        </w:rPr>
        <w:t> </w:t>
      </w:r>
      <w:r>
        <w:rPr>
          <w:color w:val="231F20"/>
        </w:rPr>
        <w:t>ma- nuales, en general los y las migrantes se ocupan en trabajos con bajos salarios, precarizados y desprotegidos, pero con frecuencia las mujeres más</w:t>
      </w:r>
      <w:r>
        <w:rPr>
          <w:color w:val="231F20"/>
          <w:spacing w:val="-8"/>
        </w:rPr>
        <w:t> </w:t>
      </w:r>
      <w:r>
        <w:rPr>
          <w:color w:val="231F20"/>
        </w:rPr>
        <w:t>pobres</w:t>
      </w:r>
      <w:r>
        <w:rPr>
          <w:color w:val="231F20"/>
          <w:spacing w:val="-7"/>
        </w:rPr>
        <w:t> </w:t>
      </w:r>
      <w:r>
        <w:rPr>
          <w:color w:val="231F20"/>
        </w:rPr>
        <w:t>se</w:t>
      </w:r>
      <w:r>
        <w:rPr>
          <w:color w:val="231F20"/>
          <w:spacing w:val="-7"/>
        </w:rPr>
        <w:t> </w:t>
      </w:r>
      <w:r>
        <w:rPr>
          <w:color w:val="231F20"/>
        </w:rPr>
        <w:t>ocupan</w:t>
      </w:r>
      <w:r>
        <w:rPr>
          <w:color w:val="231F20"/>
          <w:spacing w:val="-7"/>
        </w:rPr>
        <w:t> </w:t>
      </w:r>
      <w:r>
        <w:rPr>
          <w:color w:val="231F20"/>
        </w:rPr>
        <w:t>de</w:t>
      </w:r>
      <w:r>
        <w:rPr>
          <w:color w:val="231F20"/>
          <w:spacing w:val="-7"/>
        </w:rPr>
        <w:t> </w:t>
      </w:r>
      <w:r>
        <w:rPr>
          <w:color w:val="231F20"/>
        </w:rPr>
        <w:t>realizar</w:t>
      </w:r>
      <w:r>
        <w:rPr>
          <w:color w:val="231F20"/>
          <w:spacing w:val="-7"/>
        </w:rPr>
        <w:t> </w:t>
      </w:r>
      <w:r>
        <w:rPr>
          <w:color w:val="231F20"/>
        </w:rPr>
        <w:t>el</w:t>
      </w:r>
      <w:r>
        <w:rPr>
          <w:color w:val="231F20"/>
          <w:spacing w:val="-7"/>
        </w:rPr>
        <w:t> </w:t>
      </w:r>
      <w:r>
        <w:rPr>
          <w:color w:val="231F20"/>
        </w:rPr>
        <w:t>trabajo</w:t>
      </w:r>
      <w:r>
        <w:rPr>
          <w:color w:val="231F20"/>
          <w:spacing w:val="-8"/>
        </w:rPr>
        <w:t> </w:t>
      </w:r>
      <w:r>
        <w:rPr>
          <w:color w:val="231F20"/>
        </w:rPr>
        <w:t>doméstico</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cuidado</w:t>
      </w:r>
      <w:r>
        <w:rPr>
          <w:color w:val="231F20"/>
          <w:spacing w:val="-7"/>
        </w:rPr>
        <w:t> </w:t>
      </w:r>
      <w:r>
        <w:rPr>
          <w:color w:val="231F20"/>
        </w:rPr>
        <w:t>de</w:t>
      </w:r>
      <w:r>
        <w:rPr>
          <w:color w:val="231F20"/>
          <w:spacing w:val="-7"/>
        </w:rPr>
        <w:t> </w:t>
      </w:r>
      <w:r>
        <w:rPr>
          <w:color w:val="231F20"/>
        </w:rPr>
        <w:t>los hijos de otras mujeres. En estos procesos, las desigualdades de género se vuelven más complejas, unas de sus expresiones pueden ser lo que Saskia Sassen (2003) llama “la feminización de la supervivencia” otra lo que se ha tendido a identificar como la “feminización de la fuerza    de trabajo transnacional” (Ballara, 2002; Sassen, 2003; Lipszyc, 2004; Campani, 2010, Sánchez y Sierra, 2013), lo que implica la generación de un mercado de trabajo transnacional de mano de obra compuesto por redes de mujeres que desempeñan trabajos diversos como obreras,</w:t>
      </w:r>
      <w:r>
        <w:rPr>
          <w:color w:val="231F20"/>
          <w:spacing w:val="-20"/>
        </w:rPr>
        <w:t> </w:t>
      </w:r>
      <w:r>
        <w:rPr>
          <w:color w:val="231F20"/>
        </w:rPr>
        <w:t>como profesionales, pero sobre todo como trabajadoras domésticas,</w:t>
      </w:r>
      <w:r>
        <w:rPr>
          <w:color w:val="231F20"/>
          <w:spacing w:val="-29"/>
        </w:rPr>
        <w:t> </w:t>
      </w:r>
      <w:r>
        <w:rPr>
          <w:color w:val="231F20"/>
        </w:rPr>
        <w:t>realizando cuidados personales, o desarrollando comercio ambulante o</w:t>
      </w:r>
      <w:r>
        <w:rPr>
          <w:color w:val="231F20"/>
          <w:spacing w:val="-3"/>
        </w:rPr>
        <w:t> </w:t>
      </w:r>
      <w:r>
        <w:rPr>
          <w:color w:val="231F20"/>
        </w:rPr>
        <w:t>informal.</w:t>
      </w:r>
    </w:p>
    <w:p>
      <w:pPr>
        <w:pStyle w:val="BodyText"/>
        <w:spacing w:line="249" w:lineRule="auto" w:before="1"/>
        <w:ind w:left="110" w:right="111" w:firstLine="283"/>
        <w:jc w:val="both"/>
      </w:pPr>
      <w:r>
        <w:rPr>
          <w:color w:val="231F20"/>
        </w:rPr>
        <w:t>En el actual contexto económico mundial, la mayor participación económica de las mujeres en los mercados de trabajo —internos e inter- nacionales; rurales y urbanos; formales e informales, manuales y  profe-</w:t>
      </w:r>
    </w:p>
    <w:p>
      <w:pPr>
        <w:spacing w:after="0" w:line="249" w:lineRule="auto"/>
        <w:jc w:val="both"/>
        <w:sectPr>
          <w:pgSz w:w="7770" w:h="11740"/>
          <w:pgMar w:header="0" w:footer="474" w:top="840" w:bottom="740" w:left="740" w:right="1020"/>
        </w:sectPr>
      </w:pPr>
    </w:p>
    <w:p>
      <w:pPr>
        <w:pStyle w:val="BodyText"/>
        <w:spacing w:line="249" w:lineRule="auto" w:before="60"/>
        <w:ind w:left="113" w:right="107"/>
        <w:jc w:val="both"/>
      </w:pPr>
      <w:r>
        <w:rPr>
          <w:color w:val="231F20"/>
        </w:rPr>
        <w:t>sionales— no sólo depende de la condición y disposición para trabajar, ésta es mediada por las circunstancias de la economía y del mercado laboral.</w:t>
      </w:r>
      <w:r>
        <w:rPr>
          <w:color w:val="231F20"/>
          <w:spacing w:val="-6"/>
        </w:rPr>
        <w:t> </w:t>
      </w:r>
      <w:r>
        <w:rPr>
          <w:color w:val="231F20"/>
        </w:rPr>
        <w:t>La</w:t>
      </w:r>
      <w:r>
        <w:rPr>
          <w:color w:val="231F20"/>
          <w:spacing w:val="-6"/>
        </w:rPr>
        <w:t> </w:t>
      </w:r>
      <w:r>
        <w:rPr>
          <w:color w:val="231F20"/>
        </w:rPr>
        <w:t>división</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responde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racionalidad</w:t>
      </w:r>
      <w:r>
        <w:rPr>
          <w:color w:val="231F20"/>
          <w:spacing w:val="-6"/>
        </w:rPr>
        <w:t> </w:t>
      </w:r>
      <w:r>
        <w:rPr>
          <w:color w:val="231F20"/>
        </w:rPr>
        <w:t>de</w:t>
      </w:r>
      <w:r>
        <w:rPr>
          <w:color w:val="231F20"/>
          <w:spacing w:val="-6"/>
        </w:rPr>
        <w:t> </w:t>
      </w:r>
      <w:r>
        <w:rPr>
          <w:color w:val="231F20"/>
        </w:rPr>
        <w:t>mejor</w:t>
      </w:r>
      <w:r>
        <w:rPr>
          <w:color w:val="231F20"/>
          <w:spacing w:val="-6"/>
        </w:rPr>
        <w:t> </w:t>
      </w:r>
      <w:r>
        <w:rPr>
          <w:color w:val="231F20"/>
        </w:rPr>
        <w:t>apro- vechamiento de la fuerza de trabajo sexualmente diferenciada; al mismo tiempo que jerarquizar los puestos de trabajo y las tareas a realizar por mujeres y hombres a partir de lo cual se expresan las desigualdades de acceso a puestos y a condiciones de trabajo diferentes para los géneros, y siguiendo a Lara (1995: 9) se coincide en que tal “desigualdad, inicia con las formas de reclutamiento, sigue con el tipo de tareas y de puestos que se les asignan, con las formas de pago, el horario de trabajo y la temporalidad del empleo”. Estas situaciones refieren a una segregación del</w:t>
      </w:r>
      <w:r>
        <w:rPr>
          <w:color w:val="231F20"/>
          <w:spacing w:val="-8"/>
        </w:rPr>
        <w:t> </w:t>
      </w:r>
      <w:r>
        <w:rPr>
          <w:color w:val="231F20"/>
        </w:rPr>
        <w:t>empleo</w:t>
      </w:r>
      <w:r>
        <w:rPr>
          <w:color w:val="231F20"/>
          <w:spacing w:val="-8"/>
        </w:rPr>
        <w:t> </w:t>
      </w:r>
      <w:r>
        <w:rPr>
          <w:color w:val="231F20"/>
        </w:rPr>
        <w:t>por</w:t>
      </w:r>
      <w:r>
        <w:rPr>
          <w:color w:val="231F20"/>
          <w:spacing w:val="-8"/>
        </w:rPr>
        <w:t> </w:t>
      </w:r>
      <w:r>
        <w:rPr>
          <w:color w:val="231F20"/>
        </w:rPr>
        <w:t>género,</w:t>
      </w:r>
      <w:r>
        <w:rPr>
          <w:color w:val="231F20"/>
          <w:spacing w:val="-8"/>
        </w:rPr>
        <w:t> </w:t>
      </w:r>
      <w:r>
        <w:rPr>
          <w:color w:val="231F20"/>
        </w:rPr>
        <w:t>ubicando,</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general,</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en</w:t>
      </w:r>
      <w:r>
        <w:rPr>
          <w:color w:val="231F20"/>
          <w:spacing w:val="-8"/>
        </w:rPr>
        <w:t> </w:t>
      </w:r>
      <w:r>
        <w:rPr>
          <w:color w:val="231F20"/>
        </w:rPr>
        <w:t>puestos de menor jerarquía y realizando actividades manuales o bien incluyendo este tipo de actividades en las tareas a realizar como parte de sus res- ponsabilidades. Así, el mercado laboral demanda mano de obra barata y flexible y hace uso de condiciones socioculturales o de forma específica de identidades laborales construidas como el género, la etnia o la</w:t>
      </w:r>
      <w:r>
        <w:rPr>
          <w:color w:val="231F20"/>
          <w:spacing w:val="-5"/>
        </w:rPr>
        <w:t> </w:t>
      </w:r>
      <w:r>
        <w:rPr>
          <w:color w:val="231F20"/>
        </w:rPr>
        <w:t>clase.</w:t>
      </w:r>
    </w:p>
    <w:p>
      <w:pPr>
        <w:pStyle w:val="BodyText"/>
        <w:spacing w:line="249" w:lineRule="auto" w:before="1"/>
        <w:ind w:left="113" w:right="108" w:firstLine="283"/>
        <w:jc w:val="both"/>
      </w:pPr>
      <w:r>
        <w:rPr>
          <w:color w:val="231F20"/>
        </w:rPr>
        <w:t>La transnacionalización y feminización de la mano de obra femeni- na responde a procesos que han ido articulándose de forma simultánea. Resulta</w:t>
      </w:r>
      <w:r>
        <w:rPr>
          <w:color w:val="231F20"/>
          <w:spacing w:val="-5"/>
        </w:rPr>
        <w:t> </w:t>
      </w:r>
      <w:r>
        <w:rPr>
          <w:color w:val="231F20"/>
        </w:rPr>
        <w:t>claro</w:t>
      </w:r>
      <w:r>
        <w:rPr>
          <w:color w:val="231F20"/>
          <w:spacing w:val="-5"/>
        </w:rPr>
        <w:t> </w:t>
      </w:r>
      <w:r>
        <w:rPr>
          <w:color w:val="231F20"/>
        </w:rPr>
        <w:t>que</w:t>
      </w:r>
      <w:r>
        <w:rPr>
          <w:color w:val="231F20"/>
          <w:spacing w:val="-5"/>
        </w:rPr>
        <w:t> </w:t>
      </w:r>
      <w:r>
        <w:rPr>
          <w:color w:val="231F20"/>
        </w:rPr>
        <w:t>ni</w:t>
      </w:r>
      <w:r>
        <w:rPr>
          <w:color w:val="231F20"/>
          <w:spacing w:val="-5"/>
        </w:rPr>
        <w:t> </w:t>
      </w:r>
      <w:r>
        <w:rPr>
          <w:color w:val="231F20"/>
        </w:rPr>
        <w:t>globalización</w:t>
      </w:r>
      <w:r>
        <w:rPr>
          <w:color w:val="231F20"/>
          <w:spacing w:val="-5"/>
        </w:rPr>
        <w:t> </w:t>
      </w:r>
      <w:r>
        <w:rPr>
          <w:color w:val="231F20"/>
        </w:rPr>
        <w:t>ni</w:t>
      </w:r>
      <w:r>
        <w:rPr>
          <w:color w:val="231F20"/>
          <w:spacing w:val="-5"/>
        </w:rPr>
        <w:t> </w:t>
      </w:r>
      <w:r>
        <w:rPr>
          <w:color w:val="231F20"/>
        </w:rPr>
        <w:t>las</w:t>
      </w:r>
      <w:r>
        <w:rPr>
          <w:color w:val="231F20"/>
          <w:spacing w:val="-5"/>
        </w:rPr>
        <w:t> </w:t>
      </w:r>
      <w:r>
        <w:rPr>
          <w:color w:val="231F20"/>
        </w:rPr>
        <w:t>migraciones</w:t>
      </w:r>
      <w:r>
        <w:rPr>
          <w:color w:val="231F20"/>
          <w:spacing w:val="-6"/>
        </w:rPr>
        <w:t> </w:t>
      </w:r>
      <w:r>
        <w:rPr>
          <w:color w:val="231F20"/>
        </w:rPr>
        <w:t>internacionales</w:t>
      </w:r>
      <w:r>
        <w:rPr>
          <w:color w:val="231F20"/>
          <w:spacing w:val="-6"/>
        </w:rPr>
        <w:t> </w:t>
      </w:r>
      <w:r>
        <w:rPr>
          <w:color w:val="231F20"/>
        </w:rPr>
        <w:t>son neutras</w:t>
      </w:r>
      <w:r>
        <w:rPr>
          <w:color w:val="231F20"/>
          <w:spacing w:val="-8"/>
        </w:rPr>
        <w:t> </w:t>
      </w:r>
      <w:r>
        <w:rPr>
          <w:color w:val="231F20"/>
        </w:rPr>
        <w:t>respecto</w:t>
      </w:r>
      <w:r>
        <w:rPr>
          <w:color w:val="231F20"/>
          <w:spacing w:val="-8"/>
        </w:rPr>
        <w:t> </w:t>
      </w:r>
      <w:r>
        <w:rPr>
          <w:color w:val="231F20"/>
        </w:rPr>
        <w:t>del</w:t>
      </w:r>
      <w:r>
        <w:rPr>
          <w:color w:val="231F20"/>
          <w:spacing w:val="-8"/>
        </w:rPr>
        <w:t> </w:t>
      </w:r>
      <w:r>
        <w:rPr>
          <w:color w:val="231F20"/>
        </w:rPr>
        <w:t>género,</w:t>
      </w:r>
      <w:r>
        <w:rPr>
          <w:color w:val="231F20"/>
          <w:spacing w:val="-8"/>
        </w:rPr>
        <w:t> </w:t>
      </w:r>
      <w:r>
        <w:rPr>
          <w:color w:val="231F20"/>
        </w:rPr>
        <w:t>la</w:t>
      </w:r>
      <w:r>
        <w:rPr>
          <w:color w:val="231F20"/>
          <w:spacing w:val="-8"/>
        </w:rPr>
        <w:t> </w:t>
      </w:r>
      <w:r>
        <w:rPr>
          <w:color w:val="231F20"/>
        </w:rPr>
        <w:t>condición</w:t>
      </w:r>
      <w:r>
        <w:rPr>
          <w:color w:val="231F20"/>
          <w:spacing w:val="-8"/>
        </w:rPr>
        <w:t> </w:t>
      </w:r>
      <w:r>
        <w:rPr>
          <w:color w:val="231F20"/>
        </w:rPr>
        <w:t>y</w:t>
      </w:r>
      <w:r>
        <w:rPr>
          <w:color w:val="231F20"/>
          <w:spacing w:val="-8"/>
        </w:rPr>
        <w:t> </w:t>
      </w:r>
      <w:r>
        <w:rPr>
          <w:color w:val="231F20"/>
        </w:rPr>
        <w:t>posición</w:t>
      </w:r>
      <w:r>
        <w:rPr>
          <w:color w:val="231F20"/>
          <w:spacing w:val="-8"/>
        </w:rPr>
        <w:t> </w:t>
      </w:r>
      <w:r>
        <w:rPr>
          <w:color w:val="231F20"/>
        </w:rPr>
        <w:t>social</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mujeres se</w:t>
      </w:r>
      <w:r>
        <w:rPr>
          <w:color w:val="231F20"/>
          <w:spacing w:val="-5"/>
        </w:rPr>
        <w:t> </w:t>
      </w:r>
      <w:r>
        <w:rPr>
          <w:color w:val="231F20"/>
        </w:rPr>
        <w:t>ha</w:t>
      </w:r>
      <w:r>
        <w:rPr>
          <w:color w:val="231F20"/>
          <w:spacing w:val="-5"/>
        </w:rPr>
        <w:t> </w:t>
      </w:r>
      <w:r>
        <w:rPr>
          <w:color w:val="231F20"/>
        </w:rPr>
        <w:t>trasladado</w:t>
      </w:r>
      <w:r>
        <w:rPr>
          <w:color w:val="231F20"/>
          <w:spacing w:val="-6"/>
        </w:rPr>
        <w:t> </w:t>
      </w:r>
      <w:r>
        <w:rPr>
          <w:color w:val="231F20"/>
        </w:rPr>
        <w:t>al</w:t>
      </w:r>
      <w:r>
        <w:rPr>
          <w:color w:val="231F20"/>
          <w:spacing w:val="-5"/>
        </w:rPr>
        <w:t> </w:t>
      </w:r>
      <w:r>
        <w:rPr>
          <w:color w:val="231F20"/>
        </w:rPr>
        <w:t>mercado</w:t>
      </w:r>
      <w:r>
        <w:rPr>
          <w:color w:val="231F20"/>
          <w:spacing w:val="-6"/>
        </w:rPr>
        <w:t> </w:t>
      </w:r>
      <w:r>
        <w:rPr>
          <w:color w:val="231F20"/>
        </w:rPr>
        <w:t>de</w:t>
      </w:r>
      <w:r>
        <w:rPr>
          <w:color w:val="231F20"/>
          <w:spacing w:val="-5"/>
        </w:rPr>
        <w:t> </w:t>
      </w:r>
      <w:r>
        <w:rPr>
          <w:color w:val="231F20"/>
        </w:rPr>
        <w:t>trabajo</w:t>
      </w:r>
      <w:r>
        <w:rPr>
          <w:color w:val="231F20"/>
          <w:spacing w:val="-6"/>
        </w:rPr>
        <w:t> </w:t>
      </w:r>
      <w:r>
        <w:rPr>
          <w:color w:val="231F20"/>
        </w:rPr>
        <w:t>transnacional</w:t>
      </w:r>
      <w:r>
        <w:rPr>
          <w:color w:val="231F20"/>
          <w:spacing w:val="-6"/>
        </w:rPr>
        <w:t> </w:t>
      </w:r>
      <w:r>
        <w:rPr>
          <w:color w:val="231F20"/>
        </w:rPr>
        <w:t>que</w:t>
      </w:r>
      <w:r>
        <w:rPr>
          <w:color w:val="231F20"/>
          <w:spacing w:val="-5"/>
        </w:rPr>
        <w:t> </w:t>
      </w:r>
      <w:r>
        <w:rPr>
          <w:color w:val="231F20"/>
        </w:rPr>
        <w:t>retroalimenta</w:t>
      </w:r>
      <w:r>
        <w:rPr>
          <w:color w:val="231F20"/>
          <w:spacing w:val="-5"/>
        </w:rPr>
        <w:t> </w:t>
      </w:r>
      <w:r>
        <w:rPr>
          <w:color w:val="231F20"/>
        </w:rPr>
        <w:t>al sistema capitalista. La</w:t>
      </w:r>
      <w:r>
        <w:rPr>
          <w:color w:val="231F20"/>
          <w:spacing w:val="-7"/>
        </w:rPr>
        <w:t> </w:t>
      </w:r>
      <w:r>
        <w:rPr>
          <w:color w:val="231F20"/>
        </w:rPr>
        <w:t>migración</w:t>
      </w:r>
    </w:p>
    <w:p>
      <w:pPr>
        <w:pStyle w:val="Heading4"/>
        <w:spacing w:line="240" w:lineRule="exact" w:before="166"/>
        <w:ind w:right="2467"/>
        <w:jc w:val="left"/>
      </w:pPr>
      <w:r>
        <w:rPr>
          <w:w w:val="80"/>
        </w:rPr>
        <w:t>Género</w:t>
      </w:r>
      <w:r>
        <w:rPr>
          <w:spacing w:val="-33"/>
          <w:w w:val="80"/>
        </w:rPr>
        <w:t> </w:t>
      </w:r>
      <w:r>
        <w:rPr>
          <w:w w:val="80"/>
        </w:rPr>
        <w:t>y</w:t>
      </w:r>
      <w:r>
        <w:rPr>
          <w:spacing w:val="-33"/>
          <w:w w:val="80"/>
        </w:rPr>
        <w:t> </w:t>
      </w:r>
      <w:r>
        <w:rPr>
          <w:w w:val="80"/>
        </w:rPr>
        <w:t>extensión</w:t>
      </w:r>
      <w:r>
        <w:rPr>
          <w:spacing w:val="-34"/>
          <w:w w:val="80"/>
        </w:rPr>
        <w:t> </w:t>
      </w:r>
      <w:r>
        <w:rPr>
          <w:w w:val="80"/>
        </w:rPr>
        <w:t>de</w:t>
      </w:r>
      <w:r>
        <w:rPr>
          <w:spacing w:val="-33"/>
          <w:w w:val="80"/>
        </w:rPr>
        <w:t> </w:t>
      </w:r>
      <w:r>
        <w:rPr>
          <w:w w:val="80"/>
        </w:rPr>
        <w:t>la</w:t>
      </w:r>
      <w:r>
        <w:rPr>
          <w:spacing w:val="-34"/>
          <w:w w:val="80"/>
        </w:rPr>
        <w:t> </w:t>
      </w:r>
      <w:r>
        <w:rPr>
          <w:w w:val="80"/>
        </w:rPr>
        <w:t>división</w:t>
      </w:r>
      <w:r>
        <w:rPr>
          <w:spacing w:val="-33"/>
          <w:w w:val="80"/>
        </w:rPr>
        <w:t> </w:t>
      </w:r>
      <w:r>
        <w:rPr>
          <w:w w:val="80"/>
        </w:rPr>
        <w:t>del</w:t>
      </w:r>
      <w:r>
        <w:rPr>
          <w:spacing w:val="-33"/>
          <w:w w:val="80"/>
        </w:rPr>
        <w:t> </w:t>
      </w:r>
      <w:r>
        <w:rPr>
          <w:w w:val="80"/>
        </w:rPr>
        <w:t>trabajo </w:t>
      </w:r>
      <w:r>
        <w:rPr>
          <w:w w:val="75"/>
        </w:rPr>
        <w:t>en circuitos</w:t>
      </w:r>
      <w:r>
        <w:rPr>
          <w:spacing w:val="-6"/>
          <w:w w:val="75"/>
        </w:rPr>
        <w:t> </w:t>
      </w:r>
      <w:r>
        <w:rPr>
          <w:w w:val="75"/>
        </w:rPr>
        <w:t>transnacionales</w:t>
      </w:r>
    </w:p>
    <w:p>
      <w:pPr>
        <w:pStyle w:val="BodyText"/>
        <w:spacing w:line="249" w:lineRule="auto" w:before="175"/>
        <w:ind w:left="113" w:right="107"/>
        <w:jc w:val="both"/>
      </w:pPr>
      <w:r>
        <w:rPr>
          <w:color w:val="231F20"/>
        </w:rPr>
        <w:t>Las teorías sobre la migración han puesto mayor interés en las causas de la movilidad y escasamente se han ocupado de las cuestiones relaciona- das</w:t>
      </w:r>
      <w:r>
        <w:rPr>
          <w:color w:val="231F20"/>
          <w:spacing w:val="-4"/>
        </w:rPr>
        <w:t> </w:t>
      </w:r>
      <w:r>
        <w:rPr>
          <w:color w:val="231F20"/>
        </w:rPr>
        <w:t>con</w:t>
      </w:r>
      <w:r>
        <w:rPr>
          <w:color w:val="231F20"/>
          <w:spacing w:val="-4"/>
        </w:rPr>
        <w:t> </w:t>
      </w:r>
      <w:r>
        <w:rPr>
          <w:color w:val="231F20"/>
        </w:rPr>
        <w:t>quiénes</w:t>
      </w:r>
      <w:r>
        <w:rPr>
          <w:color w:val="231F20"/>
          <w:spacing w:val="-4"/>
        </w:rPr>
        <w:t> </w:t>
      </w:r>
      <w:r>
        <w:rPr>
          <w:color w:val="231F20"/>
        </w:rPr>
        <w:t>migran,</w:t>
      </w:r>
      <w:r>
        <w:rPr>
          <w:color w:val="231F20"/>
          <w:spacing w:val="-4"/>
        </w:rPr>
        <w:t> </w:t>
      </w:r>
      <w:r>
        <w:rPr>
          <w:color w:val="231F20"/>
        </w:rPr>
        <w:t>dejando</w:t>
      </w:r>
      <w:r>
        <w:rPr>
          <w:color w:val="231F20"/>
          <w:spacing w:val="-4"/>
        </w:rPr>
        <w:t> </w:t>
      </w:r>
      <w:r>
        <w:rPr>
          <w:color w:val="231F20"/>
        </w:rPr>
        <w:t>de</w:t>
      </w:r>
      <w:r>
        <w:rPr>
          <w:color w:val="231F20"/>
          <w:spacing w:val="-4"/>
        </w:rPr>
        <w:t> </w:t>
      </w:r>
      <w:r>
        <w:rPr>
          <w:color w:val="231F20"/>
        </w:rPr>
        <w:t>lado</w:t>
      </w:r>
      <w:r>
        <w:rPr>
          <w:color w:val="231F20"/>
          <w:spacing w:val="-4"/>
        </w:rPr>
        <w:t> </w:t>
      </w:r>
      <w:r>
        <w:rPr>
          <w:color w:val="231F20"/>
        </w:rPr>
        <w:t>las</w:t>
      </w:r>
      <w:r>
        <w:rPr>
          <w:color w:val="231F20"/>
          <w:spacing w:val="-4"/>
        </w:rPr>
        <w:t> </w:t>
      </w:r>
      <w:r>
        <w:rPr>
          <w:color w:val="231F20"/>
        </w:rPr>
        <w:t>experiencias</w:t>
      </w:r>
      <w:r>
        <w:rPr>
          <w:color w:val="231F20"/>
          <w:spacing w:val="-4"/>
        </w:rPr>
        <w:t> </w:t>
      </w:r>
      <w:r>
        <w:rPr>
          <w:color w:val="231F20"/>
        </w:rPr>
        <w:t>específicas</w:t>
      </w:r>
      <w:r>
        <w:rPr>
          <w:color w:val="231F20"/>
          <w:spacing w:val="-4"/>
        </w:rPr>
        <w:t> </w:t>
      </w:r>
      <w:r>
        <w:rPr>
          <w:color w:val="231F20"/>
        </w:rPr>
        <w:t>por género en la movilidad espacial de la población. En ese sentido, durante mucho tiempo prevaleció la errónea noción de que los hombres migran y las mujeres</w:t>
      </w:r>
      <w:r>
        <w:rPr>
          <w:color w:val="231F20"/>
          <w:spacing w:val="-2"/>
        </w:rPr>
        <w:t> </w:t>
      </w:r>
      <w:r>
        <w:rPr>
          <w:color w:val="231F20"/>
        </w:rPr>
        <w:t>no.</w:t>
      </w:r>
    </w:p>
    <w:p>
      <w:pPr>
        <w:pStyle w:val="BodyText"/>
        <w:spacing w:line="249" w:lineRule="auto" w:before="1"/>
        <w:ind w:left="113" w:right="107" w:firstLine="283"/>
        <w:jc w:val="both"/>
      </w:pPr>
      <w:r>
        <w:rPr>
          <w:color w:val="231F20"/>
        </w:rPr>
        <w:t>Al parecer, el reconocimiento de las mujeres migrantes con motiva- ciones laborales sigue presentando ciertas resistencia no sólo en los tra- bajos académicos sino también en discursos políticos sobre migración internacional, con mucha frecuencia, se centran en las oportunidades económicas comparativas para los hombres, porque entre todavía un nú- mero importante de investigadores y políticos prevalece la idea de que las mujeres se mueven como acompañantes, es decir, los patrones de circulación y asentamiento de las migrantes son el resultado de las deci-</w:t>
      </w:r>
    </w:p>
    <w:p>
      <w:pPr>
        <w:spacing w:after="0" w:line="249" w:lineRule="auto"/>
        <w:jc w:val="both"/>
        <w:sectPr>
          <w:footerReference w:type="default" r:id="rId248"/>
          <w:pgSz w:w="7770" w:h="11740"/>
          <w:pgMar w:footer="474" w:header="0" w:top="840" w:bottom="660" w:left="1020" w:right="740"/>
          <w:pgNumType w:start="213"/>
        </w:sectPr>
      </w:pPr>
    </w:p>
    <w:p>
      <w:pPr>
        <w:pStyle w:val="BodyText"/>
        <w:spacing w:line="249" w:lineRule="auto" w:before="60"/>
        <w:ind w:left="110" w:right="111"/>
        <w:jc w:val="both"/>
      </w:pPr>
      <w:r>
        <w:rPr>
          <w:color w:val="231F20"/>
        </w:rPr>
        <w:t>siones</w:t>
      </w:r>
      <w:r>
        <w:rPr>
          <w:color w:val="231F20"/>
          <w:spacing w:val="-5"/>
        </w:rPr>
        <w:t> </w:t>
      </w:r>
      <w:r>
        <w:rPr>
          <w:color w:val="231F20"/>
        </w:rPr>
        <w:t>de</w:t>
      </w:r>
      <w:r>
        <w:rPr>
          <w:color w:val="231F20"/>
          <w:spacing w:val="-5"/>
        </w:rPr>
        <w:t> </w:t>
      </w:r>
      <w:r>
        <w:rPr>
          <w:color w:val="231F20"/>
        </w:rPr>
        <w:t>varones</w:t>
      </w:r>
      <w:r>
        <w:rPr>
          <w:color w:val="231F20"/>
          <w:spacing w:val="-5"/>
        </w:rPr>
        <w:t> </w:t>
      </w:r>
      <w:r>
        <w:rPr>
          <w:color w:val="231F20"/>
        </w:rPr>
        <w:t>como</w:t>
      </w:r>
      <w:r>
        <w:rPr>
          <w:color w:val="231F20"/>
          <w:spacing w:val="-5"/>
        </w:rPr>
        <w:t> </w:t>
      </w:r>
      <w:r>
        <w:rPr>
          <w:color w:val="231F20"/>
        </w:rPr>
        <w:t>por</w:t>
      </w:r>
      <w:r>
        <w:rPr>
          <w:color w:val="231F20"/>
          <w:spacing w:val="-5"/>
        </w:rPr>
        <w:t> </w:t>
      </w:r>
      <w:r>
        <w:rPr>
          <w:color w:val="231F20"/>
        </w:rPr>
        <w:t>ejemplo</w:t>
      </w:r>
      <w:r>
        <w:rPr>
          <w:color w:val="231F20"/>
          <w:spacing w:val="-5"/>
        </w:rPr>
        <w:t> </w:t>
      </w:r>
      <w:r>
        <w:rPr>
          <w:color w:val="231F20"/>
        </w:rPr>
        <w:t>del</w:t>
      </w:r>
      <w:r>
        <w:rPr>
          <w:color w:val="231F20"/>
          <w:spacing w:val="-5"/>
        </w:rPr>
        <w:t> </w:t>
      </w:r>
      <w:r>
        <w:rPr>
          <w:color w:val="231F20"/>
        </w:rPr>
        <w:t>padre,</w:t>
      </w:r>
      <w:r>
        <w:rPr>
          <w:color w:val="231F20"/>
          <w:spacing w:val="-5"/>
        </w:rPr>
        <w:t> </w:t>
      </w:r>
      <w:r>
        <w:rPr>
          <w:color w:val="231F20"/>
        </w:rPr>
        <w:t>los</w:t>
      </w:r>
      <w:r>
        <w:rPr>
          <w:color w:val="231F20"/>
          <w:spacing w:val="-5"/>
        </w:rPr>
        <w:t> </w:t>
      </w:r>
      <w:r>
        <w:rPr>
          <w:color w:val="231F20"/>
        </w:rPr>
        <w:t>hermanos</w:t>
      </w:r>
      <w:r>
        <w:rPr>
          <w:color w:val="231F20"/>
          <w:spacing w:val="-5"/>
        </w:rPr>
        <w:t> </w:t>
      </w:r>
      <w:r>
        <w:rPr>
          <w:color w:val="231F20"/>
        </w:rPr>
        <w:t>o</w:t>
      </w:r>
      <w:r>
        <w:rPr>
          <w:color w:val="231F20"/>
          <w:spacing w:val="-5"/>
        </w:rPr>
        <w:t> </w:t>
      </w:r>
      <w:r>
        <w:rPr>
          <w:color w:val="231F20"/>
        </w:rPr>
        <w:t>el</w:t>
      </w:r>
      <w:r>
        <w:rPr>
          <w:color w:val="231F20"/>
          <w:spacing w:val="-5"/>
        </w:rPr>
        <w:t> </w:t>
      </w:r>
      <w:r>
        <w:rPr>
          <w:color w:val="231F20"/>
        </w:rPr>
        <w:t>marido de la mujer. El no reconocimiento de las mujeres como migrantes de trabajo aún se mantiene, no obstante que en forma consistente en las últimas cuatro décadas ellas han migrado en cantidades similares a las de los hombres</w:t>
      </w:r>
      <w:r>
        <w:rPr>
          <w:color w:val="231F20"/>
          <w:position w:val="7"/>
          <w:sz w:val="11"/>
        </w:rPr>
        <w:t>4 </w:t>
      </w:r>
      <w:r>
        <w:rPr>
          <w:color w:val="231F20"/>
        </w:rPr>
        <w:t>siendo su principal motivo, la búsqueda de empleo o de oportunidades económicas.</w:t>
      </w:r>
    </w:p>
    <w:p>
      <w:pPr>
        <w:pStyle w:val="BodyText"/>
        <w:spacing w:line="249" w:lineRule="auto" w:before="1"/>
        <w:ind w:left="110" w:right="111" w:firstLine="283"/>
        <w:jc w:val="both"/>
      </w:pPr>
      <w:r>
        <w:rPr>
          <w:color w:val="231F20"/>
        </w:rPr>
        <w:t>Los</w:t>
      </w:r>
      <w:r>
        <w:rPr>
          <w:color w:val="231F20"/>
          <w:spacing w:val="-7"/>
        </w:rPr>
        <w:t> </w:t>
      </w:r>
      <w:r>
        <w:rPr>
          <w:color w:val="231F20"/>
        </w:rPr>
        <w:t>estudios</w:t>
      </w:r>
      <w:r>
        <w:rPr>
          <w:color w:val="231F20"/>
          <w:spacing w:val="-7"/>
        </w:rPr>
        <w:t> </w:t>
      </w:r>
      <w:r>
        <w:rPr>
          <w:color w:val="231F20"/>
        </w:rPr>
        <w:t>sobre</w:t>
      </w:r>
      <w:r>
        <w:rPr>
          <w:color w:val="231F20"/>
          <w:spacing w:val="-7"/>
        </w:rPr>
        <w:t> </w:t>
      </w:r>
      <w:r>
        <w:rPr>
          <w:color w:val="231F20"/>
        </w:rPr>
        <w:t>movilidad</w:t>
      </w:r>
      <w:r>
        <w:rPr>
          <w:color w:val="231F20"/>
          <w:spacing w:val="-7"/>
        </w:rPr>
        <w:t> </w:t>
      </w:r>
      <w:r>
        <w:rPr>
          <w:color w:val="231F20"/>
        </w:rPr>
        <w:t>espacial</w:t>
      </w:r>
      <w:r>
        <w:rPr>
          <w:color w:val="231F20"/>
          <w:spacing w:val="-7"/>
        </w:rPr>
        <w:t> </w:t>
      </w:r>
      <w:r>
        <w:rPr>
          <w:color w:val="231F20"/>
        </w:rPr>
        <w:t>de</w:t>
      </w:r>
      <w:r>
        <w:rPr>
          <w:color w:val="231F20"/>
          <w:spacing w:val="-7"/>
        </w:rPr>
        <w:t> </w:t>
      </w:r>
      <w:r>
        <w:rPr>
          <w:color w:val="231F20"/>
        </w:rPr>
        <w:t>población</w:t>
      </w:r>
      <w:r>
        <w:rPr>
          <w:color w:val="231F20"/>
          <w:spacing w:val="-7"/>
        </w:rPr>
        <w:t> </w:t>
      </w:r>
      <w:r>
        <w:rPr>
          <w:color w:val="231F20"/>
        </w:rPr>
        <w:t>desde</w:t>
      </w:r>
      <w:r>
        <w:rPr>
          <w:color w:val="231F20"/>
          <w:spacing w:val="-7"/>
        </w:rPr>
        <w:t> </w:t>
      </w:r>
      <w:r>
        <w:rPr>
          <w:color w:val="231F20"/>
        </w:rPr>
        <w:t>la</w:t>
      </w:r>
      <w:r>
        <w:rPr>
          <w:color w:val="231F20"/>
          <w:spacing w:val="-7"/>
        </w:rPr>
        <w:t> </w:t>
      </w:r>
      <w:r>
        <w:rPr>
          <w:color w:val="231F20"/>
        </w:rPr>
        <w:t>perspec- tiva</w:t>
      </w:r>
      <w:r>
        <w:rPr>
          <w:color w:val="231F20"/>
          <w:spacing w:val="-4"/>
        </w:rPr>
        <w:t> </w:t>
      </w:r>
      <w:r>
        <w:rPr>
          <w:color w:val="231F20"/>
        </w:rPr>
        <w:t>de</w:t>
      </w:r>
      <w:r>
        <w:rPr>
          <w:color w:val="231F20"/>
          <w:spacing w:val="-4"/>
        </w:rPr>
        <w:t> </w:t>
      </w:r>
      <w:r>
        <w:rPr>
          <w:color w:val="231F20"/>
        </w:rPr>
        <w:t>género,</w:t>
      </w:r>
      <w:r>
        <w:rPr>
          <w:color w:val="231F20"/>
          <w:spacing w:val="-4"/>
        </w:rPr>
        <w:t> </w:t>
      </w:r>
      <w:r>
        <w:rPr>
          <w:color w:val="231F20"/>
        </w:rPr>
        <w:t>han</w:t>
      </w:r>
      <w:r>
        <w:rPr>
          <w:color w:val="231F20"/>
          <w:spacing w:val="-4"/>
        </w:rPr>
        <w:t> </w:t>
      </w:r>
      <w:r>
        <w:rPr>
          <w:color w:val="231F20"/>
        </w:rPr>
        <w:t>evidenciado</w:t>
      </w:r>
      <w:r>
        <w:rPr>
          <w:color w:val="231F20"/>
          <w:spacing w:val="-5"/>
        </w:rPr>
        <w:t> </w:t>
      </w:r>
      <w:r>
        <w:rPr>
          <w:color w:val="231F20"/>
        </w:rPr>
        <w:t>que</w:t>
      </w:r>
      <w:r>
        <w:rPr>
          <w:color w:val="231F20"/>
          <w:spacing w:val="-4"/>
        </w:rPr>
        <w:t> </w:t>
      </w:r>
      <w:r>
        <w:rPr>
          <w:color w:val="231F20"/>
        </w:rPr>
        <w:t>las</w:t>
      </w:r>
      <w:r>
        <w:rPr>
          <w:color w:val="231F20"/>
          <w:spacing w:val="-4"/>
        </w:rPr>
        <w:t> </w:t>
      </w:r>
      <w:r>
        <w:rPr>
          <w:color w:val="231F20"/>
        </w:rPr>
        <w:t>teorías</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migración</w:t>
      </w:r>
      <w:r>
        <w:rPr>
          <w:color w:val="231F20"/>
          <w:spacing w:val="-5"/>
        </w:rPr>
        <w:t> </w:t>
      </w:r>
      <w:r>
        <w:rPr>
          <w:color w:val="231F20"/>
        </w:rPr>
        <w:t>no</w:t>
      </w:r>
      <w:r>
        <w:rPr>
          <w:color w:val="231F20"/>
          <w:spacing w:val="-4"/>
        </w:rPr>
        <w:t> </w:t>
      </w:r>
      <w:r>
        <w:rPr>
          <w:color w:val="231F20"/>
        </w:rPr>
        <w:t>consi- deraban los motivos para la movilidad de las mujeres por lo que éstas</w:t>
      </w:r>
      <w:r>
        <w:rPr>
          <w:color w:val="231F20"/>
          <w:spacing w:val="-29"/>
        </w:rPr>
        <w:t> </w:t>
      </w:r>
      <w:r>
        <w:rPr>
          <w:color w:val="231F20"/>
        </w:rPr>
        <w:t>no podían ser analizadas por los modelos desarrollados a partir de aquellos marcos. Dado que el principal motivo para migrar ha sido el</w:t>
      </w:r>
      <w:r>
        <w:rPr>
          <w:color w:val="231F20"/>
          <w:spacing w:val="-20"/>
        </w:rPr>
        <w:t> </w:t>
      </w:r>
      <w:r>
        <w:rPr>
          <w:color w:val="231F20"/>
        </w:rPr>
        <w:t>económico, las teorías migratorias han sido construidas con base, principalmente, en la migración laboral, si tradicionalmente se ha otorgado a los varones la función productiva, parece deducirse —de forma errónea— que la mi- gración debe ser masculina </w:t>
      </w:r>
      <w:r>
        <w:rPr>
          <w:color w:val="231F20"/>
          <w:spacing w:val="-7"/>
        </w:rPr>
        <w:t>y, </w:t>
      </w:r>
      <w:r>
        <w:rPr>
          <w:color w:val="231F20"/>
        </w:rPr>
        <w:t>la femenina en su caso es de acompaña- miento.</w:t>
      </w:r>
      <w:r>
        <w:rPr>
          <w:color w:val="231F20"/>
          <w:spacing w:val="-10"/>
        </w:rPr>
        <w:t> </w:t>
      </w:r>
      <w:r>
        <w:rPr>
          <w:color w:val="231F20"/>
        </w:rPr>
        <w:t>Desde</w:t>
      </w:r>
      <w:r>
        <w:rPr>
          <w:color w:val="231F20"/>
          <w:spacing w:val="-9"/>
        </w:rPr>
        <w:t> </w:t>
      </w:r>
      <w:r>
        <w:rPr>
          <w:color w:val="231F20"/>
        </w:rPr>
        <w:t>este</w:t>
      </w:r>
      <w:r>
        <w:rPr>
          <w:color w:val="231F20"/>
          <w:spacing w:val="-9"/>
        </w:rPr>
        <w:t> </w:t>
      </w:r>
      <w:r>
        <w:rPr>
          <w:color w:val="231F20"/>
        </w:rPr>
        <w:t>marco,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que</w:t>
      </w:r>
      <w:r>
        <w:rPr>
          <w:color w:val="231F20"/>
          <w:spacing w:val="-9"/>
        </w:rPr>
        <w:t> </w:t>
      </w:r>
      <w:r>
        <w:rPr>
          <w:color w:val="231F20"/>
        </w:rPr>
        <w:t>migran</w:t>
      </w:r>
      <w:r>
        <w:rPr>
          <w:color w:val="231F20"/>
          <w:spacing w:val="-9"/>
        </w:rPr>
        <w:t> </w:t>
      </w:r>
      <w:r>
        <w:rPr>
          <w:color w:val="231F20"/>
        </w:rPr>
        <w:t>por</w:t>
      </w:r>
      <w:r>
        <w:rPr>
          <w:color w:val="231F20"/>
          <w:spacing w:val="-9"/>
        </w:rPr>
        <w:t> </w:t>
      </w:r>
      <w:r>
        <w:rPr>
          <w:color w:val="231F20"/>
        </w:rPr>
        <w:t>razo- nes laborales, en tanto estarían haciendo funciones masculinas, deberían seguir los mismos patrones que los hombres. Por lo que la comunidad científica presentaba (y aún hay muchos investigadores que conciben)  el patrón migratorio sin tener en cuenta la migración diferencial entre géneros, bajo el supuesto que para analizar el fenómeno migratorio era suficiente tomar como modelo la migración masculina (Gregorio, 1998, 2012; Ariza, 2000; Campani, 2010; Baca 2011; Becerril, 2011; Sánchez y Sierra, 2013). Afortunadamente en la actualidad, cada vez más inves- tigadoras hacen alguna referencia a las relaciones de género en estudios sobre diversas temáticas del fenómeno migratorio internacional (merca- do de trabajo, globalización, etnicidad, familia transnacional,</w:t>
      </w:r>
      <w:r>
        <w:rPr>
          <w:color w:val="231F20"/>
          <w:spacing w:val="-3"/>
        </w:rPr>
        <w:t> </w:t>
      </w:r>
      <w:r>
        <w:rPr>
          <w:color w:val="231F20"/>
        </w:rPr>
        <w:t>etcétera).</w:t>
      </w:r>
    </w:p>
    <w:p>
      <w:pPr>
        <w:pStyle w:val="BodyText"/>
        <w:spacing w:line="249" w:lineRule="auto" w:before="1"/>
        <w:ind w:left="110" w:right="111" w:firstLine="283"/>
        <w:jc w:val="both"/>
      </w:pPr>
      <w:r>
        <w:rPr>
          <w:color w:val="231F20"/>
        </w:rPr>
        <w:t>Con</w:t>
      </w:r>
      <w:r>
        <w:rPr>
          <w:color w:val="231F20"/>
          <w:spacing w:val="-13"/>
        </w:rPr>
        <w:t> </w:t>
      </w:r>
      <w:r>
        <w:rPr>
          <w:color w:val="231F20"/>
        </w:rPr>
        <w:t>el</w:t>
      </w:r>
      <w:r>
        <w:rPr>
          <w:color w:val="231F20"/>
          <w:spacing w:val="-13"/>
        </w:rPr>
        <w:t> </w:t>
      </w:r>
      <w:r>
        <w:rPr>
          <w:color w:val="231F20"/>
          <w:spacing w:val="-3"/>
        </w:rPr>
        <w:t>desarrollo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estudios</w:t>
      </w:r>
      <w:r>
        <w:rPr>
          <w:color w:val="231F20"/>
          <w:spacing w:val="-13"/>
        </w:rPr>
        <w:t> </w:t>
      </w:r>
      <w:r>
        <w:rPr>
          <w:color w:val="231F20"/>
        </w:rPr>
        <w:t>con</w:t>
      </w:r>
      <w:r>
        <w:rPr>
          <w:color w:val="231F20"/>
          <w:spacing w:val="-13"/>
        </w:rPr>
        <w:t> </w:t>
      </w:r>
      <w:r>
        <w:rPr>
          <w:color w:val="231F20"/>
          <w:spacing w:val="-3"/>
        </w:rPr>
        <w:t>enfoque</w:t>
      </w:r>
      <w:r>
        <w:rPr>
          <w:color w:val="231F20"/>
          <w:spacing w:val="-13"/>
        </w:rPr>
        <w:t> </w:t>
      </w:r>
      <w:r>
        <w:rPr>
          <w:color w:val="231F20"/>
        </w:rPr>
        <w:t>de</w:t>
      </w:r>
      <w:r>
        <w:rPr>
          <w:color w:val="231F20"/>
          <w:spacing w:val="-13"/>
        </w:rPr>
        <w:t> </w:t>
      </w:r>
      <w:r>
        <w:rPr>
          <w:color w:val="231F20"/>
          <w:spacing w:val="-3"/>
        </w:rPr>
        <w:t>género,</w:t>
      </w:r>
      <w:r>
        <w:rPr>
          <w:color w:val="231F20"/>
          <w:spacing w:val="-13"/>
        </w:rPr>
        <w:t> </w:t>
      </w:r>
      <w:r>
        <w:rPr>
          <w:color w:val="231F20"/>
        </w:rPr>
        <w:t>se</w:t>
      </w:r>
      <w:r>
        <w:rPr>
          <w:color w:val="231F20"/>
          <w:spacing w:val="-13"/>
        </w:rPr>
        <w:t> </w:t>
      </w:r>
      <w:r>
        <w:rPr>
          <w:color w:val="231F20"/>
        </w:rPr>
        <w:t>han</w:t>
      </w:r>
      <w:r>
        <w:rPr>
          <w:color w:val="231F20"/>
          <w:spacing w:val="-13"/>
        </w:rPr>
        <w:t> </w:t>
      </w:r>
      <w:r>
        <w:rPr>
          <w:color w:val="231F20"/>
          <w:spacing w:val="-3"/>
        </w:rPr>
        <w:t>amplia- </w:t>
      </w:r>
      <w:r>
        <w:rPr>
          <w:color w:val="231F20"/>
        </w:rPr>
        <w:t>do</w:t>
      </w:r>
      <w:r>
        <w:rPr>
          <w:color w:val="231F20"/>
          <w:spacing w:val="-10"/>
        </w:rPr>
        <w:t> </w:t>
      </w:r>
      <w:r>
        <w:rPr>
          <w:color w:val="231F20"/>
        </w:rPr>
        <w:t>los</w:t>
      </w:r>
      <w:r>
        <w:rPr>
          <w:color w:val="231F20"/>
          <w:spacing w:val="-10"/>
        </w:rPr>
        <w:t> </w:t>
      </w:r>
      <w:r>
        <w:rPr>
          <w:color w:val="231F20"/>
          <w:spacing w:val="-3"/>
        </w:rPr>
        <w:t>conocimientos</w:t>
      </w:r>
      <w:r>
        <w:rPr>
          <w:color w:val="231F20"/>
          <w:spacing w:val="-11"/>
        </w:rPr>
        <w:t> </w:t>
      </w:r>
      <w:r>
        <w:rPr>
          <w:color w:val="231F20"/>
          <w:spacing w:val="-3"/>
        </w:rPr>
        <w:t>sobre</w:t>
      </w:r>
      <w:r>
        <w:rPr>
          <w:color w:val="231F20"/>
          <w:spacing w:val="-10"/>
        </w:rPr>
        <w:t> </w:t>
      </w:r>
      <w:r>
        <w:rPr>
          <w:color w:val="231F20"/>
        </w:rPr>
        <w:t>las</w:t>
      </w:r>
      <w:r>
        <w:rPr>
          <w:color w:val="231F20"/>
          <w:spacing w:val="-10"/>
        </w:rPr>
        <w:t> </w:t>
      </w:r>
      <w:r>
        <w:rPr>
          <w:color w:val="231F20"/>
          <w:spacing w:val="-3"/>
        </w:rPr>
        <w:t>particularidades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spacing w:val="-3"/>
        </w:rPr>
        <w:t>migraciones</w:t>
      </w:r>
      <w:r>
        <w:rPr>
          <w:color w:val="231F20"/>
          <w:spacing w:val="-11"/>
        </w:rPr>
        <w:t> </w:t>
      </w:r>
      <w:r>
        <w:rPr>
          <w:color w:val="231F20"/>
          <w:spacing w:val="-3"/>
        </w:rPr>
        <w:t>femeni- nas. </w:t>
      </w:r>
      <w:r>
        <w:rPr>
          <w:color w:val="231F20"/>
        </w:rPr>
        <w:t>Los hallazgos de investigación encontrados en los diversos estudios sobre las migraciones que registraron a las mujeres como protagonistas en</w:t>
      </w:r>
      <w:r>
        <w:rPr>
          <w:color w:val="231F20"/>
          <w:spacing w:val="-7"/>
        </w:rPr>
        <w:t> </w:t>
      </w:r>
      <w:r>
        <w:rPr>
          <w:color w:val="231F20"/>
        </w:rPr>
        <w:t>varias</w:t>
      </w:r>
      <w:r>
        <w:rPr>
          <w:color w:val="231F20"/>
          <w:spacing w:val="-6"/>
        </w:rPr>
        <w:t> </w:t>
      </w:r>
      <w:r>
        <w:rPr>
          <w:color w:val="231F20"/>
        </w:rPr>
        <w:t>de</w:t>
      </w:r>
      <w:r>
        <w:rPr>
          <w:color w:val="231F20"/>
          <w:spacing w:val="-6"/>
        </w:rPr>
        <w:t> </w:t>
      </w:r>
      <w:r>
        <w:rPr>
          <w:color w:val="231F20"/>
        </w:rPr>
        <w:t>las</w:t>
      </w:r>
      <w:r>
        <w:rPr>
          <w:color w:val="231F20"/>
          <w:spacing w:val="-7"/>
        </w:rPr>
        <w:t> </w:t>
      </w:r>
      <w:r>
        <w:rPr>
          <w:color w:val="231F20"/>
        </w:rPr>
        <w:t>grandes</w:t>
      </w:r>
      <w:r>
        <w:rPr>
          <w:color w:val="231F20"/>
          <w:spacing w:val="-6"/>
        </w:rPr>
        <w:t> </w:t>
      </w:r>
      <w:r>
        <w:rPr>
          <w:color w:val="231F20"/>
        </w:rPr>
        <w:t>corriente</w:t>
      </w:r>
      <w:r>
        <w:rPr>
          <w:color w:val="231F20"/>
          <w:spacing w:val="-7"/>
        </w:rPr>
        <w:t> </w:t>
      </w:r>
      <w:r>
        <w:rPr>
          <w:color w:val="231F20"/>
        </w:rPr>
        <w:t>migratorias</w:t>
      </w:r>
      <w:r>
        <w:rPr>
          <w:color w:val="231F20"/>
          <w:spacing w:val="-7"/>
        </w:rPr>
        <w:t> </w:t>
      </w:r>
      <w:r>
        <w:rPr>
          <w:color w:val="231F20"/>
        </w:rPr>
        <w:t>campo-ciudad</w:t>
      </w:r>
      <w:r>
        <w:rPr>
          <w:color w:val="231F20"/>
          <w:spacing w:val="-7"/>
        </w:rPr>
        <w:t> </w:t>
      </w:r>
      <w:r>
        <w:rPr>
          <w:color w:val="231F20"/>
        </w:rPr>
        <w:t>y</w:t>
      </w:r>
      <w:r>
        <w:rPr>
          <w:color w:val="231F20"/>
          <w:spacing w:val="-6"/>
        </w:rPr>
        <w:t> </w:t>
      </w:r>
      <w:r>
        <w:rPr>
          <w:color w:val="231F20"/>
        </w:rPr>
        <w:t>en</w:t>
      </w:r>
      <w:r>
        <w:rPr>
          <w:color w:val="231F20"/>
          <w:spacing w:val="-7"/>
        </w:rPr>
        <w:t> </w:t>
      </w:r>
      <w:r>
        <w:rPr>
          <w:color w:val="231F20"/>
        </w:rPr>
        <w:t>las</w:t>
      </w:r>
      <w:r>
        <w:rPr>
          <w:color w:val="231F20"/>
          <w:spacing w:val="-7"/>
        </w:rPr>
        <w:t> </w:t>
      </w:r>
      <w:r>
        <w:rPr>
          <w:color w:val="231F20"/>
        </w:rPr>
        <w:t>pro- pias migraciones internacionales </w:t>
      </w:r>
      <w:r>
        <w:rPr>
          <w:color w:val="231F20"/>
          <w:spacing w:val="-7"/>
        </w:rPr>
        <w:t>y, </w:t>
      </w:r>
      <w:r>
        <w:rPr>
          <w:color w:val="231F20"/>
        </w:rPr>
        <w:t>el considerar a las migraciones</w:t>
      </w:r>
      <w:r>
        <w:rPr>
          <w:color w:val="231F20"/>
          <w:spacing w:val="-23"/>
        </w:rPr>
        <w:t> </w:t>
      </w:r>
      <w:r>
        <w:rPr>
          <w:color w:val="231F20"/>
        </w:rPr>
        <w:t>como un componente de procesos socioeconómicos más amplios contribuye- ron</w:t>
      </w:r>
      <w:r>
        <w:rPr>
          <w:color w:val="231F20"/>
          <w:spacing w:val="-4"/>
        </w:rPr>
        <w:t> </w:t>
      </w:r>
      <w:r>
        <w:rPr>
          <w:color w:val="231F20"/>
        </w:rPr>
        <w:t>a</w:t>
      </w:r>
      <w:r>
        <w:rPr>
          <w:color w:val="231F20"/>
          <w:spacing w:val="-4"/>
        </w:rPr>
        <w:t> </w:t>
      </w:r>
      <w:r>
        <w:rPr>
          <w:color w:val="231F20"/>
        </w:rPr>
        <w:t>darle</w:t>
      </w:r>
      <w:r>
        <w:rPr>
          <w:color w:val="231F20"/>
          <w:spacing w:val="-4"/>
        </w:rPr>
        <w:t> </w:t>
      </w:r>
      <w:r>
        <w:rPr>
          <w:color w:val="231F20"/>
        </w:rPr>
        <w:t>visibilidad</w:t>
      </w:r>
      <w:r>
        <w:rPr>
          <w:color w:val="231F20"/>
          <w:spacing w:val="-5"/>
        </w:rPr>
        <w:t> </w:t>
      </w:r>
      <w:r>
        <w:rPr>
          <w:color w:val="231F20"/>
        </w:rPr>
        <w:t>al</w:t>
      </w:r>
      <w:r>
        <w:rPr>
          <w:color w:val="231F20"/>
          <w:spacing w:val="-4"/>
        </w:rPr>
        <w:t> </w:t>
      </w:r>
      <w:r>
        <w:rPr>
          <w:color w:val="231F20"/>
        </w:rPr>
        <w:t>protagonismo</w:t>
      </w:r>
      <w:r>
        <w:rPr>
          <w:color w:val="231F20"/>
          <w:spacing w:val="-4"/>
        </w:rPr>
        <w:t> </w:t>
      </w:r>
      <w:r>
        <w:rPr>
          <w:color w:val="231F20"/>
        </w:rPr>
        <w:t>de</w:t>
      </w:r>
      <w:r>
        <w:rPr>
          <w:color w:val="231F20"/>
          <w:spacing w:val="-4"/>
        </w:rPr>
        <w:t> </w:t>
      </w:r>
      <w:r>
        <w:rPr>
          <w:color w:val="231F20"/>
        </w:rPr>
        <w:t>las</w:t>
      </w:r>
      <w:r>
        <w:rPr>
          <w:color w:val="231F20"/>
          <w:spacing w:val="-5"/>
        </w:rPr>
        <w:t> </w:t>
      </w:r>
      <w:r>
        <w:rPr>
          <w:color w:val="231F20"/>
        </w:rPr>
        <w:t>mujeres</w:t>
      </w:r>
      <w:r>
        <w:rPr>
          <w:color w:val="231F20"/>
          <w:spacing w:val="-5"/>
        </w:rPr>
        <w:t> </w:t>
      </w:r>
      <w:r>
        <w:rPr>
          <w:color w:val="231F20"/>
        </w:rPr>
        <w:t>en</w:t>
      </w:r>
      <w:r>
        <w:rPr>
          <w:color w:val="231F20"/>
          <w:spacing w:val="-5"/>
        </w:rPr>
        <w:t> </w:t>
      </w:r>
      <w:r>
        <w:rPr>
          <w:color w:val="231F20"/>
        </w:rPr>
        <w:t>la</w:t>
      </w:r>
      <w:r>
        <w:rPr>
          <w:color w:val="231F20"/>
          <w:spacing w:val="-4"/>
        </w:rPr>
        <w:t> </w:t>
      </w:r>
      <w:r>
        <w:rPr>
          <w:color w:val="231F20"/>
        </w:rPr>
        <w:t>reproducción social y el cambio social.</w:t>
      </w:r>
      <w:r>
        <w:rPr>
          <w:color w:val="231F20"/>
          <w:position w:val="7"/>
          <w:sz w:val="11"/>
        </w:rPr>
        <w:t>5 </w:t>
      </w:r>
      <w:r>
        <w:rPr>
          <w:color w:val="231F20"/>
        </w:rPr>
        <w:t>“Mostrar que la reproducción social se</w:t>
      </w:r>
      <w:r>
        <w:rPr>
          <w:color w:val="231F20"/>
          <w:spacing w:val="-35"/>
        </w:rPr>
        <w:t> </w:t>
      </w:r>
      <w:r>
        <w:rPr>
          <w:color w:val="231F20"/>
        </w:rPr>
        <w:t>asienta</w:t>
      </w:r>
    </w:p>
    <w:p>
      <w:pPr>
        <w:spacing w:before="116"/>
        <w:ind w:left="110" w:right="111" w:firstLine="0"/>
        <w:jc w:val="both"/>
        <w:rPr>
          <w:sz w:val="14"/>
        </w:rPr>
      </w:pPr>
      <w:r>
        <w:rPr>
          <w:color w:val="231F20"/>
          <w:position w:val="5"/>
          <w:sz w:val="8"/>
        </w:rPr>
        <w:t>4</w:t>
      </w:r>
      <w:r>
        <w:rPr>
          <w:color w:val="231F20"/>
          <w:spacing w:val="9"/>
          <w:position w:val="5"/>
          <w:sz w:val="8"/>
        </w:rPr>
        <w:t> </w:t>
      </w:r>
      <w:r>
        <w:rPr>
          <w:color w:val="231F20"/>
          <w:sz w:val="14"/>
        </w:rPr>
        <w:t>La</w:t>
      </w:r>
      <w:r>
        <w:rPr>
          <w:color w:val="231F20"/>
          <w:spacing w:val="-6"/>
          <w:sz w:val="14"/>
        </w:rPr>
        <w:t> </w:t>
      </w:r>
      <w:r>
        <w:rPr>
          <w:color w:val="231F20"/>
          <w:sz w:val="14"/>
        </w:rPr>
        <w:t>Organización</w:t>
      </w:r>
      <w:r>
        <w:rPr>
          <w:color w:val="231F20"/>
          <w:spacing w:val="-6"/>
          <w:sz w:val="14"/>
        </w:rPr>
        <w:t> </w:t>
      </w:r>
      <w:r>
        <w:rPr>
          <w:color w:val="231F20"/>
          <w:sz w:val="14"/>
        </w:rPr>
        <w:t>Internacional</w:t>
      </w:r>
      <w:r>
        <w:rPr>
          <w:color w:val="231F20"/>
          <w:spacing w:val="-6"/>
          <w:sz w:val="14"/>
        </w:rPr>
        <w:t> </w:t>
      </w:r>
      <w:r>
        <w:rPr>
          <w:color w:val="231F20"/>
          <w:sz w:val="14"/>
        </w:rPr>
        <w:t>del</w:t>
      </w:r>
      <w:r>
        <w:rPr>
          <w:color w:val="231F20"/>
          <w:spacing w:val="-9"/>
          <w:sz w:val="14"/>
        </w:rPr>
        <w:t> </w:t>
      </w:r>
      <w:r>
        <w:rPr>
          <w:color w:val="231F20"/>
          <w:sz w:val="14"/>
        </w:rPr>
        <w:t>Trabajo</w:t>
      </w:r>
      <w:r>
        <w:rPr>
          <w:color w:val="231F20"/>
          <w:spacing w:val="-6"/>
          <w:sz w:val="14"/>
        </w:rPr>
        <w:t> </w:t>
      </w:r>
      <w:r>
        <w:rPr>
          <w:color w:val="231F20"/>
          <w:sz w:val="14"/>
        </w:rPr>
        <w:t>confirma</w:t>
      </w:r>
      <w:r>
        <w:rPr>
          <w:color w:val="231F20"/>
          <w:spacing w:val="-6"/>
          <w:sz w:val="14"/>
        </w:rPr>
        <w:t> </w:t>
      </w:r>
      <w:r>
        <w:rPr>
          <w:color w:val="231F20"/>
          <w:sz w:val="14"/>
        </w:rPr>
        <w:t>que</w:t>
      </w:r>
      <w:r>
        <w:rPr>
          <w:color w:val="231F20"/>
          <w:spacing w:val="-6"/>
          <w:sz w:val="14"/>
        </w:rPr>
        <w:t> </w:t>
      </w:r>
      <w:r>
        <w:rPr>
          <w:color w:val="231F20"/>
          <w:sz w:val="14"/>
        </w:rPr>
        <w:t>desde</w:t>
      </w:r>
      <w:r>
        <w:rPr>
          <w:color w:val="231F20"/>
          <w:spacing w:val="-6"/>
          <w:sz w:val="14"/>
        </w:rPr>
        <w:t> </w:t>
      </w:r>
      <w:r>
        <w:rPr>
          <w:color w:val="231F20"/>
          <w:sz w:val="14"/>
        </w:rPr>
        <w:t>1960</w:t>
      </w:r>
      <w:r>
        <w:rPr>
          <w:color w:val="231F20"/>
          <w:spacing w:val="-6"/>
          <w:sz w:val="14"/>
        </w:rPr>
        <w:t> </w:t>
      </w:r>
      <w:r>
        <w:rPr>
          <w:color w:val="231F20"/>
          <w:sz w:val="14"/>
        </w:rPr>
        <w:t>la</w:t>
      </w:r>
      <w:r>
        <w:rPr>
          <w:color w:val="231F20"/>
          <w:spacing w:val="-6"/>
          <w:sz w:val="14"/>
        </w:rPr>
        <w:t> </w:t>
      </w:r>
      <w:r>
        <w:rPr>
          <w:color w:val="231F20"/>
          <w:sz w:val="14"/>
        </w:rPr>
        <w:t>cantidad</w:t>
      </w:r>
      <w:r>
        <w:rPr>
          <w:color w:val="231F20"/>
          <w:spacing w:val="-6"/>
          <w:sz w:val="14"/>
        </w:rPr>
        <w:t> </w:t>
      </w:r>
      <w:r>
        <w:rPr>
          <w:color w:val="231F20"/>
          <w:sz w:val="14"/>
        </w:rPr>
        <w:t>de</w:t>
      </w:r>
      <w:r>
        <w:rPr>
          <w:color w:val="231F20"/>
          <w:spacing w:val="-6"/>
          <w:sz w:val="14"/>
        </w:rPr>
        <w:t> </w:t>
      </w:r>
      <w:r>
        <w:rPr>
          <w:color w:val="231F20"/>
          <w:sz w:val="14"/>
        </w:rPr>
        <w:t>mujeres</w:t>
      </w:r>
      <w:r>
        <w:rPr>
          <w:color w:val="231F20"/>
          <w:spacing w:val="-6"/>
          <w:sz w:val="14"/>
        </w:rPr>
        <w:t> </w:t>
      </w:r>
      <w:r>
        <w:rPr>
          <w:color w:val="231F20"/>
          <w:sz w:val="14"/>
        </w:rPr>
        <w:t>que</w:t>
      </w:r>
      <w:r>
        <w:rPr>
          <w:color w:val="231F20"/>
          <w:spacing w:val="-6"/>
          <w:sz w:val="14"/>
        </w:rPr>
        <w:t> </w:t>
      </w:r>
      <w:r>
        <w:rPr>
          <w:color w:val="231F20"/>
          <w:sz w:val="14"/>
        </w:rPr>
        <w:t>migran cruzando fronteras nacionales llegó a ser casi la misma que de hombres (47 por ciento). Desde enton- ces, la proporción femenina de la migración internacional ha aumentado levemente hasta alcanzar 48 por ciento en 1990, casi 49 por ciento en el 2000, y 49 por ciento para el 2014, según la Organización Internacional para las</w:t>
      </w:r>
      <w:r>
        <w:rPr>
          <w:color w:val="231F20"/>
          <w:spacing w:val="-13"/>
          <w:sz w:val="14"/>
        </w:rPr>
        <w:t> </w:t>
      </w:r>
      <w:r>
        <w:rPr>
          <w:color w:val="231F20"/>
          <w:sz w:val="14"/>
        </w:rPr>
        <w:t>Migraciones.</w:t>
      </w:r>
    </w:p>
    <w:p>
      <w:pPr>
        <w:spacing w:line="160" w:lineRule="exact" w:before="0"/>
        <w:ind w:left="110" w:right="0" w:firstLine="0"/>
        <w:jc w:val="both"/>
        <w:rPr>
          <w:sz w:val="14"/>
        </w:rPr>
      </w:pPr>
      <w:r>
        <w:rPr>
          <w:color w:val="231F20"/>
          <w:position w:val="5"/>
          <w:sz w:val="8"/>
        </w:rPr>
        <w:t>5 </w:t>
      </w:r>
      <w:r>
        <w:rPr>
          <w:color w:val="231F20"/>
          <w:sz w:val="14"/>
        </w:rPr>
        <w:t>Para Virginia Maquieira (2001) si el enfoque de género considera indisociable el análisis de las catego-</w:t>
      </w:r>
    </w:p>
    <w:p>
      <w:pPr>
        <w:spacing w:after="0" w:line="160" w:lineRule="exact"/>
        <w:jc w:val="both"/>
        <w:rPr>
          <w:sz w:val="14"/>
        </w:rPr>
        <w:sectPr>
          <w:pgSz w:w="7770" w:h="11740"/>
          <w:pgMar w:header="0" w:footer="474" w:top="840" w:bottom="740" w:left="740" w:right="1020"/>
        </w:sectPr>
      </w:pPr>
    </w:p>
    <w:p>
      <w:pPr>
        <w:pStyle w:val="BodyText"/>
        <w:spacing w:line="249" w:lineRule="auto" w:before="60"/>
        <w:ind w:left="113" w:right="108"/>
        <w:jc w:val="both"/>
      </w:pPr>
      <w:r>
        <w:rPr>
          <w:color w:val="231F20"/>
        </w:rPr>
        <w:t>en las desigualdades de género así como en otras desigualdades, y que éstas son inmutables” (Gregorio, 2012: 39), sigue formando parte de los intereses académicos de los estudios feministas.</w:t>
      </w:r>
    </w:p>
    <w:p>
      <w:pPr>
        <w:pStyle w:val="BodyText"/>
        <w:spacing w:line="249" w:lineRule="auto" w:before="1"/>
        <w:ind w:left="113" w:right="108" w:firstLine="283"/>
        <w:jc w:val="both"/>
      </w:pPr>
      <w:r>
        <w:rPr>
          <w:color w:val="231F20"/>
        </w:rPr>
        <w:t>La </w:t>
      </w:r>
      <w:r>
        <w:rPr>
          <w:color w:val="231F20"/>
          <w:spacing w:val="-3"/>
        </w:rPr>
        <w:t>movilidad femenina </w:t>
      </w:r>
      <w:r>
        <w:rPr>
          <w:color w:val="231F20"/>
        </w:rPr>
        <w:t>se </w:t>
      </w:r>
      <w:r>
        <w:rPr>
          <w:color w:val="231F20"/>
          <w:spacing w:val="-3"/>
        </w:rPr>
        <w:t>circunscribe </w:t>
      </w:r>
      <w:r>
        <w:rPr>
          <w:color w:val="231F20"/>
        </w:rPr>
        <w:t>a </w:t>
      </w:r>
      <w:r>
        <w:rPr>
          <w:color w:val="231F20"/>
          <w:spacing w:val="-3"/>
        </w:rPr>
        <w:t>particulares motivaciones re- lacionadas </w:t>
      </w:r>
      <w:r>
        <w:rPr>
          <w:color w:val="231F20"/>
        </w:rPr>
        <w:t>con las </w:t>
      </w:r>
      <w:r>
        <w:rPr>
          <w:color w:val="231F20"/>
          <w:spacing w:val="-3"/>
        </w:rPr>
        <w:t>construcciones culturales, instituciones sociales </w:t>
      </w:r>
      <w:r>
        <w:rPr>
          <w:color w:val="231F20"/>
        </w:rPr>
        <w:t>y </w:t>
      </w:r>
      <w:r>
        <w:rPr>
          <w:color w:val="231F20"/>
          <w:spacing w:val="-3"/>
        </w:rPr>
        <w:t>rela- ciones </w:t>
      </w:r>
      <w:r>
        <w:rPr>
          <w:color w:val="231F20"/>
        </w:rPr>
        <w:t>de </w:t>
      </w:r>
      <w:r>
        <w:rPr>
          <w:color w:val="231F20"/>
          <w:spacing w:val="-3"/>
        </w:rPr>
        <w:t>poder imperantes </w:t>
      </w:r>
      <w:r>
        <w:rPr>
          <w:color w:val="231F20"/>
        </w:rPr>
        <w:t>en sus </w:t>
      </w:r>
      <w:r>
        <w:rPr>
          <w:color w:val="231F20"/>
          <w:spacing w:val="-3"/>
        </w:rPr>
        <w:t>comunidades </w:t>
      </w:r>
      <w:r>
        <w:rPr>
          <w:color w:val="231F20"/>
        </w:rPr>
        <w:t>y </w:t>
      </w:r>
      <w:r>
        <w:rPr>
          <w:color w:val="231F20"/>
          <w:spacing w:val="-3"/>
        </w:rPr>
        <w:t>hogares, </w:t>
      </w:r>
      <w:r>
        <w:rPr>
          <w:color w:val="231F20"/>
        </w:rPr>
        <w:t>así </w:t>
      </w:r>
      <w:r>
        <w:rPr>
          <w:color w:val="231F20"/>
          <w:spacing w:val="-3"/>
        </w:rPr>
        <w:t>como </w:t>
      </w:r>
      <w:r>
        <w:rPr>
          <w:color w:val="231F20"/>
        </w:rPr>
        <w:t>a </w:t>
      </w:r>
      <w:r>
        <w:rPr>
          <w:color w:val="231F20"/>
          <w:spacing w:val="-3"/>
        </w:rPr>
        <w:t>sus propias</w:t>
      </w:r>
      <w:r>
        <w:rPr>
          <w:color w:val="231F20"/>
          <w:spacing w:val="-7"/>
        </w:rPr>
        <w:t> </w:t>
      </w:r>
      <w:r>
        <w:rPr>
          <w:color w:val="231F20"/>
          <w:spacing w:val="-3"/>
        </w:rPr>
        <w:t>experiencias</w:t>
      </w:r>
      <w:r>
        <w:rPr>
          <w:color w:val="231F20"/>
          <w:spacing w:val="-8"/>
        </w:rPr>
        <w:t> </w:t>
      </w:r>
      <w:r>
        <w:rPr>
          <w:color w:val="231F20"/>
        </w:rPr>
        <w:t>de</w:t>
      </w:r>
      <w:r>
        <w:rPr>
          <w:color w:val="231F20"/>
          <w:spacing w:val="-7"/>
        </w:rPr>
        <w:t> </w:t>
      </w:r>
      <w:r>
        <w:rPr>
          <w:color w:val="231F20"/>
          <w:spacing w:val="-3"/>
        </w:rPr>
        <w:t>vida</w:t>
      </w:r>
      <w:r>
        <w:rPr>
          <w:color w:val="231F20"/>
          <w:spacing w:val="-7"/>
        </w:rPr>
        <w:t> </w:t>
      </w:r>
      <w:r>
        <w:rPr>
          <w:color w:val="231F20"/>
        </w:rPr>
        <w:t>y</w:t>
      </w:r>
      <w:r>
        <w:rPr>
          <w:color w:val="231F20"/>
          <w:spacing w:val="-7"/>
        </w:rPr>
        <w:t> </w:t>
      </w:r>
      <w:r>
        <w:rPr>
          <w:color w:val="231F20"/>
          <w:spacing w:val="-3"/>
        </w:rPr>
        <w:t>tipos</w:t>
      </w:r>
      <w:r>
        <w:rPr>
          <w:color w:val="231F20"/>
          <w:spacing w:val="-7"/>
        </w:rPr>
        <w:t> </w:t>
      </w:r>
      <w:r>
        <w:rPr>
          <w:color w:val="231F20"/>
        </w:rPr>
        <w:t>de</w:t>
      </w:r>
      <w:r>
        <w:rPr>
          <w:color w:val="231F20"/>
          <w:spacing w:val="-7"/>
        </w:rPr>
        <w:t> </w:t>
      </w:r>
      <w:r>
        <w:rPr>
          <w:color w:val="231F20"/>
          <w:spacing w:val="-3"/>
        </w:rPr>
        <w:t>actividades</w:t>
      </w:r>
      <w:r>
        <w:rPr>
          <w:color w:val="231F20"/>
          <w:spacing w:val="-7"/>
        </w:rPr>
        <w:t> </w:t>
      </w:r>
      <w:r>
        <w:rPr>
          <w:color w:val="231F20"/>
          <w:spacing w:val="-3"/>
        </w:rPr>
        <w:t>cotidianas</w:t>
      </w:r>
      <w:r>
        <w:rPr>
          <w:color w:val="231F20"/>
          <w:spacing w:val="-7"/>
        </w:rPr>
        <w:t> </w:t>
      </w:r>
      <w:r>
        <w:rPr>
          <w:color w:val="231F20"/>
        </w:rPr>
        <w:t>que</w:t>
      </w:r>
      <w:r>
        <w:rPr>
          <w:color w:val="231F20"/>
          <w:spacing w:val="-7"/>
        </w:rPr>
        <w:t> </w:t>
      </w:r>
      <w:r>
        <w:rPr>
          <w:color w:val="231F20"/>
          <w:spacing w:val="-3"/>
        </w:rPr>
        <w:t>realizan. Sobresale </w:t>
      </w:r>
      <w:r>
        <w:rPr>
          <w:color w:val="231F20"/>
        </w:rPr>
        <w:t>la </w:t>
      </w:r>
      <w:r>
        <w:rPr>
          <w:color w:val="231F20"/>
          <w:spacing w:val="-3"/>
        </w:rPr>
        <w:t>importancia </w:t>
      </w:r>
      <w:r>
        <w:rPr>
          <w:color w:val="231F20"/>
        </w:rPr>
        <w:t>del </w:t>
      </w:r>
      <w:r>
        <w:rPr>
          <w:color w:val="231F20"/>
          <w:spacing w:val="-3"/>
        </w:rPr>
        <w:t>contexto </w:t>
      </w:r>
      <w:r>
        <w:rPr>
          <w:color w:val="231F20"/>
        </w:rPr>
        <w:t>del hogar como espacio en don-  de se toman decisiones, donde se forjan los diferentes intereses de sus miembros, donde se tejen las redes y donde se aceptan, favorecen o</w:t>
      </w:r>
      <w:r>
        <w:rPr>
          <w:color w:val="231F20"/>
          <w:spacing w:val="-27"/>
        </w:rPr>
        <w:t> </w:t>
      </w:r>
      <w:r>
        <w:rPr>
          <w:color w:val="231F20"/>
        </w:rPr>
        <w:t>con- dicionan las migraciones, es decir, donde hay influencia directa</w:t>
      </w:r>
      <w:r>
        <w:rPr>
          <w:color w:val="231F20"/>
          <w:spacing w:val="-12"/>
        </w:rPr>
        <w:t> </w:t>
      </w:r>
      <w:r>
        <w:rPr>
          <w:color w:val="231F20"/>
        </w:rPr>
        <w:t>respecto de quién migra y quién no, o bien bajo qué circunstancias lo hacen los hombres y en qué condiciones lo hacen las</w:t>
      </w:r>
      <w:r>
        <w:rPr>
          <w:color w:val="231F20"/>
          <w:spacing w:val="-4"/>
        </w:rPr>
        <w:t> </w:t>
      </w:r>
      <w:r>
        <w:rPr>
          <w:color w:val="231F20"/>
        </w:rPr>
        <w:t>mujeres.</w:t>
      </w:r>
    </w:p>
    <w:p>
      <w:pPr>
        <w:pStyle w:val="BodyText"/>
        <w:spacing w:line="249" w:lineRule="auto" w:before="1"/>
        <w:ind w:left="113" w:right="107" w:firstLine="283"/>
        <w:jc w:val="both"/>
      </w:pPr>
      <w:r>
        <w:rPr>
          <w:color w:val="231F20"/>
        </w:rPr>
        <w:t>Indudablemente, un aspecto trascendental </w:t>
      </w:r>
      <w:r>
        <w:rPr>
          <w:color w:val="231F20"/>
          <w:spacing w:val="-3"/>
        </w:rPr>
        <w:t>para </w:t>
      </w:r>
      <w:r>
        <w:rPr>
          <w:color w:val="231F20"/>
        </w:rPr>
        <w:t>el </w:t>
      </w:r>
      <w:r>
        <w:rPr>
          <w:color w:val="231F20"/>
          <w:spacing w:val="-3"/>
        </w:rPr>
        <w:t>desarrollo </w:t>
      </w:r>
      <w:r>
        <w:rPr>
          <w:color w:val="231F20"/>
        </w:rPr>
        <w:t>del </w:t>
      </w:r>
      <w:r>
        <w:rPr>
          <w:color w:val="231F20"/>
          <w:spacing w:val="-3"/>
        </w:rPr>
        <w:t>aná- lisis </w:t>
      </w:r>
      <w:r>
        <w:rPr>
          <w:color w:val="231F20"/>
        </w:rPr>
        <w:t>de la </w:t>
      </w:r>
      <w:r>
        <w:rPr>
          <w:color w:val="231F20"/>
          <w:spacing w:val="-3"/>
        </w:rPr>
        <w:t>relación entre migración femenina </w:t>
      </w:r>
      <w:r>
        <w:rPr>
          <w:color w:val="231F20"/>
        </w:rPr>
        <w:t>y </w:t>
      </w:r>
      <w:r>
        <w:rPr>
          <w:color w:val="231F20"/>
          <w:spacing w:val="-3"/>
        </w:rPr>
        <w:t>mercados </w:t>
      </w:r>
      <w:r>
        <w:rPr>
          <w:color w:val="231F20"/>
        </w:rPr>
        <w:t>de </w:t>
      </w:r>
      <w:r>
        <w:rPr>
          <w:color w:val="231F20"/>
          <w:spacing w:val="-3"/>
        </w:rPr>
        <w:t>trabajo </w:t>
      </w:r>
      <w:r>
        <w:rPr>
          <w:color w:val="231F20"/>
        </w:rPr>
        <w:t>es </w:t>
      </w:r>
      <w:r>
        <w:rPr>
          <w:color w:val="231F20"/>
          <w:spacing w:val="-3"/>
        </w:rPr>
        <w:t>el reconocimiento </w:t>
      </w:r>
      <w:r>
        <w:rPr>
          <w:color w:val="231F20"/>
        </w:rPr>
        <w:t>de </w:t>
      </w:r>
      <w:r>
        <w:rPr>
          <w:color w:val="231F20"/>
          <w:spacing w:val="-3"/>
        </w:rPr>
        <w:t>movimientos migratorios autónomos </w:t>
      </w:r>
      <w:r>
        <w:rPr>
          <w:color w:val="231F20"/>
        </w:rPr>
        <w:t>de </w:t>
      </w:r>
      <w:r>
        <w:rPr>
          <w:color w:val="231F20"/>
          <w:spacing w:val="-3"/>
        </w:rPr>
        <w:t>mujeres. De igual forma </w:t>
      </w:r>
      <w:r>
        <w:rPr>
          <w:color w:val="231F20"/>
        </w:rPr>
        <w:t>es </w:t>
      </w:r>
      <w:r>
        <w:rPr>
          <w:color w:val="231F20"/>
          <w:spacing w:val="-3"/>
        </w:rPr>
        <w:t>importante subrayar </w:t>
      </w:r>
      <w:r>
        <w:rPr>
          <w:color w:val="231F20"/>
        </w:rPr>
        <w:t>la necesidad de considerar en los es- tudios sobre migraciones femeninas las articulaciones de género/raza o etnia, generación y de otras relaciones sociales como el estrato social </w:t>
      </w:r>
      <w:r>
        <w:rPr>
          <w:color w:val="231F20"/>
          <w:spacing w:val="-7"/>
        </w:rPr>
        <w:t>y, </w:t>
      </w:r>
      <w:r>
        <w:rPr>
          <w:color w:val="231F20"/>
        </w:rPr>
        <w:t>tomar en cuenta referentes socioeconómicos de los lugares de origen y de destino de la corriente migratoria en estudio, porque su</w:t>
      </w:r>
      <w:r>
        <w:rPr>
          <w:color w:val="231F20"/>
          <w:spacing w:val="-30"/>
        </w:rPr>
        <w:t> </w:t>
      </w:r>
      <w:r>
        <w:rPr>
          <w:color w:val="231F20"/>
        </w:rPr>
        <w:t>consideración aportará</w:t>
      </w:r>
      <w:r>
        <w:rPr>
          <w:color w:val="231F20"/>
          <w:spacing w:val="-5"/>
        </w:rPr>
        <w:t> </w:t>
      </w:r>
      <w:r>
        <w:rPr>
          <w:color w:val="231F20"/>
        </w:rPr>
        <w:t>a</w:t>
      </w:r>
      <w:r>
        <w:rPr>
          <w:color w:val="231F20"/>
          <w:spacing w:val="-4"/>
        </w:rPr>
        <w:t> </w:t>
      </w:r>
      <w:r>
        <w:rPr>
          <w:color w:val="231F20"/>
        </w:rPr>
        <w:t>una</w:t>
      </w:r>
      <w:r>
        <w:rPr>
          <w:color w:val="231F20"/>
          <w:spacing w:val="-4"/>
        </w:rPr>
        <w:t> </w:t>
      </w:r>
      <w:r>
        <w:rPr>
          <w:color w:val="231F20"/>
        </w:rPr>
        <w:t>mejor</w:t>
      </w:r>
      <w:r>
        <w:rPr>
          <w:color w:val="231F20"/>
          <w:spacing w:val="-5"/>
        </w:rPr>
        <w:t> </w:t>
      </w:r>
      <w:r>
        <w:rPr>
          <w:color w:val="231F20"/>
        </w:rPr>
        <w:t>lectura</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participación</w:t>
      </w:r>
      <w:r>
        <w:rPr>
          <w:color w:val="231F20"/>
          <w:spacing w:val="-4"/>
        </w:rPr>
        <w:t> </w:t>
      </w:r>
      <w:r>
        <w:rPr>
          <w:color w:val="231F20"/>
        </w:rPr>
        <w:t>de</w:t>
      </w:r>
      <w:r>
        <w:rPr>
          <w:color w:val="231F20"/>
          <w:spacing w:val="-4"/>
        </w:rPr>
        <w:t> </w:t>
      </w:r>
      <w:r>
        <w:rPr>
          <w:color w:val="231F20"/>
        </w:rPr>
        <w:t>las</w:t>
      </w:r>
      <w:r>
        <w:rPr>
          <w:color w:val="231F20"/>
          <w:spacing w:val="-5"/>
        </w:rPr>
        <w:t> </w:t>
      </w:r>
      <w:r>
        <w:rPr>
          <w:color w:val="231F20"/>
        </w:rPr>
        <w:t>diversas</w:t>
      </w:r>
      <w:r>
        <w:rPr>
          <w:color w:val="231F20"/>
          <w:spacing w:val="-4"/>
        </w:rPr>
        <w:t> </w:t>
      </w:r>
      <w:r>
        <w:rPr>
          <w:color w:val="231F20"/>
        </w:rPr>
        <w:t>formas</w:t>
      </w:r>
      <w:r>
        <w:rPr>
          <w:color w:val="231F20"/>
          <w:spacing w:val="-4"/>
        </w:rPr>
        <w:t> </w:t>
      </w:r>
      <w:r>
        <w:rPr>
          <w:color w:val="231F20"/>
        </w:rPr>
        <w:t>de ampliar las relaciones sociales; aunque claro está que las bases de datos nunca serán lo suficientemente amplias para dar cabida a todas las rela- ciones sociales involucradas en el</w:t>
      </w:r>
      <w:r>
        <w:rPr>
          <w:color w:val="231F20"/>
          <w:spacing w:val="-10"/>
        </w:rPr>
        <w:t> </w:t>
      </w:r>
      <w:r>
        <w:rPr>
          <w:color w:val="231F20"/>
        </w:rPr>
        <w:t>fenómeno.</w:t>
      </w:r>
    </w:p>
    <w:p>
      <w:pPr>
        <w:pStyle w:val="BodyText"/>
        <w:spacing w:line="249" w:lineRule="auto" w:before="1"/>
        <w:ind w:left="113" w:right="108" w:firstLine="283"/>
        <w:jc w:val="both"/>
      </w:pPr>
      <w:r>
        <w:rPr/>
        <w:pict>
          <v:line style="position:absolute;mso-position-horizontal-relative:page;mso-position-vertical-relative:paragraph;z-index:7864;mso-wrap-distance-left:0;mso-wrap-distance-right:0" from="56.692902pt,160.342026pt" to="344.692902pt,160.342026pt" stroked="true" strokeweight="1pt" strokecolor="#231f20">
            <w10:wrap type="topAndBottom"/>
          </v:line>
        </w:pict>
      </w:r>
      <w:r>
        <w:rPr>
          <w:color w:val="231F20"/>
        </w:rPr>
        <w:t>Sin </w:t>
      </w:r>
      <w:r>
        <w:rPr>
          <w:color w:val="231F20"/>
          <w:spacing w:val="-4"/>
        </w:rPr>
        <w:t>embargo, </w:t>
      </w:r>
      <w:r>
        <w:rPr>
          <w:color w:val="231F20"/>
          <w:spacing w:val="-3"/>
        </w:rPr>
        <w:t>contemplar </w:t>
      </w:r>
      <w:r>
        <w:rPr>
          <w:color w:val="231F20"/>
        </w:rPr>
        <w:t>los </w:t>
      </w:r>
      <w:r>
        <w:rPr>
          <w:color w:val="231F20"/>
          <w:spacing w:val="-3"/>
        </w:rPr>
        <w:t>aspectos </w:t>
      </w:r>
      <w:r>
        <w:rPr>
          <w:color w:val="231F20"/>
        </w:rPr>
        <w:t>de </w:t>
      </w:r>
      <w:r>
        <w:rPr>
          <w:color w:val="231F20"/>
          <w:spacing w:val="-3"/>
        </w:rPr>
        <w:t>género implicados </w:t>
      </w:r>
      <w:r>
        <w:rPr>
          <w:color w:val="231F20"/>
        </w:rPr>
        <w:t>en </w:t>
      </w:r>
      <w:r>
        <w:rPr>
          <w:color w:val="231F20"/>
          <w:spacing w:val="-3"/>
        </w:rPr>
        <w:t>los procesos migratorios </w:t>
      </w:r>
      <w:r>
        <w:rPr>
          <w:color w:val="231F20"/>
        </w:rPr>
        <w:t>más la </w:t>
      </w:r>
      <w:r>
        <w:rPr>
          <w:color w:val="231F20"/>
          <w:spacing w:val="-3"/>
        </w:rPr>
        <w:t>consideración </w:t>
      </w:r>
      <w:r>
        <w:rPr>
          <w:color w:val="231F20"/>
        </w:rPr>
        <w:t>de </w:t>
      </w:r>
      <w:r>
        <w:rPr>
          <w:color w:val="231F20"/>
          <w:spacing w:val="-3"/>
        </w:rPr>
        <w:t>otros reconocimientos de diferenciación sociodemográficos, marcado </w:t>
      </w:r>
      <w:r>
        <w:rPr>
          <w:color w:val="231F20"/>
        </w:rPr>
        <w:t>el </w:t>
      </w:r>
      <w:r>
        <w:rPr>
          <w:color w:val="231F20"/>
          <w:spacing w:val="-3"/>
        </w:rPr>
        <w:t>establecimiento </w:t>
      </w:r>
      <w:r>
        <w:rPr>
          <w:color w:val="231F20"/>
        </w:rPr>
        <w:t>de las es- </w:t>
      </w:r>
      <w:r>
        <w:rPr>
          <w:color w:val="231F20"/>
          <w:spacing w:val="-3"/>
        </w:rPr>
        <w:t>pecificidades entre migraciones masculinas </w:t>
      </w:r>
      <w:r>
        <w:rPr>
          <w:color w:val="231F20"/>
        </w:rPr>
        <w:t>y </w:t>
      </w:r>
      <w:r>
        <w:rPr>
          <w:color w:val="231F20"/>
          <w:spacing w:val="-3"/>
        </w:rPr>
        <w:t>femeninas, </w:t>
      </w:r>
      <w:r>
        <w:rPr>
          <w:color w:val="231F20"/>
        </w:rPr>
        <w:t>lo </w:t>
      </w:r>
      <w:r>
        <w:rPr>
          <w:color w:val="231F20"/>
          <w:spacing w:val="-3"/>
        </w:rPr>
        <w:t>que, </w:t>
      </w:r>
      <w:r>
        <w:rPr>
          <w:color w:val="231F20"/>
        </w:rPr>
        <w:t>a su </w:t>
      </w:r>
      <w:r>
        <w:rPr>
          <w:color w:val="231F20"/>
          <w:spacing w:val="-3"/>
        </w:rPr>
        <w:t>vez, </w:t>
      </w:r>
      <w:r>
        <w:rPr>
          <w:color w:val="231F20"/>
        </w:rPr>
        <w:t>ha </w:t>
      </w:r>
      <w:r>
        <w:rPr>
          <w:color w:val="231F20"/>
          <w:spacing w:val="-3"/>
        </w:rPr>
        <w:t>permitido apreciar </w:t>
      </w:r>
      <w:r>
        <w:rPr>
          <w:color w:val="231F20"/>
        </w:rPr>
        <w:t>las </w:t>
      </w:r>
      <w:r>
        <w:rPr>
          <w:color w:val="231F20"/>
          <w:spacing w:val="-3"/>
        </w:rPr>
        <w:t>complejidades </w:t>
      </w:r>
      <w:r>
        <w:rPr>
          <w:color w:val="231F20"/>
        </w:rPr>
        <w:t>y el </w:t>
      </w:r>
      <w:r>
        <w:rPr>
          <w:color w:val="231F20"/>
          <w:spacing w:val="-3"/>
        </w:rPr>
        <w:t>predominio </w:t>
      </w:r>
      <w:r>
        <w:rPr>
          <w:color w:val="231F20"/>
        </w:rPr>
        <w:t>de las </w:t>
      </w:r>
      <w:r>
        <w:rPr>
          <w:color w:val="231F20"/>
          <w:spacing w:val="-3"/>
        </w:rPr>
        <w:t>mujeres en algunas corrientes. </w:t>
      </w:r>
      <w:r>
        <w:rPr>
          <w:color w:val="231F20"/>
        </w:rPr>
        <w:t>El </w:t>
      </w:r>
      <w:r>
        <w:rPr>
          <w:color w:val="231F20"/>
          <w:spacing w:val="-3"/>
        </w:rPr>
        <w:t>reconocimiento sobre </w:t>
      </w:r>
      <w:r>
        <w:rPr>
          <w:color w:val="231F20"/>
        </w:rPr>
        <w:t>la </w:t>
      </w:r>
      <w:r>
        <w:rPr>
          <w:color w:val="231F20"/>
          <w:spacing w:val="-3"/>
        </w:rPr>
        <w:t>necesidad </w:t>
      </w:r>
      <w:r>
        <w:rPr>
          <w:color w:val="231F20"/>
        </w:rPr>
        <w:t>de </w:t>
      </w:r>
      <w:r>
        <w:rPr>
          <w:color w:val="231F20"/>
          <w:spacing w:val="-3"/>
        </w:rPr>
        <w:t>comprender </w:t>
      </w:r>
      <w:r>
        <w:rPr>
          <w:color w:val="231F20"/>
        </w:rPr>
        <w:t>las </w:t>
      </w:r>
      <w:r>
        <w:rPr>
          <w:color w:val="231F20"/>
          <w:spacing w:val="-3"/>
        </w:rPr>
        <w:t>migraciones como “procesos generizados” (Gregorio, 1998: </w:t>
      </w:r>
      <w:r>
        <w:rPr>
          <w:color w:val="231F20"/>
        </w:rPr>
        <w:t>6) se </w:t>
      </w:r>
      <w:r>
        <w:rPr>
          <w:color w:val="231F20"/>
          <w:spacing w:val="-3"/>
        </w:rPr>
        <w:t>ha fortalecido </w:t>
      </w:r>
      <w:r>
        <w:rPr>
          <w:color w:val="231F20"/>
        </w:rPr>
        <w:t>con la </w:t>
      </w:r>
      <w:r>
        <w:rPr>
          <w:color w:val="231F20"/>
          <w:spacing w:val="-3"/>
        </w:rPr>
        <w:t>producción </w:t>
      </w:r>
      <w:r>
        <w:rPr>
          <w:color w:val="231F20"/>
        </w:rPr>
        <w:t>de </w:t>
      </w:r>
      <w:r>
        <w:rPr>
          <w:color w:val="231F20"/>
          <w:spacing w:val="-3"/>
        </w:rPr>
        <w:t>estudios sobre </w:t>
      </w:r>
      <w:r>
        <w:rPr>
          <w:color w:val="231F20"/>
        </w:rPr>
        <w:t>las </w:t>
      </w:r>
      <w:r>
        <w:rPr>
          <w:color w:val="231F20"/>
          <w:spacing w:val="-3"/>
        </w:rPr>
        <w:t>migraciones desde la perspectiva</w:t>
      </w:r>
      <w:r>
        <w:rPr>
          <w:color w:val="231F20"/>
          <w:spacing w:val="-15"/>
        </w:rPr>
        <w:t> </w:t>
      </w:r>
      <w:r>
        <w:rPr>
          <w:color w:val="231F20"/>
        </w:rPr>
        <w:t>de</w:t>
      </w:r>
      <w:r>
        <w:rPr>
          <w:color w:val="231F20"/>
          <w:spacing w:val="-15"/>
        </w:rPr>
        <w:t> </w:t>
      </w:r>
      <w:r>
        <w:rPr>
          <w:color w:val="231F20"/>
          <w:spacing w:val="-3"/>
        </w:rPr>
        <w:t>género,</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spacing w:val="-3"/>
        </w:rPr>
        <w:t>implica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spacing w:val="-3"/>
        </w:rPr>
        <w:t>sometido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discusión</w:t>
      </w:r>
      <w:r>
        <w:rPr>
          <w:color w:val="231F20"/>
          <w:spacing w:val="-15"/>
        </w:rPr>
        <w:t> </w:t>
      </w:r>
      <w:r>
        <w:rPr>
          <w:color w:val="231F20"/>
          <w:spacing w:val="-3"/>
        </w:rPr>
        <w:t>las relaciones </w:t>
      </w:r>
      <w:r>
        <w:rPr>
          <w:color w:val="231F20"/>
        </w:rPr>
        <w:t>de </w:t>
      </w:r>
      <w:r>
        <w:rPr>
          <w:color w:val="231F20"/>
          <w:spacing w:val="-3"/>
        </w:rPr>
        <w:t>poder </w:t>
      </w:r>
      <w:r>
        <w:rPr>
          <w:color w:val="231F20"/>
        </w:rPr>
        <w:t>y los </w:t>
      </w:r>
      <w:r>
        <w:rPr>
          <w:color w:val="231F20"/>
          <w:spacing w:val="-3"/>
        </w:rPr>
        <w:t>trabajos realizados </w:t>
      </w:r>
      <w:r>
        <w:rPr>
          <w:color w:val="231F20"/>
        </w:rPr>
        <w:t>por las </w:t>
      </w:r>
      <w:r>
        <w:rPr>
          <w:color w:val="231F20"/>
          <w:spacing w:val="-3"/>
        </w:rPr>
        <w:t>mujeres, mismos que usualmente</w:t>
      </w:r>
      <w:r>
        <w:rPr>
          <w:color w:val="231F20"/>
          <w:spacing w:val="-10"/>
        </w:rPr>
        <w:t> </w:t>
      </w:r>
      <w:r>
        <w:rPr>
          <w:color w:val="231F20"/>
        </w:rPr>
        <w:t>son</w:t>
      </w:r>
      <w:r>
        <w:rPr>
          <w:color w:val="231F20"/>
          <w:spacing w:val="-10"/>
        </w:rPr>
        <w:t> </w:t>
      </w:r>
      <w:r>
        <w:rPr>
          <w:color w:val="231F20"/>
          <w:spacing w:val="-3"/>
        </w:rPr>
        <w:t>menospreciados</w:t>
      </w:r>
      <w:r>
        <w:rPr>
          <w:color w:val="231F20"/>
          <w:spacing w:val="-11"/>
        </w:rPr>
        <w:t> </w:t>
      </w:r>
      <w:r>
        <w:rPr>
          <w:color w:val="231F20"/>
          <w:spacing w:val="-3"/>
        </w:rPr>
        <w:t>incluso</w:t>
      </w:r>
      <w:r>
        <w:rPr>
          <w:color w:val="231F20"/>
          <w:spacing w:val="-10"/>
        </w:rPr>
        <w:t> </w:t>
      </w:r>
      <w:r>
        <w:rPr>
          <w:color w:val="231F20"/>
          <w:spacing w:val="-3"/>
        </w:rPr>
        <w:t>negados,</w:t>
      </w:r>
      <w:r>
        <w:rPr>
          <w:color w:val="231F20"/>
          <w:spacing w:val="-10"/>
        </w:rPr>
        <w:t> </w:t>
      </w:r>
      <w:r>
        <w:rPr>
          <w:color w:val="231F20"/>
        </w:rPr>
        <w:t>en</w:t>
      </w:r>
      <w:r>
        <w:rPr>
          <w:color w:val="231F20"/>
          <w:spacing w:val="-10"/>
        </w:rPr>
        <w:t> </w:t>
      </w:r>
      <w:r>
        <w:rPr>
          <w:color w:val="231F20"/>
          <w:spacing w:val="-3"/>
        </w:rPr>
        <w:t>tanto</w:t>
      </w:r>
      <w:r>
        <w:rPr>
          <w:color w:val="231F20"/>
          <w:spacing w:val="-10"/>
        </w:rPr>
        <w:t> </w:t>
      </w:r>
      <w:r>
        <w:rPr>
          <w:color w:val="231F20"/>
          <w:spacing w:val="-3"/>
        </w:rPr>
        <w:t>parte</w:t>
      </w:r>
      <w:r>
        <w:rPr>
          <w:color w:val="231F20"/>
          <w:spacing w:val="-10"/>
        </w:rPr>
        <w:t> </w:t>
      </w:r>
      <w:r>
        <w:rPr>
          <w:color w:val="231F20"/>
        </w:rPr>
        <w:t>del</w:t>
      </w:r>
      <w:r>
        <w:rPr>
          <w:color w:val="231F20"/>
          <w:spacing w:val="-10"/>
        </w:rPr>
        <w:t> </w:t>
      </w:r>
      <w:r>
        <w:rPr>
          <w:color w:val="231F20"/>
          <w:spacing w:val="-3"/>
        </w:rPr>
        <w:t>trabajo total </w:t>
      </w:r>
      <w:r>
        <w:rPr>
          <w:color w:val="231F20"/>
        </w:rPr>
        <w:t>que </w:t>
      </w:r>
      <w:r>
        <w:rPr>
          <w:color w:val="231F20"/>
          <w:spacing w:val="-3"/>
        </w:rPr>
        <w:t>desarrollan </w:t>
      </w:r>
      <w:r>
        <w:rPr>
          <w:color w:val="231F20"/>
        </w:rPr>
        <w:t>las </w:t>
      </w:r>
      <w:r>
        <w:rPr>
          <w:color w:val="231F20"/>
          <w:spacing w:val="-3"/>
        </w:rPr>
        <w:t>mujeres: </w:t>
      </w:r>
      <w:r>
        <w:rPr>
          <w:color w:val="231F20"/>
        </w:rPr>
        <w:t>el </w:t>
      </w:r>
      <w:r>
        <w:rPr>
          <w:color w:val="231F20"/>
          <w:spacing w:val="-3"/>
        </w:rPr>
        <w:t>reproductivo, sigue </w:t>
      </w:r>
      <w:r>
        <w:rPr>
          <w:color w:val="231F20"/>
        </w:rPr>
        <w:t>sin </w:t>
      </w:r>
      <w:r>
        <w:rPr>
          <w:color w:val="231F20"/>
          <w:spacing w:val="-3"/>
        </w:rPr>
        <w:t>considerarse trabajo,</w:t>
      </w:r>
      <w:r>
        <w:rPr>
          <w:color w:val="231F20"/>
          <w:spacing w:val="-7"/>
        </w:rPr>
        <w:t> </w:t>
      </w:r>
      <w:r>
        <w:rPr>
          <w:color w:val="231F20"/>
        </w:rPr>
        <w:t>con</w:t>
      </w:r>
      <w:r>
        <w:rPr>
          <w:color w:val="231F20"/>
          <w:spacing w:val="-7"/>
        </w:rPr>
        <w:t> </w:t>
      </w:r>
      <w:r>
        <w:rPr>
          <w:color w:val="231F20"/>
        </w:rPr>
        <w:t>lo</w:t>
      </w:r>
      <w:r>
        <w:rPr>
          <w:color w:val="231F20"/>
          <w:spacing w:val="-7"/>
        </w:rPr>
        <w:t> </w:t>
      </w:r>
      <w:r>
        <w:rPr>
          <w:color w:val="231F20"/>
          <w:spacing w:val="-3"/>
        </w:rPr>
        <w:t>cual,</w:t>
      </w:r>
      <w:r>
        <w:rPr>
          <w:color w:val="231F20"/>
          <w:spacing w:val="-7"/>
        </w:rPr>
        <w:t> </w:t>
      </w:r>
      <w:r>
        <w:rPr>
          <w:color w:val="231F20"/>
          <w:spacing w:val="-3"/>
        </w:rPr>
        <w:t>insisto,</w:t>
      </w:r>
      <w:r>
        <w:rPr>
          <w:color w:val="231F20"/>
          <w:spacing w:val="-7"/>
        </w:rPr>
        <w:t> </w:t>
      </w:r>
      <w:r>
        <w:rPr>
          <w:color w:val="231F20"/>
        </w:rPr>
        <w:t>se</w:t>
      </w:r>
      <w:r>
        <w:rPr>
          <w:color w:val="231F20"/>
          <w:spacing w:val="-6"/>
        </w:rPr>
        <w:t> </w:t>
      </w:r>
      <w:r>
        <w:rPr>
          <w:color w:val="231F20"/>
          <w:spacing w:val="-3"/>
        </w:rPr>
        <w:t>omite</w:t>
      </w:r>
      <w:r>
        <w:rPr>
          <w:color w:val="231F20"/>
          <w:spacing w:val="-6"/>
        </w:rPr>
        <w:t> </w:t>
      </w:r>
      <w:r>
        <w:rPr>
          <w:color w:val="231F20"/>
        </w:rPr>
        <w:t>la</w:t>
      </w:r>
      <w:r>
        <w:rPr>
          <w:color w:val="231F20"/>
          <w:spacing w:val="-6"/>
        </w:rPr>
        <w:t> </w:t>
      </w:r>
      <w:r>
        <w:rPr>
          <w:color w:val="231F20"/>
          <w:spacing w:val="-3"/>
        </w:rPr>
        <w:t>consideración</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spacing w:val="-3"/>
        </w:rPr>
        <w:t>división</w:t>
      </w:r>
      <w:r>
        <w:rPr>
          <w:color w:val="231F20"/>
          <w:spacing w:val="-6"/>
        </w:rPr>
        <w:t> </w:t>
      </w:r>
      <w:r>
        <w:rPr>
          <w:color w:val="231F20"/>
          <w:spacing w:val="-3"/>
        </w:rPr>
        <w:t>sexual</w:t>
      </w:r>
    </w:p>
    <w:p>
      <w:pPr>
        <w:spacing w:before="0"/>
        <w:ind w:left="113" w:right="109" w:firstLine="0"/>
        <w:jc w:val="both"/>
        <w:rPr>
          <w:sz w:val="14"/>
        </w:rPr>
      </w:pPr>
      <w:r>
        <w:rPr>
          <w:color w:val="231F20"/>
          <w:sz w:val="14"/>
        </w:rPr>
        <w:t>rías</w:t>
      </w:r>
      <w:r>
        <w:rPr>
          <w:color w:val="231F20"/>
          <w:spacing w:val="-5"/>
          <w:sz w:val="14"/>
        </w:rPr>
        <w:t> </w:t>
      </w:r>
      <w:r>
        <w:rPr>
          <w:color w:val="231F20"/>
          <w:sz w:val="14"/>
        </w:rPr>
        <w:t>culturales,</w:t>
      </w:r>
      <w:r>
        <w:rPr>
          <w:color w:val="231F20"/>
          <w:spacing w:val="-5"/>
          <w:sz w:val="14"/>
        </w:rPr>
        <w:t> </w:t>
      </w:r>
      <w:r>
        <w:rPr>
          <w:color w:val="231F20"/>
          <w:sz w:val="14"/>
        </w:rPr>
        <w:t>las</w:t>
      </w:r>
      <w:r>
        <w:rPr>
          <w:color w:val="231F20"/>
          <w:spacing w:val="-5"/>
          <w:sz w:val="14"/>
        </w:rPr>
        <w:t> </w:t>
      </w:r>
      <w:r>
        <w:rPr>
          <w:color w:val="231F20"/>
          <w:sz w:val="14"/>
        </w:rPr>
        <w:t>relaciones</w:t>
      </w:r>
      <w:r>
        <w:rPr>
          <w:color w:val="231F20"/>
          <w:spacing w:val="-5"/>
          <w:sz w:val="14"/>
        </w:rPr>
        <w:t> </w:t>
      </w:r>
      <w:r>
        <w:rPr>
          <w:color w:val="231F20"/>
          <w:sz w:val="14"/>
        </w:rPr>
        <w:t>sociales</w:t>
      </w:r>
      <w:r>
        <w:rPr>
          <w:color w:val="231F20"/>
          <w:spacing w:val="-4"/>
          <w:sz w:val="14"/>
        </w:rPr>
        <w:t> </w:t>
      </w:r>
      <w:r>
        <w:rPr>
          <w:color w:val="231F20"/>
          <w:sz w:val="14"/>
        </w:rPr>
        <w:t>y</w:t>
      </w:r>
      <w:r>
        <w:rPr>
          <w:color w:val="231F20"/>
          <w:spacing w:val="-5"/>
          <w:sz w:val="14"/>
        </w:rPr>
        <w:t> </w:t>
      </w:r>
      <w:r>
        <w:rPr>
          <w:color w:val="231F20"/>
          <w:sz w:val="14"/>
        </w:rPr>
        <w:t>los</w:t>
      </w:r>
      <w:r>
        <w:rPr>
          <w:color w:val="231F20"/>
          <w:spacing w:val="-5"/>
          <w:sz w:val="14"/>
        </w:rPr>
        <w:t> </w:t>
      </w:r>
      <w:r>
        <w:rPr>
          <w:color w:val="231F20"/>
          <w:sz w:val="14"/>
        </w:rPr>
        <w:t>componentes</w:t>
      </w:r>
      <w:r>
        <w:rPr>
          <w:color w:val="231F20"/>
          <w:spacing w:val="-5"/>
          <w:sz w:val="14"/>
        </w:rPr>
        <w:t> </w:t>
      </w:r>
      <w:r>
        <w:rPr>
          <w:color w:val="231F20"/>
          <w:sz w:val="14"/>
        </w:rPr>
        <w:t>estructurales</w:t>
      </w:r>
      <w:r>
        <w:rPr>
          <w:color w:val="231F20"/>
          <w:spacing w:val="-5"/>
          <w:sz w:val="14"/>
        </w:rPr>
        <w:t> </w:t>
      </w:r>
      <w:r>
        <w:rPr>
          <w:color w:val="231F20"/>
          <w:sz w:val="14"/>
        </w:rPr>
        <w:t>de</w:t>
      </w:r>
      <w:r>
        <w:rPr>
          <w:color w:val="231F20"/>
          <w:spacing w:val="-5"/>
          <w:sz w:val="14"/>
        </w:rPr>
        <w:t> </w:t>
      </w:r>
      <w:r>
        <w:rPr>
          <w:color w:val="231F20"/>
          <w:sz w:val="14"/>
        </w:rPr>
        <w:t>las</w:t>
      </w:r>
      <w:r>
        <w:rPr>
          <w:color w:val="231F20"/>
          <w:spacing w:val="-5"/>
          <w:sz w:val="14"/>
        </w:rPr>
        <w:t> </w:t>
      </w:r>
      <w:r>
        <w:rPr>
          <w:color w:val="231F20"/>
          <w:sz w:val="14"/>
        </w:rPr>
        <w:t>instituciones</w:t>
      </w:r>
      <w:r>
        <w:rPr>
          <w:color w:val="231F20"/>
          <w:spacing w:val="-5"/>
          <w:sz w:val="14"/>
        </w:rPr>
        <w:t> </w:t>
      </w:r>
      <w:r>
        <w:rPr>
          <w:color w:val="231F20"/>
          <w:sz w:val="14"/>
        </w:rPr>
        <w:t>y</w:t>
      </w:r>
      <w:r>
        <w:rPr>
          <w:color w:val="231F20"/>
          <w:spacing w:val="-5"/>
          <w:sz w:val="14"/>
        </w:rPr>
        <w:t> </w:t>
      </w:r>
      <w:r>
        <w:rPr>
          <w:color w:val="231F20"/>
          <w:sz w:val="14"/>
        </w:rPr>
        <w:t>la</w:t>
      </w:r>
      <w:r>
        <w:rPr>
          <w:color w:val="231F20"/>
          <w:spacing w:val="-5"/>
          <w:sz w:val="14"/>
        </w:rPr>
        <w:t> </w:t>
      </w:r>
      <w:r>
        <w:rPr>
          <w:color w:val="231F20"/>
          <w:sz w:val="14"/>
        </w:rPr>
        <w:t>economía política, entonces desde el feminismo se requeriría analizar las prácticas sociales no sólo como repro- ducción del sistema sino también como respuestas a tales</w:t>
      </w:r>
      <w:r>
        <w:rPr>
          <w:color w:val="231F20"/>
          <w:spacing w:val="-12"/>
          <w:sz w:val="14"/>
        </w:rPr>
        <w:t> </w:t>
      </w:r>
      <w:r>
        <w:rPr>
          <w:color w:val="231F20"/>
          <w:sz w:val="14"/>
        </w:rPr>
        <w:t>dinámicas.</w:t>
      </w:r>
    </w:p>
    <w:p>
      <w:pPr>
        <w:spacing w:after="0"/>
        <w:jc w:val="both"/>
        <w:rPr>
          <w:sz w:val="14"/>
        </w:rPr>
        <w:sectPr>
          <w:footerReference w:type="default" r:id="rId249"/>
          <w:pgSz w:w="7770" w:h="11740"/>
          <w:pgMar w:footer="474" w:header="0" w:top="840" w:bottom="660" w:left="1020" w:right="740"/>
          <w:pgNumType w:start="215"/>
        </w:sectPr>
      </w:pPr>
    </w:p>
    <w:p>
      <w:pPr>
        <w:pStyle w:val="BodyText"/>
        <w:spacing w:line="249" w:lineRule="auto" w:before="60"/>
        <w:ind w:left="110" w:right="111"/>
        <w:jc w:val="both"/>
      </w:pPr>
      <w:r>
        <w:rPr>
          <w:color w:val="231F20"/>
        </w:rPr>
        <w:t>del </w:t>
      </w:r>
      <w:r>
        <w:rPr>
          <w:color w:val="231F20"/>
          <w:spacing w:val="-3"/>
        </w:rPr>
        <w:t>trabajo, </w:t>
      </w:r>
      <w:r>
        <w:rPr>
          <w:color w:val="231F20"/>
        </w:rPr>
        <w:t>del </w:t>
      </w:r>
      <w:r>
        <w:rPr>
          <w:color w:val="231F20"/>
          <w:spacing w:val="-3"/>
        </w:rPr>
        <w:t>trabajo realizado </w:t>
      </w:r>
      <w:r>
        <w:rPr>
          <w:color w:val="231F20"/>
        </w:rPr>
        <w:t>por las </w:t>
      </w:r>
      <w:r>
        <w:rPr>
          <w:color w:val="231F20"/>
          <w:spacing w:val="-3"/>
        </w:rPr>
        <w:t>mujeres </w:t>
      </w:r>
      <w:r>
        <w:rPr>
          <w:color w:val="231F20"/>
        </w:rPr>
        <w:t>en </w:t>
      </w:r>
      <w:r>
        <w:rPr>
          <w:color w:val="231F20"/>
          <w:spacing w:val="-3"/>
        </w:rPr>
        <w:t>diferentes localizacio- </w:t>
      </w:r>
      <w:r>
        <w:rPr>
          <w:color w:val="231F20"/>
        </w:rPr>
        <w:t>nes en </w:t>
      </w:r>
      <w:r>
        <w:rPr>
          <w:color w:val="231F20"/>
          <w:spacing w:val="-3"/>
        </w:rPr>
        <w:t>tanto trabajadoras internacionales, </w:t>
      </w:r>
      <w:r>
        <w:rPr>
          <w:color w:val="231F20"/>
        </w:rPr>
        <w:t>es </w:t>
      </w:r>
      <w:r>
        <w:rPr>
          <w:color w:val="231F20"/>
          <w:spacing w:val="-4"/>
        </w:rPr>
        <w:t>decir, </w:t>
      </w:r>
      <w:r>
        <w:rPr>
          <w:color w:val="231F20"/>
          <w:spacing w:val="-3"/>
        </w:rPr>
        <w:t>actoras </w:t>
      </w:r>
      <w:r>
        <w:rPr>
          <w:color w:val="231F20"/>
        </w:rPr>
        <w:t>de la </w:t>
      </w:r>
      <w:r>
        <w:rPr>
          <w:color w:val="231F20"/>
          <w:spacing w:val="-3"/>
        </w:rPr>
        <w:t>composi- ción </w:t>
      </w:r>
      <w:r>
        <w:rPr>
          <w:color w:val="231F20"/>
        </w:rPr>
        <w:t>y </w:t>
      </w:r>
      <w:r>
        <w:rPr>
          <w:color w:val="231F20"/>
          <w:spacing w:val="-3"/>
        </w:rPr>
        <w:t>dinámica </w:t>
      </w:r>
      <w:r>
        <w:rPr>
          <w:color w:val="231F20"/>
        </w:rPr>
        <w:t>de las </w:t>
      </w:r>
      <w:r>
        <w:rPr>
          <w:color w:val="231F20"/>
          <w:spacing w:val="-3"/>
        </w:rPr>
        <w:t>migraciones transnacionales.</w:t>
      </w:r>
    </w:p>
    <w:p>
      <w:pPr>
        <w:pStyle w:val="Heading4"/>
        <w:spacing w:line="240" w:lineRule="exact" w:before="166"/>
        <w:ind w:left="110" w:right="2465"/>
        <w:jc w:val="left"/>
      </w:pPr>
      <w:r>
        <w:rPr>
          <w:w w:val="75"/>
        </w:rPr>
        <w:t>Mercado de trabajo internacional y trabajos reproductivos remunerados</w:t>
      </w:r>
    </w:p>
    <w:p>
      <w:pPr>
        <w:pStyle w:val="BodyText"/>
        <w:spacing w:line="249" w:lineRule="auto" w:before="175"/>
        <w:ind w:left="110" w:right="111"/>
        <w:jc w:val="both"/>
      </w:pPr>
      <w:r>
        <w:rPr>
          <w:color w:val="231F20"/>
        </w:rPr>
        <w:t>Sin desconocer los problemas de desarrollo de las naciones emisoras de población, la movilidad internacional de trabajadores no puede expli- carse únicamente como consecuencia de los efectos de “expulsión” de los países de origen de las migraciones, sino que hay que comprenderla dentro del contexto social, económico y político mundial. Es necesario reconocer el papel fundamental que han jugado los procesos de globali- zación y de liberalización económica; el predominio de la economía del mercado que fomenta la competencia y la resolución individual de la supervivencia</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llevado</w:t>
      </w:r>
      <w:r>
        <w:rPr>
          <w:color w:val="231F20"/>
          <w:spacing w:val="-8"/>
        </w:rPr>
        <w:t> </w:t>
      </w:r>
      <w:r>
        <w:rPr>
          <w:color w:val="231F20"/>
        </w:rPr>
        <w:t>al</w:t>
      </w:r>
      <w:r>
        <w:rPr>
          <w:color w:val="231F20"/>
          <w:spacing w:val="-7"/>
        </w:rPr>
        <w:t> </w:t>
      </w:r>
      <w:r>
        <w:rPr>
          <w:color w:val="231F20"/>
        </w:rPr>
        <w:t>empobrecimiento</w:t>
      </w:r>
      <w:r>
        <w:rPr>
          <w:color w:val="231F20"/>
          <w:spacing w:val="-8"/>
        </w:rPr>
        <w:t> </w:t>
      </w:r>
      <w:r>
        <w:rPr>
          <w:color w:val="231F20"/>
        </w:rPr>
        <w:t>de</w:t>
      </w:r>
      <w:r>
        <w:rPr>
          <w:color w:val="231F20"/>
          <w:spacing w:val="-7"/>
        </w:rPr>
        <w:t> </w:t>
      </w:r>
      <w:r>
        <w:rPr>
          <w:color w:val="231F20"/>
        </w:rPr>
        <w:t>amplios</w:t>
      </w:r>
      <w:r>
        <w:rPr>
          <w:color w:val="231F20"/>
          <w:spacing w:val="-8"/>
        </w:rPr>
        <w:t> </w:t>
      </w:r>
      <w:r>
        <w:rPr>
          <w:color w:val="231F20"/>
        </w:rPr>
        <w:t>sectores</w:t>
      </w:r>
      <w:r>
        <w:rPr>
          <w:color w:val="231F20"/>
          <w:spacing w:val="-7"/>
        </w:rPr>
        <w:t> </w:t>
      </w:r>
      <w:r>
        <w:rPr>
          <w:color w:val="231F20"/>
        </w:rPr>
        <w:t>de las sociedades, pero también hay que considerar que las transformacio- nes demográficas, sociales y económicas han incrementado la demanda de cuidados. Estos factores, y otros más, actúan como impulsores im- portantes de las crecientes migraciones actuales, de ahí que se comparta el criterio de que, situar el análisis de las migraciones como resultado  de las deficiencias socioeconómicas de las comunidades de origen, es una visión parcial del fenómeno pues se considera a individuos, grupos sociales</w:t>
      </w:r>
      <w:r>
        <w:rPr>
          <w:color w:val="231F20"/>
          <w:spacing w:val="-10"/>
        </w:rPr>
        <w:t> </w:t>
      </w:r>
      <w:r>
        <w:rPr>
          <w:color w:val="231F20"/>
        </w:rPr>
        <w:t>y</w:t>
      </w:r>
      <w:r>
        <w:rPr>
          <w:color w:val="231F20"/>
          <w:spacing w:val="-10"/>
        </w:rPr>
        <w:t> </w:t>
      </w:r>
      <w:r>
        <w:rPr>
          <w:color w:val="231F20"/>
        </w:rPr>
        <w:t>gobiernos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países</w:t>
      </w:r>
      <w:r>
        <w:rPr>
          <w:color w:val="231F20"/>
          <w:spacing w:val="-10"/>
        </w:rPr>
        <w:t> </w:t>
      </w:r>
      <w:r>
        <w:rPr>
          <w:color w:val="231F20"/>
        </w:rPr>
        <w:t>emisores,</w:t>
      </w:r>
      <w:r>
        <w:rPr>
          <w:color w:val="231F20"/>
          <w:spacing w:val="-11"/>
        </w:rPr>
        <w:t> </w:t>
      </w:r>
      <w:r>
        <w:rPr>
          <w:color w:val="231F20"/>
        </w:rPr>
        <w:t>como</w:t>
      </w:r>
      <w:r>
        <w:rPr>
          <w:color w:val="231F20"/>
          <w:spacing w:val="-11"/>
        </w:rPr>
        <w:t> </w:t>
      </w:r>
      <w:r>
        <w:rPr>
          <w:color w:val="231F20"/>
        </w:rPr>
        <w:t>únicos</w:t>
      </w:r>
      <w:r>
        <w:rPr>
          <w:color w:val="231F20"/>
          <w:spacing w:val="-10"/>
        </w:rPr>
        <w:t> </w:t>
      </w:r>
      <w:r>
        <w:rPr>
          <w:color w:val="231F20"/>
        </w:rPr>
        <w:t>responsables</w:t>
      </w:r>
      <w:r>
        <w:rPr>
          <w:color w:val="231F20"/>
          <w:spacing w:val="-10"/>
        </w:rPr>
        <w:t> </w:t>
      </w:r>
      <w:r>
        <w:rPr>
          <w:color w:val="231F20"/>
        </w:rPr>
        <w:t>de los procesos migratorios internacionales; sin tomar en cuenta el impacto del nuevo orden mundial y la participación que tienen las sociedades receptoras.</w:t>
      </w:r>
    </w:p>
    <w:p>
      <w:pPr>
        <w:pStyle w:val="BodyText"/>
        <w:spacing w:line="249" w:lineRule="auto" w:before="1"/>
        <w:ind w:left="110" w:right="111" w:firstLine="283"/>
        <w:jc w:val="both"/>
      </w:pPr>
      <w:r>
        <w:rPr>
          <w:color w:val="231F20"/>
        </w:rPr>
        <w:t>Bajo esas consideraciones, Saskia Sassen (2003) entiende a las mi- graciones como un componente de la economía globalizada, y hay coin- cidencia con la autora en cuanto que las formas actuales de usos de la fuerza de trabajo, los trabajo “atípicos”, la expansión de los sectores in- formal e ilegal, la precarización, flexibilización, feminización y rejuve- necimiento que caracterizan a los mercados laborales nacionales e inter- nacionales actuales, no son una desviación o anomalía del sistema, sino elementos estructurales del mismo. La migración no puede entenderse adecuadamente de manera aislada, sino como un aspecto integral de los complejos problemas y desafíos del capitalismo contemporáneo global.</w:t>
      </w:r>
    </w:p>
    <w:p>
      <w:pPr>
        <w:pStyle w:val="BodyText"/>
        <w:spacing w:line="249" w:lineRule="auto" w:before="1"/>
        <w:ind w:left="110" w:right="111" w:firstLine="283"/>
        <w:jc w:val="both"/>
      </w:pPr>
      <w:r>
        <w:rPr>
          <w:color w:val="231F20"/>
        </w:rPr>
        <w:t>Asimismo, la </w:t>
      </w:r>
      <w:r>
        <w:rPr>
          <w:color w:val="231F20"/>
          <w:spacing w:val="-3"/>
        </w:rPr>
        <w:t>relación entre migración </w:t>
      </w:r>
      <w:r>
        <w:rPr>
          <w:color w:val="231F20"/>
        </w:rPr>
        <w:t>y </w:t>
      </w:r>
      <w:r>
        <w:rPr>
          <w:color w:val="231F20"/>
          <w:spacing w:val="-3"/>
        </w:rPr>
        <w:t>género </w:t>
      </w:r>
      <w:r>
        <w:rPr>
          <w:color w:val="231F20"/>
        </w:rPr>
        <w:t>se </w:t>
      </w:r>
      <w:r>
        <w:rPr>
          <w:color w:val="231F20"/>
          <w:spacing w:val="-3"/>
        </w:rPr>
        <w:t>enmarca </w:t>
      </w:r>
      <w:r>
        <w:rPr>
          <w:color w:val="231F20"/>
        </w:rPr>
        <w:t>en un </w:t>
      </w:r>
      <w:r>
        <w:rPr>
          <w:color w:val="231F20"/>
          <w:spacing w:val="-3"/>
        </w:rPr>
        <w:t>pro- ceso </w:t>
      </w:r>
      <w:r>
        <w:rPr>
          <w:color w:val="231F20"/>
        </w:rPr>
        <w:t>de </w:t>
      </w:r>
      <w:r>
        <w:rPr>
          <w:color w:val="231F20"/>
          <w:spacing w:val="-3"/>
        </w:rPr>
        <w:t>feminización </w:t>
      </w:r>
      <w:r>
        <w:rPr>
          <w:color w:val="231F20"/>
        </w:rPr>
        <w:t>del </w:t>
      </w:r>
      <w:r>
        <w:rPr>
          <w:color w:val="231F20"/>
          <w:spacing w:val="-3"/>
        </w:rPr>
        <w:t>trabajo </w:t>
      </w:r>
      <w:r>
        <w:rPr>
          <w:color w:val="231F20"/>
        </w:rPr>
        <w:t>en el </w:t>
      </w:r>
      <w:r>
        <w:rPr>
          <w:color w:val="231F20"/>
          <w:spacing w:val="-3"/>
        </w:rPr>
        <w:t>contexto </w:t>
      </w:r>
      <w:r>
        <w:rPr>
          <w:color w:val="231F20"/>
        </w:rPr>
        <w:t>de la </w:t>
      </w:r>
      <w:r>
        <w:rPr>
          <w:color w:val="231F20"/>
          <w:spacing w:val="-3"/>
        </w:rPr>
        <w:t>globalización, cuyo nexo obedece </w:t>
      </w:r>
      <w:r>
        <w:rPr>
          <w:color w:val="231F20"/>
        </w:rPr>
        <w:t>a una </w:t>
      </w:r>
      <w:r>
        <w:rPr>
          <w:color w:val="231F20"/>
          <w:spacing w:val="-3"/>
        </w:rPr>
        <w:t>dinámica propia </w:t>
      </w:r>
      <w:r>
        <w:rPr>
          <w:color w:val="231F20"/>
        </w:rPr>
        <w:t>del </w:t>
      </w:r>
      <w:r>
        <w:rPr>
          <w:color w:val="231F20"/>
          <w:spacing w:val="-3"/>
        </w:rPr>
        <w:t>sistema capitalista </w:t>
      </w:r>
      <w:r>
        <w:rPr>
          <w:color w:val="231F20"/>
        </w:rPr>
        <w:t>y del uso </w:t>
      </w:r>
      <w:r>
        <w:rPr>
          <w:color w:val="231F20"/>
          <w:spacing w:val="-3"/>
        </w:rPr>
        <w:t>es- pecífico </w:t>
      </w:r>
      <w:r>
        <w:rPr>
          <w:color w:val="231F20"/>
        </w:rPr>
        <w:t>de la </w:t>
      </w:r>
      <w:r>
        <w:rPr>
          <w:color w:val="231F20"/>
          <w:spacing w:val="-3"/>
        </w:rPr>
        <w:t>fuerza </w:t>
      </w:r>
      <w:r>
        <w:rPr>
          <w:color w:val="231F20"/>
        </w:rPr>
        <w:t>de </w:t>
      </w:r>
      <w:r>
        <w:rPr>
          <w:color w:val="231F20"/>
          <w:spacing w:val="-3"/>
        </w:rPr>
        <w:t>trabajo </w:t>
      </w:r>
      <w:r>
        <w:rPr>
          <w:color w:val="231F20"/>
        </w:rPr>
        <w:t>por </w:t>
      </w:r>
      <w:r>
        <w:rPr>
          <w:color w:val="231F20"/>
          <w:spacing w:val="-3"/>
        </w:rPr>
        <w:t>género. </w:t>
      </w:r>
      <w:r>
        <w:rPr>
          <w:color w:val="231F20"/>
        </w:rPr>
        <w:t>El </w:t>
      </w:r>
      <w:r>
        <w:rPr>
          <w:color w:val="231F20"/>
          <w:spacing w:val="-3"/>
        </w:rPr>
        <w:t>aumento </w:t>
      </w:r>
      <w:r>
        <w:rPr>
          <w:color w:val="231F20"/>
        </w:rPr>
        <w:t>de las </w:t>
      </w:r>
      <w:r>
        <w:rPr>
          <w:color w:val="231F20"/>
          <w:spacing w:val="-3"/>
        </w:rPr>
        <w:t>migraciones</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spacing w:val="-3"/>
        </w:rPr>
        <w:t>femeninas apareció como </w:t>
      </w:r>
      <w:r>
        <w:rPr>
          <w:color w:val="231F20"/>
        </w:rPr>
        <w:t>una </w:t>
      </w:r>
      <w:r>
        <w:rPr>
          <w:color w:val="231F20"/>
          <w:spacing w:val="-3"/>
        </w:rPr>
        <w:t>consecuencia </w:t>
      </w:r>
      <w:r>
        <w:rPr>
          <w:color w:val="231F20"/>
        </w:rPr>
        <w:t>de la </w:t>
      </w:r>
      <w:r>
        <w:rPr>
          <w:color w:val="231F20"/>
          <w:spacing w:val="-3"/>
        </w:rPr>
        <w:t>globalización donde, por </w:t>
      </w:r>
      <w:r>
        <w:rPr>
          <w:color w:val="231F20"/>
        </w:rPr>
        <w:t>un </w:t>
      </w:r>
      <w:r>
        <w:rPr>
          <w:color w:val="231F20"/>
          <w:spacing w:val="-3"/>
        </w:rPr>
        <w:t>lado, </w:t>
      </w:r>
      <w:r>
        <w:rPr>
          <w:color w:val="231F20"/>
        </w:rPr>
        <w:t>la </w:t>
      </w:r>
      <w:r>
        <w:rPr>
          <w:color w:val="231F20"/>
          <w:spacing w:val="-3"/>
        </w:rPr>
        <w:t>demanda </w:t>
      </w:r>
      <w:r>
        <w:rPr>
          <w:color w:val="231F20"/>
        </w:rPr>
        <w:t>de </w:t>
      </w:r>
      <w:r>
        <w:rPr>
          <w:color w:val="231F20"/>
          <w:spacing w:val="-3"/>
        </w:rPr>
        <w:t>mano </w:t>
      </w:r>
      <w:r>
        <w:rPr>
          <w:color w:val="231F20"/>
        </w:rPr>
        <w:t>de </w:t>
      </w:r>
      <w:r>
        <w:rPr>
          <w:color w:val="231F20"/>
          <w:spacing w:val="-3"/>
        </w:rPr>
        <w:t>obra femenina </w:t>
      </w:r>
      <w:r>
        <w:rPr>
          <w:color w:val="231F20"/>
        </w:rPr>
        <w:t>en los </w:t>
      </w:r>
      <w:r>
        <w:rPr>
          <w:color w:val="231F20"/>
          <w:spacing w:val="-3"/>
        </w:rPr>
        <w:t>países </w:t>
      </w:r>
      <w:r>
        <w:rPr>
          <w:color w:val="231F20"/>
        </w:rPr>
        <w:t>del </w:t>
      </w:r>
      <w:r>
        <w:rPr>
          <w:color w:val="231F20"/>
          <w:spacing w:val="-3"/>
        </w:rPr>
        <w:t>norte se amplió (especialmente </w:t>
      </w:r>
      <w:r>
        <w:rPr>
          <w:color w:val="231F20"/>
        </w:rPr>
        <w:t>en </w:t>
      </w:r>
      <w:r>
        <w:rPr>
          <w:color w:val="231F20"/>
          <w:spacing w:val="-3"/>
        </w:rPr>
        <w:t>algunas ramas </w:t>
      </w:r>
      <w:r>
        <w:rPr>
          <w:color w:val="231F20"/>
        </w:rPr>
        <w:t>del </w:t>
      </w:r>
      <w:r>
        <w:rPr>
          <w:color w:val="231F20"/>
          <w:spacing w:val="-3"/>
        </w:rPr>
        <w:t>sector servicios donde pre- valecen salarios bajos) </w:t>
      </w:r>
      <w:r>
        <w:rPr>
          <w:color w:val="231F20"/>
          <w:spacing w:val="-8"/>
        </w:rPr>
        <w:t>y, </w:t>
      </w:r>
      <w:r>
        <w:rPr>
          <w:color w:val="231F20"/>
        </w:rPr>
        <w:t>por </w:t>
      </w:r>
      <w:r>
        <w:rPr>
          <w:color w:val="231F20"/>
          <w:spacing w:val="-3"/>
        </w:rPr>
        <w:t>otro lado, producto </w:t>
      </w:r>
      <w:r>
        <w:rPr>
          <w:color w:val="231F20"/>
        </w:rPr>
        <w:t>de </w:t>
      </w:r>
      <w:r>
        <w:rPr>
          <w:color w:val="231F20"/>
          <w:spacing w:val="-3"/>
        </w:rPr>
        <w:t>modelos económicos neoliberales</w:t>
      </w:r>
      <w:r>
        <w:rPr>
          <w:color w:val="231F20"/>
          <w:spacing w:val="-12"/>
        </w:rPr>
        <w:t> </w:t>
      </w:r>
      <w:r>
        <w:rPr>
          <w:color w:val="231F20"/>
          <w:spacing w:val="-3"/>
        </w:rPr>
        <w:t>implantados</w:t>
      </w:r>
      <w:r>
        <w:rPr>
          <w:color w:val="231F20"/>
          <w:spacing w:val="-13"/>
        </w:rPr>
        <w:t> </w:t>
      </w:r>
      <w:r>
        <w:rPr>
          <w:color w:val="231F20"/>
        </w:rPr>
        <w:t>en</w:t>
      </w:r>
      <w:r>
        <w:rPr>
          <w:color w:val="231F20"/>
          <w:spacing w:val="-13"/>
        </w:rPr>
        <w:t> </w:t>
      </w:r>
      <w:r>
        <w:rPr>
          <w:color w:val="231F20"/>
          <w:spacing w:val="-3"/>
        </w:rPr>
        <w:t>países</w:t>
      </w:r>
      <w:r>
        <w:rPr>
          <w:color w:val="231F20"/>
          <w:spacing w:val="-13"/>
        </w:rPr>
        <w:t> </w:t>
      </w:r>
      <w:r>
        <w:rPr>
          <w:color w:val="231F20"/>
        </w:rPr>
        <w:t>en</w:t>
      </w:r>
      <w:r>
        <w:rPr>
          <w:color w:val="231F20"/>
          <w:spacing w:val="-13"/>
        </w:rPr>
        <w:t> </w:t>
      </w:r>
      <w:r>
        <w:rPr>
          <w:color w:val="231F20"/>
          <w:spacing w:val="-3"/>
        </w:rPr>
        <w:t>desarrollo,</w:t>
      </w:r>
      <w:r>
        <w:rPr>
          <w:color w:val="231F20"/>
          <w:spacing w:val="-13"/>
        </w:rPr>
        <w:t> </w:t>
      </w:r>
      <w:r>
        <w:rPr>
          <w:color w:val="231F20"/>
          <w:spacing w:val="-3"/>
        </w:rPr>
        <w:t>amplios</w:t>
      </w:r>
      <w:r>
        <w:rPr>
          <w:color w:val="231F20"/>
          <w:spacing w:val="-13"/>
        </w:rPr>
        <w:t> </w:t>
      </w:r>
      <w:r>
        <w:rPr>
          <w:color w:val="231F20"/>
          <w:spacing w:val="-3"/>
        </w:rPr>
        <w:t>sectores</w:t>
      </w:r>
      <w:r>
        <w:rPr>
          <w:color w:val="231F20"/>
          <w:spacing w:val="-12"/>
        </w:rPr>
        <w:t> </w:t>
      </w:r>
      <w:r>
        <w:rPr>
          <w:color w:val="231F20"/>
        </w:rPr>
        <w:t>de</w:t>
      </w:r>
      <w:r>
        <w:rPr>
          <w:color w:val="231F20"/>
          <w:spacing w:val="-13"/>
        </w:rPr>
        <w:t> </w:t>
      </w:r>
      <w:r>
        <w:rPr>
          <w:color w:val="231F20"/>
        </w:rPr>
        <w:t>la</w:t>
      </w:r>
      <w:r>
        <w:rPr>
          <w:color w:val="231F20"/>
          <w:spacing w:val="-13"/>
        </w:rPr>
        <w:t> </w:t>
      </w:r>
      <w:r>
        <w:rPr>
          <w:color w:val="231F20"/>
          <w:spacing w:val="-3"/>
        </w:rPr>
        <w:t>po- blación </w:t>
      </w:r>
      <w:r>
        <w:rPr>
          <w:color w:val="231F20"/>
        </w:rPr>
        <w:t>se </w:t>
      </w:r>
      <w:r>
        <w:rPr>
          <w:color w:val="231F20"/>
          <w:spacing w:val="-3"/>
        </w:rPr>
        <w:t>empobrecieron </w:t>
      </w:r>
      <w:r>
        <w:rPr>
          <w:color w:val="231F20"/>
        </w:rPr>
        <w:t>y se </w:t>
      </w:r>
      <w:r>
        <w:rPr>
          <w:color w:val="231F20"/>
          <w:spacing w:val="-3"/>
        </w:rPr>
        <w:t>encontraron frente </w:t>
      </w:r>
      <w:r>
        <w:rPr>
          <w:color w:val="231F20"/>
        </w:rPr>
        <w:t>a la </w:t>
      </w:r>
      <w:r>
        <w:rPr>
          <w:color w:val="231F20"/>
          <w:spacing w:val="-3"/>
        </w:rPr>
        <w:t>necesidad </w:t>
      </w:r>
      <w:r>
        <w:rPr>
          <w:color w:val="231F20"/>
        </w:rPr>
        <w:t>de </w:t>
      </w:r>
      <w:r>
        <w:rPr>
          <w:color w:val="231F20"/>
          <w:spacing w:val="-3"/>
        </w:rPr>
        <w:t>buscar oportunidades económicas fuera </w:t>
      </w:r>
      <w:r>
        <w:rPr>
          <w:color w:val="231F20"/>
        </w:rPr>
        <w:t>de su</w:t>
      </w:r>
      <w:r>
        <w:rPr>
          <w:color w:val="231F20"/>
          <w:spacing w:val="-14"/>
        </w:rPr>
        <w:t> </w:t>
      </w:r>
      <w:r>
        <w:rPr>
          <w:color w:val="231F20"/>
          <w:spacing w:val="-3"/>
        </w:rPr>
        <w:t>nación.</w:t>
      </w:r>
    </w:p>
    <w:p>
      <w:pPr>
        <w:pStyle w:val="BodyText"/>
        <w:spacing w:line="249" w:lineRule="auto" w:before="1"/>
        <w:ind w:left="113" w:right="107" w:firstLine="283"/>
        <w:jc w:val="both"/>
      </w:pPr>
      <w:r>
        <w:rPr>
          <w:color w:val="231F20"/>
        </w:rPr>
        <w:t>Ahora</w:t>
      </w:r>
      <w:r>
        <w:rPr>
          <w:color w:val="231F20"/>
          <w:spacing w:val="-12"/>
        </w:rPr>
        <w:t> </w:t>
      </w:r>
      <w:r>
        <w:rPr>
          <w:color w:val="231F20"/>
        </w:rPr>
        <w:t>bien,</w:t>
      </w:r>
      <w:r>
        <w:rPr>
          <w:color w:val="231F20"/>
          <w:spacing w:val="-12"/>
        </w:rPr>
        <w:t> </w:t>
      </w:r>
      <w:r>
        <w:rPr>
          <w:color w:val="231F20"/>
        </w:rPr>
        <w:t>aunque</w:t>
      </w:r>
      <w:r>
        <w:rPr>
          <w:color w:val="231F20"/>
          <w:spacing w:val="-13"/>
        </w:rPr>
        <w:t> </w:t>
      </w:r>
      <w:r>
        <w:rPr>
          <w:color w:val="231F20"/>
        </w:rPr>
        <w:t>las</w:t>
      </w:r>
      <w:r>
        <w:rPr>
          <w:color w:val="231F20"/>
          <w:spacing w:val="-13"/>
        </w:rPr>
        <w:t> </w:t>
      </w:r>
      <w:r>
        <w:rPr>
          <w:color w:val="231F20"/>
        </w:rPr>
        <w:t>migraciones</w:t>
      </w:r>
      <w:r>
        <w:rPr>
          <w:color w:val="231F20"/>
          <w:spacing w:val="-13"/>
        </w:rPr>
        <w:t> </w:t>
      </w:r>
      <w:r>
        <w:rPr>
          <w:color w:val="231F20"/>
        </w:rPr>
        <w:t>de</w:t>
      </w:r>
      <w:r>
        <w:rPr>
          <w:color w:val="231F20"/>
          <w:spacing w:val="-12"/>
        </w:rPr>
        <w:t> </w:t>
      </w:r>
      <w:r>
        <w:rPr>
          <w:color w:val="231F20"/>
        </w:rPr>
        <w:t>trabajo</w:t>
      </w:r>
      <w:r>
        <w:rPr>
          <w:color w:val="231F20"/>
          <w:spacing w:val="-13"/>
        </w:rPr>
        <w:t> </w:t>
      </w:r>
      <w:r>
        <w:rPr>
          <w:color w:val="231F20"/>
        </w:rPr>
        <w:t>involucran</w:t>
      </w:r>
      <w:r>
        <w:rPr>
          <w:color w:val="231F20"/>
          <w:spacing w:val="-13"/>
        </w:rPr>
        <w:t> </w:t>
      </w:r>
      <w:r>
        <w:rPr>
          <w:color w:val="231F20"/>
        </w:rPr>
        <w:t>a</w:t>
      </w:r>
      <w:r>
        <w:rPr>
          <w:color w:val="231F20"/>
          <w:spacing w:val="-12"/>
        </w:rPr>
        <w:t> </w:t>
      </w:r>
      <w:r>
        <w:rPr>
          <w:color w:val="231F20"/>
        </w:rPr>
        <w:t>población de países en desarrollo que participan en la movilidad a partir,</w:t>
      </w:r>
      <w:r>
        <w:rPr>
          <w:color w:val="231F20"/>
          <w:spacing w:val="-23"/>
        </w:rPr>
        <w:t> </w:t>
      </w:r>
      <w:r>
        <w:rPr>
          <w:color w:val="231F20"/>
        </w:rPr>
        <w:t>principal- mente, de la necesidad de cubrir sus necesidades básicas para la repro- ducción social no nos quedamos a ese nivel, hay que tener presente que las dinámicas migratorias ocurren en contextos particulares, construidos por las fuerzas económicas del capitalismo como modo de producción, por lo que las condiciones creadas son, básicamente, de desigualdades socioeconómicas</w:t>
      </w:r>
      <w:r>
        <w:rPr>
          <w:color w:val="231F20"/>
          <w:spacing w:val="-5"/>
        </w:rPr>
        <w:t> </w:t>
      </w:r>
      <w:r>
        <w:rPr>
          <w:color w:val="231F20"/>
        </w:rPr>
        <w:t>entre</w:t>
      </w:r>
      <w:r>
        <w:rPr>
          <w:color w:val="231F20"/>
          <w:spacing w:val="-6"/>
        </w:rPr>
        <w:t> </w:t>
      </w:r>
      <w:r>
        <w:rPr>
          <w:color w:val="231F20"/>
        </w:rPr>
        <w:t>regiones.</w:t>
      </w:r>
      <w:r>
        <w:rPr>
          <w:color w:val="231F20"/>
          <w:spacing w:val="-6"/>
        </w:rPr>
        <w:t> </w:t>
      </w:r>
      <w:r>
        <w:rPr>
          <w:color w:val="231F20"/>
        </w:rPr>
        <w:t>Pero</w:t>
      </w:r>
      <w:r>
        <w:rPr>
          <w:color w:val="231F20"/>
          <w:spacing w:val="-6"/>
        </w:rPr>
        <w:t> </w:t>
      </w:r>
      <w:r>
        <w:rPr>
          <w:color w:val="231F20"/>
        </w:rPr>
        <w:t>como</w:t>
      </w:r>
      <w:r>
        <w:rPr>
          <w:color w:val="231F20"/>
          <w:spacing w:val="-6"/>
        </w:rPr>
        <w:t> </w:t>
      </w:r>
      <w:r>
        <w:rPr>
          <w:color w:val="231F20"/>
        </w:rPr>
        <w:t>hemos</w:t>
      </w:r>
      <w:r>
        <w:rPr>
          <w:color w:val="231F20"/>
          <w:spacing w:val="-6"/>
        </w:rPr>
        <w:t> </w:t>
      </w:r>
      <w:r>
        <w:rPr>
          <w:color w:val="231F20"/>
        </w:rPr>
        <w:t>planteado,</w:t>
      </w:r>
      <w:r>
        <w:rPr>
          <w:color w:val="231F20"/>
          <w:spacing w:val="-6"/>
        </w:rPr>
        <w:t> </w:t>
      </w:r>
      <w:r>
        <w:rPr>
          <w:color w:val="231F20"/>
        </w:rPr>
        <w:t>las</w:t>
      </w:r>
      <w:r>
        <w:rPr>
          <w:color w:val="231F20"/>
          <w:spacing w:val="-6"/>
        </w:rPr>
        <w:t> </w:t>
      </w:r>
      <w:r>
        <w:rPr>
          <w:color w:val="231F20"/>
        </w:rPr>
        <w:t>migra- ciones también hacen referencia a las desigualdades de género, es decir, en</w:t>
      </w:r>
      <w:r>
        <w:rPr>
          <w:color w:val="231F20"/>
          <w:spacing w:val="-11"/>
        </w:rPr>
        <w:t> </w:t>
      </w:r>
      <w:r>
        <w:rPr>
          <w:color w:val="231F20"/>
        </w:rPr>
        <w:t>el</w:t>
      </w:r>
      <w:r>
        <w:rPr>
          <w:color w:val="231F20"/>
          <w:spacing w:val="-11"/>
        </w:rPr>
        <w:t> </w:t>
      </w:r>
      <w:r>
        <w:rPr>
          <w:color w:val="231F20"/>
        </w:rPr>
        <w:t>actual</w:t>
      </w:r>
      <w:r>
        <w:rPr>
          <w:color w:val="231F20"/>
          <w:spacing w:val="-11"/>
        </w:rPr>
        <w:t> </w:t>
      </w:r>
      <w:r>
        <w:rPr>
          <w:color w:val="231F20"/>
        </w:rPr>
        <w:t>contexto,</w:t>
      </w:r>
      <w:r>
        <w:rPr>
          <w:color w:val="231F20"/>
          <w:spacing w:val="-11"/>
        </w:rPr>
        <w:t> </w:t>
      </w:r>
      <w:r>
        <w:rPr>
          <w:color w:val="231F20"/>
        </w:rPr>
        <w:t>la</w:t>
      </w:r>
      <w:r>
        <w:rPr>
          <w:color w:val="231F20"/>
          <w:spacing w:val="-11"/>
        </w:rPr>
        <w:t> </w:t>
      </w:r>
      <w:r>
        <w:rPr>
          <w:color w:val="231F20"/>
        </w:rPr>
        <w:t>división</w:t>
      </w:r>
      <w:r>
        <w:rPr>
          <w:color w:val="231F20"/>
          <w:spacing w:val="-11"/>
        </w:rPr>
        <w:t> </w:t>
      </w:r>
      <w:r>
        <w:rPr>
          <w:color w:val="231F20"/>
        </w:rPr>
        <w:t>de</w:t>
      </w:r>
      <w:r>
        <w:rPr>
          <w:color w:val="231F20"/>
          <w:spacing w:val="-11"/>
        </w:rPr>
        <w:t> </w:t>
      </w:r>
      <w:r>
        <w:rPr>
          <w:color w:val="231F20"/>
        </w:rPr>
        <w:t>género</w:t>
      </w:r>
      <w:r>
        <w:rPr>
          <w:color w:val="231F20"/>
          <w:spacing w:val="-11"/>
        </w:rPr>
        <w:t> </w:t>
      </w:r>
      <w:r>
        <w:rPr>
          <w:color w:val="231F20"/>
        </w:rPr>
        <w:t>se</w:t>
      </w:r>
      <w:r>
        <w:rPr>
          <w:color w:val="231F20"/>
          <w:spacing w:val="-11"/>
        </w:rPr>
        <w:t> </w:t>
      </w:r>
      <w:r>
        <w:rPr>
          <w:color w:val="231F20"/>
        </w:rPr>
        <w:t>impone</w:t>
      </w:r>
      <w:r>
        <w:rPr>
          <w:color w:val="231F20"/>
          <w:spacing w:val="-11"/>
        </w:rPr>
        <w:t> </w:t>
      </w:r>
      <w:r>
        <w:rPr>
          <w:color w:val="231F20"/>
        </w:rPr>
        <w:t>como</w:t>
      </w:r>
      <w:r>
        <w:rPr>
          <w:color w:val="231F20"/>
          <w:spacing w:val="-11"/>
        </w:rPr>
        <w:t> </w:t>
      </w:r>
      <w:r>
        <w:rPr>
          <w:color w:val="231F20"/>
        </w:rPr>
        <w:t>característica de las migraciones transnacionales en el marco de la globalización. La fuerza de trabajo femenina es necesaria en el campo migratorio y es</w:t>
      </w:r>
      <w:r>
        <w:rPr>
          <w:color w:val="231F20"/>
          <w:spacing w:val="-24"/>
        </w:rPr>
        <w:t> </w:t>
      </w:r>
      <w:r>
        <w:rPr>
          <w:color w:val="231F20"/>
        </w:rPr>
        <w:t>pre- ferente</w:t>
      </w:r>
      <w:r>
        <w:rPr>
          <w:color w:val="231F20"/>
          <w:spacing w:val="-12"/>
        </w:rPr>
        <w:t> </w:t>
      </w:r>
      <w:r>
        <w:rPr>
          <w:color w:val="231F20"/>
        </w:rPr>
        <w:t>en</w:t>
      </w:r>
      <w:r>
        <w:rPr>
          <w:color w:val="231F20"/>
          <w:spacing w:val="-12"/>
        </w:rPr>
        <w:t> </w:t>
      </w:r>
      <w:r>
        <w:rPr>
          <w:color w:val="231F20"/>
        </w:rPr>
        <w:t>determinados</w:t>
      </w:r>
      <w:r>
        <w:rPr>
          <w:color w:val="231F20"/>
          <w:spacing w:val="-13"/>
        </w:rPr>
        <w:t> </w:t>
      </w:r>
      <w:r>
        <w:rPr>
          <w:color w:val="231F20"/>
        </w:rPr>
        <w:t>sectores</w:t>
      </w:r>
      <w:r>
        <w:rPr>
          <w:color w:val="231F20"/>
          <w:spacing w:val="-12"/>
        </w:rPr>
        <w:t> </w:t>
      </w:r>
      <w:r>
        <w:rPr>
          <w:color w:val="231F20"/>
        </w:rPr>
        <w:t>económicos</w:t>
      </w:r>
      <w:r>
        <w:rPr>
          <w:color w:val="231F20"/>
          <w:spacing w:val="-13"/>
        </w:rPr>
        <w:t> </w:t>
      </w:r>
      <w:r>
        <w:rPr>
          <w:color w:val="231F20"/>
        </w:rPr>
        <w:t>como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servicio</w:t>
      </w:r>
      <w:r>
        <w:rPr>
          <w:color w:val="231F20"/>
          <w:spacing w:val="-12"/>
        </w:rPr>
        <w:t> </w:t>
      </w:r>
      <w:r>
        <w:rPr>
          <w:color w:val="231F20"/>
        </w:rPr>
        <w:t>domés- tico</w:t>
      </w:r>
      <w:r>
        <w:rPr>
          <w:color w:val="231F20"/>
          <w:spacing w:val="-4"/>
        </w:rPr>
        <w:t> </w:t>
      </w:r>
      <w:r>
        <w:rPr>
          <w:color w:val="231F20"/>
        </w:rPr>
        <w:t>o</w:t>
      </w:r>
      <w:r>
        <w:rPr>
          <w:color w:val="231F20"/>
          <w:spacing w:val="-3"/>
        </w:rPr>
        <w:t> </w:t>
      </w:r>
      <w:r>
        <w:rPr>
          <w:color w:val="231F20"/>
        </w:rPr>
        <w:t>bien</w:t>
      </w:r>
      <w:r>
        <w:rPr>
          <w:color w:val="231F20"/>
          <w:spacing w:val="-4"/>
        </w:rPr>
        <w:t> </w:t>
      </w:r>
      <w:r>
        <w:rPr>
          <w:color w:val="231F20"/>
        </w:rPr>
        <w:t>en</w:t>
      </w:r>
      <w:r>
        <w:rPr>
          <w:color w:val="231F20"/>
          <w:spacing w:val="-4"/>
        </w:rPr>
        <w:t> </w:t>
      </w:r>
      <w:r>
        <w:rPr>
          <w:color w:val="231F20"/>
        </w:rPr>
        <w:t>áreas</w:t>
      </w:r>
      <w:r>
        <w:rPr>
          <w:color w:val="231F20"/>
          <w:spacing w:val="-4"/>
        </w:rPr>
        <w:t> </w:t>
      </w:r>
      <w:r>
        <w:rPr>
          <w:color w:val="231F20"/>
        </w:rPr>
        <w:t>profesionales</w:t>
      </w:r>
      <w:r>
        <w:rPr>
          <w:color w:val="231F20"/>
          <w:spacing w:val="-4"/>
        </w:rPr>
        <w:t> </w:t>
      </w:r>
      <w:r>
        <w:rPr>
          <w:color w:val="231F20"/>
        </w:rPr>
        <w:t>como</w:t>
      </w:r>
      <w:r>
        <w:rPr>
          <w:color w:val="231F20"/>
          <w:spacing w:val="-4"/>
        </w:rPr>
        <w:t> </w:t>
      </w:r>
      <w:r>
        <w:rPr>
          <w:color w:val="231F20"/>
        </w:rPr>
        <w:t>la</w:t>
      </w:r>
      <w:r>
        <w:rPr>
          <w:color w:val="231F20"/>
          <w:spacing w:val="-4"/>
        </w:rPr>
        <w:t> </w:t>
      </w:r>
      <w:r>
        <w:rPr>
          <w:color w:val="231F20"/>
        </w:rPr>
        <w:t>enfermería,</w:t>
      </w:r>
      <w:r>
        <w:rPr>
          <w:color w:val="231F20"/>
          <w:spacing w:val="-4"/>
        </w:rPr>
        <w:t> </w:t>
      </w:r>
      <w:r>
        <w:rPr>
          <w:color w:val="231F20"/>
        </w:rPr>
        <w:t>también</w:t>
      </w:r>
      <w:r>
        <w:rPr>
          <w:color w:val="231F20"/>
          <w:spacing w:val="-4"/>
        </w:rPr>
        <w:t> </w:t>
      </w:r>
      <w:r>
        <w:rPr>
          <w:color w:val="231F20"/>
        </w:rPr>
        <w:t>sobresale el</w:t>
      </w:r>
      <w:r>
        <w:rPr>
          <w:color w:val="231F20"/>
          <w:spacing w:val="-7"/>
        </w:rPr>
        <w:t> </w:t>
      </w:r>
      <w:r>
        <w:rPr>
          <w:color w:val="231F20"/>
        </w:rPr>
        <w:t>sector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agricultura,</w:t>
      </w:r>
      <w:r>
        <w:rPr>
          <w:color w:val="231F20"/>
          <w:spacing w:val="-7"/>
        </w:rPr>
        <w:t> </w:t>
      </w:r>
      <w:r>
        <w:rPr>
          <w:color w:val="231F20"/>
        </w:rPr>
        <w:t>especialmente</w:t>
      </w:r>
      <w:r>
        <w:rPr>
          <w:color w:val="231F20"/>
          <w:spacing w:val="-7"/>
        </w:rPr>
        <w:t> </w:t>
      </w:r>
      <w:r>
        <w:rPr>
          <w:color w:val="231F20"/>
        </w:rPr>
        <w:t>en</w:t>
      </w:r>
      <w:r>
        <w:rPr>
          <w:color w:val="231F20"/>
          <w:spacing w:val="-7"/>
        </w:rPr>
        <w:t> </w:t>
      </w:r>
      <w:r>
        <w:rPr>
          <w:color w:val="231F20"/>
        </w:rPr>
        <w:t>tareas</w:t>
      </w:r>
      <w:r>
        <w:rPr>
          <w:color w:val="231F20"/>
          <w:spacing w:val="-7"/>
        </w:rPr>
        <w:t> </w:t>
      </w:r>
      <w:r>
        <w:rPr>
          <w:color w:val="231F20"/>
        </w:rPr>
        <w:t>muy</w:t>
      </w:r>
      <w:r>
        <w:rPr>
          <w:color w:val="231F20"/>
          <w:spacing w:val="-7"/>
        </w:rPr>
        <w:t> </w:t>
      </w:r>
      <w:r>
        <w:rPr>
          <w:color w:val="231F20"/>
        </w:rPr>
        <w:t>específicas</w:t>
      </w:r>
      <w:r>
        <w:rPr>
          <w:color w:val="231F20"/>
          <w:spacing w:val="-7"/>
        </w:rPr>
        <w:t> </w:t>
      </w:r>
      <w:r>
        <w:rPr>
          <w:color w:val="231F20"/>
        </w:rPr>
        <w:t>como la pisca o el empaque.</w:t>
      </w:r>
    </w:p>
    <w:p>
      <w:pPr>
        <w:pStyle w:val="BodyText"/>
        <w:spacing w:line="249" w:lineRule="auto" w:before="1"/>
        <w:ind w:left="113" w:right="107" w:firstLine="283"/>
        <w:jc w:val="both"/>
      </w:pPr>
      <w:r>
        <w:rPr>
          <w:color w:val="231F20"/>
        </w:rPr>
        <w:t>Algunos flujos migratorios son exclusivamente masculinos como los del norte de África y Pakistán. Otros como los de Filipinas son casi ex- clusivamente</w:t>
      </w:r>
      <w:r>
        <w:rPr>
          <w:color w:val="231F20"/>
          <w:spacing w:val="-7"/>
        </w:rPr>
        <w:t> </w:t>
      </w:r>
      <w:r>
        <w:rPr>
          <w:color w:val="231F20"/>
        </w:rPr>
        <w:t>femeninos</w:t>
      </w:r>
      <w:r>
        <w:rPr>
          <w:color w:val="231F20"/>
          <w:spacing w:val="-7"/>
        </w:rPr>
        <w:t> </w:t>
      </w:r>
      <w:r>
        <w:rPr>
          <w:color w:val="231F20"/>
        </w:rPr>
        <w:t>(Campani,</w:t>
      </w:r>
      <w:r>
        <w:rPr>
          <w:color w:val="231F20"/>
          <w:spacing w:val="-7"/>
        </w:rPr>
        <w:t> </w:t>
      </w:r>
      <w:r>
        <w:rPr>
          <w:color w:val="231F20"/>
        </w:rPr>
        <w:t>2010:</w:t>
      </w:r>
      <w:r>
        <w:rPr>
          <w:color w:val="231F20"/>
          <w:spacing w:val="-7"/>
        </w:rPr>
        <w:t> </w:t>
      </w:r>
      <w:r>
        <w:rPr>
          <w:color w:val="231F20"/>
        </w:rPr>
        <w:t>134),</w:t>
      </w:r>
      <w:r>
        <w:rPr>
          <w:color w:val="231F20"/>
          <w:spacing w:val="-7"/>
        </w:rPr>
        <w:t> </w:t>
      </w:r>
      <w:r>
        <w:rPr>
          <w:color w:val="231F20"/>
        </w:rPr>
        <w:t>desde</w:t>
      </w:r>
      <w:r>
        <w:rPr>
          <w:color w:val="231F20"/>
          <w:spacing w:val="-7"/>
        </w:rPr>
        <w:t> </w:t>
      </w:r>
      <w:r>
        <w:rPr>
          <w:color w:val="231F20"/>
        </w:rPr>
        <w:t>luego</w:t>
      </w:r>
      <w:r>
        <w:rPr>
          <w:color w:val="231F20"/>
          <w:spacing w:val="-7"/>
        </w:rPr>
        <w:t> </w:t>
      </w:r>
      <w:r>
        <w:rPr>
          <w:color w:val="231F20"/>
        </w:rPr>
        <w:t>que</w:t>
      </w:r>
      <w:r>
        <w:rPr>
          <w:color w:val="231F20"/>
          <w:spacing w:val="-7"/>
        </w:rPr>
        <w:t> </w:t>
      </w:r>
      <w:r>
        <w:rPr>
          <w:color w:val="231F20"/>
        </w:rPr>
        <w:t>también hay mixtos, donde los hombres y la mujeres tienen una representación en la corriente migratoria, relativamente equilibrada, pero eso no quie- re decir que ellos y ellas, indistintamente, sean requeridos para realizar cualquier</w:t>
      </w:r>
      <w:r>
        <w:rPr>
          <w:color w:val="231F20"/>
          <w:spacing w:val="-8"/>
        </w:rPr>
        <w:t> </w:t>
      </w:r>
      <w:r>
        <w:rPr>
          <w:color w:val="231F20"/>
        </w:rPr>
        <w:t>empleo</w:t>
      </w:r>
      <w:r>
        <w:rPr>
          <w:color w:val="231F20"/>
          <w:spacing w:val="-8"/>
        </w:rPr>
        <w:t> </w:t>
      </w:r>
      <w:r>
        <w:rPr>
          <w:color w:val="231F20"/>
        </w:rPr>
        <w:t>(en</w:t>
      </w:r>
      <w:r>
        <w:rPr>
          <w:color w:val="231F20"/>
          <w:spacing w:val="-7"/>
        </w:rPr>
        <w:t> </w:t>
      </w:r>
      <w:r>
        <w:rPr>
          <w:color w:val="231F20"/>
        </w:rPr>
        <w:t>términos</w:t>
      </w:r>
      <w:r>
        <w:rPr>
          <w:color w:val="231F20"/>
          <w:spacing w:val="-8"/>
        </w:rPr>
        <w:t> </w:t>
      </w:r>
      <w:r>
        <w:rPr>
          <w:color w:val="231F20"/>
        </w:rPr>
        <w:t>de</w:t>
      </w:r>
      <w:r>
        <w:rPr>
          <w:color w:val="231F20"/>
          <w:spacing w:val="-7"/>
        </w:rPr>
        <w:t> </w:t>
      </w:r>
      <w:r>
        <w:rPr>
          <w:color w:val="231F20"/>
        </w:rPr>
        <w:t>división</w:t>
      </w:r>
      <w:r>
        <w:rPr>
          <w:color w:val="231F20"/>
          <w:spacing w:val="-7"/>
        </w:rPr>
        <w:t> </w:t>
      </w:r>
      <w:r>
        <w:rPr>
          <w:color w:val="231F20"/>
        </w:rPr>
        <w:t>sexual</w:t>
      </w:r>
      <w:r>
        <w:rPr>
          <w:color w:val="231F20"/>
          <w:spacing w:val="-7"/>
        </w:rPr>
        <w:t> </w:t>
      </w:r>
      <w:r>
        <w:rPr>
          <w:color w:val="231F20"/>
        </w:rPr>
        <w:t>del</w:t>
      </w:r>
      <w:r>
        <w:rPr>
          <w:color w:val="231F20"/>
          <w:spacing w:val="-7"/>
        </w:rPr>
        <w:t> </w:t>
      </w:r>
      <w:r>
        <w:rPr>
          <w:color w:val="231F20"/>
        </w:rPr>
        <w:t>trabajo</w:t>
      </w:r>
      <w:r>
        <w:rPr>
          <w:color w:val="231F20"/>
          <w:spacing w:val="-8"/>
        </w:rPr>
        <w:t> </w:t>
      </w:r>
      <w:r>
        <w:rPr>
          <w:color w:val="231F20"/>
        </w:rPr>
        <w:t>y</w:t>
      </w:r>
      <w:r>
        <w:rPr>
          <w:color w:val="231F20"/>
          <w:spacing w:val="-7"/>
        </w:rPr>
        <w:t> </w:t>
      </w:r>
      <w:r>
        <w:rPr>
          <w:color w:val="231F20"/>
        </w:rPr>
        <w:t>no</w:t>
      </w:r>
      <w:r>
        <w:rPr>
          <w:color w:val="231F20"/>
          <w:spacing w:val="-7"/>
        </w:rPr>
        <w:t> </w:t>
      </w:r>
      <w:r>
        <w:rPr>
          <w:color w:val="231F20"/>
        </w:rPr>
        <w:t>solo</w:t>
      </w:r>
      <w:r>
        <w:rPr>
          <w:color w:val="231F20"/>
          <w:spacing w:val="-7"/>
        </w:rPr>
        <w:t> </w:t>
      </w:r>
      <w:r>
        <w:rPr>
          <w:color w:val="231F20"/>
        </w:rPr>
        <w:t>de capacidad, experiencia o habilidades para</w:t>
      </w:r>
      <w:r>
        <w:rPr>
          <w:color w:val="231F20"/>
          <w:spacing w:val="-2"/>
        </w:rPr>
        <w:t> </w:t>
      </w:r>
      <w:r>
        <w:rPr>
          <w:color w:val="231F20"/>
        </w:rPr>
        <w:t>realizarlo).</w:t>
      </w:r>
    </w:p>
    <w:p>
      <w:pPr>
        <w:pStyle w:val="BodyText"/>
        <w:spacing w:line="249" w:lineRule="auto" w:before="1"/>
        <w:ind w:left="113" w:right="107" w:firstLine="283"/>
        <w:jc w:val="both"/>
      </w:pPr>
      <w:r>
        <w:rPr>
          <w:color w:val="231F20"/>
        </w:rPr>
        <w:t>Aunque en términos muy generales, centraremos nuestra atención en el trabajo reproductivo remunerado que las mujeres inmigrantes</w:t>
      </w:r>
      <w:r>
        <w:rPr>
          <w:color w:val="231F20"/>
          <w:spacing w:val="-21"/>
        </w:rPr>
        <w:t> </w:t>
      </w:r>
      <w:r>
        <w:rPr>
          <w:color w:val="231F20"/>
        </w:rPr>
        <w:t>realizan esencialmente en el medio urbano de los países receptores en donde la sociedad </w:t>
      </w:r>
      <w:r>
        <w:rPr>
          <w:color w:val="231F20"/>
          <w:spacing w:val="-7"/>
        </w:rPr>
        <w:t>y, </w:t>
      </w:r>
      <w:r>
        <w:rPr>
          <w:color w:val="231F20"/>
        </w:rPr>
        <w:t>en concreto las familias, también han sido afectadas por el modelo de desarrollo económico; la competencia en el medio laboral,   la incertidumbre ante el puesto de trabajo, las deudas difíciles de pagar entre</w:t>
      </w:r>
      <w:r>
        <w:rPr>
          <w:color w:val="231F20"/>
          <w:spacing w:val="-6"/>
        </w:rPr>
        <w:t> </w:t>
      </w:r>
      <w:r>
        <w:rPr>
          <w:color w:val="231F20"/>
        </w:rPr>
        <w:t>ellas</w:t>
      </w:r>
      <w:r>
        <w:rPr>
          <w:color w:val="231F20"/>
          <w:spacing w:val="-6"/>
        </w:rPr>
        <w:t> </w:t>
      </w:r>
      <w:r>
        <w:rPr>
          <w:color w:val="231F20"/>
        </w:rPr>
        <w:t>el</w:t>
      </w:r>
      <w:r>
        <w:rPr>
          <w:color w:val="231F20"/>
          <w:spacing w:val="-6"/>
        </w:rPr>
        <w:t> </w:t>
      </w:r>
      <w:r>
        <w:rPr>
          <w:color w:val="231F20"/>
        </w:rPr>
        <w:t>crédito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vivienda</w:t>
      </w:r>
      <w:r>
        <w:rPr>
          <w:color w:val="231F20"/>
          <w:spacing w:val="-6"/>
        </w:rPr>
        <w:t> </w:t>
      </w:r>
      <w:r>
        <w:rPr>
          <w:color w:val="231F20"/>
        </w:rPr>
        <w:t>o</w:t>
      </w:r>
      <w:r>
        <w:rPr>
          <w:color w:val="231F20"/>
          <w:spacing w:val="-5"/>
        </w:rPr>
        <w:t> </w:t>
      </w:r>
      <w:r>
        <w:rPr>
          <w:color w:val="231F20"/>
        </w:rPr>
        <w:t>por</w:t>
      </w:r>
      <w:r>
        <w:rPr>
          <w:color w:val="231F20"/>
          <w:spacing w:val="-5"/>
        </w:rPr>
        <w:t> </w:t>
      </w:r>
      <w:r>
        <w:rPr>
          <w:color w:val="231F20"/>
        </w:rPr>
        <w:t>otros</w:t>
      </w:r>
      <w:r>
        <w:rPr>
          <w:color w:val="231F20"/>
          <w:spacing w:val="-5"/>
        </w:rPr>
        <w:t> </w:t>
      </w:r>
      <w:r>
        <w:rPr>
          <w:color w:val="231F20"/>
        </w:rPr>
        <w:t>motivos</w:t>
      </w:r>
      <w:r>
        <w:rPr>
          <w:color w:val="231F20"/>
          <w:spacing w:val="-6"/>
        </w:rPr>
        <w:t> </w:t>
      </w:r>
      <w:r>
        <w:rPr>
          <w:color w:val="231F20"/>
        </w:rPr>
        <w:t>demandan</w:t>
      </w:r>
      <w:r>
        <w:rPr>
          <w:color w:val="231F20"/>
          <w:spacing w:val="-6"/>
        </w:rPr>
        <w:t> </w:t>
      </w:r>
      <w:r>
        <w:rPr>
          <w:color w:val="231F20"/>
        </w:rPr>
        <w:t>mayor atención de los empleados, conjuntamente más integrantes de la familia están incorporados a las labores productivas y al mismo tiempo  </w:t>
      </w:r>
      <w:r>
        <w:rPr>
          <w:color w:val="231F20"/>
          <w:spacing w:val="33"/>
        </w:rPr>
        <w:t> </w:t>
      </w:r>
      <w:r>
        <w:rPr>
          <w:color w:val="231F20"/>
        </w:rPr>
        <w:t>crecen</w:t>
      </w:r>
    </w:p>
    <w:p>
      <w:pPr>
        <w:spacing w:after="0" w:line="249" w:lineRule="auto"/>
        <w:jc w:val="both"/>
        <w:sectPr>
          <w:footerReference w:type="default" r:id="rId250"/>
          <w:pgSz w:w="7770" w:h="11740"/>
          <w:pgMar w:footer="474" w:header="0" w:top="840" w:bottom="660" w:left="1020" w:right="740"/>
          <w:pgNumType w:start="217"/>
        </w:sectPr>
      </w:pPr>
    </w:p>
    <w:p>
      <w:pPr>
        <w:pStyle w:val="BodyText"/>
        <w:spacing w:line="249" w:lineRule="auto" w:before="60"/>
        <w:ind w:left="110" w:right="111"/>
        <w:jc w:val="both"/>
      </w:pPr>
      <w:r>
        <w:rPr>
          <w:color w:val="231F20"/>
        </w:rPr>
        <w:t>las economías subsistencia, en las cuales las mujeres inmigrantes suelen realizar esos trabajos indispensables para la reproducción cotidiana de las</w:t>
      </w:r>
      <w:r>
        <w:rPr>
          <w:color w:val="231F20"/>
          <w:spacing w:val="-7"/>
        </w:rPr>
        <w:t> </w:t>
      </w:r>
      <w:r>
        <w:rPr>
          <w:color w:val="231F20"/>
        </w:rPr>
        <w:t>familias</w:t>
      </w:r>
      <w:r>
        <w:rPr>
          <w:color w:val="231F20"/>
          <w:spacing w:val="-7"/>
        </w:rPr>
        <w:t> </w:t>
      </w:r>
      <w:r>
        <w:rPr>
          <w:color w:val="231F20"/>
        </w:rPr>
        <w:t>pero</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son</w:t>
      </w:r>
      <w:r>
        <w:rPr>
          <w:color w:val="231F20"/>
          <w:spacing w:val="-7"/>
        </w:rPr>
        <w:t> </w:t>
      </w:r>
      <w:r>
        <w:rPr>
          <w:color w:val="231F20"/>
        </w:rPr>
        <w:t>reconocidos</w:t>
      </w:r>
      <w:r>
        <w:rPr>
          <w:color w:val="231F20"/>
          <w:spacing w:val="-7"/>
        </w:rPr>
        <w:t> </w:t>
      </w:r>
      <w:r>
        <w:rPr>
          <w:color w:val="231F20"/>
        </w:rPr>
        <w:t>en</w:t>
      </w:r>
      <w:r>
        <w:rPr>
          <w:color w:val="231F20"/>
          <w:spacing w:val="-7"/>
        </w:rPr>
        <w:t> </w:t>
      </w:r>
      <w:r>
        <w:rPr>
          <w:color w:val="231F20"/>
        </w:rPr>
        <w:t>ese</w:t>
      </w:r>
      <w:r>
        <w:rPr>
          <w:color w:val="231F20"/>
          <w:spacing w:val="-7"/>
        </w:rPr>
        <w:t> </w:t>
      </w:r>
      <w:r>
        <w:rPr>
          <w:color w:val="231F20"/>
        </w:rPr>
        <w:t>sentido.</w:t>
      </w:r>
      <w:r>
        <w:rPr>
          <w:color w:val="231F20"/>
          <w:spacing w:val="-7"/>
        </w:rPr>
        <w:t> </w:t>
      </w:r>
      <w:r>
        <w:rPr>
          <w:color w:val="231F20"/>
        </w:rPr>
        <w:t>Son</w:t>
      </w:r>
      <w:r>
        <w:rPr>
          <w:color w:val="231F20"/>
          <w:spacing w:val="-7"/>
        </w:rPr>
        <w:t> </w:t>
      </w:r>
      <w:r>
        <w:rPr>
          <w:color w:val="231F20"/>
        </w:rPr>
        <w:t>mujeres</w:t>
      </w:r>
      <w:r>
        <w:rPr>
          <w:color w:val="231F20"/>
          <w:spacing w:val="-7"/>
        </w:rPr>
        <w:t> </w:t>
      </w:r>
      <w:r>
        <w:rPr>
          <w:color w:val="231F20"/>
        </w:rPr>
        <w:t>mi- grantes que además de prestar servicios de cuidados de manera remune- rada</w:t>
      </w:r>
      <w:r>
        <w:rPr>
          <w:color w:val="231F20"/>
          <w:spacing w:val="-11"/>
        </w:rPr>
        <w:t> </w:t>
      </w:r>
      <w:r>
        <w:rPr>
          <w:color w:val="231F20"/>
        </w:rPr>
        <w:t>deben</w:t>
      </w:r>
      <w:r>
        <w:rPr>
          <w:color w:val="231F20"/>
          <w:spacing w:val="-11"/>
        </w:rPr>
        <w:t> </w:t>
      </w:r>
      <w:r>
        <w:rPr>
          <w:color w:val="231F20"/>
        </w:rPr>
        <w:t>garantizar</w:t>
      </w:r>
      <w:r>
        <w:rPr>
          <w:color w:val="231F20"/>
          <w:spacing w:val="-11"/>
        </w:rPr>
        <w:t> </w:t>
      </w:r>
      <w:r>
        <w:rPr>
          <w:color w:val="231F20"/>
        </w:rPr>
        <w:t>la</w:t>
      </w:r>
      <w:r>
        <w:rPr>
          <w:color w:val="231F20"/>
          <w:spacing w:val="-11"/>
        </w:rPr>
        <w:t> </w:t>
      </w:r>
      <w:r>
        <w:rPr>
          <w:color w:val="231F20"/>
        </w:rPr>
        <w:t>atención</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propios</w:t>
      </w:r>
      <w:r>
        <w:rPr>
          <w:color w:val="231F20"/>
          <w:spacing w:val="-11"/>
        </w:rPr>
        <w:t> </w:t>
      </w:r>
      <w:r>
        <w:rPr>
          <w:color w:val="231F20"/>
        </w:rPr>
        <w:t>hijos,</w:t>
      </w:r>
      <w:r>
        <w:rPr>
          <w:color w:val="231F20"/>
          <w:spacing w:val="-11"/>
        </w:rPr>
        <w:t> </w:t>
      </w:r>
      <w:r>
        <w:rPr>
          <w:color w:val="231F20"/>
        </w:rPr>
        <w:t>quienes</w:t>
      </w:r>
      <w:r>
        <w:rPr>
          <w:color w:val="231F20"/>
          <w:spacing w:val="-11"/>
        </w:rPr>
        <w:t> </w:t>
      </w:r>
      <w:r>
        <w:rPr>
          <w:color w:val="231F20"/>
        </w:rPr>
        <w:t>la</w:t>
      </w:r>
      <w:r>
        <w:rPr>
          <w:color w:val="231F20"/>
          <w:spacing w:val="-11"/>
        </w:rPr>
        <w:t> </w:t>
      </w:r>
      <w:r>
        <w:rPr>
          <w:color w:val="231F20"/>
        </w:rPr>
        <w:t>mayoría de las veces permanecen en el país de origen a cargo de otras mujeres, con lo cual se desarrollan relaciones a un nivel internacional que se han dado en llamar cadenas globales de cuidado </w:t>
      </w:r>
      <w:r>
        <w:rPr>
          <w:color w:val="231F20"/>
          <w:spacing w:val="-3"/>
        </w:rPr>
        <w:t>(Hochschild,</w:t>
      </w:r>
      <w:r>
        <w:rPr>
          <w:color w:val="231F20"/>
          <w:spacing w:val="-1"/>
        </w:rPr>
        <w:t> </w:t>
      </w:r>
      <w:r>
        <w:rPr>
          <w:color w:val="231F20"/>
          <w:spacing w:val="-3"/>
        </w:rPr>
        <w:t>2001).</w:t>
      </w:r>
    </w:p>
    <w:p>
      <w:pPr>
        <w:pStyle w:val="BodyText"/>
        <w:spacing w:line="249" w:lineRule="auto" w:before="1"/>
        <w:ind w:left="110" w:right="113" w:firstLine="283"/>
        <w:jc w:val="both"/>
      </w:pPr>
      <w:r>
        <w:rPr>
          <w:color w:val="231F20"/>
          <w:spacing w:val="-3"/>
        </w:rPr>
        <w:t>Para </w:t>
      </w:r>
      <w:r>
        <w:rPr>
          <w:color w:val="231F20"/>
        </w:rPr>
        <w:t>que los </w:t>
      </w:r>
      <w:r>
        <w:rPr>
          <w:color w:val="231F20"/>
          <w:spacing w:val="-3"/>
        </w:rPr>
        <w:t>miembros </w:t>
      </w:r>
      <w:r>
        <w:rPr>
          <w:color w:val="231F20"/>
        </w:rPr>
        <w:t>de </w:t>
      </w:r>
      <w:r>
        <w:rPr>
          <w:color w:val="231F20"/>
          <w:spacing w:val="-3"/>
        </w:rPr>
        <w:t>esas familias puedan dedicar tiempo </w:t>
      </w:r>
      <w:r>
        <w:rPr>
          <w:color w:val="231F20"/>
        </w:rPr>
        <w:t>a </w:t>
      </w:r>
      <w:r>
        <w:rPr>
          <w:color w:val="231F20"/>
          <w:spacing w:val="-3"/>
        </w:rPr>
        <w:t>lo productivo, para </w:t>
      </w:r>
      <w:r>
        <w:rPr>
          <w:color w:val="231F20"/>
        </w:rPr>
        <w:t>que </w:t>
      </w:r>
      <w:r>
        <w:rPr>
          <w:color w:val="231F20"/>
          <w:spacing w:val="-3"/>
        </w:rPr>
        <w:t>sean “autónomos” alguien debe ocuparse </w:t>
      </w:r>
      <w:r>
        <w:rPr>
          <w:color w:val="231F20"/>
        </w:rPr>
        <w:t>del </w:t>
      </w:r>
      <w:r>
        <w:rPr>
          <w:color w:val="231F20"/>
          <w:spacing w:val="-3"/>
        </w:rPr>
        <w:t>espacio </w:t>
      </w:r>
      <w:r>
        <w:rPr>
          <w:color w:val="231F20"/>
        </w:rPr>
        <w:t>del</w:t>
      </w:r>
      <w:r>
        <w:rPr>
          <w:color w:val="231F20"/>
          <w:spacing w:val="-11"/>
        </w:rPr>
        <w:t> </w:t>
      </w:r>
      <w:r>
        <w:rPr>
          <w:color w:val="231F20"/>
          <w:spacing w:val="-3"/>
        </w:rPr>
        <w:t>cuidado.</w:t>
      </w:r>
      <w:r>
        <w:rPr>
          <w:color w:val="231F20"/>
          <w:spacing w:val="-12"/>
        </w:rPr>
        <w:t> </w:t>
      </w:r>
      <w:r>
        <w:rPr>
          <w:color w:val="231F20"/>
        </w:rPr>
        <w:t>De</w:t>
      </w:r>
      <w:r>
        <w:rPr>
          <w:color w:val="231F20"/>
          <w:spacing w:val="-11"/>
        </w:rPr>
        <w:t> </w:t>
      </w:r>
      <w:r>
        <w:rPr>
          <w:color w:val="231F20"/>
          <w:spacing w:val="-3"/>
        </w:rPr>
        <w:t>esos</w:t>
      </w:r>
      <w:r>
        <w:rPr>
          <w:color w:val="231F20"/>
          <w:spacing w:val="-12"/>
        </w:rPr>
        <w:t> </w:t>
      </w:r>
      <w:r>
        <w:rPr>
          <w:color w:val="231F20"/>
          <w:spacing w:val="-3"/>
        </w:rPr>
        <w:t>cuidados</w:t>
      </w:r>
      <w:r>
        <w:rPr>
          <w:color w:val="231F20"/>
          <w:spacing w:val="-12"/>
        </w:rPr>
        <w:t> </w:t>
      </w:r>
      <w:r>
        <w:rPr>
          <w:color w:val="231F20"/>
        </w:rPr>
        <w:t>que</w:t>
      </w:r>
      <w:r>
        <w:rPr>
          <w:color w:val="231F20"/>
          <w:spacing w:val="-11"/>
        </w:rPr>
        <w:t> </w:t>
      </w:r>
      <w:r>
        <w:rPr>
          <w:color w:val="231F20"/>
        </w:rPr>
        <w:t>las</w:t>
      </w:r>
      <w:r>
        <w:rPr>
          <w:color w:val="231F20"/>
          <w:spacing w:val="-12"/>
        </w:rPr>
        <w:t> </w:t>
      </w:r>
      <w:r>
        <w:rPr>
          <w:color w:val="231F20"/>
          <w:spacing w:val="-3"/>
        </w:rPr>
        <w:t>personas</w:t>
      </w:r>
      <w:r>
        <w:rPr>
          <w:color w:val="231F20"/>
          <w:spacing w:val="-11"/>
        </w:rPr>
        <w:t> </w:t>
      </w:r>
      <w:r>
        <w:rPr>
          <w:color w:val="231F20"/>
          <w:spacing w:val="-3"/>
        </w:rPr>
        <w:t>requieren</w:t>
      </w:r>
      <w:r>
        <w:rPr>
          <w:color w:val="231F20"/>
          <w:spacing w:val="-11"/>
        </w:rPr>
        <w:t> </w:t>
      </w:r>
      <w:r>
        <w:rPr>
          <w:color w:val="231F20"/>
        </w:rPr>
        <w:t>a</w:t>
      </w:r>
      <w:r>
        <w:rPr>
          <w:color w:val="231F20"/>
          <w:spacing w:val="-11"/>
        </w:rPr>
        <w:t> </w:t>
      </w:r>
      <w:r>
        <w:rPr>
          <w:color w:val="231F20"/>
        </w:rPr>
        <w:t>lo</w:t>
      </w:r>
      <w:r>
        <w:rPr>
          <w:color w:val="231F20"/>
          <w:spacing w:val="-12"/>
        </w:rPr>
        <w:t> </w:t>
      </w:r>
      <w:r>
        <w:rPr>
          <w:color w:val="231F20"/>
          <w:spacing w:val="-3"/>
        </w:rPr>
        <w:t>largo</w:t>
      </w:r>
      <w:r>
        <w:rPr>
          <w:color w:val="231F20"/>
          <w:spacing w:val="-11"/>
        </w:rPr>
        <w:t> </w:t>
      </w:r>
      <w:r>
        <w:rPr>
          <w:color w:val="231F20"/>
        </w:rPr>
        <w:t>de</w:t>
      </w:r>
      <w:r>
        <w:rPr>
          <w:color w:val="231F20"/>
          <w:spacing w:val="-11"/>
        </w:rPr>
        <w:t> </w:t>
      </w:r>
      <w:r>
        <w:rPr>
          <w:color w:val="231F20"/>
          <w:spacing w:val="-3"/>
        </w:rPr>
        <w:t>todo </w:t>
      </w:r>
      <w:r>
        <w:rPr>
          <w:color w:val="231F20"/>
        </w:rPr>
        <w:t>el</w:t>
      </w:r>
      <w:r>
        <w:rPr>
          <w:color w:val="231F20"/>
          <w:spacing w:val="-10"/>
        </w:rPr>
        <w:t> </w:t>
      </w:r>
      <w:r>
        <w:rPr>
          <w:color w:val="231F20"/>
          <w:spacing w:val="-3"/>
        </w:rPr>
        <w:t>ciclo</w:t>
      </w:r>
      <w:r>
        <w:rPr>
          <w:color w:val="231F20"/>
          <w:spacing w:val="-10"/>
        </w:rPr>
        <w:t> </w:t>
      </w:r>
      <w:r>
        <w:rPr>
          <w:color w:val="231F20"/>
          <w:spacing w:val="-3"/>
        </w:rPr>
        <w:t>vital,</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spacing w:val="-3"/>
        </w:rPr>
        <w:t>dependencias</w:t>
      </w:r>
      <w:r>
        <w:rPr>
          <w:color w:val="231F20"/>
          <w:spacing w:val="-10"/>
        </w:rPr>
        <w:t> </w:t>
      </w:r>
      <w:r>
        <w:rPr>
          <w:color w:val="231F20"/>
          <w:spacing w:val="-3"/>
        </w:rPr>
        <w:t>específicas</w:t>
      </w:r>
      <w:r>
        <w:rPr>
          <w:color w:val="231F20"/>
          <w:spacing w:val="-10"/>
        </w:rPr>
        <w:t> </w:t>
      </w:r>
      <w:r>
        <w:rPr>
          <w:color w:val="231F20"/>
        </w:rPr>
        <w:t>que</w:t>
      </w:r>
      <w:r>
        <w:rPr>
          <w:color w:val="231F20"/>
          <w:spacing w:val="-10"/>
        </w:rPr>
        <w:t> </w:t>
      </w:r>
      <w:r>
        <w:rPr>
          <w:color w:val="231F20"/>
          <w:spacing w:val="-3"/>
        </w:rPr>
        <w:t>implica</w:t>
      </w:r>
      <w:r>
        <w:rPr>
          <w:color w:val="231F20"/>
          <w:spacing w:val="-10"/>
        </w:rPr>
        <w:t> </w:t>
      </w:r>
      <w:r>
        <w:rPr>
          <w:color w:val="231F20"/>
          <w:spacing w:val="-3"/>
        </w:rPr>
        <w:t>cada</w:t>
      </w:r>
      <w:r>
        <w:rPr>
          <w:color w:val="231F20"/>
          <w:spacing w:val="-10"/>
        </w:rPr>
        <w:t> </w:t>
      </w:r>
      <w:r>
        <w:rPr>
          <w:color w:val="231F20"/>
          <w:spacing w:val="-3"/>
        </w:rPr>
        <w:t>etapa</w:t>
      </w:r>
      <w:r>
        <w:rPr>
          <w:color w:val="231F20"/>
          <w:spacing w:val="-10"/>
        </w:rPr>
        <w:t> </w:t>
      </w:r>
      <w:r>
        <w:rPr>
          <w:color w:val="231F20"/>
        </w:rPr>
        <w:t>de</w:t>
      </w:r>
      <w:r>
        <w:rPr>
          <w:color w:val="231F20"/>
          <w:spacing w:val="-10"/>
        </w:rPr>
        <w:t> </w:t>
      </w:r>
      <w:r>
        <w:rPr>
          <w:color w:val="231F20"/>
          <w:spacing w:val="-3"/>
        </w:rPr>
        <w:t>la vida,</w:t>
      </w:r>
      <w:r>
        <w:rPr>
          <w:color w:val="231F20"/>
          <w:spacing w:val="-7"/>
        </w:rPr>
        <w:t> </w:t>
      </w:r>
      <w:r>
        <w:rPr>
          <w:color w:val="231F20"/>
          <w:spacing w:val="-3"/>
        </w:rPr>
        <w:t>pues</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spacing w:val="-3"/>
        </w:rPr>
        <w:t>puede</w:t>
      </w:r>
      <w:r>
        <w:rPr>
          <w:color w:val="231F20"/>
          <w:spacing w:val="-7"/>
        </w:rPr>
        <w:t> </w:t>
      </w:r>
      <w:r>
        <w:rPr>
          <w:color w:val="231F20"/>
          <w:spacing w:val="-3"/>
        </w:rPr>
        <w:t>prescindir</w:t>
      </w:r>
      <w:r>
        <w:rPr>
          <w:color w:val="231F20"/>
          <w:spacing w:val="-7"/>
        </w:rPr>
        <w:t> </w:t>
      </w:r>
      <w:r>
        <w:rPr>
          <w:color w:val="231F20"/>
        </w:rPr>
        <w:t>de</w:t>
      </w:r>
      <w:r>
        <w:rPr>
          <w:color w:val="231F20"/>
          <w:spacing w:val="-7"/>
        </w:rPr>
        <w:t> </w:t>
      </w:r>
      <w:r>
        <w:rPr>
          <w:color w:val="231F20"/>
          <w:spacing w:val="-3"/>
        </w:rPr>
        <w:t>ciertos</w:t>
      </w:r>
      <w:r>
        <w:rPr>
          <w:color w:val="231F20"/>
          <w:spacing w:val="-8"/>
        </w:rPr>
        <w:t> </w:t>
      </w:r>
      <w:r>
        <w:rPr>
          <w:color w:val="231F20"/>
          <w:spacing w:val="-3"/>
        </w:rPr>
        <w:t>trabajos,</w:t>
      </w:r>
      <w:r>
        <w:rPr>
          <w:color w:val="231F20"/>
          <w:spacing w:val="-8"/>
        </w:rPr>
        <w:t> </w:t>
      </w:r>
      <w:r>
        <w:rPr>
          <w:color w:val="231F20"/>
          <w:spacing w:val="-3"/>
        </w:rPr>
        <w:t>como</w:t>
      </w:r>
      <w:r>
        <w:rPr>
          <w:color w:val="231F20"/>
          <w:spacing w:val="-8"/>
        </w:rPr>
        <w:t> </w:t>
      </w:r>
      <w:r>
        <w:rPr>
          <w:color w:val="231F20"/>
        </w:rPr>
        <w:t>se</w:t>
      </w:r>
      <w:r>
        <w:rPr>
          <w:color w:val="231F20"/>
          <w:spacing w:val="-7"/>
        </w:rPr>
        <w:t> </w:t>
      </w:r>
      <w:r>
        <w:rPr>
          <w:color w:val="231F20"/>
        </w:rPr>
        <w:t>ha</w:t>
      </w:r>
      <w:r>
        <w:rPr>
          <w:color w:val="231F20"/>
          <w:spacing w:val="-7"/>
        </w:rPr>
        <w:t> </w:t>
      </w:r>
      <w:r>
        <w:rPr>
          <w:color w:val="231F20"/>
          <w:spacing w:val="-3"/>
        </w:rPr>
        <w:t>planteado arriba,</w:t>
      </w:r>
      <w:r>
        <w:rPr>
          <w:color w:val="231F20"/>
          <w:spacing w:val="-9"/>
        </w:rPr>
        <w:t> </w:t>
      </w:r>
      <w:r>
        <w:rPr>
          <w:color w:val="231F20"/>
        </w:rPr>
        <w:t>“el</w:t>
      </w:r>
      <w:r>
        <w:rPr>
          <w:color w:val="231F20"/>
          <w:spacing w:val="-8"/>
        </w:rPr>
        <w:t> </w:t>
      </w:r>
      <w:r>
        <w:rPr>
          <w:color w:val="231F20"/>
          <w:spacing w:val="-3"/>
        </w:rPr>
        <w:t>sistema</w:t>
      </w:r>
      <w:r>
        <w:rPr>
          <w:color w:val="231F20"/>
          <w:spacing w:val="-8"/>
        </w:rPr>
        <w:t> </w:t>
      </w:r>
      <w:r>
        <w:rPr>
          <w:color w:val="231F20"/>
          <w:spacing w:val="-3"/>
        </w:rPr>
        <w:t>capitalista</w:t>
      </w:r>
      <w:r>
        <w:rPr>
          <w:color w:val="231F20"/>
          <w:spacing w:val="-9"/>
        </w:rPr>
        <w:t> </w:t>
      </w:r>
      <w:r>
        <w:rPr>
          <w:color w:val="231F20"/>
        </w:rPr>
        <w:t>es</w:t>
      </w:r>
      <w:r>
        <w:rPr>
          <w:color w:val="231F20"/>
          <w:spacing w:val="-8"/>
        </w:rPr>
        <w:t> </w:t>
      </w:r>
      <w:r>
        <w:rPr>
          <w:color w:val="231F20"/>
          <w:spacing w:val="-3"/>
        </w:rPr>
        <w:t>totalmente</w:t>
      </w:r>
      <w:r>
        <w:rPr>
          <w:color w:val="231F20"/>
          <w:spacing w:val="-9"/>
        </w:rPr>
        <w:t> </w:t>
      </w:r>
      <w:r>
        <w:rPr>
          <w:color w:val="231F20"/>
          <w:spacing w:val="-3"/>
        </w:rPr>
        <w:t>dependiente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economía</w:t>
      </w:r>
      <w:r>
        <w:rPr>
          <w:color w:val="231F20"/>
          <w:spacing w:val="-9"/>
        </w:rPr>
        <w:t> </w:t>
      </w:r>
      <w:r>
        <w:rPr>
          <w:color w:val="231F20"/>
          <w:spacing w:val="-3"/>
        </w:rPr>
        <w:t>del cuidado </w:t>
      </w:r>
      <w:r>
        <w:rPr>
          <w:color w:val="231F20"/>
        </w:rPr>
        <w:t>y de los </w:t>
      </w:r>
      <w:r>
        <w:rPr>
          <w:color w:val="231F20"/>
          <w:spacing w:val="-3"/>
        </w:rPr>
        <w:t>recursos naturales” (Carrasco, 2014:</w:t>
      </w:r>
      <w:r>
        <w:rPr>
          <w:color w:val="231F20"/>
          <w:spacing w:val="-23"/>
        </w:rPr>
        <w:t> </w:t>
      </w:r>
      <w:r>
        <w:rPr>
          <w:color w:val="231F20"/>
          <w:spacing w:val="-3"/>
        </w:rPr>
        <w:t>2),</w:t>
      </w:r>
    </w:p>
    <w:p>
      <w:pPr>
        <w:pStyle w:val="BodyText"/>
        <w:spacing w:line="249" w:lineRule="auto" w:before="1"/>
        <w:ind w:left="110" w:right="110" w:firstLine="283"/>
        <w:jc w:val="both"/>
      </w:pPr>
      <w:r>
        <w:rPr>
          <w:color w:val="231F20"/>
        </w:rPr>
        <w:t>A </w:t>
      </w:r>
      <w:r>
        <w:rPr>
          <w:color w:val="231F20"/>
          <w:spacing w:val="-3"/>
        </w:rPr>
        <w:t>partir </w:t>
      </w:r>
      <w:r>
        <w:rPr>
          <w:color w:val="231F20"/>
        </w:rPr>
        <w:t>de la </w:t>
      </w:r>
      <w:r>
        <w:rPr>
          <w:color w:val="231F20"/>
          <w:spacing w:val="-3"/>
        </w:rPr>
        <w:t>mercantilización </w:t>
      </w:r>
      <w:r>
        <w:rPr>
          <w:color w:val="231F20"/>
        </w:rPr>
        <w:t>del </w:t>
      </w:r>
      <w:r>
        <w:rPr>
          <w:color w:val="231F20"/>
          <w:spacing w:val="-3"/>
        </w:rPr>
        <w:t>cuidado </w:t>
      </w:r>
      <w:r>
        <w:rPr>
          <w:color w:val="231F20"/>
        </w:rPr>
        <w:t>se </w:t>
      </w:r>
      <w:r>
        <w:rPr>
          <w:color w:val="231F20"/>
          <w:spacing w:val="-3"/>
        </w:rPr>
        <w:t>mantiene </w:t>
      </w:r>
      <w:r>
        <w:rPr>
          <w:color w:val="231F20"/>
        </w:rPr>
        <w:t>y se </w:t>
      </w:r>
      <w:r>
        <w:rPr>
          <w:color w:val="231F20"/>
          <w:spacing w:val="-3"/>
        </w:rPr>
        <w:t>generan nuevas desigualdades </w:t>
      </w:r>
      <w:r>
        <w:rPr>
          <w:color w:val="231F20"/>
        </w:rPr>
        <w:t>de </w:t>
      </w:r>
      <w:r>
        <w:rPr>
          <w:color w:val="231F20"/>
          <w:spacing w:val="-3"/>
        </w:rPr>
        <w:t>género </w:t>
      </w:r>
      <w:r>
        <w:rPr>
          <w:color w:val="231F20"/>
        </w:rPr>
        <w:t>que </w:t>
      </w:r>
      <w:r>
        <w:rPr>
          <w:color w:val="231F20"/>
          <w:spacing w:val="-3"/>
        </w:rPr>
        <w:t>encuentran </w:t>
      </w:r>
      <w:r>
        <w:rPr>
          <w:color w:val="231F20"/>
        </w:rPr>
        <w:t>una </w:t>
      </w:r>
      <w:r>
        <w:rPr>
          <w:color w:val="231F20"/>
          <w:spacing w:val="-3"/>
        </w:rPr>
        <w:t>expresión </w:t>
      </w:r>
      <w:r>
        <w:rPr>
          <w:color w:val="231F20"/>
        </w:rPr>
        <w:t>muy </w:t>
      </w:r>
      <w:r>
        <w:rPr>
          <w:color w:val="231F20"/>
          <w:spacing w:val="-3"/>
        </w:rPr>
        <w:t>clara </w:t>
      </w:r>
      <w:r>
        <w:rPr>
          <w:color w:val="231F20"/>
        </w:rPr>
        <w:t>en el </w:t>
      </w:r>
      <w:r>
        <w:rPr>
          <w:color w:val="231F20"/>
          <w:spacing w:val="-3"/>
        </w:rPr>
        <w:t>trabajo reproductivo remunerado realizado </w:t>
      </w:r>
      <w:r>
        <w:rPr>
          <w:color w:val="231F20"/>
        </w:rPr>
        <w:t>por </w:t>
      </w:r>
      <w:r>
        <w:rPr>
          <w:color w:val="231F20"/>
          <w:spacing w:val="-3"/>
        </w:rPr>
        <w:t>mujeres migrantes </w:t>
      </w:r>
      <w:r>
        <w:rPr>
          <w:color w:val="231F20"/>
        </w:rPr>
        <w:t>in- </w:t>
      </w:r>
      <w:r>
        <w:rPr>
          <w:color w:val="231F20"/>
          <w:spacing w:val="-3"/>
        </w:rPr>
        <w:t>ternacionales. Pues </w:t>
      </w:r>
      <w:r>
        <w:rPr>
          <w:color w:val="231F20"/>
        </w:rPr>
        <w:t>en el </w:t>
      </w:r>
      <w:r>
        <w:rPr>
          <w:color w:val="231F20"/>
          <w:spacing w:val="-3"/>
        </w:rPr>
        <w:t>actual orden global, </w:t>
      </w:r>
      <w:r>
        <w:rPr>
          <w:color w:val="231F20"/>
        </w:rPr>
        <w:t>se han </w:t>
      </w:r>
      <w:r>
        <w:rPr>
          <w:color w:val="231F20"/>
          <w:spacing w:val="-3"/>
        </w:rPr>
        <w:t>organizado formas de organizar</w:t>
      </w:r>
      <w:r>
        <w:rPr>
          <w:color w:val="231F20"/>
          <w:spacing w:val="-12"/>
        </w:rPr>
        <w:t> </w:t>
      </w:r>
      <w:r>
        <w:rPr>
          <w:color w:val="231F20"/>
        </w:rPr>
        <w:t>el</w:t>
      </w:r>
      <w:r>
        <w:rPr>
          <w:color w:val="231F20"/>
          <w:spacing w:val="-12"/>
        </w:rPr>
        <w:t> </w:t>
      </w:r>
      <w:r>
        <w:rPr>
          <w:color w:val="231F20"/>
          <w:spacing w:val="-3"/>
        </w:rPr>
        <w:t>cuidado</w:t>
      </w:r>
      <w:r>
        <w:rPr>
          <w:color w:val="231F20"/>
          <w:spacing w:val="-13"/>
        </w:rPr>
        <w:t> </w:t>
      </w:r>
      <w:r>
        <w:rPr>
          <w:color w:val="231F20"/>
          <w:spacing w:val="-3"/>
        </w:rPr>
        <w:t>necesario</w:t>
      </w:r>
      <w:r>
        <w:rPr>
          <w:color w:val="231F20"/>
          <w:spacing w:val="-12"/>
        </w:rPr>
        <w:t> </w:t>
      </w:r>
      <w:r>
        <w:rPr>
          <w:color w:val="231F20"/>
          <w:spacing w:val="-3"/>
        </w:rPr>
        <w:t>para</w:t>
      </w:r>
      <w:r>
        <w:rPr>
          <w:color w:val="231F20"/>
          <w:spacing w:val="-12"/>
        </w:rPr>
        <w:t> </w:t>
      </w:r>
      <w:r>
        <w:rPr>
          <w:color w:val="231F20"/>
        </w:rPr>
        <w:t>la</w:t>
      </w:r>
      <w:r>
        <w:rPr>
          <w:color w:val="231F20"/>
          <w:spacing w:val="-12"/>
        </w:rPr>
        <w:t> </w:t>
      </w:r>
      <w:r>
        <w:rPr>
          <w:color w:val="231F20"/>
          <w:spacing w:val="-3"/>
        </w:rPr>
        <w:t>provisión</w:t>
      </w:r>
      <w:r>
        <w:rPr>
          <w:color w:val="231F20"/>
          <w:spacing w:val="-12"/>
        </w:rPr>
        <w:t> </w:t>
      </w:r>
      <w:r>
        <w:rPr>
          <w:color w:val="231F20"/>
        </w:rPr>
        <w:t>de</w:t>
      </w:r>
      <w:r>
        <w:rPr>
          <w:color w:val="231F20"/>
          <w:spacing w:val="-12"/>
        </w:rPr>
        <w:t> </w:t>
      </w:r>
      <w:r>
        <w:rPr>
          <w:color w:val="231F20"/>
          <w:spacing w:val="-3"/>
        </w:rPr>
        <w:t>asistencia</w:t>
      </w:r>
      <w:r>
        <w:rPr>
          <w:color w:val="231F20"/>
          <w:spacing w:val="-13"/>
        </w:rPr>
        <w:t> </w:t>
      </w:r>
      <w:r>
        <w:rPr>
          <w:color w:val="231F20"/>
        </w:rPr>
        <w:t>y</w:t>
      </w:r>
      <w:r>
        <w:rPr>
          <w:color w:val="231F20"/>
          <w:spacing w:val="-12"/>
        </w:rPr>
        <w:t> </w:t>
      </w:r>
      <w:r>
        <w:rPr>
          <w:color w:val="231F20"/>
        </w:rPr>
        <w:t>de</w:t>
      </w:r>
      <w:r>
        <w:rPr>
          <w:color w:val="231F20"/>
          <w:spacing w:val="-12"/>
        </w:rPr>
        <w:t> </w:t>
      </w:r>
      <w:r>
        <w:rPr>
          <w:color w:val="231F20"/>
          <w:spacing w:val="-3"/>
        </w:rPr>
        <w:t>afectos</w:t>
      </w:r>
      <w:r>
        <w:rPr>
          <w:color w:val="231F20"/>
          <w:spacing w:val="-13"/>
        </w:rPr>
        <w:t> </w:t>
      </w:r>
      <w:r>
        <w:rPr>
          <w:color w:val="231F20"/>
        </w:rPr>
        <w:t>y son las </w:t>
      </w:r>
      <w:r>
        <w:rPr>
          <w:color w:val="231F20"/>
          <w:spacing w:val="-3"/>
        </w:rPr>
        <w:t>mujeres </w:t>
      </w:r>
      <w:r>
        <w:rPr>
          <w:color w:val="231F20"/>
        </w:rPr>
        <w:t>las </w:t>
      </w:r>
      <w:r>
        <w:rPr>
          <w:color w:val="231F20"/>
          <w:spacing w:val="-3"/>
        </w:rPr>
        <w:t>principales generadoras/trabajadoras </w:t>
      </w:r>
      <w:r>
        <w:rPr>
          <w:color w:val="231F20"/>
        </w:rPr>
        <w:t>de </w:t>
      </w:r>
      <w:r>
        <w:rPr>
          <w:color w:val="231F20"/>
          <w:spacing w:val="-3"/>
        </w:rPr>
        <w:t>esos cuidados. Aunque</w:t>
      </w:r>
      <w:r>
        <w:rPr>
          <w:color w:val="231F20"/>
          <w:spacing w:val="-14"/>
        </w:rPr>
        <w:t> </w:t>
      </w:r>
      <w:r>
        <w:rPr>
          <w:color w:val="231F20"/>
        </w:rPr>
        <w:t>las</w:t>
      </w:r>
      <w:r>
        <w:rPr>
          <w:color w:val="231F20"/>
          <w:spacing w:val="-15"/>
        </w:rPr>
        <w:t> </w:t>
      </w:r>
      <w:r>
        <w:rPr>
          <w:color w:val="231F20"/>
          <w:spacing w:val="-3"/>
        </w:rPr>
        <w:t>desigualdades</w:t>
      </w:r>
      <w:r>
        <w:rPr>
          <w:color w:val="231F20"/>
          <w:spacing w:val="-15"/>
        </w:rPr>
        <w:t> </w:t>
      </w:r>
      <w:r>
        <w:rPr>
          <w:color w:val="231F20"/>
        </w:rPr>
        <w:t>que</w:t>
      </w:r>
      <w:r>
        <w:rPr>
          <w:color w:val="231F20"/>
          <w:spacing w:val="-15"/>
        </w:rPr>
        <w:t> </w:t>
      </w:r>
      <w:r>
        <w:rPr>
          <w:color w:val="231F20"/>
          <w:spacing w:val="-3"/>
        </w:rPr>
        <w:t>“retrata”</w:t>
      </w:r>
      <w:r>
        <w:rPr>
          <w:color w:val="231F20"/>
          <w:spacing w:val="-15"/>
        </w:rPr>
        <w:t> </w:t>
      </w:r>
      <w:r>
        <w:rPr>
          <w:color w:val="231F20"/>
        </w:rPr>
        <w:t>el</w:t>
      </w:r>
      <w:r>
        <w:rPr>
          <w:color w:val="231F20"/>
          <w:spacing w:val="-15"/>
        </w:rPr>
        <w:t> </w:t>
      </w:r>
      <w:r>
        <w:rPr>
          <w:color w:val="231F20"/>
          <w:spacing w:val="-3"/>
        </w:rPr>
        <w:t>trabajo</w:t>
      </w:r>
      <w:r>
        <w:rPr>
          <w:color w:val="231F20"/>
          <w:spacing w:val="-15"/>
        </w:rPr>
        <w:t> </w:t>
      </w:r>
      <w:r>
        <w:rPr>
          <w:color w:val="231F20"/>
          <w:spacing w:val="-3"/>
        </w:rPr>
        <w:t>reproductivo</w:t>
      </w:r>
      <w:r>
        <w:rPr>
          <w:color w:val="231F20"/>
          <w:spacing w:val="-15"/>
        </w:rPr>
        <w:t> </w:t>
      </w:r>
      <w:r>
        <w:rPr>
          <w:color w:val="231F20"/>
          <w:spacing w:val="-3"/>
        </w:rPr>
        <w:t>remunerado </w:t>
      </w:r>
      <w:r>
        <w:rPr>
          <w:color w:val="231F20"/>
        </w:rPr>
        <w:t>de la </w:t>
      </w:r>
      <w:r>
        <w:rPr>
          <w:color w:val="231F20"/>
          <w:spacing w:val="-3"/>
        </w:rPr>
        <w:t>inmigrantes también evidencia desigualdades entre </w:t>
      </w:r>
      <w:r>
        <w:rPr>
          <w:color w:val="231F20"/>
        </w:rPr>
        <w:t>las </w:t>
      </w:r>
      <w:r>
        <w:rPr>
          <w:color w:val="231F20"/>
          <w:spacing w:val="-3"/>
        </w:rPr>
        <w:t>mujeres en </w:t>
      </w:r>
      <w:r>
        <w:rPr>
          <w:color w:val="231F20"/>
        </w:rPr>
        <w:t>esa </w:t>
      </w:r>
      <w:r>
        <w:rPr>
          <w:color w:val="231F20"/>
          <w:spacing w:val="-3"/>
        </w:rPr>
        <w:t>“mercantilización </w:t>
      </w:r>
      <w:r>
        <w:rPr>
          <w:color w:val="231F20"/>
        </w:rPr>
        <w:t>de la </w:t>
      </w:r>
      <w:r>
        <w:rPr>
          <w:color w:val="231F20"/>
          <w:spacing w:val="-3"/>
        </w:rPr>
        <w:t>vida íntima” (Hochschild, 2008). </w:t>
      </w:r>
      <w:r>
        <w:rPr>
          <w:color w:val="231F20"/>
        </w:rPr>
        <w:t>En </w:t>
      </w:r>
      <w:r>
        <w:rPr>
          <w:color w:val="231F20"/>
          <w:spacing w:val="-3"/>
        </w:rPr>
        <w:t>tanto, las cadenas </w:t>
      </w:r>
      <w:r>
        <w:rPr>
          <w:color w:val="231F20"/>
        </w:rPr>
        <w:t>de</w:t>
      </w:r>
      <w:r>
        <w:rPr>
          <w:color w:val="231F20"/>
          <w:spacing w:val="-8"/>
        </w:rPr>
        <w:t> </w:t>
      </w:r>
      <w:r>
        <w:rPr>
          <w:color w:val="231F20"/>
          <w:spacing w:val="-3"/>
        </w:rPr>
        <w:t>cuidados</w:t>
      </w:r>
    </w:p>
    <w:p>
      <w:pPr>
        <w:pStyle w:val="BodyText"/>
        <w:spacing w:line="249" w:lineRule="auto" w:before="114"/>
        <w:ind w:left="393" w:right="111"/>
        <w:jc w:val="both"/>
      </w:pPr>
      <w:r>
        <w:rPr>
          <w:color w:val="231F20"/>
          <w:spacing w:val="-3"/>
        </w:rPr>
        <w:t>Muchas veces conectan tres series </w:t>
      </w:r>
      <w:r>
        <w:rPr>
          <w:color w:val="231F20"/>
        </w:rPr>
        <w:t>de </w:t>
      </w:r>
      <w:r>
        <w:rPr>
          <w:color w:val="231F20"/>
          <w:spacing w:val="-3"/>
        </w:rPr>
        <w:t>cuidadoras: </w:t>
      </w:r>
      <w:r>
        <w:rPr>
          <w:color w:val="231F20"/>
        </w:rPr>
        <w:t>una se </w:t>
      </w:r>
      <w:r>
        <w:rPr>
          <w:color w:val="231F20"/>
          <w:spacing w:val="-4"/>
        </w:rPr>
        <w:t>encarga </w:t>
      </w:r>
      <w:r>
        <w:rPr>
          <w:color w:val="231F20"/>
          <w:spacing w:val="-3"/>
        </w:rPr>
        <w:t>de  </w:t>
      </w:r>
      <w:r>
        <w:rPr>
          <w:color w:val="231F20"/>
        </w:rPr>
        <w:t>los </w:t>
      </w:r>
      <w:r>
        <w:rPr>
          <w:color w:val="231F20"/>
          <w:spacing w:val="-3"/>
        </w:rPr>
        <w:t>hijos </w:t>
      </w:r>
      <w:r>
        <w:rPr>
          <w:color w:val="231F20"/>
        </w:rPr>
        <w:t>de las </w:t>
      </w:r>
      <w:r>
        <w:rPr>
          <w:color w:val="231F20"/>
          <w:spacing w:val="-3"/>
        </w:rPr>
        <w:t>emigrantes </w:t>
      </w:r>
      <w:r>
        <w:rPr>
          <w:color w:val="231F20"/>
        </w:rPr>
        <w:t>en el </w:t>
      </w:r>
      <w:r>
        <w:rPr>
          <w:color w:val="231F20"/>
          <w:spacing w:val="-3"/>
        </w:rPr>
        <w:t>país </w:t>
      </w:r>
      <w:r>
        <w:rPr>
          <w:color w:val="231F20"/>
        </w:rPr>
        <w:t>de </w:t>
      </w:r>
      <w:r>
        <w:rPr>
          <w:color w:val="231F20"/>
          <w:spacing w:val="-3"/>
        </w:rPr>
        <w:t>origen, otra cuida </w:t>
      </w:r>
      <w:r>
        <w:rPr>
          <w:color w:val="231F20"/>
        </w:rPr>
        <w:t>de los </w:t>
      </w:r>
      <w:r>
        <w:rPr>
          <w:color w:val="231F20"/>
          <w:spacing w:val="-3"/>
        </w:rPr>
        <w:t>hijos </w:t>
      </w:r>
      <w:r>
        <w:rPr>
          <w:color w:val="231F20"/>
        </w:rPr>
        <w:t>de la </w:t>
      </w:r>
      <w:r>
        <w:rPr>
          <w:color w:val="231F20"/>
          <w:spacing w:val="-3"/>
        </w:rPr>
        <w:t>mujer </w:t>
      </w:r>
      <w:r>
        <w:rPr>
          <w:color w:val="231F20"/>
        </w:rPr>
        <w:t>que </w:t>
      </w:r>
      <w:r>
        <w:rPr>
          <w:color w:val="231F20"/>
          <w:spacing w:val="-3"/>
        </w:rPr>
        <w:t>cuida </w:t>
      </w:r>
      <w:r>
        <w:rPr>
          <w:color w:val="231F20"/>
        </w:rPr>
        <w:t>de los </w:t>
      </w:r>
      <w:r>
        <w:rPr>
          <w:color w:val="231F20"/>
          <w:spacing w:val="-3"/>
        </w:rPr>
        <w:t>hijos </w:t>
      </w:r>
      <w:r>
        <w:rPr>
          <w:color w:val="231F20"/>
        </w:rPr>
        <w:t>de la </w:t>
      </w:r>
      <w:r>
        <w:rPr>
          <w:color w:val="231F20"/>
          <w:spacing w:val="-3"/>
        </w:rPr>
        <w:t>emigrante, </w:t>
      </w:r>
      <w:r>
        <w:rPr>
          <w:color w:val="231F20"/>
        </w:rPr>
        <w:t>y una </w:t>
      </w:r>
      <w:r>
        <w:rPr>
          <w:color w:val="231F20"/>
          <w:spacing w:val="-3"/>
        </w:rPr>
        <w:t>tercera cuida </w:t>
      </w:r>
      <w:r>
        <w:rPr>
          <w:color w:val="231F20"/>
        </w:rPr>
        <w:t>de los </w:t>
      </w:r>
      <w:r>
        <w:rPr>
          <w:color w:val="231F20"/>
          <w:spacing w:val="-3"/>
        </w:rPr>
        <w:t>hijos </w:t>
      </w:r>
      <w:r>
        <w:rPr>
          <w:color w:val="231F20"/>
        </w:rPr>
        <w:t>de las </w:t>
      </w:r>
      <w:r>
        <w:rPr>
          <w:color w:val="231F20"/>
          <w:spacing w:val="-3"/>
        </w:rPr>
        <w:t>profesionales </w:t>
      </w:r>
      <w:r>
        <w:rPr>
          <w:color w:val="231F20"/>
        </w:rPr>
        <w:t>en el </w:t>
      </w:r>
      <w:r>
        <w:rPr>
          <w:color w:val="231F20"/>
          <w:spacing w:val="-3"/>
        </w:rPr>
        <w:t>primer mundo. </w:t>
      </w:r>
      <w:r>
        <w:rPr>
          <w:color w:val="231F20"/>
        </w:rPr>
        <w:t>Las </w:t>
      </w:r>
      <w:r>
        <w:rPr>
          <w:color w:val="231F20"/>
          <w:spacing w:val="-3"/>
        </w:rPr>
        <w:t>mujeres más pobres crían </w:t>
      </w:r>
      <w:r>
        <w:rPr>
          <w:color w:val="231F20"/>
        </w:rPr>
        <w:t>a los </w:t>
      </w:r>
      <w:r>
        <w:rPr>
          <w:color w:val="231F20"/>
          <w:spacing w:val="-3"/>
        </w:rPr>
        <w:t>hijos </w:t>
      </w:r>
      <w:r>
        <w:rPr>
          <w:color w:val="231F20"/>
        </w:rPr>
        <w:t>de las </w:t>
      </w:r>
      <w:r>
        <w:rPr>
          <w:color w:val="231F20"/>
          <w:spacing w:val="-3"/>
        </w:rPr>
        <w:t>mujeres </w:t>
      </w:r>
      <w:r>
        <w:rPr>
          <w:color w:val="231F20"/>
        </w:rPr>
        <w:t>más </w:t>
      </w:r>
      <w:r>
        <w:rPr>
          <w:color w:val="231F20"/>
          <w:spacing w:val="-3"/>
        </w:rPr>
        <w:t>acomodadas mientras mu- jeres</w:t>
      </w:r>
      <w:r>
        <w:rPr>
          <w:color w:val="231F20"/>
          <w:spacing w:val="-8"/>
        </w:rPr>
        <w:t> </w:t>
      </w:r>
      <w:r>
        <w:rPr>
          <w:color w:val="231F20"/>
          <w:spacing w:val="-3"/>
        </w:rPr>
        <w:t>todavía</w:t>
      </w:r>
      <w:r>
        <w:rPr>
          <w:color w:val="231F20"/>
          <w:spacing w:val="-8"/>
        </w:rPr>
        <w:t> </w:t>
      </w:r>
      <w:r>
        <w:rPr>
          <w:color w:val="231F20"/>
        </w:rPr>
        <w:t>más</w:t>
      </w:r>
      <w:r>
        <w:rPr>
          <w:color w:val="231F20"/>
          <w:spacing w:val="-8"/>
        </w:rPr>
        <w:t> </w:t>
      </w:r>
      <w:r>
        <w:rPr>
          <w:color w:val="231F20"/>
          <w:spacing w:val="-3"/>
        </w:rPr>
        <w:t>pobres</w:t>
      </w:r>
      <w:r>
        <w:rPr>
          <w:color w:val="231F20"/>
          <w:spacing w:val="-8"/>
        </w:rPr>
        <w:t> </w:t>
      </w:r>
      <w:r>
        <w:rPr>
          <w:color w:val="231F20"/>
        </w:rPr>
        <w:t>o</w:t>
      </w:r>
      <w:r>
        <w:rPr>
          <w:color w:val="231F20"/>
          <w:spacing w:val="-8"/>
        </w:rPr>
        <w:t> </w:t>
      </w:r>
      <w:r>
        <w:rPr>
          <w:color w:val="231F20"/>
        </w:rPr>
        <w:t>más</w:t>
      </w:r>
      <w:r>
        <w:rPr>
          <w:color w:val="231F20"/>
          <w:spacing w:val="-8"/>
        </w:rPr>
        <w:t> </w:t>
      </w:r>
      <w:r>
        <w:rPr>
          <w:color w:val="231F20"/>
          <w:spacing w:val="-3"/>
        </w:rPr>
        <w:t>viejas</w:t>
      </w:r>
      <w:r>
        <w:rPr>
          <w:color w:val="231F20"/>
          <w:spacing w:val="-8"/>
        </w:rPr>
        <w:t> </w:t>
      </w:r>
      <w:r>
        <w:rPr>
          <w:color w:val="231F20"/>
        </w:rPr>
        <w:t>o</w:t>
      </w:r>
      <w:r>
        <w:rPr>
          <w:color w:val="231F20"/>
          <w:spacing w:val="-8"/>
        </w:rPr>
        <w:t> </w:t>
      </w:r>
      <w:r>
        <w:rPr>
          <w:color w:val="231F20"/>
        </w:rPr>
        <w:t>más</w:t>
      </w:r>
      <w:r>
        <w:rPr>
          <w:color w:val="231F20"/>
          <w:spacing w:val="-8"/>
        </w:rPr>
        <w:t> </w:t>
      </w:r>
      <w:r>
        <w:rPr>
          <w:color w:val="231F20"/>
          <w:spacing w:val="-3"/>
        </w:rPr>
        <w:t>rurales</w:t>
      </w:r>
      <w:r>
        <w:rPr>
          <w:color w:val="231F20"/>
          <w:spacing w:val="-8"/>
        </w:rPr>
        <w:t> </w:t>
      </w:r>
      <w:r>
        <w:rPr>
          <w:color w:val="231F20"/>
          <w:spacing w:val="-3"/>
        </w:rPr>
        <w:t>cuidan</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spacing w:val="-3"/>
        </w:rPr>
        <w:t>hijos (Hochschild, 2001: </w:t>
      </w:r>
      <w:r>
        <w:rPr>
          <w:color w:val="231F20"/>
        </w:rPr>
        <w:t>195 en </w:t>
      </w:r>
      <w:r>
        <w:rPr>
          <w:color w:val="231F20"/>
          <w:spacing w:val="-3"/>
        </w:rPr>
        <w:t>Gregorio, 2012:</w:t>
      </w:r>
      <w:r>
        <w:rPr>
          <w:color w:val="231F20"/>
          <w:spacing w:val="-18"/>
        </w:rPr>
        <w:t> </w:t>
      </w:r>
      <w:r>
        <w:rPr>
          <w:color w:val="231F20"/>
          <w:spacing w:val="-3"/>
        </w:rPr>
        <w:t>49).</w:t>
      </w:r>
    </w:p>
    <w:p>
      <w:pPr>
        <w:pStyle w:val="BodyText"/>
        <w:spacing w:line="249" w:lineRule="auto" w:before="114"/>
        <w:ind w:left="110" w:right="111" w:firstLine="283"/>
        <w:jc w:val="both"/>
      </w:pPr>
      <w:r>
        <w:rPr>
          <w:color w:val="231F20"/>
        </w:rPr>
        <w:t>Como se puede pensar, la cuestión de las jerarquías entre mujeres no es un rasgo característico de la globalización, hace siglos que eso que pasa, no por ello deja de ser importante de señalar. En todo caso lo más destacable respecto de la interseccionalidad de la categoría género con otras categorías de diferenciación, es lo que propone Gregorio (2012: 49):</w:t>
      </w:r>
    </w:p>
    <w:p>
      <w:pPr>
        <w:pStyle w:val="BodyText"/>
        <w:spacing w:before="114"/>
        <w:ind w:left="393"/>
        <w:jc w:val="both"/>
      </w:pPr>
      <w:r>
        <w:rPr>
          <w:color w:val="231F20"/>
        </w:rPr>
        <w:t>[…] enfatizar en la comprensión de la organización social de los cui-</w:t>
      </w:r>
    </w:p>
    <w:p>
      <w:pPr>
        <w:spacing w:after="0"/>
        <w:jc w:val="both"/>
        <w:sectPr>
          <w:pgSz w:w="7770" w:h="11740"/>
          <w:pgMar w:header="0" w:footer="474" w:top="840" w:bottom="740" w:left="740" w:right="1020"/>
        </w:sectPr>
      </w:pPr>
    </w:p>
    <w:p>
      <w:pPr>
        <w:pStyle w:val="BodyText"/>
        <w:spacing w:line="249" w:lineRule="auto" w:before="60"/>
        <w:ind w:left="397" w:right="108"/>
        <w:jc w:val="both"/>
      </w:pPr>
      <w:r>
        <w:rPr>
          <w:color w:val="231F20"/>
        </w:rPr>
        <w:t>dados en todas sus dimensiones —emocionales, corporales, sociales, económicas, políticas y éticas— como eje de nuestra existencia en</w:t>
      </w:r>
      <w:r>
        <w:rPr>
          <w:color w:val="231F20"/>
          <w:spacing w:val="-11"/>
        </w:rPr>
        <w:t> </w:t>
      </w:r>
      <w:r>
        <w:rPr>
          <w:color w:val="231F20"/>
        </w:rPr>
        <w:t>el sentido de “sostenibilidad de la vida” planteado por Carrasco</w:t>
      </w:r>
      <w:r>
        <w:rPr>
          <w:color w:val="231F20"/>
          <w:spacing w:val="-33"/>
        </w:rPr>
        <w:t> </w:t>
      </w:r>
      <w:r>
        <w:rPr>
          <w:color w:val="231F20"/>
        </w:rPr>
        <w:t>(1991), tratando de comprender situacionalmente sus propias lógicas de jer- arquización y tramas de</w:t>
      </w:r>
      <w:r>
        <w:rPr>
          <w:color w:val="231F20"/>
          <w:spacing w:val="-11"/>
        </w:rPr>
        <w:t> </w:t>
      </w:r>
      <w:r>
        <w:rPr>
          <w:color w:val="231F20"/>
        </w:rPr>
        <w:t>significación.</w:t>
      </w:r>
    </w:p>
    <w:p>
      <w:pPr>
        <w:pStyle w:val="BodyText"/>
        <w:spacing w:line="249" w:lineRule="auto" w:before="114"/>
        <w:ind w:left="113" w:right="108" w:firstLine="283"/>
        <w:jc w:val="both"/>
      </w:pPr>
      <w:r>
        <w:rPr>
          <w:color w:val="231F20"/>
          <w:spacing w:val="-3"/>
        </w:rPr>
        <w:t>Bajo este referente, estaríamos </w:t>
      </w:r>
      <w:r>
        <w:rPr>
          <w:color w:val="231F20"/>
        </w:rPr>
        <w:t>en </w:t>
      </w:r>
      <w:r>
        <w:rPr>
          <w:color w:val="231F20"/>
          <w:spacing w:val="-3"/>
        </w:rPr>
        <w:t>mejor posibilidad </w:t>
      </w:r>
      <w:r>
        <w:rPr>
          <w:color w:val="231F20"/>
        </w:rPr>
        <w:t>de </w:t>
      </w:r>
      <w:r>
        <w:rPr>
          <w:color w:val="231F20"/>
          <w:spacing w:val="-3"/>
        </w:rPr>
        <w:t>mostrar </w:t>
      </w:r>
      <w:r>
        <w:rPr>
          <w:color w:val="231F20"/>
        </w:rPr>
        <w:t>y </w:t>
      </w:r>
      <w:r>
        <w:rPr>
          <w:color w:val="231F20"/>
          <w:spacing w:val="-3"/>
        </w:rPr>
        <w:t>estu- diar </w:t>
      </w:r>
      <w:r>
        <w:rPr>
          <w:color w:val="231F20"/>
        </w:rPr>
        <w:t>las </w:t>
      </w:r>
      <w:r>
        <w:rPr>
          <w:color w:val="231F20"/>
          <w:spacing w:val="-3"/>
        </w:rPr>
        <w:t>múltiples significaciones </w:t>
      </w:r>
      <w:r>
        <w:rPr>
          <w:color w:val="231F20"/>
        </w:rPr>
        <w:t>del </w:t>
      </w:r>
      <w:r>
        <w:rPr>
          <w:color w:val="231F20"/>
          <w:spacing w:val="-3"/>
        </w:rPr>
        <w:t>cuidado, </w:t>
      </w:r>
      <w:r>
        <w:rPr>
          <w:color w:val="231F20"/>
        </w:rPr>
        <w:t>más </w:t>
      </w:r>
      <w:r>
        <w:rPr>
          <w:color w:val="231F20"/>
          <w:spacing w:val="-3"/>
        </w:rPr>
        <w:t>allá </w:t>
      </w:r>
      <w:r>
        <w:rPr>
          <w:color w:val="231F20"/>
        </w:rPr>
        <w:t>de </w:t>
      </w:r>
      <w:r>
        <w:rPr>
          <w:color w:val="231F20"/>
          <w:spacing w:val="-3"/>
        </w:rPr>
        <w:t>hablar </w:t>
      </w:r>
      <w:r>
        <w:rPr>
          <w:color w:val="231F20"/>
        </w:rPr>
        <w:t>de </w:t>
      </w:r>
      <w:r>
        <w:rPr>
          <w:color w:val="231F20"/>
          <w:spacing w:val="-3"/>
        </w:rPr>
        <w:t>“ex- tracción” </w:t>
      </w:r>
      <w:r>
        <w:rPr>
          <w:color w:val="231F20"/>
        </w:rPr>
        <w:t>de </w:t>
      </w:r>
      <w:r>
        <w:rPr>
          <w:color w:val="231F20"/>
          <w:spacing w:val="-3"/>
        </w:rPr>
        <w:t>cuidado </w:t>
      </w:r>
      <w:r>
        <w:rPr>
          <w:color w:val="231F20"/>
        </w:rPr>
        <w:t>de </w:t>
      </w:r>
      <w:r>
        <w:rPr>
          <w:color w:val="231F20"/>
          <w:spacing w:val="-3"/>
        </w:rPr>
        <w:t>unas mujeres hacia otras. Aunque </w:t>
      </w:r>
      <w:r>
        <w:rPr>
          <w:color w:val="231F20"/>
        </w:rPr>
        <w:t>no es </w:t>
      </w:r>
      <w:r>
        <w:rPr>
          <w:color w:val="231F20"/>
          <w:spacing w:val="-3"/>
        </w:rPr>
        <w:t>tema que carezca</w:t>
      </w:r>
      <w:r>
        <w:rPr>
          <w:color w:val="231F20"/>
          <w:spacing w:val="-6"/>
        </w:rPr>
        <w:t> </w:t>
      </w:r>
      <w:r>
        <w:rPr>
          <w:color w:val="231F20"/>
        </w:rPr>
        <w:t>de</w:t>
      </w:r>
      <w:r>
        <w:rPr>
          <w:color w:val="231F20"/>
          <w:spacing w:val="-6"/>
        </w:rPr>
        <w:t> </w:t>
      </w:r>
      <w:r>
        <w:rPr>
          <w:color w:val="231F20"/>
          <w:spacing w:val="-3"/>
        </w:rPr>
        <w:t>interés</w:t>
      </w:r>
      <w:r>
        <w:rPr>
          <w:color w:val="231F20"/>
          <w:spacing w:val="-6"/>
        </w:rPr>
        <w:t> </w:t>
      </w:r>
      <w:r>
        <w:rPr>
          <w:color w:val="231F20"/>
          <w:spacing w:val="-3"/>
        </w:rPr>
        <w:t>pues</w:t>
      </w:r>
      <w:r>
        <w:rPr>
          <w:color w:val="231F20"/>
          <w:spacing w:val="-6"/>
        </w:rPr>
        <w:t> </w:t>
      </w:r>
      <w:r>
        <w:rPr>
          <w:color w:val="231F20"/>
        </w:rPr>
        <w:t>nos</w:t>
      </w:r>
      <w:r>
        <w:rPr>
          <w:color w:val="231F20"/>
          <w:spacing w:val="-6"/>
        </w:rPr>
        <w:t> </w:t>
      </w:r>
      <w:r>
        <w:rPr>
          <w:color w:val="231F20"/>
          <w:spacing w:val="-3"/>
        </w:rPr>
        <w:t>resitúa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spacing w:val="-3"/>
        </w:rPr>
        <w:t>discusión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división</w:t>
      </w:r>
      <w:r>
        <w:rPr>
          <w:color w:val="231F20"/>
          <w:spacing w:val="-6"/>
        </w:rPr>
        <w:t> </w:t>
      </w:r>
      <w:r>
        <w:rPr>
          <w:color w:val="231F20"/>
          <w:spacing w:val="-3"/>
        </w:rPr>
        <w:t>sexual</w:t>
      </w:r>
      <w:r>
        <w:rPr>
          <w:color w:val="231F20"/>
          <w:spacing w:val="-5"/>
        </w:rPr>
        <w:t> </w:t>
      </w:r>
      <w:r>
        <w:rPr>
          <w:color w:val="231F20"/>
          <w:spacing w:val="-3"/>
        </w:rPr>
        <w:t>del trabajo </w:t>
      </w:r>
      <w:r>
        <w:rPr>
          <w:color w:val="231F20"/>
        </w:rPr>
        <w:t>y de </w:t>
      </w:r>
      <w:r>
        <w:rPr>
          <w:color w:val="231F20"/>
          <w:spacing w:val="-3"/>
        </w:rPr>
        <w:t>ella </w:t>
      </w:r>
      <w:r>
        <w:rPr>
          <w:color w:val="231F20"/>
        </w:rPr>
        <w:t>la </w:t>
      </w:r>
      <w:r>
        <w:rPr>
          <w:color w:val="231F20"/>
          <w:spacing w:val="-3"/>
        </w:rPr>
        <w:t>asignación </w:t>
      </w:r>
      <w:r>
        <w:rPr>
          <w:color w:val="231F20"/>
        </w:rPr>
        <w:t>del </w:t>
      </w:r>
      <w:r>
        <w:rPr>
          <w:color w:val="231F20"/>
          <w:spacing w:val="-3"/>
        </w:rPr>
        <w:t>trabajo reproductivo </w:t>
      </w:r>
      <w:r>
        <w:rPr>
          <w:color w:val="231F20"/>
        </w:rPr>
        <w:t>y de </w:t>
      </w:r>
      <w:r>
        <w:rPr>
          <w:color w:val="231F20"/>
          <w:spacing w:val="-3"/>
        </w:rPr>
        <w:t>cuidados </w:t>
      </w:r>
      <w:r>
        <w:rPr>
          <w:color w:val="231F20"/>
        </w:rPr>
        <w:t>a </w:t>
      </w:r>
      <w:r>
        <w:rPr>
          <w:color w:val="231F20"/>
          <w:spacing w:val="-3"/>
        </w:rPr>
        <w:t>las mujeres, </w:t>
      </w:r>
      <w:r>
        <w:rPr>
          <w:color w:val="231F20"/>
        </w:rPr>
        <w:t>a </w:t>
      </w:r>
      <w:r>
        <w:rPr>
          <w:color w:val="231F20"/>
          <w:spacing w:val="-3"/>
        </w:rPr>
        <w:t>todas </w:t>
      </w:r>
      <w:r>
        <w:rPr>
          <w:color w:val="231F20"/>
        </w:rPr>
        <w:t>la </w:t>
      </w:r>
      <w:r>
        <w:rPr>
          <w:color w:val="231F20"/>
          <w:spacing w:val="-3"/>
        </w:rPr>
        <w:t>mujeres </w:t>
      </w:r>
      <w:r>
        <w:rPr>
          <w:color w:val="231F20"/>
        </w:rPr>
        <w:t>¿y los </w:t>
      </w:r>
      <w:r>
        <w:rPr>
          <w:color w:val="231F20"/>
          <w:spacing w:val="-3"/>
        </w:rPr>
        <w:t>hombres dónde </w:t>
      </w:r>
      <w:r>
        <w:rPr>
          <w:color w:val="231F20"/>
        </w:rPr>
        <w:t>han </w:t>
      </w:r>
      <w:r>
        <w:rPr>
          <w:color w:val="231F20"/>
          <w:spacing w:val="-3"/>
        </w:rPr>
        <w:t>quedado? Bueno, </w:t>
      </w:r>
      <w:r>
        <w:rPr>
          <w:color w:val="231F20"/>
        </w:rPr>
        <w:t>los </w:t>
      </w:r>
      <w:r>
        <w:rPr>
          <w:color w:val="231F20"/>
          <w:spacing w:val="-3"/>
        </w:rPr>
        <w:t>hombres siguen participando casi </w:t>
      </w:r>
      <w:r>
        <w:rPr>
          <w:color w:val="231F20"/>
        </w:rPr>
        <w:t>de </w:t>
      </w:r>
      <w:r>
        <w:rPr>
          <w:color w:val="231F20"/>
          <w:spacing w:val="-3"/>
        </w:rPr>
        <w:t>manera exclusiva </w:t>
      </w:r>
      <w:r>
        <w:rPr>
          <w:color w:val="231F20"/>
        </w:rPr>
        <w:t>en el </w:t>
      </w:r>
      <w:r>
        <w:rPr>
          <w:color w:val="231F20"/>
          <w:spacing w:val="-3"/>
        </w:rPr>
        <w:t>trabajo remunerado mientras </w:t>
      </w:r>
      <w:r>
        <w:rPr>
          <w:color w:val="231F20"/>
        </w:rPr>
        <w:t>que </w:t>
      </w:r>
      <w:r>
        <w:rPr>
          <w:color w:val="231F20"/>
          <w:spacing w:val="-3"/>
        </w:rPr>
        <w:t>para </w:t>
      </w:r>
      <w:r>
        <w:rPr>
          <w:color w:val="231F20"/>
        </w:rPr>
        <w:t>las </w:t>
      </w:r>
      <w:r>
        <w:rPr>
          <w:color w:val="231F20"/>
          <w:spacing w:val="-3"/>
        </w:rPr>
        <w:t>mujeres persiste </w:t>
      </w:r>
      <w:r>
        <w:rPr>
          <w:color w:val="231F20"/>
        </w:rPr>
        <w:t>la </w:t>
      </w:r>
      <w:r>
        <w:rPr>
          <w:color w:val="231F20"/>
          <w:spacing w:val="-3"/>
        </w:rPr>
        <w:t>carga social </w:t>
      </w:r>
      <w:r>
        <w:rPr>
          <w:color w:val="231F20"/>
        </w:rPr>
        <w:t>de </w:t>
      </w:r>
      <w:r>
        <w:rPr>
          <w:color w:val="231F20"/>
          <w:spacing w:val="-3"/>
        </w:rPr>
        <w:t>la obligación </w:t>
      </w:r>
      <w:r>
        <w:rPr>
          <w:color w:val="231F20"/>
        </w:rPr>
        <w:t>de la </w:t>
      </w:r>
      <w:r>
        <w:rPr>
          <w:color w:val="231F20"/>
          <w:spacing w:val="-3"/>
        </w:rPr>
        <w:t>doble</w:t>
      </w:r>
      <w:r>
        <w:rPr>
          <w:color w:val="231F20"/>
          <w:spacing w:val="-17"/>
        </w:rPr>
        <w:t> </w:t>
      </w:r>
      <w:r>
        <w:rPr>
          <w:color w:val="231F20"/>
          <w:spacing w:val="-3"/>
        </w:rPr>
        <w:t>presencia.</w:t>
      </w:r>
    </w:p>
    <w:p>
      <w:pPr>
        <w:pStyle w:val="BodyText"/>
        <w:spacing w:line="249" w:lineRule="auto" w:before="1"/>
        <w:ind w:left="113" w:right="108" w:firstLine="283"/>
        <w:jc w:val="both"/>
      </w:pPr>
      <w:r>
        <w:rPr>
          <w:color w:val="231F20"/>
        </w:rPr>
        <w:t>Por</w:t>
      </w:r>
      <w:r>
        <w:rPr>
          <w:color w:val="231F20"/>
          <w:spacing w:val="-9"/>
        </w:rPr>
        <w:t> </w:t>
      </w:r>
      <w:r>
        <w:rPr>
          <w:color w:val="231F20"/>
          <w:spacing w:val="-3"/>
        </w:rPr>
        <w:t>otro</w:t>
      </w:r>
      <w:r>
        <w:rPr>
          <w:color w:val="231F20"/>
          <w:spacing w:val="-9"/>
        </w:rPr>
        <w:t> </w:t>
      </w:r>
      <w:r>
        <w:rPr>
          <w:color w:val="231F20"/>
          <w:spacing w:val="-3"/>
        </w:rPr>
        <w:t>lado,</w:t>
      </w:r>
      <w:r>
        <w:rPr>
          <w:color w:val="231F20"/>
          <w:spacing w:val="-9"/>
        </w:rPr>
        <w:t> </w:t>
      </w:r>
      <w:r>
        <w:rPr>
          <w:color w:val="231F20"/>
          <w:spacing w:val="-3"/>
        </w:rPr>
        <w:t>considero</w:t>
      </w:r>
      <w:r>
        <w:rPr>
          <w:color w:val="231F20"/>
          <w:spacing w:val="-9"/>
        </w:rPr>
        <w:t> </w:t>
      </w:r>
      <w:r>
        <w:rPr>
          <w:color w:val="231F20"/>
          <w:spacing w:val="-3"/>
        </w:rPr>
        <w:t>relevante</w:t>
      </w:r>
      <w:r>
        <w:rPr>
          <w:color w:val="231F20"/>
          <w:spacing w:val="-9"/>
        </w:rPr>
        <w:t> </w:t>
      </w:r>
      <w:r>
        <w:rPr>
          <w:color w:val="231F20"/>
          <w:spacing w:val="-3"/>
        </w:rPr>
        <w:t>poner</w:t>
      </w:r>
      <w:r>
        <w:rPr>
          <w:color w:val="231F20"/>
          <w:spacing w:val="-9"/>
        </w:rPr>
        <w:t> </w:t>
      </w:r>
      <w:r>
        <w:rPr>
          <w:color w:val="231F20"/>
        </w:rPr>
        <w:t>el</w:t>
      </w:r>
      <w:r>
        <w:rPr>
          <w:color w:val="231F20"/>
          <w:spacing w:val="-9"/>
        </w:rPr>
        <w:t> </w:t>
      </w:r>
      <w:r>
        <w:rPr>
          <w:color w:val="231F20"/>
          <w:spacing w:val="-3"/>
        </w:rPr>
        <w:t>acento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spacing w:val="-3"/>
        </w:rPr>
        <w:t>reconocimiento </w:t>
      </w:r>
      <w:r>
        <w:rPr>
          <w:color w:val="231F20"/>
        </w:rPr>
        <w:t>de la </w:t>
      </w:r>
      <w:r>
        <w:rPr>
          <w:color w:val="231F20"/>
          <w:spacing w:val="-3"/>
        </w:rPr>
        <w:t>gran diversidad </w:t>
      </w:r>
      <w:r>
        <w:rPr>
          <w:color w:val="231F20"/>
        </w:rPr>
        <w:t>de </w:t>
      </w:r>
      <w:r>
        <w:rPr>
          <w:color w:val="231F20"/>
          <w:spacing w:val="-3"/>
        </w:rPr>
        <w:t>situaciones, orígenes migratorios, trayectorias, </w:t>
      </w:r>
      <w:r>
        <w:rPr>
          <w:color w:val="231F20"/>
        </w:rPr>
        <w:t>es- </w:t>
      </w:r>
      <w:r>
        <w:rPr>
          <w:color w:val="231F20"/>
          <w:spacing w:val="-3"/>
        </w:rPr>
        <w:t>trategias</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spacing w:val="-3"/>
        </w:rPr>
        <w:t>mujeres</w:t>
      </w:r>
      <w:r>
        <w:rPr>
          <w:color w:val="231F20"/>
          <w:spacing w:val="-9"/>
        </w:rPr>
        <w:t> </w:t>
      </w:r>
      <w:r>
        <w:rPr>
          <w:color w:val="231F20"/>
          <w:spacing w:val="-3"/>
        </w:rPr>
        <w:t>están</w:t>
      </w:r>
      <w:r>
        <w:rPr>
          <w:color w:val="231F20"/>
          <w:spacing w:val="-9"/>
        </w:rPr>
        <w:t> </w:t>
      </w:r>
      <w:r>
        <w:rPr>
          <w:color w:val="231F20"/>
          <w:spacing w:val="-3"/>
        </w:rPr>
        <w:t>aportando</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spacing w:val="-3"/>
        </w:rPr>
        <w:t>migraciones</w:t>
      </w:r>
      <w:r>
        <w:rPr>
          <w:color w:val="231F20"/>
          <w:spacing w:val="-9"/>
        </w:rPr>
        <w:t> </w:t>
      </w:r>
      <w:r>
        <w:rPr>
          <w:color w:val="231F20"/>
          <w:spacing w:val="-3"/>
        </w:rPr>
        <w:t>internacionales </w:t>
      </w:r>
      <w:r>
        <w:rPr>
          <w:color w:val="231F20"/>
        </w:rPr>
        <w:t>y al </w:t>
      </w:r>
      <w:r>
        <w:rPr>
          <w:color w:val="231F20"/>
          <w:spacing w:val="-3"/>
        </w:rPr>
        <w:t>trabajo reproductivo. </w:t>
      </w:r>
      <w:r>
        <w:rPr>
          <w:color w:val="231F20"/>
        </w:rPr>
        <w:t>En el </w:t>
      </w:r>
      <w:r>
        <w:rPr>
          <w:color w:val="231F20"/>
          <w:spacing w:val="-3"/>
        </w:rPr>
        <w:t>mismo sentido </w:t>
      </w:r>
      <w:r>
        <w:rPr>
          <w:color w:val="231F20"/>
        </w:rPr>
        <w:t>que </w:t>
      </w:r>
      <w:r>
        <w:rPr>
          <w:color w:val="231F20"/>
          <w:spacing w:val="-3"/>
        </w:rPr>
        <w:t>Carmen Gregorio, Oso </w:t>
      </w:r>
      <w:r>
        <w:rPr>
          <w:color w:val="231F20"/>
        </w:rPr>
        <w:t>y</w:t>
      </w:r>
      <w:r>
        <w:rPr>
          <w:color w:val="231F20"/>
          <w:spacing w:val="-12"/>
        </w:rPr>
        <w:t> </w:t>
      </w:r>
      <w:r>
        <w:rPr>
          <w:color w:val="231F20"/>
          <w:spacing w:val="-3"/>
        </w:rPr>
        <w:t>Parella</w:t>
      </w:r>
      <w:r>
        <w:rPr>
          <w:color w:val="231F20"/>
          <w:spacing w:val="-11"/>
        </w:rPr>
        <w:t> </w:t>
      </w:r>
      <w:r>
        <w:rPr>
          <w:color w:val="231F20"/>
          <w:spacing w:val="-3"/>
        </w:rPr>
        <w:t>(2012:</w:t>
      </w:r>
      <w:r>
        <w:rPr>
          <w:color w:val="231F20"/>
          <w:spacing w:val="-12"/>
        </w:rPr>
        <w:t> </w:t>
      </w:r>
      <w:r>
        <w:rPr>
          <w:color w:val="231F20"/>
        </w:rPr>
        <w:t>13)</w:t>
      </w:r>
      <w:r>
        <w:rPr>
          <w:color w:val="231F20"/>
          <w:spacing w:val="-12"/>
        </w:rPr>
        <w:t> </w:t>
      </w:r>
      <w:r>
        <w:rPr>
          <w:color w:val="231F20"/>
          <w:spacing w:val="-3"/>
        </w:rPr>
        <w:t>plantean</w:t>
      </w:r>
      <w:r>
        <w:rPr>
          <w:color w:val="231F20"/>
          <w:spacing w:val="-12"/>
        </w:rPr>
        <w:t> </w:t>
      </w:r>
      <w:r>
        <w:rPr>
          <w:color w:val="231F20"/>
        </w:rPr>
        <w:t>que</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sin</w:t>
      </w:r>
      <w:r>
        <w:rPr>
          <w:color w:val="231F20"/>
          <w:spacing w:val="-12"/>
        </w:rPr>
        <w:t> </w:t>
      </w:r>
      <w:r>
        <w:rPr>
          <w:color w:val="231F20"/>
          <w:spacing w:val="-3"/>
        </w:rPr>
        <w:t>duda</w:t>
      </w:r>
      <w:r>
        <w:rPr>
          <w:color w:val="231F20"/>
          <w:spacing w:val="-12"/>
        </w:rPr>
        <w:t> </w:t>
      </w:r>
      <w:r>
        <w:rPr>
          <w:color w:val="231F20"/>
          <w:spacing w:val="-3"/>
        </w:rPr>
        <w:t>convierte</w:t>
      </w:r>
      <w:r>
        <w:rPr>
          <w:color w:val="231F20"/>
          <w:spacing w:val="-12"/>
        </w:rPr>
        <w:t> </w:t>
      </w:r>
      <w:r>
        <w:rPr>
          <w:color w:val="231F20"/>
        </w:rPr>
        <w:t>la</w:t>
      </w:r>
      <w:r>
        <w:rPr>
          <w:color w:val="231F20"/>
          <w:spacing w:val="-12"/>
        </w:rPr>
        <w:t> </w:t>
      </w:r>
      <w:r>
        <w:rPr>
          <w:color w:val="231F20"/>
          <w:spacing w:val="-3"/>
        </w:rPr>
        <w:t>actual</w:t>
      </w:r>
      <w:r>
        <w:rPr>
          <w:color w:val="231F20"/>
          <w:spacing w:val="-12"/>
        </w:rPr>
        <w:t> </w:t>
      </w:r>
      <w:r>
        <w:rPr>
          <w:color w:val="231F20"/>
          <w:spacing w:val="-3"/>
        </w:rPr>
        <w:t>trans- ferencia </w:t>
      </w:r>
      <w:r>
        <w:rPr>
          <w:color w:val="231F20"/>
        </w:rPr>
        <w:t>de </w:t>
      </w:r>
      <w:r>
        <w:rPr>
          <w:color w:val="231F20"/>
          <w:spacing w:val="-3"/>
        </w:rPr>
        <w:t>cuidado </w:t>
      </w:r>
      <w:r>
        <w:rPr>
          <w:color w:val="231F20"/>
        </w:rPr>
        <w:t>en un </w:t>
      </w:r>
      <w:r>
        <w:rPr>
          <w:color w:val="231F20"/>
          <w:spacing w:val="-3"/>
        </w:rPr>
        <w:t>fenómeno cualitativamente distinto </w:t>
      </w:r>
      <w:r>
        <w:rPr>
          <w:color w:val="231F20"/>
        </w:rPr>
        <w:t>es la </w:t>
      </w:r>
      <w:r>
        <w:rPr>
          <w:color w:val="231F20"/>
          <w:spacing w:val="-3"/>
        </w:rPr>
        <w:t>impo- sibilidad </w:t>
      </w:r>
      <w:r>
        <w:rPr>
          <w:color w:val="231F20"/>
        </w:rPr>
        <w:t>de </w:t>
      </w:r>
      <w:r>
        <w:rPr>
          <w:color w:val="231F20"/>
          <w:spacing w:val="-3"/>
        </w:rPr>
        <w:t>poder captar </w:t>
      </w:r>
      <w:r>
        <w:rPr>
          <w:color w:val="231F20"/>
        </w:rPr>
        <w:t>la </w:t>
      </w:r>
      <w:r>
        <w:rPr>
          <w:color w:val="231F20"/>
          <w:spacing w:val="-3"/>
        </w:rPr>
        <w:t>complejidad </w:t>
      </w:r>
      <w:r>
        <w:rPr>
          <w:color w:val="231F20"/>
        </w:rPr>
        <w:t>del </w:t>
      </w:r>
      <w:r>
        <w:rPr>
          <w:color w:val="231F20"/>
          <w:spacing w:val="-3"/>
        </w:rPr>
        <w:t>trabajo reproductivo desde un marco</w:t>
      </w:r>
      <w:r>
        <w:rPr>
          <w:color w:val="231F20"/>
          <w:spacing w:val="-8"/>
        </w:rPr>
        <w:t> </w:t>
      </w:r>
      <w:r>
        <w:rPr>
          <w:color w:val="231F20"/>
          <w:spacing w:val="-3"/>
        </w:rPr>
        <w:t>analítico</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sea</w:t>
      </w:r>
      <w:r>
        <w:rPr>
          <w:color w:val="231F20"/>
          <w:spacing w:val="-8"/>
        </w:rPr>
        <w:t> </w:t>
      </w:r>
      <w:r>
        <w:rPr>
          <w:color w:val="231F20"/>
          <w:spacing w:val="-3"/>
        </w:rPr>
        <w:t>global”.</w:t>
      </w:r>
      <w:r>
        <w:rPr>
          <w:color w:val="231F20"/>
          <w:spacing w:val="-8"/>
        </w:rPr>
        <w:t> </w:t>
      </w:r>
      <w:r>
        <w:rPr>
          <w:color w:val="231F20"/>
          <w:spacing w:val="-3"/>
        </w:rPr>
        <w:t>Estas</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spacing w:val="-3"/>
        </w:rPr>
        <w:t>visión</w:t>
      </w:r>
      <w:r>
        <w:rPr>
          <w:color w:val="231F20"/>
          <w:spacing w:val="-8"/>
        </w:rPr>
        <w:t> </w:t>
      </w:r>
      <w:r>
        <w:rPr>
          <w:color w:val="231F20"/>
        </w:rPr>
        <w:t>más</w:t>
      </w:r>
      <w:r>
        <w:rPr>
          <w:color w:val="231F20"/>
          <w:spacing w:val="-8"/>
        </w:rPr>
        <w:t> </w:t>
      </w:r>
      <w:r>
        <w:rPr>
          <w:color w:val="231F20"/>
          <w:spacing w:val="-3"/>
        </w:rPr>
        <w:t>compleja</w:t>
      </w:r>
      <w:r>
        <w:rPr>
          <w:color w:val="231F20"/>
          <w:spacing w:val="-8"/>
        </w:rPr>
        <w:t> </w:t>
      </w:r>
      <w:r>
        <w:rPr>
          <w:color w:val="231F20"/>
        </w:rPr>
        <w:t>de</w:t>
      </w:r>
      <w:r>
        <w:rPr>
          <w:color w:val="231F20"/>
          <w:spacing w:val="-8"/>
        </w:rPr>
        <w:t> </w:t>
      </w:r>
      <w:r>
        <w:rPr>
          <w:color w:val="231F20"/>
          <w:spacing w:val="-3"/>
        </w:rPr>
        <w:t>la mujer migrante, </w:t>
      </w:r>
      <w:r>
        <w:rPr>
          <w:color w:val="231F20"/>
        </w:rPr>
        <w:t>que </w:t>
      </w:r>
      <w:r>
        <w:rPr>
          <w:color w:val="231F20"/>
          <w:spacing w:val="-3"/>
        </w:rPr>
        <w:t>trasciende </w:t>
      </w:r>
      <w:r>
        <w:rPr>
          <w:color w:val="231F20"/>
        </w:rPr>
        <w:t>la </w:t>
      </w:r>
      <w:r>
        <w:rPr>
          <w:color w:val="231F20"/>
          <w:spacing w:val="-3"/>
        </w:rPr>
        <w:t>visión </w:t>
      </w:r>
      <w:r>
        <w:rPr>
          <w:color w:val="231F20"/>
        </w:rPr>
        <w:t>de la </w:t>
      </w:r>
      <w:r>
        <w:rPr>
          <w:color w:val="231F20"/>
          <w:spacing w:val="-3"/>
        </w:rPr>
        <w:t>mujer inmigrante víctima de múltiples discriminaciones.</w:t>
      </w:r>
    </w:p>
    <w:p>
      <w:pPr>
        <w:pStyle w:val="Heading4"/>
      </w:pPr>
      <w:r>
        <w:rPr>
          <w:w w:val="75"/>
        </w:rPr>
        <w:t>Reflexiones finales</w:t>
      </w:r>
    </w:p>
    <w:p>
      <w:pPr>
        <w:pStyle w:val="BodyText"/>
        <w:spacing w:line="249" w:lineRule="auto" w:before="171"/>
        <w:ind w:left="113" w:right="109"/>
        <w:jc w:val="both"/>
      </w:pPr>
      <w:r>
        <w:rPr>
          <w:color w:val="231F20"/>
        </w:rPr>
        <w:t>Al referirnos a la economía del cuidado donde las mujeres</w:t>
      </w:r>
      <w:r>
        <w:rPr>
          <w:color w:val="231F20"/>
          <w:spacing w:val="-12"/>
        </w:rPr>
        <w:t> </w:t>
      </w:r>
      <w:r>
        <w:rPr>
          <w:color w:val="231F20"/>
        </w:rPr>
        <w:t>(inmigrantes) son centrales en realidad se está ante la extensión de lo privado domés- tico, como espacio de reproducción primaria de los sujetos, hacia el ám- bito del tráfico mercantil hacia donde se ha desplazado la reproducción social ya que es en la esfera de la circulación mercantil donde, mediante el</w:t>
      </w:r>
      <w:r>
        <w:rPr>
          <w:color w:val="231F20"/>
          <w:spacing w:val="-9"/>
        </w:rPr>
        <w:t> </w:t>
      </w:r>
      <w:r>
        <w:rPr>
          <w:color w:val="231F20"/>
        </w:rPr>
        <w:t>intercambio</w:t>
      </w:r>
      <w:r>
        <w:rPr>
          <w:color w:val="231F20"/>
          <w:spacing w:val="-9"/>
        </w:rPr>
        <w:t> </w:t>
      </w:r>
      <w:r>
        <w:rPr>
          <w:color w:val="231F20"/>
        </w:rPr>
        <w:t>de</w:t>
      </w:r>
      <w:r>
        <w:rPr>
          <w:color w:val="231F20"/>
          <w:spacing w:val="-9"/>
        </w:rPr>
        <w:t> </w:t>
      </w:r>
      <w:r>
        <w:rPr>
          <w:color w:val="231F20"/>
        </w:rPr>
        <w:t>mercancías,</w:t>
      </w:r>
      <w:r>
        <w:rPr>
          <w:color w:val="231F20"/>
          <w:spacing w:val="-10"/>
        </w:rPr>
        <w:t> </w:t>
      </w:r>
      <w:r>
        <w:rPr>
          <w:color w:val="231F20"/>
        </w:rPr>
        <w:t>se</w:t>
      </w:r>
      <w:r>
        <w:rPr>
          <w:color w:val="231F20"/>
          <w:spacing w:val="-9"/>
        </w:rPr>
        <w:t> </w:t>
      </w:r>
      <w:r>
        <w:rPr>
          <w:color w:val="231F20"/>
        </w:rPr>
        <w:t>asegura</w:t>
      </w:r>
      <w:r>
        <w:rPr>
          <w:color w:val="231F20"/>
          <w:spacing w:val="-9"/>
        </w:rPr>
        <w:t> </w:t>
      </w:r>
      <w:r>
        <w:rPr>
          <w:color w:val="231F20"/>
        </w:rPr>
        <w:t>la</w:t>
      </w:r>
      <w:r>
        <w:rPr>
          <w:color w:val="231F20"/>
          <w:spacing w:val="-9"/>
        </w:rPr>
        <w:t> </w:t>
      </w:r>
      <w:r>
        <w:rPr>
          <w:color w:val="231F20"/>
        </w:rPr>
        <w:t>reproducción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integran- tes de la familia, pero lo que es un hecho es que se muestra una innega- ble relación entre esfera de la producción material y de la reproducción doméstica, en la que la reproducción transcurre por los circuitos de la producción mercantil, al mismo tiempo que la producción material se vale de las formas de organización y del trabajo doméstico para ampliar su ámbito</w:t>
      </w:r>
      <w:r>
        <w:rPr>
          <w:color w:val="231F20"/>
          <w:spacing w:val="-2"/>
        </w:rPr>
        <w:t> </w:t>
      </w:r>
      <w:r>
        <w:rPr>
          <w:color w:val="231F20"/>
        </w:rPr>
        <w:t>productivo.</w:t>
      </w:r>
    </w:p>
    <w:p>
      <w:pPr>
        <w:pStyle w:val="BodyText"/>
        <w:spacing w:before="1"/>
        <w:ind w:left="397"/>
        <w:jc w:val="both"/>
      </w:pPr>
      <w:r>
        <w:rPr>
          <w:color w:val="231F20"/>
        </w:rPr>
        <w:t>Aún más, el hecho de que las mujeres accedan al mercado de trabajo</w:t>
      </w:r>
    </w:p>
    <w:p>
      <w:pPr>
        <w:spacing w:after="0"/>
        <w:jc w:val="both"/>
        <w:sectPr>
          <w:footerReference w:type="default" r:id="rId251"/>
          <w:pgSz w:w="7770" w:h="11740"/>
          <w:pgMar w:footer="474" w:header="0" w:top="840" w:bottom="660" w:left="1020" w:right="740"/>
          <w:pgNumType w:start="219"/>
        </w:sectPr>
      </w:pPr>
    </w:p>
    <w:p>
      <w:pPr>
        <w:pStyle w:val="BodyText"/>
        <w:spacing w:line="249" w:lineRule="auto" w:before="60"/>
        <w:ind w:left="110" w:right="111"/>
        <w:jc w:val="both"/>
      </w:pPr>
      <w:r>
        <w:rPr>
          <w:color w:val="231F20"/>
        </w:rPr>
        <w:t>en</w:t>
      </w:r>
      <w:r>
        <w:rPr>
          <w:color w:val="231F20"/>
          <w:spacing w:val="-10"/>
        </w:rPr>
        <w:t> </w:t>
      </w:r>
      <w:r>
        <w:rPr>
          <w:color w:val="231F20"/>
        </w:rPr>
        <w:t>actividades</w:t>
      </w:r>
      <w:r>
        <w:rPr>
          <w:color w:val="231F20"/>
          <w:spacing w:val="-10"/>
        </w:rPr>
        <w:t> </w:t>
      </w:r>
      <w:r>
        <w:rPr>
          <w:color w:val="231F20"/>
        </w:rPr>
        <w:t>que,</w:t>
      </w:r>
      <w:r>
        <w:rPr>
          <w:color w:val="231F20"/>
          <w:spacing w:val="-10"/>
        </w:rPr>
        <w:t> </w:t>
      </w:r>
      <w:r>
        <w:rPr>
          <w:color w:val="231F20"/>
        </w:rPr>
        <w:t>preponderantemente,</w:t>
      </w:r>
      <w:r>
        <w:rPr>
          <w:color w:val="231F20"/>
          <w:spacing w:val="-10"/>
        </w:rPr>
        <w:t> </w:t>
      </w:r>
      <w:r>
        <w:rPr>
          <w:color w:val="231F20"/>
        </w:rPr>
        <w:t>son</w:t>
      </w:r>
      <w:r>
        <w:rPr>
          <w:color w:val="231F20"/>
          <w:spacing w:val="-10"/>
        </w:rPr>
        <w:t> </w:t>
      </w:r>
      <w:r>
        <w:rPr>
          <w:color w:val="231F20"/>
        </w:rPr>
        <w:t>extensión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labores</w:t>
      </w:r>
      <w:r>
        <w:rPr>
          <w:color w:val="231F20"/>
          <w:spacing w:val="-10"/>
        </w:rPr>
        <w:t> </w:t>
      </w:r>
      <w:r>
        <w:rPr>
          <w:color w:val="231F20"/>
        </w:rPr>
        <w:t>do- mésticas, o en el caso específico de las migrantes que realizan trabajo</w:t>
      </w:r>
      <w:r>
        <w:rPr>
          <w:color w:val="231F20"/>
          <w:spacing w:val="-22"/>
        </w:rPr>
        <w:t> </w:t>
      </w:r>
      <w:r>
        <w:rPr>
          <w:color w:val="231F20"/>
        </w:rPr>
        <w:t>de reproducción denota no un acceso a la esfera de lo público —entendida ésta como un espacio de discusión y decisión sobre el bien colectivo, es decir, de los asuntos que atañen al conjunto de la sociedad— sino que expresa una expansión de lo doméstico y los cuidados a los circuitos   de la producción mercantil, donde sólo cabe pensar que el acceso de las mujeres a lo público está pasando, por una publicitación de lo privado, es</w:t>
      </w:r>
      <w:r>
        <w:rPr>
          <w:color w:val="231F20"/>
          <w:spacing w:val="-6"/>
        </w:rPr>
        <w:t> </w:t>
      </w:r>
      <w:r>
        <w:rPr>
          <w:color w:val="231F20"/>
        </w:rPr>
        <w:t>decir,</w:t>
      </w:r>
      <w:r>
        <w:rPr>
          <w:color w:val="231F20"/>
          <w:spacing w:val="-6"/>
        </w:rPr>
        <w:t> </w:t>
      </w:r>
      <w:r>
        <w:rPr>
          <w:color w:val="231F20"/>
        </w:rPr>
        <w:t>por</w:t>
      </w:r>
      <w:r>
        <w:rPr>
          <w:color w:val="231F20"/>
          <w:spacing w:val="-6"/>
        </w:rPr>
        <w:t> </w:t>
      </w:r>
      <w:r>
        <w:rPr>
          <w:color w:val="231F20"/>
        </w:rPr>
        <w:t>un</w:t>
      </w:r>
      <w:r>
        <w:rPr>
          <w:color w:val="231F20"/>
          <w:spacing w:val="-6"/>
        </w:rPr>
        <w:t> </w:t>
      </w:r>
      <w:r>
        <w:rPr>
          <w:color w:val="231F20"/>
        </w:rPr>
        <w:t>proceso</w:t>
      </w:r>
      <w:r>
        <w:rPr>
          <w:color w:val="231F20"/>
          <w:spacing w:val="-6"/>
        </w:rPr>
        <w:t> </w:t>
      </w:r>
      <w:r>
        <w:rPr>
          <w:color w:val="231F20"/>
        </w:rPr>
        <w:t>donde</w:t>
      </w:r>
      <w:r>
        <w:rPr>
          <w:color w:val="231F20"/>
          <w:spacing w:val="-6"/>
        </w:rPr>
        <w:t> </w:t>
      </w:r>
      <w:r>
        <w:rPr>
          <w:color w:val="231F20"/>
        </w:rPr>
        <w:t>las</w:t>
      </w:r>
      <w:r>
        <w:rPr>
          <w:color w:val="231F20"/>
          <w:spacing w:val="-6"/>
        </w:rPr>
        <w:t> </w:t>
      </w:r>
      <w:r>
        <w:rPr>
          <w:color w:val="231F20"/>
        </w:rPr>
        <w:t>actividades</w:t>
      </w:r>
      <w:r>
        <w:rPr>
          <w:color w:val="231F20"/>
          <w:spacing w:val="-7"/>
        </w:rPr>
        <w:t> </w:t>
      </w:r>
      <w:r>
        <w:rPr>
          <w:color w:val="231F20"/>
        </w:rPr>
        <w:t>laborales</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mujeres</w:t>
      </w:r>
      <w:r>
        <w:rPr>
          <w:color w:val="231F20"/>
          <w:spacing w:val="-7"/>
        </w:rPr>
        <w:t> </w:t>
      </w:r>
      <w:r>
        <w:rPr>
          <w:color w:val="231F20"/>
        </w:rPr>
        <w:t>se están convirtiendo en objeto de discusión pública, esto es, que atañen ya al</w:t>
      </w:r>
      <w:r>
        <w:rPr>
          <w:color w:val="231F20"/>
          <w:spacing w:val="-7"/>
        </w:rPr>
        <w:t> </w:t>
      </w:r>
      <w:r>
        <w:rPr>
          <w:color w:val="231F20"/>
        </w:rPr>
        <w:t>bienestar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conjunto,</w:t>
      </w:r>
      <w:r>
        <w:rPr>
          <w:color w:val="231F20"/>
          <w:spacing w:val="-7"/>
        </w:rPr>
        <w:t> </w:t>
      </w:r>
      <w:r>
        <w:rPr>
          <w:color w:val="231F20"/>
        </w:rPr>
        <w:t>aunque</w:t>
      </w:r>
      <w:r>
        <w:rPr>
          <w:color w:val="231F20"/>
          <w:spacing w:val="-7"/>
        </w:rPr>
        <w:t> </w:t>
      </w:r>
      <w:r>
        <w:rPr>
          <w:color w:val="231F20"/>
        </w:rPr>
        <w:t>están</w:t>
      </w:r>
      <w:r>
        <w:rPr>
          <w:color w:val="231F20"/>
          <w:spacing w:val="-7"/>
        </w:rPr>
        <w:t> </w:t>
      </w:r>
      <w:r>
        <w:rPr>
          <w:color w:val="231F20"/>
        </w:rPr>
        <w:t>aún</w:t>
      </w:r>
      <w:r>
        <w:rPr>
          <w:color w:val="231F20"/>
          <w:spacing w:val="-7"/>
        </w:rPr>
        <w:t> </w:t>
      </w:r>
      <w:r>
        <w:rPr>
          <w:color w:val="231F20"/>
        </w:rPr>
        <w:t>ceñidas</w:t>
      </w:r>
      <w:r>
        <w:rPr>
          <w:color w:val="231F20"/>
          <w:spacing w:val="-7"/>
        </w:rPr>
        <w:t> </w:t>
      </w:r>
      <w:r>
        <w:rPr>
          <w:color w:val="231F20"/>
        </w:rPr>
        <w:t>a</w:t>
      </w:r>
      <w:r>
        <w:rPr>
          <w:color w:val="231F20"/>
          <w:spacing w:val="-7"/>
        </w:rPr>
        <w:t> </w:t>
      </w:r>
      <w:r>
        <w:rPr>
          <w:color w:val="231F20"/>
        </w:rPr>
        <w:t>las viejas necesidades patriarcales: limpieza, cuidado y</w:t>
      </w:r>
      <w:r>
        <w:rPr>
          <w:color w:val="231F20"/>
          <w:spacing w:val="-7"/>
        </w:rPr>
        <w:t> </w:t>
      </w:r>
      <w:r>
        <w:rPr>
          <w:color w:val="231F20"/>
        </w:rPr>
        <w:t>sexo.</w:t>
      </w:r>
    </w:p>
    <w:p>
      <w:pPr>
        <w:pStyle w:val="BodyText"/>
        <w:spacing w:line="249" w:lineRule="auto" w:before="1"/>
        <w:ind w:left="110" w:right="111" w:firstLine="283"/>
        <w:jc w:val="both"/>
      </w:pPr>
      <w:r>
        <w:rPr>
          <w:color w:val="231F20"/>
        </w:rPr>
        <w:t>Resulta claro que el casi olvidado debate sobre el papel del traba-    jo doméstico o reproductivo tiene nuevos elementos para la discusión porque el nudo continúa, ahora se discute en el contexto de la economía global y de las migraciones</w:t>
      </w:r>
      <w:r>
        <w:rPr>
          <w:color w:val="231F20"/>
          <w:spacing w:val="-2"/>
        </w:rPr>
        <w:t> </w:t>
      </w:r>
      <w:r>
        <w:rPr>
          <w:color w:val="231F20"/>
        </w:rPr>
        <w:t>femeninas.</w:t>
      </w:r>
    </w:p>
    <w:p>
      <w:pPr>
        <w:pStyle w:val="BodyText"/>
        <w:spacing w:line="249" w:lineRule="auto" w:before="1"/>
        <w:ind w:left="110" w:right="111" w:firstLine="283"/>
        <w:jc w:val="both"/>
      </w:pPr>
      <w:r>
        <w:rPr>
          <w:color w:val="231F20"/>
        </w:rPr>
        <w:t>La tradicional división sexual del trabajo persiste en las diversas so- ciedades, estamos lejos de superarla mientras los hombres no se invo- lucren. No está superada la revolución de género en las sociedades más y menos desarrolladas, hay avances sí, muchos pero “para alcanzar la igualdad social, los trabajos de mujeres y hombres deben ser del mismo tipo con respecto de la producción de valores de uso social. Para ello, la producción, el consumo y el cuidado deben considerarse en una misma esfera” (Antón, 2011: 24).</w:t>
      </w:r>
    </w:p>
    <w:p>
      <w:pPr>
        <w:pStyle w:val="BodyText"/>
        <w:spacing w:before="6"/>
        <w:rPr>
          <w:sz w:val="25"/>
        </w:rPr>
      </w:pPr>
    </w:p>
    <w:p>
      <w:pPr>
        <w:pStyle w:val="Heading4"/>
        <w:spacing w:before="0"/>
        <w:ind w:left="110"/>
      </w:pPr>
      <w:r>
        <w:rPr>
          <w:w w:val="85"/>
        </w:rPr>
        <w:t>Bibliografía</w:t>
      </w:r>
    </w:p>
    <w:p>
      <w:pPr>
        <w:pStyle w:val="BodyText"/>
        <w:rPr>
          <w:b/>
          <w:sz w:val="33"/>
        </w:rPr>
      </w:pPr>
    </w:p>
    <w:p>
      <w:pPr>
        <w:spacing w:line="254" w:lineRule="auto" w:before="0"/>
        <w:ind w:left="110" w:right="111" w:firstLine="0"/>
        <w:jc w:val="both"/>
        <w:rPr>
          <w:sz w:val="18"/>
        </w:rPr>
      </w:pPr>
      <w:r>
        <w:rPr>
          <w:color w:val="231F20"/>
          <w:sz w:val="18"/>
        </w:rPr>
        <w:t>Antón, Gemma (2011) </w:t>
      </w:r>
      <w:r>
        <w:rPr>
          <w:i/>
          <w:color w:val="231F20"/>
          <w:sz w:val="18"/>
        </w:rPr>
        <w:t>Conciliación e igualdad de género. Planteamiento y</w:t>
      </w:r>
      <w:r>
        <w:rPr>
          <w:i/>
          <w:color w:val="231F20"/>
          <w:spacing w:val="-30"/>
          <w:sz w:val="18"/>
        </w:rPr>
        <w:t> </w:t>
      </w:r>
      <w:r>
        <w:rPr>
          <w:i/>
          <w:color w:val="231F20"/>
          <w:sz w:val="18"/>
        </w:rPr>
        <w:t>pro- </w:t>
      </w:r>
      <w:r>
        <w:rPr>
          <w:i/>
          <w:color w:val="231F20"/>
          <w:sz w:val="18"/>
        </w:rPr>
        <w:t>ceso de los planes de igualdad de oportunidad de mujeres y hombres y su im- pacto en las relaciones en el doble trabajo</w:t>
      </w:r>
      <w:r>
        <w:rPr>
          <w:color w:val="231F20"/>
          <w:sz w:val="18"/>
        </w:rPr>
        <w:t>, </w:t>
      </w:r>
      <w:r>
        <w:rPr>
          <w:color w:val="231F20"/>
          <w:spacing w:val="-3"/>
          <w:sz w:val="18"/>
        </w:rPr>
        <w:t>Tesis </w:t>
      </w:r>
      <w:r>
        <w:rPr>
          <w:color w:val="231F20"/>
          <w:sz w:val="18"/>
        </w:rPr>
        <w:t>de Máster en Antropología y Etnografía, Barcelona: Universidad de</w:t>
      </w:r>
      <w:r>
        <w:rPr>
          <w:color w:val="231F20"/>
          <w:spacing w:val="-11"/>
          <w:sz w:val="18"/>
        </w:rPr>
        <w:t> </w:t>
      </w:r>
      <w:r>
        <w:rPr>
          <w:color w:val="231F20"/>
          <w:sz w:val="18"/>
        </w:rPr>
        <w:t>Barcelona.</w:t>
      </w:r>
    </w:p>
    <w:p>
      <w:pPr>
        <w:spacing w:line="254" w:lineRule="auto" w:before="57"/>
        <w:ind w:left="110" w:right="111" w:firstLine="0"/>
        <w:jc w:val="both"/>
        <w:rPr>
          <w:sz w:val="18"/>
        </w:rPr>
      </w:pPr>
      <w:r>
        <w:rPr>
          <w:color w:val="231F20"/>
          <w:sz w:val="18"/>
        </w:rPr>
        <w:t>Ariza,</w:t>
      </w:r>
      <w:r>
        <w:rPr>
          <w:color w:val="231F20"/>
          <w:spacing w:val="-8"/>
          <w:sz w:val="18"/>
        </w:rPr>
        <w:t> </w:t>
      </w:r>
      <w:r>
        <w:rPr>
          <w:color w:val="231F20"/>
          <w:sz w:val="18"/>
        </w:rPr>
        <w:t>Marina</w:t>
      </w:r>
      <w:r>
        <w:rPr>
          <w:color w:val="231F20"/>
          <w:spacing w:val="-8"/>
          <w:sz w:val="18"/>
        </w:rPr>
        <w:t> </w:t>
      </w:r>
      <w:r>
        <w:rPr>
          <w:color w:val="231F20"/>
          <w:sz w:val="18"/>
        </w:rPr>
        <w:t>(2013)</w:t>
      </w:r>
      <w:r>
        <w:rPr>
          <w:color w:val="231F20"/>
          <w:spacing w:val="-8"/>
          <w:sz w:val="18"/>
        </w:rPr>
        <w:t> </w:t>
      </w:r>
      <w:r>
        <w:rPr>
          <w:color w:val="231F20"/>
          <w:sz w:val="18"/>
        </w:rPr>
        <w:t>“Inmigración</w:t>
      </w:r>
      <w:r>
        <w:rPr>
          <w:color w:val="231F20"/>
          <w:spacing w:val="-9"/>
          <w:sz w:val="18"/>
        </w:rPr>
        <w:t> </w:t>
      </w:r>
      <w:r>
        <w:rPr>
          <w:color w:val="231F20"/>
          <w:sz w:val="18"/>
        </w:rPr>
        <w:t>y</w:t>
      </w:r>
      <w:r>
        <w:rPr>
          <w:color w:val="231F20"/>
          <w:spacing w:val="-8"/>
          <w:sz w:val="18"/>
        </w:rPr>
        <w:t> </w:t>
      </w:r>
      <w:r>
        <w:rPr>
          <w:color w:val="231F20"/>
          <w:sz w:val="18"/>
        </w:rPr>
        <w:t>trabajo</w:t>
      </w:r>
      <w:r>
        <w:rPr>
          <w:color w:val="231F20"/>
          <w:spacing w:val="-8"/>
          <w:sz w:val="18"/>
        </w:rPr>
        <w:t> </w:t>
      </w:r>
      <w:r>
        <w:rPr>
          <w:color w:val="231F20"/>
          <w:sz w:val="18"/>
        </w:rPr>
        <w:t>reproductivo.</w:t>
      </w:r>
      <w:r>
        <w:rPr>
          <w:color w:val="231F20"/>
          <w:spacing w:val="-8"/>
          <w:sz w:val="18"/>
        </w:rPr>
        <w:t> </w:t>
      </w:r>
      <w:r>
        <w:rPr>
          <w:color w:val="231F20"/>
          <w:sz w:val="18"/>
        </w:rPr>
        <w:t>El</w:t>
      </w:r>
      <w:r>
        <w:rPr>
          <w:color w:val="231F20"/>
          <w:spacing w:val="-8"/>
          <w:sz w:val="18"/>
        </w:rPr>
        <w:t> </w:t>
      </w:r>
      <w:r>
        <w:rPr>
          <w:color w:val="231F20"/>
          <w:sz w:val="18"/>
        </w:rPr>
        <w:t>servicio</w:t>
      </w:r>
      <w:r>
        <w:rPr>
          <w:color w:val="231F20"/>
          <w:spacing w:val="-8"/>
          <w:sz w:val="18"/>
        </w:rPr>
        <w:t> </w:t>
      </w:r>
      <w:r>
        <w:rPr>
          <w:color w:val="231F20"/>
          <w:sz w:val="18"/>
        </w:rPr>
        <w:t>doméstico en Estados Unidos en tiempos de globalización”, en Martha Judith Sánchez e Inmaculada Sierra (coords.) </w:t>
      </w:r>
      <w:r>
        <w:rPr>
          <w:i/>
          <w:color w:val="231F20"/>
          <w:sz w:val="18"/>
        </w:rPr>
        <w:t>Ellas se van, mujeres migrantes en Estados Unidos </w:t>
      </w:r>
      <w:r>
        <w:rPr>
          <w:i/>
          <w:color w:val="231F20"/>
          <w:sz w:val="18"/>
        </w:rPr>
        <w:t>y</w:t>
      </w:r>
      <w:r>
        <w:rPr>
          <w:i/>
          <w:color w:val="231F20"/>
          <w:spacing w:val="-6"/>
          <w:sz w:val="18"/>
        </w:rPr>
        <w:t> </w:t>
      </w:r>
      <w:r>
        <w:rPr>
          <w:i/>
          <w:color w:val="231F20"/>
          <w:sz w:val="18"/>
        </w:rPr>
        <w:t>España</w:t>
      </w:r>
      <w:r>
        <w:rPr>
          <w:color w:val="231F20"/>
          <w:sz w:val="18"/>
        </w:rPr>
        <w:t>,</w:t>
      </w:r>
      <w:r>
        <w:rPr>
          <w:color w:val="231F20"/>
          <w:spacing w:val="-6"/>
          <w:sz w:val="18"/>
        </w:rPr>
        <w:t> </w:t>
      </w:r>
      <w:r>
        <w:rPr>
          <w:color w:val="231F20"/>
          <w:sz w:val="18"/>
        </w:rPr>
        <w:t>México:</w:t>
      </w:r>
      <w:r>
        <w:rPr>
          <w:color w:val="231F20"/>
          <w:spacing w:val="-6"/>
          <w:sz w:val="18"/>
        </w:rPr>
        <w:t> </w:t>
      </w:r>
      <w:r>
        <w:rPr>
          <w:color w:val="231F20"/>
          <w:sz w:val="18"/>
        </w:rPr>
        <w:t>Universidad</w:t>
      </w:r>
      <w:r>
        <w:rPr>
          <w:color w:val="231F20"/>
          <w:spacing w:val="-6"/>
          <w:sz w:val="18"/>
        </w:rPr>
        <w:t> </w:t>
      </w:r>
      <w:r>
        <w:rPr>
          <w:color w:val="231F20"/>
          <w:sz w:val="18"/>
        </w:rPr>
        <w:t>Nacional</w:t>
      </w:r>
      <w:r>
        <w:rPr>
          <w:color w:val="231F20"/>
          <w:spacing w:val="-15"/>
          <w:sz w:val="18"/>
        </w:rPr>
        <w:t> </w:t>
      </w:r>
      <w:r>
        <w:rPr>
          <w:color w:val="231F20"/>
          <w:sz w:val="18"/>
        </w:rPr>
        <w:t>Autónoma</w:t>
      </w:r>
      <w:r>
        <w:rPr>
          <w:color w:val="231F20"/>
          <w:spacing w:val="-6"/>
          <w:sz w:val="18"/>
        </w:rPr>
        <w:t> </w:t>
      </w:r>
      <w:r>
        <w:rPr>
          <w:color w:val="231F20"/>
          <w:sz w:val="18"/>
        </w:rPr>
        <w:t>de</w:t>
      </w:r>
      <w:r>
        <w:rPr>
          <w:color w:val="231F20"/>
          <w:spacing w:val="-6"/>
          <w:sz w:val="18"/>
        </w:rPr>
        <w:t> </w:t>
      </w:r>
      <w:r>
        <w:rPr>
          <w:color w:val="231F20"/>
          <w:sz w:val="18"/>
        </w:rPr>
        <w:t>México.</w:t>
      </w:r>
    </w:p>
    <w:p>
      <w:pPr>
        <w:spacing w:line="254" w:lineRule="auto" w:before="57"/>
        <w:ind w:left="110" w:right="111" w:firstLine="0"/>
        <w:jc w:val="both"/>
        <w:rPr>
          <w:sz w:val="18"/>
        </w:rPr>
      </w:pPr>
      <w:r>
        <w:rPr>
          <w:color w:val="231F20"/>
          <w:sz w:val="18"/>
        </w:rPr>
        <w:t>Ariza, Marina y Orlandina de Oliveira (2000) “Género, trabajo y familia: consi- deraciones</w:t>
      </w:r>
      <w:r>
        <w:rPr>
          <w:color w:val="231F20"/>
          <w:spacing w:val="-6"/>
          <w:sz w:val="18"/>
        </w:rPr>
        <w:t> </w:t>
      </w:r>
      <w:r>
        <w:rPr>
          <w:color w:val="231F20"/>
          <w:sz w:val="18"/>
        </w:rPr>
        <w:t>teórico-metodológicas”,</w:t>
      </w:r>
      <w:r>
        <w:rPr>
          <w:color w:val="231F20"/>
          <w:spacing w:val="-7"/>
          <w:sz w:val="18"/>
        </w:rPr>
        <w:t> </w:t>
      </w:r>
      <w:r>
        <w:rPr>
          <w:color w:val="231F20"/>
          <w:sz w:val="18"/>
        </w:rPr>
        <w:t>en</w:t>
      </w:r>
      <w:r>
        <w:rPr>
          <w:color w:val="231F20"/>
          <w:spacing w:val="-6"/>
          <w:sz w:val="18"/>
        </w:rPr>
        <w:t> </w:t>
      </w:r>
      <w:r>
        <w:rPr>
          <w:i/>
          <w:color w:val="231F20"/>
          <w:sz w:val="18"/>
        </w:rPr>
        <w:t>La</w:t>
      </w:r>
      <w:r>
        <w:rPr>
          <w:i/>
          <w:color w:val="231F20"/>
          <w:spacing w:val="-6"/>
          <w:sz w:val="18"/>
        </w:rPr>
        <w:t> </w:t>
      </w:r>
      <w:r>
        <w:rPr>
          <w:i/>
          <w:color w:val="231F20"/>
          <w:sz w:val="18"/>
        </w:rPr>
        <w:t>población</w:t>
      </w:r>
      <w:r>
        <w:rPr>
          <w:i/>
          <w:color w:val="231F20"/>
          <w:spacing w:val="-6"/>
          <w:sz w:val="18"/>
        </w:rPr>
        <w:t> </w:t>
      </w:r>
      <w:r>
        <w:rPr>
          <w:i/>
          <w:color w:val="231F20"/>
          <w:sz w:val="18"/>
        </w:rPr>
        <w:t>de</w:t>
      </w:r>
      <w:r>
        <w:rPr>
          <w:i/>
          <w:color w:val="231F20"/>
          <w:spacing w:val="-6"/>
          <w:sz w:val="18"/>
        </w:rPr>
        <w:t> </w:t>
      </w:r>
      <w:r>
        <w:rPr>
          <w:i/>
          <w:color w:val="231F20"/>
          <w:sz w:val="18"/>
        </w:rPr>
        <w:t>México.</w:t>
      </w:r>
      <w:r>
        <w:rPr>
          <w:i/>
          <w:color w:val="231F20"/>
          <w:spacing w:val="-6"/>
          <w:sz w:val="18"/>
        </w:rPr>
        <w:t> </w:t>
      </w:r>
      <w:r>
        <w:rPr>
          <w:i/>
          <w:color w:val="231F20"/>
          <w:sz w:val="18"/>
        </w:rPr>
        <w:t>Situación</w:t>
      </w:r>
      <w:r>
        <w:rPr>
          <w:i/>
          <w:color w:val="231F20"/>
          <w:spacing w:val="-6"/>
          <w:sz w:val="18"/>
        </w:rPr>
        <w:t> </w:t>
      </w:r>
      <w:r>
        <w:rPr>
          <w:i/>
          <w:color w:val="231F20"/>
          <w:sz w:val="18"/>
        </w:rPr>
        <w:t>actual </w:t>
      </w:r>
      <w:r>
        <w:rPr>
          <w:i/>
          <w:color w:val="231F20"/>
          <w:sz w:val="18"/>
        </w:rPr>
        <w:t>y desafíos futuros</w:t>
      </w:r>
      <w:r>
        <w:rPr>
          <w:color w:val="231F20"/>
          <w:sz w:val="18"/>
        </w:rPr>
        <w:t>, México:</w:t>
      </w:r>
      <w:r>
        <w:rPr>
          <w:color w:val="231F20"/>
          <w:spacing w:val="-13"/>
          <w:sz w:val="18"/>
        </w:rPr>
        <w:t> </w:t>
      </w:r>
      <w:r>
        <w:rPr>
          <w:color w:val="231F20"/>
          <w:sz w:val="18"/>
        </w:rPr>
        <w:t>Conapo.</w:t>
      </w:r>
    </w:p>
    <w:p>
      <w:pPr>
        <w:spacing w:before="57"/>
        <w:ind w:left="110" w:right="0" w:firstLine="0"/>
        <w:jc w:val="both"/>
        <w:rPr>
          <w:i/>
          <w:sz w:val="18"/>
        </w:rPr>
      </w:pPr>
      <w:r>
        <w:rPr>
          <w:color w:val="231F20"/>
          <w:sz w:val="18"/>
        </w:rPr>
        <w:t>Baca, Norma, Dídimo Castillo, Graciela Vélez y Jorge Arzate (2011) </w:t>
      </w:r>
      <w:r>
        <w:rPr>
          <w:i/>
          <w:color w:val="231F20"/>
          <w:sz w:val="18"/>
        </w:rPr>
        <w:t>Precariza-</w:t>
      </w:r>
    </w:p>
    <w:p>
      <w:pPr>
        <w:spacing w:after="0"/>
        <w:jc w:val="both"/>
        <w:rPr>
          <w:sz w:val="18"/>
        </w:rPr>
        <w:sectPr>
          <w:pgSz w:w="7770" w:h="11740"/>
          <w:pgMar w:header="0" w:footer="474" w:top="840" w:bottom="740" w:left="740" w:right="1020"/>
        </w:sectPr>
      </w:pPr>
    </w:p>
    <w:p>
      <w:pPr>
        <w:spacing w:line="254" w:lineRule="auto" w:before="65"/>
        <w:ind w:left="113" w:right="108" w:firstLine="0"/>
        <w:jc w:val="both"/>
        <w:rPr>
          <w:sz w:val="18"/>
        </w:rPr>
      </w:pPr>
      <w:r>
        <w:rPr>
          <w:i/>
          <w:color w:val="231F20"/>
          <w:sz w:val="18"/>
        </w:rPr>
        <w:t>ción</w:t>
      </w:r>
      <w:r>
        <w:rPr>
          <w:i/>
          <w:color w:val="231F20"/>
          <w:spacing w:val="-11"/>
          <w:sz w:val="18"/>
        </w:rPr>
        <w:t> </w:t>
      </w:r>
      <w:r>
        <w:rPr>
          <w:i/>
          <w:color w:val="231F20"/>
          <w:sz w:val="18"/>
        </w:rPr>
        <w:t>laboral</w:t>
      </w:r>
      <w:r>
        <w:rPr>
          <w:i/>
          <w:color w:val="231F20"/>
          <w:spacing w:val="-11"/>
          <w:sz w:val="18"/>
        </w:rPr>
        <w:t> </w:t>
      </w:r>
      <w:r>
        <w:rPr>
          <w:i/>
          <w:color w:val="231F20"/>
          <w:sz w:val="18"/>
        </w:rPr>
        <w:t>y</w:t>
      </w:r>
      <w:r>
        <w:rPr>
          <w:i/>
          <w:color w:val="231F20"/>
          <w:spacing w:val="-10"/>
          <w:sz w:val="18"/>
        </w:rPr>
        <w:t> </w:t>
      </w:r>
      <w:r>
        <w:rPr>
          <w:i/>
          <w:color w:val="231F20"/>
          <w:sz w:val="18"/>
        </w:rPr>
        <w:t>participación</w:t>
      </w:r>
      <w:r>
        <w:rPr>
          <w:i/>
          <w:color w:val="231F20"/>
          <w:spacing w:val="-11"/>
          <w:sz w:val="18"/>
        </w:rPr>
        <w:t> </w:t>
      </w:r>
      <w:r>
        <w:rPr>
          <w:i/>
          <w:color w:val="231F20"/>
          <w:sz w:val="18"/>
        </w:rPr>
        <w:t>por</w:t>
      </w:r>
      <w:r>
        <w:rPr>
          <w:i/>
          <w:color w:val="231F20"/>
          <w:spacing w:val="-11"/>
          <w:sz w:val="18"/>
        </w:rPr>
        <w:t> </w:t>
      </w:r>
      <w:r>
        <w:rPr>
          <w:i/>
          <w:color w:val="231F20"/>
          <w:sz w:val="18"/>
        </w:rPr>
        <w:t>género</w:t>
      </w:r>
      <w:r>
        <w:rPr>
          <w:i/>
          <w:color w:val="231F20"/>
          <w:spacing w:val="-11"/>
          <w:sz w:val="18"/>
        </w:rPr>
        <w:t> </w:t>
      </w:r>
      <w:r>
        <w:rPr>
          <w:i/>
          <w:color w:val="231F20"/>
          <w:sz w:val="18"/>
        </w:rPr>
        <w:t>en</w:t>
      </w:r>
      <w:r>
        <w:rPr>
          <w:i/>
          <w:color w:val="231F20"/>
          <w:spacing w:val="-11"/>
          <w:sz w:val="18"/>
        </w:rPr>
        <w:t> </w:t>
      </w:r>
      <w:r>
        <w:rPr>
          <w:i/>
          <w:color w:val="231F20"/>
          <w:sz w:val="18"/>
        </w:rPr>
        <w:t>mercados</w:t>
      </w:r>
      <w:r>
        <w:rPr>
          <w:i/>
          <w:color w:val="231F20"/>
          <w:spacing w:val="-11"/>
          <w:sz w:val="18"/>
        </w:rPr>
        <w:t> </w:t>
      </w:r>
      <w:r>
        <w:rPr>
          <w:i/>
          <w:color w:val="231F20"/>
          <w:sz w:val="18"/>
        </w:rPr>
        <w:t>de</w:t>
      </w:r>
      <w:r>
        <w:rPr>
          <w:i/>
          <w:color w:val="231F20"/>
          <w:spacing w:val="-10"/>
          <w:sz w:val="18"/>
        </w:rPr>
        <w:t> </w:t>
      </w:r>
      <w:r>
        <w:rPr>
          <w:i/>
          <w:color w:val="231F20"/>
          <w:sz w:val="18"/>
        </w:rPr>
        <w:t>trabajo</w:t>
      </w:r>
      <w:r>
        <w:rPr>
          <w:i/>
          <w:color w:val="231F20"/>
          <w:spacing w:val="-11"/>
          <w:sz w:val="18"/>
        </w:rPr>
        <w:t> </w:t>
      </w:r>
      <w:r>
        <w:rPr>
          <w:i/>
          <w:color w:val="231F20"/>
          <w:sz w:val="18"/>
        </w:rPr>
        <w:t>urbanos</w:t>
      </w:r>
      <w:r>
        <w:rPr>
          <w:color w:val="231F20"/>
          <w:sz w:val="18"/>
        </w:rPr>
        <w:t>,</w:t>
      </w:r>
      <w:r>
        <w:rPr>
          <w:color w:val="231F20"/>
          <w:spacing w:val="-14"/>
          <w:sz w:val="18"/>
        </w:rPr>
        <w:t> </w:t>
      </w:r>
      <w:r>
        <w:rPr>
          <w:color w:val="231F20"/>
          <w:sz w:val="18"/>
        </w:rPr>
        <w:t>Toluca: Universidad</w:t>
      </w:r>
      <w:r>
        <w:rPr>
          <w:color w:val="231F20"/>
          <w:spacing w:val="-14"/>
          <w:sz w:val="18"/>
        </w:rPr>
        <w:t> </w:t>
      </w:r>
      <w:r>
        <w:rPr>
          <w:color w:val="231F20"/>
          <w:sz w:val="18"/>
        </w:rPr>
        <w:t>Autónoma</w:t>
      </w:r>
      <w:r>
        <w:rPr>
          <w:color w:val="231F20"/>
          <w:spacing w:val="-6"/>
          <w:sz w:val="18"/>
        </w:rPr>
        <w:t> </w:t>
      </w:r>
      <w:r>
        <w:rPr>
          <w:color w:val="231F20"/>
          <w:sz w:val="18"/>
        </w:rPr>
        <w:t>del</w:t>
      </w:r>
      <w:r>
        <w:rPr>
          <w:color w:val="231F20"/>
          <w:spacing w:val="-6"/>
          <w:sz w:val="18"/>
        </w:rPr>
        <w:t> </w:t>
      </w:r>
      <w:r>
        <w:rPr>
          <w:color w:val="231F20"/>
          <w:sz w:val="18"/>
        </w:rPr>
        <w:t>Estado</w:t>
      </w:r>
      <w:r>
        <w:rPr>
          <w:color w:val="231F20"/>
          <w:spacing w:val="-6"/>
          <w:sz w:val="18"/>
        </w:rPr>
        <w:t> </w:t>
      </w:r>
      <w:r>
        <w:rPr>
          <w:color w:val="231F20"/>
          <w:sz w:val="18"/>
        </w:rPr>
        <w:t>de</w:t>
      </w:r>
      <w:r>
        <w:rPr>
          <w:color w:val="231F20"/>
          <w:spacing w:val="-6"/>
          <w:sz w:val="18"/>
        </w:rPr>
        <w:t> </w:t>
      </w:r>
      <w:r>
        <w:rPr>
          <w:color w:val="231F20"/>
          <w:sz w:val="18"/>
        </w:rPr>
        <w:t>México.</w:t>
      </w:r>
    </w:p>
    <w:p>
      <w:pPr>
        <w:spacing w:before="57"/>
        <w:ind w:left="113" w:right="0" w:firstLine="0"/>
        <w:jc w:val="both"/>
        <w:rPr>
          <w:sz w:val="18"/>
        </w:rPr>
      </w:pPr>
      <w:r>
        <w:rPr>
          <w:color w:val="231F20"/>
          <w:sz w:val="18"/>
        </w:rPr>
        <w:t>Beck, Ulrich (2002) </w:t>
      </w:r>
      <w:r>
        <w:rPr>
          <w:i/>
          <w:color w:val="231F20"/>
          <w:sz w:val="18"/>
        </w:rPr>
        <w:t>La sociedad del riesgo</w:t>
      </w:r>
      <w:r>
        <w:rPr>
          <w:color w:val="231F20"/>
          <w:sz w:val="18"/>
        </w:rPr>
        <w:t>, Barcelona: Siglo XXI.</w:t>
      </w:r>
    </w:p>
    <w:p>
      <w:pPr>
        <w:spacing w:line="254" w:lineRule="auto" w:before="69"/>
        <w:ind w:left="113" w:right="107" w:firstLine="0"/>
        <w:jc w:val="both"/>
        <w:rPr>
          <w:sz w:val="18"/>
        </w:rPr>
      </w:pPr>
      <w:r>
        <w:rPr>
          <w:color w:val="231F20"/>
          <w:sz w:val="18"/>
        </w:rPr>
        <w:t>Baldassar, Loretta y Laura Merla (2014) </w:t>
      </w:r>
      <w:r>
        <w:rPr>
          <w:i/>
          <w:color w:val="231F20"/>
          <w:sz w:val="18"/>
        </w:rPr>
        <w:t>Transnational families, migration and </w:t>
      </w:r>
      <w:r>
        <w:rPr>
          <w:i/>
          <w:color w:val="231F20"/>
          <w:sz w:val="18"/>
        </w:rPr>
        <w:t>the</w:t>
      </w:r>
      <w:r>
        <w:rPr>
          <w:i/>
          <w:color w:val="231F20"/>
          <w:spacing w:val="-10"/>
          <w:sz w:val="18"/>
        </w:rPr>
        <w:t> </w:t>
      </w:r>
      <w:r>
        <w:rPr>
          <w:i/>
          <w:color w:val="231F20"/>
          <w:sz w:val="18"/>
        </w:rPr>
        <w:t>circulation</w:t>
      </w:r>
      <w:r>
        <w:rPr>
          <w:i/>
          <w:color w:val="231F20"/>
          <w:spacing w:val="-10"/>
          <w:sz w:val="18"/>
        </w:rPr>
        <w:t> </w:t>
      </w:r>
      <w:r>
        <w:rPr>
          <w:i/>
          <w:color w:val="231F20"/>
          <w:sz w:val="18"/>
        </w:rPr>
        <w:t>care.</w:t>
      </w:r>
      <w:r>
        <w:rPr>
          <w:i/>
          <w:color w:val="231F20"/>
          <w:spacing w:val="-10"/>
          <w:sz w:val="18"/>
        </w:rPr>
        <w:t> </w:t>
      </w:r>
      <w:r>
        <w:rPr>
          <w:i/>
          <w:color w:val="231F20"/>
          <w:sz w:val="18"/>
        </w:rPr>
        <w:t>Understanding</w:t>
      </w:r>
      <w:r>
        <w:rPr>
          <w:i/>
          <w:color w:val="231F20"/>
          <w:spacing w:val="-9"/>
          <w:sz w:val="18"/>
        </w:rPr>
        <w:t> </w:t>
      </w:r>
      <w:r>
        <w:rPr>
          <w:i/>
          <w:color w:val="231F20"/>
          <w:sz w:val="18"/>
        </w:rPr>
        <w:t>mobility</w:t>
      </w:r>
      <w:r>
        <w:rPr>
          <w:i/>
          <w:color w:val="231F20"/>
          <w:spacing w:val="-9"/>
          <w:sz w:val="18"/>
        </w:rPr>
        <w:t> </w:t>
      </w:r>
      <w:r>
        <w:rPr>
          <w:i/>
          <w:color w:val="231F20"/>
          <w:sz w:val="18"/>
        </w:rPr>
        <w:t>and</w:t>
      </w:r>
      <w:r>
        <w:rPr>
          <w:i/>
          <w:color w:val="231F20"/>
          <w:spacing w:val="-10"/>
          <w:sz w:val="18"/>
        </w:rPr>
        <w:t> </w:t>
      </w:r>
      <w:r>
        <w:rPr>
          <w:i/>
          <w:color w:val="231F20"/>
          <w:sz w:val="18"/>
        </w:rPr>
        <w:t>absence</w:t>
      </w:r>
      <w:r>
        <w:rPr>
          <w:i/>
          <w:color w:val="231F20"/>
          <w:spacing w:val="-10"/>
          <w:sz w:val="18"/>
        </w:rPr>
        <w:t> </w:t>
      </w:r>
      <w:r>
        <w:rPr>
          <w:i/>
          <w:color w:val="231F20"/>
          <w:sz w:val="18"/>
        </w:rPr>
        <w:t>in</w:t>
      </w:r>
      <w:r>
        <w:rPr>
          <w:i/>
          <w:color w:val="231F20"/>
          <w:spacing w:val="-10"/>
          <w:sz w:val="18"/>
        </w:rPr>
        <w:t> </w:t>
      </w:r>
      <w:r>
        <w:rPr>
          <w:i/>
          <w:color w:val="231F20"/>
          <w:sz w:val="18"/>
        </w:rPr>
        <w:t>family</w:t>
      </w:r>
      <w:r>
        <w:rPr>
          <w:i/>
          <w:color w:val="231F20"/>
          <w:spacing w:val="-10"/>
          <w:sz w:val="18"/>
        </w:rPr>
        <w:t> </w:t>
      </w:r>
      <w:r>
        <w:rPr>
          <w:i/>
          <w:color w:val="231F20"/>
          <w:sz w:val="18"/>
        </w:rPr>
        <w:t>life</w:t>
      </w:r>
      <w:r>
        <w:rPr>
          <w:color w:val="231F20"/>
          <w:sz w:val="18"/>
        </w:rPr>
        <w:t>,</w:t>
      </w:r>
      <w:r>
        <w:rPr>
          <w:color w:val="231F20"/>
          <w:spacing w:val="-10"/>
          <w:sz w:val="18"/>
        </w:rPr>
        <w:t> </w:t>
      </w:r>
      <w:r>
        <w:rPr>
          <w:color w:val="231F20"/>
          <w:sz w:val="18"/>
        </w:rPr>
        <w:t>Londres: Routledge.</w:t>
      </w:r>
    </w:p>
    <w:p>
      <w:pPr>
        <w:spacing w:line="254" w:lineRule="auto" w:before="57"/>
        <w:ind w:left="113" w:right="108" w:firstLine="0"/>
        <w:jc w:val="both"/>
        <w:rPr>
          <w:sz w:val="18"/>
        </w:rPr>
      </w:pPr>
      <w:r>
        <w:rPr>
          <w:color w:val="231F20"/>
          <w:sz w:val="18"/>
        </w:rPr>
        <w:t>Becerril, Ofelia (2011) </w:t>
      </w:r>
      <w:r>
        <w:rPr>
          <w:i/>
          <w:color w:val="231F20"/>
          <w:sz w:val="18"/>
        </w:rPr>
        <w:t>¡Soy un tunante, cual loco caminante! Transmigran-    </w:t>
      </w:r>
      <w:r>
        <w:rPr>
          <w:i/>
          <w:color w:val="231F20"/>
          <w:sz w:val="18"/>
        </w:rPr>
        <w:t>tes mexicanos a Canadá contendiendo el género, la sexualidad y la identidad</w:t>
      </w:r>
      <w:r>
        <w:rPr>
          <w:color w:val="231F20"/>
          <w:sz w:val="18"/>
        </w:rPr>
        <w:t>, Zamora: El Colegio de</w:t>
      </w:r>
      <w:r>
        <w:rPr>
          <w:color w:val="231F20"/>
          <w:spacing w:val="-11"/>
          <w:sz w:val="18"/>
        </w:rPr>
        <w:t> </w:t>
      </w:r>
      <w:r>
        <w:rPr>
          <w:color w:val="231F20"/>
          <w:sz w:val="18"/>
        </w:rPr>
        <w:t>Michoacán.</w:t>
      </w:r>
    </w:p>
    <w:p>
      <w:pPr>
        <w:spacing w:before="57"/>
        <w:ind w:left="113" w:right="0" w:firstLine="0"/>
        <w:jc w:val="both"/>
        <w:rPr>
          <w:sz w:val="18"/>
        </w:rPr>
      </w:pPr>
      <w:r>
        <w:rPr>
          <w:color w:val="231F20"/>
          <w:sz w:val="18"/>
        </w:rPr>
        <w:t>Beck, Ulchich (2002) “Libertad o capitalismo: el incierto futuro del trabajo”, en</w:t>
      </w:r>
    </w:p>
    <w:p>
      <w:pPr>
        <w:spacing w:before="13"/>
        <w:ind w:left="113" w:right="0" w:firstLine="0"/>
        <w:jc w:val="both"/>
        <w:rPr>
          <w:sz w:val="18"/>
        </w:rPr>
      </w:pPr>
      <w:r>
        <w:rPr>
          <w:i/>
          <w:color w:val="231F20"/>
          <w:sz w:val="18"/>
        </w:rPr>
        <w:t>El País</w:t>
      </w:r>
      <w:r>
        <w:rPr>
          <w:color w:val="231F20"/>
          <w:sz w:val="18"/>
        </w:rPr>
        <w:t>, 24 de febrero, Madrid.</w:t>
      </w:r>
    </w:p>
    <w:p>
      <w:pPr>
        <w:spacing w:line="254" w:lineRule="auto" w:before="69"/>
        <w:ind w:left="113" w:right="108" w:firstLine="0"/>
        <w:jc w:val="both"/>
        <w:rPr>
          <w:sz w:val="18"/>
        </w:rPr>
      </w:pPr>
      <w:r>
        <w:rPr>
          <w:color w:val="231F20"/>
          <w:sz w:val="18"/>
        </w:rPr>
        <w:t>Bedoya, María Rocío (2012) “Las desigualdades de género en la globalización: el caso de los contingentes de trabajadoras colombianas hacia España”, en </w:t>
      </w:r>
      <w:r>
        <w:rPr>
          <w:i/>
          <w:color w:val="231F20"/>
          <w:sz w:val="18"/>
        </w:rPr>
        <w:t>Dilemata. Revista internacional de éticas aplicadas</w:t>
      </w:r>
      <w:r>
        <w:rPr>
          <w:color w:val="231F20"/>
          <w:sz w:val="18"/>
        </w:rPr>
        <w:t>, núm. 10, Barcelona.</w:t>
      </w:r>
    </w:p>
    <w:p>
      <w:pPr>
        <w:spacing w:before="57"/>
        <w:ind w:left="113" w:right="0" w:firstLine="0"/>
        <w:jc w:val="both"/>
        <w:rPr>
          <w:sz w:val="18"/>
        </w:rPr>
      </w:pPr>
      <w:r>
        <w:rPr>
          <w:color w:val="231F20"/>
          <w:sz w:val="18"/>
        </w:rPr>
        <w:t>Benería Lourdes (1992) “Mercados globales, género y el Hombre de Davos”, en</w:t>
      </w:r>
    </w:p>
    <w:p>
      <w:pPr>
        <w:spacing w:before="13"/>
        <w:ind w:left="113" w:right="0" w:firstLine="0"/>
        <w:jc w:val="both"/>
        <w:rPr>
          <w:sz w:val="18"/>
        </w:rPr>
      </w:pPr>
      <w:r>
        <w:rPr>
          <w:i/>
          <w:color w:val="231F20"/>
          <w:sz w:val="18"/>
        </w:rPr>
        <w:t>La Ventana</w:t>
      </w:r>
      <w:r>
        <w:rPr>
          <w:color w:val="231F20"/>
          <w:sz w:val="18"/>
        </w:rPr>
        <w:t>, núm. 10, Zapopan: Universidad de Guadalajara.</w:t>
      </w:r>
    </w:p>
    <w:p>
      <w:pPr>
        <w:spacing w:line="254" w:lineRule="auto" w:before="69"/>
        <w:ind w:left="113" w:right="108" w:firstLine="0"/>
        <w:jc w:val="both"/>
        <w:rPr>
          <w:sz w:val="18"/>
        </w:rPr>
      </w:pPr>
      <w:r>
        <w:rPr>
          <w:color w:val="231F20"/>
          <w:sz w:val="18"/>
        </w:rPr>
        <w:t>Benería,</w:t>
      </w:r>
      <w:r>
        <w:rPr>
          <w:color w:val="231F20"/>
          <w:spacing w:val="-4"/>
          <w:sz w:val="18"/>
        </w:rPr>
        <w:t> </w:t>
      </w:r>
      <w:r>
        <w:rPr>
          <w:color w:val="231F20"/>
          <w:sz w:val="18"/>
        </w:rPr>
        <w:t>Lourdes</w:t>
      </w:r>
      <w:r>
        <w:rPr>
          <w:color w:val="231F20"/>
          <w:spacing w:val="-4"/>
          <w:sz w:val="18"/>
        </w:rPr>
        <w:t> </w:t>
      </w:r>
      <w:r>
        <w:rPr>
          <w:color w:val="231F20"/>
          <w:sz w:val="18"/>
        </w:rPr>
        <w:t>(2003)</w:t>
      </w:r>
      <w:r>
        <w:rPr>
          <w:color w:val="231F20"/>
          <w:spacing w:val="-4"/>
          <w:sz w:val="18"/>
        </w:rPr>
        <w:t> </w:t>
      </w:r>
      <w:r>
        <w:rPr>
          <w:color w:val="231F20"/>
          <w:sz w:val="18"/>
        </w:rPr>
        <w:t>“La</w:t>
      </w:r>
      <w:r>
        <w:rPr>
          <w:color w:val="231F20"/>
          <w:spacing w:val="-4"/>
          <w:sz w:val="18"/>
        </w:rPr>
        <w:t> </w:t>
      </w:r>
      <w:r>
        <w:rPr>
          <w:color w:val="231F20"/>
          <w:sz w:val="18"/>
        </w:rPr>
        <w:t>mujer</w:t>
      </w:r>
      <w:r>
        <w:rPr>
          <w:color w:val="231F20"/>
          <w:spacing w:val="-4"/>
          <w:sz w:val="18"/>
        </w:rPr>
        <w:t> </w:t>
      </w:r>
      <w:r>
        <w:rPr>
          <w:color w:val="231F20"/>
          <w:sz w:val="18"/>
        </w:rPr>
        <w:t>y</w:t>
      </w:r>
      <w:r>
        <w:rPr>
          <w:color w:val="231F20"/>
          <w:spacing w:val="-4"/>
          <w:sz w:val="18"/>
        </w:rPr>
        <w:t> </w:t>
      </w:r>
      <w:r>
        <w:rPr>
          <w:color w:val="231F20"/>
          <w:sz w:val="18"/>
        </w:rPr>
        <w:t>el</w:t>
      </w:r>
      <w:r>
        <w:rPr>
          <w:color w:val="231F20"/>
          <w:spacing w:val="-4"/>
          <w:sz w:val="18"/>
        </w:rPr>
        <w:t> </w:t>
      </w:r>
      <w:r>
        <w:rPr>
          <w:color w:val="231F20"/>
          <w:sz w:val="18"/>
        </w:rPr>
        <w:t>género</w:t>
      </w:r>
      <w:r>
        <w:rPr>
          <w:color w:val="231F20"/>
          <w:spacing w:val="-4"/>
          <w:sz w:val="18"/>
        </w:rPr>
        <w:t> </w:t>
      </w:r>
      <w:r>
        <w:rPr>
          <w:color w:val="231F20"/>
          <w:sz w:val="18"/>
        </w:rPr>
        <w:t>en</w:t>
      </w:r>
      <w:r>
        <w:rPr>
          <w:color w:val="231F20"/>
          <w:spacing w:val="-4"/>
          <w:sz w:val="18"/>
        </w:rPr>
        <w:t> </w:t>
      </w:r>
      <w:r>
        <w:rPr>
          <w:color w:val="231F20"/>
          <w:sz w:val="18"/>
        </w:rPr>
        <w:t>la</w:t>
      </w:r>
      <w:r>
        <w:rPr>
          <w:color w:val="231F20"/>
          <w:spacing w:val="-4"/>
          <w:sz w:val="18"/>
        </w:rPr>
        <w:t> </w:t>
      </w:r>
      <w:r>
        <w:rPr>
          <w:color w:val="231F20"/>
          <w:sz w:val="18"/>
        </w:rPr>
        <w:t>economía:</w:t>
      </w:r>
      <w:r>
        <w:rPr>
          <w:color w:val="231F20"/>
          <w:spacing w:val="-4"/>
          <w:sz w:val="18"/>
        </w:rPr>
        <w:t> </w:t>
      </w:r>
      <w:r>
        <w:rPr>
          <w:color w:val="231F20"/>
          <w:sz w:val="18"/>
        </w:rPr>
        <w:t>un</w:t>
      </w:r>
      <w:r>
        <w:rPr>
          <w:color w:val="231F20"/>
          <w:spacing w:val="-4"/>
          <w:sz w:val="18"/>
        </w:rPr>
        <w:t> </w:t>
      </w:r>
      <w:r>
        <w:rPr>
          <w:color w:val="231F20"/>
          <w:sz w:val="18"/>
        </w:rPr>
        <w:t>panorama</w:t>
      </w:r>
      <w:r>
        <w:rPr>
          <w:color w:val="231F20"/>
          <w:spacing w:val="-4"/>
          <w:sz w:val="18"/>
        </w:rPr>
        <w:t> </w:t>
      </w:r>
      <w:r>
        <w:rPr>
          <w:color w:val="231F20"/>
          <w:sz w:val="18"/>
        </w:rPr>
        <w:t>ge- neral”,</w:t>
      </w:r>
      <w:r>
        <w:rPr>
          <w:color w:val="231F20"/>
          <w:spacing w:val="-4"/>
          <w:sz w:val="18"/>
        </w:rPr>
        <w:t> </w:t>
      </w:r>
      <w:r>
        <w:rPr>
          <w:color w:val="231F20"/>
          <w:sz w:val="18"/>
        </w:rPr>
        <w:t>en</w:t>
      </w:r>
      <w:r>
        <w:rPr>
          <w:color w:val="231F20"/>
          <w:spacing w:val="-4"/>
          <w:sz w:val="18"/>
        </w:rPr>
        <w:t> </w:t>
      </w:r>
      <w:r>
        <w:rPr>
          <w:color w:val="231F20"/>
          <w:sz w:val="18"/>
        </w:rPr>
        <w:t>Paloma</w:t>
      </w:r>
      <w:r>
        <w:rPr>
          <w:color w:val="231F20"/>
          <w:spacing w:val="-4"/>
          <w:sz w:val="18"/>
        </w:rPr>
        <w:t> </w:t>
      </w:r>
      <w:r>
        <w:rPr>
          <w:color w:val="231F20"/>
          <w:sz w:val="18"/>
        </w:rPr>
        <w:t>De</w:t>
      </w:r>
      <w:r>
        <w:rPr>
          <w:color w:val="231F20"/>
          <w:spacing w:val="-8"/>
          <w:sz w:val="18"/>
        </w:rPr>
        <w:t> </w:t>
      </w:r>
      <w:r>
        <w:rPr>
          <w:color w:val="231F20"/>
          <w:sz w:val="18"/>
        </w:rPr>
        <w:t>Villota</w:t>
      </w:r>
      <w:r>
        <w:rPr>
          <w:color w:val="231F20"/>
          <w:spacing w:val="-5"/>
          <w:sz w:val="18"/>
        </w:rPr>
        <w:t> </w:t>
      </w:r>
      <w:r>
        <w:rPr>
          <w:color w:val="231F20"/>
          <w:sz w:val="18"/>
        </w:rPr>
        <w:t>(ed.)</w:t>
      </w:r>
      <w:r>
        <w:rPr>
          <w:color w:val="231F20"/>
          <w:spacing w:val="-4"/>
          <w:sz w:val="18"/>
        </w:rPr>
        <w:t> </w:t>
      </w:r>
      <w:r>
        <w:rPr>
          <w:i/>
          <w:color w:val="231F20"/>
          <w:sz w:val="18"/>
        </w:rPr>
        <w:t>Economía</w:t>
      </w:r>
      <w:r>
        <w:rPr>
          <w:i/>
          <w:color w:val="231F20"/>
          <w:spacing w:val="-5"/>
          <w:sz w:val="18"/>
        </w:rPr>
        <w:t> </w:t>
      </w:r>
      <w:r>
        <w:rPr>
          <w:i/>
          <w:color w:val="231F20"/>
          <w:sz w:val="18"/>
        </w:rPr>
        <w:t>y</w:t>
      </w:r>
      <w:r>
        <w:rPr>
          <w:i/>
          <w:color w:val="231F20"/>
          <w:spacing w:val="-4"/>
          <w:sz w:val="18"/>
        </w:rPr>
        <w:t> </w:t>
      </w:r>
      <w:r>
        <w:rPr>
          <w:i/>
          <w:color w:val="231F20"/>
          <w:sz w:val="18"/>
        </w:rPr>
        <w:t>género.</w:t>
      </w:r>
      <w:r>
        <w:rPr>
          <w:i/>
          <w:color w:val="231F20"/>
          <w:spacing w:val="-4"/>
          <w:sz w:val="18"/>
        </w:rPr>
        <w:t> </w:t>
      </w:r>
      <w:r>
        <w:rPr>
          <w:i/>
          <w:color w:val="231F20"/>
          <w:sz w:val="18"/>
        </w:rPr>
        <w:t>Macroeconomía,</w:t>
      </w:r>
      <w:r>
        <w:rPr>
          <w:i/>
          <w:color w:val="231F20"/>
          <w:spacing w:val="-4"/>
          <w:sz w:val="18"/>
        </w:rPr>
        <w:t> </w:t>
      </w:r>
      <w:r>
        <w:rPr>
          <w:i/>
          <w:color w:val="231F20"/>
          <w:sz w:val="18"/>
        </w:rPr>
        <w:t>política </w:t>
      </w:r>
      <w:r>
        <w:rPr>
          <w:i/>
          <w:color w:val="231F20"/>
          <w:sz w:val="18"/>
        </w:rPr>
        <w:t>fiscal y liberación. Análisis de su impacto sobre las mujeres</w:t>
      </w:r>
      <w:r>
        <w:rPr>
          <w:color w:val="231F20"/>
          <w:sz w:val="18"/>
        </w:rPr>
        <w:t>, Barcelona:</w:t>
      </w:r>
      <w:r>
        <w:rPr>
          <w:color w:val="231F20"/>
          <w:spacing w:val="-28"/>
          <w:sz w:val="18"/>
        </w:rPr>
        <w:t> </w:t>
      </w:r>
      <w:r>
        <w:rPr>
          <w:color w:val="231F20"/>
          <w:sz w:val="18"/>
        </w:rPr>
        <w:t>Icaria.</w:t>
      </w:r>
    </w:p>
    <w:p>
      <w:pPr>
        <w:spacing w:line="254" w:lineRule="auto" w:before="57"/>
        <w:ind w:left="113" w:right="108" w:firstLine="0"/>
        <w:jc w:val="both"/>
        <w:rPr>
          <w:sz w:val="18"/>
        </w:rPr>
      </w:pPr>
      <w:r>
        <w:rPr>
          <w:color w:val="231F20"/>
          <w:sz w:val="18"/>
        </w:rPr>
        <w:t>Borderías,</w:t>
      </w:r>
      <w:r>
        <w:rPr>
          <w:color w:val="231F20"/>
          <w:spacing w:val="-4"/>
          <w:sz w:val="18"/>
        </w:rPr>
        <w:t> </w:t>
      </w:r>
      <w:r>
        <w:rPr>
          <w:color w:val="231F20"/>
          <w:sz w:val="18"/>
        </w:rPr>
        <w:t>Cristina,</w:t>
      </w:r>
      <w:r>
        <w:rPr>
          <w:color w:val="231F20"/>
          <w:spacing w:val="-3"/>
          <w:sz w:val="18"/>
        </w:rPr>
        <w:t> </w:t>
      </w:r>
      <w:r>
        <w:rPr>
          <w:color w:val="231F20"/>
          <w:sz w:val="18"/>
        </w:rPr>
        <w:t>Cristina</w:t>
      </w:r>
      <w:r>
        <w:rPr>
          <w:color w:val="231F20"/>
          <w:spacing w:val="-3"/>
          <w:sz w:val="18"/>
        </w:rPr>
        <w:t> </w:t>
      </w:r>
      <w:r>
        <w:rPr>
          <w:color w:val="231F20"/>
          <w:sz w:val="18"/>
        </w:rPr>
        <w:t>Carrasco</w:t>
      </w:r>
      <w:r>
        <w:rPr>
          <w:color w:val="231F20"/>
          <w:spacing w:val="-4"/>
          <w:sz w:val="18"/>
        </w:rPr>
        <w:t> </w:t>
      </w:r>
      <w:r>
        <w:rPr>
          <w:color w:val="231F20"/>
          <w:sz w:val="18"/>
        </w:rPr>
        <w:t>y</w:t>
      </w:r>
      <w:r>
        <w:rPr>
          <w:color w:val="231F20"/>
          <w:spacing w:val="-7"/>
          <w:sz w:val="18"/>
        </w:rPr>
        <w:t> </w:t>
      </w:r>
      <w:r>
        <w:rPr>
          <w:color w:val="231F20"/>
          <w:spacing w:val="-3"/>
          <w:sz w:val="18"/>
        </w:rPr>
        <w:t>Teresa</w:t>
      </w:r>
      <w:r>
        <w:rPr>
          <w:color w:val="231F20"/>
          <w:spacing w:val="-7"/>
          <w:sz w:val="18"/>
        </w:rPr>
        <w:t> </w:t>
      </w:r>
      <w:r>
        <w:rPr>
          <w:color w:val="231F20"/>
          <w:spacing w:val="-3"/>
          <w:sz w:val="18"/>
        </w:rPr>
        <w:t>Torns </w:t>
      </w:r>
      <w:r>
        <w:rPr>
          <w:color w:val="231F20"/>
          <w:sz w:val="18"/>
        </w:rPr>
        <w:t>(2011)</w:t>
      </w:r>
      <w:r>
        <w:rPr>
          <w:color w:val="231F20"/>
          <w:spacing w:val="-3"/>
          <w:sz w:val="18"/>
        </w:rPr>
        <w:t> </w:t>
      </w:r>
      <w:r>
        <w:rPr>
          <w:i/>
          <w:color w:val="231F20"/>
          <w:sz w:val="18"/>
        </w:rPr>
        <w:t>El</w:t>
      </w:r>
      <w:r>
        <w:rPr>
          <w:i/>
          <w:color w:val="231F20"/>
          <w:spacing w:val="-4"/>
          <w:sz w:val="18"/>
        </w:rPr>
        <w:t> </w:t>
      </w:r>
      <w:r>
        <w:rPr>
          <w:i/>
          <w:color w:val="231F20"/>
          <w:sz w:val="18"/>
        </w:rPr>
        <w:t>trabajo</w:t>
      </w:r>
      <w:r>
        <w:rPr>
          <w:i/>
          <w:color w:val="231F20"/>
          <w:spacing w:val="-4"/>
          <w:sz w:val="18"/>
        </w:rPr>
        <w:t> </w:t>
      </w:r>
      <w:r>
        <w:rPr>
          <w:i/>
          <w:color w:val="231F20"/>
          <w:sz w:val="18"/>
        </w:rPr>
        <w:t>de</w:t>
      </w:r>
      <w:r>
        <w:rPr>
          <w:i/>
          <w:color w:val="231F20"/>
          <w:spacing w:val="-4"/>
          <w:sz w:val="18"/>
        </w:rPr>
        <w:t> </w:t>
      </w:r>
      <w:r>
        <w:rPr>
          <w:i/>
          <w:color w:val="231F20"/>
          <w:sz w:val="18"/>
        </w:rPr>
        <w:t>cuida- </w:t>
      </w:r>
      <w:r>
        <w:rPr>
          <w:i/>
          <w:color w:val="231F20"/>
          <w:sz w:val="18"/>
        </w:rPr>
        <w:t>dos: antecedentes históricos y debates actuales</w:t>
      </w:r>
      <w:r>
        <w:rPr>
          <w:color w:val="231F20"/>
          <w:sz w:val="18"/>
        </w:rPr>
        <w:t>, Barcelona: La</w:t>
      </w:r>
      <w:r>
        <w:rPr>
          <w:color w:val="231F20"/>
          <w:spacing w:val="-2"/>
          <w:sz w:val="18"/>
        </w:rPr>
        <w:t> </w:t>
      </w:r>
      <w:r>
        <w:rPr>
          <w:color w:val="231F20"/>
          <w:sz w:val="18"/>
        </w:rPr>
        <w:t>Catarata.</w:t>
      </w:r>
    </w:p>
    <w:p>
      <w:pPr>
        <w:spacing w:line="254" w:lineRule="auto" w:before="57"/>
        <w:ind w:left="113" w:right="108" w:firstLine="0"/>
        <w:jc w:val="both"/>
        <w:rPr>
          <w:sz w:val="18"/>
        </w:rPr>
      </w:pPr>
      <w:r>
        <w:rPr>
          <w:color w:val="231F20"/>
          <w:sz w:val="18"/>
        </w:rPr>
        <w:t>Campani, Giovanna (2010) “Género e inmigración”, en Luis Amador y Ma. del Carmen Moral (coords.) </w:t>
      </w:r>
      <w:r>
        <w:rPr>
          <w:i/>
          <w:color w:val="231F20"/>
          <w:sz w:val="18"/>
        </w:rPr>
        <w:t>Intervención social y género</w:t>
      </w:r>
      <w:r>
        <w:rPr>
          <w:color w:val="231F20"/>
          <w:sz w:val="18"/>
        </w:rPr>
        <w:t>, Madrid: Narcea.</w:t>
      </w:r>
    </w:p>
    <w:p>
      <w:pPr>
        <w:spacing w:line="254" w:lineRule="auto" w:before="57"/>
        <w:ind w:left="113" w:right="108" w:firstLine="0"/>
        <w:jc w:val="both"/>
        <w:rPr>
          <w:sz w:val="18"/>
        </w:rPr>
      </w:pPr>
      <w:r>
        <w:rPr>
          <w:color w:val="231F20"/>
          <w:sz w:val="18"/>
        </w:rPr>
        <w:t>Carrasco,</w:t>
      </w:r>
      <w:r>
        <w:rPr>
          <w:color w:val="231F20"/>
          <w:spacing w:val="-7"/>
          <w:sz w:val="18"/>
        </w:rPr>
        <w:t> </w:t>
      </w:r>
      <w:r>
        <w:rPr>
          <w:color w:val="231F20"/>
          <w:sz w:val="18"/>
        </w:rPr>
        <w:t>Cristina</w:t>
      </w:r>
      <w:r>
        <w:rPr>
          <w:color w:val="231F20"/>
          <w:spacing w:val="-8"/>
          <w:sz w:val="18"/>
        </w:rPr>
        <w:t> </w:t>
      </w:r>
      <w:r>
        <w:rPr>
          <w:color w:val="231F20"/>
          <w:sz w:val="18"/>
        </w:rPr>
        <w:t>(2009)</w:t>
      </w:r>
      <w:r>
        <w:rPr>
          <w:color w:val="231F20"/>
          <w:spacing w:val="-8"/>
          <w:sz w:val="18"/>
        </w:rPr>
        <w:t> </w:t>
      </w:r>
      <w:r>
        <w:rPr>
          <w:color w:val="231F20"/>
          <w:sz w:val="18"/>
        </w:rPr>
        <w:t>“Mujeres,</w:t>
      </w:r>
      <w:r>
        <w:rPr>
          <w:color w:val="231F20"/>
          <w:spacing w:val="-8"/>
          <w:sz w:val="18"/>
        </w:rPr>
        <w:t> </w:t>
      </w:r>
      <w:r>
        <w:rPr>
          <w:color w:val="231F20"/>
          <w:sz w:val="18"/>
        </w:rPr>
        <w:t>sostenibilidad</w:t>
      </w:r>
      <w:r>
        <w:rPr>
          <w:color w:val="231F20"/>
          <w:spacing w:val="-7"/>
          <w:sz w:val="18"/>
        </w:rPr>
        <w:t> </w:t>
      </w:r>
      <w:r>
        <w:rPr>
          <w:color w:val="231F20"/>
          <w:sz w:val="18"/>
        </w:rPr>
        <w:t>y</w:t>
      </w:r>
      <w:r>
        <w:rPr>
          <w:color w:val="231F20"/>
          <w:spacing w:val="-8"/>
          <w:sz w:val="18"/>
        </w:rPr>
        <w:t> </w:t>
      </w:r>
      <w:r>
        <w:rPr>
          <w:color w:val="231F20"/>
          <w:sz w:val="18"/>
        </w:rPr>
        <w:t>deuda</w:t>
      </w:r>
      <w:r>
        <w:rPr>
          <w:color w:val="231F20"/>
          <w:spacing w:val="-8"/>
          <w:sz w:val="18"/>
        </w:rPr>
        <w:t> </w:t>
      </w:r>
      <w:r>
        <w:rPr>
          <w:color w:val="231F20"/>
          <w:sz w:val="18"/>
        </w:rPr>
        <w:t>social”,</w:t>
      </w:r>
      <w:r>
        <w:rPr>
          <w:color w:val="231F20"/>
          <w:spacing w:val="-7"/>
          <w:sz w:val="18"/>
        </w:rPr>
        <w:t> </w:t>
      </w:r>
      <w:r>
        <w:rPr>
          <w:color w:val="231F20"/>
          <w:sz w:val="18"/>
        </w:rPr>
        <w:t>en</w:t>
      </w:r>
      <w:r>
        <w:rPr>
          <w:color w:val="231F20"/>
          <w:spacing w:val="-7"/>
          <w:sz w:val="18"/>
        </w:rPr>
        <w:t> </w:t>
      </w:r>
      <w:r>
        <w:rPr>
          <w:i/>
          <w:color w:val="231F20"/>
          <w:sz w:val="18"/>
        </w:rPr>
        <w:t>Revista</w:t>
      </w:r>
      <w:r>
        <w:rPr>
          <w:i/>
          <w:color w:val="231F20"/>
          <w:spacing w:val="-8"/>
          <w:sz w:val="18"/>
        </w:rPr>
        <w:t> </w:t>
      </w:r>
      <w:r>
        <w:rPr>
          <w:i/>
          <w:color w:val="231F20"/>
          <w:sz w:val="18"/>
        </w:rPr>
        <w:t>de </w:t>
      </w:r>
      <w:r>
        <w:rPr>
          <w:i/>
          <w:color w:val="231F20"/>
          <w:sz w:val="18"/>
        </w:rPr>
        <w:t>educación</w:t>
      </w:r>
      <w:r>
        <w:rPr>
          <w:color w:val="231F20"/>
          <w:sz w:val="18"/>
        </w:rPr>
        <w:t>, Madrid: Ministerio de Educación y</w:t>
      </w:r>
      <w:r>
        <w:rPr>
          <w:color w:val="231F20"/>
          <w:spacing w:val="-17"/>
          <w:sz w:val="18"/>
        </w:rPr>
        <w:t> </w:t>
      </w:r>
      <w:r>
        <w:rPr>
          <w:color w:val="231F20"/>
          <w:sz w:val="18"/>
        </w:rPr>
        <w:t>Ciencias.</w:t>
      </w:r>
    </w:p>
    <w:p>
      <w:pPr>
        <w:spacing w:line="254" w:lineRule="auto" w:before="57"/>
        <w:ind w:left="113" w:right="108" w:firstLine="0"/>
        <w:jc w:val="both"/>
        <w:rPr>
          <w:sz w:val="18"/>
        </w:rPr>
      </w:pPr>
      <w:r>
        <w:rPr>
          <w:color w:val="231F20"/>
          <w:sz w:val="18"/>
        </w:rPr>
        <w:t>Carrasco, Cristina (2014) “No es una crisis, es el sistema”, en </w:t>
      </w:r>
      <w:r>
        <w:rPr>
          <w:i/>
          <w:color w:val="231F20"/>
          <w:sz w:val="18"/>
        </w:rPr>
        <w:t>Con la a</w:t>
      </w:r>
      <w:r>
        <w:rPr>
          <w:color w:val="231F20"/>
          <w:sz w:val="18"/>
        </w:rPr>
        <w:t>, núm. 1, Madrid. Disponible en </w:t>
      </w:r>
      <w:hyperlink r:id="rId253">
        <w:r>
          <w:rPr>
            <w:color w:val="231F20"/>
            <w:sz w:val="18"/>
          </w:rPr>
          <w:t>http://numero1.conlaa.com/archivos/562</w:t>
        </w:r>
      </w:hyperlink>
      <w:r>
        <w:rPr>
          <w:color w:val="231F20"/>
          <w:sz w:val="18"/>
        </w:rPr>
        <w:t> (28 de junio de 2015)</w:t>
      </w:r>
    </w:p>
    <w:p>
      <w:pPr>
        <w:spacing w:line="254" w:lineRule="auto" w:before="57"/>
        <w:ind w:left="113" w:right="108" w:firstLine="0"/>
        <w:jc w:val="both"/>
        <w:rPr>
          <w:sz w:val="18"/>
        </w:rPr>
      </w:pPr>
      <w:r>
        <w:rPr>
          <w:color w:val="231F20"/>
          <w:sz w:val="18"/>
        </w:rPr>
        <w:t>Castillo,</w:t>
      </w:r>
      <w:r>
        <w:rPr>
          <w:color w:val="231F20"/>
          <w:spacing w:val="-12"/>
          <w:sz w:val="18"/>
        </w:rPr>
        <w:t> </w:t>
      </w:r>
      <w:r>
        <w:rPr>
          <w:color w:val="231F20"/>
          <w:sz w:val="18"/>
        </w:rPr>
        <w:t>Dídimo</w:t>
      </w:r>
      <w:r>
        <w:rPr>
          <w:color w:val="231F20"/>
          <w:spacing w:val="-12"/>
          <w:sz w:val="18"/>
        </w:rPr>
        <w:t> </w:t>
      </w:r>
      <w:r>
        <w:rPr>
          <w:color w:val="231F20"/>
          <w:sz w:val="18"/>
        </w:rPr>
        <w:t>(2009)</w:t>
      </w:r>
      <w:r>
        <w:rPr>
          <w:color w:val="231F20"/>
          <w:spacing w:val="-12"/>
          <w:sz w:val="18"/>
        </w:rPr>
        <w:t> </w:t>
      </w:r>
      <w:r>
        <w:rPr>
          <w:i/>
          <w:color w:val="231F20"/>
          <w:sz w:val="18"/>
        </w:rPr>
        <w:t>Los</w:t>
      </w:r>
      <w:r>
        <w:rPr>
          <w:i/>
          <w:color w:val="231F20"/>
          <w:spacing w:val="-12"/>
          <w:sz w:val="18"/>
        </w:rPr>
        <w:t> </w:t>
      </w:r>
      <w:r>
        <w:rPr>
          <w:i/>
          <w:color w:val="231F20"/>
          <w:sz w:val="18"/>
        </w:rPr>
        <w:t>nuevos</w:t>
      </w:r>
      <w:r>
        <w:rPr>
          <w:i/>
          <w:color w:val="231F20"/>
          <w:spacing w:val="-12"/>
          <w:sz w:val="18"/>
        </w:rPr>
        <w:t> </w:t>
      </w:r>
      <w:r>
        <w:rPr>
          <w:i/>
          <w:color w:val="231F20"/>
          <w:sz w:val="18"/>
        </w:rPr>
        <w:t>trabajadores</w:t>
      </w:r>
      <w:r>
        <w:rPr>
          <w:i/>
          <w:color w:val="231F20"/>
          <w:spacing w:val="-12"/>
          <w:sz w:val="18"/>
        </w:rPr>
        <w:t> </w:t>
      </w:r>
      <w:r>
        <w:rPr>
          <w:i/>
          <w:color w:val="231F20"/>
          <w:sz w:val="18"/>
        </w:rPr>
        <w:t>precarios</w:t>
      </w:r>
      <w:r>
        <w:rPr>
          <w:color w:val="231F20"/>
          <w:sz w:val="18"/>
        </w:rPr>
        <w:t>,</w:t>
      </w:r>
      <w:r>
        <w:rPr>
          <w:color w:val="231F20"/>
          <w:spacing w:val="-12"/>
          <w:sz w:val="18"/>
        </w:rPr>
        <w:t> </w:t>
      </w:r>
      <w:r>
        <w:rPr>
          <w:color w:val="231F20"/>
          <w:sz w:val="18"/>
        </w:rPr>
        <w:t>México:</w:t>
      </w:r>
      <w:r>
        <w:rPr>
          <w:color w:val="231F20"/>
          <w:spacing w:val="-12"/>
          <w:sz w:val="18"/>
        </w:rPr>
        <w:t> </w:t>
      </w:r>
      <w:r>
        <w:rPr>
          <w:color w:val="231F20"/>
          <w:sz w:val="18"/>
        </w:rPr>
        <w:t>Miguel</w:t>
      </w:r>
      <w:r>
        <w:rPr>
          <w:color w:val="231F20"/>
          <w:spacing w:val="-12"/>
          <w:sz w:val="18"/>
        </w:rPr>
        <w:t> </w:t>
      </w:r>
      <w:r>
        <w:rPr>
          <w:color w:val="231F20"/>
          <w:sz w:val="18"/>
        </w:rPr>
        <w:t>Án- gel</w:t>
      </w:r>
      <w:r>
        <w:rPr>
          <w:color w:val="231F20"/>
          <w:spacing w:val="-4"/>
          <w:sz w:val="18"/>
        </w:rPr>
        <w:t> </w:t>
      </w:r>
      <w:r>
        <w:rPr>
          <w:color w:val="231F20"/>
          <w:sz w:val="18"/>
        </w:rPr>
        <w:t>Porrúa</w:t>
      </w:r>
      <w:r>
        <w:rPr>
          <w:color w:val="231F20"/>
          <w:spacing w:val="-4"/>
          <w:sz w:val="18"/>
        </w:rPr>
        <w:t> </w:t>
      </w:r>
      <w:r>
        <w:rPr>
          <w:color w:val="231F20"/>
          <w:sz w:val="18"/>
        </w:rPr>
        <w:t>/</w:t>
      </w:r>
      <w:r>
        <w:rPr>
          <w:color w:val="231F20"/>
          <w:spacing w:val="-4"/>
          <w:sz w:val="18"/>
        </w:rPr>
        <w:t> </w:t>
      </w:r>
      <w:r>
        <w:rPr>
          <w:color w:val="231F20"/>
          <w:sz w:val="18"/>
        </w:rPr>
        <w:t>Universidad</w:t>
      </w:r>
      <w:r>
        <w:rPr>
          <w:color w:val="231F20"/>
          <w:spacing w:val="-13"/>
          <w:sz w:val="18"/>
        </w:rPr>
        <w:t> </w:t>
      </w:r>
      <w:r>
        <w:rPr>
          <w:color w:val="231F20"/>
          <w:sz w:val="18"/>
        </w:rPr>
        <w:t>Autónoma</w:t>
      </w:r>
      <w:r>
        <w:rPr>
          <w:color w:val="231F20"/>
          <w:spacing w:val="-4"/>
          <w:sz w:val="18"/>
        </w:rPr>
        <w:t> </w:t>
      </w:r>
      <w:r>
        <w:rPr>
          <w:color w:val="231F20"/>
          <w:sz w:val="18"/>
        </w:rPr>
        <w:t>del</w:t>
      </w:r>
      <w:r>
        <w:rPr>
          <w:color w:val="231F20"/>
          <w:spacing w:val="-4"/>
          <w:sz w:val="18"/>
        </w:rPr>
        <w:t> </w:t>
      </w:r>
      <w:r>
        <w:rPr>
          <w:color w:val="231F20"/>
          <w:sz w:val="18"/>
        </w:rPr>
        <w:t>Estado</w:t>
      </w:r>
      <w:r>
        <w:rPr>
          <w:color w:val="231F20"/>
          <w:spacing w:val="-5"/>
          <w:sz w:val="18"/>
        </w:rPr>
        <w:t> </w:t>
      </w:r>
      <w:r>
        <w:rPr>
          <w:color w:val="231F20"/>
          <w:sz w:val="18"/>
        </w:rPr>
        <w:t>de</w:t>
      </w:r>
      <w:r>
        <w:rPr>
          <w:color w:val="231F20"/>
          <w:spacing w:val="-4"/>
          <w:sz w:val="18"/>
        </w:rPr>
        <w:t> </w:t>
      </w:r>
      <w:r>
        <w:rPr>
          <w:color w:val="231F20"/>
          <w:sz w:val="18"/>
        </w:rPr>
        <w:t>México.</w:t>
      </w:r>
    </w:p>
    <w:p>
      <w:pPr>
        <w:spacing w:line="254" w:lineRule="auto" w:before="57"/>
        <w:ind w:left="113" w:right="109" w:firstLine="0"/>
        <w:jc w:val="both"/>
        <w:rPr>
          <w:sz w:val="18"/>
        </w:rPr>
      </w:pPr>
      <w:r>
        <w:rPr>
          <w:color w:val="231F20"/>
          <w:sz w:val="18"/>
        </w:rPr>
        <w:t>Cepal (Comisión Económica para América Latina y el Caribe) (2013) </w:t>
      </w:r>
      <w:r>
        <w:rPr>
          <w:i/>
          <w:color w:val="231F20"/>
          <w:sz w:val="18"/>
        </w:rPr>
        <w:t>Anuario </w:t>
      </w:r>
      <w:r>
        <w:rPr>
          <w:i/>
          <w:color w:val="231F20"/>
          <w:sz w:val="18"/>
        </w:rPr>
        <w:t>estadístico</w:t>
      </w:r>
      <w:r>
        <w:rPr>
          <w:i/>
          <w:color w:val="231F20"/>
          <w:spacing w:val="-9"/>
          <w:sz w:val="18"/>
        </w:rPr>
        <w:t> </w:t>
      </w:r>
      <w:r>
        <w:rPr>
          <w:i/>
          <w:color w:val="231F20"/>
          <w:sz w:val="18"/>
        </w:rPr>
        <w:t>de</w:t>
      </w:r>
      <w:r>
        <w:rPr>
          <w:i/>
          <w:color w:val="231F20"/>
          <w:spacing w:val="-12"/>
          <w:sz w:val="18"/>
        </w:rPr>
        <w:t> </w:t>
      </w:r>
      <w:r>
        <w:rPr>
          <w:i/>
          <w:color w:val="231F20"/>
          <w:sz w:val="18"/>
        </w:rPr>
        <w:t>América</w:t>
      </w:r>
      <w:r>
        <w:rPr>
          <w:i/>
          <w:color w:val="231F20"/>
          <w:spacing w:val="-9"/>
          <w:sz w:val="18"/>
        </w:rPr>
        <w:t> </w:t>
      </w:r>
      <w:r>
        <w:rPr>
          <w:i/>
          <w:color w:val="231F20"/>
          <w:sz w:val="18"/>
        </w:rPr>
        <w:t>Latina</w:t>
      </w:r>
      <w:r>
        <w:rPr>
          <w:i/>
          <w:color w:val="231F20"/>
          <w:spacing w:val="-8"/>
          <w:sz w:val="18"/>
        </w:rPr>
        <w:t> </w:t>
      </w:r>
      <w:r>
        <w:rPr>
          <w:i/>
          <w:color w:val="231F20"/>
          <w:sz w:val="18"/>
        </w:rPr>
        <w:t>y</w:t>
      </w:r>
      <w:r>
        <w:rPr>
          <w:i/>
          <w:color w:val="231F20"/>
          <w:spacing w:val="-8"/>
          <w:sz w:val="18"/>
        </w:rPr>
        <w:t> </w:t>
      </w:r>
      <w:r>
        <w:rPr>
          <w:i/>
          <w:color w:val="231F20"/>
          <w:sz w:val="18"/>
        </w:rPr>
        <w:t>el</w:t>
      </w:r>
      <w:r>
        <w:rPr>
          <w:i/>
          <w:color w:val="231F20"/>
          <w:spacing w:val="-8"/>
          <w:sz w:val="18"/>
        </w:rPr>
        <w:t> </w:t>
      </w:r>
      <w:r>
        <w:rPr>
          <w:i/>
          <w:color w:val="231F20"/>
          <w:sz w:val="18"/>
        </w:rPr>
        <w:t>Caribe</w:t>
      </w:r>
      <w:r>
        <w:rPr>
          <w:i/>
          <w:color w:val="231F20"/>
          <w:spacing w:val="-8"/>
          <w:sz w:val="18"/>
        </w:rPr>
        <w:t> </w:t>
      </w:r>
      <w:r>
        <w:rPr>
          <w:i/>
          <w:color w:val="231F20"/>
          <w:sz w:val="18"/>
        </w:rPr>
        <w:t>2013</w:t>
      </w:r>
      <w:r>
        <w:rPr>
          <w:color w:val="231F20"/>
          <w:sz w:val="18"/>
        </w:rPr>
        <w:t>,</w:t>
      </w:r>
      <w:r>
        <w:rPr>
          <w:color w:val="231F20"/>
          <w:spacing w:val="-8"/>
          <w:sz w:val="18"/>
        </w:rPr>
        <w:t> </w:t>
      </w:r>
      <w:r>
        <w:rPr>
          <w:color w:val="231F20"/>
          <w:sz w:val="18"/>
        </w:rPr>
        <w:t>Santiago</w:t>
      </w:r>
      <w:r>
        <w:rPr>
          <w:color w:val="231F20"/>
          <w:spacing w:val="-8"/>
          <w:sz w:val="18"/>
        </w:rPr>
        <w:t> </w:t>
      </w:r>
      <w:r>
        <w:rPr>
          <w:color w:val="231F20"/>
          <w:sz w:val="18"/>
        </w:rPr>
        <w:t>de</w:t>
      </w:r>
      <w:r>
        <w:rPr>
          <w:color w:val="231F20"/>
          <w:spacing w:val="-8"/>
          <w:sz w:val="18"/>
        </w:rPr>
        <w:t> </w:t>
      </w:r>
      <w:r>
        <w:rPr>
          <w:color w:val="231F20"/>
          <w:sz w:val="18"/>
        </w:rPr>
        <w:t>Chile:</w:t>
      </w:r>
      <w:r>
        <w:rPr>
          <w:color w:val="231F20"/>
          <w:spacing w:val="-8"/>
          <w:sz w:val="18"/>
        </w:rPr>
        <w:t> </w:t>
      </w:r>
      <w:r>
        <w:rPr>
          <w:color w:val="231F20"/>
          <w:sz w:val="18"/>
        </w:rPr>
        <w:t>Cepal</w:t>
      </w:r>
      <w:r>
        <w:rPr>
          <w:color w:val="231F20"/>
          <w:spacing w:val="-8"/>
          <w:sz w:val="18"/>
        </w:rPr>
        <w:t> </w:t>
      </w:r>
      <w:r>
        <w:rPr>
          <w:color w:val="231F20"/>
          <w:sz w:val="18"/>
        </w:rPr>
        <w:t>/</w:t>
      </w:r>
      <w:r>
        <w:rPr>
          <w:color w:val="231F20"/>
          <w:spacing w:val="-8"/>
          <w:sz w:val="18"/>
        </w:rPr>
        <w:t> </w:t>
      </w:r>
      <w:r>
        <w:rPr>
          <w:color w:val="231F20"/>
          <w:sz w:val="18"/>
        </w:rPr>
        <w:t>Eclac.</w:t>
      </w:r>
    </w:p>
    <w:p>
      <w:pPr>
        <w:spacing w:before="57"/>
        <w:ind w:left="113" w:right="0" w:firstLine="0"/>
        <w:jc w:val="both"/>
        <w:rPr>
          <w:sz w:val="18"/>
        </w:rPr>
      </w:pPr>
      <w:r>
        <w:rPr>
          <w:color w:val="231F20"/>
          <w:sz w:val="18"/>
        </w:rPr>
        <w:t>Federici, Silvia (2010) </w:t>
      </w:r>
      <w:r>
        <w:rPr>
          <w:i/>
          <w:color w:val="231F20"/>
          <w:sz w:val="18"/>
        </w:rPr>
        <w:t>Calibán y la bruja</w:t>
      </w:r>
      <w:r>
        <w:rPr>
          <w:color w:val="231F20"/>
          <w:sz w:val="18"/>
        </w:rPr>
        <w:t>, Madrid: Trotasueños.</w:t>
      </w:r>
    </w:p>
    <w:p>
      <w:pPr>
        <w:spacing w:line="254" w:lineRule="auto" w:before="69"/>
        <w:ind w:left="113" w:right="108" w:firstLine="0"/>
        <w:jc w:val="both"/>
        <w:rPr>
          <w:sz w:val="18"/>
        </w:rPr>
      </w:pPr>
      <w:r>
        <w:rPr>
          <w:color w:val="231F20"/>
          <w:sz w:val="18"/>
        </w:rPr>
        <w:t>Gregorio, Carmen (1998), </w:t>
      </w:r>
      <w:r>
        <w:rPr>
          <w:i/>
          <w:color w:val="231F20"/>
          <w:sz w:val="18"/>
        </w:rPr>
        <w:t>Migración femenina: su impacto en las relaciones de </w:t>
      </w:r>
      <w:r>
        <w:rPr>
          <w:i/>
          <w:color w:val="231F20"/>
          <w:sz w:val="18"/>
        </w:rPr>
        <w:t>género</w:t>
      </w:r>
      <w:r>
        <w:rPr>
          <w:color w:val="231F20"/>
          <w:sz w:val="18"/>
        </w:rPr>
        <w:t>, Madrid: Narcea.</w:t>
      </w:r>
    </w:p>
    <w:p>
      <w:pPr>
        <w:spacing w:line="254" w:lineRule="auto" w:before="57"/>
        <w:ind w:left="113" w:right="108" w:firstLine="0"/>
        <w:jc w:val="both"/>
        <w:rPr>
          <w:sz w:val="18"/>
        </w:rPr>
      </w:pPr>
      <w:r>
        <w:rPr>
          <w:color w:val="231F20"/>
          <w:sz w:val="18"/>
        </w:rPr>
        <w:t>Gregorio, Carmen (2012) “Trazando una genealogía desde la crítica feminista en el campo de las migraciones transnacionales”, en Carmen Gregorio y Martha Castañeda (coords.) </w:t>
      </w:r>
      <w:r>
        <w:rPr>
          <w:i/>
          <w:color w:val="231F20"/>
          <w:sz w:val="18"/>
        </w:rPr>
        <w:t>Mujeres y hombres en el mundo global. Antropología femi- </w:t>
      </w:r>
      <w:r>
        <w:rPr>
          <w:i/>
          <w:color w:val="231F20"/>
          <w:sz w:val="18"/>
        </w:rPr>
        <w:t>nista en América Latina y España</w:t>
      </w:r>
      <w:r>
        <w:rPr>
          <w:color w:val="231F20"/>
          <w:sz w:val="18"/>
        </w:rPr>
        <w:t>, México: Siglo XXI / Universidad Nacional Autónoma de</w:t>
      </w:r>
      <w:r>
        <w:rPr>
          <w:color w:val="231F20"/>
          <w:spacing w:val="-14"/>
          <w:sz w:val="18"/>
        </w:rPr>
        <w:t> </w:t>
      </w:r>
      <w:r>
        <w:rPr>
          <w:color w:val="231F20"/>
          <w:sz w:val="18"/>
        </w:rPr>
        <w:t>México.</w:t>
      </w:r>
    </w:p>
    <w:p>
      <w:pPr>
        <w:spacing w:after="0" w:line="254" w:lineRule="auto"/>
        <w:jc w:val="both"/>
        <w:rPr>
          <w:sz w:val="18"/>
        </w:rPr>
        <w:sectPr>
          <w:footerReference w:type="default" r:id="rId252"/>
          <w:pgSz w:w="7770" w:h="11740"/>
          <w:pgMar w:footer="474" w:header="0" w:top="840" w:bottom="660" w:left="1020" w:right="740"/>
          <w:pgNumType w:start="221"/>
        </w:sectPr>
      </w:pPr>
    </w:p>
    <w:p>
      <w:pPr>
        <w:spacing w:line="254" w:lineRule="auto" w:before="65"/>
        <w:ind w:left="110" w:right="112" w:firstLine="0"/>
        <w:jc w:val="both"/>
        <w:rPr>
          <w:sz w:val="18"/>
        </w:rPr>
      </w:pPr>
      <w:r>
        <w:rPr>
          <w:color w:val="231F20"/>
          <w:sz w:val="18"/>
        </w:rPr>
        <w:t>Harding, Sandra (1998) “¿Existe un método feminista?”, en Eli Bartra (comp.) </w:t>
      </w:r>
      <w:r>
        <w:rPr>
          <w:i/>
          <w:color w:val="231F20"/>
          <w:sz w:val="18"/>
        </w:rPr>
        <w:t>Debates en torno a la metodología feminista</w:t>
      </w:r>
      <w:r>
        <w:rPr>
          <w:color w:val="231F20"/>
          <w:sz w:val="18"/>
        </w:rPr>
        <w:t>, México: Universidad Autónoma Metropolitana.</w:t>
      </w:r>
    </w:p>
    <w:p>
      <w:pPr>
        <w:spacing w:line="254" w:lineRule="auto" w:before="57"/>
        <w:ind w:left="110" w:right="111" w:firstLine="0"/>
        <w:jc w:val="both"/>
        <w:rPr>
          <w:sz w:val="18"/>
        </w:rPr>
      </w:pPr>
      <w:r>
        <w:rPr>
          <w:color w:val="231F20"/>
          <w:sz w:val="18"/>
        </w:rPr>
        <w:t>Hartmann, Heidi (1994) “Capitalismo, patriarcado y segregación de los empleos por sexo”, en Cristina Borderías (comp.) </w:t>
      </w:r>
      <w:r>
        <w:rPr>
          <w:i/>
          <w:color w:val="231F20"/>
          <w:sz w:val="18"/>
        </w:rPr>
        <w:t>Las mujeres y el trabajo</w:t>
      </w:r>
      <w:r>
        <w:rPr>
          <w:color w:val="231F20"/>
          <w:sz w:val="18"/>
        </w:rPr>
        <w:t>, Barcelona: Icaria.</w:t>
      </w:r>
    </w:p>
    <w:p>
      <w:pPr>
        <w:spacing w:line="254" w:lineRule="auto" w:before="57"/>
        <w:ind w:left="110" w:right="111" w:firstLine="0"/>
        <w:jc w:val="both"/>
        <w:rPr>
          <w:sz w:val="18"/>
        </w:rPr>
      </w:pPr>
      <w:r>
        <w:rPr>
          <w:color w:val="231F20"/>
          <w:sz w:val="18"/>
        </w:rPr>
        <w:t>Kritz, Ernesto (1984) </w:t>
      </w:r>
      <w:r>
        <w:rPr>
          <w:i/>
          <w:color w:val="231F20"/>
          <w:sz w:val="18"/>
        </w:rPr>
        <w:t>Sociedad y Estado en tiempos de globalización</w:t>
      </w:r>
      <w:r>
        <w:rPr>
          <w:color w:val="231F20"/>
          <w:sz w:val="18"/>
        </w:rPr>
        <w:t>, Buenos Aires: Siglo XXI.</w:t>
      </w:r>
    </w:p>
    <w:p>
      <w:pPr>
        <w:spacing w:line="254" w:lineRule="auto" w:before="57"/>
        <w:ind w:left="110" w:right="111" w:firstLine="0"/>
        <w:jc w:val="both"/>
        <w:rPr>
          <w:sz w:val="18"/>
        </w:rPr>
      </w:pPr>
      <w:r>
        <w:rPr>
          <w:color w:val="231F20"/>
          <w:sz w:val="18"/>
        </w:rPr>
        <w:t>León, Magdalena (2001) “Políticas neoliberales frente al trabajo femenino”, en Gioconda Herrera (ed.) </w:t>
      </w:r>
      <w:r>
        <w:rPr>
          <w:i/>
          <w:color w:val="231F20"/>
          <w:sz w:val="18"/>
        </w:rPr>
        <w:t>Estudios de género</w:t>
      </w:r>
      <w:r>
        <w:rPr>
          <w:color w:val="231F20"/>
          <w:sz w:val="18"/>
        </w:rPr>
        <w:t>, Quito: Facultad Latinoamericana de Ciencias Sociales.</w:t>
      </w:r>
    </w:p>
    <w:p>
      <w:pPr>
        <w:spacing w:line="254" w:lineRule="auto" w:before="57"/>
        <w:ind w:left="110" w:right="111" w:firstLine="0"/>
        <w:jc w:val="both"/>
        <w:rPr>
          <w:sz w:val="18"/>
        </w:rPr>
      </w:pPr>
      <w:r>
        <w:rPr>
          <w:color w:val="231F20"/>
          <w:sz w:val="18"/>
        </w:rPr>
        <w:t>Lipszyc, Cecilia (2004) </w:t>
      </w:r>
      <w:r>
        <w:rPr>
          <w:i/>
          <w:color w:val="231F20"/>
          <w:sz w:val="18"/>
        </w:rPr>
        <w:t>Feminización de las migraciones: sueños y realidades </w:t>
      </w:r>
      <w:r>
        <w:rPr>
          <w:i/>
          <w:color w:val="231F20"/>
          <w:sz w:val="18"/>
        </w:rPr>
        <w:t>de</w:t>
      </w:r>
      <w:r>
        <w:rPr>
          <w:i/>
          <w:color w:val="231F20"/>
          <w:spacing w:val="-7"/>
          <w:sz w:val="18"/>
        </w:rPr>
        <w:t> </w:t>
      </w:r>
      <w:r>
        <w:rPr>
          <w:i/>
          <w:color w:val="231F20"/>
          <w:sz w:val="18"/>
        </w:rPr>
        <w:t>las</w:t>
      </w:r>
      <w:r>
        <w:rPr>
          <w:i/>
          <w:color w:val="231F20"/>
          <w:spacing w:val="-7"/>
          <w:sz w:val="18"/>
        </w:rPr>
        <w:t> </w:t>
      </w:r>
      <w:r>
        <w:rPr>
          <w:i/>
          <w:color w:val="231F20"/>
          <w:sz w:val="18"/>
        </w:rPr>
        <w:t>mujeres</w:t>
      </w:r>
      <w:r>
        <w:rPr>
          <w:i/>
          <w:color w:val="231F20"/>
          <w:spacing w:val="-7"/>
          <w:sz w:val="18"/>
        </w:rPr>
        <w:t> </w:t>
      </w:r>
      <w:r>
        <w:rPr>
          <w:i/>
          <w:color w:val="231F20"/>
          <w:sz w:val="18"/>
        </w:rPr>
        <w:t>migrantes</w:t>
      </w:r>
      <w:r>
        <w:rPr>
          <w:i/>
          <w:color w:val="231F20"/>
          <w:spacing w:val="-7"/>
          <w:sz w:val="18"/>
        </w:rPr>
        <w:t> </w:t>
      </w:r>
      <w:r>
        <w:rPr>
          <w:i/>
          <w:color w:val="231F20"/>
          <w:sz w:val="18"/>
        </w:rPr>
        <w:t>en</w:t>
      </w:r>
      <w:r>
        <w:rPr>
          <w:i/>
          <w:color w:val="231F20"/>
          <w:spacing w:val="-7"/>
          <w:sz w:val="18"/>
        </w:rPr>
        <w:t> </w:t>
      </w:r>
      <w:r>
        <w:rPr>
          <w:i/>
          <w:color w:val="231F20"/>
          <w:sz w:val="18"/>
        </w:rPr>
        <w:t>cuatro</w:t>
      </w:r>
      <w:r>
        <w:rPr>
          <w:i/>
          <w:color w:val="231F20"/>
          <w:spacing w:val="-7"/>
          <w:sz w:val="18"/>
        </w:rPr>
        <w:t> </w:t>
      </w:r>
      <w:r>
        <w:rPr>
          <w:i/>
          <w:color w:val="231F20"/>
          <w:sz w:val="18"/>
        </w:rPr>
        <w:t>países</w:t>
      </w:r>
      <w:r>
        <w:rPr>
          <w:i/>
          <w:color w:val="231F20"/>
          <w:spacing w:val="-7"/>
          <w:sz w:val="18"/>
        </w:rPr>
        <w:t> </w:t>
      </w:r>
      <w:r>
        <w:rPr>
          <w:i/>
          <w:color w:val="231F20"/>
          <w:sz w:val="18"/>
        </w:rPr>
        <w:t>de</w:t>
      </w:r>
      <w:r>
        <w:rPr>
          <w:i/>
          <w:color w:val="231F20"/>
          <w:spacing w:val="-10"/>
          <w:sz w:val="18"/>
        </w:rPr>
        <w:t> </w:t>
      </w:r>
      <w:r>
        <w:rPr>
          <w:i/>
          <w:color w:val="231F20"/>
          <w:sz w:val="18"/>
        </w:rPr>
        <w:t>América</w:t>
      </w:r>
      <w:r>
        <w:rPr>
          <w:i/>
          <w:color w:val="231F20"/>
          <w:spacing w:val="-7"/>
          <w:sz w:val="18"/>
        </w:rPr>
        <w:t> </w:t>
      </w:r>
      <w:r>
        <w:rPr>
          <w:i/>
          <w:color w:val="231F20"/>
          <w:sz w:val="18"/>
        </w:rPr>
        <w:t>Latina</w:t>
      </w:r>
      <w:r>
        <w:rPr>
          <w:color w:val="231F20"/>
          <w:sz w:val="18"/>
        </w:rPr>
        <w:t>,</w:t>
      </w:r>
      <w:r>
        <w:rPr>
          <w:color w:val="231F20"/>
          <w:spacing w:val="-7"/>
          <w:sz w:val="18"/>
        </w:rPr>
        <w:t> </w:t>
      </w:r>
      <w:r>
        <w:rPr>
          <w:color w:val="231F20"/>
          <w:sz w:val="18"/>
        </w:rPr>
        <w:t>Santiago</w:t>
      </w:r>
      <w:r>
        <w:rPr>
          <w:color w:val="231F20"/>
          <w:spacing w:val="-7"/>
          <w:sz w:val="18"/>
        </w:rPr>
        <w:t> </w:t>
      </w:r>
      <w:r>
        <w:rPr>
          <w:color w:val="231F20"/>
          <w:sz w:val="18"/>
        </w:rPr>
        <w:t>de</w:t>
      </w:r>
      <w:r>
        <w:rPr>
          <w:color w:val="231F20"/>
          <w:spacing w:val="-7"/>
          <w:sz w:val="18"/>
        </w:rPr>
        <w:t> </w:t>
      </w:r>
      <w:r>
        <w:rPr>
          <w:color w:val="231F20"/>
          <w:sz w:val="18"/>
        </w:rPr>
        <w:t>Chile: Caminar sin</w:t>
      </w:r>
      <w:r>
        <w:rPr>
          <w:color w:val="231F20"/>
          <w:spacing w:val="-2"/>
          <w:sz w:val="18"/>
        </w:rPr>
        <w:t> </w:t>
      </w:r>
      <w:r>
        <w:rPr>
          <w:color w:val="231F20"/>
          <w:sz w:val="18"/>
        </w:rPr>
        <w:t>miedo.</w:t>
      </w:r>
    </w:p>
    <w:p>
      <w:pPr>
        <w:spacing w:line="254" w:lineRule="auto" w:before="57"/>
        <w:ind w:left="110" w:right="111" w:firstLine="0"/>
        <w:jc w:val="both"/>
        <w:rPr>
          <w:sz w:val="18"/>
        </w:rPr>
      </w:pPr>
      <w:r>
        <w:rPr>
          <w:color w:val="231F20"/>
          <w:sz w:val="18"/>
        </w:rPr>
        <w:t>Maquieira,</w:t>
      </w:r>
      <w:r>
        <w:rPr>
          <w:color w:val="231F20"/>
          <w:spacing w:val="-9"/>
          <w:sz w:val="18"/>
        </w:rPr>
        <w:t> </w:t>
      </w:r>
      <w:r>
        <w:rPr>
          <w:color w:val="231F20"/>
          <w:sz w:val="18"/>
        </w:rPr>
        <w:t>Virginia</w:t>
      </w:r>
      <w:r>
        <w:rPr>
          <w:color w:val="231F20"/>
          <w:spacing w:val="-7"/>
          <w:sz w:val="18"/>
        </w:rPr>
        <w:t> </w:t>
      </w:r>
      <w:r>
        <w:rPr>
          <w:color w:val="231F20"/>
          <w:sz w:val="18"/>
        </w:rPr>
        <w:t>(2001)</w:t>
      </w:r>
      <w:r>
        <w:rPr>
          <w:color w:val="231F20"/>
          <w:spacing w:val="-7"/>
          <w:sz w:val="18"/>
        </w:rPr>
        <w:t> </w:t>
      </w:r>
      <w:r>
        <w:rPr>
          <w:color w:val="231F20"/>
          <w:sz w:val="18"/>
        </w:rPr>
        <w:t>“Género,</w:t>
      </w:r>
      <w:r>
        <w:rPr>
          <w:color w:val="231F20"/>
          <w:spacing w:val="-7"/>
          <w:sz w:val="18"/>
        </w:rPr>
        <w:t> </w:t>
      </w:r>
      <w:r>
        <w:rPr>
          <w:color w:val="231F20"/>
          <w:sz w:val="18"/>
        </w:rPr>
        <w:t>diferencia</w:t>
      </w:r>
      <w:r>
        <w:rPr>
          <w:color w:val="231F20"/>
          <w:spacing w:val="-7"/>
          <w:sz w:val="18"/>
        </w:rPr>
        <w:t> </w:t>
      </w:r>
      <w:r>
        <w:rPr>
          <w:color w:val="231F20"/>
          <w:sz w:val="18"/>
        </w:rPr>
        <w:t>y</w:t>
      </w:r>
      <w:r>
        <w:rPr>
          <w:color w:val="231F20"/>
          <w:spacing w:val="-7"/>
          <w:sz w:val="18"/>
        </w:rPr>
        <w:t> </w:t>
      </w:r>
      <w:r>
        <w:rPr>
          <w:color w:val="231F20"/>
          <w:sz w:val="18"/>
        </w:rPr>
        <w:t>desigualdad”,</w:t>
      </w:r>
      <w:r>
        <w:rPr>
          <w:color w:val="231F20"/>
          <w:spacing w:val="-7"/>
          <w:sz w:val="18"/>
        </w:rPr>
        <w:t> </w:t>
      </w:r>
      <w:r>
        <w:rPr>
          <w:color w:val="231F20"/>
          <w:sz w:val="18"/>
        </w:rPr>
        <w:t>en</w:t>
      </w:r>
      <w:r>
        <w:rPr>
          <w:color w:val="231F20"/>
          <w:spacing w:val="-7"/>
          <w:sz w:val="18"/>
        </w:rPr>
        <w:t> </w:t>
      </w:r>
      <w:r>
        <w:rPr>
          <w:color w:val="231F20"/>
          <w:sz w:val="18"/>
        </w:rPr>
        <w:t>Elena</w:t>
      </w:r>
      <w:r>
        <w:rPr>
          <w:color w:val="231F20"/>
          <w:spacing w:val="-7"/>
          <w:sz w:val="18"/>
        </w:rPr>
        <w:t> </w:t>
      </w:r>
      <w:r>
        <w:rPr>
          <w:color w:val="231F20"/>
          <w:sz w:val="18"/>
        </w:rPr>
        <w:t>Beltrán y Virginia Maquieira (eds.) </w:t>
      </w:r>
      <w:r>
        <w:rPr>
          <w:i/>
          <w:color w:val="231F20"/>
          <w:sz w:val="18"/>
        </w:rPr>
        <w:t>Feminismos: debates teóricos contemporáneos</w:t>
      </w:r>
      <w:r>
        <w:rPr>
          <w:color w:val="231F20"/>
          <w:sz w:val="18"/>
        </w:rPr>
        <w:t>,</w:t>
      </w:r>
      <w:r>
        <w:rPr>
          <w:color w:val="231F20"/>
          <w:spacing w:val="-28"/>
          <w:sz w:val="18"/>
        </w:rPr>
        <w:t> </w:t>
      </w:r>
      <w:r>
        <w:rPr>
          <w:color w:val="231F20"/>
          <w:sz w:val="18"/>
        </w:rPr>
        <w:t>Ma- drid:</w:t>
      </w:r>
      <w:r>
        <w:rPr>
          <w:color w:val="231F20"/>
          <w:spacing w:val="-19"/>
          <w:sz w:val="18"/>
        </w:rPr>
        <w:t> </w:t>
      </w:r>
      <w:r>
        <w:rPr>
          <w:color w:val="231F20"/>
          <w:sz w:val="18"/>
        </w:rPr>
        <w:t>Alianza.</w:t>
      </w:r>
    </w:p>
    <w:p>
      <w:pPr>
        <w:spacing w:line="254" w:lineRule="auto" w:before="57"/>
        <w:ind w:left="110" w:right="111" w:firstLine="0"/>
        <w:jc w:val="both"/>
        <w:rPr>
          <w:sz w:val="18"/>
        </w:rPr>
      </w:pPr>
      <w:r>
        <w:rPr>
          <w:color w:val="231F20"/>
          <w:sz w:val="18"/>
        </w:rPr>
        <w:t>Maquieira, Virginia (2006) “Mujeres, globalización y derechos humanos”, en Virginia Maquieira (ed.) </w:t>
      </w:r>
      <w:r>
        <w:rPr>
          <w:i/>
          <w:color w:val="231F20"/>
          <w:sz w:val="18"/>
        </w:rPr>
        <w:t>Mujeres, globalización y derechos humanos</w:t>
      </w:r>
      <w:r>
        <w:rPr>
          <w:color w:val="231F20"/>
          <w:sz w:val="18"/>
        </w:rPr>
        <w:t>, Madrid: Cátedra</w:t>
      </w:r>
    </w:p>
    <w:p>
      <w:pPr>
        <w:spacing w:before="57"/>
        <w:ind w:left="110" w:right="0" w:firstLine="0"/>
        <w:jc w:val="both"/>
        <w:rPr>
          <w:sz w:val="18"/>
        </w:rPr>
      </w:pPr>
      <w:r>
        <w:rPr>
          <w:color w:val="231F20"/>
          <w:sz w:val="18"/>
        </w:rPr>
        <w:t>McDowell, Linda (1999) </w:t>
      </w:r>
      <w:r>
        <w:rPr>
          <w:i/>
          <w:color w:val="231F20"/>
          <w:sz w:val="18"/>
        </w:rPr>
        <w:t>Género, identidad y lugar</w:t>
      </w:r>
      <w:r>
        <w:rPr>
          <w:color w:val="231F20"/>
          <w:sz w:val="18"/>
        </w:rPr>
        <w:t>, Madrid: Cátedra.</w:t>
      </w:r>
    </w:p>
    <w:p>
      <w:pPr>
        <w:spacing w:line="254" w:lineRule="auto" w:before="69"/>
        <w:ind w:left="110" w:right="111" w:firstLine="0"/>
        <w:jc w:val="both"/>
        <w:rPr>
          <w:sz w:val="18"/>
        </w:rPr>
      </w:pPr>
      <w:r>
        <w:rPr>
          <w:color w:val="231F20"/>
          <w:sz w:val="18"/>
        </w:rPr>
        <w:t>Miguel, Ana (2010) “Prólogo”, en Laura Nuño </w:t>
      </w:r>
      <w:r>
        <w:rPr>
          <w:i/>
          <w:color w:val="231F20"/>
          <w:sz w:val="18"/>
        </w:rPr>
        <w:t>El mito del varón sustentador. </w:t>
      </w:r>
      <w:r>
        <w:rPr>
          <w:i/>
          <w:color w:val="231F20"/>
          <w:sz w:val="18"/>
        </w:rPr>
        <w:t>Orígenes y consecuencias de la división sexual del trabajo</w:t>
      </w:r>
      <w:r>
        <w:rPr>
          <w:color w:val="231F20"/>
          <w:sz w:val="18"/>
        </w:rPr>
        <w:t>, Barcelona: Icaria.</w:t>
      </w:r>
    </w:p>
    <w:p>
      <w:pPr>
        <w:spacing w:line="254" w:lineRule="auto" w:before="57"/>
        <w:ind w:left="110" w:right="112" w:firstLine="0"/>
        <w:jc w:val="both"/>
        <w:rPr>
          <w:sz w:val="18"/>
        </w:rPr>
      </w:pPr>
      <w:r>
        <w:rPr>
          <w:color w:val="231F20"/>
          <w:sz w:val="18"/>
        </w:rPr>
        <w:t>Nuño, Laura (2010) </w:t>
      </w:r>
      <w:r>
        <w:rPr>
          <w:i/>
          <w:color w:val="231F20"/>
          <w:sz w:val="18"/>
        </w:rPr>
        <w:t>El mito del varón </w:t>
      </w:r>
      <w:r>
        <w:rPr>
          <w:i/>
          <w:color w:val="231F20"/>
          <w:spacing w:val="-3"/>
          <w:sz w:val="18"/>
        </w:rPr>
        <w:t>sustentador. </w:t>
      </w:r>
      <w:r>
        <w:rPr>
          <w:i/>
          <w:color w:val="231F20"/>
          <w:sz w:val="18"/>
        </w:rPr>
        <w:t>Orígenes y consecuencias de </w:t>
      </w:r>
      <w:r>
        <w:rPr>
          <w:i/>
          <w:color w:val="231F20"/>
          <w:sz w:val="18"/>
        </w:rPr>
        <w:t>la división sexual del trabajo</w:t>
      </w:r>
      <w:r>
        <w:rPr>
          <w:color w:val="231F20"/>
          <w:sz w:val="18"/>
        </w:rPr>
        <w:t>, Barcelona: Icaria.</w:t>
      </w:r>
    </w:p>
    <w:p>
      <w:pPr>
        <w:spacing w:line="254" w:lineRule="auto" w:before="57"/>
        <w:ind w:left="110" w:right="111" w:firstLine="0"/>
        <w:jc w:val="both"/>
        <w:rPr>
          <w:sz w:val="18"/>
        </w:rPr>
      </w:pPr>
      <w:r>
        <w:rPr>
          <w:color w:val="231F20"/>
          <w:sz w:val="18"/>
        </w:rPr>
        <w:t>OIT (Organización Internacional del Trabajo) (2014) </w:t>
      </w:r>
      <w:r>
        <w:rPr>
          <w:i/>
          <w:color w:val="231F20"/>
          <w:sz w:val="18"/>
        </w:rPr>
        <w:t>Panorama Laboral 2014 </w:t>
      </w:r>
      <w:r>
        <w:rPr>
          <w:i/>
          <w:color w:val="231F20"/>
          <w:sz w:val="18"/>
        </w:rPr>
        <w:t>América Latina y el Caribe</w:t>
      </w:r>
      <w:r>
        <w:rPr>
          <w:color w:val="231F20"/>
          <w:sz w:val="18"/>
        </w:rPr>
        <w:t>, Sao Paulo: Oficina Regional de la Organización Internacional del Trabajo.</w:t>
      </w:r>
    </w:p>
    <w:p>
      <w:pPr>
        <w:spacing w:line="254" w:lineRule="auto" w:before="57"/>
        <w:ind w:left="110" w:right="111" w:firstLine="0"/>
        <w:jc w:val="both"/>
        <w:rPr>
          <w:sz w:val="18"/>
        </w:rPr>
      </w:pPr>
      <w:r>
        <w:rPr>
          <w:color w:val="231F20"/>
          <w:sz w:val="18"/>
        </w:rPr>
        <w:t>OIT (Organización Internacional del Trabajo) (2013) </w:t>
      </w:r>
      <w:r>
        <w:rPr>
          <w:i/>
          <w:color w:val="231F20"/>
          <w:sz w:val="18"/>
        </w:rPr>
        <w:t>Panorama Laboral 2013 </w:t>
      </w:r>
      <w:r>
        <w:rPr>
          <w:i/>
          <w:color w:val="231F20"/>
          <w:sz w:val="18"/>
        </w:rPr>
        <w:t>América Latina y el Caribe</w:t>
      </w:r>
      <w:r>
        <w:rPr>
          <w:color w:val="231F20"/>
          <w:sz w:val="18"/>
        </w:rPr>
        <w:t>, Lima: Oficina Regional de la Organización Interna- cional del Trabajo.</w:t>
      </w:r>
    </w:p>
    <w:p>
      <w:pPr>
        <w:spacing w:line="254" w:lineRule="auto" w:before="57"/>
        <w:ind w:left="110" w:right="111" w:firstLine="0"/>
        <w:jc w:val="both"/>
        <w:rPr>
          <w:sz w:val="18"/>
        </w:rPr>
      </w:pPr>
      <w:r>
        <w:rPr>
          <w:color w:val="231F20"/>
          <w:sz w:val="18"/>
        </w:rPr>
        <w:t>OIT (Organización Internacional del Trabajo) (1999) </w:t>
      </w:r>
      <w:r>
        <w:rPr>
          <w:i/>
          <w:color w:val="231F20"/>
          <w:sz w:val="18"/>
        </w:rPr>
        <w:t>Panorama Laboral 1999 </w:t>
      </w:r>
      <w:r>
        <w:rPr>
          <w:i/>
          <w:color w:val="231F20"/>
          <w:sz w:val="18"/>
        </w:rPr>
        <w:t>América Latina y el Caribe</w:t>
      </w:r>
      <w:r>
        <w:rPr>
          <w:color w:val="231F20"/>
          <w:sz w:val="18"/>
        </w:rPr>
        <w:t>, Lima: Oficina Regional de la Organización Interna- cional del Trabajo.</w:t>
      </w:r>
    </w:p>
    <w:p>
      <w:pPr>
        <w:spacing w:line="254" w:lineRule="auto" w:before="57"/>
        <w:ind w:left="110" w:right="111" w:firstLine="0"/>
        <w:jc w:val="both"/>
        <w:rPr>
          <w:sz w:val="18"/>
        </w:rPr>
      </w:pPr>
      <w:r>
        <w:rPr>
          <w:color w:val="231F20"/>
          <w:sz w:val="18"/>
        </w:rPr>
        <w:t>Oliveira, Orlandina, Marcela Eternot y Ma. de la Paz López (1999) “Familia y género</w:t>
      </w:r>
      <w:r>
        <w:rPr>
          <w:color w:val="231F20"/>
          <w:spacing w:val="-10"/>
          <w:sz w:val="18"/>
        </w:rPr>
        <w:t> </w:t>
      </w:r>
      <w:r>
        <w:rPr>
          <w:color w:val="231F20"/>
          <w:sz w:val="18"/>
        </w:rPr>
        <w:t>en</w:t>
      </w:r>
      <w:r>
        <w:rPr>
          <w:color w:val="231F20"/>
          <w:spacing w:val="-10"/>
          <w:sz w:val="18"/>
        </w:rPr>
        <w:t> </w:t>
      </w:r>
      <w:r>
        <w:rPr>
          <w:color w:val="231F20"/>
          <w:sz w:val="18"/>
        </w:rPr>
        <w:t>el</w:t>
      </w:r>
      <w:r>
        <w:rPr>
          <w:color w:val="231F20"/>
          <w:spacing w:val="-10"/>
          <w:sz w:val="18"/>
        </w:rPr>
        <w:t> </w:t>
      </w:r>
      <w:r>
        <w:rPr>
          <w:color w:val="231F20"/>
          <w:sz w:val="18"/>
        </w:rPr>
        <w:t>análisis</w:t>
      </w:r>
      <w:r>
        <w:rPr>
          <w:color w:val="231F20"/>
          <w:spacing w:val="-10"/>
          <w:sz w:val="18"/>
        </w:rPr>
        <w:t> </w:t>
      </w:r>
      <w:r>
        <w:rPr>
          <w:color w:val="231F20"/>
          <w:sz w:val="18"/>
        </w:rPr>
        <w:t>sociodemográfico”</w:t>
      </w:r>
      <w:r>
        <w:rPr>
          <w:color w:val="231F20"/>
          <w:spacing w:val="-10"/>
          <w:sz w:val="18"/>
        </w:rPr>
        <w:t> </w:t>
      </w:r>
      <w:r>
        <w:rPr>
          <w:color w:val="231F20"/>
          <w:sz w:val="18"/>
        </w:rPr>
        <w:t>en</w:t>
      </w:r>
      <w:r>
        <w:rPr>
          <w:color w:val="231F20"/>
          <w:spacing w:val="-10"/>
          <w:sz w:val="18"/>
        </w:rPr>
        <w:t> </w:t>
      </w:r>
      <w:r>
        <w:rPr>
          <w:color w:val="231F20"/>
          <w:sz w:val="18"/>
        </w:rPr>
        <w:t>Brígida</w:t>
      </w:r>
      <w:r>
        <w:rPr>
          <w:color w:val="231F20"/>
          <w:spacing w:val="-10"/>
          <w:sz w:val="18"/>
        </w:rPr>
        <w:t> </w:t>
      </w:r>
      <w:r>
        <w:rPr>
          <w:color w:val="231F20"/>
          <w:sz w:val="18"/>
        </w:rPr>
        <w:t>García</w:t>
      </w:r>
      <w:r>
        <w:rPr>
          <w:color w:val="231F20"/>
          <w:spacing w:val="-10"/>
          <w:sz w:val="18"/>
        </w:rPr>
        <w:t> </w:t>
      </w:r>
      <w:r>
        <w:rPr>
          <w:color w:val="231F20"/>
          <w:sz w:val="18"/>
        </w:rPr>
        <w:t>(coord.)</w:t>
      </w:r>
      <w:r>
        <w:rPr>
          <w:color w:val="231F20"/>
          <w:spacing w:val="-10"/>
          <w:sz w:val="18"/>
        </w:rPr>
        <w:t> </w:t>
      </w:r>
      <w:r>
        <w:rPr>
          <w:i/>
          <w:color w:val="231F20"/>
          <w:spacing w:val="-4"/>
          <w:sz w:val="18"/>
        </w:rPr>
        <w:t>Mujer,</w:t>
      </w:r>
      <w:r>
        <w:rPr>
          <w:i/>
          <w:color w:val="231F20"/>
          <w:spacing w:val="-10"/>
          <w:sz w:val="18"/>
        </w:rPr>
        <w:t> </w:t>
      </w:r>
      <w:r>
        <w:rPr>
          <w:i/>
          <w:color w:val="231F20"/>
          <w:sz w:val="18"/>
        </w:rPr>
        <w:t>género </w:t>
      </w:r>
      <w:r>
        <w:rPr>
          <w:i/>
          <w:color w:val="231F20"/>
          <w:sz w:val="18"/>
        </w:rPr>
        <w:t>y población en México</w:t>
      </w:r>
      <w:r>
        <w:rPr>
          <w:color w:val="231F20"/>
          <w:sz w:val="18"/>
        </w:rPr>
        <w:t>, México: El Colegio de</w:t>
      </w:r>
      <w:r>
        <w:rPr>
          <w:color w:val="231F20"/>
          <w:spacing w:val="-15"/>
          <w:sz w:val="18"/>
        </w:rPr>
        <w:t> </w:t>
      </w:r>
      <w:r>
        <w:rPr>
          <w:color w:val="231F20"/>
          <w:sz w:val="18"/>
        </w:rPr>
        <w:t>México.</w:t>
      </w:r>
    </w:p>
    <w:p>
      <w:pPr>
        <w:spacing w:after="0" w:line="254" w:lineRule="auto"/>
        <w:jc w:val="both"/>
        <w:rPr>
          <w:sz w:val="18"/>
        </w:rPr>
        <w:sectPr>
          <w:pgSz w:w="7770" w:h="11740"/>
          <w:pgMar w:header="0" w:footer="474" w:top="840" w:bottom="740" w:left="740" w:right="1020"/>
        </w:sectPr>
      </w:pPr>
    </w:p>
    <w:p>
      <w:pPr>
        <w:spacing w:line="254" w:lineRule="auto" w:before="65"/>
        <w:ind w:left="113" w:right="108" w:firstLine="0"/>
        <w:jc w:val="both"/>
        <w:rPr>
          <w:sz w:val="18"/>
        </w:rPr>
      </w:pPr>
      <w:r>
        <w:rPr>
          <w:color w:val="231F20"/>
          <w:sz w:val="18"/>
        </w:rPr>
        <w:t>ONU Mujeres (Entidad de las Naciones Unidas para la Igualdad de Género y el Empoderamiento</w:t>
      </w:r>
      <w:r>
        <w:rPr>
          <w:color w:val="231F20"/>
          <w:spacing w:val="-6"/>
          <w:sz w:val="18"/>
        </w:rPr>
        <w:t> </w:t>
      </w:r>
      <w:r>
        <w:rPr>
          <w:color w:val="231F20"/>
          <w:sz w:val="18"/>
        </w:rPr>
        <w:t>de</w:t>
      </w:r>
      <w:r>
        <w:rPr>
          <w:color w:val="231F20"/>
          <w:spacing w:val="-6"/>
          <w:sz w:val="18"/>
        </w:rPr>
        <w:t> </w:t>
      </w:r>
      <w:r>
        <w:rPr>
          <w:color w:val="231F20"/>
          <w:sz w:val="18"/>
        </w:rPr>
        <w:t>las</w:t>
      </w:r>
      <w:r>
        <w:rPr>
          <w:color w:val="231F20"/>
          <w:spacing w:val="-6"/>
          <w:sz w:val="18"/>
        </w:rPr>
        <w:t> </w:t>
      </w:r>
      <w:r>
        <w:rPr>
          <w:color w:val="231F20"/>
          <w:sz w:val="18"/>
        </w:rPr>
        <w:t>Mujeres)</w:t>
      </w:r>
      <w:r>
        <w:rPr>
          <w:color w:val="231F20"/>
          <w:spacing w:val="-5"/>
          <w:sz w:val="18"/>
        </w:rPr>
        <w:t> </w:t>
      </w:r>
      <w:r>
        <w:rPr>
          <w:color w:val="231F20"/>
          <w:sz w:val="18"/>
        </w:rPr>
        <w:t>(2015)</w:t>
      </w:r>
      <w:r>
        <w:rPr>
          <w:color w:val="231F20"/>
          <w:spacing w:val="-6"/>
          <w:sz w:val="18"/>
        </w:rPr>
        <w:t> </w:t>
      </w:r>
      <w:r>
        <w:rPr>
          <w:i/>
          <w:color w:val="231F20"/>
          <w:sz w:val="18"/>
        </w:rPr>
        <w:t>El</w:t>
      </w:r>
      <w:r>
        <w:rPr>
          <w:i/>
          <w:color w:val="231F20"/>
          <w:spacing w:val="-6"/>
          <w:sz w:val="18"/>
        </w:rPr>
        <w:t> </w:t>
      </w:r>
      <w:r>
        <w:rPr>
          <w:i/>
          <w:color w:val="231F20"/>
          <w:sz w:val="18"/>
        </w:rPr>
        <w:t>progreso</w:t>
      </w:r>
      <w:r>
        <w:rPr>
          <w:i/>
          <w:color w:val="231F20"/>
          <w:spacing w:val="-6"/>
          <w:sz w:val="18"/>
        </w:rPr>
        <w:t> </w:t>
      </w:r>
      <w:r>
        <w:rPr>
          <w:i/>
          <w:color w:val="231F20"/>
          <w:sz w:val="18"/>
        </w:rPr>
        <w:t>de</w:t>
      </w:r>
      <w:r>
        <w:rPr>
          <w:i/>
          <w:color w:val="231F20"/>
          <w:spacing w:val="-6"/>
          <w:sz w:val="18"/>
        </w:rPr>
        <w:t> </w:t>
      </w:r>
      <w:r>
        <w:rPr>
          <w:i/>
          <w:color w:val="231F20"/>
          <w:sz w:val="18"/>
        </w:rPr>
        <w:t>las</w:t>
      </w:r>
      <w:r>
        <w:rPr>
          <w:i/>
          <w:color w:val="231F20"/>
          <w:spacing w:val="-6"/>
          <w:sz w:val="18"/>
        </w:rPr>
        <w:t> </w:t>
      </w:r>
      <w:r>
        <w:rPr>
          <w:i/>
          <w:color w:val="231F20"/>
          <w:sz w:val="18"/>
        </w:rPr>
        <w:t>mujeres</w:t>
      </w:r>
      <w:r>
        <w:rPr>
          <w:i/>
          <w:color w:val="231F20"/>
          <w:spacing w:val="-6"/>
          <w:sz w:val="18"/>
        </w:rPr>
        <w:t> </w:t>
      </w:r>
      <w:r>
        <w:rPr>
          <w:i/>
          <w:color w:val="231F20"/>
          <w:sz w:val="18"/>
        </w:rPr>
        <w:t>en</w:t>
      </w:r>
      <w:r>
        <w:rPr>
          <w:i/>
          <w:color w:val="231F20"/>
          <w:spacing w:val="-6"/>
          <w:sz w:val="18"/>
        </w:rPr>
        <w:t> </w:t>
      </w:r>
      <w:r>
        <w:rPr>
          <w:i/>
          <w:color w:val="231F20"/>
          <w:sz w:val="18"/>
        </w:rPr>
        <w:t>el</w:t>
      </w:r>
      <w:r>
        <w:rPr>
          <w:i/>
          <w:color w:val="231F20"/>
          <w:spacing w:val="-6"/>
          <w:sz w:val="18"/>
        </w:rPr>
        <w:t> </w:t>
      </w:r>
      <w:r>
        <w:rPr>
          <w:i/>
          <w:color w:val="231F20"/>
          <w:sz w:val="18"/>
        </w:rPr>
        <w:t>mundo </w:t>
      </w:r>
      <w:r>
        <w:rPr>
          <w:i/>
          <w:color w:val="231F20"/>
          <w:sz w:val="18"/>
        </w:rPr>
        <w:t>2015-2016.</w:t>
      </w:r>
      <w:r>
        <w:rPr>
          <w:i/>
          <w:color w:val="231F20"/>
          <w:spacing w:val="-5"/>
          <w:sz w:val="18"/>
        </w:rPr>
        <w:t> </w:t>
      </w:r>
      <w:r>
        <w:rPr>
          <w:i/>
          <w:color w:val="231F20"/>
          <w:sz w:val="18"/>
        </w:rPr>
        <w:t>Transformar</w:t>
      </w:r>
      <w:r>
        <w:rPr>
          <w:i/>
          <w:color w:val="231F20"/>
          <w:spacing w:val="-4"/>
          <w:sz w:val="18"/>
        </w:rPr>
        <w:t> </w:t>
      </w:r>
      <w:r>
        <w:rPr>
          <w:i/>
          <w:color w:val="231F20"/>
          <w:sz w:val="18"/>
        </w:rPr>
        <w:t>las</w:t>
      </w:r>
      <w:r>
        <w:rPr>
          <w:i/>
          <w:color w:val="231F20"/>
          <w:spacing w:val="-5"/>
          <w:sz w:val="18"/>
        </w:rPr>
        <w:t> </w:t>
      </w:r>
      <w:r>
        <w:rPr>
          <w:i/>
          <w:color w:val="231F20"/>
          <w:sz w:val="18"/>
        </w:rPr>
        <w:t>economías</w:t>
      </w:r>
      <w:r>
        <w:rPr>
          <w:i/>
          <w:color w:val="231F20"/>
          <w:spacing w:val="-5"/>
          <w:sz w:val="18"/>
        </w:rPr>
        <w:t> </w:t>
      </w:r>
      <w:r>
        <w:rPr>
          <w:i/>
          <w:color w:val="231F20"/>
          <w:sz w:val="18"/>
        </w:rPr>
        <w:t>para</w:t>
      </w:r>
      <w:r>
        <w:rPr>
          <w:i/>
          <w:color w:val="231F20"/>
          <w:spacing w:val="-5"/>
          <w:sz w:val="18"/>
        </w:rPr>
        <w:t> </w:t>
      </w:r>
      <w:r>
        <w:rPr>
          <w:i/>
          <w:color w:val="231F20"/>
          <w:sz w:val="18"/>
        </w:rPr>
        <w:t>realizar</w:t>
      </w:r>
      <w:r>
        <w:rPr>
          <w:i/>
          <w:color w:val="231F20"/>
          <w:spacing w:val="-5"/>
          <w:sz w:val="18"/>
        </w:rPr>
        <w:t> </w:t>
      </w:r>
      <w:r>
        <w:rPr>
          <w:i/>
          <w:color w:val="231F20"/>
          <w:sz w:val="18"/>
        </w:rPr>
        <w:t>los</w:t>
      </w:r>
      <w:r>
        <w:rPr>
          <w:i/>
          <w:color w:val="231F20"/>
          <w:spacing w:val="-5"/>
          <w:sz w:val="18"/>
        </w:rPr>
        <w:t> </w:t>
      </w:r>
      <w:r>
        <w:rPr>
          <w:i/>
          <w:color w:val="231F20"/>
          <w:sz w:val="18"/>
        </w:rPr>
        <w:t>derechos</w:t>
      </w:r>
      <w:r>
        <w:rPr>
          <w:color w:val="231F20"/>
          <w:sz w:val="18"/>
        </w:rPr>
        <w:t>,</w:t>
      </w:r>
      <w:r>
        <w:rPr>
          <w:color w:val="231F20"/>
          <w:spacing w:val="-5"/>
          <w:sz w:val="18"/>
        </w:rPr>
        <w:t> </w:t>
      </w:r>
      <w:r>
        <w:rPr>
          <w:color w:val="231F20"/>
          <w:sz w:val="18"/>
        </w:rPr>
        <w:t>Nueva</w:t>
      </w:r>
      <w:r>
        <w:rPr>
          <w:color w:val="231F20"/>
          <w:spacing w:val="-11"/>
          <w:sz w:val="18"/>
        </w:rPr>
        <w:t> </w:t>
      </w:r>
      <w:r>
        <w:rPr>
          <w:color w:val="231F20"/>
          <w:spacing w:val="-4"/>
          <w:sz w:val="18"/>
        </w:rPr>
        <w:t>York: </w:t>
      </w:r>
      <w:r>
        <w:rPr>
          <w:color w:val="231F20"/>
          <w:sz w:val="18"/>
        </w:rPr>
        <w:t>ONU</w:t>
      </w:r>
      <w:r>
        <w:rPr>
          <w:color w:val="231F20"/>
          <w:spacing w:val="-9"/>
          <w:sz w:val="18"/>
        </w:rPr>
        <w:t> </w:t>
      </w:r>
      <w:r>
        <w:rPr>
          <w:color w:val="231F20"/>
          <w:sz w:val="18"/>
        </w:rPr>
        <w:t>Mujeres</w:t>
      </w:r>
    </w:p>
    <w:p>
      <w:pPr>
        <w:spacing w:line="254" w:lineRule="auto" w:before="57"/>
        <w:ind w:left="113" w:right="107" w:firstLine="0"/>
        <w:jc w:val="both"/>
        <w:rPr>
          <w:sz w:val="18"/>
        </w:rPr>
      </w:pPr>
      <w:r>
        <w:rPr>
          <w:color w:val="231F20"/>
          <w:sz w:val="18"/>
        </w:rPr>
        <w:t>Oso, Laura y Sonia Parella (2012) “Inmigración, género y mercado de trabajo: una panorámica de la investigación sobre inserción laboral de las mujeres in- migrantes en España”, en </w:t>
      </w:r>
      <w:r>
        <w:rPr>
          <w:i/>
          <w:color w:val="231F20"/>
          <w:sz w:val="18"/>
        </w:rPr>
        <w:t>Cuadernos de Relaciones Laborales</w:t>
      </w:r>
      <w:r>
        <w:rPr>
          <w:color w:val="231F20"/>
          <w:sz w:val="18"/>
        </w:rPr>
        <w:t>, núm. 1, vol. 30,</w:t>
      </w:r>
    </w:p>
    <w:p>
      <w:pPr>
        <w:spacing w:line="254" w:lineRule="auto" w:before="57"/>
        <w:ind w:left="113" w:right="108" w:firstLine="0"/>
        <w:jc w:val="both"/>
        <w:rPr>
          <w:sz w:val="18"/>
        </w:rPr>
      </w:pPr>
      <w:r>
        <w:rPr>
          <w:color w:val="231F20"/>
          <w:sz w:val="18"/>
        </w:rPr>
        <w:t>Pateman,</w:t>
      </w:r>
      <w:r>
        <w:rPr>
          <w:color w:val="231F20"/>
          <w:spacing w:val="-4"/>
          <w:sz w:val="18"/>
        </w:rPr>
        <w:t> </w:t>
      </w:r>
      <w:r>
        <w:rPr>
          <w:color w:val="231F20"/>
          <w:sz w:val="18"/>
        </w:rPr>
        <w:t>Carole</w:t>
      </w:r>
      <w:r>
        <w:rPr>
          <w:color w:val="231F20"/>
          <w:spacing w:val="-5"/>
          <w:sz w:val="18"/>
        </w:rPr>
        <w:t> </w:t>
      </w:r>
      <w:r>
        <w:rPr>
          <w:color w:val="231F20"/>
          <w:sz w:val="18"/>
        </w:rPr>
        <w:t>(1996)</w:t>
      </w:r>
      <w:r>
        <w:rPr>
          <w:color w:val="231F20"/>
          <w:spacing w:val="-4"/>
          <w:sz w:val="18"/>
        </w:rPr>
        <w:t> </w:t>
      </w:r>
      <w:r>
        <w:rPr>
          <w:i/>
          <w:color w:val="231F20"/>
          <w:sz w:val="18"/>
        </w:rPr>
        <w:t>Críticas</w:t>
      </w:r>
      <w:r>
        <w:rPr>
          <w:i/>
          <w:color w:val="231F20"/>
          <w:spacing w:val="-4"/>
          <w:sz w:val="18"/>
        </w:rPr>
        <w:t> </w:t>
      </w:r>
      <w:r>
        <w:rPr>
          <w:i/>
          <w:color w:val="231F20"/>
          <w:sz w:val="18"/>
        </w:rPr>
        <w:t>feministas</w:t>
      </w:r>
      <w:r>
        <w:rPr>
          <w:i/>
          <w:color w:val="231F20"/>
          <w:spacing w:val="-5"/>
          <w:sz w:val="18"/>
        </w:rPr>
        <w:t> </w:t>
      </w:r>
      <w:r>
        <w:rPr>
          <w:i/>
          <w:color w:val="231F20"/>
          <w:sz w:val="18"/>
        </w:rPr>
        <w:t>a</w:t>
      </w:r>
      <w:r>
        <w:rPr>
          <w:i/>
          <w:color w:val="231F20"/>
          <w:spacing w:val="-4"/>
          <w:sz w:val="18"/>
        </w:rPr>
        <w:t> </w:t>
      </w:r>
      <w:r>
        <w:rPr>
          <w:i/>
          <w:color w:val="231F20"/>
          <w:sz w:val="18"/>
        </w:rPr>
        <w:t>la</w:t>
      </w:r>
      <w:r>
        <w:rPr>
          <w:i/>
          <w:color w:val="231F20"/>
          <w:spacing w:val="-4"/>
          <w:sz w:val="18"/>
        </w:rPr>
        <w:t> </w:t>
      </w:r>
      <w:r>
        <w:rPr>
          <w:i/>
          <w:color w:val="231F20"/>
          <w:sz w:val="18"/>
        </w:rPr>
        <w:t>dicotomía</w:t>
      </w:r>
      <w:r>
        <w:rPr>
          <w:i/>
          <w:color w:val="231F20"/>
          <w:spacing w:val="-5"/>
          <w:sz w:val="18"/>
        </w:rPr>
        <w:t> </w:t>
      </w:r>
      <w:r>
        <w:rPr>
          <w:i/>
          <w:color w:val="231F20"/>
          <w:sz w:val="18"/>
        </w:rPr>
        <w:t>público/privado</w:t>
      </w:r>
      <w:r>
        <w:rPr>
          <w:color w:val="231F20"/>
          <w:sz w:val="18"/>
        </w:rPr>
        <w:t>,</w:t>
      </w:r>
      <w:r>
        <w:rPr>
          <w:color w:val="231F20"/>
          <w:spacing w:val="-4"/>
          <w:sz w:val="18"/>
        </w:rPr>
        <w:t> </w:t>
      </w:r>
      <w:r>
        <w:rPr>
          <w:color w:val="231F20"/>
          <w:sz w:val="18"/>
        </w:rPr>
        <w:t>Bar- celona:</w:t>
      </w:r>
      <w:r>
        <w:rPr>
          <w:color w:val="231F20"/>
          <w:spacing w:val="-8"/>
          <w:sz w:val="18"/>
        </w:rPr>
        <w:t> </w:t>
      </w:r>
      <w:r>
        <w:rPr>
          <w:color w:val="231F20"/>
          <w:sz w:val="18"/>
        </w:rPr>
        <w:t>Paidós.</w:t>
      </w:r>
    </w:p>
    <w:p>
      <w:pPr>
        <w:spacing w:line="254" w:lineRule="auto" w:before="57"/>
        <w:ind w:left="113" w:right="107" w:firstLine="0"/>
        <w:jc w:val="both"/>
        <w:rPr>
          <w:sz w:val="18"/>
        </w:rPr>
      </w:pPr>
      <w:r>
        <w:rPr>
          <w:color w:val="231F20"/>
          <w:sz w:val="18"/>
        </w:rPr>
        <w:t>Russell-Hochschid, Arlie (2008) </w:t>
      </w:r>
      <w:r>
        <w:rPr>
          <w:i/>
          <w:color w:val="231F20"/>
          <w:sz w:val="18"/>
        </w:rPr>
        <w:t>La mercantilización de la vida íntima. La casa </w:t>
      </w:r>
      <w:r>
        <w:rPr>
          <w:i/>
          <w:color w:val="231F20"/>
          <w:sz w:val="18"/>
        </w:rPr>
        <w:t>y el cuidado</w:t>
      </w:r>
      <w:r>
        <w:rPr>
          <w:color w:val="231F20"/>
          <w:sz w:val="18"/>
        </w:rPr>
        <w:t>, Barcelona: Katz.</w:t>
      </w:r>
    </w:p>
    <w:p>
      <w:pPr>
        <w:spacing w:line="254" w:lineRule="auto" w:before="57"/>
        <w:ind w:left="113" w:right="108" w:firstLine="0"/>
        <w:jc w:val="both"/>
        <w:rPr>
          <w:sz w:val="18"/>
        </w:rPr>
      </w:pPr>
      <w:r>
        <w:rPr>
          <w:color w:val="231F20"/>
          <w:sz w:val="18"/>
        </w:rPr>
        <w:t>Sánchez, Martha Judith e Inmaculada Sierra (coords.) (2013), </w:t>
      </w:r>
      <w:r>
        <w:rPr>
          <w:i/>
          <w:color w:val="231F20"/>
          <w:sz w:val="18"/>
        </w:rPr>
        <w:t>Ellas se van, Mu- </w:t>
      </w:r>
      <w:r>
        <w:rPr>
          <w:i/>
          <w:color w:val="231F20"/>
          <w:sz w:val="18"/>
        </w:rPr>
        <w:t>jeres</w:t>
      </w:r>
      <w:r>
        <w:rPr>
          <w:i/>
          <w:color w:val="231F20"/>
          <w:spacing w:val="-11"/>
          <w:sz w:val="18"/>
        </w:rPr>
        <w:t> </w:t>
      </w:r>
      <w:r>
        <w:rPr>
          <w:i/>
          <w:color w:val="231F20"/>
          <w:sz w:val="18"/>
        </w:rPr>
        <w:t>migrantes</w:t>
      </w:r>
      <w:r>
        <w:rPr>
          <w:i/>
          <w:color w:val="231F20"/>
          <w:spacing w:val="-10"/>
          <w:sz w:val="18"/>
        </w:rPr>
        <w:t> </w:t>
      </w:r>
      <w:r>
        <w:rPr>
          <w:i/>
          <w:color w:val="231F20"/>
          <w:sz w:val="18"/>
        </w:rPr>
        <w:t>en</w:t>
      </w:r>
      <w:r>
        <w:rPr>
          <w:i/>
          <w:color w:val="231F20"/>
          <w:spacing w:val="-11"/>
          <w:sz w:val="18"/>
        </w:rPr>
        <w:t> </w:t>
      </w:r>
      <w:r>
        <w:rPr>
          <w:i/>
          <w:color w:val="231F20"/>
          <w:sz w:val="18"/>
        </w:rPr>
        <w:t>Estados</w:t>
      </w:r>
      <w:r>
        <w:rPr>
          <w:i/>
          <w:color w:val="231F20"/>
          <w:spacing w:val="-11"/>
          <w:sz w:val="18"/>
        </w:rPr>
        <w:t> </w:t>
      </w:r>
      <w:r>
        <w:rPr>
          <w:i/>
          <w:color w:val="231F20"/>
          <w:sz w:val="18"/>
        </w:rPr>
        <w:t>Unidos</w:t>
      </w:r>
      <w:r>
        <w:rPr>
          <w:i/>
          <w:color w:val="231F20"/>
          <w:spacing w:val="-11"/>
          <w:sz w:val="18"/>
        </w:rPr>
        <w:t> </w:t>
      </w:r>
      <w:r>
        <w:rPr>
          <w:i/>
          <w:color w:val="231F20"/>
          <w:sz w:val="18"/>
        </w:rPr>
        <w:t>y</w:t>
      </w:r>
      <w:r>
        <w:rPr>
          <w:i/>
          <w:color w:val="231F20"/>
          <w:spacing w:val="-11"/>
          <w:sz w:val="18"/>
        </w:rPr>
        <w:t> </w:t>
      </w:r>
      <w:r>
        <w:rPr>
          <w:i/>
          <w:color w:val="231F20"/>
          <w:sz w:val="18"/>
        </w:rPr>
        <w:t>España</w:t>
      </w:r>
      <w:r>
        <w:rPr>
          <w:color w:val="231F20"/>
          <w:sz w:val="18"/>
        </w:rPr>
        <w:t>,</w:t>
      </w:r>
      <w:r>
        <w:rPr>
          <w:color w:val="231F20"/>
          <w:spacing w:val="-11"/>
          <w:sz w:val="18"/>
        </w:rPr>
        <w:t> </w:t>
      </w:r>
      <w:r>
        <w:rPr>
          <w:color w:val="231F20"/>
          <w:sz w:val="18"/>
        </w:rPr>
        <w:t>México:</w:t>
      </w:r>
      <w:r>
        <w:rPr>
          <w:color w:val="231F20"/>
          <w:spacing w:val="-11"/>
          <w:sz w:val="18"/>
        </w:rPr>
        <w:t> </w:t>
      </w:r>
      <w:r>
        <w:rPr>
          <w:color w:val="231F20"/>
          <w:sz w:val="18"/>
        </w:rPr>
        <w:t>Universidad</w:t>
      </w:r>
      <w:r>
        <w:rPr>
          <w:color w:val="231F20"/>
          <w:spacing w:val="-10"/>
          <w:sz w:val="18"/>
        </w:rPr>
        <w:t> </w:t>
      </w:r>
      <w:r>
        <w:rPr>
          <w:color w:val="231F20"/>
          <w:sz w:val="18"/>
        </w:rPr>
        <w:t>Nacional</w:t>
      </w:r>
      <w:r>
        <w:rPr>
          <w:color w:val="231F20"/>
          <w:spacing w:val="-19"/>
          <w:sz w:val="18"/>
        </w:rPr>
        <w:t> </w:t>
      </w:r>
      <w:r>
        <w:rPr>
          <w:color w:val="231F20"/>
          <w:sz w:val="18"/>
        </w:rPr>
        <w:t>Au- tónoma de</w:t>
      </w:r>
      <w:r>
        <w:rPr>
          <w:color w:val="231F20"/>
          <w:spacing w:val="-8"/>
          <w:sz w:val="18"/>
        </w:rPr>
        <w:t> </w:t>
      </w:r>
      <w:r>
        <w:rPr>
          <w:color w:val="231F20"/>
          <w:sz w:val="18"/>
        </w:rPr>
        <w:t>México.</w:t>
      </w:r>
    </w:p>
    <w:p>
      <w:pPr>
        <w:spacing w:line="254" w:lineRule="auto" w:before="57"/>
        <w:ind w:left="113" w:right="108" w:firstLine="0"/>
        <w:jc w:val="both"/>
        <w:rPr>
          <w:sz w:val="18"/>
        </w:rPr>
      </w:pPr>
      <w:r>
        <w:rPr>
          <w:color w:val="231F20"/>
          <w:sz w:val="18"/>
        </w:rPr>
        <w:t>Sassen, Saskia (2003) </w:t>
      </w:r>
      <w:r>
        <w:rPr>
          <w:i/>
          <w:color w:val="231F20"/>
          <w:sz w:val="18"/>
        </w:rPr>
        <w:t>Contrageografías de la globalización. Género y ciudada- </w:t>
      </w:r>
      <w:r>
        <w:rPr>
          <w:i/>
          <w:color w:val="231F20"/>
          <w:sz w:val="18"/>
        </w:rPr>
        <w:t>nía en los circuitos transfronterizos</w:t>
      </w:r>
      <w:r>
        <w:rPr>
          <w:color w:val="231F20"/>
          <w:sz w:val="18"/>
        </w:rPr>
        <w:t>, Madrid: Traficantes de sueños.</w:t>
      </w:r>
    </w:p>
    <w:p>
      <w:pPr>
        <w:spacing w:line="254" w:lineRule="auto" w:before="57"/>
        <w:ind w:left="113" w:right="108" w:firstLine="0"/>
        <w:jc w:val="both"/>
        <w:rPr>
          <w:sz w:val="18"/>
        </w:rPr>
      </w:pPr>
      <w:r>
        <w:rPr>
          <w:color w:val="231F20"/>
          <w:sz w:val="18"/>
        </w:rPr>
        <w:t>Sollova, Vera y Norma Baca (1999) “Enfoques teórico metodológicos sobre el trabajo femenino”, en </w:t>
      </w:r>
      <w:r>
        <w:rPr>
          <w:i/>
          <w:color w:val="231F20"/>
          <w:sz w:val="18"/>
        </w:rPr>
        <w:t>Papeles de población</w:t>
      </w:r>
      <w:r>
        <w:rPr>
          <w:color w:val="231F20"/>
          <w:sz w:val="18"/>
        </w:rPr>
        <w:t>, núm. 20, Toluca: Universidad Au- tónoma del Estado de México.</w:t>
      </w:r>
    </w:p>
    <w:p>
      <w:pPr>
        <w:spacing w:line="254" w:lineRule="auto" w:before="57"/>
        <w:ind w:left="113" w:right="108" w:firstLine="0"/>
        <w:jc w:val="both"/>
        <w:rPr>
          <w:sz w:val="18"/>
        </w:rPr>
      </w:pPr>
      <w:r>
        <w:rPr>
          <w:color w:val="231F20"/>
          <w:sz w:val="18"/>
        </w:rPr>
        <w:t>Yáñez, Sonia (2004) “La flexibilidad laboral como nuevo eje de la producción y la</w:t>
      </w:r>
      <w:r>
        <w:rPr>
          <w:color w:val="231F20"/>
          <w:spacing w:val="-6"/>
          <w:sz w:val="18"/>
        </w:rPr>
        <w:t> </w:t>
      </w:r>
      <w:r>
        <w:rPr>
          <w:color w:val="231F20"/>
          <w:sz w:val="18"/>
        </w:rPr>
        <w:t>reproducción”,</w:t>
      </w:r>
      <w:r>
        <w:rPr>
          <w:color w:val="231F20"/>
          <w:spacing w:val="-6"/>
          <w:sz w:val="18"/>
        </w:rPr>
        <w:t> </w:t>
      </w:r>
      <w:r>
        <w:rPr>
          <w:color w:val="231F20"/>
          <w:sz w:val="18"/>
        </w:rPr>
        <w:t>en</w:t>
      </w:r>
      <w:r>
        <w:rPr>
          <w:color w:val="231F20"/>
          <w:spacing w:val="-6"/>
          <w:sz w:val="18"/>
        </w:rPr>
        <w:t> </w:t>
      </w:r>
      <w:r>
        <w:rPr>
          <w:color w:val="231F20"/>
          <w:sz w:val="18"/>
        </w:rPr>
        <w:t>Rosalba</w:t>
      </w:r>
      <w:r>
        <w:rPr>
          <w:color w:val="231F20"/>
          <w:spacing w:val="-9"/>
          <w:sz w:val="18"/>
        </w:rPr>
        <w:t> </w:t>
      </w:r>
      <w:r>
        <w:rPr>
          <w:color w:val="231F20"/>
          <w:spacing w:val="-3"/>
          <w:sz w:val="18"/>
        </w:rPr>
        <w:t>Todaro</w:t>
      </w:r>
      <w:r>
        <w:rPr>
          <w:color w:val="231F20"/>
          <w:spacing w:val="-6"/>
          <w:sz w:val="18"/>
        </w:rPr>
        <w:t> </w:t>
      </w:r>
      <w:r>
        <w:rPr>
          <w:color w:val="231F20"/>
          <w:sz w:val="18"/>
        </w:rPr>
        <w:t>y</w:t>
      </w:r>
      <w:r>
        <w:rPr>
          <w:color w:val="231F20"/>
          <w:spacing w:val="-6"/>
          <w:sz w:val="18"/>
        </w:rPr>
        <w:t> </w:t>
      </w:r>
      <w:r>
        <w:rPr>
          <w:color w:val="231F20"/>
          <w:sz w:val="18"/>
        </w:rPr>
        <w:t>Sonia</w:t>
      </w:r>
      <w:r>
        <w:rPr>
          <w:color w:val="231F20"/>
          <w:spacing w:val="-12"/>
          <w:sz w:val="18"/>
        </w:rPr>
        <w:t> </w:t>
      </w:r>
      <w:r>
        <w:rPr>
          <w:color w:val="231F20"/>
          <w:sz w:val="18"/>
        </w:rPr>
        <w:t>Yáñez</w:t>
      </w:r>
      <w:r>
        <w:rPr>
          <w:color w:val="231F20"/>
          <w:spacing w:val="-5"/>
          <w:sz w:val="18"/>
        </w:rPr>
        <w:t> </w:t>
      </w:r>
      <w:r>
        <w:rPr>
          <w:color w:val="231F20"/>
          <w:sz w:val="18"/>
        </w:rPr>
        <w:t>(eds.)</w:t>
      </w:r>
      <w:r>
        <w:rPr>
          <w:color w:val="231F20"/>
          <w:spacing w:val="-6"/>
          <w:sz w:val="18"/>
        </w:rPr>
        <w:t> </w:t>
      </w:r>
      <w:r>
        <w:rPr>
          <w:i/>
          <w:color w:val="231F20"/>
          <w:sz w:val="18"/>
        </w:rPr>
        <w:t>El</w:t>
      </w:r>
      <w:r>
        <w:rPr>
          <w:i/>
          <w:color w:val="231F20"/>
          <w:spacing w:val="-6"/>
          <w:sz w:val="18"/>
        </w:rPr>
        <w:t> </w:t>
      </w:r>
      <w:r>
        <w:rPr>
          <w:i/>
          <w:color w:val="231F20"/>
          <w:sz w:val="18"/>
        </w:rPr>
        <w:t>trabajo</w:t>
      </w:r>
      <w:r>
        <w:rPr>
          <w:i/>
          <w:color w:val="231F20"/>
          <w:spacing w:val="-6"/>
          <w:sz w:val="18"/>
        </w:rPr>
        <w:t> </w:t>
      </w:r>
      <w:r>
        <w:rPr>
          <w:i/>
          <w:color w:val="231F20"/>
          <w:sz w:val="18"/>
        </w:rPr>
        <w:t>se</w:t>
      </w:r>
      <w:r>
        <w:rPr>
          <w:i/>
          <w:color w:val="231F20"/>
          <w:spacing w:val="-6"/>
          <w:sz w:val="18"/>
        </w:rPr>
        <w:t> </w:t>
      </w:r>
      <w:r>
        <w:rPr>
          <w:i/>
          <w:color w:val="231F20"/>
          <w:sz w:val="18"/>
        </w:rPr>
        <w:t>transfor- </w:t>
      </w:r>
      <w:r>
        <w:rPr>
          <w:i/>
          <w:color w:val="231F20"/>
          <w:sz w:val="18"/>
        </w:rPr>
        <w:t>ma.</w:t>
      </w:r>
      <w:r>
        <w:rPr>
          <w:i/>
          <w:color w:val="231F20"/>
          <w:spacing w:val="-4"/>
          <w:sz w:val="18"/>
        </w:rPr>
        <w:t> </w:t>
      </w:r>
      <w:r>
        <w:rPr>
          <w:i/>
          <w:color w:val="231F20"/>
          <w:sz w:val="18"/>
        </w:rPr>
        <w:t>Relaciones</w:t>
      </w:r>
      <w:r>
        <w:rPr>
          <w:i/>
          <w:color w:val="231F20"/>
          <w:spacing w:val="-5"/>
          <w:sz w:val="18"/>
        </w:rPr>
        <w:t> </w:t>
      </w:r>
      <w:r>
        <w:rPr>
          <w:i/>
          <w:color w:val="231F20"/>
          <w:sz w:val="18"/>
        </w:rPr>
        <w:t>de</w:t>
      </w:r>
      <w:r>
        <w:rPr>
          <w:i/>
          <w:color w:val="231F20"/>
          <w:spacing w:val="-5"/>
          <w:sz w:val="18"/>
        </w:rPr>
        <w:t> </w:t>
      </w:r>
      <w:r>
        <w:rPr>
          <w:i/>
          <w:color w:val="231F20"/>
          <w:sz w:val="18"/>
        </w:rPr>
        <w:t>producción</w:t>
      </w:r>
      <w:r>
        <w:rPr>
          <w:i/>
          <w:color w:val="231F20"/>
          <w:spacing w:val="-4"/>
          <w:sz w:val="18"/>
        </w:rPr>
        <w:t> </w:t>
      </w:r>
      <w:r>
        <w:rPr>
          <w:i/>
          <w:color w:val="231F20"/>
          <w:sz w:val="18"/>
        </w:rPr>
        <w:t>y</w:t>
      </w:r>
      <w:r>
        <w:rPr>
          <w:i/>
          <w:color w:val="231F20"/>
          <w:spacing w:val="-5"/>
          <w:sz w:val="18"/>
        </w:rPr>
        <w:t> </w:t>
      </w:r>
      <w:r>
        <w:rPr>
          <w:i/>
          <w:color w:val="231F20"/>
          <w:sz w:val="18"/>
        </w:rPr>
        <w:t>relaciones</w:t>
      </w:r>
      <w:r>
        <w:rPr>
          <w:i/>
          <w:color w:val="231F20"/>
          <w:spacing w:val="-5"/>
          <w:sz w:val="18"/>
        </w:rPr>
        <w:t> </w:t>
      </w:r>
      <w:r>
        <w:rPr>
          <w:i/>
          <w:color w:val="231F20"/>
          <w:sz w:val="18"/>
        </w:rPr>
        <w:t>de</w:t>
      </w:r>
      <w:r>
        <w:rPr>
          <w:i/>
          <w:color w:val="231F20"/>
          <w:spacing w:val="-5"/>
          <w:sz w:val="18"/>
        </w:rPr>
        <w:t> </w:t>
      </w:r>
      <w:r>
        <w:rPr>
          <w:i/>
          <w:color w:val="231F20"/>
          <w:sz w:val="18"/>
        </w:rPr>
        <w:t>género</w:t>
      </w:r>
      <w:r>
        <w:rPr>
          <w:color w:val="231F20"/>
          <w:sz w:val="18"/>
        </w:rPr>
        <w:t>,</w:t>
      </w:r>
      <w:r>
        <w:rPr>
          <w:color w:val="231F20"/>
          <w:spacing w:val="-5"/>
          <w:sz w:val="18"/>
        </w:rPr>
        <w:t> </w:t>
      </w:r>
      <w:r>
        <w:rPr>
          <w:color w:val="231F20"/>
          <w:sz w:val="18"/>
        </w:rPr>
        <w:t>Santiago</w:t>
      </w:r>
      <w:r>
        <w:rPr>
          <w:color w:val="231F20"/>
          <w:spacing w:val="-4"/>
          <w:sz w:val="18"/>
        </w:rPr>
        <w:t> </w:t>
      </w:r>
      <w:r>
        <w:rPr>
          <w:color w:val="231F20"/>
          <w:sz w:val="18"/>
        </w:rPr>
        <w:t>de</w:t>
      </w:r>
      <w:r>
        <w:rPr>
          <w:color w:val="231F20"/>
          <w:spacing w:val="-5"/>
          <w:sz w:val="18"/>
        </w:rPr>
        <w:t> </w:t>
      </w:r>
      <w:r>
        <w:rPr>
          <w:color w:val="231F20"/>
          <w:sz w:val="18"/>
        </w:rPr>
        <w:t>Chile:</w:t>
      </w:r>
      <w:r>
        <w:rPr>
          <w:color w:val="231F20"/>
          <w:spacing w:val="-4"/>
          <w:sz w:val="18"/>
        </w:rPr>
        <w:t> </w:t>
      </w:r>
      <w:r>
        <w:rPr>
          <w:color w:val="231F20"/>
          <w:sz w:val="18"/>
        </w:rPr>
        <w:t>Centro de Estudios de la Mujer / Fundación</w:t>
      </w:r>
      <w:r>
        <w:rPr>
          <w:color w:val="231F20"/>
          <w:spacing w:val="-18"/>
          <w:sz w:val="18"/>
        </w:rPr>
        <w:t> </w:t>
      </w:r>
      <w:r>
        <w:rPr>
          <w:color w:val="231F20"/>
          <w:sz w:val="18"/>
        </w:rPr>
        <w:t>Ford.</w:t>
      </w:r>
    </w:p>
    <w:p>
      <w:pPr>
        <w:spacing w:after="0" w:line="254" w:lineRule="auto"/>
        <w:jc w:val="both"/>
        <w:rPr>
          <w:sz w:val="18"/>
        </w:rPr>
        <w:sectPr>
          <w:footerReference w:type="default" r:id="rId254"/>
          <w:pgSz w:w="7770" w:h="11740"/>
          <w:pgMar w:footer="474" w:header="0" w:top="840" w:bottom="660" w:left="1020" w:right="740"/>
        </w:sectPr>
      </w:pPr>
    </w:p>
    <w:p>
      <w:pPr>
        <w:pStyle w:val="BodyText"/>
      </w:pPr>
      <w:r>
        <w:rPr/>
        <w:pict>
          <v:shape style="position:absolute;margin-left:34.063pt;margin-top:538.958984pt;width:325.45pt;height:30.45pt;mso-position-horizontal-relative:page;mso-position-vertical-relative:page;z-index:-329992" type="#_x0000_t202" filled="false" stroked="false">
            <v:textbox inset="0,0,0,0">
              <w:txbxContent>
                <w:p>
                  <w:pPr>
                    <w:pStyle w:val="BodyText"/>
                    <w:spacing w:before="171"/>
                    <w:ind w:left="2392" w:right="2780"/>
                    <w:jc w:val="center"/>
                  </w:pPr>
                  <w:r>
                    <w:rPr>
                      <w:color w:val="231F20"/>
                    </w:rPr>
                    <w:t>224</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2"/>
        </w:rPr>
      </w:pPr>
    </w:p>
    <w:p>
      <w:pPr>
        <w:pStyle w:val="BodyText"/>
        <w:ind w:left="101"/>
      </w:pPr>
      <w:r>
        <w:rPr/>
        <w:pict>
          <v:group style="width:325.45pt;height:30.45pt;mso-position-horizontal-relative:char;mso-position-vertical-relative:line" coordorigin="0,0" coordsize="6509,609">
            <v:rect style="position:absolute;left:0;top:0;width:6508;height:609" filled="true" fillcolor="#ffffff" stroked="false">
              <v:fill type="solid"/>
            </v:rect>
          </v:group>
        </w:pict>
      </w:r>
      <w:r>
        <w:rPr/>
      </w:r>
    </w:p>
    <w:p>
      <w:pPr>
        <w:spacing w:after="0"/>
        <w:sectPr>
          <w:footerReference w:type="default" r:id="rId255"/>
          <w:pgSz w:w="7770" w:h="11740"/>
          <w:pgMar w:footer="0" w:header="0" w:top="1080" w:bottom="0" w:left="580" w:right="460"/>
        </w:sectPr>
      </w:pPr>
    </w:p>
    <w:p>
      <w:pPr>
        <w:spacing w:line="324" w:lineRule="auto" w:before="65"/>
        <w:ind w:left="213" w:right="2326" w:firstLine="0"/>
        <w:jc w:val="left"/>
        <w:rPr>
          <w:sz w:val="18"/>
        </w:rPr>
      </w:pPr>
      <w:r>
        <w:rPr/>
        <w:pict>
          <v:shape style="position:absolute;margin-left:51.306999pt;margin-top:538.958984pt;width:325.45pt;height:30.45pt;mso-position-horizontal-relative:page;mso-position-vertical-relative:page;z-index:-329944" type="#_x0000_t202" filled="false" stroked="false">
            <v:textbox inset="0,0,0,0">
              <w:txbxContent>
                <w:p>
                  <w:pPr>
                    <w:pStyle w:val="BodyText"/>
                    <w:spacing w:before="3"/>
                    <w:rPr>
                      <w:sz w:val="22"/>
                    </w:rPr>
                  </w:pPr>
                </w:p>
                <w:p>
                  <w:pPr>
                    <w:pStyle w:val="BodyText"/>
                    <w:ind w:left="2289" w:right="2780"/>
                    <w:jc w:val="center"/>
                  </w:pPr>
                  <w:r>
                    <w:rPr>
                      <w:color w:val="231F20"/>
                    </w:rPr>
                    <w:t>225</w:t>
                  </w:r>
                </w:p>
              </w:txbxContent>
            </v:textbox>
            <w10:wrap type="none"/>
          </v:shape>
        </w:pict>
      </w:r>
      <w:r>
        <w:rPr>
          <w:color w:val="231F20"/>
          <w:sz w:val="18"/>
        </w:rPr>
        <w:t>NUEVAS DESIGUALDADES, POBREZA LABORAL Y SIGNIFICADOS DEL TRABAJO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5"/>
        </w:rPr>
      </w:pPr>
      <w:r>
        <w:rPr/>
        <w:pict>
          <v:rect style="position:absolute;margin-left:51.306999pt;margin-top:16.632460pt;width:325.418pt;height:30.429pt;mso-position-horizontal-relative:page;mso-position-vertical-relative:paragraph;z-index:7936;mso-wrap-distance-left:0;mso-wrap-distance-right:0" filled="true" fillcolor="#ffffff" stroked="false">
            <v:fill type="solid"/>
            <w10:wrap type="topAndBottom"/>
          </v:rect>
        </w:pict>
      </w:r>
    </w:p>
    <w:p>
      <w:pPr>
        <w:spacing w:after="0"/>
        <w:rPr>
          <w:sz w:val="25"/>
        </w:rPr>
        <w:sectPr>
          <w:footerReference w:type="default" r:id="rId256"/>
          <w:pgSz w:w="7770" w:h="11740"/>
          <w:pgMar w:footer="0" w:header="0" w:top="840" w:bottom="0" w:left="920" w:right="120"/>
        </w:sectPr>
      </w:pPr>
    </w:p>
    <w:p>
      <w:pPr>
        <w:pStyle w:val="BodyText"/>
      </w:pPr>
      <w:r>
        <w:rPr/>
        <w:pict>
          <v:shape style="position:absolute;margin-left:24.377001pt;margin-top:543.210999pt;width:325.45pt;height:30.45pt;mso-position-horizontal-relative:page;mso-position-vertical-relative:page;z-index:-329896" type="#_x0000_t202" filled="false" stroked="false">
            <v:textbox inset="0,0,0,0">
              <w:txbxContent>
                <w:p>
                  <w:pPr>
                    <w:pStyle w:val="BodyText"/>
                    <w:spacing w:before="86"/>
                    <w:ind w:left="2780" w:right="2780"/>
                    <w:jc w:val="center"/>
                  </w:pPr>
                  <w:r>
                    <w:rPr>
                      <w:color w:val="231F20"/>
                    </w:rPr>
                    <w:t>226</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9"/>
        </w:rPr>
      </w:pPr>
    </w:p>
    <w:p>
      <w:pPr>
        <w:pStyle w:val="BodyText"/>
        <w:ind w:left="107"/>
      </w:pPr>
      <w:r>
        <w:rPr/>
        <w:pict>
          <v:group style="width:325.45pt;height:30.45pt;mso-position-horizontal-relative:char;mso-position-vertical-relative:line" coordorigin="0,0" coordsize="6509,609">
            <v:rect style="position:absolute;left:0;top:0;width:6508;height:609" filled="true" fillcolor="#ffffff" stroked="false">
              <v:fill type="solid"/>
            </v:rect>
          </v:group>
        </w:pict>
      </w:r>
      <w:r>
        <w:rPr/>
      </w:r>
    </w:p>
    <w:p>
      <w:pPr>
        <w:spacing w:after="0"/>
        <w:sectPr>
          <w:footerReference w:type="default" r:id="rId257"/>
          <w:pgSz w:w="7770" w:h="11740"/>
          <w:pgMar w:footer="0" w:header="0" w:top="1080" w:bottom="0" w:left="380" w:right="660"/>
        </w:sectPr>
      </w:pPr>
    </w:p>
    <w:p>
      <w:pPr>
        <w:pStyle w:val="Heading1"/>
        <w:spacing w:line="430" w:lineRule="exact" w:before="32"/>
        <w:ind w:left="1060"/>
      </w:pPr>
      <w:r>
        <w:rPr>
          <w:color w:val="231F20"/>
          <w:w w:val="70"/>
        </w:rPr>
        <w:t>Equidad de género en el programa Mujeres</w:t>
      </w:r>
    </w:p>
    <w:p>
      <w:pPr>
        <w:spacing w:line="400" w:lineRule="exact" w:before="23"/>
        <w:ind w:left="3268" w:right="94" w:hanging="683"/>
        <w:jc w:val="left"/>
        <w:rPr>
          <w:sz w:val="40"/>
        </w:rPr>
      </w:pPr>
      <w:r>
        <w:rPr>
          <w:color w:val="231F20"/>
          <w:w w:val="70"/>
          <w:sz w:val="40"/>
        </w:rPr>
        <w:t>Trabajadoras</w:t>
      </w:r>
      <w:r>
        <w:rPr>
          <w:color w:val="231F20"/>
          <w:spacing w:val="-10"/>
          <w:w w:val="70"/>
          <w:sz w:val="40"/>
        </w:rPr>
        <w:t> </w:t>
      </w:r>
      <w:r>
        <w:rPr>
          <w:color w:val="231F20"/>
          <w:w w:val="70"/>
          <w:sz w:val="40"/>
        </w:rPr>
        <w:t>Comprometidas </w:t>
      </w:r>
      <w:r>
        <w:rPr>
          <w:color w:val="231F20"/>
          <w:w w:val="75"/>
          <w:sz w:val="40"/>
        </w:rPr>
        <w:t>en</w:t>
      </w:r>
      <w:r>
        <w:rPr>
          <w:color w:val="231F20"/>
          <w:spacing w:val="-50"/>
          <w:w w:val="75"/>
          <w:sz w:val="40"/>
        </w:rPr>
        <w:t> </w:t>
      </w:r>
      <w:r>
        <w:rPr>
          <w:color w:val="231F20"/>
          <w:w w:val="75"/>
          <w:sz w:val="40"/>
        </w:rPr>
        <w:t>el</w:t>
      </w:r>
      <w:r>
        <w:rPr>
          <w:color w:val="231F20"/>
          <w:spacing w:val="-49"/>
          <w:w w:val="75"/>
          <w:sz w:val="40"/>
        </w:rPr>
        <w:t> </w:t>
      </w:r>
      <w:r>
        <w:rPr>
          <w:color w:val="231F20"/>
          <w:w w:val="75"/>
          <w:sz w:val="40"/>
        </w:rPr>
        <w:t>Estado</w:t>
      </w:r>
      <w:r>
        <w:rPr>
          <w:color w:val="231F20"/>
          <w:spacing w:val="-50"/>
          <w:w w:val="75"/>
          <w:sz w:val="40"/>
        </w:rPr>
        <w:t> </w:t>
      </w:r>
      <w:r>
        <w:rPr>
          <w:color w:val="231F20"/>
          <w:w w:val="75"/>
          <w:sz w:val="40"/>
        </w:rPr>
        <w:t>de</w:t>
      </w:r>
      <w:r>
        <w:rPr>
          <w:color w:val="231F20"/>
          <w:spacing w:val="-49"/>
          <w:w w:val="75"/>
          <w:sz w:val="40"/>
        </w:rPr>
        <w:t> </w:t>
      </w:r>
      <w:r>
        <w:rPr>
          <w:color w:val="231F20"/>
          <w:w w:val="75"/>
          <w:sz w:val="40"/>
        </w:rPr>
        <w:t>México</w:t>
      </w:r>
    </w:p>
    <w:p>
      <w:pPr>
        <w:pStyle w:val="BodyText"/>
        <w:spacing w:before="8"/>
        <w:rPr>
          <w:sz w:val="46"/>
        </w:rPr>
      </w:pPr>
    </w:p>
    <w:p>
      <w:pPr>
        <w:pStyle w:val="Heading3"/>
        <w:ind w:left="674"/>
      </w:pPr>
      <w:r>
        <w:rPr>
          <w:color w:val="231F20"/>
        </w:rPr>
        <w:t>Evelín Pérez González* y Jorge Arzate Salgado**</w:t>
      </w:r>
    </w:p>
    <w:p>
      <w:pPr>
        <w:pStyle w:val="BodyText"/>
        <w:rPr>
          <w:sz w:val="26"/>
        </w:rPr>
      </w:pPr>
    </w:p>
    <w:p>
      <w:pPr>
        <w:pStyle w:val="BodyText"/>
        <w:rPr>
          <w:sz w:val="26"/>
        </w:rPr>
      </w:pPr>
    </w:p>
    <w:p>
      <w:pPr>
        <w:pStyle w:val="Heading4"/>
        <w:spacing w:before="181"/>
        <w:ind w:right="792"/>
        <w:jc w:val="left"/>
      </w:pPr>
      <w:r>
        <w:rPr>
          <w:w w:val="85"/>
        </w:rPr>
        <w:t>Introducción</w:t>
      </w:r>
    </w:p>
    <w:p>
      <w:pPr>
        <w:pStyle w:val="BodyText"/>
        <w:rPr>
          <w:b/>
        </w:rPr>
      </w:pPr>
    </w:p>
    <w:p>
      <w:pPr>
        <w:pStyle w:val="BodyText"/>
        <w:spacing w:before="7"/>
        <w:rPr>
          <w:b/>
          <w:sz w:val="24"/>
        </w:rPr>
      </w:pPr>
    </w:p>
    <w:p>
      <w:pPr>
        <w:pStyle w:val="BodyText"/>
        <w:spacing w:line="249" w:lineRule="auto" w:before="75"/>
        <w:ind w:left="113" w:right="108"/>
        <w:jc w:val="both"/>
      </w:pPr>
      <w:r>
        <w:rPr>
          <w:color w:val="231F20"/>
        </w:rPr>
        <w:t>En este capítulo se hace un acercamiento al programa “Mujeres</w:t>
      </w:r>
      <w:r>
        <w:rPr>
          <w:color w:val="231F20"/>
          <w:spacing w:val="-33"/>
        </w:rPr>
        <w:t> </w:t>
      </w:r>
      <w:r>
        <w:rPr>
          <w:color w:val="231F20"/>
        </w:rPr>
        <w:t>Trabaja- doras Comprometidas” (MTC) desde una perspectiva de género,</w:t>
      </w:r>
      <w:r>
        <w:rPr>
          <w:color w:val="231F20"/>
          <w:spacing w:val="-17"/>
        </w:rPr>
        <w:t> </w:t>
      </w:r>
      <w:r>
        <w:rPr>
          <w:color w:val="231F20"/>
        </w:rPr>
        <w:t>progra- ma implementado por el Gobierno del Estado de México entre los años 2008</w:t>
      </w:r>
      <w:r>
        <w:rPr>
          <w:color w:val="231F20"/>
          <w:spacing w:val="-5"/>
        </w:rPr>
        <w:t> </w:t>
      </w:r>
      <w:r>
        <w:rPr>
          <w:color w:val="231F20"/>
        </w:rPr>
        <w:t>a</w:t>
      </w:r>
      <w:r>
        <w:rPr>
          <w:color w:val="231F20"/>
          <w:spacing w:val="-5"/>
        </w:rPr>
        <w:t> </w:t>
      </w:r>
      <w:r>
        <w:rPr>
          <w:color w:val="231F20"/>
        </w:rPr>
        <w:t>2012.</w:t>
      </w:r>
      <w:r>
        <w:rPr>
          <w:color w:val="231F20"/>
          <w:spacing w:val="-5"/>
        </w:rPr>
        <w:t> </w:t>
      </w:r>
      <w:r>
        <w:rPr>
          <w:color w:val="231F20"/>
        </w:rPr>
        <w:t>Dicho</w:t>
      </w:r>
      <w:r>
        <w:rPr>
          <w:color w:val="231F20"/>
          <w:spacing w:val="-5"/>
        </w:rPr>
        <w:t> </w:t>
      </w:r>
      <w:r>
        <w:rPr>
          <w:color w:val="231F20"/>
        </w:rPr>
        <w:t>programa</w:t>
      </w:r>
      <w:r>
        <w:rPr>
          <w:color w:val="231F20"/>
          <w:spacing w:val="-5"/>
        </w:rPr>
        <w:t> </w:t>
      </w:r>
      <w:r>
        <w:rPr>
          <w:color w:val="231F20"/>
        </w:rPr>
        <w:t>estaba</w:t>
      </w:r>
      <w:r>
        <w:rPr>
          <w:color w:val="231F20"/>
          <w:spacing w:val="-5"/>
        </w:rPr>
        <w:t> </w:t>
      </w:r>
      <w:r>
        <w:rPr>
          <w:color w:val="231F20"/>
        </w:rPr>
        <w:t>dirigido</w:t>
      </w:r>
      <w:r>
        <w:rPr>
          <w:color w:val="231F20"/>
          <w:spacing w:val="-5"/>
        </w:rPr>
        <w:t> </w:t>
      </w:r>
      <w:r>
        <w:rPr>
          <w:color w:val="231F20"/>
        </w:rPr>
        <w:t>a</w:t>
      </w:r>
      <w:r>
        <w:rPr>
          <w:color w:val="231F20"/>
          <w:spacing w:val="-5"/>
        </w:rPr>
        <w:t> </w:t>
      </w:r>
      <w:r>
        <w:rPr>
          <w:color w:val="231F20"/>
        </w:rPr>
        <w:t>mujeres</w:t>
      </w:r>
      <w:r>
        <w:rPr>
          <w:color w:val="231F20"/>
          <w:spacing w:val="-6"/>
        </w:rPr>
        <w:t> </w:t>
      </w:r>
      <w:r>
        <w:rPr>
          <w:color w:val="231F20"/>
        </w:rPr>
        <w:t>entre</w:t>
      </w:r>
      <w:r>
        <w:rPr>
          <w:color w:val="231F20"/>
          <w:spacing w:val="-5"/>
        </w:rPr>
        <w:t> </w:t>
      </w:r>
      <w:r>
        <w:rPr>
          <w:color w:val="231F20"/>
        </w:rPr>
        <w:t>los</w:t>
      </w:r>
      <w:r>
        <w:rPr>
          <w:color w:val="231F20"/>
          <w:spacing w:val="-5"/>
        </w:rPr>
        <w:t> </w:t>
      </w:r>
      <w:r>
        <w:rPr>
          <w:color w:val="231F20"/>
        </w:rPr>
        <w:t>18</w:t>
      </w:r>
      <w:r>
        <w:rPr>
          <w:color w:val="231F20"/>
          <w:spacing w:val="-5"/>
        </w:rPr>
        <w:t> </w:t>
      </w:r>
      <w:r>
        <w:rPr>
          <w:color w:val="231F20"/>
        </w:rPr>
        <w:t>y</w:t>
      </w:r>
      <w:r>
        <w:rPr>
          <w:color w:val="231F20"/>
          <w:spacing w:val="-5"/>
        </w:rPr>
        <w:t> </w:t>
      </w:r>
      <w:r>
        <w:rPr>
          <w:color w:val="231F20"/>
        </w:rPr>
        <w:t>35 años</w:t>
      </w:r>
      <w:r>
        <w:rPr>
          <w:color w:val="231F20"/>
          <w:spacing w:val="-10"/>
        </w:rPr>
        <w:t> </w:t>
      </w:r>
      <w:r>
        <w:rPr>
          <w:color w:val="231F20"/>
        </w:rPr>
        <w:t>de</w:t>
      </w:r>
      <w:r>
        <w:rPr>
          <w:color w:val="231F20"/>
          <w:spacing w:val="-10"/>
        </w:rPr>
        <w:t> </w:t>
      </w:r>
      <w:r>
        <w:rPr>
          <w:color w:val="231F20"/>
        </w:rPr>
        <w:t>edad</w:t>
      </w:r>
      <w:r>
        <w:rPr>
          <w:color w:val="231F20"/>
          <w:spacing w:val="-10"/>
        </w:rPr>
        <w:t> </w:t>
      </w:r>
      <w:r>
        <w:rPr>
          <w:color w:val="231F20"/>
        </w:rPr>
        <w:t>que</w:t>
      </w:r>
      <w:r>
        <w:rPr>
          <w:color w:val="231F20"/>
          <w:spacing w:val="-10"/>
        </w:rPr>
        <w:t> </w:t>
      </w:r>
      <w:r>
        <w:rPr>
          <w:color w:val="231F20"/>
        </w:rPr>
        <w:t>radicaban</w:t>
      </w:r>
      <w:r>
        <w:rPr>
          <w:color w:val="231F20"/>
          <w:spacing w:val="-10"/>
        </w:rPr>
        <w:t> </w:t>
      </w:r>
      <w:r>
        <w:rPr>
          <w:color w:val="231F20"/>
        </w:rPr>
        <w:t>en</w:t>
      </w:r>
      <w:r>
        <w:rPr>
          <w:color w:val="231F20"/>
          <w:spacing w:val="-10"/>
        </w:rPr>
        <w:t> </w:t>
      </w:r>
      <w:r>
        <w:rPr>
          <w:color w:val="231F20"/>
        </w:rPr>
        <w:t>localidades</w:t>
      </w:r>
      <w:r>
        <w:rPr>
          <w:color w:val="231F20"/>
          <w:spacing w:val="-10"/>
        </w:rPr>
        <w:t> </w:t>
      </w:r>
      <w:r>
        <w:rPr>
          <w:color w:val="231F20"/>
        </w:rPr>
        <w:t>y</w:t>
      </w:r>
      <w:r>
        <w:rPr>
          <w:color w:val="231F20"/>
          <w:spacing w:val="-10"/>
        </w:rPr>
        <w:t> </w:t>
      </w:r>
      <w:r>
        <w:rPr>
          <w:color w:val="231F20"/>
        </w:rPr>
        <w:t>áreas</w:t>
      </w:r>
      <w:r>
        <w:rPr>
          <w:color w:val="231F20"/>
          <w:spacing w:val="-10"/>
        </w:rPr>
        <w:t> </w:t>
      </w:r>
      <w:r>
        <w:rPr>
          <w:color w:val="231F20"/>
        </w:rPr>
        <w:t>geoestadísticas</w:t>
      </w:r>
      <w:r>
        <w:rPr>
          <w:color w:val="231F20"/>
          <w:spacing w:val="-10"/>
        </w:rPr>
        <w:t> </w:t>
      </w:r>
      <w:r>
        <w:rPr>
          <w:color w:val="231F20"/>
        </w:rPr>
        <w:t>básicas de</w:t>
      </w:r>
      <w:r>
        <w:rPr>
          <w:color w:val="231F20"/>
          <w:spacing w:val="-7"/>
        </w:rPr>
        <w:t> </w:t>
      </w:r>
      <w:r>
        <w:rPr>
          <w:color w:val="231F20"/>
        </w:rPr>
        <w:t>alta</w:t>
      </w:r>
      <w:r>
        <w:rPr>
          <w:color w:val="231F20"/>
          <w:spacing w:val="-7"/>
        </w:rPr>
        <w:t> </w:t>
      </w:r>
      <w:r>
        <w:rPr>
          <w:color w:val="231F20"/>
        </w:rPr>
        <w:t>marginación</w:t>
      </w:r>
      <w:r>
        <w:rPr>
          <w:color w:val="231F20"/>
          <w:spacing w:val="-7"/>
        </w:rPr>
        <w:t> </w:t>
      </w:r>
      <w:r>
        <w:rPr>
          <w:color w:val="231F20"/>
        </w:rPr>
        <w:t>en</w:t>
      </w:r>
      <w:r>
        <w:rPr>
          <w:color w:val="231F20"/>
          <w:spacing w:val="-7"/>
        </w:rPr>
        <w:t> </w:t>
      </w:r>
      <w:r>
        <w:rPr>
          <w:color w:val="231F20"/>
        </w:rPr>
        <w:t>municipios</w:t>
      </w:r>
      <w:r>
        <w:rPr>
          <w:color w:val="231F20"/>
          <w:spacing w:val="-7"/>
        </w:rPr>
        <w:t> </w:t>
      </w:r>
      <w:r>
        <w:rPr>
          <w:color w:val="231F20"/>
        </w:rPr>
        <w:t>rurales</w:t>
      </w:r>
      <w:r>
        <w:rPr>
          <w:color w:val="231F20"/>
          <w:spacing w:val="-7"/>
        </w:rPr>
        <w:t> </w:t>
      </w:r>
      <w:r>
        <w:rPr>
          <w:color w:val="231F20"/>
        </w:rPr>
        <w:t>y</w:t>
      </w:r>
      <w:r>
        <w:rPr>
          <w:color w:val="231F20"/>
          <w:spacing w:val="-7"/>
        </w:rPr>
        <w:t> </w:t>
      </w:r>
      <w:r>
        <w:rPr>
          <w:color w:val="231F20"/>
        </w:rPr>
        <w:t>urbanos</w:t>
      </w:r>
      <w:r>
        <w:rPr>
          <w:color w:val="231F20"/>
          <w:spacing w:val="-7"/>
        </w:rPr>
        <w:t> </w:t>
      </w:r>
      <w:r>
        <w:rPr>
          <w:color w:val="231F20"/>
        </w:rPr>
        <w:t>del</w:t>
      </w:r>
      <w:r>
        <w:rPr>
          <w:color w:val="231F20"/>
          <w:spacing w:val="-7"/>
        </w:rPr>
        <w:t> </w:t>
      </w:r>
      <w:r>
        <w:rPr>
          <w:color w:val="231F20"/>
        </w:rPr>
        <w:t>Estado</w:t>
      </w:r>
      <w:r>
        <w:rPr>
          <w:color w:val="231F20"/>
          <w:spacing w:val="-8"/>
        </w:rPr>
        <w:t> </w:t>
      </w:r>
      <w:r>
        <w:rPr>
          <w:color w:val="231F20"/>
        </w:rPr>
        <w:t>de</w:t>
      </w:r>
      <w:r>
        <w:rPr>
          <w:color w:val="231F20"/>
          <w:spacing w:val="-7"/>
        </w:rPr>
        <w:t> </w:t>
      </w:r>
      <w:r>
        <w:rPr>
          <w:color w:val="231F20"/>
        </w:rPr>
        <w:t>Méxi- co. El objetivo del trabajo es explorar el desempeño de este programa</w:t>
      </w:r>
      <w:r>
        <w:rPr>
          <w:color w:val="231F20"/>
          <w:spacing w:val="-26"/>
        </w:rPr>
        <w:t> </w:t>
      </w:r>
      <w:r>
        <w:rPr>
          <w:color w:val="231F20"/>
        </w:rPr>
        <w:t>en el caso de una comunidad del valle de</w:t>
      </w:r>
      <w:r>
        <w:rPr>
          <w:color w:val="231F20"/>
          <w:spacing w:val="-21"/>
        </w:rPr>
        <w:t> </w:t>
      </w:r>
      <w:r>
        <w:rPr>
          <w:color w:val="231F20"/>
        </w:rPr>
        <w:t>Toluca.</w:t>
      </w:r>
    </w:p>
    <w:p>
      <w:pPr>
        <w:pStyle w:val="BodyText"/>
        <w:spacing w:line="249" w:lineRule="auto" w:before="1"/>
        <w:ind w:left="113" w:right="109" w:firstLine="283"/>
        <w:jc w:val="both"/>
      </w:pPr>
      <w:r>
        <w:rPr>
          <w:color w:val="231F20"/>
        </w:rPr>
        <w:t>MTC fue un programa compensatorio focalizado dirigido hacia las mujeres vulnerables, que pretendía resolver su situación económica y social</w:t>
      </w:r>
      <w:r>
        <w:rPr>
          <w:color w:val="231F20"/>
          <w:spacing w:val="-8"/>
        </w:rPr>
        <w:t> </w:t>
      </w:r>
      <w:r>
        <w:rPr>
          <w:color w:val="231F20"/>
        </w:rPr>
        <w:t>de</w:t>
      </w:r>
      <w:r>
        <w:rPr>
          <w:color w:val="231F20"/>
          <w:spacing w:val="-8"/>
        </w:rPr>
        <w:t> </w:t>
      </w:r>
      <w:r>
        <w:rPr>
          <w:color w:val="231F20"/>
        </w:rPr>
        <w:t>precariedad,</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erradicar</w:t>
      </w:r>
      <w:r>
        <w:rPr>
          <w:color w:val="231F20"/>
          <w:spacing w:val="-8"/>
        </w:rPr>
        <w:t> </w:t>
      </w:r>
      <w:r>
        <w:rPr>
          <w:color w:val="231F20"/>
        </w:rPr>
        <w:t>su</w:t>
      </w:r>
      <w:r>
        <w:rPr>
          <w:color w:val="231F20"/>
          <w:spacing w:val="-8"/>
        </w:rPr>
        <w:t> </w:t>
      </w:r>
      <w:r>
        <w:rPr>
          <w:color w:val="231F20"/>
        </w:rPr>
        <w:t>condición</w:t>
      </w:r>
      <w:r>
        <w:rPr>
          <w:color w:val="231F20"/>
          <w:spacing w:val="-8"/>
        </w:rPr>
        <w:t> </w:t>
      </w:r>
      <w:r>
        <w:rPr>
          <w:color w:val="231F20"/>
        </w:rPr>
        <w:t>de</w:t>
      </w:r>
      <w:r>
        <w:rPr>
          <w:color w:val="231F20"/>
          <w:spacing w:val="-8"/>
        </w:rPr>
        <w:t> </w:t>
      </w:r>
      <w:r>
        <w:rPr>
          <w:color w:val="231F20"/>
        </w:rPr>
        <w:t>exclusión</w:t>
      </w:r>
      <w:r>
        <w:rPr>
          <w:color w:val="231F20"/>
          <w:spacing w:val="-8"/>
        </w:rPr>
        <w:t> </w:t>
      </w:r>
      <w:r>
        <w:rPr>
          <w:color w:val="231F20"/>
        </w:rPr>
        <w:t>y</w:t>
      </w:r>
      <w:r>
        <w:rPr>
          <w:color w:val="231F20"/>
          <w:spacing w:val="-8"/>
        </w:rPr>
        <w:t> </w:t>
      </w:r>
      <w:r>
        <w:rPr>
          <w:color w:val="231F20"/>
        </w:rPr>
        <w:t>po- breza mediante el otorgamiento de apoyos económicos. El acercamiento al programa se hace desde una metodología cualitativa, la cual explo-  ró las siguientes dimensiones: autonomía del género, oportunidades de las mujeres y su familia de acceso a los servicios públicos, seguridad económica de la mujer para su familia, y eficiencia en la operación del programa.</w:t>
      </w:r>
    </w:p>
    <w:p>
      <w:pPr>
        <w:pStyle w:val="BodyText"/>
        <w:spacing w:line="249" w:lineRule="auto" w:before="1"/>
        <w:ind w:left="113" w:right="107" w:firstLine="283"/>
        <w:jc w:val="both"/>
      </w:pPr>
      <w:r>
        <w:rPr>
          <w:color w:val="231F20"/>
        </w:rPr>
        <w:t>Uno de los objetivos centrales del programa era el de complementar el</w:t>
      </w:r>
      <w:r>
        <w:rPr>
          <w:color w:val="231F20"/>
          <w:spacing w:val="-10"/>
        </w:rPr>
        <w:t> </w:t>
      </w:r>
      <w:r>
        <w:rPr>
          <w:color w:val="231F20"/>
        </w:rPr>
        <w:t>ingreso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beneficiarias,</w:t>
      </w:r>
      <w:r>
        <w:rPr>
          <w:color w:val="231F20"/>
          <w:spacing w:val="-10"/>
        </w:rPr>
        <w:t> </w:t>
      </w:r>
      <w:r>
        <w:rPr>
          <w:color w:val="231F20"/>
        </w:rPr>
        <w:t>mediante</w:t>
      </w:r>
      <w:r>
        <w:rPr>
          <w:color w:val="231F20"/>
          <w:spacing w:val="-10"/>
        </w:rPr>
        <w:t> </w:t>
      </w:r>
      <w:r>
        <w:rPr>
          <w:color w:val="231F20"/>
        </w:rPr>
        <w:t>la</w:t>
      </w:r>
      <w:r>
        <w:rPr>
          <w:color w:val="231F20"/>
          <w:spacing w:val="-10"/>
        </w:rPr>
        <w:t> </w:t>
      </w:r>
      <w:r>
        <w:rPr>
          <w:color w:val="231F20"/>
        </w:rPr>
        <w:t>entrega</w:t>
      </w:r>
      <w:r>
        <w:rPr>
          <w:color w:val="231F20"/>
          <w:spacing w:val="-10"/>
        </w:rPr>
        <w:t> </w:t>
      </w:r>
      <w:r>
        <w:rPr>
          <w:color w:val="231F20"/>
        </w:rPr>
        <w:t>de</w:t>
      </w:r>
      <w:r>
        <w:rPr>
          <w:color w:val="231F20"/>
          <w:spacing w:val="-10"/>
        </w:rPr>
        <w:t> </w:t>
      </w:r>
      <w:r>
        <w:rPr>
          <w:color w:val="231F20"/>
        </w:rPr>
        <w:t>transferen- cias en efectivo, para disminuir su condición de marginación. Por lo que era un programa compensatorio dirigido a la lucha contra la pobreza de la</w:t>
      </w:r>
      <w:r>
        <w:rPr>
          <w:color w:val="231F20"/>
          <w:spacing w:val="-9"/>
        </w:rPr>
        <w:t> </w:t>
      </w:r>
      <w:r>
        <w:rPr>
          <w:color w:val="231F20"/>
        </w:rPr>
        <w:t>mujer</w:t>
      </w:r>
      <w:r>
        <w:rPr>
          <w:color w:val="231F20"/>
          <w:spacing w:val="-9"/>
        </w:rPr>
        <w:t> </w:t>
      </w:r>
      <w:r>
        <w:rPr>
          <w:color w:val="231F20"/>
        </w:rPr>
        <w:t>rural.</w:t>
      </w:r>
      <w:r>
        <w:rPr>
          <w:color w:val="231F20"/>
          <w:spacing w:val="-9"/>
        </w:rPr>
        <w:t> </w:t>
      </w:r>
      <w:r>
        <w:rPr>
          <w:color w:val="231F20"/>
        </w:rPr>
        <w:t>Este</w:t>
      </w:r>
      <w:r>
        <w:rPr>
          <w:color w:val="231F20"/>
          <w:spacing w:val="-9"/>
        </w:rPr>
        <w:t> </w:t>
      </w:r>
      <w:r>
        <w:rPr>
          <w:color w:val="231F20"/>
        </w:rPr>
        <w:t>programa</w:t>
      </w:r>
      <w:r>
        <w:rPr>
          <w:color w:val="231F20"/>
          <w:spacing w:val="-9"/>
        </w:rPr>
        <w:t> </w:t>
      </w:r>
      <w:r>
        <w:rPr>
          <w:color w:val="231F20"/>
        </w:rPr>
        <w:t>enfatizó</w:t>
      </w:r>
      <w:r>
        <w:rPr>
          <w:color w:val="231F20"/>
          <w:spacing w:val="-9"/>
        </w:rPr>
        <w:t> </w:t>
      </w:r>
      <w:r>
        <w:rPr>
          <w:color w:val="231F20"/>
        </w:rPr>
        <w:t>el</w:t>
      </w:r>
      <w:r>
        <w:rPr>
          <w:color w:val="231F20"/>
          <w:spacing w:val="-9"/>
        </w:rPr>
        <w:t> </w:t>
      </w:r>
      <w:r>
        <w:rPr>
          <w:color w:val="231F20"/>
        </w:rPr>
        <w:t>apoyo</w:t>
      </w:r>
      <w:r>
        <w:rPr>
          <w:color w:val="231F20"/>
          <w:spacing w:val="-9"/>
        </w:rPr>
        <w:t> </w:t>
      </w:r>
      <w:r>
        <w:rPr>
          <w:color w:val="231F20"/>
        </w:rPr>
        <w:t>al</w:t>
      </w:r>
      <w:r>
        <w:rPr>
          <w:color w:val="231F20"/>
          <w:spacing w:val="-9"/>
        </w:rPr>
        <w:t> </w:t>
      </w:r>
      <w:r>
        <w:rPr>
          <w:color w:val="231F20"/>
        </w:rPr>
        <w:t>género</w:t>
      </w:r>
      <w:r>
        <w:rPr>
          <w:color w:val="231F20"/>
          <w:spacing w:val="-9"/>
        </w:rPr>
        <w:t> </w:t>
      </w:r>
      <w:r>
        <w:rPr>
          <w:color w:val="231F20"/>
        </w:rPr>
        <w:t>femenino</w:t>
      </w:r>
      <w:r>
        <w:rPr>
          <w:color w:val="231F20"/>
          <w:spacing w:val="-9"/>
        </w:rPr>
        <w:t> </w:t>
      </w:r>
      <w:r>
        <w:rPr>
          <w:color w:val="231F20"/>
        </w:rPr>
        <w:t>como una estrategia para mejorar el bienestar de la</w:t>
      </w:r>
      <w:r>
        <w:rPr>
          <w:color w:val="231F20"/>
          <w:spacing w:val="-2"/>
        </w:rPr>
        <w:t> </w:t>
      </w:r>
      <w:r>
        <w:rPr>
          <w:color w:val="231F20"/>
        </w:rPr>
        <w:t>familia.</w:t>
      </w:r>
    </w:p>
    <w:p>
      <w:pPr>
        <w:pStyle w:val="BodyText"/>
        <w:spacing w:before="3"/>
        <w:rPr>
          <w:sz w:val="14"/>
        </w:rPr>
      </w:pPr>
    </w:p>
    <w:p>
      <w:pPr>
        <w:spacing w:line="160" w:lineRule="exact" w:before="1"/>
        <w:ind w:left="113" w:right="792" w:firstLine="0"/>
        <w:jc w:val="left"/>
        <w:rPr>
          <w:sz w:val="14"/>
        </w:rPr>
      </w:pPr>
      <w:r>
        <w:rPr>
          <w:sz w:val="14"/>
        </w:rPr>
        <w:t>* Servidora pública en el municipio de Tenango del Valle.</w:t>
      </w:r>
    </w:p>
    <w:p>
      <w:pPr>
        <w:spacing w:line="160" w:lineRule="exact" w:before="0"/>
        <w:ind w:left="113" w:right="792" w:firstLine="0"/>
        <w:jc w:val="left"/>
        <w:rPr>
          <w:sz w:val="14"/>
        </w:rPr>
      </w:pPr>
      <w:r>
        <w:rPr>
          <w:sz w:val="14"/>
        </w:rPr>
        <w:t>** Profesor-investigador de la Universidad Autónoma del Estado de México.</w:t>
      </w:r>
    </w:p>
    <w:p>
      <w:pPr>
        <w:spacing w:after="0" w:line="160" w:lineRule="exact"/>
        <w:jc w:val="left"/>
        <w:rPr>
          <w:sz w:val="14"/>
        </w:rPr>
        <w:sectPr>
          <w:footerReference w:type="default" r:id="rId258"/>
          <w:pgSz w:w="7770" w:h="11740"/>
          <w:pgMar w:footer="474" w:header="0" w:top="820" w:bottom="660" w:left="1020" w:right="740"/>
          <w:pgNumType w:start="227"/>
        </w:sectPr>
      </w:pPr>
    </w:p>
    <w:p>
      <w:pPr>
        <w:pStyle w:val="BodyText"/>
        <w:spacing w:line="249" w:lineRule="auto" w:before="45"/>
        <w:ind w:left="110" w:right="110" w:firstLine="283"/>
        <w:jc w:val="both"/>
      </w:pPr>
      <w:r>
        <w:rPr>
          <w:color w:val="231F20"/>
        </w:rPr>
        <w:t>La investigación fue realizada en la comunidad de San Pedro</w:t>
      </w:r>
      <w:r>
        <w:rPr>
          <w:color w:val="231F20"/>
          <w:spacing w:val="-32"/>
        </w:rPr>
        <w:t> </w:t>
      </w:r>
      <w:r>
        <w:rPr>
          <w:color w:val="231F20"/>
        </w:rPr>
        <w:t>Tlanix- co, perteneciente al municipio de Tenango del </w:t>
      </w:r>
      <w:r>
        <w:rPr>
          <w:color w:val="231F20"/>
          <w:spacing w:val="-4"/>
        </w:rPr>
        <w:t>Valle, </w:t>
      </w:r>
      <w:r>
        <w:rPr>
          <w:color w:val="231F20"/>
        </w:rPr>
        <w:t>en el valle de </w:t>
      </w:r>
      <w:r>
        <w:rPr>
          <w:color w:val="231F20"/>
          <w:spacing w:val="-3"/>
        </w:rPr>
        <w:t>Tolu- </w:t>
      </w:r>
      <w:r>
        <w:rPr>
          <w:color w:val="231F20"/>
        </w:rPr>
        <w:t>ca.</w:t>
      </w:r>
      <w:r>
        <w:rPr>
          <w:color w:val="231F20"/>
          <w:spacing w:val="-8"/>
        </w:rPr>
        <w:t> </w:t>
      </w:r>
      <w:r>
        <w:rPr>
          <w:color w:val="231F20"/>
        </w:rPr>
        <w:t>En</w:t>
      </w:r>
      <w:r>
        <w:rPr>
          <w:color w:val="231F20"/>
          <w:spacing w:val="-8"/>
        </w:rPr>
        <w:t> </w:t>
      </w:r>
      <w:r>
        <w:rPr>
          <w:color w:val="231F20"/>
        </w:rPr>
        <w:t>donde</w:t>
      </w:r>
      <w:r>
        <w:rPr>
          <w:color w:val="231F20"/>
          <w:spacing w:val="-8"/>
        </w:rPr>
        <w:t> </w:t>
      </w:r>
      <w:r>
        <w:rPr>
          <w:color w:val="231F20"/>
        </w:rPr>
        <w:t>existe</w:t>
      </w:r>
      <w:r>
        <w:rPr>
          <w:color w:val="231F20"/>
          <w:spacing w:val="-8"/>
        </w:rPr>
        <w:t> </w:t>
      </w:r>
      <w:r>
        <w:rPr>
          <w:color w:val="231F20"/>
        </w:rPr>
        <w:t>una</w:t>
      </w:r>
      <w:r>
        <w:rPr>
          <w:color w:val="231F20"/>
          <w:spacing w:val="-8"/>
        </w:rPr>
        <w:t> </w:t>
      </w:r>
      <w:r>
        <w:rPr>
          <w:color w:val="231F20"/>
        </w:rPr>
        <w:t>cultura</w:t>
      </w:r>
      <w:r>
        <w:rPr>
          <w:color w:val="231F20"/>
          <w:spacing w:val="-9"/>
        </w:rPr>
        <w:t> </w:t>
      </w:r>
      <w:r>
        <w:rPr>
          <w:color w:val="231F20"/>
        </w:rPr>
        <w:t>patriarcal</w:t>
      </w:r>
      <w:r>
        <w:rPr>
          <w:color w:val="231F20"/>
          <w:spacing w:val="-8"/>
        </w:rPr>
        <w:t> </w:t>
      </w:r>
      <w:r>
        <w:rPr>
          <w:color w:val="231F20"/>
        </w:rPr>
        <w:t>arraigada,</w:t>
      </w:r>
      <w:r>
        <w:rPr>
          <w:color w:val="231F20"/>
          <w:spacing w:val="-9"/>
        </w:rPr>
        <w:t> </w:t>
      </w:r>
      <w:r>
        <w:rPr>
          <w:color w:val="231F20"/>
        </w:rPr>
        <w:t>la</w:t>
      </w:r>
      <w:r>
        <w:rPr>
          <w:color w:val="231F20"/>
          <w:spacing w:val="-8"/>
        </w:rPr>
        <w:t> </w:t>
      </w:r>
      <w:r>
        <w:rPr>
          <w:color w:val="231F20"/>
        </w:rPr>
        <w:t>cual</w:t>
      </w:r>
      <w:r>
        <w:rPr>
          <w:color w:val="231F20"/>
          <w:spacing w:val="-9"/>
        </w:rPr>
        <w:t> </w:t>
      </w:r>
      <w:r>
        <w:rPr>
          <w:color w:val="231F20"/>
        </w:rPr>
        <w:t>se</w:t>
      </w:r>
      <w:r>
        <w:rPr>
          <w:color w:val="231F20"/>
          <w:spacing w:val="-8"/>
        </w:rPr>
        <w:t> </w:t>
      </w:r>
      <w:r>
        <w:rPr>
          <w:color w:val="231F20"/>
        </w:rPr>
        <w:t>caracteriza por la superioridad del hombre frente a la</w:t>
      </w:r>
      <w:r>
        <w:rPr>
          <w:color w:val="231F20"/>
          <w:spacing w:val="-23"/>
        </w:rPr>
        <w:t> </w:t>
      </w:r>
      <w:r>
        <w:rPr>
          <w:color w:val="231F20"/>
        </w:rPr>
        <w:t>mujer.</w:t>
      </w:r>
    </w:p>
    <w:p>
      <w:pPr>
        <w:pStyle w:val="Heading4"/>
        <w:ind w:left="110"/>
      </w:pPr>
      <w:r>
        <w:rPr>
          <w:w w:val="75"/>
        </w:rPr>
        <w:t>Perspectiva metodológica</w:t>
      </w:r>
    </w:p>
    <w:p>
      <w:pPr>
        <w:pStyle w:val="BodyText"/>
        <w:spacing w:line="249" w:lineRule="auto" w:before="171"/>
        <w:ind w:left="110" w:right="112"/>
        <w:jc w:val="both"/>
      </w:pPr>
      <w:r>
        <w:rPr>
          <w:color w:val="231F20"/>
        </w:rPr>
        <w:t>Si bien el género se refiere a las construcciones sociales, simbolismos, significados que se asignan a cada cuerpo sexuado, así como el tipo de relaciones que se establecen entre ambos sexos (varón y mujer), según sean los contextos (espacio-temporal) de cada sociedad (Lamas, 1996); el género es la perspectiva que se adhiere a las críticas de la modernidad y del desarrollo con el fin de reconstruir espacios de reflexión sobre la identidad, la diferencia o diversidad y el poder entre géneros.</w:t>
      </w:r>
    </w:p>
    <w:p>
      <w:pPr>
        <w:pStyle w:val="BodyText"/>
        <w:spacing w:line="249" w:lineRule="auto" w:before="1"/>
        <w:ind w:left="110" w:right="111" w:firstLine="283"/>
        <w:jc w:val="both"/>
      </w:pPr>
      <w:r>
        <w:rPr>
          <w:color w:val="231F20"/>
        </w:rPr>
        <w:t>La categoría analítica de género es en sí la posibilidad de postular una renovada teoría emancipadora; en otras palabras, es la oportunidad de producir un conjunto de “conocimientos necesarios para liquidar la desigualdad</w:t>
      </w:r>
      <w:r>
        <w:rPr>
          <w:color w:val="231F20"/>
          <w:spacing w:val="-12"/>
        </w:rPr>
        <w:t> </w:t>
      </w:r>
      <w:r>
        <w:rPr>
          <w:color w:val="231F20"/>
        </w:rPr>
        <w:t>y</w:t>
      </w:r>
      <w:r>
        <w:rPr>
          <w:color w:val="231F20"/>
          <w:spacing w:val="-12"/>
        </w:rPr>
        <w:t> </w:t>
      </w:r>
      <w:r>
        <w:rPr>
          <w:color w:val="231F20"/>
        </w:rPr>
        <w:t>subordinación</w:t>
      </w:r>
      <w:r>
        <w:rPr>
          <w:color w:val="231F20"/>
          <w:spacing w:val="-11"/>
        </w:rPr>
        <w:t> </w:t>
      </w:r>
      <w:r>
        <w:rPr>
          <w:color w:val="231F20"/>
        </w:rPr>
        <w:t>de</w:t>
      </w:r>
      <w:r>
        <w:rPr>
          <w:color w:val="231F20"/>
          <w:spacing w:val="-12"/>
        </w:rPr>
        <w:t> </w:t>
      </w:r>
      <w:r>
        <w:rPr>
          <w:color w:val="231F20"/>
        </w:rPr>
        <w:t>las</w:t>
      </w:r>
      <w:r>
        <w:rPr>
          <w:color w:val="231F20"/>
          <w:spacing w:val="-12"/>
        </w:rPr>
        <w:t> </w:t>
      </w:r>
      <w:r>
        <w:rPr>
          <w:color w:val="231F20"/>
        </w:rPr>
        <w:t>mujeres”</w:t>
      </w:r>
      <w:r>
        <w:rPr>
          <w:color w:val="231F20"/>
          <w:spacing w:val="-12"/>
        </w:rPr>
        <w:t> </w:t>
      </w:r>
      <w:r>
        <w:rPr>
          <w:color w:val="231F20"/>
        </w:rPr>
        <w:t>(De</w:t>
      </w:r>
      <w:r>
        <w:rPr>
          <w:color w:val="231F20"/>
          <w:spacing w:val="-12"/>
        </w:rPr>
        <w:t> </w:t>
      </w:r>
      <w:r>
        <w:rPr>
          <w:color w:val="231F20"/>
        </w:rPr>
        <w:t>Barbieri,</w:t>
      </w:r>
      <w:r>
        <w:rPr>
          <w:color w:val="231F20"/>
          <w:spacing w:val="-12"/>
        </w:rPr>
        <w:t> </w:t>
      </w:r>
      <w:r>
        <w:rPr>
          <w:color w:val="231F20"/>
        </w:rPr>
        <w:t>2002:</w:t>
      </w:r>
      <w:r>
        <w:rPr>
          <w:color w:val="231F20"/>
          <w:spacing w:val="-12"/>
        </w:rPr>
        <w:t> </w:t>
      </w:r>
      <w:r>
        <w:rPr>
          <w:color w:val="231F20"/>
        </w:rPr>
        <w:t>106).</w:t>
      </w:r>
      <w:r>
        <w:rPr>
          <w:color w:val="231F20"/>
          <w:spacing w:val="-12"/>
        </w:rPr>
        <w:t> </w:t>
      </w:r>
      <w:r>
        <w:rPr>
          <w:color w:val="231F20"/>
        </w:rPr>
        <w:t>El género es una categoría transversal que aporta elementos para</w:t>
      </w:r>
      <w:r>
        <w:rPr>
          <w:color w:val="231F20"/>
          <w:spacing w:val="-14"/>
        </w:rPr>
        <w:t> </w:t>
      </w:r>
      <w:r>
        <w:rPr>
          <w:color w:val="231F20"/>
        </w:rPr>
        <w:t>esclarecer las desigualdades entre las clases, entre las razas y las etnias para el</w:t>
      </w:r>
      <w:r>
        <w:rPr>
          <w:color w:val="231F20"/>
          <w:spacing w:val="-34"/>
        </w:rPr>
        <w:t> </w:t>
      </w:r>
      <w:r>
        <w:rPr>
          <w:color w:val="231F20"/>
        </w:rPr>
        <w:t>caso de la mujer y los</w:t>
      </w:r>
      <w:r>
        <w:rPr>
          <w:color w:val="231F20"/>
          <w:spacing w:val="-2"/>
        </w:rPr>
        <w:t> </w:t>
      </w:r>
      <w:r>
        <w:rPr>
          <w:color w:val="231F20"/>
        </w:rPr>
        <w:t>hombres.</w:t>
      </w:r>
    </w:p>
    <w:p>
      <w:pPr>
        <w:pStyle w:val="BodyText"/>
        <w:spacing w:line="249" w:lineRule="auto" w:before="1"/>
        <w:ind w:left="110" w:right="111" w:firstLine="283"/>
        <w:jc w:val="right"/>
      </w:pPr>
      <w:r>
        <w:rPr>
          <w:color w:val="231F20"/>
        </w:rPr>
        <w:t>El objetivo de la perspectiva de género es que las mujeres</w:t>
      </w:r>
      <w:r>
        <w:rPr>
          <w:color w:val="231F20"/>
          <w:spacing w:val="42"/>
        </w:rPr>
        <w:t> </w:t>
      </w:r>
      <w:r>
        <w:rPr>
          <w:color w:val="231F20"/>
        </w:rPr>
        <w:t>tengan</w:t>
      </w:r>
      <w:r>
        <w:rPr>
          <w:color w:val="231F20"/>
          <w:spacing w:val="3"/>
        </w:rPr>
        <w:t> </w:t>
      </w:r>
      <w:r>
        <w:rPr>
          <w:color w:val="231F20"/>
        </w:rPr>
        <w:t>en sus sociedades más libertades para decidir en un mundo de</w:t>
      </w:r>
      <w:r>
        <w:rPr>
          <w:color w:val="231F20"/>
          <w:spacing w:val="27"/>
        </w:rPr>
        <w:t> </w:t>
      </w:r>
      <w:r>
        <w:rPr>
          <w:color w:val="231F20"/>
        </w:rPr>
        <w:t>igualdad</w:t>
      </w:r>
      <w:r>
        <w:rPr>
          <w:color w:val="231F20"/>
          <w:spacing w:val="7"/>
        </w:rPr>
        <w:t> </w:t>
      </w:r>
      <w:r>
        <w:rPr>
          <w:color w:val="231F20"/>
        </w:rPr>
        <w:t>de oportunidades, así como valorar su participación en el</w:t>
      </w:r>
      <w:r>
        <w:rPr>
          <w:color w:val="231F20"/>
          <w:spacing w:val="24"/>
        </w:rPr>
        <w:t> </w:t>
      </w:r>
      <w:r>
        <w:rPr>
          <w:color w:val="231F20"/>
        </w:rPr>
        <w:t>desarrollo</w:t>
      </w:r>
      <w:r>
        <w:rPr>
          <w:color w:val="231F20"/>
          <w:spacing w:val="3"/>
        </w:rPr>
        <w:t> </w:t>
      </w:r>
      <w:r>
        <w:rPr>
          <w:color w:val="231F20"/>
        </w:rPr>
        <w:t>social;</w:t>
      </w:r>
      <w:r>
        <w:rPr>
          <w:color w:val="231F20"/>
          <w:spacing w:val="-1"/>
        </w:rPr>
        <w:t> </w:t>
      </w:r>
      <w:r>
        <w:rPr>
          <w:color w:val="231F20"/>
        </w:rPr>
        <w:t>pero no como objetos del desarrollo, sino como personas diferentes</w:t>
      </w:r>
      <w:r>
        <w:rPr>
          <w:color w:val="231F20"/>
          <w:spacing w:val="-33"/>
        </w:rPr>
        <w:t> </w:t>
      </w:r>
      <w:r>
        <w:rPr>
          <w:color w:val="231F20"/>
        </w:rPr>
        <w:t>a</w:t>
      </w:r>
      <w:r>
        <w:rPr>
          <w:color w:val="231F20"/>
          <w:spacing w:val="-4"/>
        </w:rPr>
        <w:t> </w:t>
      </w:r>
      <w:r>
        <w:rPr>
          <w:color w:val="231F20"/>
        </w:rPr>
        <w:t>los varones</w:t>
      </w:r>
      <w:r>
        <w:rPr>
          <w:color w:val="231F20"/>
          <w:spacing w:val="-8"/>
        </w:rPr>
        <w:t> </w:t>
      </w:r>
      <w:r>
        <w:rPr>
          <w:color w:val="231F20"/>
        </w:rPr>
        <w:t>para</w:t>
      </w:r>
      <w:r>
        <w:rPr>
          <w:color w:val="231F20"/>
          <w:spacing w:val="-8"/>
        </w:rPr>
        <w:t> </w:t>
      </w:r>
      <w:r>
        <w:rPr>
          <w:color w:val="231F20"/>
        </w:rPr>
        <w:t>cambiar</w:t>
      </w:r>
      <w:r>
        <w:rPr>
          <w:color w:val="231F20"/>
          <w:spacing w:val="-8"/>
        </w:rPr>
        <w:t> </w:t>
      </w:r>
      <w:r>
        <w:rPr>
          <w:color w:val="231F20"/>
        </w:rPr>
        <w:t>desde</w:t>
      </w:r>
      <w:r>
        <w:rPr>
          <w:color w:val="231F20"/>
          <w:spacing w:val="-8"/>
        </w:rPr>
        <w:t> </w:t>
      </w:r>
      <w:r>
        <w:rPr>
          <w:color w:val="231F20"/>
        </w:rPr>
        <w:t>su</w:t>
      </w:r>
      <w:r>
        <w:rPr>
          <w:color w:val="231F20"/>
          <w:spacing w:val="-8"/>
        </w:rPr>
        <w:t> </w:t>
      </w:r>
      <w:r>
        <w:rPr>
          <w:color w:val="231F20"/>
        </w:rPr>
        <w:t>acción</w:t>
      </w:r>
      <w:r>
        <w:rPr>
          <w:color w:val="231F20"/>
          <w:spacing w:val="-8"/>
        </w:rPr>
        <w:t> </w:t>
      </w:r>
      <w:r>
        <w:rPr>
          <w:color w:val="231F20"/>
        </w:rPr>
        <w:t>el</w:t>
      </w:r>
      <w:r>
        <w:rPr>
          <w:color w:val="231F20"/>
          <w:spacing w:val="-8"/>
        </w:rPr>
        <w:t> </w:t>
      </w:r>
      <w:r>
        <w:rPr>
          <w:color w:val="231F20"/>
        </w:rPr>
        <w:t>orden</w:t>
      </w:r>
      <w:r>
        <w:rPr>
          <w:color w:val="231F20"/>
          <w:spacing w:val="-8"/>
        </w:rPr>
        <w:t> </w:t>
      </w:r>
      <w:r>
        <w:rPr>
          <w:color w:val="231F20"/>
        </w:rPr>
        <w:t>social</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ha</w:t>
      </w:r>
      <w:r>
        <w:rPr>
          <w:color w:val="231F20"/>
          <w:spacing w:val="-8"/>
        </w:rPr>
        <w:t> </w:t>
      </w:r>
      <w:r>
        <w:rPr>
          <w:color w:val="231F20"/>
        </w:rPr>
        <w:t>sujetado.</w:t>
      </w:r>
      <w:r>
        <w:rPr>
          <w:color w:val="231F20"/>
          <w:spacing w:val="-1"/>
        </w:rPr>
        <w:t> </w:t>
      </w:r>
      <w:r>
        <w:rPr>
          <w:color w:val="231F20"/>
        </w:rPr>
        <w:t>El</w:t>
      </w:r>
      <w:r>
        <w:rPr>
          <w:color w:val="231F20"/>
          <w:spacing w:val="29"/>
        </w:rPr>
        <w:t> </w:t>
      </w:r>
      <w:r>
        <w:rPr>
          <w:color w:val="231F20"/>
        </w:rPr>
        <w:t>género</w:t>
      </w:r>
      <w:r>
        <w:rPr>
          <w:color w:val="231F20"/>
          <w:spacing w:val="29"/>
        </w:rPr>
        <w:t> </w:t>
      </w:r>
      <w:r>
        <w:rPr>
          <w:color w:val="231F20"/>
        </w:rPr>
        <w:t>es</w:t>
      </w:r>
      <w:r>
        <w:rPr>
          <w:color w:val="231F20"/>
          <w:spacing w:val="28"/>
        </w:rPr>
        <w:t> </w:t>
      </w:r>
      <w:r>
        <w:rPr>
          <w:color w:val="231F20"/>
        </w:rPr>
        <w:t>la</w:t>
      </w:r>
      <w:r>
        <w:rPr>
          <w:color w:val="231F20"/>
          <w:spacing w:val="29"/>
        </w:rPr>
        <w:t> </w:t>
      </w:r>
      <w:r>
        <w:rPr>
          <w:color w:val="231F20"/>
        </w:rPr>
        <w:t>categoría</w:t>
      </w:r>
      <w:r>
        <w:rPr>
          <w:color w:val="231F20"/>
          <w:spacing w:val="28"/>
        </w:rPr>
        <w:t> </w:t>
      </w:r>
      <w:r>
        <w:rPr>
          <w:color w:val="231F20"/>
        </w:rPr>
        <w:t>que</w:t>
      </w:r>
      <w:r>
        <w:rPr>
          <w:color w:val="231F20"/>
          <w:spacing w:val="29"/>
        </w:rPr>
        <w:t> </w:t>
      </w:r>
      <w:r>
        <w:rPr>
          <w:color w:val="231F20"/>
        </w:rPr>
        <w:t>las</w:t>
      </w:r>
      <w:r>
        <w:rPr>
          <w:color w:val="231F20"/>
          <w:spacing w:val="28"/>
        </w:rPr>
        <w:t> </w:t>
      </w:r>
      <w:r>
        <w:rPr>
          <w:color w:val="231F20"/>
        </w:rPr>
        <w:t>teorías</w:t>
      </w:r>
      <w:r>
        <w:rPr>
          <w:color w:val="231F20"/>
          <w:spacing w:val="28"/>
        </w:rPr>
        <w:t> </w:t>
      </w:r>
      <w:r>
        <w:rPr>
          <w:color w:val="231F20"/>
        </w:rPr>
        <w:t>feministas</w:t>
      </w:r>
      <w:r>
        <w:rPr>
          <w:color w:val="231F20"/>
          <w:spacing w:val="28"/>
        </w:rPr>
        <w:t> </w:t>
      </w:r>
      <w:r>
        <w:rPr>
          <w:color w:val="231F20"/>
        </w:rPr>
        <w:t>han</w:t>
      </w:r>
      <w:r>
        <w:rPr>
          <w:color w:val="231F20"/>
          <w:spacing w:val="29"/>
        </w:rPr>
        <w:t> </w:t>
      </w:r>
      <w:r>
        <w:rPr>
          <w:color w:val="231F20"/>
        </w:rPr>
        <w:t>elaborado para</w:t>
      </w:r>
      <w:r>
        <w:rPr>
          <w:color w:val="231F20"/>
          <w:spacing w:val="-8"/>
        </w:rPr>
        <w:t> </w:t>
      </w:r>
      <w:r>
        <w:rPr>
          <w:color w:val="231F20"/>
        </w:rPr>
        <w:t>dotar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mujer</w:t>
      </w:r>
      <w:r>
        <w:rPr>
          <w:color w:val="231F20"/>
          <w:spacing w:val="-8"/>
        </w:rPr>
        <w:t> </w:t>
      </w:r>
      <w:r>
        <w:rPr>
          <w:color w:val="231F20"/>
        </w:rPr>
        <w:t>de</w:t>
      </w:r>
      <w:r>
        <w:rPr>
          <w:color w:val="231F20"/>
          <w:spacing w:val="-8"/>
        </w:rPr>
        <w:t> </w:t>
      </w:r>
      <w:r>
        <w:rPr>
          <w:color w:val="231F20"/>
        </w:rPr>
        <w:t>poder-saber.</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saber</w:t>
      </w:r>
      <w:r>
        <w:rPr>
          <w:color w:val="231F20"/>
          <w:spacing w:val="-7"/>
        </w:rPr>
        <w:t> </w:t>
      </w:r>
      <w:r>
        <w:rPr>
          <w:color w:val="231F20"/>
        </w:rPr>
        <w:t>no</w:t>
      </w:r>
      <w:r>
        <w:rPr>
          <w:color w:val="231F20"/>
          <w:spacing w:val="-8"/>
        </w:rPr>
        <w:t> </w:t>
      </w:r>
      <w:r>
        <w:rPr>
          <w:color w:val="231F20"/>
        </w:rPr>
        <w:t>tenga</w:t>
      </w:r>
      <w:r>
        <w:rPr>
          <w:color w:val="231F20"/>
          <w:spacing w:val="-8"/>
        </w:rPr>
        <w:t> </w:t>
      </w:r>
      <w:r>
        <w:rPr>
          <w:color w:val="231F20"/>
        </w:rPr>
        <w:t>que desligar</w:t>
      </w:r>
      <w:r>
        <w:rPr>
          <w:color w:val="231F20"/>
          <w:spacing w:val="17"/>
        </w:rPr>
        <w:t> </w:t>
      </w:r>
      <w:r>
        <w:rPr>
          <w:color w:val="231F20"/>
        </w:rPr>
        <w:t>la</w:t>
      </w:r>
      <w:r>
        <w:rPr>
          <w:color w:val="231F20"/>
          <w:spacing w:val="17"/>
        </w:rPr>
        <w:t> </w:t>
      </w:r>
      <w:r>
        <w:rPr>
          <w:color w:val="231F20"/>
        </w:rPr>
        <w:t>teoría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práctica.</w:t>
      </w:r>
      <w:r>
        <w:rPr>
          <w:color w:val="231F20"/>
          <w:spacing w:val="17"/>
        </w:rPr>
        <w:t> </w:t>
      </w:r>
      <w:r>
        <w:rPr>
          <w:color w:val="231F20"/>
        </w:rPr>
        <w:t>En</w:t>
      </w:r>
      <w:r>
        <w:rPr>
          <w:color w:val="231F20"/>
          <w:spacing w:val="17"/>
        </w:rPr>
        <w:t> </w:t>
      </w:r>
      <w:r>
        <w:rPr>
          <w:color w:val="231F20"/>
        </w:rPr>
        <w:t>este</w:t>
      </w:r>
      <w:r>
        <w:rPr>
          <w:color w:val="231F20"/>
          <w:spacing w:val="17"/>
        </w:rPr>
        <w:t> </w:t>
      </w:r>
      <w:r>
        <w:rPr>
          <w:color w:val="231F20"/>
        </w:rPr>
        <w:t>sentido</w:t>
      </w:r>
      <w:r>
        <w:rPr>
          <w:color w:val="231F20"/>
          <w:spacing w:val="17"/>
        </w:rPr>
        <w:t> </w:t>
      </w:r>
      <w:r>
        <w:rPr>
          <w:color w:val="231F20"/>
        </w:rPr>
        <w:t>las</w:t>
      </w:r>
      <w:r>
        <w:rPr>
          <w:color w:val="231F20"/>
          <w:spacing w:val="17"/>
        </w:rPr>
        <w:t> </w:t>
      </w:r>
      <w:r>
        <w:rPr>
          <w:color w:val="231F20"/>
        </w:rPr>
        <w:t>premisas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le imputan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categoría</w:t>
      </w:r>
      <w:r>
        <w:rPr>
          <w:color w:val="231F20"/>
          <w:spacing w:val="-6"/>
        </w:rPr>
        <w:t> </w:t>
      </w:r>
      <w:r>
        <w:rPr>
          <w:color w:val="231F20"/>
        </w:rPr>
        <w:t>de</w:t>
      </w:r>
      <w:r>
        <w:rPr>
          <w:color w:val="231F20"/>
          <w:spacing w:val="-6"/>
        </w:rPr>
        <w:t> </w:t>
      </w:r>
      <w:r>
        <w:rPr>
          <w:color w:val="231F20"/>
        </w:rPr>
        <w:t>género</w:t>
      </w:r>
      <w:r>
        <w:rPr>
          <w:color w:val="231F20"/>
          <w:spacing w:val="-6"/>
        </w:rPr>
        <w:t> </w:t>
      </w:r>
      <w:r>
        <w:rPr>
          <w:color w:val="231F20"/>
        </w:rPr>
        <w:t>son:</w:t>
      </w:r>
      <w:r>
        <w:rPr>
          <w:color w:val="231F20"/>
          <w:spacing w:val="-5"/>
        </w:rPr>
        <w:t> </w:t>
      </w:r>
      <w:r>
        <w:rPr>
          <w:color w:val="231F20"/>
        </w:rPr>
        <w:t>autonomía</w:t>
      </w:r>
      <w:r>
        <w:rPr>
          <w:color w:val="231F20"/>
          <w:spacing w:val="-6"/>
        </w:rPr>
        <w:t> </w:t>
      </w:r>
      <w:r>
        <w:rPr>
          <w:color w:val="231F20"/>
        </w:rPr>
        <w:t>y</w:t>
      </w:r>
      <w:r>
        <w:rPr>
          <w:color w:val="231F20"/>
          <w:spacing w:val="-6"/>
        </w:rPr>
        <w:t> </w:t>
      </w:r>
      <w:r>
        <w:rPr>
          <w:color w:val="231F20"/>
        </w:rPr>
        <w:t>libertad,</w:t>
      </w:r>
      <w:r>
        <w:rPr>
          <w:color w:val="231F20"/>
          <w:spacing w:val="-6"/>
        </w:rPr>
        <w:t> </w:t>
      </w:r>
      <w:r>
        <w:rPr>
          <w:color w:val="231F20"/>
        </w:rPr>
        <w:t>autoconcien- cia, reconocimiento y auto-significación (Lagarde, 2001-2002;  </w:t>
      </w:r>
      <w:r>
        <w:rPr>
          <w:color w:val="231F20"/>
          <w:spacing w:val="44"/>
        </w:rPr>
        <w:t> </w:t>
      </w:r>
      <w:r>
        <w:rPr>
          <w:color w:val="231F20"/>
        </w:rPr>
        <w:t>Hierro,</w:t>
      </w:r>
    </w:p>
    <w:p>
      <w:pPr>
        <w:pStyle w:val="BodyText"/>
        <w:spacing w:before="1"/>
        <w:ind w:left="110"/>
        <w:jc w:val="both"/>
      </w:pPr>
      <w:r>
        <w:rPr>
          <w:color w:val="231F20"/>
        </w:rPr>
        <w:t>1998).</w:t>
      </w:r>
    </w:p>
    <w:p>
      <w:pPr>
        <w:pStyle w:val="BodyText"/>
        <w:spacing w:line="249" w:lineRule="auto" w:before="10"/>
        <w:ind w:left="110" w:right="111" w:firstLine="283"/>
        <w:jc w:val="both"/>
      </w:pPr>
      <w:r>
        <w:rPr>
          <w:color w:val="231F20"/>
        </w:rPr>
        <w:t>Se</w:t>
      </w:r>
      <w:r>
        <w:rPr>
          <w:color w:val="231F20"/>
          <w:spacing w:val="-9"/>
        </w:rPr>
        <w:t> </w:t>
      </w:r>
      <w:r>
        <w:rPr>
          <w:color w:val="231F20"/>
        </w:rPr>
        <w:t>trata</w:t>
      </w:r>
      <w:r>
        <w:rPr>
          <w:color w:val="231F20"/>
          <w:spacing w:val="-9"/>
        </w:rPr>
        <w:t> </w:t>
      </w:r>
      <w:r>
        <w:rPr>
          <w:color w:val="231F20"/>
        </w:rPr>
        <w:t>de</w:t>
      </w:r>
      <w:r>
        <w:rPr>
          <w:color w:val="231F20"/>
          <w:spacing w:val="-9"/>
        </w:rPr>
        <w:t> </w:t>
      </w:r>
      <w:r>
        <w:rPr>
          <w:color w:val="231F20"/>
        </w:rPr>
        <w:t>considerar</w:t>
      </w:r>
      <w:r>
        <w:rPr>
          <w:color w:val="231F20"/>
          <w:spacing w:val="-9"/>
        </w:rPr>
        <w:t> </w:t>
      </w:r>
      <w:r>
        <w:rPr>
          <w:color w:val="231F20"/>
        </w:rPr>
        <w:t>al</w:t>
      </w:r>
      <w:r>
        <w:rPr>
          <w:color w:val="231F20"/>
          <w:spacing w:val="-9"/>
        </w:rPr>
        <w:t> </w:t>
      </w:r>
      <w:r>
        <w:rPr>
          <w:color w:val="231F20"/>
        </w:rPr>
        <w:t>género</w:t>
      </w:r>
      <w:r>
        <w:rPr>
          <w:color w:val="231F20"/>
          <w:spacing w:val="-9"/>
        </w:rPr>
        <w:t> </w:t>
      </w:r>
      <w:r>
        <w:rPr>
          <w:color w:val="231F20"/>
        </w:rPr>
        <w:t>como</w:t>
      </w:r>
      <w:r>
        <w:rPr>
          <w:color w:val="231F20"/>
          <w:spacing w:val="-9"/>
        </w:rPr>
        <w:t> </w:t>
      </w:r>
      <w:r>
        <w:rPr>
          <w:color w:val="231F20"/>
        </w:rPr>
        <w:t>sujeto</w:t>
      </w:r>
      <w:r>
        <w:rPr>
          <w:color w:val="231F20"/>
          <w:spacing w:val="-8"/>
        </w:rPr>
        <w:t> </w:t>
      </w:r>
      <w:r>
        <w:rPr>
          <w:color w:val="231F20"/>
        </w:rPr>
        <w:t>de</w:t>
      </w:r>
      <w:r>
        <w:rPr>
          <w:color w:val="231F20"/>
          <w:spacing w:val="-9"/>
        </w:rPr>
        <w:t> </w:t>
      </w:r>
      <w:r>
        <w:rPr>
          <w:color w:val="231F20"/>
        </w:rPr>
        <w:t>acción,</w:t>
      </w:r>
      <w:r>
        <w:rPr>
          <w:color w:val="231F20"/>
          <w:spacing w:val="-9"/>
        </w:rPr>
        <w:t> </w:t>
      </w:r>
      <w:r>
        <w:rPr>
          <w:color w:val="231F20"/>
        </w:rPr>
        <w:t>el</w:t>
      </w:r>
      <w:r>
        <w:rPr>
          <w:color w:val="231F20"/>
          <w:spacing w:val="-9"/>
        </w:rPr>
        <w:t> </w:t>
      </w:r>
      <w:r>
        <w:rPr>
          <w:color w:val="231F20"/>
        </w:rPr>
        <w:t>cual,</w:t>
      </w:r>
      <w:r>
        <w:rPr>
          <w:color w:val="231F20"/>
          <w:spacing w:val="-9"/>
        </w:rPr>
        <w:t> </w:t>
      </w:r>
      <w:r>
        <w:rPr>
          <w:color w:val="231F20"/>
        </w:rPr>
        <w:t>dentro de su campo socialmente institucionalizado, distribuye cuotas de poder según criterios valorizados en la diferencia sexual. En este sentido la economía política feminista podría ser el punto de partida para refutar   a las ideologías hegemónicas y patriarcales que impiden el proceso y la equidad de género (Vizcarra,</w:t>
      </w:r>
      <w:r>
        <w:rPr>
          <w:color w:val="231F20"/>
          <w:spacing w:val="-15"/>
        </w:rPr>
        <w:t> </w:t>
      </w:r>
      <w:r>
        <w:rPr>
          <w:color w:val="231F20"/>
        </w:rPr>
        <w:t>2002a).</w:t>
      </w:r>
    </w:p>
    <w:p>
      <w:pPr>
        <w:pStyle w:val="BodyText"/>
        <w:spacing w:line="249" w:lineRule="auto" w:before="1"/>
        <w:ind w:left="110" w:right="111" w:firstLine="283"/>
        <w:jc w:val="both"/>
      </w:pPr>
      <w:r>
        <w:rPr>
          <w:color w:val="231F20"/>
        </w:rPr>
        <w:t>De esta manera es como las corrientes feministas se vieron influen- ciadas</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pensamiento</w:t>
      </w:r>
      <w:r>
        <w:rPr>
          <w:color w:val="231F20"/>
          <w:spacing w:val="-9"/>
        </w:rPr>
        <w:t> </w:t>
      </w:r>
      <w:r>
        <w:rPr>
          <w:color w:val="231F20"/>
        </w:rPr>
        <w:t>marxista</w:t>
      </w:r>
      <w:r>
        <w:rPr>
          <w:color w:val="231F20"/>
          <w:spacing w:val="-10"/>
        </w:rPr>
        <w:t> </w:t>
      </w:r>
      <w:r>
        <w:rPr>
          <w:color w:val="231F20"/>
        </w:rPr>
        <w:t>en</w:t>
      </w:r>
      <w:r>
        <w:rPr>
          <w:color w:val="231F20"/>
          <w:spacing w:val="-9"/>
        </w:rPr>
        <w:t> </w:t>
      </w:r>
      <w:r>
        <w:rPr>
          <w:color w:val="231F20"/>
        </w:rPr>
        <w:t>las</w:t>
      </w:r>
      <w:r>
        <w:rPr>
          <w:color w:val="231F20"/>
          <w:spacing w:val="-9"/>
        </w:rPr>
        <w:t> </w:t>
      </w:r>
      <w:r>
        <w:rPr>
          <w:color w:val="231F20"/>
        </w:rPr>
        <w:t>décadas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setenta</w:t>
      </w:r>
      <w:r>
        <w:rPr>
          <w:color w:val="231F20"/>
          <w:spacing w:val="-9"/>
        </w:rPr>
        <w:t> </w:t>
      </w:r>
      <w:r>
        <w:rPr>
          <w:color w:val="231F20"/>
        </w:rPr>
        <w:t>y</w:t>
      </w:r>
      <w:r>
        <w:rPr>
          <w:color w:val="231F20"/>
          <w:spacing w:val="-9"/>
        </w:rPr>
        <w:t> </w:t>
      </w:r>
      <w:r>
        <w:rPr>
          <w:color w:val="231F20"/>
        </w:rPr>
        <w:t>ochen- ta,</w:t>
      </w:r>
      <w:r>
        <w:rPr>
          <w:color w:val="231F20"/>
          <w:spacing w:val="19"/>
        </w:rPr>
        <w:t> </w:t>
      </w:r>
      <w:r>
        <w:rPr>
          <w:color w:val="231F20"/>
        </w:rPr>
        <w:t>dentro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cuales</w:t>
      </w:r>
      <w:r>
        <w:rPr>
          <w:color w:val="231F20"/>
          <w:spacing w:val="18"/>
        </w:rPr>
        <w:t> </w:t>
      </w:r>
      <w:r>
        <w:rPr>
          <w:color w:val="231F20"/>
        </w:rPr>
        <w:t>destacaban</w:t>
      </w:r>
      <w:r>
        <w:rPr>
          <w:color w:val="231F20"/>
          <w:spacing w:val="19"/>
        </w:rPr>
        <w:t> </w:t>
      </w:r>
      <w:r>
        <w:rPr>
          <w:color w:val="231F20"/>
        </w:rPr>
        <w:t>las</w:t>
      </w:r>
      <w:r>
        <w:rPr>
          <w:color w:val="231F20"/>
          <w:spacing w:val="19"/>
        </w:rPr>
        <w:t> </w:t>
      </w:r>
      <w:r>
        <w:rPr>
          <w:color w:val="231F20"/>
        </w:rPr>
        <w:t>preocupaciones</w:t>
      </w:r>
      <w:r>
        <w:rPr>
          <w:color w:val="231F20"/>
          <w:spacing w:val="19"/>
        </w:rPr>
        <w:t> </w:t>
      </w:r>
      <w:r>
        <w:rPr>
          <w:color w:val="231F20"/>
        </w:rPr>
        <w:t>centrales</w:t>
      </w:r>
      <w:r>
        <w:rPr>
          <w:color w:val="231F20"/>
          <w:spacing w:val="19"/>
        </w:rPr>
        <w:t> </w:t>
      </w:r>
      <w:r>
        <w:rPr>
          <w:color w:val="231F20"/>
        </w:rPr>
        <w:t>de</w:t>
      </w:r>
      <w:r>
        <w:rPr>
          <w:color w:val="231F20"/>
          <w:spacing w:val="19"/>
        </w:rPr>
        <w:t> </w:t>
      </w:r>
      <w:r>
        <w:rPr>
          <w:color w:val="231F20"/>
        </w:rPr>
        <w:t>las</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desigualdades sociales y particularmente las de géneros en los de pro- ducción y reproducción del capitalismo, tanto al interior de los hogares como a nivel local-regional, y éstos dentro de contextos de la división internacional</w:t>
      </w:r>
      <w:r>
        <w:rPr>
          <w:color w:val="231F20"/>
          <w:spacing w:val="-5"/>
        </w:rPr>
        <w:t> </w:t>
      </w:r>
      <w:r>
        <w:rPr>
          <w:color w:val="231F20"/>
        </w:rPr>
        <w:t>del</w:t>
      </w:r>
      <w:r>
        <w:rPr>
          <w:color w:val="231F20"/>
          <w:spacing w:val="-4"/>
        </w:rPr>
        <w:t> </w:t>
      </w:r>
      <w:r>
        <w:rPr>
          <w:color w:val="231F20"/>
        </w:rPr>
        <w:t>trabajo</w:t>
      </w:r>
      <w:r>
        <w:rPr>
          <w:color w:val="231F20"/>
          <w:spacing w:val="-4"/>
        </w:rPr>
        <w:t> </w:t>
      </w:r>
      <w:r>
        <w:rPr>
          <w:color w:val="231F20"/>
        </w:rPr>
        <w:t>(Benería,</w:t>
      </w:r>
      <w:r>
        <w:rPr>
          <w:color w:val="231F20"/>
          <w:spacing w:val="-4"/>
        </w:rPr>
        <w:t> </w:t>
      </w:r>
      <w:r>
        <w:rPr>
          <w:color w:val="231F20"/>
        </w:rPr>
        <w:t>1979;</w:t>
      </w:r>
      <w:r>
        <w:rPr>
          <w:color w:val="231F20"/>
          <w:spacing w:val="-4"/>
        </w:rPr>
        <w:t> </w:t>
      </w:r>
      <w:r>
        <w:rPr>
          <w:color w:val="231F20"/>
        </w:rPr>
        <w:t>Nash</w:t>
      </w:r>
      <w:r>
        <w:rPr>
          <w:color w:val="231F20"/>
          <w:spacing w:val="-4"/>
        </w:rPr>
        <w:t> </w:t>
      </w:r>
      <w:r>
        <w:rPr>
          <w:color w:val="231F20"/>
        </w:rPr>
        <w:t>y</w:t>
      </w:r>
      <w:r>
        <w:rPr>
          <w:color w:val="231F20"/>
          <w:spacing w:val="-4"/>
        </w:rPr>
        <w:t> </w:t>
      </w:r>
      <w:r>
        <w:rPr>
          <w:color w:val="231F20"/>
        </w:rPr>
        <w:t>Safa,</w:t>
      </w:r>
      <w:r>
        <w:rPr>
          <w:color w:val="231F20"/>
          <w:spacing w:val="-4"/>
        </w:rPr>
        <w:t> </w:t>
      </w:r>
      <w:r>
        <w:rPr>
          <w:color w:val="231F20"/>
        </w:rPr>
        <w:t>1980;</w:t>
      </w:r>
      <w:r>
        <w:rPr>
          <w:color w:val="231F20"/>
          <w:spacing w:val="-4"/>
        </w:rPr>
        <w:t> </w:t>
      </w:r>
      <w:r>
        <w:rPr>
          <w:color w:val="231F20"/>
        </w:rPr>
        <w:t>Nash</w:t>
      </w:r>
      <w:r>
        <w:rPr>
          <w:color w:val="231F20"/>
          <w:spacing w:val="-4"/>
        </w:rPr>
        <w:t> </w:t>
      </w:r>
      <w:r>
        <w:rPr>
          <w:color w:val="231F20"/>
        </w:rPr>
        <w:t>y</w:t>
      </w:r>
      <w:r>
        <w:rPr>
          <w:color w:val="231F20"/>
          <w:spacing w:val="-4"/>
        </w:rPr>
        <w:t> </w:t>
      </w:r>
      <w:r>
        <w:rPr>
          <w:color w:val="231F20"/>
        </w:rPr>
        <w:t>Fer- nández, 1984).</w:t>
      </w:r>
    </w:p>
    <w:p>
      <w:pPr>
        <w:pStyle w:val="BodyText"/>
        <w:spacing w:line="249" w:lineRule="auto" w:before="1"/>
        <w:ind w:left="113" w:right="107" w:firstLine="283"/>
        <w:jc w:val="both"/>
      </w:pPr>
      <w:r>
        <w:rPr>
          <w:color w:val="231F20"/>
        </w:rPr>
        <w:t>Carrasco (1999) señala que la propuesta feminista busca, ante todo, la reconceptualización de categorías analíticas neutras que traspasan el pensamiento marxista clásico </w:t>
      </w:r>
      <w:r>
        <w:rPr>
          <w:color w:val="231F20"/>
          <w:spacing w:val="-7"/>
        </w:rPr>
        <w:t>y, </w:t>
      </w:r>
      <w:r>
        <w:rPr>
          <w:color w:val="231F20"/>
        </w:rPr>
        <w:t>aún más, que atraviesan el debate sobre las formas de explotación de las mujeres basadas en relaciones sociales capitalistas y las patriarcales cimentadas en el control de las mujeres en el</w:t>
      </w:r>
      <w:r>
        <w:rPr>
          <w:color w:val="231F20"/>
          <w:spacing w:val="-9"/>
        </w:rPr>
        <w:t> </w:t>
      </w:r>
      <w:r>
        <w:rPr>
          <w:color w:val="231F20"/>
        </w:rPr>
        <w:t>ámbito</w:t>
      </w:r>
      <w:r>
        <w:rPr>
          <w:color w:val="231F20"/>
          <w:spacing w:val="-9"/>
        </w:rPr>
        <w:t> </w:t>
      </w:r>
      <w:r>
        <w:rPr>
          <w:color w:val="231F20"/>
        </w:rPr>
        <w:t>doméstico.</w:t>
      </w:r>
      <w:r>
        <w:rPr>
          <w:color w:val="231F20"/>
          <w:spacing w:val="-9"/>
        </w:rPr>
        <w:t> </w:t>
      </w:r>
      <w:r>
        <w:rPr>
          <w:color w:val="231F20"/>
        </w:rPr>
        <w:t>El</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partida</w:t>
      </w:r>
      <w:r>
        <w:rPr>
          <w:color w:val="231F20"/>
          <w:spacing w:val="-9"/>
        </w:rPr>
        <w:t> </w:t>
      </w:r>
      <w:r>
        <w:rPr>
          <w:color w:val="231F20"/>
        </w:rPr>
        <w:t>es</w:t>
      </w:r>
      <w:r>
        <w:rPr>
          <w:color w:val="231F20"/>
          <w:spacing w:val="-9"/>
        </w:rPr>
        <w:t> </w:t>
      </w:r>
      <w:r>
        <w:rPr>
          <w:color w:val="231F20"/>
        </w:rPr>
        <w:t>no</w:t>
      </w:r>
      <w:r>
        <w:rPr>
          <w:color w:val="231F20"/>
          <w:spacing w:val="-9"/>
        </w:rPr>
        <w:t> </w:t>
      </w:r>
      <w:r>
        <w:rPr>
          <w:color w:val="231F20"/>
        </w:rPr>
        <w:t>idealizar</w:t>
      </w:r>
      <w:r>
        <w:rPr>
          <w:color w:val="231F20"/>
          <w:spacing w:val="-10"/>
        </w:rPr>
        <w:t> </w:t>
      </w:r>
      <w:r>
        <w:rPr>
          <w:color w:val="231F20"/>
        </w:rPr>
        <w:t>las</w:t>
      </w:r>
      <w:r>
        <w:rPr>
          <w:color w:val="231F20"/>
          <w:spacing w:val="-9"/>
        </w:rPr>
        <w:t> </w:t>
      </w:r>
      <w:r>
        <w:rPr>
          <w:color w:val="231F20"/>
        </w:rPr>
        <w:t>categorías,</w:t>
      </w:r>
      <w:r>
        <w:rPr>
          <w:color w:val="231F20"/>
          <w:spacing w:val="-10"/>
        </w:rPr>
        <w:t> </w:t>
      </w:r>
      <w:r>
        <w:rPr>
          <w:color w:val="231F20"/>
        </w:rPr>
        <w:t>de ahí la necesidad de re conceptualizarlas o al menos repensarlas en</w:t>
      </w:r>
      <w:r>
        <w:rPr>
          <w:color w:val="231F20"/>
          <w:spacing w:val="-13"/>
        </w:rPr>
        <w:t> </w:t>
      </w:r>
      <w:r>
        <w:rPr>
          <w:color w:val="231F20"/>
        </w:rPr>
        <w:t>varias vertientes. Se observa que el dominio patriarcal-capitalista se ve refleja- do en el control masculino de ciertos campos decisivos para mejorar las condiciones de vida de las mujeres como el acceso a la información, al saber-hacer,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tecnología,</w:t>
      </w:r>
      <w:r>
        <w:rPr>
          <w:color w:val="231F20"/>
          <w:spacing w:val="-8"/>
        </w:rPr>
        <w:t> </w:t>
      </w:r>
      <w:r>
        <w:rPr>
          <w:color w:val="231F20"/>
        </w:rPr>
        <w:t>a</w:t>
      </w:r>
      <w:r>
        <w:rPr>
          <w:color w:val="231F20"/>
          <w:spacing w:val="-7"/>
        </w:rPr>
        <w:t> </w:t>
      </w:r>
      <w:r>
        <w:rPr>
          <w:color w:val="231F20"/>
        </w:rPr>
        <w:t>puestos</w:t>
      </w:r>
      <w:r>
        <w:rPr>
          <w:color w:val="231F20"/>
          <w:spacing w:val="-7"/>
        </w:rPr>
        <w:t> </w:t>
      </w:r>
      <w:r>
        <w:rPr>
          <w:color w:val="231F20"/>
        </w:rPr>
        <w:t>políticos,</w:t>
      </w:r>
      <w:r>
        <w:rPr>
          <w:color w:val="231F20"/>
          <w:spacing w:val="-7"/>
        </w:rPr>
        <w:t> </w:t>
      </w:r>
      <w:r>
        <w:rPr>
          <w:color w:val="231F20"/>
        </w:rPr>
        <w:t>sobre</w:t>
      </w:r>
      <w:r>
        <w:rPr>
          <w:color w:val="231F20"/>
          <w:spacing w:val="-7"/>
        </w:rPr>
        <w:t> </w:t>
      </w:r>
      <w:r>
        <w:rPr>
          <w:color w:val="231F20"/>
        </w:rPr>
        <w:t>todo</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recursos y sustentabilidad de ellos para asegurar la subsistencia de la familia y de la comunidad.</w:t>
      </w:r>
    </w:p>
    <w:p>
      <w:pPr>
        <w:pStyle w:val="BodyText"/>
        <w:spacing w:line="249" w:lineRule="auto" w:before="1"/>
        <w:ind w:left="113" w:right="107" w:firstLine="283"/>
        <w:jc w:val="both"/>
      </w:pPr>
      <w:r>
        <w:rPr>
          <w:color w:val="231F20"/>
        </w:rPr>
        <w:t>Para Ivonne Vizcarra (2005) la economía política feminista prevé el estudio</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sociales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producen</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largo</w:t>
      </w:r>
      <w:r>
        <w:rPr>
          <w:color w:val="231F20"/>
          <w:spacing w:val="-6"/>
        </w:rPr>
        <w:t> </w:t>
      </w:r>
      <w:r>
        <w:rPr>
          <w:color w:val="231F20"/>
        </w:rPr>
        <w:t>proceso</w:t>
      </w:r>
      <w:r>
        <w:rPr>
          <w:color w:val="231F20"/>
          <w:spacing w:val="-6"/>
        </w:rPr>
        <w:t> </w:t>
      </w:r>
      <w:r>
        <w:rPr>
          <w:color w:val="231F20"/>
        </w:rPr>
        <w:t>de interacción histórica entre instituciones y acciones colectivas e indivi- duales, en el ejercicio del poder se presencian relaciones contradictorias jerárquicas y asimétricas, colocando constantemente en conflicto las ca- tegorías de género, clase, raza y etnia, en cuanto a las representaciones mentales o modelos subjetivos de los actores (ideología, construcciones sociales, usos, costumbres, reglamentaciones y</w:t>
      </w:r>
      <w:r>
        <w:rPr>
          <w:color w:val="231F20"/>
          <w:spacing w:val="-10"/>
        </w:rPr>
        <w:t> </w:t>
      </w:r>
      <w:r>
        <w:rPr>
          <w:color w:val="231F20"/>
        </w:rPr>
        <w:t>cosmovisiones).</w:t>
      </w:r>
    </w:p>
    <w:p>
      <w:pPr>
        <w:pStyle w:val="BodyText"/>
        <w:spacing w:line="249" w:lineRule="auto" w:before="1"/>
        <w:ind w:left="113" w:right="108" w:firstLine="283"/>
        <w:jc w:val="both"/>
      </w:pPr>
      <w:r>
        <w:rPr>
          <w:color w:val="231F20"/>
        </w:rPr>
        <w:t>Se puede decir que la depreciación del valor del trabajo femenino condiciona el comportamiento, las costumbres, valores y la cultura polí- tica, trayendo con ello consecuencias prácticas para las mujeres, no sólo porque se les niega o condiciona el acceso a los recursos necesarios</w:t>
      </w:r>
      <w:r>
        <w:rPr>
          <w:color w:val="231F20"/>
          <w:spacing w:val="-25"/>
        </w:rPr>
        <w:t> </w:t>
      </w:r>
      <w:r>
        <w:rPr>
          <w:color w:val="231F20"/>
        </w:rPr>
        <w:t>para cumplir</w:t>
      </w:r>
      <w:r>
        <w:rPr>
          <w:color w:val="231F20"/>
          <w:spacing w:val="-8"/>
        </w:rPr>
        <w:t> </w:t>
      </w:r>
      <w:r>
        <w:rPr>
          <w:color w:val="231F20"/>
        </w:rPr>
        <w:t>con</w:t>
      </w:r>
      <w:r>
        <w:rPr>
          <w:color w:val="231F20"/>
          <w:spacing w:val="-8"/>
        </w:rPr>
        <w:t> </w:t>
      </w:r>
      <w:r>
        <w:rPr>
          <w:color w:val="231F20"/>
        </w:rPr>
        <w:t>sus</w:t>
      </w:r>
      <w:r>
        <w:rPr>
          <w:color w:val="231F20"/>
          <w:spacing w:val="-8"/>
        </w:rPr>
        <w:t> </w:t>
      </w:r>
      <w:r>
        <w:rPr>
          <w:color w:val="231F20"/>
        </w:rPr>
        <w:t>responsabilidades,</w:t>
      </w:r>
      <w:r>
        <w:rPr>
          <w:color w:val="231F20"/>
          <w:spacing w:val="-8"/>
        </w:rPr>
        <w:t> </w:t>
      </w:r>
      <w:r>
        <w:rPr>
          <w:color w:val="231F20"/>
        </w:rPr>
        <w:t>sino</w:t>
      </w:r>
      <w:r>
        <w:rPr>
          <w:color w:val="231F20"/>
          <w:spacing w:val="-8"/>
        </w:rPr>
        <w:t> </w:t>
      </w:r>
      <w:r>
        <w:rPr>
          <w:color w:val="231F20"/>
        </w:rPr>
        <w:t>porque</w:t>
      </w:r>
      <w:r>
        <w:rPr>
          <w:color w:val="231F20"/>
          <w:spacing w:val="-8"/>
        </w:rPr>
        <w:t> </w:t>
      </w:r>
      <w:r>
        <w:rPr>
          <w:color w:val="231F20"/>
        </w:rPr>
        <w:t>su</w:t>
      </w:r>
      <w:r>
        <w:rPr>
          <w:color w:val="231F20"/>
          <w:spacing w:val="-8"/>
        </w:rPr>
        <w:t> </w:t>
      </w:r>
      <w:r>
        <w:rPr>
          <w:color w:val="231F20"/>
        </w:rPr>
        <w:t>desvalorización</w:t>
      </w:r>
      <w:r>
        <w:rPr>
          <w:color w:val="231F20"/>
          <w:spacing w:val="-8"/>
        </w:rPr>
        <w:t> </w:t>
      </w:r>
      <w:r>
        <w:rPr>
          <w:color w:val="231F20"/>
        </w:rPr>
        <w:t>social las hace más vulnerables a la marginación (Vizcarra,</w:t>
      </w:r>
      <w:r>
        <w:rPr>
          <w:color w:val="231F20"/>
          <w:spacing w:val="-20"/>
        </w:rPr>
        <w:t> </w:t>
      </w:r>
      <w:r>
        <w:rPr>
          <w:color w:val="231F20"/>
        </w:rPr>
        <w:t>2002b).</w:t>
      </w:r>
    </w:p>
    <w:p>
      <w:pPr>
        <w:pStyle w:val="BodyText"/>
        <w:spacing w:line="249" w:lineRule="auto" w:before="1"/>
        <w:ind w:left="113" w:right="107" w:firstLine="283"/>
        <w:jc w:val="both"/>
      </w:pPr>
      <w:r>
        <w:rPr>
          <w:color w:val="231F20"/>
        </w:rPr>
        <w:t>Una tarea de la economía política feminista es re-conceptualizar las desigualdades, creando un campo reflexivo y crítico sobre las nociones que restringen las libertades autónomas de los sujetos de conocimiento: la igualdad, la capacidad, derecho al acceso, equidad, bienestar social y justicia social (Sen, 2000).</w:t>
      </w:r>
    </w:p>
    <w:p>
      <w:pPr>
        <w:pStyle w:val="BodyText"/>
        <w:spacing w:line="249" w:lineRule="auto" w:before="1"/>
        <w:ind w:left="113" w:right="108" w:firstLine="283"/>
        <w:jc w:val="both"/>
      </w:pPr>
      <w:r>
        <w:rPr>
          <w:color w:val="231F20"/>
        </w:rPr>
        <w:t>Lagarde (2001-2002) atribuye al género femenino la sororidad como un paradigma feminista que, basados en los encuentros en la diversidad de</w:t>
      </w:r>
      <w:r>
        <w:rPr>
          <w:color w:val="231F20"/>
          <w:spacing w:val="-8"/>
        </w:rPr>
        <w:t> </w:t>
      </w:r>
      <w:r>
        <w:rPr>
          <w:color w:val="231F20"/>
        </w:rPr>
        <w:t>mujeres,</w:t>
      </w:r>
      <w:r>
        <w:rPr>
          <w:color w:val="231F20"/>
          <w:spacing w:val="-8"/>
        </w:rPr>
        <w:t> </w:t>
      </w:r>
      <w:r>
        <w:rPr>
          <w:color w:val="231F20"/>
        </w:rPr>
        <w:t>convergen</w:t>
      </w:r>
      <w:r>
        <w:rPr>
          <w:color w:val="231F20"/>
          <w:spacing w:val="-8"/>
        </w:rPr>
        <w:t> </w:t>
      </w:r>
      <w:r>
        <w:rPr>
          <w:color w:val="231F20"/>
        </w:rPr>
        <w:t>sus</w:t>
      </w:r>
      <w:r>
        <w:rPr>
          <w:color w:val="231F20"/>
          <w:spacing w:val="-7"/>
        </w:rPr>
        <w:t> </w:t>
      </w:r>
      <w:r>
        <w:rPr>
          <w:color w:val="231F20"/>
        </w:rPr>
        <w:t>intereses</w:t>
      </w:r>
      <w:r>
        <w:rPr>
          <w:color w:val="231F20"/>
          <w:spacing w:val="-7"/>
        </w:rPr>
        <w:t> </w:t>
      </w:r>
      <w:r>
        <w:rPr>
          <w:color w:val="231F20"/>
        </w:rPr>
        <w:t>en</w:t>
      </w:r>
      <w:r>
        <w:rPr>
          <w:color w:val="231F20"/>
          <w:spacing w:val="-8"/>
        </w:rPr>
        <w:t> </w:t>
      </w:r>
      <w:r>
        <w:rPr>
          <w:color w:val="231F20"/>
        </w:rPr>
        <w:t>un</w:t>
      </w:r>
      <w:r>
        <w:rPr>
          <w:color w:val="231F20"/>
          <w:spacing w:val="-7"/>
        </w:rPr>
        <w:t> </w:t>
      </w:r>
      <w:r>
        <w:rPr>
          <w:color w:val="231F20"/>
        </w:rPr>
        <w:t>pacto</w:t>
      </w:r>
      <w:r>
        <w:rPr>
          <w:color w:val="231F20"/>
          <w:spacing w:val="-8"/>
        </w:rPr>
        <w:t> </w:t>
      </w:r>
      <w:r>
        <w:rPr>
          <w:color w:val="231F20"/>
        </w:rPr>
        <w:t>ético</w:t>
      </w:r>
      <w:r>
        <w:rPr>
          <w:color w:val="231F20"/>
          <w:spacing w:val="-8"/>
        </w:rPr>
        <w:t> </w:t>
      </w:r>
      <w:r>
        <w:rPr>
          <w:color w:val="231F20"/>
        </w:rPr>
        <w:t>para</w:t>
      </w:r>
      <w:r>
        <w:rPr>
          <w:color w:val="231F20"/>
          <w:spacing w:val="-8"/>
        </w:rPr>
        <w:t> </w:t>
      </w:r>
      <w:r>
        <w:rPr>
          <w:color w:val="231F20"/>
        </w:rPr>
        <w:t>reconstruir</w:t>
      </w:r>
      <w:r>
        <w:rPr>
          <w:color w:val="231F20"/>
          <w:spacing w:val="-8"/>
        </w:rPr>
        <w:t> </w:t>
      </w:r>
      <w:r>
        <w:rPr>
          <w:color w:val="231F20"/>
        </w:rPr>
        <w:t>to-</w:t>
      </w:r>
    </w:p>
    <w:p>
      <w:pPr>
        <w:spacing w:after="0" w:line="249" w:lineRule="auto"/>
        <w:jc w:val="both"/>
        <w:sectPr>
          <w:footerReference w:type="default" r:id="rId259"/>
          <w:pgSz w:w="7770" w:h="11740"/>
          <w:pgMar w:footer="474" w:header="0" w:top="840" w:bottom="660" w:left="1020" w:right="740"/>
          <w:pgNumType w:start="229"/>
        </w:sectPr>
      </w:pPr>
    </w:p>
    <w:p>
      <w:pPr>
        <w:pStyle w:val="BodyText"/>
        <w:spacing w:line="249" w:lineRule="auto" w:before="60"/>
        <w:ind w:left="110" w:right="111"/>
        <w:jc w:val="both"/>
      </w:pPr>
      <w:r>
        <w:rPr>
          <w:color w:val="231F20"/>
        </w:rPr>
        <w:t>das las formas y prácticas políticas de dominio, desigualdad, opresión y represión en las mujeres. La sororidad es política en tanto se acerca a un pacto</w:t>
      </w:r>
      <w:r>
        <w:rPr>
          <w:color w:val="231F20"/>
          <w:spacing w:val="-10"/>
        </w:rPr>
        <w:t> </w:t>
      </w:r>
      <w:r>
        <w:rPr>
          <w:color w:val="231F20"/>
        </w:rPr>
        <w:t>de</w:t>
      </w:r>
      <w:r>
        <w:rPr>
          <w:color w:val="231F20"/>
          <w:spacing w:val="-10"/>
        </w:rPr>
        <w:t> </w:t>
      </w:r>
      <w:r>
        <w:rPr>
          <w:color w:val="231F20"/>
        </w:rPr>
        <w:t>alianza</w:t>
      </w:r>
      <w:r>
        <w:rPr>
          <w:color w:val="231F20"/>
          <w:spacing w:val="-11"/>
        </w:rPr>
        <w:t> </w:t>
      </w:r>
      <w:r>
        <w:rPr>
          <w:color w:val="231F20"/>
        </w:rPr>
        <w:t>que</w:t>
      </w:r>
      <w:r>
        <w:rPr>
          <w:color w:val="231F20"/>
          <w:spacing w:val="-10"/>
        </w:rPr>
        <w:t> </w:t>
      </w:r>
      <w:r>
        <w:rPr>
          <w:color w:val="231F20"/>
        </w:rPr>
        <w:t>de-construye</w:t>
      </w:r>
      <w:r>
        <w:rPr>
          <w:color w:val="231F20"/>
          <w:spacing w:val="-10"/>
        </w:rPr>
        <w:t> </w:t>
      </w:r>
      <w:r>
        <w:rPr>
          <w:color w:val="231F20"/>
        </w:rPr>
        <w:t>la</w:t>
      </w:r>
      <w:r>
        <w:rPr>
          <w:color w:val="231F20"/>
          <w:spacing w:val="-10"/>
        </w:rPr>
        <w:t> </w:t>
      </w:r>
      <w:r>
        <w:rPr>
          <w:color w:val="231F20"/>
        </w:rPr>
        <w:t>misoginia</w:t>
      </w:r>
      <w:r>
        <w:rPr>
          <w:color w:val="231F20"/>
          <w:spacing w:val="-11"/>
        </w:rPr>
        <w:t> </w:t>
      </w:r>
      <w:r>
        <w:rPr>
          <w:color w:val="231F20"/>
        </w:rPr>
        <w:t>y</w:t>
      </w:r>
      <w:r>
        <w:rPr>
          <w:color w:val="231F20"/>
          <w:spacing w:val="-10"/>
        </w:rPr>
        <w:t> </w:t>
      </w:r>
      <w:r>
        <w:rPr>
          <w:color w:val="231F20"/>
        </w:rPr>
        <w:t>construye</w:t>
      </w:r>
      <w:r>
        <w:rPr>
          <w:color w:val="231F20"/>
          <w:spacing w:val="-11"/>
        </w:rPr>
        <w:t> </w:t>
      </w:r>
      <w:r>
        <w:rPr>
          <w:color w:val="231F20"/>
        </w:rPr>
        <w:t>la</w:t>
      </w:r>
      <w:r>
        <w:rPr>
          <w:color w:val="231F20"/>
          <w:spacing w:val="-10"/>
        </w:rPr>
        <w:t> </w:t>
      </w:r>
      <w:r>
        <w:rPr>
          <w:color w:val="231F20"/>
        </w:rPr>
        <w:t>igualdad</w:t>
      </w:r>
      <w:r>
        <w:rPr>
          <w:color w:val="231F20"/>
          <w:spacing w:val="-11"/>
        </w:rPr>
        <w:t> </w:t>
      </w:r>
      <w:r>
        <w:rPr>
          <w:color w:val="231F20"/>
        </w:rPr>
        <w:t>en una convivencia de paz entre mujeres y varones, gracias a la capacidad de incidencia, negociación y avance colectivo entre mujeres (Lagarde, 2001-2002: 21-22).</w:t>
      </w:r>
    </w:p>
    <w:p>
      <w:pPr>
        <w:pStyle w:val="BodyText"/>
        <w:spacing w:line="249" w:lineRule="auto" w:before="1"/>
        <w:ind w:left="110" w:right="111" w:firstLine="283"/>
        <w:jc w:val="both"/>
      </w:pPr>
      <w:r>
        <w:rPr>
          <w:color w:val="231F20"/>
        </w:rPr>
        <w:t>Las</w:t>
      </w:r>
      <w:r>
        <w:rPr>
          <w:color w:val="231F20"/>
          <w:spacing w:val="-5"/>
        </w:rPr>
        <w:t> </w:t>
      </w:r>
      <w:r>
        <w:rPr>
          <w:color w:val="231F20"/>
        </w:rPr>
        <w:t>mujeres</w:t>
      </w:r>
      <w:r>
        <w:rPr>
          <w:color w:val="231F20"/>
          <w:spacing w:val="-5"/>
        </w:rPr>
        <w:t> </w:t>
      </w:r>
      <w:r>
        <w:rPr>
          <w:color w:val="231F20"/>
        </w:rPr>
        <w:t>pobres</w:t>
      </w:r>
      <w:r>
        <w:rPr>
          <w:color w:val="231F20"/>
          <w:spacing w:val="-5"/>
        </w:rPr>
        <w:t> </w:t>
      </w:r>
      <w:r>
        <w:rPr>
          <w:color w:val="231F20"/>
          <w:spacing w:val="-7"/>
        </w:rPr>
        <w:t>y,</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general</w:t>
      </w:r>
      <w:r>
        <w:rPr>
          <w:color w:val="231F20"/>
          <w:spacing w:val="-5"/>
        </w:rPr>
        <w:t> </w:t>
      </w:r>
      <w:r>
        <w:rPr>
          <w:color w:val="231F20"/>
        </w:rPr>
        <w:t>indígenas,</w:t>
      </w:r>
      <w:r>
        <w:rPr>
          <w:color w:val="231F20"/>
          <w:spacing w:val="-5"/>
        </w:rPr>
        <w:t> </w:t>
      </w:r>
      <w:r>
        <w:rPr>
          <w:color w:val="231F20"/>
        </w:rPr>
        <w:t>se</w:t>
      </w:r>
      <w:r>
        <w:rPr>
          <w:color w:val="231F20"/>
          <w:spacing w:val="-5"/>
        </w:rPr>
        <w:t> </w:t>
      </w:r>
      <w:r>
        <w:rPr>
          <w:color w:val="231F20"/>
        </w:rPr>
        <w:t>enfrentan</w:t>
      </w:r>
      <w:r>
        <w:rPr>
          <w:color w:val="231F20"/>
          <w:spacing w:val="-5"/>
        </w:rPr>
        <w:t> </w:t>
      </w:r>
      <w:r>
        <w:rPr>
          <w:color w:val="231F20"/>
        </w:rPr>
        <w:t>a</w:t>
      </w:r>
      <w:r>
        <w:rPr>
          <w:color w:val="231F20"/>
          <w:spacing w:val="-5"/>
        </w:rPr>
        <w:t> </w:t>
      </w:r>
      <w:r>
        <w:rPr>
          <w:color w:val="231F20"/>
        </w:rPr>
        <w:t>nuevos campos</w:t>
      </w:r>
      <w:r>
        <w:rPr>
          <w:color w:val="231F20"/>
          <w:spacing w:val="-10"/>
        </w:rPr>
        <w:t> </w:t>
      </w:r>
      <w:r>
        <w:rPr>
          <w:color w:val="231F20"/>
        </w:rPr>
        <w:t>de</w:t>
      </w:r>
      <w:r>
        <w:rPr>
          <w:color w:val="231F20"/>
          <w:spacing w:val="-10"/>
        </w:rPr>
        <w:t> </w:t>
      </w:r>
      <w:r>
        <w:rPr>
          <w:color w:val="231F20"/>
        </w:rPr>
        <w:t>batalla</w:t>
      </w:r>
      <w:r>
        <w:rPr>
          <w:color w:val="231F20"/>
          <w:spacing w:val="-10"/>
        </w:rPr>
        <w:t> </w:t>
      </w:r>
      <w:r>
        <w:rPr>
          <w:color w:val="231F20"/>
        </w:rPr>
        <w:t>al</w:t>
      </w:r>
      <w:r>
        <w:rPr>
          <w:color w:val="231F20"/>
          <w:spacing w:val="-10"/>
        </w:rPr>
        <w:t> </w:t>
      </w:r>
      <w:r>
        <w:rPr>
          <w:color w:val="231F20"/>
        </w:rPr>
        <w:t>establecer</w:t>
      </w:r>
      <w:r>
        <w:rPr>
          <w:color w:val="231F20"/>
          <w:spacing w:val="-11"/>
        </w:rPr>
        <w:t> </w:t>
      </w:r>
      <w:r>
        <w:rPr>
          <w:color w:val="231F20"/>
        </w:rPr>
        <w:t>una</w:t>
      </w:r>
      <w:r>
        <w:rPr>
          <w:color w:val="231F20"/>
          <w:spacing w:val="-10"/>
        </w:rPr>
        <w:t> </w:t>
      </w:r>
      <w:r>
        <w:rPr>
          <w:color w:val="231F20"/>
        </w:rPr>
        <w:t>relación</w:t>
      </w:r>
      <w:r>
        <w:rPr>
          <w:color w:val="231F20"/>
          <w:spacing w:val="-10"/>
        </w:rPr>
        <w:t> </w:t>
      </w:r>
      <w:r>
        <w:rPr>
          <w:color w:val="231F20"/>
        </w:rPr>
        <w:t>directa</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a</w:t>
      </w:r>
      <w:r>
        <w:rPr>
          <w:color w:val="231F20"/>
          <w:spacing w:val="-10"/>
        </w:rPr>
        <w:t> </w:t>
      </w:r>
      <w:r>
        <w:rPr>
          <w:color w:val="231F20"/>
        </w:rPr>
        <w:t>través de las programas compensatorios, pues ellas se quedan al frente de las responsabilidades, mientras que los varones (esposos, hijos, hermanos, cuñados, padres) no están; muchas veces los programas de enfoque de género</w:t>
      </w:r>
      <w:r>
        <w:rPr>
          <w:color w:val="231F20"/>
          <w:spacing w:val="-15"/>
        </w:rPr>
        <w:t> </w:t>
      </w:r>
      <w:r>
        <w:rPr>
          <w:color w:val="231F20"/>
        </w:rPr>
        <w:t>diseñados</w:t>
      </w:r>
      <w:r>
        <w:rPr>
          <w:color w:val="231F20"/>
          <w:spacing w:val="-15"/>
        </w:rPr>
        <w:t> </w:t>
      </w:r>
      <w:r>
        <w:rPr>
          <w:color w:val="231F20"/>
        </w:rPr>
        <w:t>para</w:t>
      </w:r>
      <w:r>
        <w:rPr>
          <w:color w:val="231F20"/>
          <w:spacing w:val="-15"/>
        </w:rPr>
        <w:t> </w:t>
      </w:r>
      <w:r>
        <w:rPr>
          <w:color w:val="231F20"/>
        </w:rPr>
        <w:t>aliviar</w:t>
      </w:r>
      <w:r>
        <w:rPr>
          <w:color w:val="231F20"/>
          <w:spacing w:val="-15"/>
        </w:rPr>
        <w:t> </w:t>
      </w:r>
      <w:r>
        <w:rPr>
          <w:color w:val="231F20"/>
        </w:rPr>
        <w:t>la</w:t>
      </w:r>
      <w:r>
        <w:rPr>
          <w:color w:val="231F20"/>
          <w:spacing w:val="-15"/>
        </w:rPr>
        <w:t> </w:t>
      </w:r>
      <w:r>
        <w:rPr>
          <w:color w:val="231F20"/>
        </w:rPr>
        <w:t>pobreza</w:t>
      </w:r>
      <w:r>
        <w:rPr>
          <w:color w:val="231F20"/>
          <w:spacing w:val="-15"/>
        </w:rPr>
        <w:t> </w:t>
      </w:r>
      <w:r>
        <w:rPr>
          <w:color w:val="231F20"/>
        </w:rPr>
        <w:t>han</w:t>
      </w:r>
      <w:r>
        <w:rPr>
          <w:color w:val="231F20"/>
          <w:spacing w:val="-15"/>
        </w:rPr>
        <w:t> </w:t>
      </w:r>
      <w:r>
        <w:rPr>
          <w:color w:val="231F20"/>
        </w:rPr>
        <w:t>olvidado</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mujeres</w:t>
      </w:r>
      <w:r>
        <w:rPr>
          <w:color w:val="231F20"/>
          <w:spacing w:val="-15"/>
        </w:rPr>
        <w:t> </w:t>
      </w:r>
      <w:r>
        <w:rPr>
          <w:color w:val="231F20"/>
        </w:rPr>
        <w:t>en</w:t>
      </w:r>
      <w:r>
        <w:rPr>
          <w:color w:val="231F20"/>
          <w:spacing w:val="-15"/>
        </w:rPr>
        <w:t> </w:t>
      </w:r>
      <w:r>
        <w:rPr>
          <w:color w:val="231F20"/>
        </w:rPr>
        <w:t>sus estrategias de transferencias de recursos, siendo que estos entran en una dinámica doméstica establecida bajo un orden simbólico de asignación de los roles arraigados a las costumbres patriarcales (Vizcarra, 2002b). Al</w:t>
      </w:r>
      <w:r>
        <w:rPr>
          <w:color w:val="231F20"/>
          <w:spacing w:val="-8"/>
        </w:rPr>
        <w:t> </w:t>
      </w:r>
      <w:r>
        <w:rPr>
          <w:color w:val="231F20"/>
        </w:rPr>
        <w:t>excluir</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varones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co-responsabilidad</w:t>
      </w:r>
      <w:r>
        <w:rPr>
          <w:color w:val="231F20"/>
          <w:spacing w:val="-9"/>
        </w:rPr>
        <w:t> </w:t>
      </w:r>
      <w:r>
        <w:rPr>
          <w:color w:val="231F20"/>
        </w:rPr>
        <w:t>del</w:t>
      </w:r>
      <w:r>
        <w:rPr>
          <w:color w:val="231F20"/>
          <w:spacing w:val="-8"/>
        </w:rPr>
        <w:t> </w:t>
      </w:r>
      <w:r>
        <w:rPr>
          <w:color w:val="231F20"/>
        </w:rPr>
        <w:t>programa,</w:t>
      </w:r>
      <w:r>
        <w:rPr>
          <w:color w:val="231F20"/>
          <w:spacing w:val="-8"/>
        </w:rPr>
        <w:t> </w:t>
      </w:r>
      <w:r>
        <w:rPr>
          <w:color w:val="231F20"/>
        </w:rPr>
        <w:t>se</w:t>
      </w:r>
      <w:r>
        <w:rPr>
          <w:color w:val="231F20"/>
          <w:spacing w:val="-8"/>
        </w:rPr>
        <w:t> </w:t>
      </w:r>
      <w:r>
        <w:rPr>
          <w:color w:val="231F20"/>
        </w:rPr>
        <w:t>contri- buye a perpetuar los procesos de desigualdad social entre los géneros,</w:t>
      </w:r>
      <w:r>
        <w:rPr>
          <w:color w:val="231F20"/>
          <w:spacing w:val="-15"/>
        </w:rPr>
        <w:t> </w:t>
      </w:r>
      <w:r>
        <w:rPr>
          <w:color w:val="231F20"/>
        </w:rPr>
        <w:t>lo cual desfavorecen el “empoderamiento” de las mujeres para mejorar su condición</w:t>
      </w:r>
      <w:r>
        <w:rPr>
          <w:color w:val="231F20"/>
          <w:spacing w:val="-5"/>
        </w:rPr>
        <w:t> </w:t>
      </w:r>
      <w:r>
        <w:rPr>
          <w:color w:val="231F20"/>
        </w:rPr>
        <w:t>femenina.</w:t>
      </w:r>
      <w:r>
        <w:rPr>
          <w:color w:val="231F20"/>
          <w:spacing w:val="-15"/>
        </w:rPr>
        <w:t> </w:t>
      </w:r>
      <w:r>
        <w:rPr>
          <w:color w:val="231F20"/>
        </w:rPr>
        <w:t>Arzate</w:t>
      </w:r>
      <w:r>
        <w:rPr>
          <w:color w:val="231F20"/>
          <w:spacing w:val="-4"/>
        </w:rPr>
        <w:t> </w:t>
      </w:r>
      <w:r>
        <w:rPr>
          <w:color w:val="231F20"/>
        </w:rPr>
        <w:t>(2004)</w:t>
      </w:r>
      <w:r>
        <w:rPr>
          <w:color w:val="231F20"/>
          <w:spacing w:val="-5"/>
        </w:rPr>
        <w:t> </w:t>
      </w:r>
      <w:r>
        <w:rPr>
          <w:color w:val="231F20"/>
        </w:rPr>
        <w:t>encuentra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Programa</w:t>
      </w:r>
      <w:r>
        <w:rPr>
          <w:color w:val="231F20"/>
          <w:spacing w:val="-4"/>
        </w:rPr>
        <w:t> </w:t>
      </w:r>
      <w:r>
        <w:rPr>
          <w:color w:val="231F20"/>
        </w:rPr>
        <w:t>Progresa- Oportunidades genera “un doble efecto de vulnerabilidad”, por un lado, centra la responsabilidad del programa en las mujeres, aumentando su carga</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mientras</w:t>
      </w:r>
      <w:r>
        <w:rPr>
          <w:color w:val="231F20"/>
          <w:spacing w:val="-7"/>
        </w:rPr>
        <w:t> </w:t>
      </w:r>
      <w:r>
        <w:rPr>
          <w:color w:val="231F20"/>
        </w:rPr>
        <w:t>por</w:t>
      </w:r>
      <w:r>
        <w:rPr>
          <w:color w:val="231F20"/>
          <w:spacing w:val="-6"/>
        </w:rPr>
        <w:t> </w:t>
      </w:r>
      <w:r>
        <w:rPr>
          <w:color w:val="231F20"/>
        </w:rPr>
        <w:t>otro,</w:t>
      </w:r>
      <w:r>
        <w:rPr>
          <w:color w:val="231F20"/>
          <w:spacing w:val="-6"/>
        </w:rPr>
        <w:t> </w:t>
      </w:r>
      <w:r>
        <w:rPr>
          <w:color w:val="231F20"/>
        </w:rPr>
        <w:t>separa</w:t>
      </w:r>
      <w:r>
        <w:rPr>
          <w:color w:val="231F20"/>
          <w:spacing w:val="-6"/>
        </w:rPr>
        <w:t> </w:t>
      </w:r>
      <w:r>
        <w:rPr>
          <w:color w:val="231F20"/>
        </w:rPr>
        <w:t>al</w:t>
      </w:r>
      <w:r>
        <w:rPr>
          <w:color w:val="231F20"/>
          <w:spacing w:val="-6"/>
        </w:rPr>
        <w:t> </w:t>
      </w:r>
      <w:r>
        <w:rPr>
          <w:color w:val="231F20"/>
        </w:rPr>
        <w:t>varón</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responsabilidad al no establecer mecanismos de participación en el</w:t>
      </w:r>
      <w:r>
        <w:rPr>
          <w:color w:val="231F20"/>
          <w:spacing w:val="-3"/>
        </w:rPr>
        <w:t> </w:t>
      </w:r>
      <w:r>
        <w:rPr>
          <w:color w:val="231F20"/>
        </w:rPr>
        <w:t>programa.</w:t>
      </w:r>
    </w:p>
    <w:p>
      <w:pPr>
        <w:pStyle w:val="BodyText"/>
        <w:spacing w:line="249" w:lineRule="auto" w:before="1"/>
        <w:ind w:left="110" w:right="111" w:firstLine="283"/>
        <w:jc w:val="both"/>
      </w:pPr>
      <w:r>
        <w:rPr>
          <w:color w:val="231F20"/>
        </w:rPr>
        <w:t>La perspectiva de género nos ayuda a comprender que la mujer es</w:t>
      </w:r>
      <w:r>
        <w:rPr>
          <w:color w:val="231F20"/>
          <w:spacing w:val="-25"/>
        </w:rPr>
        <w:t> </w:t>
      </w:r>
      <w:r>
        <w:rPr>
          <w:color w:val="231F20"/>
        </w:rPr>
        <w:t>un sujeto</w:t>
      </w:r>
      <w:r>
        <w:rPr>
          <w:color w:val="231F20"/>
          <w:spacing w:val="-4"/>
        </w:rPr>
        <w:t> </w:t>
      </w:r>
      <w:r>
        <w:rPr>
          <w:color w:val="231F20"/>
        </w:rPr>
        <w:t>fundamental</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reproducción</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familia,</w:t>
      </w:r>
      <w:r>
        <w:rPr>
          <w:color w:val="231F20"/>
          <w:spacing w:val="-4"/>
        </w:rPr>
        <w:t> </w:t>
      </w:r>
      <w:r>
        <w:rPr>
          <w:color w:val="231F20"/>
        </w:rPr>
        <w:t>pero</w:t>
      </w:r>
      <w:r>
        <w:rPr>
          <w:color w:val="231F20"/>
          <w:spacing w:val="-4"/>
        </w:rPr>
        <w:t> </w:t>
      </w:r>
      <w:r>
        <w:rPr>
          <w:color w:val="231F20"/>
        </w:rPr>
        <w:t>muchas</w:t>
      </w:r>
      <w:r>
        <w:rPr>
          <w:color w:val="231F20"/>
          <w:spacing w:val="-4"/>
        </w:rPr>
        <w:t> </w:t>
      </w:r>
      <w:r>
        <w:rPr>
          <w:color w:val="231F20"/>
        </w:rPr>
        <w:t>veces, las políticas implementadas por el Estado hacia ellas no producen un cambio</w:t>
      </w:r>
      <w:r>
        <w:rPr>
          <w:color w:val="231F20"/>
          <w:spacing w:val="-8"/>
        </w:rPr>
        <w:t> </w:t>
      </w:r>
      <w:r>
        <w:rPr>
          <w:color w:val="231F20"/>
        </w:rPr>
        <w:t>o</w:t>
      </w:r>
      <w:r>
        <w:rPr>
          <w:color w:val="231F20"/>
          <w:spacing w:val="-8"/>
        </w:rPr>
        <w:t> </w:t>
      </w:r>
      <w:r>
        <w:rPr>
          <w:color w:val="231F20"/>
        </w:rPr>
        <w:t>empoderamiento</w:t>
      </w:r>
      <w:r>
        <w:rPr>
          <w:color w:val="231F20"/>
          <w:spacing w:val="-8"/>
        </w:rPr>
        <w:t> </w:t>
      </w:r>
      <w:r>
        <w:rPr>
          <w:color w:val="231F20"/>
        </w:rPr>
        <w:t>sustancial</w:t>
      </w:r>
      <w:r>
        <w:rPr>
          <w:color w:val="231F20"/>
          <w:spacing w:val="-7"/>
        </w:rPr>
        <w:t> </w:t>
      </w:r>
      <w:r>
        <w:rPr>
          <w:color w:val="231F20"/>
        </w:rPr>
        <w:t>en</w:t>
      </w:r>
      <w:r>
        <w:rPr>
          <w:color w:val="231F20"/>
          <w:spacing w:val="-8"/>
        </w:rPr>
        <w:t> </w:t>
      </w:r>
      <w:r>
        <w:rPr>
          <w:color w:val="231F20"/>
        </w:rPr>
        <w:t>su</w:t>
      </w:r>
      <w:r>
        <w:rPr>
          <w:color w:val="231F20"/>
          <w:spacing w:val="-8"/>
        </w:rPr>
        <w:t> </w:t>
      </w:r>
      <w:r>
        <w:rPr>
          <w:color w:val="231F20"/>
        </w:rPr>
        <w:t>vida.</w:t>
      </w:r>
      <w:r>
        <w:rPr>
          <w:color w:val="231F20"/>
          <w:spacing w:val="-8"/>
        </w:rPr>
        <w:t> </w:t>
      </w:r>
      <w:r>
        <w:rPr>
          <w:color w:val="231F20"/>
        </w:rPr>
        <w:t>La</w:t>
      </w:r>
      <w:r>
        <w:rPr>
          <w:color w:val="231F20"/>
          <w:spacing w:val="-8"/>
        </w:rPr>
        <w:t> </w:t>
      </w:r>
      <w:r>
        <w:rPr>
          <w:color w:val="231F20"/>
        </w:rPr>
        <w:t>perspectiva</w:t>
      </w:r>
      <w:r>
        <w:rPr>
          <w:color w:val="231F20"/>
          <w:spacing w:val="-8"/>
        </w:rPr>
        <w:t> </w:t>
      </w:r>
      <w:r>
        <w:rPr>
          <w:color w:val="231F20"/>
        </w:rPr>
        <w:t>de</w:t>
      </w:r>
      <w:r>
        <w:rPr>
          <w:color w:val="231F20"/>
          <w:spacing w:val="-8"/>
        </w:rPr>
        <w:t> </w:t>
      </w:r>
      <w:r>
        <w:rPr>
          <w:color w:val="231F20"/>
        </w:rPr>
        <w:t>géne- ro nos ayuda, en términos metodológicos, a comprender la precariedad de la mujer, es decir, el sistema de desigualdades sociales y económicas que</w:t>
      </w:r>
      <w:r>
        <w:rPr>
          <w:color w:val="231F20"/>
          <w:spacing w:val="-6"/>
        </w:rPr>
        <w:t> </w:t>
      </w:r>
      <w:r>
        <w:rPr>
          <w:color w:val="231F20"/>
        </w:rPr>
        <w:t>sufre</w:t>
      </w:r>
      <w:r>
        <w:rPr>
          <w:color w:val="231F20"/>
          <w:spacing w:val="-6"/>
        </w:rPr>
        <w:t> </w:t>
      </w:r>
      <w:r>
        <w:rPr>
          <w:color w:val="231F20"/>
        </w:rPr>
        <w:t>y</w:t>
      </w:r>
      <w:r>
        <w:rPr>
          <w:color w:val="231F20"/>
          <w:spacing w:val="-6"/>
        </w:rPr>
        <w:t> </w:t>
      </w:r>
      <w:r>
        <w:rPr>
          <w:color w:val="231F20"/>
        </w:rPr>
        <w:t>cómo</w:t>
      </w:r>
      <w:r>
        <w:rPr>
          <w:color w:val="231F20"/>
          <w:spacing w:val="-7"/>
        </w:rPr>
        <w:t> </w:t>
      </w:r>
      <w:r>
        <w:rPr>
          <w:color w:val="231F20"/>
        </w:rPr>
        <w:t>estas</w:t>
      </w:r>
      <w:r>
        <w:rPr>
          <w:color w:val="231F20"/>
          <w:spacing w:val="-7"/>
        </w:rPr>
        <w:t> </w:t>
      </w:r>
      <w:r>
        <w:rPr>
          <w:color w:val="231F20"/>
        </w:rPr>
        <w:t>situaciones</w:t>
      </w:r>
      <w:r>
        <w:rPr>
          <w:color w:val="231F20"/>
          <w:spacing w:val="-7"/>
        </w:rPr>
        <w:t> </w:t>
      </w:r>
      <w:r>
        <w:rPr>
          <w:color w:val="231F20"/>
        </w:rPr>
        <w:t>están</w:t>
      </w:r>
      <w:r>
        <w:rPr>
          <w:color w:val="231F20"/>
          <w:spacing w:val="-7"/>
        </w:rPr>
        <w:t> </w:t>
      </w:r>
      <w:r>
        <w:rPr>
          <w:color w:val="231F20"/>
        </w:rPr>
        <w:t>anudadas</w:t>
      </w:r>
      <w:r>
        <w:rPr>
          <w:color w:val="231F20"/>
          <w:spacing w:val="-7"/>
        </w:rPr>
        <w:t> </w:t>
      </w:r>
      <w:r>
        <w:rPr>
          <w:color w:val="231F20"/>
        </w:rPr>
        <w:t>a</w:t>
      </w:r>
      <w:r>
        <w:rPr>
          <w:color w:val="231F20"/>
          <w:spacing w:val="-6"/>
        </w:rPr>
        <w:t> </w:t>
      </w:r>
      <w:r>
        <w:rPr>
          <w:color w:val="231F20"/>
        </w:rPr>
        <w:t>formas</w:t>
      </w:r>
      <w:r>
        <w:rPr>
          <w:color w:val="231F20"/>
          <w:spacing w:val="-6"/>
        </w:rPr>
        <w:t> </w:t>
      </w:r>
      <w:r>
        <w:rPr>
          <w:color w:val="231F20"/>
        </w:rPr>
        <w:t>culturales</w:t>
      </w:r>
      <w:r>
        <w:rPr>
          <w:color w:val="231F20"/>
          <w:spacing w:val="-6"/>
        </w:rPr>
        <w:t> </w:t>
      </w:r>
      <w:r>
        <w:rPr>
          <w:color w:val="231F20"/>
        </w:rPr>
        <w:t>de dominación</w:t>
      </w:r>
      <w:r>
        <w:rPr>
          <w:color w:val="231F20"/>
          <w:spacing w:val="-11"/>
        </w:rPr>
        <w:t> </w:t>
      </w:r>
      <w:r>
        <w:rPr>
          <w:color w:val="231F20"/>
        </w:rPr>
        <w:t>masculina</w:t>
      </w:r>
      <w:r>
        <w:rPr>
          <w:color w:val="231F20"/>
          <w:spacing w:val="-12"/>
        </w:rPr>
        <w:t> </w:t>
      </w:r>
      <w:r>
        <w:rPr>
          <w:color w:val="231F20"/>
        </w:rPr>
        <w:t>(Arzate</w:t>
      </w:r>
      <w:r>
        <w:rPr>
          <w:color w:val="231F20"/>
          <w:spacing w:val="-11"/>
        </w:rPr>
        <w:t> </w:t>
      </w:r>
      <w:r>
        <w:rPr>
          <w:color w:val="231F20"/>
        </w:rPr>
        <w:t>y</w:t>
      </w:r>
      <w:r>
        <w:rPr>
          <w:color w:val="231F20"/>
          <w:spacing w:val="-15"/>
        </w:rPr>
        <w:t> </w:t>
      </w:r>
      <w:r>
        <w:rPr>
          <w:color w:val="231F20"/>
        </w:rPr>
        <w:t>Vizcarra,</w:t>
      </w:r>
      <w:r>
        <w:rPr>
          <w:color w:val="231F20"/>
          <w:spacing w:val="-11"/>
        </w:rPr>
        <w:t> </w:t>
      </w:r>
      <w:r>
        <w:rPr>
          <w:color w:val="231F20"/>
        </w:rPr>
        <w:t>2007).</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busca</w:t>
      </w:r>
      <w:r>
        <w:rPr>
          <w:color w:val="231F20"/>
          <w:spacing w:val="-11"/>
        </w:rPr>
        <w:t> </w:t>
      </w:r>
      <w:r>
        <w:rPr>
          <w:color w:val="231F20"/>
        </w:rPr>
        <w:t>en</w:t>
      </w:r>
      <w:r>
        <w:rPr>
          <w:color w:val="231F20"/>
          <w:spacing w:val="-11"/>
        </w:rPr>
        <w:t> </w:t>
      </w:r>
      <w:r>
        <w:rPr>
          <w:color w:val="231F20"/>
        </w:rPr>
        <w:t>este trabajo es comprender de qué manera una acción de Estado puede o no romper estas relaciones asimétricas de poder, a la vez que explorar si la acción gubernamental generó nuevas relaciones de poder y dominación hacia la</w:t>
      </w:r>
      <w:r>
        <w:rPr>
          <w:color w:val="231F20"/>
          <w:spacing w:val="-12"/>
        </w:rPr>
        <w:t> </w:t>
      </w:r>
      <w:r>
        <w:rPr>
          <w:color w:val="231F20"/>
        </w:rPr>
        <w:t>mujer.</w:t>
      </w:r>
    </w:p>
    <w:p>
      <w:pPr>
        <w:pStyle w:val="Heading4"/>
        <w:ind w:left="110"/>
      </w:pPr>
      <w:r>
        <w:rPr>
          <w:w w:val="75"/>
        </w:rPr>
        <w:t>El programa</w:t>
      </w:r>
    </w:p>
    <w:p>
      <w:pPr>
        <w:pStyle w:val="BodyText"/>
        <w:spacing w:line="249" w:lineRule="auto" w:before="171"/>
        <w:ind w:left="110" w:right="111"/>
        <w:jc w:val="both"/>
      </w:pPr>
      <w:r>
        <w:rPr>
          <w:color w:val="231F20"/>
        </w:rPr>
        <w:t>El apoyo económico que otorgaba el programa era entregado a las mu- jeres beneficiadas de manera mensual, durante un periodo continuo de cinco a seis meses. El apoyo era de 650 pesos mexicanos para la zona rural y de 550 para la zona urbana.</w:t>
      </w:r>
    </w:p>
    <w:p>
      <w:pPr>
        <w:spacing w:after="0" w:line="249" w:lineRule="auto"/>
        <w:jc w:val="both"/>
        <w:sectPr>
          <w:pgSz w:w="7770" w:h="11740"/>
          <w:pgMar w:header="0" w:footer="474" w:top="840" w:bottom="740" w:left="740" w:right="1020"/>
        </w:sectPr>
      </w:pPr>
    </w:p>
    <w:p>
      <w:pPr>
        <w:pStyle w:val="BodyText"/>
        <w:spacing w:line="249" w:lineRule="auto" w:before="60"/>
        <w:ind w:left="113" w:right="108" w:firstLine="283"/>
        <w:jc w:val="both"/>
      </w:pPr>
      <w:r>
        <w:rPr>
          <w:color w:val="231F20"/>
        </w:rPr>
        <w:t>La operación del programa se puede resumir en las siguientes etapas de implementación:</w:t>
      </w:r>
    </w:p>
    <w:p>
      <w:pPr>
        <w:pStyle w:val="ListParagraph"/>
        <w:numPr>
          <w:ilvl w:val="0"/>
          <w:numId w:val="10"/>
        </w:numPr>
        <w:tabs>
          <w:tab w:pos="474" w:val="left" w:leader="none"/>
        </w:tabs>
        <w:spacing w:line="249" w:lineRule="auto" w:before="171" w:after="0"/>
        <w:ind w:left="473" w:right="107" w:hanging="360"/>
        <w:jc w:val="both"/>
        <w:rPr>
          <w:sz w:val="20"/>
        </w:rPr>
      </w:pPr>
      <w:r>
        <w:rPr>
          <w:color w:val="231F20"/>
          <w:sz w:val="20"/>
        </w:rPr>
        <w:t>Por</w:t>
      </w:r>
      <w:r>
        <w:rPr>
          <w:color w:val="231F20"/>
          <w:spacing w:val="-6"/>
          <w:sz w:val="20"/>
        </w:rPr>
        <w:t> </w:t>
      </w:r>
      <w:r>
        <w:rPr>
          <w:color w:val="231F20"/>
          <w:sz w:val="20"/>
        </w:rPr>
        <w:t>medio</w:t>
      </w:r>
      <w:r>
        <w:rPr>
          <w:color w:val="231F20"/>
          <w:spacing w:val="-6"/>
          <w:sz w:val="20"/>
        </w:rPr>
        <w:t> </w:t>
      </w:r>
      <w:r>
        <w:rPr>
          <w:color w:val="231F20"/>
          <w:sz w:val="20"/>
        </w:rPr>
        <w:t>de</w:t>
      </w:r>
      <w:r>
        <w:rPr>
          <w:color w:val="231F20"/>
          <w:spacing w:val="-6"/>
          <w:sz w:val="20"/>
        </w:rPr>
        <w:t> </w:t>
      </w:r>
      <w:r>
        <w:rPr>
          <w:color w:val="231F20"/>
          <w:sz w:val="20"/>
        </w:rPr>
        <w:t>una</w:t>
      </w:r>
      <w:r>
        <w:rPr>
          <w:color w:val="231F20"/>
          <w:spacing w:val="-6"/>
          <w:sz w:val="20"/>
        </w:rPr>
        <w:t> </w:t>
      </w:r>
      <w:r>
        <w:rPr>
          <w:color w:val="231F20"/>
          <w:sz w:val="20"/>
        </w:rPr>
        <w:t>convocatoria</w:t>
      </w:r>
      <w:r>
        <w:rPr>
          <w:color w:val="231F20"/>
          <w:spacing w:val="-6"/>
          <w:sz w:val="20"/>
        </w:rPr>
        <w:t> </w:t>
      </w:r>
      <w:r>
        <w:rPr>
          <w:color w:val="231F20"/>
          <w:sz w:val="20"/>
        </w:rPr>
        <w:t>expedida</w:t>
      </w:r>
      <w:r>
        <w:rPr>
          <w:color w:val="231F20"/>
          <w:spacing w:val="-6"/>
          <w:sz w:val="20"/>
        </w:rPr>
        <w:t> </w:t>
      </w:r>
      <w:r>
        <w:rPr>
          <w:color w:val="231F20"/>
          <w:sz w:val="20"/>
        </w:rPr>
        <w:t>por</w:t>
      </w:r>
      <w:r>
        <w:rPr>
          <w:color w:val="231F20"/>
          <w:spacing w:val="-6"/>
          <w:sz w:val="20"/>
        </w:rPr>
        <w:t> </w:t>
      </w:r>
      <w:r>
        <w:rPr>
          <w:color w:val="231F20"/>
          <w:sz w:val="20"/>
        </w:rPr>
        <w:t>el</w:t>
      </w:r>
      <w:r>
        <w:rPr>
          <w:color w:val="231F20"/>
          <w:spacing w:val="-6"/>
          <w:sz w:val="20"/>
        </w:rPr>
        <w:t> </w:t>
      </w:r>
      <w:r>
        <w:rPr>
          <w:color w:val="231F20"/>
          <w:sz w:val="20"/>
        </w:rPr>
        <w:t>Gobierno</w:t>
      </w:r>
      <w:r>
        <w:rPr>
          <w:color w:val="231F20"/>
          <w:spacing w:val="-5"/>
          <w:sz w:val="20"/>
        </w:rPr>
        <w:t> </w:t>
      </w:r>
      <w:r>
        <w:rPr>
          <w:color w:val="231F20"/>
          <w:sz w:val="20"/>
        </w:rPr>
        <w:t>del</w:t>
      </w:r>
      <w:r>
        <w:rPr>
          <w:color w:val="231F20"/>
          <w:spacing w:val="-6"/>
          <w:sz w:val="20"/>
        </w:rPr>
        <w:t> </w:t>
      </w:r>
      <w:r>
        <w:rPr>
          <w:color w:val="231F20"/>
          <w:sz w:val="20"/>
        </w:rPr>
        <w:t>Estado de México, a través de la instancia ejecutora se invitaba a las mu- jeres que cumplían con los requisitos establecidos en las reglas de operación del programa.</w:t>
      </w:r>
    </w:p>
    <w:p>
      <w:pPr>
        <w:pStyle w:val="ListParagraph"/>
        <w:numPr>
          <w:ilvl w:val="0"/>
          <w:numId w:val="10"/>
        </w:numPr>
        <w:tabs>
          <w:tab w:pos="474" w:val="left" w:leader="none"/>
        </w:tabs>
        <w:spacing w:line="249" w:lineRule="auto" w:before="1" w:after="0"/>
        <w:ind w:left="473" w:right="107" w:hanging="360"/>
        <w:jc w:val="both"/>
        <w:rPr>
          <w:sz w:val="20"/>
        </w:rPr>
      </w:pPr>
      <w:r>
        <w:rPr>
          <w:color w:val="231F20"/>
          <w:sz w:val="20"/>
        </w:rPr>
        <w:t>La entrega y recepción de solicitudes, así como la publicación de  las listas de las beneficiarias se hacía a través de los módulos que se instalaran en puntos estratégicos de cada uno de los municipios beneficiados con el</w:t>
      </w:r>
      <w:r>
        <w:rPr>
          <w:color w:val="231F20"/>
          <w:spacing w:val="-11"/>
          <w:sz w:val="20"/>
        </w:rPr>
        <w:t> </w:t>
      </w:r>
      <w:r>
        <w:rPr>
          <w:color w:val="231F20"/>
          <w:sz w:val="20"/>
        </w:rPr>
        <w:t>programa.</w:t>
      </w:r>
    </w:p>
    <w:p>
      <w:pPr>
        <w:pStyle w:val="ListParagraph"/>
        <w:numPr>
          <w:ilvl w:val="0"/>
          <w:numId w:val="10"/>
        </w:numPr>
        <w:tabs>
          <w:tab w:pos="474" w:val="left" w:leader="none"/>
        </w:tabs>
        <w:spacing w:line="249" w:lineRule="auto" w:before="1" w:after="0"/>
        <w:ind w:left="473" w:right="108" w:hanging="360"/>
        <w:jc w:val="both"/>
        <w:rPr>
          <w:sz w:val="20"/>
        </w:rPr>
      </w:pPr>
      <w:r>
        <w:rPr>
          <w:color w:val="231F20"/>
          <w:sz w:val="20"/>
        </w:rPr>
        <w:t>El comité del programa determina las solicitudes que procedan de acuerdo con los criterios establecidos en las reglas de</w:t>
      </w:r>
      <w:r>
        <w:rPr>
          <w:color w:val="231F20"/>
          <w:spacing w:val="-7"/>
          <w:sz w:val="20"/>
        </w:rPr>
        <w:t> </w:t>
      </w:r>
      <w:r>
        <w:rPr>
          <w:color w:val="231F20"/>
          <w:sz w:val="20"/>
        </w:rPr>
        <w:t>operación.</w:t>
      </w:r>
    </w:p>
    <w:p>
      <w:pPr>
        <w:pStyle w:val="ListParagraph"/>
        <w:numPr>
          <w:ilvl w:val="0"/>
          <w:numId w:val="10"/>
        </w:numPr>
        <w:tabs>
          <w:tab w:pos="474" w:val="left" w:leader="none"/>
        </w:tabs>
        <w:spacing w:line="249" w:lineRule="auto" w:before="1" w:after="0"/>
        <w:ind w:left="473" w:right="108" w:hanging="360"/>
        <w:jc w:val="both"/>
        <w:rPr>
          <w:sz w:val="20"/>
        </w:rPr>
      </w:pPr>
      <w:r>
        <w:rPr>
          <w:color w:val="231F20"/>
          <w:sz w:val="20"/>
        </w:rPr>
        <w:t>La autorización de las solicitudes dependía del dictamen que emi- tiera el</w:t>
      </w:r>
      <w:r>
        <w:rPr>
          <w:color w:val="231F20"/>
          <w:spacing w:val="-1"/>
          <w:sz w:val="20"/>
        </w:rPr>
        <w:t> </w:t>
      </w:r>
      <w:r>
        <w:rPr>
          <w:color w:val="231F20"/>
          <w:sz w:val="20"/>
        </w:rPr>
        <w:t>comité.</w:t>
      </w:r>
    </w:p>
    <w:p>
      <w:pPr>
        <w:pStyle w:val="ListParagraph"/>
        <w:numPr>
          <w:ilvl w:val="0"/>
          <w:numId w:val="10"/>
        </w:numPr>
        <w:tabs>
          <w:tab w:pos="474" w:val="left" w:leader="none"/>
        </w:tabs>
        <w:spacing w:line="249" w:lineRule="auto" w:before="1" w:after="0"/>
        <w:ind w:left="473" w:right="108" w:hanging="360"/>
        <w:jc w:val="both"/>
        <w:rPr>
          <w:sz w:val="20"/>
        </w:rPr>
      </w:pPr>
      <w:r>
        <w:rPr>
          <w:color w:val="231F20"/>
          <w:sz w:val="20"/>
        </w:rPr>
        <w:t>El mecanismo y calendario para la entrega del apoyo era</w:t>
      </w:r>
      <w:r>
        <w:rPr>
          <w:color w:val="231F20"/>
          <w:spacing w:val="-26"/>
          <w:sz w:val="20"/>
        </w:rPr>
        <w:t> </w:t>
      </w:r>
      <w:r>
        <w:rPr>
          <w:color w:val="231F20"/>
          <w:sz w:val="20"/>
        </w:rPr>
        <w:t>determina- do por el comité.</w:t>
      </w:r>
    </w:p>
    <w:p>
      <w:pPr>
        <w:pStyle w:val="ListParagraph"/>
        <w:numPr>
          <w:ilvl w:val="0"/>
          <w:numId w:val="10"/>
        </w:numPr>
        <w:tabs>
          <w:tab w:pos="473" w:val="left" w:leader="none"/>
          <w:tab w:pos="474" w:val="left" w:leader="none"/>
        </w:tabs>
        <w:spacing w:line="240" w:lineRule="auto" w:before="1" w:after="0"/>
        <w:ind w:left="473" w:right="0" w:hanging="360"/>
        <w:jc w:val="left"/>
        <w:rPr>
          <w:sz w:val="20"/>
        </w:rPr>
      </w:pPr>
      <w:r>
        <w:rPr>
          <w:color w:val="231F20"/>
          <w:sz w:val="20"/>
        </w:rPr>
        <w:t>Entrega de apoyos y recepción de</w:t>
      </w:r>
      <w:r>
        <w:rPr>
          <w:color w:val="231F20"/>
          <w:spacing w:val="-2"/>
          <w:sz w:val="20"/>
        </w:rPr>
        <w:t> </w:t>
      </w:r>
      <w:r>
        <w:rPr>
          <w:color w:val="231F20"/>
          <w:sz w:val="20"/>
        </w:rPr>
        <w:t>documentos.</w:t>
      </w:r>
    </w:p>
    <w:p>
      <w:pPr>
        <w:pStyle w:val="ListParagraph"/>
        <w:numPr>
          <w:ilvl w:val="0"/>
          <w:numId w:val="10"/>
        </w:numPr>
        <w:tabs>
          <w:tab w:pos="474" w:val="left" w:leader="none"/>
        </w:tabs>
        <w:spacing w:line="249" w:lineRule="auto" w:before="10" w:after="0"/>
        <w:ind w:left="473" w:right="108" w:hanging="360"/>
        <w:jc w:val="both"/>
        <w:rPr>
          <w:sz w:val="20"/>
        </w:rPr>
      </w:pPr>
      <w:r>
        <w:rPr>
          <w:color w:val="231F20"/>
          <w:sz w:val="20"/>
        </w:rPr>
        <w:t>La entrega de los apoyos se realizaba de forma mensual, en los pe- riodos y etapas que determinaba el comité. Se llevaba a cabo en los módulos que se instalaban en los municipios que señalaba la con- vocatoria, en las fechas que para tal efecto determinaba el</w:t>
      </w:r>
      <w:r>
        <w:rPr>
          <w:color w:val="231F20"/>
          <w:spacing w:val="-4"/>
          <w:sz w:val="20"/>
        </w:rPr>
        <w:t> </w:t>
      </w:r>
      <w:r>
        <w:rPr>
          <w:color w:val="231F20"/>
          <w:sz w:val="20"/>
        </w:rPr>
        <w:t>comité.</w:t>
      </w:r>
    </w:p>
    <w:p>
      <w:pPr>
        <w:pStyle w:val="ListParagraph"/>
        <w:numPr>
          <w:ilvl w:val="0"/>
          <w:numId w:val="10"/>
        </w:numPr>
        <w:tabs>
          <w:tab w:pos="474" w:val="left" w:leader="none"/>
        </w:tabs>
        <w:spacing w:line="249" w:lineRule="auto" w:before="1" w:after="0"/>
        <w:ind w:left="473" w:right="108" w:hanging="360"/>
        <w:jc w:val="both"/>
        <w:rPr>
          <w:sz w:val="20"/>
        </w:rPr>
      </w:pPr>
      <w:r>
        <w:rPr>
          <w:color w:val="231F20"/>
          <w:sz w:val="20"/>
        </w:rPr>
        <w:t>Se realizaba una base de datos con la información de las cedulas de registro. Una vez que la solicitante había cumplido con los requisi- tos, se registraba y se validaba dicha información, la cual una vez aprobada por el comité del programa se capturaba para</w:t>
      </w:r>
      <w:r>
        <w:rPr>
          <w:color w:val="231F20"/>
          <w:spacing w:val="-20"/>
          <w:sz w:val="20"/>
        </w:rPr>
        <w:t> </w:t>
      </w:r>
      <w:r>
        <w:rPr>
          <w:color w:val="231F20"/>
          <w:sz w:val="20"/>
        </w:rPr>
        <w:t>incorporarse al padrón de</w:t>
      </w:r>
      <w:r>
        <w:rPr>
          <w:color w:val="231F20"/>
          <w:spacing w:val="-11"/>
          <w:sz w:val="20"/>
        </w:rPr>
        <w:t> </w:t>
      </w:r>
      <w:r>
        <w:rPr>
          <w:color w:val="231F20"/>
          <w:sz w:val="20"/>
        </w:rPr>
        <w:t>beneficiarias.</w:t>
      </w:r>
    </w:p>
    <w:p>
      <w:pPr>
        <w:pStyle w:val="BodyText"/>
        <w:spacing w:line="249" w:lineRule="auto" w:before="171"/>
        <w:ind w:left="113" w:right="108" w:firstLine="283"/>
        <w:jc w:val="both"/>
      </w:pPr>
      <w:r>
        <w:rPr>
          <w:color w:val="231F20"/>
        </w:rPr>
        <w:t>La instancia ejecutora integraba el padrón de beneficiarias con base en la información recabada, de acuerdo con lo previsto en la Ley de Transparencia</w:t>
      </w:r>
      <w:r>
        <w:rPr>
          <w:color w:val="231F20"/>
          <w:spacing w:val="-10"/>
        </w:rPr>
        <w:t> </w:t>
      </w:r>
      <w:r>
        <w:rPr>
          <w:color w:val="231F20"/>
        </w:rPr>
        <w:t>y</w:t>
      </w:r>
      <w:r>
        <w:rPr>
          <w:color w:val="231F20"/>
          <w:spacing w:val="-21"/>
        </w:rPr>
        <w:t> </w:t>
      </w:r>
      <w:r>
        <w:rPr>
          <w:color w:val="231F20"/>
        </w:rPr>
        <w:t>Acceso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Información</w:t>
      </w:r>
      <w:r>
        <w:rPr>
          <w:color w:val="231F20"/>
          <w:spacing w:val="-10"/>
        </w:rPr>
        <w:t> </w:t>
      </w:r>
      <w:r>
        <w:rPr>
          <w:color w:val="231F20"/>
        </w:rPr>
        <w:t>Pública</w:t>
      </w:r>
      <w:r>
        <w:rPr>
          <w:color w:val="231F20"/>
          <w:spacing w:val="-9"/>
        </w:rPr>
        <w:t> </w:t>
      </w:r>
      <w:r>
        <w:rPr>
          <w:color w:val="231F20"/>
        </w:rPr>
        <w:t>del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r>
        <w:rPr>
          <w:color w:val="231F20"/>
          <w:spacing w:val="-9"/>
        </w:rPr>
        <w:t> </w:t>
      </w:r>
      <w:r>
        <w:rPr>
          <w:color w:val="231F20"/>
        </w:rPr>
        <w:t>y Municipios,</w:t>
      </w:r>
      <w:r>
        <w:rPr>
          <w:color w:val="231F20"/>
          <w:spacing w:val="-11"/>
        </w:rPr>
        <w:t> </w:t>
      </w:r>
      <w:r>
        <w:rPr>
          <w:color w:val="231F20"/>
        </w:rPr>
        <w:t>Transparencia,</w:t>
      </w:r>
      <w:r>
        <w:rPr>
          <w:color w:val="231F20"/>
          <w:spacing w:val="-18"/>
        </w:rPr>
        <w:t> </w:t>
      </w:r>
      <w:r>
        <w:rPr>
          <w:color w:val="231F20"/>
        </w:rPr>
        <w:t>Auditoria,</w:t>
      </w:r>
      <w:r>
        <w:rPr>
          <w:color w:val="231F20"/>
          <w:spacing w:val="-9"/>
        </w:rPr>
        <w:t> </w:t>
      </w:r>
      <w:r>
        <w:rPr>
          <w:color w:val="231F20"/>
        </w:rPr>
        <w:t>Control</w:t>
      </w:r>
      <w:r>
        <w:rPr>
          <w:color w:val="231F20"/>
          <w:spacing w:val="-9"/>
        </w:rPr>
        <w:t> </w:t>
      </w:r>
      <w:r>
        <w:rPr>
          <w:color w:val="231F20"/>
        </w:rPr>
        <w:t>y</w:t>
      </w:r>
      <w:r>
        <w:rPr>
          <w:color w:val="231F20"/>
          <w:spacing w:val="-12"/>
        </w:rPr>
        <w:t> </w:t>
      </w:r>
      <w:r>
        <w:rPr>
          <w:color w:val="231F20"/>
        </w:rPr>
        <w:t>Vigilancia.</w:t>
      </w:r>
    </w:p>
    <w:p>
      <w:pPr>
        <w:pStyle w:val="BodyText"/>
        <w:spacing w:line="249" w:lineRule="auto" w:before="1"/>
        <w:ind w:left="113" w:right="107" w:firstLine="283"/>
        <w:jc w:val="both"/>
      </w:pPr>
      <w:r>
        <w:rPr>
          <w:color w:val="231F20"/>
        </w:rPr>
        <w:t>El Consejo Estatal de la Mujer y Bienestar Social tendría disponible el padrón de beneficiarios de este programa, de conformidad con lo dis- puesto en el párrafo primero del artículo 12 de la Ley de Transparencia y Acceso a la información Pública del Estado de México y Municipios. La auditoría, control y vigilancia del programa estaba a cargo del Órga- no Superior de Fiscalización del Estado de México, la Secretaría de la Contraloría del Gobierno del Estado de México y el Órgano Interno de Control de la instancia</w:t>
      </w:r>
      <w:r>
        <w:rPr>
          <w:color w:val="231F20"/>
          <w:spacing w:val="-1"/>
        </w:rPr>
        <w:t> </w:t>
      </w:r>
      <w:r>
        <w:rPr>
          <w:color w:val="231F20"/>
        </w:rPr>
        <w:t>ejecutora.</w:t>
      </w:r>
    </w:p>
    <w:p>
      <w:pPr>
        <w:spacing w:after="0" w:line="249" w:lineRule="auto"/>
        <w:jc w:val="both"/>
        <w:sectPr>
          <w:footerReference w:type="default" r:id="rId260"/>
          <w:pgSz w:w="7770" w:h="11740"/>
          <w:pgMar w:footer="474" w:header="0" w:top="840" w:bottom="660" w:left="1020" w:right="740"/>
          <w:pgNumType w:start="231"/>
        </w:sectPr>
      </w:pPr>
    </w:p>
    <w:p>
      <w:pPr>
        <w:pStyle w:val="BodyText"/>
        <w:spacing w:line="249" w:lineRule="auto" w:before="60"/>
        <w:ind w:left="110" w:firstLine="283"/>
        <w:rPr>
          <w:sz w:val="11"/>
        </w:rPr>
      </w:pPr>
      <w:r>
        <w:rPr>
          <w:color w:val="231F20"/>
        </w:rPr>
        <w:t>Según datos oficiales del Programa durante el año 2008 se beneficia- ron a 1, 841 mujeres en el municipio de Tenango del Valle.</w:t>
      </w:r>
      <w:r>
        <w:rPr>
          <w:color w:val="231F20"/>
          <w:position w:val="7"/>
          <w:sz w:val="11"/>
        </w:rPr>
        <w:t>1</w:t>
      </w:r>
    </w:p>
    <w:p>
      <w:pPr>
        <w:pStyle w:val="Heading4"/>
        <w:ind w:left="110"/>
      </w:pPr>
      <w:r>
        <w:rPr>
          <w:w w:val="75"/>
        </w:rPr>
        <w:t>Supuesto impacto del programa desde la perspectiva oficial</w:t>
      </w:r>
    </w:p>
    <w:p>
      <w:pPr>
        <w:pStyle w:val="BodyText"/>
        <w:spacing w:line="249" w:lineRule="auto" w:before="171"/>
        <w:ind w:left="110" w:right="111"/>
        <w:jc w:val="both"/>
      </w:pPr>
      <w:r>
        <w:rPr>
          <w:color w:val="231F20"/>
        </w:rPr>
        <w:t>En términos del numeral Quinto de los Lineamientos y Criterios para la Integración y Actualización del Padrón de Beneficiarios de los Progra- mas de Desarrollo Social del Gobierno del Estado de México,</w:t>
      </w:r>
      <w:r>
        <w:rPr>
          <w:color w:val="231F20"/>
          <w:position w:val="7"/>
          <w:sz w:val="11"/>
        </w:rPr>
        <w:t>2 </w:t>
      </w:r>
      <w:r>
        <w:rPr>
          <w:color w:val="231F20"/>
        </w:rPr>
        <w:t>la infor- mación de las beneficiarias del programa Mujeres Trabajadoras Com- prometidas, se integra por municipio y no por comunidad, por lo que no es posible tener un dato preciso de cuántas mujeres fueron beneficiadas en la comunidad de San Pedro Tlanixco. De acuerdo con las Reglas de Operación,</w:t>
      </w:r>
      <w:r>
        <w:rPr>
          <w:color w:val="231F20"/>
          <w:spacing w:val="-7"/>
        </w:rPr>
        <w:t> </w:t>
      </w:r>
      <w:r>
        <w:rPr>
          <w:color w:val="231F20"/>
        </w:rPr>
        <w:t>publicadas</w:t>
      </w:r>
      <w:r>
        <w:rPr>
          <w:color w:val="231F20"/>
          <w:spacing w:val="-7"/>
        </w:rPr>
        <w:t> </w:t>
      </w:r>
      <w:r>
        <w:rPr>
          <w:color w:val="231F20"/>
        </w:rPr>
        <w:t>en</w:t>
      </w:r>
      <w:r>
        <w:rPr>
          <w:color w:val="231F20"/>
          <w:spacing w:val="-8"/>
        </w:rPr>
        <w:t> </w:t>
      </w:r>
      <w:r>
        <w:rPr>
          <w:color w:val="231F20"/>
        </w:rPr>
        <w:t>la</w:t>
      </w:r>
      <w:r>
        <w:rPr>
          <w:color w:val="231F20"/>
          <w:spacing w:val="-7"/>
        </w:rPr>
        <w:t> </w:t>
      </w:r>
      <w:r>
        <w:rPr>
          <w:color w:val="231F20"/>
        </w:rPr>
        <w:t>Gaceta</w:t>
      </w:r>
      <w:r>
        <w:rPr>
          <w:color w:val="231F20"/>
          <w:spacing w:val="-7"/>
        </w:rPr>
        <w:t> </w:t>
      </w:r>
      <w:r>
        <w:rPr>
          <w:color w:val="231F20"/>
        </w:rPr>
        <w:t>del</w:t>
      </w:r>
      <w:r>
        <w:rPr>
          <w:color w:val="231F20"/>
          <w:spacing w:val="-7"/>
        </w:rPr>
        <w:t> </w:t>
      </w:r>
      <w:r>
        <w:rPr>
          <w:color w:val="231F20"/>
        </w:rPr>
        <w:t>Gobierno</w:t>
      </w:r>
      <w:r>
        <w:rPr>
          <w:color w:val="231F20"/>
          <w:spacing w:val="-7"/>
        </w:rPr>
        <w:t> </w:t>
      </w:r>
      <w:r>
        <w:rPr>
          <w:color w:val="231F20"/>
        </w:rPr>
        <w:t>el</w:t>
      </w:r>
      <w:r>
        <w:rPr>
          <w:color w:val="231F20"/>
          <w:spacing w:val="-7"/>
        </w:rPr>
        <w:t> </w:t>
      </w:r>
      <w:r>
        <w:rPr>
          <w:color w:val="231F20"/>
        </w:rPr>
        <w:t>29</w:t>
      </w:r>
      <w:r>
        <w:rPr>
          <w:color w:val="231F20"/>
          <w:spacing w:val="-7"/>
        </w:rPr>
        <w:t> </w:t>
      </w:r>
      <w:r>
        <w:rPr>
          <w:color w:val="231F20"/>
        </w:rPr>
        <w:t>de</w:t>
      </w:r>
      <w:r>
        <w:rPr>
          <w:color w:val="231F20"/>
          <w:spacing w:val="-7"/>
        </w:rPr>
        <w:t> </w:t>
      </w:r>
      <w:r>
        <w:rPr>
          <w:color w:val="231F20"/>
        </w:rPr>
        <w:t>enero</w:t>
      </w:r>
      <w:r>
        <w:rPr>
          <w:color w:val="231F20"/>
          <w:spacing w:val="-8"/>
        </w:rPr>
        <w:t> </w:t>
      </w:r>
      <w:r>
        <w:rPr>
          <w:color w:val="231F20"/>
        </w:rPr>
        <w:t>de</w:t>
      </w:r>
      <w:r>
        <w:rPr>
          <w:color w:val="231F20"/>
          <w:spacing w:val="-7"/>
        </w:rPr>
        <w:t> </w:t>
      </w:r>
      <w:r>
        <w:rPr>
          <w:color w:val="231F20"/>
        </w:rPr>
        <w:t>2008, el Programa Mujeres Trabajadoras Comprometidas se dirigió a garanti- zar la igualdad de oportunidades para que las mujeres alcancen su pleno desarrollo y ejerzan sus derechos en igualdad a los hombres. El apoyo económico de este programa social en teoría coadyuvó al incremento de su</w:t>
      </w:r>
      <w:r>
        <w:rPr>
          <w:color w:val="231F20"/>
          <w:spacing w:val="-7"/>
        </w:rPr>
        <w:t> </w:t>
      </w:r>
      <w:r>
        <w:rPr>
          <w:color w:val="231F20"/>
        </w:rPr>
        <w:t>ingreso</w:t>
      </w:r>
      <w:r>
        <w:rPr>
          <w:color w:val="231F20"/>
          <w:spacing w:val="-7"/>
        </w:rPr>
        <w:t> </w:t>
      </w:r>
      <w:r>
        <w:rPr>
          <w:color w:val="231F20"/>
        </w:rPr>
        <w:t>familiar</w:t>
      </w:r>
      <w:r>
        <w:rPr>
          <w:color w:val="231F20"/>
          <w:spacing w:val="-7"/>
        </w:rPr>
        <w:t> </w:t>
      </w:r>
      <w:r>
        <w:rPr>
          <w:color w:val="231F20"/>
        </w:rPr>
        <w:t>como</w:t>
      </w:r>
      <w:r>
        <w:rPr>
          <w:color w:val="231F20"/>
          <w:spacing w:val="-7"/>
        </w:rPr>
        <w:t> </w:t>
      </w:r>
      <w:r>
        <w:rPr>
          <w:color w:val="231F20"/>
        </w:rPr>
        <w:t>apoyo</w:t>
      </w:r>
      <w:r>
        <w:rPr>
          <w:color w:val="231F20"/>
          <w:spacing w:val="-7"/>
        </w:rPr>
        <w:t> </w:t>
      </w:r>
      <w:r>
        <w:rPr>
          <w:color w:val="231F20"/>
        </w:rPr>
        <w:t>para</w:t>
      </w:r>
      <w:r>
        <w:rPr>
          <w:color w:val="231F20"/>
          <w:spacing w:val="-7"/>
        </w:rPr>
        <w:t> </w:t>
      </w:r>
      <w:r>
        <w:rPr>
          <w:color w:val="231F20"/>
        </w:rPr>
        <w:t>cubrir</w:t>
      </w:r>
      <w:r>
        <w:rPr>
          <w:color w:val="231F20"/>
          <w:spacing w:val="-7"/>
        </w:rPr>
        <w:t> </w:t>
      </w:r>
      <w:r>
        <w:rPr>
          <w:color w:val="231F20"/>
        </w:rPr>
        <w:t>necesidades</w:t>
      </w:r>
      <w:r>
        <w:rPr>
          <w:color w:val="231F20"/>
          <w:spacing w:val="-7"/>
        </w:rPr>
        <w:t> </w:t>
      </w:r>
      <w:r>
        <w:rPr>
          <w:color w:val="231F20"/>
        </w:rPr>
        <w:t>de</w:t>
      </w:r>
      <w:r>
        <w:rPr>
          <w:color w:val="231F20"/>
          <w:spacing w:val="-7"/>
        </w:rPr>
        <w:t> </w:t>
      </w:r>
      <w:r>
        <w:rPr>
          <w:color w:val="231F20"/>
        </w:rPr>
        <w:t>alimentación, salud, educación, vestido, transporte público, mejoramiento de</w:t>
      </w:r>
      <w:r>
        <w:rPr>
          <w:color w:val="231F20"/>
          <w:spacing w:val="-25"/>
        </w:rPr>
        <w:t> </w:t>
      </w:r>
      <w:r>
        <w:rPr>
          <w:color w:val="231F20"/>
        </w:rPr>
        <w:t>vivienda, servicios básicos y patrimonio. El programa hasta mediados de 2013 no había contado con alguna evaluación</w:t>
      </w:r>
      <w:r>
        <w:rPr>
          <w:color w:val="231F20"/>
          <w:spacing w:val="-11"/>
        </w:rPr>
        <w:t> </w:t>
      </w:r>
      <w:r>
        <w:rPr>
          <w:color w:val="231F20"/>
        </w:rPr>
        <w:t>oficial.</w:t>
      </w:r>
    </w:p>
    <w:p>
      <w:pPr>
        <w:pStyle w:val="Heading4"/>
        <w:ind w:left="110"/>
      </w:pPr>
      <w:r>
        <w:rPr>
          <w:w w:val="75"/>
        </w:rPr>
        <w:t>Trabajo de campo</w:t>
      </w:r>
    </w:p>
    <w:p>
      <w:pPr>
        <w:pStyle w:val="BodyText"/>
        <w:spacing w:line="249" w:lineRule="auto" w:before="171"/>
        <w:ind w:left="110" w:right="111"/>
        <w:jc w:val="both"/>
      </w:pPr>
      <w:r>
        <w:rPr>
          <w:color w:val="231F20"/>
        </w:rPr>
        <w:t>El</w:t>
      </w:r>
      <w:r>
        <w:rPr>
          <w:color w:val="231F20"/>
          <w:spacing w:val="-10"/>
        </w:rPr>
        <w:t> </w:t>
      </w:r>
      <w:r>
        <w:rPr>
          <w:color w:val="231F20"/>
        </w:rPr>
        <w:t>trabajo</w:t>
      </w:r>
      <w:r>
        <w:rPr>
          <w:color w:val="231F20"/>
          <w:spacing w:val="-11"/>
        </w:rPr>
        <w:t> </w:t>
      </w:r>
      <w:r>
        <w:rPr>
          <w:color w:val="231F20"/>
        </w:rPr>
        <w:t>de</w:t>
      </w:r>
      <w:r>
        <w:rPr>
          <w:color w:val="231F20"/>
          <w:spacing w:val="-10"/>
        </w:rPr>
        <w:t> </w:t>
      </w:r>
      <w:r>
        <w:rPr>
          <w:color w:val="231F20"/>
        </w:rPr>
        <w:t>campo</w:t>
      </w:r>
      <w:r>
        <w:rPr>
          <w:color w:val="231F20"/>
          <w:spacing w:val="-11"/>
        </w:rPr>
        <w:t> </w:t>
      </w:r>
      <w:r>
        <w:rPr>
          <w:color w:val="231F20"/>
        </w:rPr>
        <w:t>se</w:t>
      </w:r>
      <w:r>
        <w:rPr>
          <w:color w:val="231F20"/>
          <w:spacing w:val="-10"/>
        </w:rPr>
        <w:t> </w:t>
      </w:r>
      <w:r>
        <w:rPr>
          <w:color w:val="231F20"/>
        </w:rPr>
        <w:t>basó</w:t>
      </w:r>
      <w:r>
        <w:rPr>
          <w:color w:val="231F20"/>
          <w:spacing w:val="-10"/>
        </w:rPr>
        <w:t> </w:t>
      </w:r>
      <w:r>
        <w:rPr>
          <w:color w:val="231F20"/>
        </w:rPr>
        <w:t>en</w:t>
      </w:r>
      <w:r>
        <w:rPr>
          <w:color w:val="231F20"/>
          <w:spacing w:val="-11"/>
        </w:rPr>
        <w:t> </w:t>
      </w:r>
      <w:r>
        <w:rPr>
          <w:color w:val="231F20"/>
        </w:rPr>
        <w:t>una</w:t>
      </w:r>
      <w:r>
        <w:rPr>
          <w:color w:val="231F20"/>
          <w:spacing w:val="-10"/>
        </w:rPr>
        <w:t> </w:t>
      </w:r>
      <w:r>
        <w:rPr>
          <w:color w:val="231F20"/>
        </w:rPr>
        <w:t>serie</w:t>
      </w:r>
      <w:r>
        <w:rPr>
          <w:color w:val="231F20"/>
          <w:spacing w:val="-10"/>
        </w:rPr>
        <w:t> </w:t>
      </w:r>
      <w:r>
        <w:rPr>
          <w:color w:val="231F20"/>
        </w:rPr>
        <w:t>de</w:t>
      </w:r>
      <w:r>
        <w:rPr>
          <w:color w:val="231F20"/>
          <w:spacing w:val="-10"/>
        </w:rPr>
        <w:t> </w:t>
      </w:r>
      <w:r>
        <w:rPr>
          <w:color w:val="231F20"/>
        </w:rPr>
        <w:t>entrevistas</w:t>
      </w:r>
      <w:r>
        <w:rPr>
          <w:color w:val="231F20"/>
          <w:spacing w:val="-11"/>
        </w:rPr>
        <w:t> </w:t>
      </w:r>
      <w:r>
        <w:rPr>
          <w:color w:val="231F20"/>
        </w:rPr>
        <w:t>semiestructuradas dirigidas a mujeres beneficiadas por el programa, las cuales ingresaron  a éste el 29 de enero de 2008. Lo cual significó la realización de varios encuentros cara a cara dirigidos hacia la comprensión de situaciones de precariedad y desventaja desde su posición de género. Se entrevistaron</w:t>
      </w:r>
      <w:r>
        <w:rPr>
          <w:color w:val="231F20"/>
          <w:spacing w:val="-33"/>
        </w:rPr>
        <w:t> </w:t>
      </w:r>
      <w:r>
        <w:rPr>
          <w:color w:val="231F20"/>
        </w:rPr>
        <w:t>a 10 mujeres entre los 19 a 27 años de edad. Se trató de entrevistar a más mujeres beneficiarias pero esto no fue posible ya que algunas no quisie- ron</w:t>
      </w:r>
      <w:r>
        <w:rPr>
          <w:color w:val="231F20"/>
          <w:spacing w:val="-7"/>
        </w:rPr>
        <w:t> </w:t>
      </w:r>
      <w:r>
        <w:rPr>
          <w:color w:val="231F20"/>
        </w:rPr>
        <w:t>acceder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entrevista</w:t>
      </w:r>
      <w:r>
        <w:rPr>
          <w:color w:val="231F20"/>
          <w:spacing w:val="-8"/>
        </w:rPr>
        <w:t> </w:t>
      </w:r>
      <w:r>
        <w:rPr>
          <w:color w:val="231F20"/>
        </w:rPr>
        <w:t>pues</w:t>
      </w:r>
      <w:r>
        <w:rPr>
          <w:color w:val="231F20"/>
          <w:spacing w:val="-7"/>
        </w:rPr>
        <w:t> </w:t>
      </w:r>
      <w:r>
        <w:rPr>
          <w:color w:val="231F20"/>
        </w:rPr>
        <w:t>sintieron</w:t>
      </w:r>
      <w:r>
        <w:rPr>
          <w:color w:val="231F20"/>
          <w:spacing w:val="-7"/>
        </w:rPr>
        <w:t> </w:t>
      </w:r>
      <w:r>
        <w:rPr>
          <w:color w:val="231F20"/>
        </w:rPr>
        <w:t>miedo</w:t>
      </w:r>
      <w:r>
        <w:rPr>
          <w:color w:val="231F20"/>
          <w:spacing w:val="-8"/>
        </w:rPr>
        <w:t> </w:t>
      </w:r>
      <w:r>
        <w:rPr>
          <w:color w:val="231F20"/>
        </w:rPr>
        <w:t>de</w:t>
      </w:r>
      <w:r>
        <w:rPr>
          <w:color w:val="231F20"/>
          <w:spacing w:val="-7"/>
        </w:rPr>
        <w:t> </w:t>
      </w:r>
      <w:r>
        <w:rPr>
          <w:color w:val="231F20"/>
        </w:rPr>
        <w:t>que</w:t>
      </w:r>
      <w:r>
        <w:rPr>
          <w:color w:val="231F20"/>
          <w:spacing w:val="-7"/>
        </w:rPr>
        <w:t> </w:t>
      </w:r>
      <w:r>
        <w:rPr>
          <w:color w:val="231F20"/>
        </w:rPr>
        <w:t>fueran</w:t>
      </w:r>
      <w:r>
        <w:rPr>
          <w:color w:val="231F20"/>
          <w:spacing w:val="-7"/>
        </w:rPr>
        <w:t> </w:t>
      </w:r>
      <w:r>
        <w:rPr>
          <w:color w:val="231F20"/>
        </w:rPr>
        <w:t>reprimidas por</w:t>
      </w:r>
      <w:r>
        <w:rPr>
          <w:color w:val="231F20"/>
          <w:spacing w:val="-9"/>
        </w:rPr>
        <w:t> </w:t>
      </w:r>
      <w:r>
        <w:rPr>
          <w:color w:val="231F20"/>
        </w:rPr>
        <w:t>sus</w:t>
      </w:r>
      <w:r>
        <w:rPr>
          <w:color w:val="231F20"/>
          <w:spacing w:val="-9"/>
        </w:rPr>
        <w:t> </w:t>
      </w:r>
      <w:r>
        <w:rPr>
          <w:color w:val="231F20"/>
        </w:rPr>
        <w:t>esposos.</w:t>
      </w:r>
      <w:r>
        <w:rPr>
          <w:color w:val="231F20"/>
          <w:spacing w:val="-21"/>
        </w:rPr>
        <w:t> </w:t>
      </w:r>
      <w:r>
        <w:rPr>
          <w:color w:val="231F20"/>
        </w:rPr>
        <w:t>A</w:t>
      </w:r>
      <w:r>
        <w:rPr>
          <w:color w:val="231F20"/>
          <w:spacing w:val="-20"/>
        </w:rPr>
        <w:t> </w:t>
      </w:r>
      <w:r>
        <w:rPr>
          <w:color w:val="231F20"/>
        </w:rPr>
        <w:t>las</w:t>
      </w:r>
      <w:r>
        <w:rPr>
          <w:color w:val="231F20"/>
          <w:spacing w:val="-9"/>
        </w:rPr>
        <w:t> </w:t>
      </w:r>
      <w:r>
        <w:rPr>
          <w:color w:val="231F20"/>
        </w:rPr>
        <w:t>mujeres</w:t>
      </w:r>
      <w:r>
        <w:rPr>
          <w:color w:val="231F20"/>
          <w:spacing w:val="-10"/>
        </w:rPr>
        <w:t> </w:t>
      </w:r>
      <w:r>
        <w:rPr>
          <w:color w:val="231F20"/>
        </w:rPr>
        <w:t>entrevistadas</w:t>
      </w:r>
      <w:r>
        <w:rPr>
          <w:color w:val="231F20"/>
          <w:spacing w:val="-10"/>
        </w:rPr>
        <w:t> </w:t>
      </w:r>
      <w:r>
        <w:rPr>
          <w:color w:val="231F20"/>
        </w:rPr>
        <w:t>se</w:t>
      </w:r>
      <w:r>
        <w:rPr>
          <w:color w:val="231F20"/>
          <w:spacing w:val="-9"/>
        </w:rPr>
        <w:t> </w:t>
      </w:r>
      <w:r>
        <w:rPr>
          <w:color w:val="231F20"/>
        </w:rPr>
        <w:t>les</w:t>
      </w:r>
      <w:r>
        <w:rPr>
          <w:color w:val="231F20"/>
          <w:spacing w:val="-9"/>
        </w:rPr>
        <w:t> </w:t>
      </w:r>
      <w:r>
        <w:rPr>
          <w:color w:val="231F20"/>
        </w:rPr>
        <w:t>explicó</w:t>
      </w:r>
      <w:r>
        <w:rPr>
          <w:color w:val="231F20"/>
          <w:spacing w:val="-10"/>
        </w:rPr>
        <w:t> </w:t>
      </w:r>
      <w:r>
        <w:rPr>
          <w:color w:val="231F20"/>
        </w:rPr>
        <w:t>detenidamente para qué era la entrevista, de esa manera dieron la oportunidad de entrar en sus hogares. La mayoría de las mujeres entrevistadas fueron jóvenes madres solteras, que tiene que trabajar a diario, por lo que tenían que dejar a sus hijos al cuidado de alguien. En este trabajo se omiten los nombres de las entrevistadas para salvaguardar su identidad. Para la</w:t>
      </w:r>
      <w:r>
        <w:rPr>
          <w:color w:val="231F20"/>
          <w:spacing w:val="-27"/>
        </w:rPr>
        <w:t> </w:t>
      </w:r>
      <w:r>
        <w:rPr>
          <w:color w:val="231F20"/>
        </w:rPr>
        <w:t>me- jor identificación de las entrevistadas ver la </w:t>
      </w:r>
      <w:r>
        <w:rPr>
          <w:color w:val="231F20"/>
          <w:spacing w:val="-3"/>
        </w:rPr>
        <w:t>Tabla </w:t>
      </w:r>
      <w:r>
        <w:rPr>
          <w:color w:val="231F20"/>
        </w:rPr>
        <w:t>1 al final del</w:t>
      </w:r>
      <w:r>
        <w:rPr>
          <w:color w:val="231F20"/>
          <w:spacing w:val="-22"/>
        </w:rPr>
        <w:t> </w:t>
      </w:r>
      <w:r>
        <w:rPr>
          <w:color w:val="231F20"/>
        </w:rPr>
        <w:t>capítulo.</w:t>
      </w:r>
    </w:p>
    <w:p>
      <w:pPr>
        <w:pStyle w:val="BodyText"/>
      </w:pPr>
    </w:p>
    <w:p>
      <w:pPr>
        <w:spacing w:line="160" w:lineRule="exact" w:before="1"/>
        <w:ind w:left="110" w:right="0" w:firstLine="0"/>
        <w:jc w:val="both"/>
        <w:rPr>
          <w:sz w:val="14"/>
        </w:rPr>
      </w:pPr>
      <w:r>
        <w:rPr>
          <w:color w:val="231F20"/>
          <w:position w:val="5"/>
          <w:sz w:val="8"/>
        </w:rPr>
        <w:t>1 </w:t>
      </w:r>
      <w:r>
        <w:rPr>
          <w:color w:val="231F20"/>
          <w:sz w:val="14"/>
        </w:rPr>
        <w:t>Información obtenida en la Dirección de Desarrollo Social del municipio Tenango del Valle.</w:t>
      </w:r>
    </w:p>
    <w:p>
      <w:pPr>
        <w:spacing w:line="160" w:lineRule="exact" w:before="0"/>
        <w:ind w:left="110" w:right="0" w:firstLine="0"/>
        <w:jc w:val="both"/>
        <w:rPr>
          <w:sz w:val="14"/>
        </w:rPr>
      </w:pPr>
      <w:r>
        <w:rPr>
          <w:position w:val="5"/>
          <w:sz w:val="8"/>
        </w:rPr>
        <w:t>2 </w:t>
      </w:r>
      <w:r>
        <w:rPr>
          <w:sz w:val="14"/>
        </w:rPr>
        <w:t>Cfr. www.edomexgobmx/cemybs, 08/04/2015.</w:t>
      </w:r>
    </w:p>
    <w:p>
      <w:pPr>
        <w:spacing w:after="0" w:line="160" w:lineRule="exact"/>
        <w:jc w:val="both"/>
        <w:rPr>
          <w:sz w:val="14"/>
        </w:rPr>
        <w:sectPr>
          <w:pgSz w:w="7770" w:h="11740"/>
          <w:pgMar w:header="0" w:footer="474" w:top="840" w:bottom="740" w:left="740" w:right="1020"/>
        </w:sectPr>
      </w:pPr>
    </w:p>
    <w:p>
      <w:pPr>
        <w:pStyle w:val="BodyText"/>
        <w:spacing w:line="249" w:lineRule="auto" w:before="60"/>
        <w:ind w:left="113" w:right="107" w:firstLine="283"/>
        <w:jc w:val="both"/>
      </w:pPr>
      <w:r>
        <w:rPr>
          <w:color w:val="231F20"/>
        </w:rPr>
        <w:t>Las dimensiones cualitativas que se trabajaron en campo son cuatro: conocimiento en torno a la capacidad de producción de autonomía de la mujer, conocimiento en torno a la capacidad de generación de oportuni- dades por parte del programa hacia la mujer, conocimiento en torno a la capacidad de generación de seguridad económica del programa hacia la mujer beneficiaria, y conocimiento en torno a la eficiencia en la opera- ción del programa.</w:t>
      </w:r>
    </w:p>
    <w:p>
      <w:pPr>
        <w:pStyle w:val="BodyText"/>
        <w:spacing w:line="249" w:lineRule="auto" w:before="1"/>
        <w:ind w:left="113" w:right="107" w:firstLine="283"/>
        <w:jc w:val="both"/>
      </w:pPr>
      <w:r>
        <w:rPr>
          <w:color w:val="231F20"/>
        </w:rPr>
        <w:t>La comunidad de San Pedro Tlanixco, </w:t>
      </w:r>
      <w:r>
        <w:rPr>
          <w:color w:val="231F20"/>
          <w:spacing w:val="-5"/>
        </w:rPr>
        <w:t>Valle </w:t>
      </w:r>
      <w:r>
        <w:rPr>
          <w:color w:val="231F20"/>
        </w:rPr>
        <w:t>de Toluca, se encuentra hacia el sur a 40 minutos de la ciudad de Toluca; en 2010 contaba con  5, 307 habitantes, 2, 576 hombres y 2, 731 mujeres y es una comunidad considerada</w:t>
      </w:r>
      <w:r>
        <w:rPr>
          <w:color w:val="231F20"/>
          <w:spacing w:val="-9"/>
        </w:rPr>
        <w:t> </w:t>
      </w:r>
      <w:r>
        <w:rPr>
          <w:color w:val="231F20"/>
        </w:rPr>
        <w:t>en</w:t>
      </w:r>
      <w:r>
        <w:rPr>
          <w:color w:val="231F20"/>
          <w:spacing w:val="-8"/>
        </w:rPr>
        <w:t> </w:t>
      </w:r>
      <w:r>
        <w:rPr>
          <w:color w:val="231F20"/>
        </w:rPr>
        <w:t>situación</w:t>
      </w:r>
      <w:r>
        <w:rPr>
          <w:color w:val="231F20"/>
          <w:spacing w:val="-8"/>
        </w:rPr>
        <w:t> </w:t>
      </w:r>
      <w:r>
        <w:rPr>
          <w:color w:val="231F20"/>
        </w:rPr>
        <w:t>de</w:t>
      </w:r>
      <w:r>
        <w:rPr>
          <w:color w:val="231F20"/>
          <w:spacing w:val="-8"/>
        </w:rPr>
        <w:t> </w:t>
      </w:r>
      <w:r>
        <w:rPr>
          <w:color w:val="231F20"/>
        </w:rPr>
        <w:t>vulnerabilidad.</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tradicional</w:t>
      </w:r>
      <w:r>
        <w:rPr>
          <w:color w:val="231F20"/>
          <w:spacing w:val="-9"/>
        </w:rPr>
        <w:t> </w:t>
      </w:r>
      <w:r>
        <w:rPr>
          <w:color w:val="231F20"/>
        </w:rPr>
        <w:t>la</w:t>
      </w:r>
      <w:r>
        <w:rPr>
          <w:color w:val="231F20"/>
          <w:spacing w:val="-8"/>
        </w:rPr>
        <w:t> </w:t>
      </w:r>
      <w:r>
        <w:rPr>
          <w:color w:val="231F20"/>
        </w:rPr>
        <w:t>ma- yoría de los jóvenes se casan a temprana edad, por lo que son padres y madres</w:t>
      </w:r>
      <w:r>
        <w:rPr>
          <w:color w:val="231F20"/>
          <w:spacing w:val="-9"/>
        </w:rPr>
        <w:t> </w:t>
      </w:r>
      <w:r>
        <w:rPr>
          <w:color w:val="231F20"/>
        </w:rPr>
        <w:t>muy</w:t>
      </w:r>
      <w:r>
        <w:rPr>
          <w:color w:val="231F20"/>
          <w:spacing w:val="-9"/>
        </w:rPr>
        <w:t> </w:t>
      </w:r>
      <w:r>
        <w:rPr>
          <w:color w:val="231F20"/>
        </w:rPr>
        <w:t>pronto.</w:t>
      </w:r>
      <w:r>
        <w:rPr>
          <w:color w:val="231F20"/>
          <w:position w:val="7"/>
          <w:sz w:val="11"/>
        </w:rPr>
        <w:t>3</w:t>
      </w:r>
      <w:r>
        <w:rPr>
          <w:color w:val="231F20"/>
          <w:spacing w:val="13"/>
          <w:position w:val="7"/>
          <w:sz w:val="11"/>
        </w:rPr>
        <w:t> </w:t>
      </w:r>
      <w:r>
        <w:rPr>
          <w:color w:val="231F20"/>
        </w:rPr>
        <w:t>El</w:t>
      </w:r>
      <w:r>
        <w:rPr>
          <w:color w:val="231F20"/>
          <w:spacing w:val="-9"/>
        </w:rPr>
        <w:t> </w:t>
      </w:r>
      <w:r>
        <w:rPr>
          <w:color w:val="231F20"/>
        </w:rPr>
        <w:t>30</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de</w:t>
      </w:r>
      <w:r>
        <w:rPr>
          <w:color w:val="231F20"/>
          <w:spacing w:val="-9"/>
        </w:rPr>
        <w:t> </w:t>
      </w:r>
      <w:r>
        <w:rPr>
          <w:color w:val="231F20"/>
        </w:rPr>
        <w:t>habitantes</w:t>
      </w:r>
      <w:r>
        <w:rPr>
          <w:color w:val="231F20"/>
          <w:spacing w:val="-9"/>
        </w:rPr>
        <w:t> </w:t>
      </w:r>
      <w:r>
        <w:rPr>
          <w:color w:val="231F20"/>
        </w:rPr>
        <w:t>se</w:t>
      </w:r>
      <w:r>
        <w:rPr>
          <w:color w:val="231F20"/>
          <w:spacing w:val="-9"/>
        </w:rPr>
        <w:t> </w:t>
      </w:r>
      <w:r>
        <w:rPr>
          <w:color w:val="231F20"/>
        </w:rPr>
        <w:t>dedican</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herbo- laria, es decir, recolectan plantas medicinales como el gordolobo, sauco, tila, pericón, cola de caballo, encino, prodigiosa. Pero sus ganancias son pocas,</w:t>
      </w:r>
      <w:r>
        <w:rPr>
          <w:color w:val="231F20"/>
          <w:spacing w:val="-6"/>
        </w:rPr>
        <w:t> </w:t>
      </w:r>
      <w:r>
        <w:rPr>
          <w:color w:val="231F20"/>
        </w:rPr>
        <w:t>por</w:t>
      </w:r>
      <w:r>
        <w:rPr>
          <w:color w:val="231F20"/>
          <w:spacing w:val="-6"/>
        </w:rPr>
        <w:t> </w:t>
      </w:r>
      <w:r>
        <w:rPr>
          <w:color w:val="231F20"/>
        </w:rPr>
        <w:t>ejemplo,</w:t>
      </w:r>
      <w:r>
        <w:rPr>
          <w:color w:val="231F20"/>
          <w:spacing w:val="-6"/>
        </w:rPr>
        <w:t> </w:t>
      </w:r>
      <w:r>
        <w:rPr>
          <w:color w:val="231F20"/>
        </w:rPr>
        <w:t>el</w:t>
      </w:r>
      <w:r>
        <w:rPr>
          <w:color w:val="231F20"/>
          <w:spacing w:val="-6"/>
        </w:rPr>
        <w:t> </w:t>
      </w:r>
      <w:r>
        <w:rPr>
          <w:color w:val="231F20"/>
        </w:rPr>
        <w:t>kilo</w:t>
      </w:r>
      <w:r>
        <w:rPr>
          <w:color w:val="231F20"/>
          <w:spacing w:val="-6"/>
        </w:rPr>
        <w:t> </w:t>
      </w:r>
      <w:r>
        <w:rPr>
          <w:color w:val="231F20"/>
        </w:rPr>
        <w:t>de</w:t>
      </w:r>
      <w:r>
        <w:rPr>
          <w:color w:val="231F20"/>
          <w:spacing w:val="-6"/>
        </w:rPr>
        <w:t> </w:t>
      </w:r>
      <w:r>
        <w:rPr>
          <w:color w:val="231F20"/>
        </w:rPr>
        <w:t>sauco</w:t>
      </w:r>
      <w:r>
        <w:rPr>
          <w:color w:val="231F20"/>
          <w:spacing w:val="-6"/>
        </w:rPr>
        <w:t> </w:t>
      </w:r>
      <w:r>
        <w:rPr>
          <w:color w:val="231F20"/>
        </w:rPr>
        <w:t>cuesta</w:t>
      </w:r>
      <w:r>
        <w:rPr>
          <w:color w:val="231F20"/>
          <w:spacing w:val="-6"/>
        </w:rPr>
        <w:t> </w:t>
      </w:r>
      <w:r>
        <w:rPr>
          <w:color w:val="231F20"/>
        </w:rPr>
        <w:t>cinco</w:t>
      </w:r>
      <w:r>
        <w:rPr>
          <w:color w:val="231F20"/>
          <w:spacing w:val="-6"/>
        </w:rPr>
        <w:t> </w:t>
      </w:r>
      <w:r>
        <w:rPr>
          <w:color w:val="231F20"/>
        </w:rPr>
        <w:t>pesos,</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lo</w:t>
      </w:r>
      <w:r>
        <w:rPr>
          <w:color w:val="231F20"/>
          <w:spacing w:val="-6"/>
        </w:rPr>
        <w:t> </w:t>
      </w:r>
      <w:r>
        <w:rPr>
          <w:color w:val="231F20"/>
        </w:rPr>
        <w:t>que obtienen es sólo para sobrevivir día a</w:t>
      </w:r>
      <w:r>
        <w:rPr>
          <w:color w:val="231F20"/>
          <w:spacing w:val="-13"/>
        </w:rPr>
        <w:t> </w:t>
      </w:r>
      <w:r>
        <w:rPr>
          <w:color w:val="231F20"/>
        </w:rPr>
        <w:t>día.</w:t>
      </w:r>
    </w:p>
    <w:p>
      <w:pPr>
        <w:pStyle w:val="BodyText"/>
        <w:spacing w:line="249" w:lineRule="auto" w:before="1"/>
        <w:ind w:left="113" w:right="107" w:firstLine="283"/>
        <w:jc w:val="both"/>
        <w:rPr>
          <w:sz w:val="11"/>
        </w:rPr>
      </w:pPr>
      <w:r>
        <w:rPr>
          <w:color w:val="231F20"/>
        </w:rPr>
        <w:t>Como</w:t>
      </w:r>
      <w:r>
        <w:rPr>
          <w:color w:val="231F20"/>
          <w:spacing w:val="-6"/>
        </w:rPr>
        <w:t> </w:t>
      </w:r>
      <w:r>
        <w:rPr>
          <w:color w:val="231F20"/>
        </w:rPr>
        <w:t>comentan</w:t>
      </w:r>
      <w:r>
        <w:rPr>
          <w:color w:val="231F20"/>
          <w:spacing w:val="-7"/>
        </w:rPr>
        <w:t> </w:t>
      </w:r>
      <w:r>
        <w:rPr>
          <w:color w:val="231F20"/>
        </w:rPr>
        <w:t>los</w:t>
      </w:r>
      <w:r>
        <w:rPr>
          <w:color w:val="231F20"/>
          <w:spacing w:val="-6"/>
        </w:rPr>
        <w:t> </w:t>
      </w:r>
      <w:r>
        <w:rPr>
          <w:color w:val="231F20"/>
        </w:rPr>
        <w:t>recolectores,</w:t>
      </w:r>
      <w:r>
        <w:rPr>
          <w:color w:val="231F20"/>
          <w:spacing w:val="-6"/>
        </w:rPr>
        <w:t> </w:t>
      </w:r>
      <w:r>
        <w:rPr>
          <w:color w:val="231F20"/>
        </w:rPr>
        <w:t>las</w:t>
      </w:r>
      <w:r>
        <w:rPr>
          <w:color w:val="231F20"/>
          <w:spacing w:val="-7"/>
        </w:rPr>
        <w:t> </w:t>
      </w:r>
      <w:r>
        <w:rPr>
          <w:color w:val="231F20"/>
        </w:rPr>
        <w:t>hierbas</w:t>
      </w:r>
      <w:r>
        <w:rPr>
          <w:color w:val="231F20"/>
          <w:spacing w:val="-6"/>
        </w:rPr>
        <w:t> </w:t>
      </w:r>
      <w:r>
        <w:rPr>
          <w:color w:val="231F20"/>
        </w:rPr>
        <w:t>se</w:t>
      </w:r>
      <w:r>
        <w:rPr>
          <w:color w:val="231F20"/>
          <w:spacing w:val="-6"/>
        </w:rPr>
        <w:t> </w:t>
      </w:r>
      <w:r>
        <w:rPr>
          <w:color w:val="231F20"/>
        </w:rPr>
        <w:t>las</w:t>
      </w:r>
      <w:r>
        <w:rPr>
          <w:color w:val="231F20"/>
          <w:spacing w:val="-7"/>
        </w:rPr>
        <w:t> </w:t>
      </w:r>
      <w:r>
        <w:rPr>
          <w:color w:val="231F20"/>
        </w:rPr>
        <w:t>venden</w:t>
      </w:r>
      <w:r>
        <w:rPr>
          <w:color w:val="231F20"/>
          <w:spacing w:val="-6"/>
        </w:rPr>
        <w:t> </w:t>
      </w:r>
      <w:r>
        <w:rPr>
          <w:color w:val="231F20"/>
        </w:rPr>
        <w:t>a</w:t>
      </w:r>
      <w:r>
        <w:rPr>
          <w:color w:val="231F20"/>
          <w:spacing w:val="-6"/>
        </w:rPr>
        <w:t> </w:t>
      </w:r>
      <w:r>
        <w:rPr>
          <w:color w:val="231F20"/>
        </w:rPr>
        <w:t>interme- diarios de la misma comunidad y ellos la llevan al Distrito Federal, a los laboratorios</w:t>
      </w:r>
      <w:r>
        <w:rPr>
          <w:color w:val="231F20"/>
          <w:spacing w:val="-8"/>
        </w:rPr>
        <w:t> </w:t>
      </w:r>
      <w:r>
        <w:rPr>
          <w:color w:val="231F20"/>
        </w:rPr>
        <w:t>para</w:t>
      </w:r>
      <w:r>
        <w:rPr>
          <w:color w:val="231F20"/>
          <w:spacing w:val="-7"/>
        </w:rPr>
        <w:t> </w:t>
      </w:r>
      <w:r>
        <w:rPr>
          <w:color w:val="231F20"/>
        </w:rPr>
        <w:t>que</w:t>
      </w:r>
      <w:r>
        <w:rPr>
          <w:color w:val="231F20"/>
          <w:spacing w:val="-7"/>
        </w:rPr>
        <w:t> </w:t>
      </w:r>
      <w:r>
        <w:rPr>
          <w:color w:val="231F20"/>
        </w:rPr>
        <w:t>realicen</w:t>
      </w:r>
      <w:r>
        <w:rPr>
          <w:color w:val="231F20"/>
          <w:spacing w:val="-7"/>
        </w:rPr>
        <w:t> </w:t>
      </w:r>
      <w:r>
        <w:rPr>
          <w:color w:val="231F20"/>
        </w:rPr>
        <w:t>medicamentos</w:t>
      </w:r>
      <w:r>
        <w:rPr>
          <w:color w:val="231F20"/>
          <w:spacing w:val="-8"/>
        </w:rPr>
        <w:t> </w:t>
      </w:r>
      <w:r>
        <w:rPr>
          <w:color w:val="231F20"/>
        </w:rPr>
        <w:t>naturales.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recolección participan mujeres y hombres; también trabajan en el corte de flor en el municipio de </w:t>
      </w:r>
      <w:r>
        <w:rPr>
          <w:color w:val="231F20"/>
          <w:spacing w:val="-3"/>
        </w:rPr>
        <w:t>Villa </w:t>
      </w:r>
      <w:r>
        <w:rPr>
          <w:color w:val="231F20"/>
        </w:rPr>
        <w:t>Guerrero.</w:t>
      </w:r>
      <w:r>
        <w:rPr>
          <w:color w:val="231F20"/>
          <w:spacing w:val="-36"/>
        </w:rPr>
        <w:t> </w:t>
      </w:r>
      <w:r>
        <w:rPr>
          <w:color w:val="231F20"/>
        </w:rPr>
        <w:t>Aproximadamente, 30 por ciento de los jó- venes</w:t>
      </w:r>
      <w:r>
        <w:rPr>
          <w:color w:val="231F20"/>
          <w:spacing w:val="-10"/>
        </w:rPr>
        <w:t> </w:t>
      </w:r>
      <w:r>
        <w:rPr>
          <w:color w:val="231F20"/>
        </w:rPr>
        <w:t>estudia,</w:t>
      </w:r>
      <w:r>
        <w:rPr>
          <w:color w:val="231F20"/>
          <w:spacing w:val="-10"/>
        </w:rPr>
        <w:t> </w:t>
      </w:r>
      <w:r>
        <w:rPr>
          <w:color w:val="231F20"/>
        </w:rPr>
        <w:t>pero</w:t>
      </w:r>
      <w:r>
        <w:rPr>
          <w:color w:val="231F20"/>
          <w:spacing w:val="-10"/>
        </w:rPr>
        <w:t> </w:t>
      </w:r>
      <w:r>
        <w:rPr>
          <w:color w:val="231F20"/>
        </w:rPr>
        <w:t>son</w:t>
      </w:r>
      <w:r>
        <w:rPr>
          <w:color w:val="231F20"/>
          <w:spacing w:val="-10"/>
        </w:rPr>
        <w:t> </w:t>
      </w:r>
      <w:r>
        <w:rPr>
          <w:color w:val="231F20"/>
        </w:rPr>
        <w:t>muy</w:t>
      </w:r>
      <w:r>
        <w:rPr>
          <w:color w:val="231F20"/>
          <w:spacing w:val="-10"/>
        </w:rPr>
        <w:t> </w:t>
      </w:r>
      <w:r>
        <w:rPr>
          <w:color w:val="231F20"/>
        </w:rPr>
        <w:t>pocos</w:t>
      </w:r>
      <w:r>
        <w:rPr>
          <w:color w:val="231F20"/>
          <w:spacing w:val="-10"/>
        </w:rPr>
        <w:t> </w:t>
      </w:r>
      <w:r>
        <w:rPr>
          <w:color w:val="231F20"/>
        </w:rPr>
        <w:t>los</w:t>
      </w:r>
      <w:r>
        <w:rPr>
          <w:color w:val="231F20"/>
          <w:spacing w:val="-10"/>
        </w:rPr>
        <w:t> </w:t>
      </w:r>
      <w:r>
        <w:rPr>
          <w:color w:val="231F20"/>
        </w:rPr>
        <w:t>que</w:t>
      </w:r>
      <w:r>
        <w:rPr>
          <w:color w:val="231F20"/>
          <w:spacing w:val="-10"/>
        </w:rPr>
        <w:t> </w:t>
      </w:r>
      <w:r>
        <w:rPr>
          <w:color w:val="231F20"/>
        </w:rPr>
        <w:t>terminan</w:t>
      </w:r>
      <w:r>
        <w:rPr>
          <w:color w:val="231F20"/>
          <w:spacing w:val="-10"/>
        </w:rPr>
        <w:t> </w:t>
      </w:r>
      <w:r>
        <w:rPr>
          <w:color w:val="231F20"/>
        </w:rPr>
        <w:t>una</w:t>
      </w:r>
      <w:r>
        <w:rPr>
          <w:color w:val="231F20"/>
          <w:spacing w:val="-10"/>
        </w:rPr>
        <w:t> </w:t>
      </w:r>
      <w:r>
        <w:rPr>
          <w:color w:val="231F20"/>
        </w:rPr>
        <w:t>carrera</w:t>
      </w:r>
      <w:r>
        <w:rPr>
          <w:color w:val="231F20"/>
          <w:spacing w:val="-10"/>
        </w:rPr>
        <w:t> </w:t>
      </w:r>
      <w:r>
        <w:rPr>
          <w:color w:val="231F20"/>
        </w:rPr>
        <w:t>profesio- nal,</w:t>
      </w:r>
      <w:r>
        <w:rPr>
          <w:color w:val="231F20"/>
          <w:spacing w:val="-5"/>
        </w:rPr>
        <w:t> </w:t>
      </w:r>
      <w:r>
        <w:rPr>
          <w:color w:val="231F20"/>
        </w:rPr>
        <w:t>ya</w:t>
      </w:r>
      <w:r>
        <w:rPr>
          <w:color w:val="231F20"/>
          <w:spacing w:val="-5"/>
        </w:rPr>
        <w:t> </w:t>
      </w:r>
      <w:r>
        <w:rPr>
          <w:color w:val="231F20"/>
        </w:rPr>
        <w:t>sea</w:t>
      </w:r>
      <w:r>
        <w:rPr>
          <w:color w:val="231F20"/>
          <w:spacing w:val="-5"/>
        </w:rPr>
        <w:t> </w:t>
      </w:r>
      <w:r>
        <w:rPr>
          <w:color w:val="231F20"/>
        </w:rPr>
        <w:t>por</w:t>
      </w:r>
      <w:r>
        <w:rPr>
          <w:color w:val="231F20"/>
          <w:spacing w:val="-5"/>
        </w:rPr>
        <w:t> </w:t>
      </w:r>
      <w:r>
        <w:rPr>
          <w:color w:val="231F20"/>
        </w:rPr>
        <w:t>los</w:t>
      </w:r>
      <w:r>
        <w:rPr>
          <w:color w:val="231F20"/>
          <w:spacing w:val="-6"/>
        </w:rPr>
        <w:t> </w:t>
      </w:r>
      <w:r>
        <w:rPr>
          <w:color w:val="231F20"/>
        </w:rPr>
        <w:t>gastos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generan</w:t>
      </w:r>
      <w:r>
        <w:rPr>
          <w:color w:val="231F20"/>
          <w:spacing w:val="-5"/>
        </w:rPr>
        <w:t> </w:t>
      </w:r>
      <w:r>
        <w:rPr>
          <w:color w:val="231F20"/>
        </w:rPr>
        <w:t>o</w:t>
      </w:r>
      <w:r>
        <w:rPr>
          <w:color w:val="231F20"/>
          <w:spacing w:val="-5"/>
        </w:rPr>
        <w:t> </w:t>
      </w:r>
      <w:r>
        <w:rPr>
          <w:color w:val="231F20"/>
        </w:rPr>
        <w:t>por</w:t>
      </w:r>
      <w:r>
        <w:rPr>
          <w:color w:val="231F20"/>
          <w:spacing w:val="-5"/>
        </w:rPr>
        <w:t> </w:t>
      </w:r>
      <w:r>
        <w:rPr>
          <w:color w:val="231F20"/>
        </w:rPr>
        <w:t>que</w:t>
      </w:r>
      <w:r>
        <w:rPr>
          <w:color w:val="231F20"/>
          <w:spacing w:val="-5"/>
        </w:rPr>
        <w:t> </w:t>
      </w:r>
      <w:r>
        <w:rPr>
          <w:color w:val="231F20"/>
        </w:rPr>
        <w:t>deciden</w:t>
      </w:r>
      <w:r>
        <w:rPr>
          <w:color w:val="231F20"/>
          <w:spacing w:val="-5"/>
        </w:rPr>
        <w:t> </w:t>
      </w:r>
      <w:r>
        <w:rPr>
          <w:color w:val="231F20"/>
        </w:rPr>
        <w:t>irse</w:t>
      </w:r>
      <w:r>
        <w:rPr>
          <w:color w:val="231F20"/>
          <w:spacing w:val="-6"/>
        </w:rPr>
        <w:t> </w:t>
      </w:r>
      <w:r>
        <w:rPr>
          <w:color w:val="231F20"/>
        </w:rPr>
        <w:t>a</w:t>
      </w:r>
      <w:r>
        <w:rPr>
          <w:color w:val="231F20"/>
          <w:spacing w:val="-5"/>
        </w:rPr>
        <w:t> </w:t>
      </w:r>
      <w:r>
        <w:rPr>
          <w:color w:val="231F20"/>
        </w:rPr>
        <w:t>trabajar a Estados Unidos. Otro 20 por ciento de la población económicamente activa de esta comunidad se dedica al trabajo del campo. La comunidad cuentan con dotación ejidal de 650 hectáreas, en donde siembran maíz para el auto consumo. Les resulta imposible la siembra de otro tipo de cultivo</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enormes</w:t>
      </w:r>
      <w:r>
        <w:rPr>
          <w:color w:val="231F20"/>
          <w:spacing w:val="-7"/>
        </w:rPr>
        <w:t> </w:t>
      </w:r>
      <w:r>
        <w:rPr>
          <w:color w:val="231F20"/>
        </w:rPr>
        <w:t>costos</w:t>
      </w:r>
      <w:r>
        <w:rPr>
          <w:color w:val="231F20"/>
          <w:spacing w:val="-7"/>
        </w:rPr>
        <w:t> </w:t>
      </w:r>
      <w:r>
        <w:rPr>
          <w:color w:val="231F20"/>
        </w:rPr>
        <w:t>que</w:t>
      </w:r>
      <w:r>
        <w:rPr>
          <w:color w:val="231F20"/>
          <w:spacing w:val="-7"/>
        </w:rPr>
        <w:t> </w:t>
      </w:r>
      <w:r>
        <w:rPr>
          <w:color w:val="231F20"/>
        </w:rPr>
        <w:t>representaría</w:t>
      </w:r>
      <w:r>
        <w:rPr>
          <w:color w:val="231F20"/>
          <w:spacing w:val="-7"/>
        </w:rPr>
        <w:t> </w:t>
      </w:r>
      <w:r>
        <w:rPr>
          <w:color w:val="231F20"/>
        </w:rPr>
        <w:t>para</w:t>
      </w:r>
      <w:r>
        <w:rPr>
          <w:color w:val="231F20"/>
          <w:spacing w:val="-7"/>
        </w:rPr>
        <w:t> </w:t>
      </w:r>
      <w:r>
        <w:rPr>
          <w:color w:val="231F20"/>
        </w:rPr>
        <w:t>sus</w:t>
      </w:r>
      <w:r>
        <w:rPr>
          <w:color w:val="231F20"/>
          <w:spacing w:val="-7"/>
        </w:rPr>
        <w:t> </w:t>
      </w:r>
      <w:r>
        <w:rPr>
          <w:color w:val="231F20"/>
        </w:rPr>
        <w:t>familias.</w:t>
      </w:r>
      <w:r>
        <w:rPr>
          <w:color w:val="231F20"/>
          <w:spacing w:val="-7"/>
        </w:rPr>
        <w:t> </w:t>
      </w:r>
      <w:r>
        <w:rPr>
          <w:color w:val="231F20"/>
        </w:rPr>
        <w:t>Un</w:t>
      </w:r>
      <w:r>
        <w:rPr>
          <w:color w:val="231F20"/>
          <w:spacing w:val="-7"/>
        </w:rPr>
        <w:t> </w:t>
      </w:r>
      <w:r>
        <w:rPr>
          <w:color w:val="231F20"/>
        </w:rPr>
        <w:t>10 por ciento tiene empleos informales en la ciudad, trabajo doméstico, en la construcción, en empresas, y el otro 10 por ciento son profesionistas, los cuales cuentan con un trabajo</w:t>
      </w:r>
      <w:r>
        <w:rPr>
          <w:color w:val="231F20"/>
          <w:spacing w:val="-9"/>
        </w:rPr>
        <w:t> </w:t>
      </w:r>
      <w:r>
        <w:rPr>
          <w:color w:val="231F20"/>
        </w:rPr>
        <w:t>fijo.</w:t>
      </w:r>
      <w:r>
        <w:rPr>
          <w:color w:val="231F20"/>
          <w:position w:val="7"/>
          <w:sz w:val="11"/>
        </w:rPr>
        <w:t>4</w:t>
      </w:r>
    </w:p>
    <w:p>
      <w:pPr>
        <w:pStyle w:val="BodyText"/>
        <w:spacing w:line="249" w:lineRule="auto" w:before="1"/>
        <w:ind w:left="113" w:right="108" w:firstLine="283"/>
        <w:jc w:val="both"/>
      </w:pPr>
      <w:r>
        <w:rPr>
          <w:color w:val="231F20"/>
        </w:rPr>
        <w:t>A</w:t>
      </w:r>
      <w:r>
        <w:rPr>
          <w:color w:val="231F20"/>
          <w:spacing w:val="-16"/>
        </w:rPr>
        <w:t> </w:t>
      </w:r>
      <w:r>
        <w:rPr>
          <w:color w:val="231F20"/>
        </w:rPr>
        <w:t>continuación</w:t>
      </w:r>
      <w:r>
        <w:rPr>
          <w:color w:val="231F20"/>
          <w:spacing w:val="-5"/>
        </w:rPr>
        <w:t> </w:t>
      </w:r>
      <w:r>
        <w:rPr>
          <w:color w:val="231F20"/>
        </w:rPr>
        <w:t>se</w:t>
      </w:r>
      <w:r>
        <w:rPr>
          <w:color w:val="231F20"/>
          <w:spacing w:val="-4"/>
        </w:rPr>
        <w:t> </w:t>
      </w:r>
      <w:r>
        <w:rPr>
          <w:color w:val="231F20"/>
        </w:rPr>
        <w:t>presentan</w:t>
      </w:r>
      <w:r>
        <w:rPr>
          <w:color w:val="231F20"/>
          <w:spacing w:val="-4"/>
        </w:rPr>
        <w:t> </w:t>
      </w:r>
      <w:r>
        <w:rPr>
          <w:color w:val="231F20"/>
        </w:rPr>
        <w:t>los</w:t>
      </w:r>
      <w:r>
        <w:rPr>
          <w:color w:val="231F20"/>
          <w:spacing w:val="-5"/>
        </w:rPr>
        <w:t> </w:t>
      </w:r>
      <w:r>
        <w:rPr>
          <w:color w:val="231F20"/>
        </w:rPr>
        <w:t>principales</w:t>
      </w:r>
      <w:r>
        <w:rPr>
          <w:color w:val="231F20"/>
          <w:spacing w:val="-5"/>
        </w:rPr>
        <w:t> </w:t>
      </w:r>
      <w:r>
        <w:rPr>
          <w:color w:val="231F20"/>
        </w:rPr>
        <w:t>hallazgos</w:t>
      </w:r>
      <w:r>
        <w:rPr>
          <w:color w:val="231F20"/>
          <w:spacing w:val="-5"/>
        </w:rPr>
        <w:t> </w:t>
      </w:r>
      <w:r>
        <w:rPr>
          <w:color w:val="231F20"/>
        </w:rPr>
        <w:t>obtenidos</w:t>
      </w:r>
      <w:r>
        <w:rPr>
          <w:color w:val="231F20"/>
          <w:spacing w:val="-4"/>
        </w:rPr>
        <w:t> </w:t>
      </w:r>
      <w:r>
        <w:rPr>
          <w:color w:val="231F20"/>
        </w:rPr>
        <w:t>en</w:t>
      </w:r>
      <w:r>
        <w:rPr>
          <w:color w:val="231F20"/>
          <w:spacing w:val="-5"/>
        </w:rPr>
        <w:t> </w:t>
      </w:r>
      <w:r>
        <w:rPr>
          <w:color w:val="231F20"/>
        </w:rPr>
        <w:t>el trabajo de</w:t>
      </w:r>
      <w:r>
        <w:rPr>
          <w:color w:val="231F20"/>
          <w:spacing w:val="-1"/>
        </w:rPr>
        <w:t> </w:t>
      </w:r>
      <w:r>
        <w:rPr>
          <w:color w:val="231F20"/>
        </w:rPr>
        <w:t>campo.</w:t>
      </w:r>
    </w:p>
    <w:p>
      <w:pPr>
        <w:pStyle w:val="Heading5"/>
        <w:rPr>
          <w:i/>
        </w:rPr>
      </w:pPr>
      <w:r>
        <w:rPr>
          <w:i/>
          <w:w w:val="75"/>
        </w:rPr>
        <w:t>Autonomía para el género</w:t>
      </w:r>
    </w:p>
    <w:p>
      <w:pPr>
        <w:pStyle w:val="BodyText"/>
        <w:spacing w:line="249" w:lineRule="auto" w:before="171"/>
        <w:ind w:left="113" w:right="108"/>
        <w:jc w:val="both"/>
      </w:pPr>
      <w:r>
        <w:rPr>
          <w:color w:val="231F20"/>
        </w:rPr>
        <w:t>La</w:t>
      </w:r>
      <w:r>
        <w:rPr>
          <w:color w:val="231F20"/>
          <w:spacing w:val="-5"/>
        </w:rPr>
        <w:t> </w:t>
      </w:r>
      <w:r>
        <w:rPr>
          <w:color w:val="231F20"/>
        </w:rPr>
        <w:t>autonomía</w:t>
      </w:r>
      <w:r>
        <w:rPr>
          <w:color w:val="231F20"/>
          <w:spacing w:val="-5"/>
        </w:rPr>
        <w:t> </w:t>
      </w:r>
      <w:r>
        <w:rPr>
          <w:color w:val="231F20"/>
        </w:rPr>
        <w:t>se</w:t>
      </w:r>
      <w:r>
        <w:rPr>
          <w:color w:val="231F20"/>
          <w:spacing w:val="-5"/>
        </w:rPr>
        <w:t> </w:t>
      </w:r>
      <w:r>
        <w:rPr>
          <w:color w:val="231F20"/>
        </w:rPr>
        <w:t>entiende</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condición</w:t>
      </w:r>
      <w:r>
        <w:rPr>
          <w:color w:val="231F20"/>
          <w:spacing w:val="-5"/>
        </w:rPr>
        <w:t> </w:t>
      </w:r>
      <w:r>
        <w:rPr>
          <w:color w:val="231F20"/>
        </w:rPr>
        <w:t>que</w:t>
      </w:r>
      <w:r>
        <w:rPr>
          <w:color w:val="231F20"/>
          <w:spacing w:val="-5"/>
        </w:rPr>
        <w:t> </w:t>
      </w:r>
      <w:r>
        <w:rPr>
          <w:color w:val="231F20"/>
        </w:rPr>
        <w:t>tiene</w:t>
      </w:r>
      <w:r>
        <w:rPr>
          <w:color w:val="231F20"/>
          <w:spacing w:val="-5"/>
        </w:rPr>
        <w:t> </w:t>
      </w:r>
      <w:r>
        <w:rPr>
          <w:color w:val="231F20"/>
        </w:rPr>
        <w:t>que</w:t>
      </w:r>
      <w:r>
        <w:rPr>
          <w:color w:val="231F20"/>
          <w:spacing w:val="-5"/>
        </w:rPr>
        <w:t> </w:t>
      </w:r>
      <w:r>
        <w:rPr>
          <w:color w:val="231F20"/>
        </w:rPr>
        <w:t>ver</w:t>
      </w:r>
      <w:r>
        <w:rPr>
          <w:color w:val="231F20"/>
          <w:spacing w:val="-5"/>
        </w:rPr>
        <w:t> </w:t>
      </w:r>
      <w:r>
        <w:rPr>
          <w:color w:val="231F20"/>
        </w:rPr>
        <w:t>con</w:t>
      </w:r>
      <w:r>
        <w:rPr>
          <w:color w:val="231F20"/>
          <w:spacing w:val="-5"/>
        </w:rPr>
        <w:t> </w:t>
      </w:r>
      <w:r>
        <w:rPr>
          <w:color w:val="231F20"/>
        </w:rPr>
        <w:t>una distribución</w:t>
      </w:r>
      <w:r>
        <w:rPr>
          <w:color w:val="231F20"/>
          <w:spacing w:val="-4"/>
        </w:rPr>
        <w:t> </w:t>
      </w:r>
      <w:r>
        <w:rPr>
          <w:color w:val="231F20"/>
        </w:rPr>
        <w:t>diferente</w:t>
      </w:r>
      <w:r>
        <w:rPr>
          <w:color w:val="231F20"/>
          <w:spacing w:val="-4"/>
        </w:rPr>
        <w:t> </w:t>
      </w:r>
      <w:r>
        <w:rPr>
          <w:color w:val="231F20"/>
        </w:rPr>
        <w:t>del</w:t>
      </w:r>
      <w:r>
        <w:rPr>
          <w:color w:val="231F20"/>
          <w:spacing w:val="-4"/>
        </w:rPr>
        <w:t> </w:t>
      </w:r>
      <w:r>
        <w:rPr>
          <w:color w:val="231F20"/>
        </w:rPr>
        <w:t>poder</w:t>
      </w:r>
      <w:r>
        <w:rPr>
          <w:color w:val="231F20"/>
          <w:spacing w:val="-4"/>
        </w:rPr>
        <w:t> </w:t>
      </w:r>
      <w:r>
        <w:rPr>
          <w:color w:val="231F20"/>
        </w:rPr>
        <w:t>doméstico,</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tanto</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sentido</w:t>
      </w:r>
      <w:r>
        <w:rPr>
          <w:color w:val="231F20"/>
          <w:spacing w:val="-4"/>
        </w:rPr>
        <w:t> </w:t>
      </w:r>
      <w:r>
        <w:rPr>
          <w:color w:val="231F20"/>
        </w:rPr>
        <w:t>en la toma de decisiones dentro del</w:t>
      </w:r>
      <w:r>
        <w:rPr>
          <w:color w:val="231F20"/>
          <w:spacing w:val="-13"/>
        </w:rPr>
        <w:t> </w:t>
      </w:r>
      <w:r>
        <w:rPr>
          <w:color w:val="231F20"/>
        </w:rPr>
        <w:t>hogar.</w:t>
      </w:r>
    </w:p>
    <w:p>
      <w:pPr>
        <w:spacing w:line="160" w:lineRule="exact" w:before="106"/>
        <w:ind w:left="113" w:right="0" w:firstLine="0"/>
        <w:jc w:val="both"/>
        <w:rPr>
          <w:sz w:val="14"/>
        </w:rPr>
      </w:pPr>
      <w:r>
        <w:rPr>
          <w:color w:val="231F20"/>
          <w:position w:val="5"/>
          <w:sz w:val="8"/>
        </w:rPr>
        <w:t>3 </w:t>
      </w:r>
      <w:r>
        <w:rPr>
          <w:color w:val="231F20"/>
          <w:sz w:val="14"/>
        </w:rPr>
        <w:t>Información obtenida en la Dirección de Desarrollo Social del municipio Tenango del Valle.</w:t>
      </w:r>
    </w:p>
    <w:p>
      <w:pPr>
        <w:spacing w:line="160" w:lineRule="exact" w:before="0"/>
        <w:ind w:left="113" w:right="0" w:firstLine="0"/>
        <w:jc w:val="both"/>
        <w:rPr>
          <w:sz w:val="14"/>
        </w:rPr>
      </w:pPr>
      <w:r>
        <w:rPr>
          <w:color w:val="231F20"/>
          <w:position w:val="5"/>
          <w:sz w:val="8"/>
        </w:rPr>
        <w:t>4 </w:t>
      </w:r>
      <w:r>
        <w:rPr>
          <w:i/>
          <w:color w:val="231F20"/>
          <w:sz w:val="14"/>
        </w:rPr>
        <w:t>Ibid</w:t>
      </w:r>
      <w:r>
        <w:rPr>
          <w:color w:val="231F20"/>
          <w:sz w:val="14"/>
        </w:rPr>
        <w:t>.</w:t>
      </w:r>
    </w:p>
    <w:p>
      <w:pPr>
        <w:spacing w:after="0" w:line="160" w:lineRule="exact"/>
        <w:jc w:val="both"/>
        <w:rPr>
          <w:sz w:val="14"/>
        </w:rPr>
        <w:sectPr>
          <w:footerReference w:type="default" r:id="rId261"/>
          <w:pgSz w:w="7770" w:h="11740"/>
          <w:pgMar w:footer="474" w:header="0" w:top="840" w:bottom="660" w:left="1020" w:right="740"/>
          <w:pgNumType w:start="233"/>
        </w:sectPr>
      </w:pPr>
    </w:p>
    <w:p>
      <w:pPr>
        <w:pStyle w:val="BodyText"/>
        <w:spacing w:before="60"/>
        <w:ind w:left="393"/>
        <w:jc w:val="both"/>
      </w:pPr>
      <w:r>
        <w:rPr>
          <w:color w:val="231F20"/>
        </w:rPr>
        <w:t>Esta dimensión analítica respondió a la pregunta de investigación:</w:t>
      </w:r>
    </w:p>
    <w:p>
      <w:pPr>
        <w:pStyle w:val="BodyText"/>
        <w:spacing w:line="249" w:lineRule="auto" w:before="10"/>
        <w:ind w:left="110" w:right="111"/>
        <w:jc w:val="both"/>
      </w:pPr>
      <w:r>
        <w:rPr>
          <w:color w:val="231F20"/>
        </w:rPr>
        <w:t>¿en qué medida las mujeres que participan en el programa pueden gene- rar otra dinámica diferente, autónoma, a la dictada por la cultura patriar- cal existente en sus hogares y su comunidad? Es difícil asegurar que las mujeres al obtener un apoyo económico tan pequeño por parte de este programa se sientan con la capacidad suficiente de ser autónomas y no depender de una tercera persona, marido, en la toma de sus decisiones dentro del hogar; sobre todo porque viven en una comunidad con usos y costumbres</w:t>
      </w:r>
      <w:r>
        <w:rPr>
          <w:color w:val="231F20"/>
          <w:spacing w:val="-5"/>
        </w:rPr>
        <w:t> </w:t>
      </w:r>
      <w:r>
        <w:rPr>
          <w:color w:val="231F20"/>
        </w:rPr>
        <w:t>muy</w:t>
      </w:r>
      <w:r>
        <w:rPr>
          <w:color w:val="231F20"/>
          <w:spacing w:val="-5"/>
        </w:rPr>
        <w:t> </w:t>
      </w:r>
      <w:r>
        <w:rPr>
          <w:color w:val="231F20"/>
        </w:rPr>
        <w:t>arraigados,</w:t>
      </w:r>
      <w:r>
        <w:rPr>
          <w:color w:val="231F20"/>
          <w:spacing w:val="-5"/>
        </w:rPr>
        <w:t> </w:t>
      </w:r>
      <w:r>
        <w:rPr>
          <w:color w:val="231F20"/>
        </w:rPr>
        <w:t>en</w:t>
      </w:r>
      <w:r>
        <w:rPr>
          <w:color w:val="231F20"/>
          <w:spacing w:val="-5"/>
        </w:rPr>
        <w:t> </w:t>
      </w:r>
      <w:r>
        <w:rPr>
          <w:color w:val="231F20"/>
        </w:rPr>
        <w:t>donde</w:t>
      </w:r>
      <w:r>
        <w:rPr>
          <w:color w:val="231F20"/>
          <w:spacing w:val="-5"/>
        </w:rPr>
        <w:t> </w:t>
      </w:r>
      <w:r>
        <w:rPr>
          <w:color w:val="231F20"/>
        </w:rPr>
        <w:t>existe</w:t>
      </w:r>
      <w:r>
        <w:rPr>
          <w:color w:val="231F20"/>
          <w:spacing w:val="-5"/>
        </w:rPr>
        <w:t> </w:t>
      </w:r>
      <w:r>
        <w:rPr>
          <w:color w:val="231F20"/>
        </w:rPr>
        <w:t>machismo</w:t>
      </w:r>
      <w:r>
        <w:rPr>
          <w:color w:val="231F20"/>
          <w:spacing w:val="-5"/>
        </w:rPr>
        <w:t> </w:t>
      </w:r>
      <w:r>
        <w:rPr>
          <w:color w:val="231F20"/>
        </w:rPr>
        <w:t>y</w:t>
      </w:r>
      <w:r>
        <w:rPr>
          <w:color w:val="231F20"/>
          <w:spacing w:val="-5"/>
        </w:rPr>
        <w:t> </w:t>
      </w:r>
      <w:r>
        <w:rPr>
          <w:color w:val="231F20"/>
        </w:rPr>
        <w:t>donde</w:t>
      </w:r>
      <w:r>
        <w:rPr>
          <w:color w:val="231F20"/>
          <w:spacing w:val="-5"/>
        </w:rPr>
        <w:t> </w:t>
      </w:r>
      <w:r>
        <w:rPr>
          <w:color w:val="231F20"/>
        </w:rPr>
        <w:t>la</w:t>
      </w:r>
      <w:r>
        <w:rPr>
          <w:color w:val="231F20"/>
          <w:spacing w:val="-5"/>
        </w:rPr>
        <w:t> </w:t>
      </w:r>
      <w:r>
        <w:rPr>
          <w:color w:val="231F20"/>
        </w:rPr>
        <w:t>cultu- ra</w:t>
      </w:r>
      <w:r>
        <w:rPr>
          <w:color w:val="231F20"/>
          <w:spacing w:val="-4"/>
        </w:rPr>
        <w:t> </w:t>
      </w:r>
      <w:r>
        <w:rPr>
          <w:color w:val="231F20"/>
        </w:rPr>
        <w:t>patriarcal</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tiene</w:t>
      </w:r>
      <w:r>
        <w:rPr>
          <w:color w:val="231F20"/>
          <w:spacing w:val="-4"/>
        </w:rPr>
        <w:t> </w:t>
      </w:r>
      <w:r>
        <w:rPr>
          <w:color w:val="231F20"/>
        </w:rPr>
        <w:t>voz</w:t>
      </w:r>
      <w:r>
        <w:rPr>
          <w:color w:val="231F20"/>
          <w:spacing w:val="-4"/>
        </w:rPr>
        <w:t> </w:t>
      </w:r>
      <w:r>
        <w:rPr>
          <w:color w:val="231F20"/>
        </w:rPr>
        <w:t>y</w:t>
      </w:r>
      <w:r>
        <w:rPr>
          <w:color w:val="231F20"/>
          <w:spacing w:val="-4"/>
        </w:rPr>
        <w:t> </w:t>
      </w:r>
      <w:r>
        <w:rPr>
          <w:color w:val="231F20"/>
        </w:rPr>
        <w:t>mandato</w:t>
      </w:r>
      <w:r>
        <w:rPr>
          <w:color w:val="231F20"/>
          <w:spacing w:val="-4"/>
        </w:rPr>
        <w:t> </w:t>
      </w:r>
      <w:r>
        <w:rPr>
          <w:color w:val="231F20"/>
        </w:rPr>
        <w:t>para</w:t>
      </w:r>
      <w:r>
        <w:rPr>
          <w:color w:val="231F20"/>
          <w:spacing w:val="-4"/>
        </w:rPr>
        <w:t> </w:t>
      </w:r>
      <w:r>
        <w:rPr>
          <w:color w:val="231F20"/>
        </w:rPr>
        <w:t>realizar</w:t>
      </w:r>
      <w:r>
        <w:rPr>
          <w:color w:val="231F20"/>
          <w:spacing w:val="-4"/>
        </w:rPr>
        <w:t> </w:t>
      </w:r>
      <w:r>
        <w:rPr>
          <w:color w:val="231F20"/>
        </w:rPr>
        <w:t>cualquier</w:t>
      </w:r>
      <w:r>
        <w:rPr>
          <w:color w:val="231F20"/>
          <w:spacing w:val="-4"/>
        </w:rPr>
        <w:t> </w:t>
      </w:r>
      <w:r>
        <w:rPr>
          <w:color w:val="231F20"/>
        </w:rPr>
        <w:t>tipo</w:t>
      </w:r>
      <w:r>
        <w:rPr>
          <w:color w:val="231F20"/>
          <w:spacing w:val="-4"/>
        </w:rPr>
        <w:t> </w:t>
      </w:r>
      <w:r>
        <w:rPr>
          <w:color w:val="231F20"/>
        </w:rPr>
        <w:t>de actividad. En esta comunidad la mujer tiene que acatar a lo que indique el esposo, ya que es “el hombre de la casa”, al cual se le tiene respeto y se debe hacer lo que el marido</w:t>
      </w:r>
      <w:r>
        <w:rPr>
          <w:color w:val="231F20"/>
          <w:spacing w:val="-3"/>
        </w:rPr>
        <w:t> </w:t>
      </w:r>
      <w:r>
        <w:rPr>
          <w:color w:val="231F20"/>
        </w:rPr>
        <w:t>indique.</w:t>
      </w:r>
    </w:p>
    <w:p>
      <w:pPr>
        <w:pStyle w:val="BodyText"/>
        <w:spacing w:line="249" w:lineRule="auto" w:before="1"/>
        <w:ind w:left="110" w:right="111" w:firstLine="283"/>
        <w:jc w:val="both"/>
      </w:pPr>
      <w:r>
        <w:rPr>
          <w:color w:val="231F20"/>
        </w:rPr>
        <w:t>En muchas comunidades rurales e indígenas del Estado de México, por</w:t>
      </w:r>
      <w:r>
        <w:rPr>
          <w:color w:val="231F20"/>
          <w:spacing w:val="-5"/>
        </w:rPr>
        <w:t> </w:t>
      </w:r>
      <w:r>
        <w:rPr>
          <w:color w:val="231F20"/>
        </w:rPr>
        <w:t>usos</w:t>
      </w:r>
      <w:r>
        <w:rPr>
          <w:color w:val="231F20"/>
          <w:spacing w:val="-6"/>
        </w:rPr>
        <w:t> </w:t>
      </w:r>
      <w:r>
        <w:rPr>
          <w:color w:val="231F20"/>
        </w:rPr>
        <w:t>y</w:t>
      </w:r>
      <w:r>
        <w:rPr>
          <w:color w:val="231F20"/>
          <w:spacing w:val="-5"/>
        </w:rPr>
        <w:t> </w:t>
      </w:r>
      <w:r>
        <w:rPr>
          <w:color w:val="231F20"/>
        </w:rPr>
        <w:t>costumbres,</w:t>
      </w:r>
      <w:r>
        <w:rPr>
          <w:color w:val="231F20"/>
          <w:spacing w:val="-6"/>
        </w:rPr>
        <w:t> </w:t>
      </w:r>
      <w:r>
        <w:rPr>
          <w:color w:val="231F20"/>
        </w:rPr>
        <w:t>la</w:t>
      </w:r>
      <w:r>
        <w:rPr>
          <w:color w:val="231F20"/>
          <w:spacing w:val="-5"/>
        </w:rPr>
        <w:t> </w:t>
      </w:r>
      <w:r>
        <w:rPr>
          <w:color w:val="231F20"/>
        </w:rPr>
        <w:t>mujer</w:t>
      </w:r>
      <w:r>
        <w:rPr>
          <w:color w:val="231F20"/>
          <w:spacing w:val="-6"/>
        </w:rPr>
        <w:t> </w:t>
      </w:r>
      <w:r>
        <w:rPr>
          <w:color w:val="231F20"/>
        </w:rPr>
        <w:t>tiene</w:t>
      </w:r>
      <w:r>
        <w:rPr>
          <w:color w:val="231F20"/>
          <w:spacing w:val="-6"/>
        </w:rPr>
        <w:t> </w:t>
      </w:r>
      <w:r>
        <w:rPr>
          <w:color w:val="231F20"/>
        </w:rPr>
        <w:t>que</w:t>
      </w:r>
      <w:r>
        <w:rPr>
          <w:color w:val="231F20"/>
          <w:spacing w:val="-5"/>
        </w:rPr>
        <w:t> </w:t>
      </w:r>
      <w:r>
        <w:rPr>
          <w:color w:val="231F20"/>
        </w:rPr>
        <w:t>hacer</w:t>
      </w:r>
      <w:r>
        <w:rPr>
          <w:color w:val="231F20"/>
          <w:spacing w:val="-5"/>
        </w:rPr>
        <w:t> </w:t>
      </w:r>
      <w:r>
        <w:rPr>
          <w:color w:val="231F20"/>
        </w:rPr>
        <w:t>lo</w:t>
      </w:r>
      <w:r>
        <w:rPr>
          <w:color w:val="231F20"/>
          <w:spacing w:val="-6"/>
        </w:rPr>
        <w:t> </w:t>
      </w:r>
      <w:r>
        <w:rPr>
          <w:color w:val="231F20"/>
        </w:rPr>
        <w:t>que</w:t>
      </w:r>
      <w:r>
        <w:rPr>
          <w:color w:val="231F20"/>
          <w:spacing w:val="-5"/>
        </w:rPr>
        <w:t> </w:t>
      </w:r>
      <w:r>
        <w:rPr>
          <w:color w:val="231F20"/>
        </w:rPr>
        <w:t>la</w:t>
      </w:r>
      <w:r>
        <w:rPr>
          <w:color w:val="231F20"/>
          <w:spacing w:val="-5"/>
        </w:rPr>
        <w:t> </w:t>
      </w:r>
      <w:r>
        <w:rPr>
          <w:color w:val="231F20"/>
        </w:rPr>
        <w:t>suegra</w:t>
      </w:r>
      <w:r>
        <w:rPr>
          <w:color w:val="231F20"/>
          <w:spacing w:val="-5"/>
        </w:rPr>
        <w:t> </w:t>
      </w:r>
      <w:r>
        <w:rPr>
          <w:color w:val="231F20"/>
        </w:rPr>
        <w:t>o</w:t>
      </w:r>
      <w:r>
        <w:rPr>
          <w:color w:val="231F20"/>
          <w:spacing w:val="-5"/>
        </w:rPr>
        <w:t> </w:t>
      </w:r>
      <w:r>
        <w:rPr>
          <w:color w:val="231F20"/>
        </w:rPr>
        <w:t>el</w:t>
      </w:r>
      <w:r>
        <w:rPr>
          <w:color w:val="231F20"/>
          <w:spacing w:val="-5"/>
        </w:rPr>
        <w:t> </w:t>
      </w:r>
      <w:r>
        <w:rPr>
          <w:color w:val="231F20"/>
        </w:rPr>
        <w:t>sue- gro digan, y/o a la vez, lo que el marido le indique, es así como la mujer tiene</w:t>
      </w:r>
      <w:r>
        <w:rPr>
          <w:color w:val="231F20"/>
          <w:spacing w:val="-5"/>
        </w:rPr>
        <w:t> </w:t>
      </w:r>
      <w:r>
        <w:rPr>
          <w:color w:val="231F20"/>
        </w:rPr>
        <w:t>que</w:t>
      </w:r>
      <w:r>
        <w:rPr>
          <w:color w:val="231F20"/>
          <w:spacing w:val="-5"/>
        </w:rPr>
        <w:t> </w:t>
      </w:r>
      <w:r>
        <w:rPr>
          <w:color w:val="231F20"/>
        </w:rPr>
        <w:t>vivir</w:t>
      </w:r>
      <w:r>
        <w:rPr>
          <w:color w:val="231F20"/>
          <w:spacing w:val="-5"/>
        </w:rPr>
        <w:t> </w:t>
      </w:r>
      <w:r>
        <w:rPr>
          <w:color w:val="231F20"/>
        </w:rPr>
        <w:t>sujeta.</w:t>
      </w:r>
      <w:r>
        <w:rPr>
          <w:color w:val="231F20"/>
          <w:spacing w:val="-4"/>
        </w:rPr>
        <w:t> </w:t>
      </w:r>
      <w:r>
        <w:rPr>
          <w:color w:val="231F20"/>
        </w:rPr>
        <w:t>Durante</w:t>
      </w:r>
      <w:r>
        <w:rPr>
          <w:color w:val="231F20"/>
          <w:spacing w:val="-4"/>
        </w:rPr>
        <w:t> </w:t>
      </w:r>
      <w:r>
        <w:rPr>
          <w:color w:val="231F20"/>
        </w:rPr>
        <w:t>la</w:t>
      </w:r>
      <w:r>
        <w:rPr>
          <w:color w:val="231F20"/>
          <w:spacing w:val="-5"/>
        </w:rPr>
        <w:t> </w:t>
      </w:r>
      <w:r>
        <w:rPr>
          <w:color w:val="231F20"/>
        </w:rPr>
        <w:t>investigación</w:t>
      </w:r>
      <w:r>
        <w:rPr>
          <w:color w:val="231F20"/>
          <w:spacing w:val="-6"/>
        </w:rPr>
        <w:t> </w:t>
      </w:r>
      <w:r>
        <w:rPr>
          <w:color w:val="231F20"/>
        </w:rPr>
        <w:t>nos</w:t>
      </w:r>
      <w:r>
        <w:rPr>
          <w:color w:val="231F20"/>
          <w:spacing w:val="-5"/>
        </w:rPr>
        <w:t> </w:t>
      </w:r>
      <w:r>
        <w:rPr>
          <w:color w:val="231F20"/>
        </w:rPr>
        <w:t>encontramos,</w:t>
      </w:r>
      <w:r>
        <w:rPr>
          <w:color w:val="231F20"/>
          <w:spacing w:val="-5"/>
        </w:rPr>
        <w:t> </w:t>
      </w:r>
      <w:r>
        <w:rPr>
          <w:color w:val="231F20"/>
        </w:rPr>
        <w:t>incluso que</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mujeres</w:t>
      </w:r>
      <w:r>
        <w:rPr>
          <w:color w:val="231F20"/>
          <w:spacing w:val="-4"/>
        </w:rPr>
        <w:t> </w:t>
      </w:r>
      <w:r>
        <w:rPr>
          <w:color w:val="231F20"/>
        </w:rPr>
        <w:t>les</w:t>
      </w:r>
      <w:r>
        <w:rPr>
          <w:color w:val="231F20"/>
          <w:spacing w:val="-4"/>
        </w:rPr>
        <w:t> </w:t>
      </w:r>
      <w:r>
        <w:rPr>
          <w:color w:val="231F20"/>
        </w:rPr>
        <w:t>interesa</w:t>
      </w:r>
      <w:r>
        <w:rPr>
          <w:color w:val="231F20"/>
          <w:spacing w:val="-5"/>
        </w:rPr>
        <w:t> </w:t>
      </w:r>
      <w:r>
        <w:rPr>
          <w:color w:val="231F20"/>
        </w:rPr>
        <w:t>más</w:t>
      </w:r>
      <w:r>
        <w:rPr>
          <w:color w:val="231F20"/>
          <w:spacing w:val="-4"/>
        </w:rPr>
        <w:t> </w:t>
      </w:r>
      <w:r>
        <w:rPr>
          <w:color w:val="231F20"/>
        </w:rPr>
        <w:t>procrear</w:t>
      </w:r>
      <w:r>
        <w:rPr>
          <w:color w:val="231F20"/>
          <w:spacing w:val="-4"/>
        </w:rPr>
        <w:t> </w:t>
      </w:r>
      <w:r>
        <w:rPr>
          <w:color w:val="231F20"/>
        </w:rPr>
        <w:t>hijos,</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programas sociales</w:t>
      </w:r>
      <w:r>
        <w:rPr>
          <w:color w:val="231F20"/>
          <w:spacing w:val="-10"/>
        </w:rPr>
        <w:t> </w:t>
      </w:r>
      <w:r>
        <w:rPr>
          <w:color w:val="231F20"/>
        </w:rPr>
        <w:t>les</w:t>
      </w:r>
      <w:r>
        <w:rPr>
          <w:color w:val="231F20"/>
          <w:spacing w:val="-11"/>
        </w:rPr>
        <w:t> </w:t>
      </w:r>
      <w:r>
        <w:rPr>
          <w:color w:val="231F20"/>
        </w:rPr>
        <w:t>den</w:t>
      </w:r>
      <w:r>
        <w:rPr>
          <w:color w:val="231F20"/>
          <w:spacing w:val="-11"/>
        </w:rPr>
        <w:t> </w:t>
      </w:r>
      <w:r>
        <w:rPr>
          <w:color w:val="231F20"/>
        </w:rPr>
        <w:t>más</w:t>
      </w:r>
      <w:r>
        <w:rPr>
          <w:color w:val="231F20"/>
          <w:spacing w:val="-11"/>
        </w:rPr>
        <w:t> </w:t>
      </w:r>
      <w:r>
        <w:rPr>
          <w:color w:val="231F20"/>
        </w:rPr>
        <w:t>dinero.</w:t>
      </w:r>
      <w:r>
        <w:rPr>
          <w:color w:val="231F20"/>
          <w:spacing w:val="-21"/>
        </w:rPr>
        <w:t> </w:t>
      </w:r>
      <w:r>
        <w:rPr>
          <w:color w:val="231F20"/>
        </w:rPr>
        <w:t>Argumentan</w:t>
      </w:r>
      <w:r>
        <w:rPr>
          <w:color w:val="231F20"/>
          <w:spacing w:val="-11"/>
        </w:rPr>
        <w:t> </w:t>
      </w:r>
      <w:r>
        <w:rPr>
          <w:color w:val="231F20"/>
        </w:rPr>
        <w:t>que</w:t>
      </w:r>
      <w:r>
        <w:rPr>
          <w:color w:val="231F20"/>
          <w:spacing w:val="-11"/>
        </w:rPr>
        <w:t> </w:t>
      </w:r>
      <w:r>
        <w:rPr>
          <w:color w:val="231F20"/>
        </w:rPr>
        <w:t>“así</w:t>
      </w:r>
      <w:r>
        <w:rPr>
          <w:color w:val="231F20"/>
          <w:spacing w:val="-11"/>
        </w:rPr>
        <w:t> </w:t>
      </w:r>
      <w:r>
        <w:rPr>
          <w:color w:val="231F20"/>
        </w:rPr>
        <w:t>le</w:t>
      </w:r>
      <w:r>
        <w:rPr>
          <w:color w:val="231F20"/>
          <w:spacing w:val="-11"/>
        </w:rPr>
        <w:t> </w:t>
      </w:r>
      <w:r>
        <w:rPr>
          <w:color w:val="231F20"/>
        </w:rPr>
        <w:t>alcanzaría</w:t>
      </w:r>
      <w:r>
        <w:rPr>
          <w:color w:val="231F20"/>
          <w:spacing w:val="-11"/>
        </w:rPr>
        <w:t> </w:t>
      </w:r>
      <w:r>
        <w:rPr>
          <w:color w:val="231F20"/>
        </w:rPr>
        <w:t>para</w:t>
      </w:r>
      <w:r>
        <w:rPr>
          <w:color w:val="231F20"/>
          <w:spacing w:val="-11"/>
        </w:rPr>
        <w:t> </w:t>
      </w:r>
      <w:r>
        <w:rPr>
          <w:color w:val="231F20"/>
        </w:rPr>
        <w:t>com- prar más cosas” para su hogar y</w:t>
      </w:r>
      <w:r>
        <w:rPr>
          <w:color w:val="231F20"/>
          <w:spacing w:val="-3"/>
        </w:rPr>
        <w:t> </w:t>
      </w:r>
      <w:r>
        <w:rPr>
          <w:color w:val="231F20"/>
        </w:rPr>
        <w:t>familia.</w:t>
      </w:r>
    </w:p>
    <w:p>
      <w:pPr>
        <w:pStyle w:val="BodyText"/>
        <w:spacing w:line="249" w:lineRule="auto" w:before="1"/>
        <w:ind w:left="110" w:right="111" w:firstLine="283"/>
        <w:jc w:val="both"/>
      </w:pPr>
      <w:r>
        <w:rPr>
          <w:color w:val="231F20"/>
        </w:rPr>
        <w:t>Las mujeres entrevistadas expresaron su deseo de ingresar al mer- cado de trabajo y demostrar “que pueden de la misma manera que los hombres”, “que también pueden aportar al ingreso económico de su ho- gar”; pero no es fácil para ellas, ya que esto les produce problemas con sus</w:t>
      </w:r>
      <w:r>
        <w:rPr>
          <w:color w:val="231F20"/>
          <w:spacing w:val="-9"/>
        </w:rPr>
        <w:t> </w:t>
      </w:r>
      <w:r>
        <w:rPr>
          <w:color w:val="231F20"/>
        </w:rPr>
        <w:t>esposos,</w:t>
      </w:r>
      <w:r>
        <w:rPr>
          <w:color w:val="231F20"/>
          <w:spacing w:val="-9"/>
        </w:rPr>
        <w:t> </w:t>
      </w:r>
      <w:r>
        <w:rPr>
          <w:color w:val="231F20"/>
        </w:rPr>
        <w:t>además</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tienen</w:t>
      </w:r>
      <w:r>
        <w:rPr>
          <w:color w:val="231F20"/>
          <w:spacing w:val="-9"/>
        </w:rPr>
        <w:t> </w:t>
      </w:r>
      <w:r>
        <w:rPr>
          <w:color w:val="231F20"/>
        </w:rPr>
        <w:t>que</w:t>
      </w:r>
      <w:r>
        <w:rPr>
          <w:color w:val="231F20"/>
          <w:spacing w:val="-9"/>
        </w:rPr>
        <w:t> </w:t>
      </w:r>
      <w:r>
        <w:rPr>
          <w:color w:val="231F20"/>
        </w:rPr>
        <w:t>resolver</w:t>
      </w:r>
      <w:r>
        <w:rPr>
          <w:color w:val="231F20"/>
          <w:spacing w:val="-9"/>
        </w:rPr>
        <w:t> </w:t>
      </w:r>
      <w:r>
        <w:rPr>
          <w:color w:val="231F20"/>
        </w:rPr>
        <w:t>el</w:t>
      </w:r>
      <w:r>
        <w:rPr>
          <w:color w:val="231F20"/>
          <w:spacing w:val="-9"/>
        </w:rPr>
        <w:t> </w:t>
      </w:r>
      <w:r>
        <w:rPr>
          <w:color w:val="231F20"/>
        </w:rPr>
        <w:t>quién</w:t>
      </w:r>
      <w:r>
        <w:rPr>
          <w:color w:val="231F20"/>
          <w:spacing w:val="-9"/>
        </w:rPr>
        <w:t> </w:t>
      </w:r>
      <w:r>
        <w:rPr>
          <w:color w:val="231F20"/>
        </w:rPr>
        <w:t>les</w:t>
      </w:r>
      <w:r>
        <w:rPr>
          <w:color w:val="231F20"/>
          <w:spacing w:val="-9"/>
        </w:rPr>
        <w:t> </w:t>
      </w:r>
      <w:r>
        <w:rPr>
          <w:color w:val="231F20"/>
        </w:rPr>
        <w:t>cuidaría</w:t>
      </w:r>
      <w:r>
        <w:rPr>
          <w:color w:val="231F20"/>
          <w:spacing w:val="-9"/>
        </w:rPr>
        <w:t> </w:t>
      </w:r>
      <w:r>
        <w:rPr>
          <w:color w:val="231F20"/>
        </w:rPr>
        <w:t>a</w:t>
      </w:r>
      <w:r>
        <w:rPr>
          <w:color w:val="231F20"/>
          <w:spacing w:val="-9"/>
        </w:rPr>
        <w:t> </w:t>
      </w:r>
      <w:r>
        <w:rPr>
          <w:color w:val="231F20"/>
        </w:rPr>
        <w:t>sus hijos. Se encontró un caso en donde la beneficiaria del programa tenía discusiones en su matrimonio, ya que su esposo no quería que mandara a sus hijos a la guardería ya que argumentaba que “la mujer está para cuidarlos y verlos, que no tiene otro quehacer</w:t>
      </w:r>
      <w:r>
        <w:rPr>
          <w:color w:val="231F20"/>
          <w:spacing w:val="-2"/>
        </w:rPr>
        <w:t> </w:t>
      </w:r>
      <w:r>
        <w:rPr>
          <w:color w:val="231F20"/>
        </w:rPr>
        <w:t>más”.</w:t>
      </w:r>
    </w:p>
    <w:p>
      <w:pPr>
        <w:pStyle w:val="BodyText"/>
        <w:spacing w:line="249" w:lineRule="auto" w:before="1"/>
        <w:ind w:left="110" w:right="112" w:firstLine="283"/>
        <w:jc w:val="both"/>
      </w:pPr>
      <w:r>
        <w:rPr>
          <w:color w:val="231F20"/>
        </w:rPr>
        <w:t>Las mujeres de esta comunidad creen y quieren salir adelante por sí mismas pero la cultura patriarcal les es un obstáculo.</w:t>
      </w:r>
    </w:p>
    <w:p>
      <w:pPr>
        <w:pStyle w:val="BodyText"/>
        <w:spacing w:line="249" w:lineRule="auto" w:before="114"/>
        <w:ind w:left="393" w:right="111"/>
        <w:jc w:val="both"/>
      </w:pPr>
      <w:r>
        <w:rPr>
          <w:color w:val="231F20"/>
        </w:rPr>
        <w:t>El</w:t>
      </w:r>
      <w:r>
        <w:rPr>
          <w:color w:val="231F20"/>
          <w:spacing w:val="-6"/>
        </w:rPr>
        <w:t> </w:t>
      </w:r>
      <w:r>
        <w:rPr>
          <w:color w:val="231F20"/>
        </w:rPr>
        <w:t>emprendimiento</w:t>
      </w:r>
      <w:r>
        <w:rPr>
          <w:color w:val="231F20"/>
          <w:spacing w:val="-7"/>
        </w:rPr>
        <w:t> </w:t>
      </w:r>
      <w:r>
        <w:rPr>
          <w:color w:val="231F20"/>
        </w:rPr>
        <w:t>es</w:t>
      </w:r>
      <w:r>
        <w:rPr>
          <w:color w:val="231F20"/>
          <w:spacing w:val="-6"/>
        </w:rPr>
        <w:t> </w:t>
      </w:r>
      <w:r>
        <w:rPr>
          <w:color w:val="231F20"/>
        </w:rPr>
        <w:t>la</w:t>
      </w:r>
      <w:r>
        <w:rPr>
          <w:color w:val="231F20"/>
          <w:spacing w:val="-6"/>
        </w:rPr>
        <w:t> </w:t>
      </w:r>
      <w:r>
        <w:rPr>
          <w:color w:val="231F20"/>
        </w:rPr>
        <w:t>superación</w:t>
      </w:r>
      <w:r>
        <w:rPr>
          <w:color w:val="231F20"/>
          <w:spacing w:val="-5"/>
        </w:rPr>
        <w:t> </w:t>
      </w:r>
      <w:r>
        <w:rPr>
          <w:color w:val="231F20"/>
        </w:rPr>
        <w:t>de</w:t>
      </w:r>
      <w:r>
        <w:rPr>
          <w:color w:val="231F20"/>
          <w:spacing w:val="-6"/>
        </w:rPr>
        <w:t> </w:t>
      </w:r>
      <w:r>
        <w:rPr>
          <w:color w:val="231F20"/>
        </w:rPr>
        <w:t>nosotras</w:t>
      </w:r>
      <w:r>
        <w:rPr>
          <w:color w:val="231F20"/>
          <w:spacing w:val="-6"/>
        </w:rPr>
        <w:t> </w:t>
      </w:r>
      <w:r>
        <w:rPr>
          <w:color w:val="231F20"/>
        </w:rPr>
        <w:t>como</w:t>
      </w:r>
      <w:r>
        <w:rPr>
          <w:color w:val="231F20"/>
          <w:spacing w:val="-6"/>
        </w:rPr>
        <w:t> </w:t>
      </w:r>
      <w:r>
        <w:rPr>
          <w:color w:val="231F20"/>
        </w:rPr>
        <w:t>mujeres</w:t>
      </w:r>
      <w:r>
        <w:rPr>
          <w:color w:val="231F20"/>
          <w:spacing w:val="-6"/>
        </w:rPr>
        <w:t> </w:t>
      </w:r>
      <w:r>
        <w:rPr>
          <w:color w:val="231F20"/>
        </w:rPr>
        <w:t>y</w:t>
      </w:r>
      <w:r>
        <w:rPr>
          <w:color w:val="231F20"/>
          <w:spacing w:val="-6"/>
        </w:rPr>
        <w:t> </w:t>
      </w:r>
      <w:r>
        <w:rPr>
          <w:color w:val="231F20"/>
        </w:rPr>
        <w:t>creo que ahora ya las mujeres podemos salir a delante, sin que dependa- mos</w:t>
      </w:r>
      <w:r>
        <w:rPr>
          <w:color w:val="231F20"/>
          <w:spacing w:val="-7"/>
        </w:rPr>
        <w:t> </w:t>
      </w:r>
      <w:r>
        <w:rPr>
          <w:color w:val="231F20"/>
        </w:rPr>
        <w:t>de</w:t>
      </w:r>
      <w:r>
        <w:rPr>
          <w:color w:val="231F20"/>
          <w:spacing w:val="-6"/>
        </w:rPr>
        <w:t> </w:t>
      </w:r>
      <w:r>
        <w:rPr>
          <w:color w:val="231F20"/>
        </w:rPr>
        <w:t>nuestro</w:t>
      </w:r>
      <w:r>
        <w:rPr>
          <w:color w:val="231F20"/>
          <w:spacing w:val="-6"/>
        </w:rPr>
        <w:t> </w:t>
      </w:r>
      <w:r>
        <w:rPr>
          <w:color w:val="231F20"/>
        </w:rPr>
        <w:t>esposo</w:t>
      </w:r>
      <w:r>
        <w:rPr>
          <w:color w:val="231F20"/>
          <w:spacing w:val="-7"/>
        </w:rPr>
        <w:t> </w:t>
      </w:r>
      <w:r>
        <w:rPr>
          <w:color w:val="231F20"/>
        </w:rPr>
        <w:t>y</w:t>
      </w:r>
      <w:r>
        <w:rPr>
          <w:color w:val="231F20"/>
          <w:spacing w:val="-6"/>
        </w:rPr>
        <w:t> </w:t>
      </w:r>
      <w:r>
        <w:rPr>
          <w:color w:val="231F20"/>
        </w:rPr>
        <w:t>de</w:t>
      </w:r>
      <w:r>
        <w:rPr>
          <w:color w:val="231F20"/>
          <w:spacing w:val="-6"/>
        </w:rPr>
        <w:t> </w:t>
      </w:r>
      <w:r>
        <w:rPr>
          <w:color w:val="231F20"/>
        </w:rPr>
        <w:t>los</w:t>
      </w:r>
      <w:r>
        <w:rPr>
          <w:color w:val="231F20"/>
          <w:spacing w:val="-7"/>
        </w:rPr>
        <w:t> </w:t>
      </w:r>
      <w:r>
        <w:rPr>
          <w:color w:val="231F20"/>
        </w:rPr>
        <w:t>demás</w:t>
      </w:r>
      <w:r>
        <w:rPr>
          <w:color w:val="231F20"/>
          <w:spacing w:val="-7"/>
        </w:rPr>
        <w:t> </w:t>
      </w:r>
      <w:r>
        <w:rPr>
          <w:color w:val="231F20"/>
        </w:rPr>
        <w:t>familiares,</w:t>
      </w:r>
      <w:r>
        <w:rPr>
          <w:color w:val="231F20"/>
          <w:spacing w:val="-6"/>
        </w:rPr>
        <w:t> </w:t>
      </w:r>
      <w:r>
        <w:rPr>
          <w:color w:val="231F20"/>
        </w:rPr>
        <w:t>solas</w:t>
      </w:r>
      <w:r>
        <w:rPr>
          <w:color w:val="231F20"/>
          <w:spacing w:val="-6"/>
        </w:rPr>
        <w:t> </w:t>
      </w:r>
      <w:r>
        <w:rPr>
          <w:color w:val="231F20"/>
        </w:rPr>
        <w:t>podemos</w:t>
      </w:r>
      <w:r>
        <w:rPr>
          <w:color w:val="231F20"/>
          <w:spacing w:val="-6"/>
        </w:rPr>
        <w:t> </w:t>
      </w:r>
      <w:r>
        <w:rPr>
          <w:color w:val="231F20"/>
        </w:rPr>
        <w:t>bus- car empleo (entrevista</w:t>
      </w:r>
      <w:r>
        <w:rPr>
          <w:color w:val="231F20"/>
          <w:spacing w:val="-2"/>
        </w:rPr>
        <w:t> </w:t>
      </w:r>
      <w:r>
        <w:rPr>
          <w:color w:val="231F20"/>
        </w:rPr>
        <w:t>10).</w:t>
      </w:r>
    </w:p>
    <w:p>
      <w:pPr>
        <w:pStyle w:val="BodyText"/>
        <w:spacing w:line="249" w:lineRule="auto" w:before="114"/>
        <w:ind w:left="110" w:right="111" w:firstLine="283"/>
        <w:jc w:val="both"/>
      </w:pPr>
      <w:r>
        <w:rPr>
          <w:color w:val="231F20"/>
        </w:rPr>
        <w:t>No obstante, algunas mujeres argumentan que ahora ya no es lo mis- mo, como en el pasado, ahora ellas pueden trabajar sin que sean mal vistas. Es notorio observar que la familia en ocasiones se aprovecha del apoyo económico que el programa les da a las mujeres.</w:t>
      </w:r>
    </w:p>
    <w:p>
      <w:pPr>
        <w:spacing w:after="0" w:line="249" w:lineRule="auto"/>
        <w:jc w:val="both"/>
        <w:sectPr>
          <w:pgSz w:w="7770" w:h="11740"/>
          <w:pgMar w:header="0" w:footer="474" w:top="840" w:bottom="740" w:left="740" w:right="1020"/>
        </w:sectPr>
      </w:pPr>
    </w:p>
    <w:p>
      <w:pPr>
        <w:pStyle w:val="BodyText"/>
        <w:spacing w:line="249" w:lineRule="auto" w:before="60"/>
        <w:ind w:left="397" w:right="108"/>
        <w:jc w:val="both"/>
      </w:pPr>
      <w:r>
        <w:rPr>
          <w:color w:val="231F20"/>
        </w:rPr>
        <w:t>Sí</w:t>
      </w:r>
      <w:r>
        <w:rPr>
          <w:color w:val="231F20"/>
          <w:spacing w:val="-4"/>
        </w:rPr>
        <w:t> </w:t>
      </w:r>
      <w:r>
        <w:rPr>
          <w:color w:val="231F20"/>
        </w:rPr>
        <w:t>tengo</w:t>
      </w:r>
      <w:r>
        <w:rPr>
          <w:color w:val="231F20"/>
          <w:spacing w:val="-4"/>
        </w:rPr>
        <w:t> </w:t>
      </w:r>
      <w:r>
        <w:rPr>
          <w:color w:val="231F20"/>
        </w:rPr>
        <w:t>mi</w:t>
      </w:r>
      <w:r>
        <w:rPr>
          <w:color w:val="231F20"/>
          <w:spacing w:val="-4"/>
        </w:rPr>
        <w:t> </w:t>
      </w:r>
      <w:r>
        <w:rPr>
          <w:color w:val="231F20"/>
        </w:rPr>
        <w:t>propio</w:t>
      </w:r>
      <w:r>
        <w:rPr>
          <w:color w:val="231F20"/>
          <w:spacing w:val="-4"/>
        </w:rPr>
        <w:t> </w:t>
      </w:r>
      <w:r>
        <w:rPr>
          <w:color w:val="231F20"/>
        </w:rPr>
        <w:t>dinero</w:t>
      </w:r>
      <w:r>
        <w:rPr>
          <w:color w:val="231F20"/>
          <w:spacing w:val="-4"/>
        </w:rPr>
        <w:t> </w:t>
      </w:r>
      <w:r>
        <w:rPr>
          <w:color w:val="231F20"/>
        </w:rPr>
        <w:t>me</w:t>
      </w:r>
      <w:r>
        <w:rPr>
          <w:color w:val="231F20"/>
          <w:spacing w:val="-4"/>
        </w:rPr>
        <w:t> </w:t>
      </w:r>
      <w:r>
        <w:rPr>
          <w:color w:val="231F20"/>
        </w:rPr>
        <w:t>pide;</w:t>
      </w:r>
      <w:r>
        <w:rPr>
          <w:color w:val="231F20"/>
          <w:spacing w:val="-4"/>
        </w:rPr>
        <w:t> </w:t>
      </w:r>
      <w:r>
        <w:rPr>
          <w:color w:val="231F20"/>
        </w:rPr>
        <w:t>pero</w:t>
      </w:r>
      <w:r>
        <w:rPr>
          <w:color w:val="231F20"/>
          <w:spacing w:val="-4"/>
        </w:rPr>
        <w:t> </w:t>
      </w:r>
      <w:r>
        <w:rPr>
          <w:color w:val="231F20"/>
        </w:rPr>
        <w:t>también</w:t>
      </w:r>
      <w:r>
        <w:rPr>
          <w:color w:val="231F20"/>
          <w:spacing w:val="-5"/>
        </w:rPr>
        <w:t> </w:t>
      </w:r>
      <w:r>
        <w:rPr>
          <w:color w:val="231F20"/>
        </w:rPr>
        <w:t>luego</w:t>
      </w:r>
      <w:r>
        <w:rPr>
          <w:color w:val="231F20"/>
          <w:spacing w:val="-4"/>
        </w:rPr>
        <w:t> </w:t>
      </w:r>
      <w:r>
        <w:rPr>
          <w:color w:val="231F20"/>
        </w:rPr>
        <w:t>si</w:t>
      </w:r>
      <w:r>
        <w:rPr>
          <w:color w:val="231F20"/>
          <w:spacing w:val="-4"/>
        </w:rPr>
        <w:t> </w:t>
      </w:r>
      <w:r>
        <w:rPr>
          <w:color w:val="231F20"/>
        </w:rPr>
        <w:t>tengo</w:t>
      </w:r>
      <w:r>
        <w:rPr>
          <w:color w:val="231F20"/>
          <w:spacing w:val="-4"/>
        </w:rPr>
        <w:t> </w:t>
      </w:r>
      <w:r>
        <w:rPr>
          <w:color w:val="231F20"/>
        </w:rPr>
        <w:t>dine- ro ya mi marido o mi suegra quiere que le preste, y después ya</w:t>
      </w:r>
      <w:r>
        <w:rPr>
          <w:color w:val="231F20"/>
          <w:spacing w:val="-34"/>
        </w:rPr>
        <w:t> </w:t>
      </w:r>
      <w:r>
        <w:rPr>
          <w:color w:val="231F20"/>
        </w:rPr>
        <w:t>nunca me los regresan (entrevista</w:t>
      </w:r>
      <w:r>
        <w:rPr>
          <w:color w:val="231F20"/>
          <w:spacing w:val="-1"/>
        </w:rPr>
        <w:t> </w:t>
      </w:r>
      <w:r>
        <w:rPr>
          <w:color w:val="231F20"/>
        </w:rPr>
        <w:t>8).</w:t>
      </w:r>
    </w:p>
    <w:p>
      <w:pPr>
        <w:pStyle w:val="BodyText"/>
        <w:spacing w:line="249" w:lineRule="auto" w:before="114"/>
        <w:ind w:left="113" w:right="108" w:firstLine="283"/>
        <w:jc w:val="both"/>
      </w:pPr>
      <w:r>
        <w:rPr>
          <w:color w:val="231F20"/>
        </w:rPr>
        <w:t>En algunos casos el apoyo económico que el programa otorga sirve para algunas mujeres como herramienta para salir delante de manera au- tónoma; se trata de una pequeña autonomía pero importante en la cons- trucción de las estrategias de sobrevivencia de la mujer.</w:t>
      </w:r>
    </w:p>
    <w:p>
      <w:pPr>
        <w:pStyle w:val="BodyText"/>
        <w:spacing w:line="249" w:lineRule="auto" w:before="114"/>
        <w:ind w:left="397" w:right="107"/>
        <w:jc w:val="both"/>
      </w:pPr>
      <w:r>
        <w:rPr>
          <w:color w:val="231F20"/>
        </w:rPr>
        <w:t>Sí, ya ve, hasta yo le ayudo a mi hija con sus niños y ella trabaja y ya le da su ayudita el gobierno y con eso ya le sirve, para invertir en algo. Y con lo que gana trabajando en el Distrito Federal, así vea, ni necesita</w:t>
      </w:r>
      <w:r>
        <w:rPr>
          <w:color w:val="231F20"/>
          <w:spacing w:val="-8"/>
        </w:rPr>
        <w:t> </w:t>
      </w:r>
      <w:r>
        <w:rPr>
          <w:color w:val="231F20"/>
        </w:rPr>
        <w:t>del</w:t>
      </w:r>
      <w:r>
        <w:rPr>
          <w:color w:val="231F20"/>
          <w:spacing w:val="-8"/>
        </w:rPr>
        <w:t> </w:t>
      </w:r>
      <w:r>
        <w:rPr>
          <w:color w:val="231F20"/>
        </w:rPr>
        <w:t>hombre,</w:t>
      </w:r>
      <w:r>
        <w:rPr>
          <w:color w:val="231F20"/>
          <w:spacing w:val="-8"/>
        </w:rPr>
        <w:t> </w:t>
      </w:r>
      <w:r>
        <w:rPr>
          <w:color w:val="231F20"/>
        </w:rPr>
        <w:t>ella</w:t>
      </w:r>
      <w:r>
        <w:rPr>
          <w:color w:val="231F20"/>
          <w:spacing w:val="-9"/>
        </w:rPr>
        <w:t> </w:t>
      </w:r>
      <w:r>
        <w:rPr>
          <w:color w:val="231F20"/>
        </w:rPr>
        <w:t>sola</w:t>
      </w:r>
      <w:r>
        <w:rPr>
          <w:color w:val="231F20"/>
          <w:spacing w:val="-8"/>
        </w:rPr>
        <w:t> </w:t>
      </w:r>
      <w:r>
        <w:rPr>
          <w:color w:val="231F20"/>
        </w:rPr>
        <w:t>sacó</w:t>
      </w:r>
      <w:r>
        <w:rPr>
          <w:color w:val="231F20"/>
          <w:spacing w:val="-8"/>
        </w:rPr>
        <w:t> </w:t>
      </w:r>
      <w:r>
        <w:rPr>
          <w:color w:val="231F20"/>
        </w:rPr>
        <w:t>adelante</w:t>
      </w:r>
      <w:r>
        <w:rPr>
          <w:color w:val="231F20"/>
          <w:spacing w:val="-9"/>
        </w:rPr>
        <w:t> </w:t>
      </w:r>
      <w:r>
        <w:rPr>
          <w:color w:val="231F20"/>
        </w:rPr>
        <w:t>a</w:t>
      </w:r>
      <w:r>
        <w:rPr>
          <w:color w:val="231F20"/>
          <w:spacing w:val="-8"/>
        </w:rPr>
        <w:t> </w:t>
      </w:r>
      <w:r>
        <w:rPr>
          <w:color w:val="231F20"/>
        </w:rPr>
        <w:t>sus</w:t>
      </w:r>
      <w:r>
        <w:rPr>
          <w:color w:val="231F20"/>
          <w:spacing w:val="-8"/>
        </w:rPr>
        <w:t> </w:t>
      </w:r>
      <w:r>
        <w:rPr>
          <w:color w:val="231F20"/>
        </w:rPr>
        <w:t>hijos</w:t>
      </w:r>
      <w:r>
        <w:rPr>
          <w:color w:val="231F20"/>
          <w:spacing w:val="-8"/>
        </w:rPr>
        <w:t> </w:t>
      </w:r>
      <w:r>
        <w:rPr>
          <w:color w:val="231F20"/>
        </w:rPr>
        <w:t>(entrevista</w:t>
      </w:r>
      <w:r>
        <w:rPr>
          <w:color w:val="231F20"/>
          <w:spacing w:val="-8"/>
        </w:rPr>
        <w:t> </w:t>
      </w:r>
      <w:r>
        <w:rPr>
          <w:color w:val="231F20"/>
        </w:rPr>
        <w:t>7).</w:t>
      </w:r>
    </w:p>
    <w:p>
      <w:pPr>
        <w:pStyle w:val="BodyText"/>
        <w:spacing w:line="249" w:lineRule="auto" w:before="114"/>
        <w:ind w:left="113" w:right="108" w:firstLine="283"/>
        <w:jc w:val="both"/>
      </w:pPr>
      <w:r>
        <w:rPr>
          <w:color w:val="231F20"/>
        </w:rPr>
        <w:t>Las mujeres piensan que trabajando por ellas mismas, pueden vivir mejor y de esta manera pueden no depender del hombre, además de ello se</w:t>
      </w:r>
      <w:r>
        <w:rPr>
          <w:color w:val="231F20"/>
          <w:spacing w:val="-9"/>
        </w:rPr>
        <w:t> </w:t>
      </w:r>
      <w:r>
        <w:rPr>
          <w:color w:val="231F20"/>
        </w:rPr>
        <w:t>liberan</w:t>
      </w:r>
      <w:r>
        <w:rPr>
          <w:color w:val="231F20"/>
          <w:spacing w:val="-9"/>
        </w:rPr>
        <w:t> </w:t>
      </w:r>
      <w:r>
        <w:rPr>
          <w:color w:val="231F20"/>
        </w:rPr>
        <w:t>de</w:t>
      </w:r>
      <w:r>
        <w:rPr>
          <w:color w:val="231F20"/>
          <w:spacing w:val="-9"/>
        </w:rPr>
        <w:t> </w:t>
      </w:r>
      <w:r>
        <w:rPr>
          <w:color w:val="231F20"/>
        </w:rPr>
        <w:t>atenderlo.</w:t>
      </w:r>
      <w:r>
        <w:rPr>
          <w:color w:val="231F20"/>
          <w:spacing w:val="-9"/>
        </w:rPr>
        <w:t> </w:t>
      </w:r>
      <w:r>
        <w:rPr>
          <w:color w:val="231F20"/>
        </w:rPr>
        <w:t>Esta</w:t>
      </w:r>
      <w:r>
        <w:rPr>
          <w:color w:val="231F20"/>
          <w:spacing w:val="-9"/>
        </w:rPr>
        <w:t> </w:t>
      </w:r>
      <w:r>
        <w:rPr>
          <w:color w:val="231F20"/>
        </w:rPr>
        <w:t>idea</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a</w:t>
      </w:r>
      <w:r>
        <w:rPr>
          <w:color w:val="231F20"/>
          <w:spacing w:val="-9"/>
        </w:rPr>
        <w:t> </w:t>
      </w:r>
      <w:r>
        <w:rPr>
          <w:color w:val="231F20"/>
        </w:rPr>
        <w:t>refutar</w:t>
      </w:r>
      <w:r>
        <w:rPr>
          <w:color w:val="231F20"/>
          <w:spacing w:val="-9"/>
        </w:rPr>
        <w:t> </w:t>
      </w:r>
      <w:r>
        <w:rPr>
          <w:color w:val="231F20"/>
        </w:rPr>
        <w:t>el</w:t>
      </w:r>
      <w:r>
        <w:rPr>
          <w:color w:val="231F20"/>
          <w:spacing w:val="-9"/>
        </w:rPr>
        <w:t> </w:t>
      </w:r>
      <w:r>
        <w:rPr>
          <w:color w:val="231F20"/>
        </w:rPr>
        <w:t>matrimo- nio como cautiverio. Argumentan que ya pueden hacer lo mismo que el hombre. Algunas consideran que existe un poco de igualdad. Pero no en todos los casos, pues hay mujeres que tienen que hacer lo que su marido les indique sino las</w:t>
      </w:r>
      <w:r>
        <w:rPr>
          <w:color w:val="231F20"/>
          <w:spacing w:val="-6"/>
        </w:rPr>
        <w:t> </w:t>
      </w:r>
      <w:r>
        <w:rPr>
          <w:color w:val="231F20"/>
        </w:rPr>
        <w:t>golpean.</w:t>
      </w:r>
    </w:p>
    <w:p>
      <w:pPr>
        <w:pStyle w:val="BodyText"/>
        <w:spacing w:line="249" w:lineRule="auto" w:before="114"/>
        <w:ind w:left="397" w:right="108"/>
        <w:jc w:val="both"/>
      </w:pPr>
      <w:r>
        <w:rPr>
          <w:color w:val="231F20"/>
        </w:rPr>
        <w:t>El</w:t>
      </w:r>
      <w:r>
        <w:rPr>
          <w:color w:val="231F20"/>
          <w:spacing w:val="-8"/>
        </w:rPr>
        <w:t> </w:t>
      </w:r>
      <w:r>
        <w:rPr>
          <w:color w:val="231F20"/>
        </w:rPr>
        <w:t>programa</w:t>
      </w:r>
      <w:r>
        <w:rPr>
          <w:color w:val="231F20"/>
          <w:spacing w:val="-8"/>
        </w:rPr>
        <w:t> </w:t>
      </w:r>
      <w:r>
        <w:rPr>
          <w:color w:val="231F20"/>
        </w:rPr>
        <w:t>nos</w:t>
      </w:r>
      <w:r>
        <w:rPr>
          <w:color w:val="231F20"/>
          <w:spacing w:val="-8"/>
        </w:rPr>
        <w:t> </w:t>
      </w:r>
      <w:r>
        <w:rPr>
          <w:color w:val="231F20"/>
        </w:rPr>
        <w:t>ayuda</w:t>
      </w:r>
      <w:r>
        <w:rPr>
          <w:color w:val="231F20"/>
          <w:spacing w:val="-8"/>
        </w:rPr>
        <w:t> </w:t>
      </w:r>
      <w:r>
        <w:rPr>
          <w:color w:val="231F20"/>
        </w:rPr>
        <w:t>a</w:t>
      </w:r>
      <w:r>
        <w:rPr>
          <w:color w:val="231F20"/>
          <w:spacing w:val="-8"/>
        </w:rPr>
        <w:t> </w:t>
      </w:r>
      <w:r>
        <w:rPr>
          <w:color w:val="231F20"/>
        </w:rPr>
        <w:t>mejorar,</w:t>
      </w:r>
      <w:r>
        <w:rPr>
          <w:color w:val="231F20"/>
          <w:spacing w:val="-8"/>
        </w:rPr>
        <w:t> </w:t>
      </w:r>
      <w:r>
        <w:rPr>
          <w:color w:val="231F20"/>
        </w:rPr>
        <w:t>así</w:t>
      </w:r>
      <w:r>
        <w:rPr>
          <w:color w:val="231F20"/>
          <w:spacing w:val="-8"/>
        </w:rPr>
        <w:t> </w:t>
      </w:r>
      <w:r>
        <w:rPr>
          <w:color w:val="231F20"/>
        </w:rPr>
        <w:t>los</w:t>
      </w:r>
      <w:r>
        <w:rPr>
          <w:color w:val="231F20"/>
          <w:spacing w:val="-8"/>
        </w:rPr>
        <w:t> </w:t>
      </w:r>
      <w:r>
        <w:rPr>
          <w:color w:val="231F20"/>
        </w:rPr>
        <w:t>hombres</w:t>
      </w:r>
      <w:r>
        <w:rPr>
          <w:color w:val="231F20"/>
          <w:spacing w:val="-8"/>
        </w:rPr>
        <w:t> </w:t>
      </w:r>
      <w:r>
        <w:rPr>
          <w:color w:val="231F20"/>
        </w:rPr>
        <w:t>ven</w:t>
      </w:r>
      <w:r>
        <w:rPr>
          <w:color w:val="231F20"/>
          <w:spacing w:val="-8"/>
        </w:rPr>
        <w:t> </w:t>
      </w:r>
      <w:r>
        <w:rPr>
          <w:color w:val="231F20"/>
        </w:rPr>
        <w:t>que</w:t>
      </w:r>
      <w:r>
        <w:rPr>
          <w:color w:val="231F20"/>
          <w:spacing w:val="-8"/>
        </w:rPr>
        <w:t> </w:t>
      </w:r>
      <w:r>
        <w:rPr>
          <w:color w:val="231F20"/>
        </w:rPr>
        <w:t>ya</w:t>
      </w:r>
      <w:r>
        <w:rPr>
          <w:color w:val="231F20"/>
          <w:spacing w:val="-8"/>
        </w:rPr>
        <w:t> </w:t>
      </w:r>
      <w:r>
        <w:rPr>
          <w:color w:val="231F20"/>
        </w:rPr>
        <w:t>podem- os participar igual que ellos; porque luego dicen que las mujeres no servimos para nada, usted cree. </w:t>
      </w:r>
      <w:r>
        <w:rPr>
          <w:color w:val="231F20"/>
          <w:spacing w:val="-11"/>
        </w:rPr>
        <w:t>Yo </w:t>
      </w:r>
      <w:r>
        <w:rPr>
          <w:color w:val="231F20"/>
        </w:rPr>
        <w:t>pienso que ahora el gobierno, ya da más ayuda a las mujeres y nos cubre, si nos hacen algo los hom- bres, ya se les acusa y les va mal con la justicia (entrevista</w:t>
      </w:r>
      <w:r>
        <w:rPr>
          <w:color w:val="231F20"/>
          <w:spacing w:val="-7"/>
        </w:rPr>
        <w:t> </w:t>
      </w:r>
      <w:r>
        <w:rPr>
          <w:color w:val="231F20"/>
        </w:rPr>
        <w:t>7).</w:t>
      </w:r>
    </w:p>
    <w:p>
      <w:pPr>
        <w:pStyle w:val="BodyText"/>
        <w:spacing w:line="249" w:lineRule="auto" w:before="114"/>
        <w:ind w:left="113" w:right="107" w:firstLine="283"/>
        <w:jc w:val="both"/>
      </w:pPr>
      <w:r>
        <w:rPr>
          <w:color w:val="231F20"/>
        </w:rPr>
        <w:t>Las mujeres piensan que falta mucho por cambiar en el pensamiento de los hombres, y más en un pueblo como Tlanixco; ya que los hombres tienen sus ideas y hacen lo que sus papás les indiquen. Además de que sus tradiciones las tienen muy arraigadas desde sus abuelos, padres y ancestros; incluso, no hay una toma de decisiones propia de los mismos hombres, mucho menos una autonomía plena de la mujer.</w:t>
      </w:r>
    </w:p>
    <w:p>
      <w:pPr>
        <w:pStyle w:val="BodyText"/>
        <w:spacing w:line="249" w:lineRule="auto" w:before="114"/>
        <w:ind w:left="397" w:right="107"/>
        <w:jc w:val="both"/>
      </w:pPr>
      <w:r>
        <w:rPr>
          <w:color w:val="231F20"/>
        </w:rPr>
        <w:t>Dizque dicen que ya hay más participación pa´uno, pero nosotras no vemos un cambio así muy fuerte en el pueblo no, y luego veraz que nuestros</w:t>
      </w:r>
      <w:r>
        <w:rPr>
          <w:color w:val="231F20"/>
          <w:spacing w:val="-11"/>
        </w:rPr>
        <w:t> </w:t>
      </w:r>
      <w:r>
        <w:rPr>
          <w:color w:val="231F20"/>
        </w:rPr>
        <w:t>maridos</w:t>
      </w:r>
      <w:r>
        <w:rPr>
          <w:color w:val="231F20"/>
          <w:spacing w:val="-11"/>
        </w:rPr>
        <w:t> </w:t>
      </w:r>
      <w:r>
        <w:rPr>
          <w:color w:val="231F20"/>
        </w:rPr>
        <w:t>se</w:t>
      </w:r>
      <w:r>
        <w:rPr>
          <w:color w:val="231F20"/>
          <w:spacing w:val="-11"/>
        </w:rPr>
        <w:t> </w:t>
      </w:r>
      <w:r>
        <w:rPr>
          <w:color w:val="231F20"/>
        </w:rPr>
        <w:t>enojan,</w:t>
      </w:r>
      <w:r>
        <w:rPr>
          <w:color w:val="231F20"/>
          <w:spacing w:val="-12"/>
        </w:rPr>
        <w:t> </w:t>
      </w:r>
      <w:r>
        <w:rPr>
          <w:color w:val="231F20"/>
        </w:rPr>
        <w:t>porque</w:t>
      </w:r>
      <w:r>
        <w:rPr>
          <w:color w:val="231F20"/>
          <w:spacing w:val="-11"/>
        </w:rPr>
        <w:t> </w:t>
      </w:r>
      <w:r>
        <w:rPr>
          <w:color w:val="231F20"/>
        </w:rPr>
        <w:t>sus</w:t>
      </w:r>
      <w:r>
        <w:rPr>
          <w:color w:val="231F20"/>
          <w:spacing w:val="-11"/>
        </w:rPr>
        <w:t> </w:t>
      </w:r>
      <w:r>
        <w:rPr>
          <w:color w:val="231F20"/>
        </w:rPr>
        <w:t>papás</w:t>
      </w:r>
      <w:r>
        <w:rPr>
          <w:color w:val="231F20"/>
          <w:spacing w:val="-11"/>
        </w:rPr>
        <w:t> </w:t>
      </w:r>
      <w:r>
        <w:rPr>
          <w:color w:val="231F20"/>
        </w:rPr>
        <w:t>les</w:t>
      </w:r>
      <w:r>
        <w:rPr>
          <w:color w:val="231F20"/>
          <w:spacing w:val="-11"/>
        </w:rPr>
        <w:t> </w:t>
      </w:r>
      <w:r>
        <w:rPr>
          <w:color w:val="231F20"/>
        </w:rPr>
        <w:t>dicen</w:t>
      </w:r>
      <w:r>
        <w:rPr>
          <w:color w:val="231F20"/>
          <w:spacing w:val="-11"/>
        </w:rPr>
        <w:t> </w:t>
      </w:r>
      <w:r>
        <w:rPr>
          <w:color w:val="231F20"/>
        </w:rPr>
        <w:t>que</w:t>
      </w:r>
      <w:r>
        <w:rPr>
          <w:color w:val="231F20"/>
          <w:spacing w:val="-11"/>
        </w:rPr>
        <w:t> </w:t>
      </w:r>
      <w:r>
        <w:rPr>
          <w:color w:val="231F20"/>
        </w:rPr>
        <w:t>todo</w:t>
      </w:r>
      <w:r>
        <w:rPr>
          <w:color w:val="231F20"/>
          <w:spacing w:val="-11"/>
        </w:rPr>
        <w:t> </w:t>
      </w:r>
      <w:r>
        <w:rPr>
          <w:color w:val="231F20"/>
        </w:rPr>
        <w:t>el</w:t>
      </w:r>
      <w:r>
        <w:rPr>
          <w:color w:val="231F20"/>
          <w:spacing w:val="-11"/>
        </w:rPr>
        <w:t> </w:t>
      </w:r>
      <w:r>
        <w:rPr>
          <w:color w:val="231F20"/>
        </w:rPr>
        <w:t>día nos salimos de la casa y andamos en la calle, en la bola perdiendo el tiempo y estando en el chisme, pudiendo estar en nuestra casa, como mujercitas (entrevista</w:t>
      </w:r>
      <w:r>
        <w:rPr>
          <w:color w:val="231F20"/>
          <w:spacing w:val="-1"/>
        </w:rPr>
        <w:t> </w:t>
      </w:r>
      <w:r>
        <w:rPr>
          <w:color w:val="231F20"/>
        </w:rPr>
        <w:t>6).</w:t>
      </w:r>
    </w:p>
    <w:p>
      <w:pPr>
        <w:pStyle w:val="BodyText"/>
        <w:spacing w:line="249" w:lineRule="auto" w:before="114"/>
        <w:ind w:left="397" w:right="108"/>
        <w:jc w:val="both"/>
      </w:pPr>
      <w:r>
        <w:rPr>
          <w:color w:val="231F20"/>
        </w:rPr>
        <w:t>No todas las mujeres somos iguales a ver como dice mi suegra si comemos pollo a mi marido le toca la pierna porque él es el hombre,</w:t>
      </w:r>
    </w:p>
    <w:p>
      <w:pPr>
        <w:spacing w:after="0" w:line="249" w:lineRule="auto"/>
        <w:jc w:val="both"/>
        <w:sectPr>
          <w:footerReference w:type="default" r:id="rId262"/>
          <w:pgSz w:w="7770" w:h="11740"/>
          <w:pgMar w:footer="474" w:header="0" w:top="840" w:bottom="660" w:left="1020" w:right="740"/>
          <w:pgNumType w:start="235"/>
        </w:sectPr>
      </w:pPr>
    </w:p>
    <w:p>
      <w:pPr>
        <w:pStyle w:val="BodyText"/>
        <w:spacing w:line="249" w:lineRule="auto" w:before="60"/>
        <w:ind w:left="393" w:right="111"/>
        <w:jc w:val="both"/>
      </w:pPr>
      <w:r>
        <w:rPr>
          <w:color w:val="231F20"/>
        </w:rPr>
        <w:t>él es el que trabaja y se la pasa mal, y se le sirve primero, porque así dice mi suegra, y a nosotras las nueras, nos toca comernos la pieza de cacascle del pollo [retazo del pollo] y hasta el último nos sirve, porque</w:t>
      </w:r>
      <w:r>
        <w:rPr>
          <w:color w:val="231F20"/>
          <w:spacing w:val="-6"/>
        </w:rPr>
        <w:t> </w:t>
      </w:r>
      <w:r>
        <w:rPr>
          <w:color w:val="231F20"/>
        </w:rPr>
        <w:t>dice</w:t>
      </w:r>
      <w:r>
        <w:rPr>
          <w:color w:val="231F20"/>
          <w:spacing w:val="-7"/>
        </w:rPr>
        <w:t> </w:t>
      </w:r>
      <w:r>
        <w:rPr>
          <w:color w:val="231F20"/>
        </w:rPr>
        <w:t>que</w:t>
      </w:r>
      <w:r>
        <w:rPr>
          <w:color w:val="231F20"/>
          <w:spacing w:val="-6"/>
        </w:rPr>
        <w:t> </w:t>
      </w:r>
      <w:r>
        <w:rPr>
          <w:color w:val="231F20"/>
        </w:rPr>
        <w:t>nosotras</w:t>
      </w:r>
      <w:r>
        <w:rPr>
          <w:color w:val="231F20"/>
          <w:spacing w:val="-6"/>
        </w:rPr>
        <w:t> </w:t>
      </w:r>
      <w:r>
        <w:rPr>
          <w:color w:val="231F20"/>
        </w:rPr>
        <w:t>no</w:t>
      </w:r>
      <w:r>
        <w:rPr>
          <w:color w:val="231F20"/>
          <w:spacing w:val="-6"/>
        </w:rPr>
        <w:t> </w:t>
      </w:r>
      <w:r>
        <w:rPr>
          <w:color w:val="231F20"/>
        </w:rPr>
        <w:t>nos</w:t>
      </w:r>
      <w:r>
        <w:rPr>
          <w:color w:val="231F20"/>
          <w:spacing w:val="-7"/>
        </w:rPr>
        <w:t> </w:t>
      </w:r>
      <w:r>
        <w:rPr>
          <w:color w:val="231F20"/>
        </w:rPr>
        <w:t>mal</w:t>
      </w:r>
      <w:r>
        <w:rPr>
          <w:color w:val="231F20"/>
          <w:spacing w:val="-7"/>
        </w:rPr>
        <w:t> </w:t>
      </w:r>
      <w:r>
        <w:rPr>
          <w:color w:val="231F20"/>
        </w:rPr>
        <w:t>pasamos</w:t>
      </w:r>
      <w:r>
        <w:rPr>
          <w:color w:val="231F20"/>
          <w:spacing w:val="-6"/>
        </w:rPr>
        <w:t> </w:t>
      </w:r>
      <w:r>
        <w:rPr>
          <w:color w:val="231F20"/>
        </w:rPr>
        <w:t>como</w:t>
      </w:r>
      <w:r>
        <w:rPr>
          <w:color w:val="231F20"/>
          <w:spacing w:val="-7"/>
        </w:rPr>
        <w:t> </w:t>
      </w:r>
      <w:r>
        <w:rPr>
          <w:color w:val="231F20"/>
        </w:rPr>
        <w:t>los</w:t>
      </w:r>
      <w:r>
        <w:rPr>
          <w:color w:val="231F20"/>
          <w:spacing w:val="-7"/>
        </w:rPr>
        <w:t> </w:t>
      </w:r>
      <w:r>
        <w:rPr>
          <w:color w:val="231F20"/>
        </w:rPr>
        <w:t>hombres.</w:t>
      </w:r>
      <w:r>
        <w:rPr>
          <w:color w:val="231F20"/>
          <w:spacing w:val="-6"/>
        </w:rPr>
        <w:t> </w:t>
      </w:r>
      <w:r>
        <w:rPr>
          <w:color w:val="231F20"/>
        </w:rPr>
        <w:t>Por eso yo sigo igual. No hay cambios en mi vida (entrevista</w:t>
      </w:r>
      <w:r>
        <w:rPr>
          <w:color w:val="231F20"/>
          <w:spacing w:val="-8"/>
        </w:rPr>
        <w:t> </w:t>
      </w:r>
      <w:r>
        <w:rPr>
          <w:color w:val="231F20"/>
        </w:rPr>
        <w:t>6).</w:t>
      </w:r>
    </w:p>
    <w:p>
      <w:pPr>
        <w:pStyle w:val="BodyText"/>
        <w:spacing w:line="249" w:lineRule="auto" w:before="114"/>
        <w:ind w:left="110" w:right="111" w:firstLine="283"/>
        <w:jc w:val="both"/>
      </w:pPr>
      <w:r>
        <w:rPr>
          <w:color w:val="231F20"/>
        </w:rPr>
        <w:t>Algunas mujeres de esta comunidad van a pedir empleo en el corte de flores en el municipio de </w:t>
      </w:r>
      <w:r>
        <w:rPr>
          <w:color w:val="231F20"/>
          <w:spacing w:val="-3"/>
        </w:rPr>
        <w:t>Villa </w:t>
      </w:r>
      <w:r>
        <w:rPr>
          <w:color w:val="231F20"/>
        </w:rPr>
        <w:t>Guerrero, para así obtener su dinero propio,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manera</w:t>
      </w:r>
      <w:r>
        <w:rPr>
          <w:color w:val="231F20"/>
          <w:spacing w:val="-6"/>
        </w:rPr>
        <w:t> </w:t>
      </w:r>
      <w:r>
        <w:rPr>
          <w:color w:val="231F20"/>
        </w:rPr>
        <w:t>no</w:t>
      </w:r>
      <w:r>
        <w:rPr>
          <w:color w:val="231F20"/>
          <w:spacing w:val="-6"/>
        </w:rPr>
        <w:t> </w:t>
      </w:r>
      <w:r>
        <w:rPr>
          <w:color w:val="231F20"/>
        </w:rPr>
        <w:t>estar</w:t>
      </w:r>
      <w:r>
        <w:rPr>
          <w:color w:val="231F20"/>
          <w:spacing w:val="-6"/>
        </w:rPr>
        <w:t> </w:t>
      </w:r>
      <w:r>
        <w:rPr>
          <w:color w:val="231F20"/>
        </w:rPr>
        <w:t>sólo</w:t>
      </w:r>
      <w:r>
        <w:rPr>
          <w:color w:val="231F20"/>
          <w:spacing w:val="-5"/>
        </w:rPr>
        <w:t> </w:t>
      </w:r>
      <w:r>
        <w:rPr>
          <w:color w:val="231F20"/>
        </w:rPr>
        <w:t>como</w:t>
      </w:r>
      <w:r>
        <w:rPr>
          <w:color w:val="231F20"/>
          <w:spacing w:val="-6"/>
        </w:rPr>
        <w:t> </w:t>
      </w:r>
      <w:r>
        <w:rPr>
          <w:color w:val="231F20"/>
        </w:rPr>
        <w:t>amas</w:t>
      </w:r>
      <w:r>
        <w:rPr>
          <w:color w:val="231F20"/>
          <w:spacing w:val="-6"/>
        </w:rPr>
        <w:t> </w:t>
      </w:r>
      <w:r>
        <w:rPr>
          <w:color w:val="231F20"/>
        </w:rPr>
        <w:t>de</w:t>
      </w:r>
      <w:r>
        <w:rPr>
          <w:color w:val="231F20"/>
          <w:spacing w:val="-6"/>
        </w:rPr>
        <w:t> </w:t>
      </w:r>
      <w:r>
        <w:rPr>
          <w:color w:val="231F20"/>
        </w:rPr>
        <w:t>casa,</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depender de su esposo. Las mujeres prefieren ahora buscar empleo fuera de su comunidad, para cambiar la vida en la que</w:t>
      </w:r>
      <w:r>
        <w:rPr>
          <w:color w:val="231F20"/>
          <w:spacing w:val="-3"/>
        </w:rPr>
        <w:t> </w:t>
      </w:r>
      <w:r>
        <w:rPr>
          <w:color w:val="231F20"/>
        </w:rPr>
        <w:t>viven.</w:t>
      </w:r>
    </w:p>
    <w:p>
      <w:pPr>
        <w:pStyle w:val="BodyText"/>
        <w:spacing w:line="249" w:lineRule="auto" w:before="114"/>
        <w:ind w:left="393" w:right="111"/>
        <w:jc w:val="both"/>
      </w:pPr>
      <w:r>
        <w:rPr>
          <w:color w:val="231F20"/>
          <w:spacing w:val="-11"/>
        </w:rPr>
        <w:t>Yo </w:t>
      </w:r>
      <w:r>
        <w:rPr>
          <w:color w:val="231F20"/>
        </w:rPr>
        <w:t>digo</w:t>
      </w:r>
      <w:r>
        <w:rPr>
          <w:color w:val="231F20"/>
          <w:spacing w:val="-11"/>
        </w:rPr>
        <w:t> </w:t>
      </w:r>
      <w:r>
        <w:rPr>
          <w:color w:val="231F20"/>
        </w:rPr>
        <w:t>que</w:t>
      </w:r>
      <w:r>
        <w:rPr>
          <w:color w:val="231F20"/>
          <w:spacing w:val="-11"/>
        </w:rPr>
        <w:t> </w:t>
      </w:r>
      <w:r>
        <w:rPr>
          <w:color w:val="231F20"/>
        </w:rPr>
        <w:t>sí</w:t>
      </w:r>
      <w:r>
        <w:rPr>
          <w:color w:val="231F20"/>
          <w:spacing w:val="-11"/>
        </w:rPr>
        <w:t> </w:t>
      </w:r>
      <w:r>
        <w:rPr>
          <w:color w:val="231F20"/>
        </w:rPr>
        <w:t>nos</w:t>
      </w:r>
      <w:r>
        <w:rPr>
          <w:color w:val="231F20"/>
          <w:spacing w:val="-11"/>
        </w:rPr>
        <w:t> </w:t>
      </w:r>
      <w:r>
        <w:rPr>
          <w:color w:val="231F20"/>
        </w:rPr>
        <w:t>ayuda</w:t>
      </w:r>
      <w:r>
        <w:rPr>
          <w:color w:val="231F20"/>
          <w:spacing w:val="-11"/>
        </w:rPr>
        <w:t> </w:t>
      </w:r>
      <w:r>
        <w:rPr>
          <w:color w:val="231F20"/>
        </w:rPr>
        <w:t>el</w:t>
      </w:r>
      <w:r>
        <w:rPr>
          <w:color w:val="231F20"/>
          <w:spacing w:val="-11"/>
        </w:rPr>
        <w:t> </w:t>
      </w:r>
      <w:r>
        <w:rPr>
          <w:color w:val="231F20"/>
        </w:rPr>
        <w:t>tener</w:t>
      </w:r>
      <w:r>
        <w:rPr>
          <w:color w:val="231F20"/>
          <w:spacing w:val="-11"/>
        </w:rPr>
        <w:t> </w:t>
      </w:r>
      <w:r>
        <w:rPr>
          <w:color w:val="231F20"/>
        </w:rPr>
        <w:t>un</w:t>
      </w:r>
      <w:r>
        <w:rPr>
          <w:color w:val="231F20"/>
          <w:spacing w:val="-11"/>
        </w:rPr>
        <w:t> </w:t>
      </w:r>
      <w:r>
        <w:rPr>
          <w:color w:val="231F20"/>
        </w:rPr>
        <w:t>Programa</w:t>
      </w:r>
      <w:r>
        <w:rPr>
          <w:color w:val="231F20"/>
          <w:spacing w:val="-11"/>
        </w:rPr>
        <w:t> </w:t>
      </w:r>
      <w:r>
        <w:rPr>
          <w:color w:val="231F20"/>
        </w:rPr>
        <w:t>[como</w:t>
      </w:r>
      <w:r>
        <w:rPr>
          <w:color w:val="231F20"/>
          <w:spacing w:val="-11"/>
        </w:rPr>
        <w:t> </w:t>
      </w:r>
      <w:r>
        <w:rPr>
          <w:color w:val="231F20"/>
        </w:rPr>
        <w:t>MTC],</w:t>
      </w:r>
      <w:r>
        <w:rPr>
          <w:color w:val="231F20"/>
          <w:spacing w:val="-11"/>
        </w:rPr>
        <w:t> </w:t>
      </w:r>
      <w:r>
        <w:rPr>
          <w:color w:val="231F20"/>
        </w:rPr>
        <w:t>ahora</w:t>
      </w:r>
      <w:r>
        <w:rPr>
          <w:color w:val="231F20"/>
          <w:spacing w:val="-11"/>
        </w:rPr>
        <w:t> </w:t>
      </w:r>
      <w:r>
        <w:rPr>
          <w:color w:val="231F20"/>
        </w:rPr>
        <w:t>ya hay mucha participación para las mujeres en todos lados, el ir a tra- bajar al corte de las flores como: la rosa, lirios, clavel, lilis, etcétera. </w:t>
      </w:r>
      <w:r>
        <w:rPr>
          <w:color w:val="231F20"/>
          <w:spacing w:val="-11"/>
        </w:rPr>
        <w:t>Ya </w:t>
      </w:r>
      <w:r>
        <w:rPr>
          <w:color w:val="231F20"/>
        </w:rPr>
        <w:t>los patrones nos contratan al igual que los hombres y como que ahorita</w:t>
      </w:r>
      <w:r>
        <w:rPr>
          <w:color w:val="231F20"/>
          <w:spacing w:val="-9"/>
        </w:rPr>
        <w:t> </w:t>
      </w:r>
      <w:r>
        <w:rPr>
          <w:color w:val="231F20"/>
        </w:rPr>
        <w:t>hubo</w:t>
      </w:r>
      <w:r>
        <w:rPr>
          <w:color w:val="231F20"/>
          <w:spacing w:val="-8"/>
        </w:rPr>
        <w:t> </w:t>
      </w:r>
      <w:r>
        <w:rPr>
          <w:color w:val="231F20"/>
        </w:rPr>
        <w:t>un</w:t>
      </w:r>
      <w:r>
        <w:rPr>
          <w:color w:val="231F20"/>
          <w:spacing w:val="-8"/>
        </w:rPr>
        <w:t> </w:t>
      </w:r>
      <w:r>
        <w:rPr>
          <w:color w:val="231F20"/>
        </w:rPr>
        <w:t>desatadero</w:t>
      </w:r>
      <w:r>
        <w:rPr>
          <w:color w:val="231F20"/>
          <w:spacing w:val="-8"/>
        </w:rPr>
        <w:t> </w:t>
      </w:r>
      <w:r>
        <w:rPr>
          <w:color w:val="231F20"/>
        </w:rPr>
        <w:t>de</w:t>
      </w:r>
      <w:r>
        <w:rPr>
          <w:color w:val="231F20"/>
          <w:spacing w:val="-8"/>
        </w:rPr>
        <w:t> </w:t>
      </w:r>
      <w:r>
        <w:rPr>
          <w:color w:val="231F20"/>
        </w:rPr>
        <w:t>viejas,</w:t>
      </w:r>
      <w:r>
        <w:rPr>
          <w:color w:val="231F20"/>
          <w:spacing w:val="-8"/>
        </w:rPr>
        <w:t> </w:t>
      </w:r>
      <w:r>
        <w:rPr>
          <w:color w:val="231F20"/>
        </w:rPr>
        <w:t>ya</w:t>
      </w:r>
      <w:r>
        <w:rPr>
          <w:color w:val="231F20"/>
          <w:spacing w:val="-8"/>
        </w:rPr>
        <w:t> </w:t>
      </w:r>
      <w:r>
        <w:rPr>
          <w:color w:val="231F20"/>
        </w:rPr>
        <w:t>todas</w:t>
      </w:r>
      <w:r>
        <w:rPr>
          <w:color w:val="231F20"/>
          <w:spacing w:val="-9"/>
        </w:rPr>
        <w:t> </w:t>
      </w:r>
      <w:r>
        <w:rPr>
          <w:color w:val="231F20"/>
        </w:rPr>
        <w:t>quieren</w:t>
      </w:r>
      <w:r>
        <w:rPr>
          <w:color w:val="231F20"/>
          <w:spacing w:val="-8"/>
        </w:rPr>
        <w:t> </w:t>
      </w:r>
      <w:r>
        <w:rPr>
          <w:color w:val="231F20"/>
        </w:rPr>
        <w:t>trabajar</w:t>
      </w:r>
      <w:r>
        <w:rPr>
          <w:color w:val="231F20"/>
          <w:spacing w:val="-9"/>
        </w:rPr>
        <w:t> </w:t>
      </w:r>
      <w:r>
        <w:rPr>
          <w:color w:val="231F20"/>
        </w:rPr>
        <w:t>y</w:t>
      </w:r>
      <w:r>
        <w:rPr>
          <w:color w:val="231F20"/>
          <w:spacing w:val="-8"/>
        </w:rPr>
        <w:t> </w:t>
      </w:r>
      <w:r>
        <w:rPr>
          <w:color w:val="231F20"/>
        </w:rPr>
        <w:t>tener su dinerito (entrevista</w:t>
      </w:r>
      <w:r>
        <w:rPr>
          <w:color w:val="231F20"/>
          <w:spacing w:val="-1"/>
        </w:rPr>
        <w:t> </w:t>
      </w:r>
      <w:r>
        <w:rPr>
          <w:color w:val="231F20"/>
        </w:rPr>
        <w:t>5).</w:t>
      </w:r>
    </w:p>
    <w:p>
      <w:pPr>
        <w:pStyle w:val="BodyText"/>
        <w:spacing w:line="249" w:lineRule="auto" w:before="114"/>
        <w:ind w:left="110" w:right="111" w:firstLine="283"/>
        <w:jc w:val="both"/>
      </w:pPr>
      <w:r>
        <w:rPr>
          <w:color w:val="231F20"/>
        </w:rPr>
        <w:t>Las mujeres creen que hay más participación para ellas y que</w:t>
      </w:r>
      <w:r>
        <w:rPr>
          <w:color w:val="231F20"/>
          <w:spacing w:val="-33"/>
        </w:rPr>
        <w:t> </w:t>
      </w:r>
      <w:r>
        <w:rPr>
          <w:color w:val="231F20"/>
        </w:rPr>
        <w:t>pueden encontrar al igual que el hombre un trabajo rápido y aportar a su econo- mía</w:t>
      </w:r>
      <w:r>
        <w:rPr>
          <w:color w:val="231F20"/>
          <w:spacing w:val="-13"/>
        </w:rPr>
        <w:t> </w:t>
      </w:r>
      <w:r>
        <w:rPr>
          <w:color w:val="231F20"/>
        </w:rPr>
        <w:t>familiar.</w:t>
      </w:r>
    </w:p>
    <w:p>
      <w:pPr>
        <w:pStyle w:val="BodyText"/>
        <w:spacing w:line="249" w:lineRule="auto" w:before="114"/>
        <w:ind w:left="393" w:right="111"/>
        <w:jc w:val="both"/>
      </w:pPr>
      <w:r>
        <w:rPr>
          <w:color w:val="231F20"/>
        </w:rPr>
        <w:t>Yo no dependo de nadie, porque ya trabajo y sola me compro lo que yo quiero, yo digo que por eso ya hay muchas mujeres en el pueblo que están saliendo con su domingo [embarazo], porque solas pueden salir adelante y trabajar (entrevista 2).</w:t>
      </w:r>
    </w:p>
    <w:p>
      <w:pPr>
        <w:pStyle w:val="BodyText"/>
        <w:spacing w:line="249" w:lineRule="auto" w:before="114"/>
        <w:ind w:left="110" w:right="111" w:firstLine="283"/>
        <w:jc w:val="both"/>
      </w:pPr>
      <w:r>
        <w:rPr>
          <w:color w:val="231F20"/>
        </w:rPr>
        <w:t>Algunas mujeres sienten que es una gran ayuda obtener un apoyo económico,</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mejora</w:t>
      </w:r>
      <w:r>
        <w:rPr>
          <w:color w:val="231F20"/>
          <w:spacing w:val="-10"/>
        </w:rPr>
        <w:t> </w:t>
      </w:r>
      <w:r>
        <w:rPr>
          <w:color w:val="231F20"/>
        </w:rPr>
        <w:t>su</w:t>
      </w:r>
      <w:r>
        <w:rPr>
          <w:color w:val="231F20"/>
          <w:spacing w:val="-10"/>
        </w:rPr>
        <w:t> </w:t>
      </w:r>
      <w:r>
        <w:rPr>
          <w:color w:val="231F20"/>
        </w:rPr>
        <w:t>alimentación</w:t>
      </w:r>
      <w:r>
        <w:rPr>
          <w:color w:val="231F20"/>
          <w:spacing w:val="-10"/>
        </w:rPr>
        <w:t> </w:t>
      </w:r>
      <w:r>
        <w:rPr>
          <w:color w:val="231F20"/>
        </w:rPr>
        <w:t>agregando</w:t>
      </w:r>
      <w:r>
        <w:rPr>
          <w:color w:val="231F20"/>
          <w:spacing w:val="-10"/>
        </w:rPr>
        <w:t> </w:t>
      </w:r>
      <w:r>
        <w:rPr>
          <w:color w:val="231F20"/>
        </w:rPr>
        <w:t>proteína</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dieta. Las ayuda a salir de varias situaciones</w:t>
      </w:r>
      <w:r>
        <w:rPr>
          <w:color w:val="231F20"/>
          <w:spacing w:val="-16"/>
        </w:rPr>
        <w:t> </w:t>
      </w:r>
      <w:r>
        <w:rPr>
          <w:color w:val="231F20"/>
        </w:rPr>
        <w:t>difíciles.</w:t>
      </w:r>
    </w:p>
    <w:p>
      <w:pPr>
        <w:pStyle w:val="BodyText"/>
        <w:spacing w:line="249" w:lineRule="auto" w:before="114"/>
        <w:ind w:left="393" w:right="111"/>
        <w:jc w:val="both"/>
      </w:pPr>
      <w:r>
        <w:rPr>
          <w:color w:val="231F20"/>
        </w:rPr>
        <w:t>Me sirve para resolver mis carencias que tengo dentro de mi familia y para mi alimentación y la de mis hijos, porque ya no alcanza para comer carne seguido, cuando me dan mi dinero paso por carne para mis hijos (entrevista 4).</w:t>
      </w:r>
    </w:p>
    <w:p>
      <w:pPr>
        <w:pStyle w:val="BodyText"/>
        <w:spacing w:line="249" w:lineRule="auto" w:before="114"/>
        <w:ind w:left="110" w:right="111" w:firstLine="283"/>
        <w:jc w:val="both"/>
      </w:pPr>
      <w:r>
        <w:rPr>
          <w:color w:val="231F20"/>
        </w:rPr>
        <w:t>El salir adelante y cambiar su estilo de vida de las mujeres, es muy difícil para ellas, el tomar decisiones propias y mucho más cuando son madres solteras.</w:t>
      </w:r>
    </w:p>
    <w:p>
      <w:pPr>
        <w:pStyle w:val="BodyText"/>
        <w:spacing w:line="249" w:lineRule="auto" w:before="114"/>
        <w:ind w:left="393" w:right="111"/>
        <w:jc w:val="both"/>
      </w:pPr>
      <w:r>
        <w:rPr>
          <w:color w:val="231F20"/>
        </w:rPr>
        <w:t>Pues es que depende de la fuerza de cada una, yo digo: a ver, mi hija se</w:t>
      </w:r>
      <w:r>
        <w:rPr>
          <w:color w:val="231F20"/>
          <w:spacing w:val="-10"/>
        </w:rPr>
        <w:t> </w:t>
      </w:r>
      <w:r>
        <w:rPr>
          <w:color w:val="231F20"/>
        </w:rPr>
        <w:t>fue</w:t>
      </w:r>
      <w:r>
        <w:rPr>
          <w:color w:val="231F20"/>
          <w:spacing w:val="-10"/>
        </w:rPr>
        <w:t> </w:t>
      </w:r>
      <w:r>
        <w:rPr>
          <w:color w:val="231F20"/>
        </w:rPr>
        <w:t>a</w:t>
      </w:r>
      <w:r>
        <w:rPr>
          <w:color w:val="231F20"/>
          <w:spacing w:val="-10"/>
        </w:rPr>
        <w:t> </w:t>
      </w:r>
      <w:r>
        <w:rPr>
          <w:color w:val="231F20"/>
        </w:rPr>
        <w:t>trabajar</w:t>
      </w:r>
      <w:r>
        <w:rPr>
          <w:color w:val="231F20"/>
          <w:spacing w:val="-11"/>
        </w:rPr>
        <w:t> </w:t>
      </w:r>
      <w:r>
        <w:rPr>
          <w:color w:val="231F20"/>
        </w:rPr>
        <w:t>a</w:t>
      </w:r>
      <w:r>
        <w:rPr>
          <w:color w:val="231F20"/>
          <w:spacing w:val="-10"/>
        </w:rPr>
        <w:t> </w:t>
      </w:r>
      <w:r>
        <w:rPr>
          <w:color w:val="231F20"/>
        </w:rPr>
        <w:t>México</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ver</w:t>
      </w:r>
      <w:r>
        <w:rPr>
          <w:color w:val="231F20"/>
          <w:spacing w:val="-10"/>
        </w:rPr>
        <w:t> </w:t>
      </w:r>
      <w:r>
        <w:rPr>
          <w:color w:val="231F20"/>
        </w:rPr>
        <w:t>quién</w:t>
      </w:r>
      <w:r>
        <w:rPr>
          <w:color w:val="231F20"/>
          <w:spacing w:val="-10"/>
        </w:rPr>
        <w:t> </w:t>
      </w:r>
      <w:r>
        <w:rPr>
          <w:color w:val="231F20"/>
        </w:rPr>
        <w:t>le</w:t>
      </w:r>
      <w:r>
        <w:rPr>
          <w:color w:val="231F20"/>
          <w:spacing w:val="-10"/>
        </w:rPr>
        <w:t> </w:t>
      </w:r>
      <w:r>
        <w:rPr>
          <w:color w:val="231F20"/>
        </w:rPr>
        <w:t>dijo,</w:t>
      </w:r>
      <w:r>
        <w:rPr>
          <w:color w:val="231F20"/>
          <w:spacing w:val="-10"/>
        </w:rPr>
        <w:t> </w:t>
      </w:r>
      <w:r>
        <w:rPr>
          <w:color w:val="231F20"/>
        </w:rPr>
        <w:t>sola</w:t>
      </w:r>
      <w:r>
        <w:rPr>
          <w:color w:val="231F20"/>
          <w:spacing w:val="-10"/>
        </w:rPr>
        <w:t> </w:t>
      </w:r>
      <w:r>
        <w:rPr>
          <w:color w:val="231F20"/>
        </w:rPr>
        <w:t>se</w:t>
      </w:r>
      <w:r>
        <w:rPr>
          <w:color w:val="231F20"/>
          <w:spacing w:val="-10"/>
        </w:rPr>
        <w:t> </w:t>
      </w:r>
      <w:r>
        <w:rPr>
          <w:color w:val="231F20"/>
        </w:rPr>
        <w:t>fue</w:t>
      </w:r>
      <w:r>
        <w:rPr>
          <w:color w:val="231F20"/>
          <w:spacing w:val="-10"/>
        </w:rPr>
        <w:t> </w:t>
      </w:r>
      <w:r>
        <w:rPr>
          <w:color w:val="231F20"/>
        </w:rPr>
        <w:t>y</w:t>
      </w:r>
      <w:r>
        <w:rPr>
          <w:color w:val="231F20"/>
          <w:spacing w:val="-10"/>
        </w:rPr>
        <w:t> </w:t>
      </w:r>
      <w:r>
        <w:rPr>
          <w:color w:val="231F20"/>
        </w:rPr>
        <w:t>ya</w:t>
      </w:r>
      <w:r>
        <w:rPr>
          <w:color w:val="231F20"/>
          <w:spacing w:val="-10"/>
        </w:rPr>
        <w:t> </w:t>
      </w:r>
      <w:r>
        <w:rPr>
          <w:color w:val="231F20"/>
        </w:rPr>
        <w:t>se</w:t>
      </w:r>
      <w:r>
        <w:rPr>
          <w:color w:val="231F20"/>
          <w:spacing w:val="-10"/>
        </w:rPr>
        <w:t> </w:t>
      </w:r>
      <w:r>
        <w:rPr>
          <w:color w:val="231F20"/>
        </w:rPr>
        <w:t>hizo su casa, anda bien vestida y salió pa´delante. A ver pa´qué quiere al hombre (entrevista 6).</w:t>
      </w:r>
    </w:p>
    <w:p>
      <w:pPr>
        <w:spacing w:after="0" w:line="249" w:lineRule="auto"/>
        <w:jc w:val="both"/>
        <w:sectPr>
          <w:pgSz w:w="7770" w:h="11740"/>
          <w:pgMar w:header="0" w:footer="474" w:top="840" w:bottom="740" w:left="740" w:right="1020"/>
        </w:sectPr>
      </w:pPr>
    </w:p>
    <w:p>
      <w:pPr>
        <w:pStyle w:val="BodyText"/>
        <w:spacing w:line="249" w:lineRule="auto" w:before="60"/>
        <w:ind w:left="113" w:right="108" w:firstLine="283"/>
        <w:jc w:val="both"/>
      </w:pPr>
      <w:r>
        <w:rPr>
          <w:color w:val="231F20"/>
        </w:rPr>
        <w:t>Cada mujer puede lograr lo que se proponga y salir a delante, pero depende, también, de la voluntad de cada mujer y la aspiración por pro- gresar. Durante la investigación de campo encontramos que hay</w:t>
      </w:r>
      <w:r>
        <w:rPr>
          <w:color w:val="231F20"/>
          <w:spacing w:val="-28"/>
        </w:rPr>
        <w:t> </w:t>
      </w:r>
      <w:r>
        <w:rPr>
          <w:color w:val="231F20"/>
        </w:rPr>
        <w:t>mujeres dispuestas a ser más autónomas y romper las cadenas que supone la cul- tura</w:t>
      </w:r>
      <w:r>
        <w:rPr>
          <w:color w:val="231F20"/>
          <w:spacing w:val="-1"/>
        </w:rPr>
        <w:t> </w:t>
      </w:r>
      <w:r>
        <w:rPr>
          <w:color w:val="231F20"/>
        </w:rPr>
        <w:t>patriarcal.</w:t>
      </w:r>
    </w:p>
    <w:p>
      <w:pPr>
        <w:pStyle w:val="Heading5"/>
        <w:rPr>
          <w:i/>
        </w:rPr>
      </w:pPr>
      <w:r>
        <w:rPr>
          <w:i/>
          <w:w w:val="75"/>
        </w:rPr>
        <w:t>Oportunidades para las mujeres y sus familias</w:t>
      </w:r>
    </w:p>
    <w:p>
      <w:pPr>
        <w:pStyle w:val="BodyText"/>
        <w:spacing w:line="249" w:lineRule="auto" w:before="171"/>
        <w:ind w:left="113" w:right="108"/>
        <w:jc w:val="both"/>
      </w:pPr>
      <w:r>
        <w:rPr>
          <w:color w:val="231F20"/>
        </w:rPr>
        <w:t>Las preguntas de trabajo, que guiaron esta dimensión fueron: ¿el pro- grama produce efectos positivos para que las mujeres participantes y</w:t>
      </w:r>
      <w:r>
        <w:rPr>
          <w:color w:val="231F20"/>
          <w:spacing w:val="-23"/>
        </w:rPr>
        <w:t> </w:t>
      </w:r>
      <w:r>
        <w:rPr>
          <w:color w:val="231F20"/>
        </w:rPr>
        <w:t>sus hijos puedan acceder a la educación pública y la salud pública?, ¿qué cambios sociales genero el programa en su</w:t>
      </w:r>
      <w:r>
        <w:rPr>
          <w:color w:val="231F20"/>
          <w:spacing w:val="-10"/>
        </w:rPr>
        <w:t> </w:t>
      </w:r>
      <w:r>
        <w:rPr>
          <w:color w:val="231F20"/>
        </w:rPr>
        <w:t>vida?</w:t>
      </w:r>
    </w:p>
    <w:p>
      <w:pPr>
        <w:pStyle w:val="BodyText"/>
        <w:spacing w:line="249" w:lineRule="auto" w:before="1"/>
        <w:ind w:left="113" w:right="107" w:firstLine="283"/>
        <w:jc w:val="both"/>
      </w:pPr>
      <w:r>
        <w:rPr>
          <w:color w:val="231F20"/>
        </w:rPr>
        <w:t>Una</w:t>
      </w:r>
      <w:r>
        <w:rPr>
          <w:color w:val="231F20"/>
          <w:spacing w:val="-7"/>
        </w:rPr>
        <w:t> </w:t>
      </w:r>
      <w:r>
        <w:rPr>
          <w:color w:val="231F20"/>
        </w:rPr>
        <w:t>mayoría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pobres</w:t>
      </w:r>
      <w:r>
        <w:rPr>
          <w:color w:val="231F20"/>
          <w:spacing w:val="-7"/>
        </w:rPr>
        <w:t> </w:t>
      </w:r>
      <w:r>
        <w:rPr>
          <w:color w:val="231F20"/>
        </w:rPr>
        <w:t>del</w:t>
      </w:r>
      <w:r>
        <w:rPr>
          <w:color w:val="231F20"/>
          <w:spacing w:val="-7"/>
        </w:rPr>
        <w:t> </w:t>
      </w:r>
      <w:r>
        <w:rPr>
          <w:color w:val="231F20"/>
        </w:rPr>
        <w:t>campo</w:t>
      </w:r>
      <w:r>
        <w:rPr>
          <w:color w:val="231F20"/>
          <w:spacing w:val="-7"/>
        </w:rPr>
        <w:t> </w:t>
      </w:r>
      <w:r>
        <w:rPr>
          <w:color w:val="231F20"/>
        </w:rPr>
        <w:t>no</w:t>
      </w:r>
      <w:r>
        <w:rPr>
          <w:color w:val="231F20"/>
          <w:spacing w:val="-7"/>
        </w:rPr>
        <w:t> </w:t>
      </w:r>
      <w:r>
        <w:rPr>
          <w:color w:val="231F20"/>
        </w:rPr>
        <w:t>cuentan</w:t>
      </w:r>
      <w:r>
        <w:rPr>
          <w:color w:val="231F20"/>
          <w:spacing w:val="-7"/>
        </w:rPr>
        <w:t> </w:t>
      </w:r>
      <w:r>
        <w:rPr>
          <w:color w:val="231F20"/>
        </w:rPr>
        <w:t>con</w:t>
      </w:r>
      <w:r>
        <w:rPr>
          <w:color w:val="231F20"/>
          <w:spacing w:val="-7"/>
        </w:rPr>
        <w:t> </w:t>
      </w:r>
      <w:r>
        <w:rPr>
          <w:color w:val="231F20"/>
        </w:rPr>
        <w:t>ningún tipo de seguro médico público. </w:t>
      </w:r>
      <w:r>
        <w:rPr>
          <w:color w:val="231F20"/>
          <w:spacing w:val="-11"/>
        </w:rPr>
        <w:t>Ya </w:t>
      </w:r>
      <w:r>
        <w:rPr>
          <w:color w:val="231F20"/>
        </w:rPr>
        <w:t>que sus maridos por lo regular no terminaron sus estudios y son trabajadores informales en la</w:t>
      </w:r>
      <w:r>
        <w:rPr>
          <w:color w:val="231F20"/>
          <w:spacing w:val="-34"/>
        </w:rPr>
        <w:t> </w:t>
      </w:r>
      <w:r>
        <w:rPr>
          <w:color w:val="231F20"/>
        </w:rPr>
        <w:t>construcción y el servicio doméstico, por lo que no tienen seguro médico, es decir, se encuentran</w:t>
      </w:r>
      <w:r>
        <w:rPr>
          <w:color w:val="231F20"/>
          <w:spacing w:val="-5"/>
        </w:rPr>
        <w:t> </w:t>
      </w:r>
      <w:r>
        <w:rPr>
          <w:color w:val="231F20"/>
        </w:rPr>
        <w:t>en</w:t>
      </w:r>
      <w:r>
        <w:rPr>
          <w:color w:val="231F20"/>
          <w:spacing w:val="-5"/>
        </w:rPr>
        <w:t> </w:t>
      </w:r>
      <w:r>
        <w:rPr>
          <w:color w:val="231F20"/>
        </w:rPr>
        <w:t>situación</w:t>
      </w:r>
      <w:r>
        <w:rPr>
          <w:color w:val="231F20"/>
          <w:spacing w:val="-5"/>
        </w:rPr>
        <w:t> </w:t>
      </w:r>
      <w:r>
        <w:rPr>
          <w:color w:val="231F20"/>
        </w:rPr>
        <w:t>de</w:t>
      </w:r>
      <w:r>
        <w:rPr>
          <w:color w:val="231F20"/>
          <w:spacing w:val="-5"/>
        </w:rPr>
        <w:t> </w:t>
      </w:r>
      <w:r>
        <w:rPr>
          <w:color w:val="231F20"/>
        </w:rPr>
        <w:t>desafiliación.</w:t>
      </w:r>
      <w:r>
        <w:rPr>
          <w:color w:val="231F20"/>
          <w:spacing w:val="-5"/>
        </w:rPr>
        <w:t> </w:t>
      </w:r>
      <w:r>
        <w:rPr>
          <w:color w:val="231F20"/>
        </w:rPr>
        <w:t>En</w:t>
      </w:r>
      <w:r>
        <w:rPr>
          <w:color w:val="231F20"/>
          <w:spacing w:val="-5"/>
        </w:rPr>
        <w:t> </w:t>
      </w:r>
      <w:r>
        <w:rPr>
          <w:color w:val="231F20"/>
        </w:rPr>
        <w:t>algunos</w:t>
      </w:r>
      <w:r>
        <w:rPr>
          <w:color w:val="231F20"/>
          <w:spacing w:val="-5"/>
        </w:rPr>
        <w:t> </w:t>
      </w:r>
      <w:r>
        <w:rPr>
          <w:color w:val="231F20"/>
        </w:rPr>
        <w:t>casos,</w:t>
      </w:r>
      <w:r>
        <w:rPr>
          <w:color w:val="231F20"/>
          <w:spacing w:val="-5"/>
        </w:rPr>
        <w:t> </w:t>
      </w:r>
      <w:r>
        <w:rPr>
          <w:color w:val="231F20"/>
        </w:rPr>
        <w:t>para</w:t>
      </w:r>
      <w:r>
        <w:rPr>
          <w:color w:val="231F20"/>
          <w:spacing w:val="-5"/>
        </w:rPr>
        <w:t> </w:t>
      </w:r>
      <w:r>
        <w:rPr>
          <w:color w:val="231F20"/>
        </w:rPr>
        <w:t>estas</w:t>
      </w:r>
      <w:r>
        <w:rPr>
          <w:color w:val="231F20"/>
          <w:spacing w:val="-5"/>
        </w:rPr>
        <w:t> </w:t>
      </w:r>
      <w:r>
        <w:rPr>
          <w:color w:val="231F20"/>
        </w:rPr>
        <w:t>fa- milias,</w:t>
      </w:r>
      <w:r>
        <w:rPr>
          <w:color w:val="231F20"/>
          <w:spacing w:val="-3"/>
        </w:rPr>
        <w:t> </w:t>
      </w:r>
      <w:r>
        <w:rPr>
          <w:color w:val="231F20"/>
        </w:rPr>
        <w:t>el</w:t>
      </w:r>
      <w:r>
        <w:rPr>
          <w:color w:val="231F20"/>
          <w:spacing w:val="-3"/>
        </w:rPr>
        <w:t> </w:t>
      </w:r>
      <w:r>
        <w:rPr>
          <w:color w:val="231F20"/>
        </w:rPr>
        <w:t>pago</w:t>
      </w:r>
      <w:r>
        <w:rPr>
          <w:color w:val="231F20"/>
          <w:spacing w:val="-3"/>
        </w:rPr>
        <w:t> </w:t>
      </w:r>
      <w:r>
        <w:rPr>
          <w:color w:val="231F20"/>
        </w:rPr>
        <w:t>de</w:t>
      </w:r>
      <w:r>
        <w:rPr>
          <w:color w:val="231F20"/>
          <w:spacing w:val="-3"/>
        </w:rPr>
        <w:t> </w:t>
      </w:r>
      <w:r>
        <w:rPr>
          <w:color w:val="231F20"/>
        </w:rPr>
        <w:t>servicios</w:t>
      </w:r>
      <w:r>
        <w:rPr>
          <w:color w:val="231F20"/>
          <w:spacing w:val="-2"/>
        </w:rPr>
        <w:t> </w:t>
      </w:r>
      <w:r>
        <w:rPr>
          <w:color w:val="231F20"/>
        </w:rPr>
        <w:t>de</w:t>
      </w:r>
      <w:r>
        <w:rPr>
          <w:color w:val="231F20"/>
          <w:spacing w:val="-3"/>
        </w:rPr>
        <w:t> </w:t>
      </w:r>
      <w:r>
        <w:rPr>
          <w:color w:val="231F20"/>
        </w:rPr>
        <w:t>salud</w:t>
      </w:r>
      <w:r>
        <w:rPr>
          <w:color w:val="231F20"/>
          <w:spacing w:val="-2"/>
        </w:rPr>
        <w:t> </w:t>
      </w:r>
      <w:r>
        <w:rPr>
          <w:color w:val="231F20"/>
        </w:rPr>
        <w:t>implica</w:t>
      </w:r>
      <w:r>
        <w:rPr>
          <w:color w:val="231F20"/>
          <w:spacing w:val="-3"/>
        </w:rPr>
        <w:t> </w:t>
      </w:r>
      <w:r>
        <w:rPr>
          <w:color w:val="231F20"/>
        </w:rPr>
        <w:t>gastar</w:t>
      </w:r>
      <w:r>
        <w:rPr>
          <w:color w:val="231F20"/>
          <w:spacing w:val="-3"/>
        </w:rPr>
        <w:t> </w:t>
      </w:r>
      <w:r>
        <w:rPr>
          <w:color w:val="231F20"/>
        </w:rPr>
        <w:t>el</w:t>
      </w:r>
      <w:r>
        <w:rPr>
          <w:color w:val="231F20"/>
          <w:spacing w:val="-3"/>
        </w:rPr>
        <w:t> </w:t>
      </w:r>
      <w:r>
        <w:rPr>
          <w:color w:val="231F20"/>
        </w:rPr>
        <w:t>total</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apoyos que los programas sociales les dan, recurren a un médico</w:t>
      </w:r>
      <w:r>
        <w:rPr>
          <w:color w:val="231F20"/>
          <w:spacing w:val="-22"/>
        </w:rPr>
        <w:t> </w:t>
      </w:r>
      <w:r>
        <w:rPr>
          <w:color w:val="231F20"/>
        </w:rPr>
        <w:t>particular.</w:t>
      </w:r>
    </w:p>
    <w:p>
      <w:pPr>
        <w:pStyle w:val="BodyText"/>
        <w:spacing w:line="249" w:lineRule="auto" w:before="1"/>
        <w:ind w:left="113" w:right="107" w:firstLine="283"/>
        <w:jc w:val="both"/>
      </w:pPr>
      <w:r>
        <w:rPr>
          <w:color w:val="231F20"/>
        </w:rPr>
        <w:t>En el caso del seguro popular, las mujeres indican que es un seguro que</w:t>
      </w:r>
      <w:r>
        <w:rPr>
          <w:color w:val="231F20"/>
          <w:spacing w:val="-3"/>
        </w:rPr>
        <w:t> </w:t>
      </w:r>
      <w:r>
        <w:rPr>
          <w:color w:val="231F20"/>
        </w:rPr>
        <w:t>les</w:t>
      </w:r>
      <w:r>
        <w:rPr>
          <w:color w:val="231F20"/>
          <w:spacing w:val="-4"/>
        </w:rPr>
        <w:t> </w:t>
      </w:r>
      <w:r>
        <w:rPr>
          <w:color w:val="231F20"/>
        </w:rPr>
        <w:t>brinda</w:t>
      </w:r>
      <w:r>
        <w:rPr>
          <w:color w:val="231F20"/>
          <w:spacing w:val="-3"/>
        </w:rPr>
        <w:t> </w:t>
      </w:r>
      <w:r>
        <w:rPr>
          <w:color w:val="231F20"/>
        </w:rPr>
        <w:t>“apoyo</w:t>
      </w:r>
      <w:r>
        <w:rPr>
          <w:color w:val="231F20"/>
          <w:spacing w:val="-4"/>
        </w:rPr>
        <w:t> </w:t>
      </w:r>
      <w:r>
        <w:rPr>
          <w:color w:val="231F20"/>
        </w:rPr>
        <w:t>para</w:t>
      </w:r>
      <w:r>
        <w:rPr>
          <w:color w:val="231F20"/>
          <w:spacing w:val="-3"/>
        </w:rPr>
        <w:t> </w:t>
      </w:r>
      <w:r>
        <w:rPr>
          <w:color w:val="231F20"/>
        </w:rPr>
        <w:t>una</w:t>
      </w:r>
      <w:r>
        <w:rPr>
          <w:color w:val="231F20"/>
          <w:spacing w:val="-3"/>
        </w:rPr>
        <w:t> </w:t>
      </w:r>
      <w:r>
        <w:rPr>
          <w:color w:val="231F20"/>
        </w:rPr>
        <w:t>gripe”</w:t>
      </w:r>
      <w:r>
        <w:rPr>
          <w:color w:val="231F20"/>
          <w:spacing w:val="-3"/>
        </w:rPr>
        <w:t> </w:t>
      </w:r>
      <w:r>
        <w:rPr>
          <w:color w:val="231F20"/>
        </w:rPr>
        <w:t>y</w:t>
      </w:r>
      <w:r>
        <w:rPr>
          <w:color w:val="231F20"/>
          <w:spacing w:val="-3"/>
        </w:rPr>
        <w:t> </w:t>
      </w:r>
      <w:r>
        <w:rPr>
          <w:color w:val="231F20"/>
        </w:rPr>
        <w:t>que</w:t>
      </w:r>
      <w:r>
        <w:rPr>
          <w:color w:val="231F20"/>
          <w:spacing w:val="-3"/>
        </w:rPr>
        <w:t> </w:t>
      </w:r>
      <w:r>
        <w:rPr>
          <w:color w:val="231F20"/>
        </w:rPr>
        <w:t>les</w:t>
      </w:r>
      <w:r>
        <w:rPr>
          <w:color w:val="231F20"/>
          <w:spacing w:val="-4"/>
        </w:rPr>
        <w:t> </w:t>
      </w:r>
      <w:r>
        <w:rPr>
          <w:color w:val="231F20"/>
        </w:rPr>
        <w:t>ayuda</w:t>
      </w:r>
      <w:r>
        <w:rPr>
          <w:color w:val="231F20"/>
          <w:spacing w:val="-4"/>
        </w:rPr>
        <w:t> </w:t>
      </w:r>
      <w:r>
        <w:rPr>
          <w:color w:val="231F20"/>
        </w:rPr>
        <w:t>sólo</w:t>
      </w:r>
      <w:r>
        <w:rPr>
          <w:color w:val="231F20"/>
          <w:spacing w:val="-3"/>
        </w:rPr>
        <w:t> </w:t>
      </w:r>
      <w:r>
        <w:rPr>
          <w:color w:val="231F20"/>
        </w:rPr>
        <w:t>a</w:t>
      </w:r>
      <w:r>
        <w:rPr>
          <w:color w:val="231F20"/>
          <w:spacing w:val="-3"/>
        </w:rPr>
        <w:t> </w:t>
      </w:r>
      <w:r>
        <w:rPr>
          <w:color w:val="231F20"/>
        </w:rPr>
        <w:t>no</w:t>
      </w:r>
      <w:r>
        <w:rPr>
          <w:color w:val="231F20"/>
          <w:spacing w:val="-3"/>
        </w:rPr>
        <w:t> </w:t>
      </w:r>
      <w:r>
        <w:rPr>
          <w:color w:val="231F20"/>
        </w:rPr>
        <w:t>comprar medicamento,</w:t>
      </w:r>
      <w:r>
        <w:rPr>
          <w:color w:val="231F20"/>
          <w:spacing w:val="-6"/>
        </w:rPr>
        <w:t> </w:t>
      </w:r>
      <w:r>
        <w:rPr>
          <w:color w:val="231F20"/>
        </w:rPr>
        <w:t>pero</w:t>
      </w:r>
      <w:r>
        <w:rPr>
          <w:color w:val="231F20"/>
          <w:spacing w:val="-5"/>
        </w:rPr>
        <w:t> </w:t>
      </w:r>
      <w:r>
        <w:rPr>
          <w:color w:val="231F20"/>
        </w:rPr>
        <w:t>si</w:t>
      </w:r>
      <w:r>
        <w:rPr>
          <w:color w:val="231F20"/>
          <w:spacing w:val="-5"/>
        </w:rPr>
        <w:t> </w:t>
      </w:r>
      <w:r>
        <w:rPr>
          <w:color w:val="231F20"/>
        </w:rPr>
        <w:t>se</w:t>
      </w:r>
      <w:r>
        <w:rPr>
          <w:color w:val="231F20"/>
          <w:spacing w:val="-5"/>
        </w:rPr>
        <w:t> </w:t>
      </w:r>
      <w:r>
        <w:rPr>
          <w:color w:val="231F20"/>
        </w:rPr>
        <w:t>trata</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operación</w:t>
      </w:r>
      <w:r>
        <w:rPr>
          <w:color w:val="231F20"/>
          <w:spacing w:val="-5"/>
        </w:rPr>
        <w:t> </w:t>
      </w:r>
      <w:r>
        <w:rPr>
          <w:color w:val="231F20"/>
        </w:rPr>
        <w:t>u</w:t>
      </w:r>
      <w:r>
        <w:rPr>
          <w:color w:val="231F20"/>
          <w:spacing w:val="-5"/>
        </w:rPr>
        <w:t> </w:t>
      </w:r>
      <w:r>
        <w:rPr>
          <w:color w:val="231F20"/>
        </w:rPr>
        <w:t>otra</w:t>
      </w:r>
      <w:r>
        <w:rPr>
          <w:color w:val="231F20"/>
          <w:spacing w:val="-5"/>
        </w:rPr>
        <w:t> </w:t>
      </w:r>
      <w:r>
        <w:rPr>
          <w:color w:val="231F20"/>
        </w:rPr>
        <w:t>cosa</w:t>
      </w:r>
      <w:r>
        <w:rPr>
          <w:color w:val="231F20"/>
          <w:spacing w:val="-5"/>
        </w:rPr>
        <w:t> </w:t>
      </w:r>
      <w:r>
        <w:rPr>
          <w:color w:val="231F20"/>
        </w:rPr>
        <w:t>más</w:t>
      </w:r>
      <w:r>
        <w:rPr>
          <w:color w:val="231F20"/>
          <w:spacing w:val="-5"/>
        </w:rPr>
        <w:t> </w:t>
      </w:r>
      <w:r>
        <w:rPr>
          <w:color w:val="231F20"/>
        </w:rPr>
        <w:t>grande</w:t>
      </w:r>
      <w:r>
        <w:rPr>
          <w:color w:val="231F20"/>
          <w:spacing w:val="-5"/>
        </w:rPr>
        <w:t> </w:t>
      </w:r>
      <w:r>
        <w:rPr>
          <w:color w:val="231F20"/>
        </w:rPr>
        <w:t>el seguro popular no cubre todos los gastos. En algunos casos se encontró que el apoyo económico que les brinda el programa MTC les ayuda a solventar los gastos de</w:t>
      </w:r>
      <w:r>
        <w:rPr>
          <w:color w:val="231F20"/>
          <w:spacing w:val="-15"/>
        </w:rPr>
        <w:t> </w:t>
      </w:r>
      <w:r>
        <w:rPr>
          <w:color w:val="231F20"/>
        </w:rPr>
        <w:t>salud.</w:t>
      </w:r>
    </w:p>
    <w:p>
      <w:pPr>
        <w:pStyle w:val="BodyText"/>
        <w:spacing w:line="249" w:lineRule="auto" w:before="1"/>
        <w:ind w:left="113" w:right="107" w:firstLine="283"/>
        <w:jc w:val="both"/>
      </w:pPr>
      <w:r>
        <w:rPr>
          <w:color w:val="231F20"/>
        </w:rPr>
        <w:t>El programa genera apoyos pequeños, lo cuales, muchas veces, tam- bién sirven para el vestir y calzar: pero en realidad el lograr una segu- ridad económica a través de los apoyos económicos del programa no es posible, sólo resuelve algunas de las necesidades primordiales que se tienen</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hogar.</w:t>
      </w:r>
      <w:r>
        <w:rPr>
          <w:color w:val="231F20"/>
          <w:spacing w:val="-4"/>
        </w:rPr>
        <w:t> </w:t>
      </w:r>
      <w:r>
        <w:rPr>
          <w:color w:val="231F20"/>
        </w:rPr>
        <w:t>Este</w:t>
      </w:r>
      <w:r>
        <w:rPr>
          <w:color w:val="231F20"/>
          <w:spacing w:val="-4"/>
        </w:rPr>
        <w:t> </w:t>
      </w:r>
      <w:r>
        <w:rPr>
          <w:color w:val="231F20"/>
        </w:rPr>
        <w:t>uso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apoyos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satisfacción</w:t>
      </w:r>
      <w:r>
        <w:rPr>
          <w:color w:val="231F20"/>
          <w:spacing w:val="-3"/>
        </w:rPr>
        <w:t> </w:t>
      </w:r>
      <w:r>
        <w:rPr>
          <w:color w:val="231F20"/>
        </w:rPr>
        <w:t>de</w:t>
      </w:r>
      <w:r>
        <w:rPr>
          <w:color w:val="231F20"/>
          <w:spacing w:val="-4"/>
        </w:rPr>
        <w:t> </w:t>
      </w:r>
      <w:r>
        <w:rPr>
          <w:color w:val="231F20"/>
        </w:rPr>
        <w:t>necesida- des puntuales es lo que podemos denominar como producción de micro zonas de bienestar. De esta forma, los apoyos aminoran las carencias pero no generan una situación estable de</w:t>
      </w:r>
      <w:r>
        <w:rPr>
          <w:color w:val="231F20"/>
          <w:spacing w:val="-21"/>
        </w:rPr>
        <w:t> </w:t>
      </w:r>
      <w:r>
        <w:rPr>
          <w:color w:val="231F20"/>
        </w:rPr>
        <w:t>bienestar.</w:t>
      </w:r>
    </w:p>
    <w:p>
      <w:pPr>
        <w:pStyle w:val="BodyText"/>
        <w:spacing w:line="249" w:lineRule="auto" w:before="1"/>
        <w:ind w:left="113" w:right="108" w:firstLine="283"/>
        <w:jc w:val="both"/>
      </w:pPr>
      <w:r>
        <w:rPr>
          <w:color w:val="231F20"/>
        </w:rPr>
        <w:t>Algunas mujeres beneficiarias piensan que a través de los programas sociales podrían tener una mayor apertura para participar en su comuni- dad, es decir, tenían una buena recepción de este tipo de programas.</w:t>
      </w:r>
    </w:p>
    <w:p>
      <w:pPr>
        <w:pStyle w:val="BodyText"/>
        <w:spacing w:line="249" w:lineRule="auto" w:before="114"/>
        <w:ind w:left="397" w:right="108"/>
        <w:jc w:val="both"/>
      </w:pPr>
      <w:r>
        <w:rPr>
          <w:color w:val="231F20"/>
        </w:rPr>
        <w:t>Ya ve en parte sí ayudan estos programas, ve cuantas mujeres se lanzaron de delegadas y los hombres mejor renunciaron, porque no querían trabar con las viejas, porque participaron más las mujeres y ya ve como está el pueblo</w:t>
      </w:r>
      <w:r>
        <w:rPr>
          <w:color w:val="231F20"/>
          <w:position w:val="7"/>
          <w:sz w:val="11"/>
        </w:rPr>
        <w:t>5  </w:t>
      </w:r>
      <w:r>
        <w:rPr>
          <w:color w:val="231F20"/>
        </w:rPr>
        <w:t>(entrevista 2).</w:t>
      </w:r>
    </w:p>
    <w:p>
      <w:pPr>
        <w:spacing w:before="153"/>
        <w:ind w:left="113" w:right="0" w:firstLine="0"/>
        <w:jc w:val="both"/>
        <w:rPr>
          <w:sz w:val="14"/>
        </w:rPr>
      </w:pPr>
      <w:r>
        <w:rPr>
          <w:color w:val="231F20"/>
          <w:position w:val="5"/>
          <w:sz w:val="8"/>
        </w:rPr>
        <w:t>5    </w:t>
      </w:r>
      <w:r>
        <w:rPr>
          <w:color w:val="231F20"/>
          <w:sz w:val="14"/>
        </w:rPr>
        <w:t>Esta  cita  hace  referencia  a  que  en  los  años  pasados  las  mujeres  no  las  aceptaban  como</w:t>
      </w:r>
    </w:p>
    <w:p>
      <w:pPr>
        <w:spacing w:after="0"/>
        <w:jc w:val="both"/>
        <w:rPr>
          <w:sz w:val="14"/>
        </w:rPr>
        <w:sectPr>
          <w:footerReference w:type="default" r:id="rId263"/>
          <w:pgSz w:w="7770" w:h="11740"/>
          <w:pgMar w:footer="474" w:header="0" w:top="840" w:bottom="660" w:left="1020" w:right="740"/>
          <w:pgNumType w:start="237"/>
        </w:sectPr>
      </w:pPr>
    </w:p>
    <w:p>
      <w:pPr>
        <w:pStyle w:val="BodyText"/>
        <w:spacing w:line="249" w:lineRule="auto" w:before="60"/>
        <w:ind w:left="393" w:right="111"/>
        <w:jc w:val="both"/>
      </w:pPr>
      <w:r>
        <w:rPr>
          <w:color w:val="231F20"/>
          <w:spacing w:val="-11"/>
        </w:rPr>
        <w:t>Ya </w:t>
      </w:r>
      <w:r>
        <w:rPr>
          <w:color w:val="231F20"/>
        </w:rPr>
        <w:t>ve me dieron mi apoyo, y ya nos toman más en cuenta a todas las mujeres, iban en bola a las juntas muchas mujeres, eran menos los hombres;</w:t>
      </w:r>
      <w:r>
        <w:rPr>
          <w:color w:val="231F20"/>
          <w:spacing w:val="-7"/>
        </w:rPr>
        <w:t> </w:t>
      </w:r>
      <w:r>
        <w:rPr>
          <w:color w:val="231F20"/>
        </w:rPr>
        <w:t>pero</w:t>
      </w:r>
      <w:r>
        <w:rPr>
          <w:color w:val="231F20"/>
          <w:spacing w:val="-7"/>
        </w:rPr>
        <w:t> </w:t>
      </w:r>
      <w:r>
        <w:rPr>
          <w:color w:val="231F20"/>
        </w:rPr>
        <w:t>eso</w:t>
      </w:r>
      <w:r>
        <w:rPr>
          <w:color w:val="231F20"/>
          <w:spacing w:val="-7"/>
        </w:rPr>
        <w:t> </w:t>
      </w:r>
      <w:r>
        <w:rPr>
          <w:color w:val="231F20"/>
        </w:rPr>
        <w:t>logró</w:t>
      </w:r>
      <w:r>
        <w:rPr>
          <w:color w:val="231F20"/>
          <w:spacing w:val="-7"/>
        </w:rPr>
        <w:t> </w:t>
      </w:r>
      <w:r>
        <w:rPr>
          <w:color w:val="231F20"/>
        </w:rPr>
        <w:t>hacer</w:t>
      </w:r>
      <w:r>
        <w:rPr>
          <w:color w:val="231F20"/>
          <w:spacing w:val="-7"/>
        </w:rPr>
        <w:t> </w:t>
      </w:r>
      <w:r>
        <w:rPr>
          <w:color w:val="231F20"/>
        </w:rPr>
        <w:t>fuerza</w:t>
      </w:r>
      <w:r>
        <w:rPr>
          <w:color w:val="231F20"/>
          <w:spacing w:val="-7"/>
        </w:rPr>
        <w:t> </w:t>
      </w:r>
      <w:r>
        <w:rPr>
          <w:color w:val="231F20"/>
        </w:rPr>
        <w:t>y</w:t>
      </w:r>
      <w:r>
        <w:rPr>
          <w:color w:val="231F20"/>
          <w:spacing w:val="-7"/>
        </w:rPr>
        <w:t> </w:t>
      </w:r>
      <w:r>
        <w:rPr>
          <w:color w:val="231F20"/>
        </w:rPr>
        <w:t>hasta</w:t>
      </w:r>
      <w:r>
        <w:rPr>
          <w:color w:val="231F20"/>
          <w:spacing w:val="-7"/>
        </w:rPr>
        <w:t> </w:t>
      </w:r>
      <w:r>
        <w:rPr>
          <w:color w:val="231F20"/>
        </w:rPr>
        <w:t>que</w:t>
      </w:r>
      <w:r>
        <w:rPr>
          <w:color w:val="231F20"/>
          <w:spacing w:val="-7"/>
        </w:rPr>
        <w:t> </w:t>
      </w:r>
      <w:r>
        <w:rPr>
          <w:color w:val="231F20"/>
        </w:rPr>
        <w:t>nos</w:t>
      </w:r>
      <w:r>
        <w:rPr>
          <w:color w:val="231F20"/>
          <w:spacing w:val="-7"/>
        </w:rPr>
        <w:t> </w:t>
      </w:r>
      <w:r>
        <w:rPr>
          <w:color w:val="231F20"/>
        </w:rPr>
        <w:t>escuchen</w:t>
      </w:r>
      <w:r>
        <w:rPr>
          <w:color w:val="231F20"/>
          <w:spacing w:val="-7"/>
        </w:rPr>
        <w:t> </w:t>
      </w:r>
      <w:r>
        <w:rPr>
          <w:color w:val="231F20"/>
        </w:rPr>
        <w:t>lo</w:t>
      </w:r>
      <w:r>
        <w:rPr>
          <w:color w:val="231F20"/>
          <w:spacing w:val="-7"/>
        </w:rPr>
        <w:t> </w:t>
      </w:r>
      <w:r>
        <w:rPr>
          <w:color w:val="231F20"/>
        </w:rPr>
        <w:t>que pensamos, no que no nos hacen caso, hasta vio que los hombres se enojaban</w:t>
      </w:r>
      <w:r>
        <w:rPr>
          <w:color w:val="231F20"/>
          <w:position w:val="7"/>
          <w:sz w:val="11"/>
        </w:rPr>
        <w:t>6  </w:t>
      </w:r>
      <w:r>
        <w:rPr>
          <w:color w:val="231F20"/>
        </w:rPr>
        <w:t>(entrevista</w:t>
      </w:r>
      <w:r>
        <w:rPr>
          <w:color w:val="231F20"/>
          <w:spacing w:val="-3"/>
        </w:rPr>
        <w:t> </w:t>
      </w:r>
      <w:r>
        <w:rPr>
          <w:color w:val="231F20"/>
        </w:rPr>
        <w:t>2).</w:t>
      </w:r>
    </w:p>
    <w:p>
      <w:pPr>
        <w:pStyle w:val="BodyText"/>
        <w:spacing w:line="249" w:lineRule="auto" w:before="114"/>
        <w:ind w:left="110" w:right="111" w:firstLine="283"/>
        <w:jc w:val="both"/>
      </w:pPr>
      <w:r>
        <w:rPr>
          <w:color w:val="231F20"/>
        </w:rPr>
        <w:t>Como se ha mencionado el apoyo económico que se les otorga a las mujeres les ayuda para mejorar algunos aspectos de su economía, pero no les alcanza el dinero para cubrir todo el espectro de sus necesidades, en ocasiones se quedan con el antojo de comprar algo más.</w:t>
      </w:r>
    </w:p>
    <w:p>
      <w:pPr>
        <w:pStyle w:val="BodyText"/>
        <w:spacing w:line="249" w:lineRule="auto" w:before="1"/>
        <w:ind w:left="110" w:right="111" w:firstLine="283"/>
        <w:jc w:val="both"/>
      </w:pPr>
      <w:r>
        <w:rPr>
          <w:color w:val="231F20"/>
        </w:rPr>
        <w:t>Las entrevistadas piensan que los apoyos que reciben del programa han mejorado parcialmente la alimentación de ellas y de sus hijos, en ocasiones el apoyo sirve para comprar maíz, el alimento básico de las familias campesinas.</w:t>
      </w:r>
    </w:p>
    <w:p>
      <w:pPr>
        <w:pStyle w:val="BodyText"/>
        <w:spacing w:line="249" w:lineRule="auto" w:before="114"/>
        <w:ind w:left="393" w:right="111"/>
        <w:jc w:val="both"/>
      </w:pPr>
      <w:r>
        <w:rPr>
          <w:color w:val="231F20"/>
        </w:rPr>
        <w:t>El apoyo económico me ayudó de muchas maneras en mi hogar, en mi alimentación, vea porque este año estuvo bien caro el maíz y</w:t>
      </w:r>
      <w:r>
        <w:rPr>
          <w:color w:val="231F20"/>
          <w:spacing w:val="-25"/>
        </w:rPr>
        <w:t> </w:t>
      </w:r>
      <w:r>
        <w:rPr>
          <w:color w:val="231F20"/>
        </w:rPr>
        <w:t>tuve que comprar para que nos hiciéramos un taco con mis hijos (entrev- ista</w:t>
      </w:r>
      <w:r>
        <w:rPr>
          <w:color w:val="231F20"/>
          <w:spacing w:val="-1"/>
        </w:rPr>
        <w:t> </w:t>
      </w:r>
      <w:r>
        <w:rPr>
          <w:color w:val="231F20"/>
        </w:rPr>
        <w:t>3).</w:t>
      </w:r>
    </w:p>
    <w:p>
      <w:pPr>
        <w:pStyle w:val="BodyText"/>
        <w:spacing w:line="249" w:lineRule="auto" w:before="114"/>
        <w:ind w:left="110" w:right="111" w:firstLine="283"/>
        <w:jc w:val="both"/>
      </w:pPr>
      <w:r>
        <w:rPr>
          <w:color w:val="231F20"/>
        </w:rPr>
        <w:t>Las</w:t>
      </w:r>
      <w:r>
        <w:rPr>
          <w:color w:val="231F20"/>
          <w:spacing w:val="-8"/>
        </w:rPr>
        <w:t> </w:t>
      </w:r>
      <w:r>
        <w:rPr>
          <w:color w:val="231F20"/>
        </w:rPr>
        <w:t>mujeres</w:t>
      </w:r>
      <w:r>
        <w:rPr>
          <w:color w:val="231F20"/>
          <w:spacing w:val="-9"/>
        </w:rPr>
        <w:t> </w:t>
      </w:r>
      <w:r>
        <w:rPr>
          <w:color w:val="231F20"/>
        </w:rPr>
        <w:t>entrevistadas</w:t>
      </w:r>
      <w:r>
        <w:rPr>
          <w:color w:val="231F20"/>
          <w:spacing w:val="-9"/>
        </w:rPr>
        <w:t> </w:t>
      </w:r>
      <w:r>
        <w:rPr>
          <w:color w:val="231F20"/>
        </w:rPr>
        <w:t>expresaron</w:t>
      </w:r>
      <w:r>
        <w:rPr>
          <w:color w:val="231F20"/>
          <w:spacing w:val="-9"/>
        </w:rPr>
        <w:t> </w:t>
      </w:r>
      <w:r>
        <w:rPr>
          <w:color w:val="231F20"/>
        </w:rPr>
        <w:t>que</w:t>
      </w:r>
      <w:r>
        <w:rPr>
          <w:color w:val="231F20"/>
          <w:spacing w:val="-8"/>
        </w:rPr>
        <w:t> </w:t>
      </w:r>
      <w:r>
        <w:rPr>
          <w:color w:val="231F20"/>
        </w:rPr>
        <w:t>sería</w:t>
      </w:r>
      <w:r>
        <w:rPr>
          <w:color w:val="231F20"/>
          <w:spacing w:val="-8"/>
        </w:rPr>
        <w:t> </w:t>
      </w:r>
      <w:r>
        <w:rPr>
          <w:color w:val="231F20"/>
        </w:rPr>
        <w:t>bueno</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progra- mas sociales duraran más tiempo, y les dieran más dinero, pues de esta manera les cambiarían la vida, y tendrían más facilidades de adquirir lo que necesitan.</w:t>
      </w:r>
    </w:p>
    <w:p>
      <w:pPr>
        <w:pStyle w:val="BodyText"/>
        <w:spacing w:line="249" w:lineRule="auto" w:before="114"/>
        <w:ind w:left="393" w:right="111"/>
        <w:jc w:val="both"/>
      </w:pPr>
      <w:r>
        <w:rPr>
          <w:color w:val="231F20"/>
        </w:rPr>
        <w:t>El</w:t>
      </w:r>
      <w:r>
        <w:rPr>
          <w:color w:val="231F20"/>
          <w:spacing w:val="-6"/>
        </w:rPr>
        <w:t> </w:t>
      </w:r>
      <w:r>
        <w:rPr>
          <w:color w:val="231F20"/>
        </w:rPr>
        <w:t>dinero</w:t>
      </w:r>
      <w:r>
        <w:rPr>
          <w:color w:val="231F20"/>
          <w:spacing w:val="-6"/>
        </w:rPr>
        <w:t> </w:t>
      </w:r>
      <w:r>
        <w:rPr>
          <w:color w:val="231F20"/>
        </w:rPr>
        <w:t>no</w:t>
      </w:r>
      <w:r>
        <w:rPr>
          <w:color w:val="231F20"/>
          <w:spacing w:val="-6"/>
        </w:rPr>
        <w:t> </w:t>
      </w:r>
      <w:r>
        <w:rPr>
          <w:color w:val="231F20"/>
        </w:rPr>
        <w:t>rinde</w:t>
      </w:r>
      <w:r>
        <w:rPr>
          <w:color w:val="231F20"/>
          <w:spacing w:val="-6"/>
        </w:rPr>
        <w:t> </w:t>
      </w:r>
      <w:r>
        <w:rPr>
          <w:color w:val="231F20"/>
        </w:rPr>
        <w:t>en</w:t>
      </w:r>
      <w:r>
        <w:rPr>
          <w:color w:val="231F20"/>
          <w:spacing w:val="-7"/>
        </w:rPr>
        <w:t> </w:t>
      </w:r>
      <w:r>
        <w:rPr>
          <w:color w:val="231F20"/>
        </w:rPr>
        <w:t>las</w:t>
      </w:r>
      <w:r>
        <w:rPr>
          <w:color w:val="231F20"/>
          <w:spacing w:val="-7"/>
        </w:rPr>
        <w:t> </w:t>
      </w:r>
      <w:r>
        <w:rPr>
          <w:color w:val="231F20"/>
        </w:rPr>
        <w:t>manos</w:t>
      </w:r>
      <w:r>
        <w:rPr>
          <w:color w:val="231F20"/>
          <w:spacing w:val="-7"/>
        </w:rPr>
        <w:t> </w:t>
      </w:r>
      <w:r>
        <w:rPr>
          <w:color w:val="231F20"/>
        </w:rPr>
        <w:t>de</w:t>
      </w:r>
      <w:r>
        <w:rPr>
          <w:color w:val="231F20"/>
          <w:spacing w:val="-6"/>
        </w:rPr>
        <w:t> </w:t>
      </w:r>
      <w:r>
        <w:rPr>
          <w:color w:val="231F20"/>
        </w:rPr>
        <w:t>uno,</w:t>
      </w:r>
      <w:r>
        <w:rPr>
          <w:color w:val="231F20"/>
          <w:spacing w:val="-6"/>
        </w:rPr>
        <w:t> </w:t>
      </w:r>
      <w:r>
        <w:rPr>
          <w:color w:val="231F20"/>
        </w:rPr>
        <w:t>ya</w:t>
      </w:r>
      <w:r>
        <w:rPr>
          <w:color w:val="231F20"/>
          <w:spacing w:val="-6"/>
        </w:rPr>
        <w:t> </w:t>
      </w:r>
      <w:r>
        <w:rPr>
          <w:color w:val="231F20"/>
        </w:rPr>
        <w:t>tenemos</w:t>
      </w:r>
      <w:r>
        <w:rPr>
          <w:color w:val="231F20"/>
          <w:spacing w:val="-7"/>
        </w:rPr>
        <w:t> </w:t>
      </w:r>
      <w:r>
        <w:rPr>
          <w:color w:val="231F20"/>
        </w:rPr>
        <w:t>otras</w:t>
      </w:r>
      <w:r>
        <w:rPr>
          <w:color w:val="231F20"/>
          <w:spacing w:val="-6"/>
        </w:rPr>
        <w:t> </w:t>
      </w:r>
      <w:r>
        <w:rPr>
          <w:color w:val="231F20"/>
        </w:rPr>
        <w:t>necesidades diferentes</w:t>
      </w:r>
      <w:r>
        <w:rPr>
          <w:color w:val="231F20"/>
          <w:spacing w:val="-6"/>
        </w:rPr>
        <w:t> </w:t>
      </w:r>
      <w:r>
        <w:rPr>
          <w:color w:val="231F20"/>
        </w:rPr>
        <w:t>a</w:t>
      </w:r>
      <w:r>
        <w:rPr>
          <w:color w:val="231F20"/>
          <w:spacing w:val="-6"/>
        </w:rPr>
        <w:t> </w:t>
      </w:r>
      <w:r>
        <w:rPr>
          <w:color w:val="231F20"/>
        </w:rPr>
        <w:t>otros</w:t>
      </w:r>
      <w:r>
        <w:rPr>
          <w:color w:val="231F20"/>
          <w:spacing w:val="-6"/>
        </w:rPr>
        <w:t> </w:t>
      </w:r>
      <w:r>
        <w:rPr>
          <w:color w:val="231F20"/>
        </w:rPr>
        <w:t>años</w:t>
      </w:r>
      <w:r>
        <w:rPr>
          <w:color w:val="231F20"/>
          <w:spacing w:val="-6"/>
        </w:rPr>
        <w:t> </w:t>
      </w:r>
      <w:r>
        <w:rPr>
          <w:color w:val="231F20"/>
        </w:rPr>
        <w:t>ya</w:t>
      </w:r>
      <w:r>
        <w:rPr>
          <w:color w:val="231F20"/>
          <w:spacing w:val="-6"/>
        </w:rPr>
        <w:t> </w:t>
      </w:r>
      <w:r>
        <w:rPr>
          <w:color w:val="231F20"/>
        </w:rPr>
        <w:t>está</w:t>
      </w:r>
      <w:r>
        <w:rPr>
          <w:color w:val="231F20"/>
          <w:spacing w:val="-6"/>
        </w:rPr>
        <w:t> </w:t>
      </w:r>
      <w:r>
        <w:rPr>
          <w:color w:val="231F20"/>
        </w:rPr>
        <w:t>más</w:t>
      </w:r>
      <w:r>
        <w:rPr>
          <w:color w:val="231F20"/>
          <w:spacing w:val="-6"/>
        </w:rPr>
        <w:t> </w:t>
      </w:r>
      <w:r>
        <w:rPr>
          <w:color w:val="231F20"/>
        </w:rPr>
        <w:t>caro</w:t>
      </w:r>
      <w:r>
        <w:rPr>
          <w:color w:val="231F20"/>
          <w:spacing w:val="-6"/>
        </w:rPr>
        <w:t> </w:t>
      </w:r>
      <w:r>
        <w:rPr>
          <w:color w:val="231F20"/>
        </w:rPr>
        <w:t>todo;</w:t>
      </w:r>
      <w:r>
        <w:rPr>
          <w:color w:val="231F20"/>
          <w:spacing w:val="-6"/>
        </w:rPr>
        <w:t> </w:t>
      </w:r>
      <w:r>
        <w:rPr>
          <w:color w:val="231F20"/>
        </w:rPr>
        <w:t>si</w:t>
      </w:r>
      <w:r>
        <w:rPr>
          <w:color w:val="231F20"/>
          <w:spacing w:val="-6"/>
        </w:rPr>
        <w:t> </w:t>
      </w:r>
      <w:r>
        <w:rPr>
          <w:color w:val="231F20"/>
        </w:rPr>
        <w:t>compro</w:t>
      </w:r>
      <w:r>
        <w:rPr>
          <w:color w:val="231F20"/>
          <w:spacing w:val="-7"/>
        </w:rPr>
        <w:t> </w:t>
      </w:r>
      <w:r>
        <w:rPr>
          <w:color w:val="231F20"/>
        </w:rPr>
        <w:t>ropa</w:t>
      </w:r>
      <w:r>
        <w:rPr>
          <w:color w:val="231F20"/>
          <w:spacing w:val="-6"/>
        </w:rPr>
        <w:t> </w:t>
      </w:r>
      <w:r>
        <w:rPr>
          <w:color w:val="231F20"/>
        </w:rPr>
        <w:t>con</w:t>
      </w:r>
      <w:r>
        <w:rPr>
          <w:color w:val="231F20"/>
          <w:spacing w:val="-6"/>
        </w:rPr>
        <w:t> </w:t>
      </w:r>
      <w:r>
        <w:rPr>
          <w:color w:val="231F20"/>
        </w:rPr>
        <w:t>650 pesos sólo me alcanzaría para un pantalón, si quisiera comprarme unos zapatos ya no alcanzaría, debería el gobierno de darnos más dinero y que dure más tiempo los programas (entrevista</w:t>
      </w:r>
      <w:r>
        <w:rPr>
          <w:color w:val="231F20"/>
          <w:spacing w:val="-3"/>
        </w:rPr>
        <w:t> </w:t>
      </w:r>
      <w:r>
        <w:rPr>
          <w:color w:val="231F20"/>
        </w:rPr>
        <w:t>2).</w:t>
      </w:r>
    </w:p>
    <w:p>
      <w:pPr>
        <w:pStyle w:val="BodyText"/>
        <w:spacing w:line="249" w:lineRule="auto" w:before="114"/>
        <w:ind w:left="110" w:right="111" w:firstLine="283"/>
        <w:jc w:val="both"/>
      </w:pPr>
      <w:r>
        <w:rPr>
          <w:color w:val="231F20"/>
        </w:rPr>
        <w:t>En forma contradictoria algunas mujeres piensan que en parte está mal</w:t>
      </w:r>
      <w:r>
        <w:rPr>
          <w:color w:val="231F20"/>
          <w:spacing w:val="-7"/>
        </w:rPr>
        <w:t> </w:t>
      </w:r>
      <w:r>
        <w:rPr>
          <w:color w:val="231F20"/>
        </w:rPr>
        <w:t>que</w:t>
      </w:r>
      <w:r>
        <w:rPr>
          <w:color w:val="231F20"/>
          <w:spacing w:val="-6"/>
        </w:rPr>
        <w:t> </w:t>
      </w:r>
      <w:r>
        <w:rPr>
          <w:color w:val="231F20"/>
        </w:rPr>
        <w:t>el</w:t>
      </w:r>
      <w:r>
        <w:rPr>
          <w:color w:val="231F20"/>
          <w:spacing w:val="-7"/>
        </w:rPr>
        <w:t> </w:t>
      </w:r>
      <w:r>
        <w:rPr>
          <w:color w:val="231F20"/>
        </w:rPr>
        <w:t>gobierno</w:t>
      </w:r>
      <w:r>
        <w:rPr>
          <w:color w:val="231F20"/>
          <w:spacing w:val="-6"/>
        </w:rPr>
        <w:t> </w:t>
      </w:r>
      <w:r>
        <w:rPr>
          <w:color w:val="231F20"/>
        </w:rPr>
        <w:t>se</w:t>
      </w:r>
      <w:r>
        <w:rPr>
          <w:color w:val="231F20"/>
          <w:spacing w:val="-6"/>
        </w:rPr>
        <w:t> </w:t>
      </w:r>
      <w:r>
        <w:rPr>
          <w:color w:val="231F20"/>
        </w:rPr>
        <w:t>meta</w:t>
      </w:r>
      <w:r>
        <w:rPr>
          <w:color w:val="231F20"/>
          <w:spacing w:val="-7"/>
        </w:rPr>
        <w:t> </w:t>
      </w:r>
      <w:r>
        <w:rPr>
          <w:color w:val="231F20"/>
        </w:rPr>
        <w:t>mucho</w:t>
      </w:r>
      <w:r>
        <w:rPr>
          <w:color w:val="231F20"/>
          <w:spacing w:val="-7"/>
        </w:rPr>
        <w:t> </w:t>
      </w:r>
      <w:r>
        <w:rPr>
          <w:color w:val="231F20"/>
        </w:rPr>
        <w:t>en</w:t>
      </w:r>
      <w:r>
        <w:rPr>
          <w:color w:val="231F20"/>
          <w:spacing w:val="-7"/>
        </w:rPr>
        <w:t> </w:t>
      </w:r>
      <w:r>
        <w:rPr>
          <w:color w:val="231F20"/>
        </w:rPr>
        <w:t>su</w:t>
      </w:r>
      <w:r>
        <w:rPr>
          <w:color w:val="231F20"/>
          <w:spacing w:val="-6"/>
        </w:rPr>
        <w:t> </w:t>
      </w:r>
      <w:r>
        <w:rPr>
          <w:color w:val="231F20"/>
        </w:rPr>
        <w:t>vida</w:t>
      </w:r>
      <w:r>
        <w:rPr>
          <w:color w:val="231F20"/>
          <w:spacing w:val="-7"/>
        </w:rPr>
        <w:t> </w:t>
      </w:r>
      <w:r>
        <w:rPr>
          <w:color w:val="231F20"/>
        </w:rPr>
        <w:t>dándoles</w:t>
      </w:r>
      <w:r>
        <w:rPr>
          <w:color w:val="231F20"/>
          <w:spacing w:val="-7"/>
        </w:rPr>
        <w:t> </w:t>
      </w:r>
      <w:r>
        <w:rPr>
          <w:color w:val="231F20"/>
        </w:rPr>
        <w:t>platicas</w:t>
      </w:r>
      <w:r>
        <w:rPr>
          <w:color w:val="231F20"/>
          <w:spacing w:val="-7"/>
        </w:rPr>
        <w:t> </w:t>
      </w:r>
      <w:r>
        <w:rPr>
          <w:color w:val="231F20"/>
        </w:rPr>
        <w:t>de</w:t>
      </w:r>
      <w:r>
        <w:rPr>
          <w:color w:val="231F20"/>
          <w:spacing w:val="-6"/>
        </w:rPr>
        <w:t> </w:t>
      </w:r>
      <w:r>
        <w:rPr>
          <w:color w:val="231F20"/>
        </w:rPr>
        <w:t>supe- ración</w:t>
      </w:r>
      <w:r>
        <w:rPr>
          <w:color w:val="231F20"/>
          <w:spacing w:val="-8"/>
        </w:rPr>
        <w:t> </w:t>
      </w:r>
      <w:r>
        <w:rPr>
          <w:color w:val="231F20"/>
        </w:rPr>
        <w:t>o</w:t>
      </w:r>
      <w:r>
        <w:rPr>
          <w:color w:val="231F20"/>
          <w:spacing w:val="-8"/>
        </w:rPr>
        <w:t> </w:t>
      </w:r>
      <w:r>
        <w:rPr>
          <w:color w:val="231F20"/>
        </w:rPr>
        <w:t>de</w:t>
      </w:r>
      <w:r>
        <w:rPr>
          <w:color w:val="231F20"/>
          <w:spacing w:val="-8"/>
        </w:rPr>
        <w:t> </w:t>
      </w:r>
      <w:r>
        <w:rPr>
          <w:color w:val="231F20"/>
        </w:rPr>
        <w:t>no</w:t>
      </w:r>
      <w:r>
        <w:rPr>
          <w:color w:val="231F20"/>
          <w:spacing w:val="-8"/>
        </w:rPr>
        <w:t> </w:t>
      </w:r>
      <w:r>
        <w:rPr>
          <w:color w:val="231F20"/>
        </w:rPr>
        <w:t>violencia</w:t>
      </w:r>
      <w:r>
        <w:rPr>
          <w:color w:val="231F20"/>
          <w:spacing w:val="-8"/>
        </w:rPr>
        <w:t> </w:t>
      </w:r>
      <w:r>
        <w:rPr>
          <w:color w:val="231F20"/>
        </w:rPr>
        <w:t>familiar,</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hay</w:t>
      </w:r>
      <w:r>
        <w:rPr>
          <w:color w:val="231F20"/>
          <w:spacing w:val="-8"/>
        </w:rPr>
        <w:t> </w:t>
      </w:r>
      <w:r>
        <w:rPr>
          <w:color w:val="231F20"/>
        </w:rPr>
        <w:t>mujeres</w:t>
      </w:r>
      <w:r>
        <w:rPr>
          <w:color w:val="231F20"/>
          <w:spacing w:val="-8"/>
        </w:rPr>
        <w:t> </w:t>
      </w:r>
      <w:r>
        <w:rPr>
          <w:color w:val="231F20"/>
        </w:rPr>
        <w:t>que</w:t>
      </w:r>
      <w:r>
        <w:rPr>
          <w:color w:val="231F20"/>
          <w:spacing w:val="-8"/>
        </w:rPr>
        <w:t> </w:t>
      </w:r>
      <w:r>
        <w:rPr>
          <w:color w:val="231F20"/>
        </w:rPr>
        <w:t>han</w:t>
      </w:r>
      <w:r>
        <w:rPr>
          <w:color w:val="231F20"/>
          <w:spacing w:val="-8"/>
        </w:rPr>
        <w:t> </w:t>
      </w:r>
      <w:r>
        <w:rPr>
          <w:color w:val="231F20"/>
        </w:rPr>
        <w:t>dejado</w:t>
      </w:r>
      <w:r>
        <w:rPr>
          <w:color w:val="231F20"/>
          <w:spacing w:val="-8"/>
        </w:rPr>
        <w:t> </w:t>
      </w:r>
      <w:r>
        <w:rPr>
          <w:color w:val="231F20"/>
        </w:rPr>
        <w:t>a</w:t>
      </w:r>
      <w:r>
        <w:rPr>
          <w:color w:val="231F20"/>
          <w:spacing w:val="-8"/>
        </w:rPr>
        <w:t> </w:t>
      </w:r>
      <w:r>
        <w:rPr>
          <w:color w:val="231F20"/>
        </w:rPr>
        <w:t>su marido.</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de</w:t>
      </w:r>
      <w:r>
        <w:rPr>
          <w:color w:val="231F20"/>
          <w:spacing w:val="-11"/>
        </w:rPr>
        <w:t> </w:t>
      </w:r>
      <w:r>
        <w:rPr>
          <w:color w:val="231F20"/>
        </w:rPr>
        <w:t>mayores</w:t>
      </w:r>
      <w:r>
        <w:rPr>
          <w:color w:val="231F20"/>
          <w:spacing w:val="-11"/>
        </w:rPr>
        <w:t> </w:t>
      </w:r>
      <w:r>
        <w:rPr>
          <w:color w:val="231F20"/>
        </w:rPr>
        <w:t>edad,</w:t>
      </w:r>
      <w:r>
        <w:rPr>
          <w:color w:val="231F20"/>
          <w:spacing w:val="-11"/>
        </w:rPr>
        <w:t> </w:t>
      </w:r>
      <w:r>
        <w:rPr>
          <w:color w:val="231F20"/>
        </w:rPr>
        <w:t>de</w:t>
      </w:r>
      <w:r>
        <w:rPr>
          <w:color w:val="231F20"/>
          <w:spacing w:val="-11"/>
        </w:rPr>
        <w:t> </w:t>
      </w:r>
      <w:r>
        <w:rPr>
          <w:color w:val="231F20"/>
        </w:rPr>
        <w:t>60</w:t>
      </w:r>
      <w:r>
        <w:rPr>
          <w:color w:val="231F20"/>
          <w:spacing w:val="-11"/>
        </w:rPr>
        <w:t> </w:t>
      </w:r>
      <w:r>
        <w:rPr>
          <w:color w:val="231F20"/>
        </w:rPr>
        <w:t>y</w:t>
      </w:r>
      <w:r>
        <w:rPr>
          <w:color w:val="231F20"/>
          <w:spacing w:val="-11"/>
        </w:rPr>
        <w:t> </w:t>
      </w:r>
      <w:r>
        <w:rPr>
          <w:color w:val="231F20"/>
        </w:rPr>
        <w:t>más,</w:t>
      </w:r>
      <w:r>
        <w:rPr>
          <w:color w:val="231F20"/>
          <w:spacing w:val="-11"/>
        </w:rPr>
        <w:t> </w:t>
      </w:r>
      <w:r>
        <w:rPr>
          <w:color w:val="231F20"/>
        </w:rPr>
        <w:t>les</w:t>
      </w:r>
      <w:r>
        <w:rPr>
          <w:color w:val="231F20"/>
          <w:spacing w:val="-11"/>
        </w:rPr>
        <w:t> </w:t>
      </w:r>
      <w:r>
        <w:rPr>
          <w:color w:val="231F20"/>
        </w:rPr>
        <w:t>dicen</w:t>
      </w:r>
      <w:r>
        <w:rPr>
          <w:color w:val="231F20"/>
          <w:spacing w:val="-11"/>
        </w:rPr>
        <w:t> </w:t>
      </w:r>
      <w:r>
        <w:rPr>
          <w:color w:val="231F20"/>
        </w:rPr>
        <w:t>a</w:t>
      </w:r>
      <w:r>
        <w:rPr>
          <w:color w:val="231F20"/>
          <w:spacing w:val="-11"/>
        </w:rPr>
        <w:t> </w:t>
      </w:r>
      <w:r>
        <w:rPr>
          <w:color w:val="231F20"/>
        </w:rPr>
        <w:t>sus</w:t>
      </w:r>
      <w:r>
        <w:rPr>
          <w:color w:val="231F20"/>
          <w:spacing w:val="-11"/>
        </w:rPr>
        <w:t> </w:t>
      </w:r>
      <w:r>
        <w:rPr>
          <w:color w:val="231F20"/>
        </w:rPr>
        <w:t>nueras e</w:t>
      </w:r>
      <w:r>
        <w:rPr>
          <w:color w:val="231F20"/>
          <w:spacing w:val="-7"/>
        </w:rPr>
        <w:t> </w:t>
      </w:r>
      <w:r>
        <w:rPr>
          <w:color w:val="231F20"/>
        </w:rPr>
        <w:t>hijas</w:t>
      </w:r>
      <w:r>
        <w:rPr>
          <w:color w:val="231F20"/>
          <w:spacing w:val="-6"/>
        </w:rPr>
        <w:t> </w:t>
      </w:r>
      <w:r>
        <w:rPr>
          <w:color w:val="231F20"/>
        </w:rPr>
        <w:t>que</w:t>
      </w:r>
      <w:r>
        <w:rPr>
          <w:color w:val="231F20"/>
          <w:spacing w:val="-7"/>
        </w:rPr>
        <w:t> </w:t>
      </w:r>
      <w:r>
        <w:rPr>
          <w:color w:val="231F20"/>
        </w:rPr>
        <w:t>la</w:t>
      </w:r>
      <w:r>
        <w:rPr>
          <w:color w:val="231F20"/>
          <w:spacing w:val="-7"/>
        </w:rPr>
        <w:t> </w:t>
      </w:r>
      <w:r>
        <w:rPr>
          <w:color w:val="231F20"/>
        </w:rPr>
        <w:t>mujer</w:t>
      </w:r>
      <w:r>
        <w:rPr>
          <w:color w:val="231F20"/>
          <w:spacing w:val="-7"/>
        </w:rPr>
        <w:t> </w:t>
      </w:r>
      <w:r>
        <w:rPr>
          <w:color w:val="231F20"/>
        </w:rPr>
        <w:t>está</w:t>
      </w:r>
      <w:r>
        <w:rPr>
          <w:color w:val="231F20"/>
          <w:spacing w:val="-7"/>
        </w:rPr>
        <w:t> </w:t>
      </w:r>
      <w:r>
        <w:rPr>
          <w:color w:val="231F20"/>
        </w:rPr>
        <w:t>para</w:t>
      </w:r>
      <w:r>
        <w:rPr>
          <w:color w:val="231F20"/>
          <w:spacing w:val="-7"/>
        </w:rPr>
        <w:t> </w:t>
      </w:r>
      <w:r>
        <w:rPr>
          <w:color w:val="231F20"/>
        </w:rPr>
        <w:t>soportar</w:t>
      </w:r>
      <w:r>
        <w:rPr>
          <w:color w:val="231F20"/>
          <w:spacing w:val="-6"/>
        </w:rPr>
        <w:t> </w:t>
      </w:r>
      <w:r>
        <w:rPr>
          <w:color w:val="231F20"/>
        </w:rPr>
        <w:t>sin</w:t>
      </w:r>
      <w:r>
        <w:rPr>
          <w:color w:val="231F20"/>
          <w:spacing w:val="-6"/>
        </w:rPr>
        <w:t> </w:t>
      </w:r>
      <w:r>
        <w:rPr>
          <w:color w:val="231F20"/>
        </w:rPr>
        <w:t>límite</w:t>
      </w:r>
      <w:r>
        <w:rPr>
          <w:color w:val="231F20"/>
          <w:spacing w:val="-7"/>
        </w:rPr>
        <w:t> </w:t>
      </w:r>
      <w:r>
        <w:rPr>
          <w:color w:val="231F20"/>
        </w:rPr>
        <w:t>al</w:t>
      </w:r>
      <w:r>
        <w:rPr>
          <w:color w:val="231F20"/>
          <w:spacing w:val="-7"/>
        </w:rPr>
        <w:t> </w:t>
      </w:r>
      <w:r>
        <w:rPr>
          <w:color w:val="231F20"/>
        </w:rPr>
        <w:t>hombre</w:t>
      </w:r>
      <w:r>
        <w:rPr>
          <w:color w:val="231F20"/>
          <w:spacing w:val="-7"/>
        </w:rPr>
        <w:t> </w:t>
      </w:r>
      <w:r>
        <w:rPr>
          <w:color w:val="231F20"/>
        </w:rPr>
        <w:t>y</w:t>
      </w:r>
      <w:r>
        <w:rPr>
          <w:color w:val="231F20"/>
          <w:spacing w:val="-6"/>
        </w:rPr>
        <w:t> </w:t>
      </w:r>
      <w:r>
        <w:rPr>
          <w:color w:val="231F20"/>
        </w:rPr>
        <w:t>aguantar</w:t>
      </w:r>
      <w:r>
        <w:rPr>
          <w:color w:val="231F20"/>
          <w:spacing w:val="-7"/>
        </w:rPr>
        <w:t> </w:t>
      </w:r>
      <w:r>
        <w:rPr>
          <w:color w:val="231F20"/>
        </w:rPr>
        <w:t>sin límite, “para eso se casa</w:t>
      </w:r>
      <w:r>
        <w:rPr>
          <w:color w:val="231F20"/>
          <w:spacing w:val="-5"/>
        </w:rPr>
        <w:t> </w:t>
      </w:r>
      <w:r>
        <w:rPr>
          <w:color w:val="231F20"/>
        </w:rPr>
        <w:t>uno”.</w:t>
      </w:r>
    </w:p>
    <w:p>
      <w:pPr>
        <w:pStyle w:val="BodyText"/>
        <w:spacing w:before="6"/>
        <w:rPr>
          <w:sz w:val="23"/>
        </w:rPr>
      </w:pPr>
      <w:r>
        <w:rPr/>
        <w:pict>
          <v:line style="position:absolute;mso-position-horizontal-relative:page;mso-position-vertical-relative:paragraph;z-index:8032;mso-wrap-distance-left:0;mso-wrap-distance-right:0" from="42.519699pt,16.003542pt" to="330.519699pt,16.003542pt" stroked="true" strokeweight="1pt" strokecolor="#231f20">
            <w10:wrap type="topAndBottom"/>
          </v:line>
        </w:pict>
      </w:r>
    </w:p>
    <w:p>
      <w:pPr>
        <w:spacing w:line="151" w:lineRule="exact" w:before="0"/>
        <w:ind w:left="110" w:right="0" w:firstLine="0"/>
        <w:jc w:val="both"/>
        <w:rPr>
          <w:sz w:val="14"/>
        </w:rPr>
      </w:pPr>
      <w:r>
        <w:rPr>
          <w:color w:val="231F20"/>
          <w:sz w:val="14"/>
        </w:rPr>
        <w:t>delegadas, y que ahora el pueblo está molesto, porque dicen que el trabajo de las delegadas fue mal,  la</w:t>
      </w:r>
    </w:p>
    <w:p>
      <w:pPr>
        <w:spacing w:line="160" w:lineRule="exact" w:before="0"/>
        <w:ind w:left="110" w:right="0" w:firstLine="0"/>
        <w:jc w:val="both"/>
        <w:rPr>
          <w:sz w:val="14"/>
        </w:rPr>
      </w:pPr>
      <w:r>
        <w:rPr>
          <w:color w:val="231F20"/>
          <w:sz w:val="14"/>
        </w:rPr>
        <w:t>percepción del pueblo es que las mujeres no saben hacer bien las cosas.</w:t>
      </w:r>
    </w:p>
    <w:p>
      <w:pPr>
        <w:spacing w:before="0"/>
        <w:ind w:left="110" w:right="111" w:firstLine="0"/>
        <w:jc w:val="both"/>
        <w:rPr>
          <w:sz w:val="14"/>
        </w:rPr>
      </w:pPr>
      <w:r>
        <w:rPr>
          <w:color w:val="231F20"/>
          <w:position w:val="5"/>
          <w:sz w:val="8"/>
        </w:rPr>
        <w:t>6 </w:t>
      </w:r>
      <w:r>
        <w:rPr>
          <w:color w:val="231F20"/>
          <w:sz w:val="14"/>
        </w:rPr>
        <w:t>En esta otra cita se hace referencia a una reacción negativa por parte de los varones ante el trabajo de las</w:t>
      </w:r>
      <w:r>
        <w:rPr>
          <w:color w:val="231F20"/>
          <w:spacing w:val="-8"/>
          <w:sz w:val="14"/>
        </w:rPr>
        <w:t> </w:t>
      </w:r>
      <w:r>
        <w:rPr>
          <w:color w:val="231F20"/>
          <w:sz w:val="14"/>
        </w:rPr>
        <w:t>mujeres</w:t>
      </w:r>
      <w:r>
        <w:rPr>
          <w:color w:val="231F20"/>
          <w:spacing w:val="-9"/>
          <w:sz w:val="14"/>
        </w:rPr>
        <w:t> </w:t>
      </w:r>
      <w:r>
        <w:rPr>
          <w:color w:val="231F20"/>
          <w:sz w:val="14"/>
        </w:rPr>
        <w:t>como</w:t>
      </w:r>
      <w:r>
        <w:rPr>
          <w:color w:val="231F20"/>
          <w:spacing w:val="-9"/>
          <w:sz w:val="14"/>
        </w:rPr>
        <w:t> </w:t>
      </w:r>
      <w:r>
        <w:rPr>
          <w:color w:val="231F20"/>
          <w:sz w:val="14"/>
        </w:rPr>
        <w:t>delegadas,</w:t>
      </w:r>
      <w:r>
        <w:rPr>
          <w:color w:val="231F20"/>
          <w:spacing w:val="-8"/>
          <w:sz w:val="14"/>
        </w:rPr>
        <w:t> </w:t>
      </w:r>
      <w:r>
        <w:rPr>
          <w:color w:val="231F20"/>
          <w:sz w:val="14"/>
        </w:rPr>
        <w:t>en</w:t>
      </w:r>
      <w:r>
        <w:rPr>
          <w:color w:val="231F20"/>
          <w:spacing w:val="-8"/>
          <w:sz w:val="14"/>
        </w:rPr>
        <w:t> </w:t>
      </w:r>
      <w:r>
        <w:rPr>
          <w:color w:val="231F20"/>
          <w:sz w:val="14"/>
        </w:rPr>
        <w:t>donde</w:t>
      </w:r>
      <w:r>
        <w:rPr>
          <w:color w:val="231F20"/>
          <w:spacing w:val="-8"/>
          <w:sz w:val="14"/>
        </w:rPr>
        <w:t> </w:t>
      </w:r>
      <w:r>
        <w:rPr>
          <w:color w:val="231F20"/>
          <w:sz w:val="14"/>
        </w:rPr>
        <w:t>argumentaron</w:t>
      </w:r>
      <w:r>
        <w:rPr>
          <w:color w:val="231F20"/>
          <w:spacing w:val="-8"/>
          <w:sz w:val="14"/>
        </w:rPr>
        <w:t> </w:t>
      </w:r>
      <w:r>
        <w:rPr>
          <w:color w:val="231F20"/>
          <w:sz w:val="14"/>
        </w:rPr>
        <w:t>que</w:t>
      </w:r>
      <w:r>
        <w:rPr>
          <w:color w:val="231F20"/>
          <w:spacing w:val="-8"/>
          <w:sz w:val="14"/>
        </w:rPr>
        <w:t> </w:t>
      </w:r>
      <w:r>
        <w:rPr>
          <w:color w:val="231F20"/>
          <w:sz w:val="14"/>
        </w:rPr>
        <w:t>si</w:t>
      </w:r>
      <w:r>
        <w:rPr>
          <w:color w:val="231F20"/>
          <w:spacing w:val="-8"/>
          <w:sz w:val="14"/>
        </w:rPr>
        <w:t> </w:t>
      </w:r>
      <w:r>
        <w:rPr>
          <w:color w:val="231F20"/>
          <w:sz w:val="14"/>
        </w:rPr>
        <w:t>quedaban</w:t>
      </w:r>
      <w:r>
        <w:rPr>
          <w:color w:val="231F20"/>
          <w:spacing w:val="-8"/>
          <w:sz w:val="14"/>
        </w:rPr>
        <w:t> </w:t>
      </w:r>
      <w:r>
        <w:rPr>
          <w:color w:val="231F20"/>
          <w:sz w:val="14"/>
        </w:rPr>
        <w:t>mujeres</w:t>
      </w:r>
      <w:r>
        <w:rPr>
          <w:color w:val="231F20"/>
          <w:spacing w:val="-9"/>
          <w:sz w:val="14"/>
        </w:rPr>
        <w:t> </w:t>
      </w:r>
      <w:r>
        <w:rPr>
          <w:color w:val="231F20"/>
          <w:sz w:val="14"/>
        </w:rPr>
        <w:t>como</w:t>
      </w:r>
      <w:r>
        <w:rPr>
          <w:color w:val="231F20"/>
          <w:spacing w:val="-9"/>
          <w:sz w:val="14"/>
        </w:rPr>
        <w:t> </w:t>
      </w:r>
      <w:r>
        <w:rPr>
          <w:color w:val="231F20"/>
          <w:sz w:val="14"/>
        </w:rPr>
        <w:t>delegadas</w:t>
      </w:r>
      <w:r>
        <w:rPr>
          <w:color w:val="231F20"/>
          <w:spacing w:val="-8"/>
          <w:sz w:val="14"/>
        </w:rPr>
        <w:t> </w:t>
      </w:r>
      <w:r>
        <w:rPr>
          <w:color w:val="231F20"/>
          <w:sz w:val="14"/>
        </w:rPr>
        <w:t>“de</w:t>
      </w:r>
      <w:r>
        <w:rPr>
          <w:color w:val="231F20"/>
          <w:spacing w:val="-9"/>
          <w:sz w:val="14"/>
        </w:rPr>
        <w:t> </w:t>
      </w:r>
      <w:r>
        <w:rPr>
          <w:color w:val="231F20"/>
          <w:sz w:val="14"/>
        </w:rPr>
        <w:t>plano ellos no trabajarían con viejas, porque es muy difícil, hasta pleito se hizo, porque las mujeres, sacaron de la delegación a los varones que las insultaron, y nos mandan a nuestra casa disque hacer nuestro quehacer” (entrevista 2).</w:t>
      </w:r>
    </w:p>
    <w:p>
      <w:pPr>
        <w:spacing w:after="0"/>
        <w:jc w:val="both"/>
        <w:rPr>
          <w:sz w:val="14"/>
        </w:rPr>
        <w:sectPr>
          <w:pgSz w:w="7770" w:h="11740"/>
          <w:pgMar w:header="0" w:footer="474" w:top="840" w:bottom="740" w:left="740" w:right="1020"/>
        </w:sectPr>
      </w:pPr>
    </w:p>
    <w:p>
      <w:pPr>
        <w:pStyle w:val="BodyText"/>
        <w:spacing w:line="249" w:lineRule="auto" w:before="60"/>
        <w:ind w:left="397" w:right="108"/>
        <w:jc w:val="both"/>
      </w:pPr>
      <w:r>
        <w:rPr>
          <w:color w:val="231F20"/>
          <w:spacing w:val="-6"/>
        </w:rPr>
        <w:t>Vea, </w:t>
      </w:r>
      <w:r>
        <w:rPr>
          <w:color w:val="231F20"/>
        </w:rPr>
        <w:t>algunas mujeres dejaron a sus esposos y se fueron a trabajar a México, hasta vienen arregladas, bueno también porque tenían mala vida. Pero eso está mal saben a lo que van, y se tienen que aguantar. </w:t>
      </w:r>
      <w:r>
        <w:rPr>
          <w:color w:val="231F20"/>
          <w:spacing w:val="-4"/>
        </w:rPr>
        <w:t>Que </w:t>
      </w:r>
      <w:r>
        <w:rPr>
          <w:color w:val="231F20"/>
          <w:spacing w:val="-3"/>
        </w:rPr>
        <w:t>es </w:t>
      </w:r>
      <w:r>
        <w:rPr>
          <w:color w:val="231F20"/>
          <w:spacing w:val="-4"/>
        </w:rPr>
        <w:t>eso que los dejan </w:t>
      </w:r>
      <w:r>
        <w:rPr>
          <w:color w:val="231F20"/>
        </w:rPr>
        <w:t>y </w:t>
      </w:r>
      <w:r>
        <w:rPr>
          <w:color w:val="231F20"/>
          <w:spacing w:val="-5"/>
        </w:rPr>
        <w:t>piensan </w:t>
      </w:r>
      <w:r>
        <w:rPr>
          <w:color w:val="231F20"/>
          <w:spacing w:val="-4"/>
        </w:rPr>
        <w:t>que </w:t>
      </w:r>
      <w:r>
        <w:rPr>
          <w:color w:val="231F20"/>
          <w:spacing w:val="-5"/>
        </w:rPr>
        <w:t>solas </w:t>
      </w:r>
      <w:r>
        <w:rPr>
          <w:color w:val="231F20"/>
          <w:spacing w:val="-3"/>
        </w:rPr>
        <w:t>la </w:t>
      </w:r>
      <w:r>
        <w:rPr>
          <w:color w:val="231F20"/>
          <w:spacing w:val="-4"/>
        </w:rPr>
        <w:t>van hacer </w:t>
      </w:r>
      <w:r>
        <w:rPr>
          <w:color w:val="231F20"/>
          <w:spacing w:val="-5"/>
        </w:rPr>
        <w:t>(entrevista 4).</w:t>
      </w:r>
    </w:p>
    <w:p>
      <w:pPr>
        <w:pStyle w:val="BodyText"/>
        <w:spacing w:line="249" w:lineRule="auto" w:before="114"/>
        <w:ind w:left="113" w:right="108" w:firstLine="283"/>
        <w:jc w:val="both"/>
      </w:pPr>
      <w:r>
        <w:rPr>
          <w:color w:val="231F20"/>
        </w:rPr>
        <w:t>Pero no todas las mujeres creen que los programas sociales generen cambios en sus vidas; las mujeres piensan que el gobierno les tiene que ayudar con dinero “porque es su obligación” y “porque los gobiernos ganan mucho y roban el dinero de los ciudadanos”. También las benefi- ciarias</w:t>
      </w:r>
      <w:r>
        <w:rPr>
          <w:color w:val="231F20"/>
          <w:spacing w:val="-10"/>
        </w:rPr>
        <w:t> </w:t>
      </w:r>
      <w:r>
        <w:rPr>
          <w:color w:val="231F20"/>
        </w:rPr>
        <w:t>se</w:t>
      </w:r>
      <w:r>
        <w:rPr>
          <w:color w:val="231F20"/>
          <w:spacing w:val="-9"/>
        </w:rPr>
        <w:t> </w:t>
      </w:r>
      <w:r>
        <w:rPr>
          <w:color w:val="231F20"/>
        </w:rPr>
        <w:t>molestan</w:t>
      </w:r>
      <w:r>
        <w:rPr>
          <w:color w:val="231F20"/>
          <w:spacing w:val="-10"/>
        </w:rPr>
        <w:t> </w:t>
      </w:r>
      <w:r>
        <w:rPr>
          <w:color w:val="231F20"/>
        </w:rPr>
        <w:t>porque</w:t>
      </w:r>
      <w:r>
        <w:rPr>
          <w:color w:val="231F20"/>
          <w:spacing w:val="-9"/>
        </w:rPr>
        <w:t> </w:t>
      </w:r>
      <w:r>
        <w:rPr>
          <w:color w:val="231F20"/>
        </w:rPr>
        <w:t>dicen</w:t>
      </w:r>
      <w:r>
        <w:rPr>
          <w:color w:val="231F20"/>
          <w:spacing w:val="-9"/>
        </w:rPr>
        <w:t> </w:t>
      </w:r>
      <w:r>
        <w:rPr>
          <w:color w:val="231F20"/>
        </w:rPr>
        <w:t>que</w:t>
      </w:r>
      <w:r>
        <w:rPr>
          <w:color w:val="231F20"/>
          <w:spacing w:val="-9"/>
        </w:rPr>
        <w:t> </w:t>
      </w:r>
      <w:r>
        <w:rPr>
          <w:color w:val="231F20"/>
        </w:rPr>
        <w:t>cuando</w:t>
      </w:r>
      <w:r>
        <w:rPr>
          <w:color w:val="231F20"/>
          <w:spacing w:val="-10"/>
        </w:rPr>
        <w:t> </w:t>
      </w:r>
      <w:r>
        <w:rPr>
          <w:color w:val="231F20"/>
        </w:rPr>
        <w:t>les</w:t>
      </w:r>
      <w:r>
        <w:rPr>
          <w:color w:val="231F20"/>
          <w:spacing w:val="-10"/>
        </w:rPr>
        <w:t> </w:t>
      </w:r>
      <w:r>
        <w:rPr>
          <w:color w:val="231F20"/>
        </w:rPr>
        <w:t>dan</w:t>
      </w:r>
      <w:r>
        <w:rPr>
          <w:color w:val="231F20"/>
          <w:spacing w:val="-9"/>
        </w:rPr>
        <w:t> </w:t>
      </w:r>
      <w:r>
        <w:rPr>
          <w:color w:val="231F20"/>
        </w:rPr>
        <w:t>su</w:t>
      </w:r>
      <w:r>
        <w:rPr>
          <w:color w:val="231F20"/>
          <w:spacing w:val="-9"/>
        </w:rPr>
        <w:t> </w:t>
      </w:r>
      <w:r>
        <w:rPr>
          <w:color w:val="231F20"/>
        </w:rPr>
        <w:t>apoyo</w:t>
      </w:r>
      <w:r>
        <w:rPr>
          <w:color w:val="231F20"/>
          <w:spacing w:val="-10"/>
        </w:rPr>
        <w:t> </w:t>
      </w:r>
      <w:r>
        <w:rPr>
          <w:color w:val="231F20"/>
        </w:rPr>
        <w:t>económico los promotores del programa les dicen que “le agradezcan al gobierno que les da su</w:t>
      </w:r>
      <w:r>
        <w:rPr>
          <w:color w:val="231F20"/>
          <w:spacing w:val="-2"/>
        </w:rPr>
        <w:t> </w:t>
      </w:r>
      <w:r>
        <w:rPr>
          <w:color w:val="231F20"/>
        </w:rPr>
        <w:t>ayuda”.</w:t>
      </w:r>
    </w:p>
    <w:p>
      <w:pPr>
        <w:pStyle w:val="BodyText"/>
        <w:spacing w:line="249" w:lineRule="auto" w:before="114"/>
        <w:ind w:left="397" w:right="108"/>
        <w:jc w:val="both"/>
      </w:pPr>
      <w:r>
        <w:rPr>
          <w:color w:val="231F20"/>
        </w:rPr>
        <w:t>Yo me ayudo en el momento, pa´que te digo que cambié; sí, ve a ver cómo vivo; pu´s en el pueblo no puedo decir que cambio, porque yo lo veo igual, y ve, que en las juntas a cada rato nos dicen que agra- dezcamos que el gobierno nos da él apoyó. Como yo les digo es su obligación, para tanto que roban, luego me regaña mi hija y dice que me calle la boca, pero es la verdad (entrevista 7).</w:t>
      </w:r>
    </w:p>
    <w:p>
      <w:pPr>
        <w:pStyle w:val="BodyText"/>
        <w:spacing w:line="249" w:lineRule="auto" w:before="114"/>
        <w:ind w:left="113" w:right="108" w:firstLine="283"/>
        <w:jc w:val="both"/>
      </w:pPr>
      <w:r>
        <w:rPr>
          <w:color w:val="231F20"/>
        </w:rPr>
        <w:t>Las</w:t>
      </w:r>
      <w:r>
        <w:rPr>
          <w:color w:val="231F20"/>
          <w:spacing w:val="-5"/>
        </w:rPr>
        <w:t> </w:t>
      </w:r>
      <w:r>
        <w:rPr>
          <w:color w:val="231F20"/>
        </w:rPr>
        <w:t>mujeres</w:t>
      </w:r>
      <w:r>
        <w:rPr>
          <w:color w:val="231F20"/>
          <w:spacing w:val="-5"/>
        </w:rPr>
        <w:t> </w:t>
      </w:r>
      <w:r>
        <w:rPr>
          <w:color w:val="231F20"/>
        </w:rPr>
        <w:t>comentan</w:t>
      </w:r>
      <w:r>
        <w:rPr>
          <w:color w:val="231F20"/>
          <w:spacing w:val="-5"/>
        </w:rPr>
        <w:t> </w:t>
      </w:r>
      <w:r>
        <w:rPr>
          <w:color w:val="231F20"/>
        </w:rPr>
        <w:t>que</w:t>
      </w:r>
      <w:r>
        <w:rPr>
          <w:color w:val="231F20"/>
          <w:spacing w:val="-5"/>
        </w:rPr>
        <w:t> </w:t>
      </w:r>
      <w:r>
        <w:rPr>
          <w:color w:val="231F20"/>
        </w:rPr>
        <w:t>aunque</w:t>
      </w:r>
      <w:r>
        <w:rPr>
          <w:color w:val="231F20"/>
          <w:spacing w:val="-5"/>
        </w:rPr>
        <w:t> </w:t>
      </w:r>
      <w:r>
        <w:rPr>
          <w:color w:val="231F20"/>
        </w:rPr>
        <w:t>ellas</w:t>
      </w:r>
      <w:r>
        <w:rPr>
          <w:color w:val="231F20"/>
          <w:spacing w:val="-5"/>
        </w:rPr>
        <w:t> </w:t>
      </w:r>
      <w:r>
        <w:rPr>
          <w:color w:val="231F20"/>
        </w:rPr>
        <w:t>quisieran</w:t>
      </w:r>
      <w:r>
        <w:rPr>
          <w:color w:val="231F20"/>
          <w:spacing w:val="-5"/>
        </w:rPr>
        <w:t> </w:t>
      </w:r>
      <w:r>
        <w:rPr>
          <w:color w:val="231F20"/>
        </w:rPr>
        <w:t>colocar</w:t>
      </w:r>
      <w:r>
        <w:rPr>
          <w:color w:val="231F20"/>
          <w:spacing w:val="-5"/>
        </w:rPr>
        <w:t> </w:t>
      </w:r>
      <w:r>
        <w:rPr>
          <w:color w:val="231F20"/>
        </w:rPr>
        <w:t>un</w:t>
      </w:r>
      <w:r>
        <w:rPr>
          <w:color w:val="231F20"/>
          <w:spacing w:val="-5"/>
        </w:rPr>
        <w:t> </w:t>
      </w:r>
      <w:r>
        <w:rPr>
          <w:color w:val="231F20"/>
        </w:rPr>
        <w:t>negocio y trabajar como independientes, no les alcanzaría porque es muy poco</w:t>
      </w:r>
      <w:r>
        <w:rPr>
          <w:color w:val="231F20"/>
          <w:spacing w:val="-23"/>
        </w:rPr>
        <w:t> </w:t>
      </w:r>
      <w:r>
        <w:rPr>
          <w:color w:val="231F20"/>
        </w:rPr>
        <w:t>el apoyo económico, 650 pesos no sirven para</w:t>
      </w:r>
      <w:r>
        <w:rPr>
          <w:color w:val="231F20"/>
          <w:spacing w:val="-8"/>
        </w:rPr>
        <w:t> </w:t>
      </w:r>
      <w:r>
        <w:rPr>
          <w:color w:val="231F20"/>
        </w:rPr>
        <w:t>mucho.</w:t>
      </w:r>
    </w:p>
    <w:p>
      <w:pPr>
        <w:pStyle w:val="BodyText"/>
        <w:spacing w:line="249" w:lineRule="auto" w:before="114"/>
        <w:ind w:left="397" w:right="108"/>
        <w:jc w:val="both"/>
      </w:pPr>
      <w:r>
        <w:rPr>
          <w:color w:val="231F20"/>
        </w:rPr>
        <w:t>Sólo me saca de mis apuros en ese momento; creo yo no vi ningún cambio, ya que yo soy ama de casa y no trabajo y con el apoyo que me</w:t>
      </w:r>
      <w:r>
        <w:rPr>
          <w:color w:val="231F20"/>
          <w:spacing w:val="-5"/>
        </w:rPr>
        <w:t> </w:t>
      </w:r>
      <w:r>
        <w:rPr>
          <w:color w:val="231F20"/>
        </w:rPr>
        <w:t>dieron</w:t>
      </w:r>
      <w:r>
        <w:rPr>
          <w:color w:val="231F20"/>
          <w:spacing w:val="-5"/>
        </w:rPr>
        <w:t> </w:t>
      </w:r>
      <w:r>
        <w:rPr>
          <w:color w:val="231F20"/>
        </w:rPr>
        <w:t>no</w:t>
      </w:r>
      <w:r>
        <w:rPr>
          <w:color w:val="231F20"/>
          <w:spacing w:val="-5"/>
        </w:rPr>
        <w:t> </w:t>
      </w:r>
      <w:r>
        <w:rPr>
          <w:color w:val="231F20"/>
        </w:rPr>
        <w:t>me</w:t>
      </w:r>
      <w:r>
        <w:rPr>
          <w:color w:val="231F20"/>
          <w:spacing w:val="-5"/>
        </w:rPr>
        <w:t> </w:t>
      </w:r>
      <w:r>
        <w:rPr>
          <w:color w:val="231F20"/>
        </w:rPr>
        <w:t>alcanzaría,</w:t>
      </w:r>
      <w:r>
        <w:rPr>
          <w:color w:val="231F20"/>
          <w:spacing w:val="-5"/>
        </w:rPr>
        <w:t> </w:t>
      </w:r>
      <w:r>
        <w:rPr>
          <w:color w:val="231F20"/>
        </w:rPr>
        <w:t>ni</w:t>
      </w:r>
      <w:r>
        <w:rPr>
          <w:color w:val="231F20"/>
          <w:spacing w:val="-5"/>
        </w:rPr>
        <w:t> </w:t>
      </w:r>
      <w:r>
        <w:rPr>
          <w:color w:val="231F20"/>
        </w:rPr>
        <w:t>para</w:t>
      </w:r>
      <w:r>
        <w:rPr>
          <w:color w:val="231F20"/>
          <w:spacing w:val="-5"/>
        </w:rPr>
        <w:t> </w:t>
      </w:r>
      <w:r>
        <w:rPr>
          <w:color w:val="231F20"/>
        </w:rPr>
        <w:t>colocar</w:t>
      </w:r>
      <w:r>
        <w:rPr>
          <w:color w:val="231F20"/>
          <w:spacing w:val="-5"/>
        </w:rPr>
        <w:t> </w:t>
      </w:r>
      <w:r>
        <w:rPr>
          <w:color w:val="231F20"/>
        </w:rPr>
        <w:t>un</w:t>
      </w:r>
      <w:r>
        <w:rPr>
          <w:color w:val="231F20"/>
          <w:spacing w:val="-5"/>
        </w:rPr>
        <w:t> </w:t>
      </w:r>
      <w:r>
        <w:rPr>
          <w:color w:val="231F20"/>
        </w:rPr>
        <w:t>negocio,</w:t>
      </w:r>
      <w:r>
        <w:rPr>
          <w:color w:val="231F20"/>
          <w:spacing w:val="-5"/>
        </w:rPr>
        <w:t> </w:t>
      </w:r>
      <w:r>
        <w:rPr>
          <w:color w:val="231F20"/>
        </w:rPr>
        <w:t>como</w:t>
      </w:r>
      <w:r>
        <w:rPr>
          <w:color w:val="231F20"/>
          <w:spacing w:val="-5"/>
        </w:rPr>
        <w:t> </w:t>
      </w:r>
      <w:r>
        <w:rPr>
          <w:color w:val="231F20"/>
        </w:rPr>
        <w:t>decían (entrevista 8).</w:t>
      </w:r>
    </w:p>
    <w:p>
      <w:pPr>
        <w:pStyle w:val="BodyText"/>
        <w:spacing w:before="9"/>
        <w:rPr>
          <w:sz w:val="19"/>
        </w:rPr>
      </w:pPr>
    </w:p>
    <w:p>
      <w:pPr>
        <w:pStyle w:val="BodyText"/>
        <w:spacing w:line="249" w:lineRule="auto"/>
        <w:ind w:left="397" w:right="108"/>
        <w:jc w:val="both"/>
      </w:pPr>
      <w:r>
        <w:rPr>
          <w:color w:val="231F20"/>
        </w:rPr>
        <w:t>En ninguna otra forma me ayudó el dinero, sólo me ayudó para mis gastos</w:t>
      </w:r>
      <w:r>
        <w:rPr>
          <w:color w:val="231F20"/>
          <w:spacing w:val="-8"/>
        </w:rPr>
        <w:t> </w:t>
      </w:r>
      <w:r>
        <w:rPr>
          <w:color w:val="231F20"/>
        </w:rPr>
        <w:t>propios,</w:t>
      </w:r>
      <w:r>
        <w:rPr>
          <w:color w:val="231F20"/>
          <w:spacing w:val="-8"/>
        </w:rPr>
        <w:t> </w:t>
      </w:r>
      <w:r>
        <w:rPr>
          <w:color w:val="231F20"/>
        </w:rPr>
        <w:t>para</w:t>
      </w:r>
      <w:r>
        <w:rPr>
          <w:color w:val="231F20"/>
          <w:spacing w:val="-8"/>
        </w:rPr>
        <w:t> </w:t>
      </w:r>
      <w:r>
        <w:rPr>
          <w:color w:val="231F20"/>
        </w:rPr>
        <w:t>comprar</w:t>
      </w:r>
      <w:r>
        <w:rPr>
          <w:color w:val="231F20"/>
          <w:spacing w:val="-9"/>
        </w:rPr>
        <w:t> </w:t>
      </w:r>
      <w:r>
        <w:rPr>
          <w:color w:val="231F20"/>
        </w:rPr>
        <w:t>los</w:t>
      </w:r>
      <w:r>
        <w:rPr>
          <w:color w:val="231F20"/>
          <w:spacing w:val="-8"/>
        </w:rPr>
        <w:t> </w:t>
      </w:r>
      <w:r>
        <w:rPr>
          <w:color w:val="231F20"/>
        </w:rPr>
        <w:t>zapatos</w:t>
      </w:r>
      <w:r>
        <w:rPr>
          <w:color w:val="231F20"/>
          <w:spacing w:val="-9"/>
        </w:rPr>
        <w:t> </w:t>
      </w:r>
      <w:r>
        <w:rPr>
          <w:color w:val="231F20"/>
        </w:rPr>
        <w:t>pa´mi</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mis</w:t>
      </w:r>
      <w:r>
        <w:rPr>
          <w:color w:val="231F20"/>
          <w:spacing w:val="-8"/>
        </w:rPr>
        <w:t> </w:t>
      </w:r>
      <w:r>
        <w:rPr>
          <w:color w:val="231F20"/>
        </w:rPr>
        <w:t>hijos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los baratos. Y ni me alcanzó (entrevista</w:t>
      </w:r>
      <w:r>
        <w:rPr>
          <w:color w:val="231F20"/>
          <w:spacing w:val="-17"/>
        </w:rPr>
        <w:t> </w:t>
      </w:r>
      <w:r>
        <w:rPr>
          <w:color w:val="231F20"/>
        </w:rPr>
        <w:t>10).</w:t>
      </w:r>
    </w:p>
    <w:p>
      <w:pPr>
        <w:pStyle w:val="BodyText"/>
        <w:spacing w:line="249" w:lineRule="auto" w:before="114"/>
        <w:ind w:left="113" w:right="108" w:firstLine="283"/>
        <w:jc w:val="both"/>
      </w:pPr>
      <w:r>
        <w:rPr>
          <w:color w:val="231F20"/>
        </w:rPr>
        <w:t>Para las beneficiarias este programa no sirve para iniciar micro ne- gocio.</w:t>
      </w:r>
    </w:p>
    <w:p>
      <w:pPr>
        <w:pStyle w:val="BodyText"/>
        <w:spacing w:line="249" w:lineRule="auto" w:before="114"/>
        <w:ind w:left="397" w:right="108"/>
        <w:jc w:val="both"/>
      </w:pPr>
      <w:r>
        <w:rPr>
          <w:color w:val="231F20"/>
        </w:rPr>
        <w:t>Me gustaría que el apoyo durara más tiempo, para hacer emprender algún</w:t>
      </w:r>
      <w:r>
        <w:rPr>
          <w:color w:val="231F20"/>
          <w:spacing w:val="-8"/>
        </w:rPr>
        <w:t> </w:t>
      </w:r>
      <w:r>
        <w:rPr>
          <w:color w:val="231F20"/>
        </w:rPr>
        <w:t>negocio,</w:t>
      </w:r>
      <w:r>
        <w:rPr>
          <w:color w:val="231F20"/>
          <w:spacing w:val="-7"/>
        </w:rPr>
        <w:t> </w:t>
      </w:r>
      <w:r>
        <w:rPr>
          <w:color w:val="231F20"/>
        </w:rPr>
        <w:t>como</w:t>
      </w:r>
      <w:r>
        <w:rPr>
          <w:color w:val="231F20"/>
          <w:spacing w:val="-8"/>
        </w:rPr>
        <w:t> </w:t>
      </w:r>
      <w:r>
        <w:rPr>
          <w:color w:val="231F20"/>
        </w:rPr>
        <w:t>los</w:t>
      </w:r>
      <w:r>
        <w:rPr>
          <w:color w:val="231F20"/>
          <w:spacing w:val="-8"/>
        </w:rPr>
        <w:t> </w:t>
      </w:r>
      <w:r>
        <w:rPr>
          <w:color w:val="231F20"/>
        </w:rPr>
        <w:t>que</w:t>
      </w:r>
      <w:r>
        <w:rPr>
          <w:color w:val="231F20"/>
          <w:spacing w:val="-7"/>
        </w:rPr>
        <w:t> </w:t>
      </w:r>
      <w:r>
        <w:rPr>
          <w:color w:val="231F20"/>
        </w:rPr>
        <w:t>brinda</w:t>
      </w:r>
      <w:r>
        <w:rPr>
          <w:color w:val="231F20"/>
          <w:spacing w:val="-7"/>
        </w:rPr>
        <w:t> </w:t>
      </w:r>
      <w:r>
        <w:rPr>
          <w:color w:val="231F20"/>
        </w:rPr>
        <w:t>la</w:t>
      </w:r>
      <w:r>
        <w:rPr>
          <w:color w:val="231F20"/>
          <w:spacing w:val="-7"/>
        </w:rPr>
        <w:t> </w:t>
      </w:r>
      <w:r>
        <w:rPr>
          <w:color w:val="231F20"/>
        </w:rPr>
        <w:t>Secretaría</w:t>
      </w:r>
      <w:r>
        <w:rPr>
          <w:color w:val="231F20"/>
          <w:spacing w:val="-7"/>
        </w:rPr>
        <w:t> </w:t>
      </w:r>
      <w:r>
        <w:rPr>
          <w:color w:val="231F20"/>
        </w:rPr>
        <w:t>de</w:t>
      </w:r>
      <w:r>
        <w:rPr>
          <w:color w:val="231F20"/>
          <w:spacing w:val="-7"/>
        </w:rPr>
        <w:t> </w:t>
      </w:r>
      <w:r>
        <w:rPr>
          <w:color w:val="231F20"/>
        </w:rPr>
        <w:t>Desarrollo</w:t>
      </w:r>
      <w:r>
        <w:rPr>
          <w:color w:val="231F20"/>
          <w:spacing w:val="-18"/>
        </w:rPr>
        <w:t> </w:t>
      </w:r>
      <w:r>
        <w:rPr>
          <w:color w:val="231F20"/>
        </w:rPr>
        <w:t>Agro- pecuario,</w:t>
      </w:r>
      <w:r>
        <w:rPr>
          <w:color w:val="231F20"/>
          <w:spacing w:val="-10"/>
        </w:rPr>
        <w:t> </w:t>
      </w:r>
      <w:r>
        <w:rPr>
          <w:color w:val="231F20"/>
        </w:rPr>
        <w:t>un</w:t>
      </w:r>
      <w:r>
        <w:rPr>
          <w:color w:val="231F20"/>
          <w:spacing w:val="-10"/>
        </w:rPr>
        <w:t> </w:t>
      </w:r>
      <w:r>
        <w:rPr>
          <w:color w:val="231F20"/>
        </w:rPr>
        <w:t>tractor,</w:t>
      </w:r>
      <w:r>
        <w:rPr>
          <w:color w:val="231F20"/>
          <w:spacing w:val="-10"/>
        </w:rPr>
        <w:t> </w:t>
      </w:r>
      <w:r>
        <w:rPr>
          <w:color w:val="231F20"/>
        </w:rPr>
        <w:t>bomba</w:t>
      </w:r>
      <w:r>
        <w:rPr>
          <w:color w:val="231F20"/>
          <w:spacing w:val="-10"/>
        </w:rPr>
        <w:t> </w:t>
      </w:r>
      <w:r>
        <w:rPr>
          <w:color w:val="231F20"/>
        </w:rPr>
        <w:t>de</w:t>
      </w:r>
      <w:r>
        <w:rPr>
          <w:color w:val="231F20"/>
          <w:spacing w:val="-10"/>
        </w:rPr>
        <w:t> </w:t>
      </w:r>
      <w:r>
        <w:rPr>
          <w:color w:val="231F20"/>
        </w:rPr>
        <w:t>agua,</w:t>
      </w:r>
      <w:r>
        <w:rPr>
          <w:color w:val="231F20"/>
          <w:spacing w:val="-10"/>
        </w:rPr>
        <w:t> </w:t>
      </w:r>
      <w:r>
        <w:rPr>
          <w:color w:val="231F20"/>
        </w:rPr>
        <w:t>o</w:t>
      </w:r>
      <w:r>
        <w:rPr>
          <w:color w:val="231F20"/>
          <w:spacing w:val="-10"/>
        </w:rPr>
        <w:t> </w:t>
      </w:r>
      <w:r>
        <w:rPr>
          <w:color w:val="231F20"/>
        </w:rPr>
        <w:t>un</w:t>
      </w:r>
      <w:r>
        <w:rPr>
          <w:color w:val="231F20"/>
          <w:spacing w:val="-10"/>
        </w:rPr>
        <w:t> </w:t>
      </w:r>
      <w:r>
        <w:rPr>
          <w:color w:val="231F20"/>
        </w:rPr>
        <w:t>invernadero,</w:t>
      </w:r>
      <w:r>
        <w:rPr>
          <w:color w:val="231F20"/>
          <w:spacing w:val="-11"/>
        </w:rPr>
        <w:t> </w:t>
      </w:r>
      <w:r>
        <w:rPr>
          <w:color w:val="231F20"/>
        </w:rPr>
        <w:t>así</w:t>
      </w:r>
      <w:r>
        <w:rPr>
          <w:color w:val="231F20"/>
          <w:spacing w:val="-10"/>
        </w:rPr>
        <w:t> </w:t>
      </w:r>
      <w:r>
        <w:rPr>
          <w:color w:val="231F20"/>
        </w:rPr>
        <w:t>durara</w:t>
      </w:r>
      <w:r>
        <w:rPr>
          <w:color w:val="231F20"/>
          <w:spacing w:val="-10"/>
        </w:rPr>
        <w:t> </w:t>
      </w:r>
      <w:r>
        <w:rPr>
          <w:color w:val="231F20"/>
        </w:rPr>
        <w:t>para nuestra</w:t>
      </w:r>
      <w:r>
        <w:rPr>
          <w:color w:val="231F20"/>
          <w:spacing w:val="-5"/>
        </w:rPr>
        <w:t> </w:t>
      </w:r>
      <w:r>
        <w:rPr>
          <w:color w:val="231F20"/>
        </w:rPr>
        <w:t>vida,</w:t>
      </w:r>
      <w:r>
        <w:rPr>
          <w:color w:val="231F20"/>
          <w:spacing w:val="-5"/>
        </w:rPr>
        <w:t> </w:t>
      </w:r>
      <w:r>
        <w:rPr>
          <w:color w:val="231F20"/>
        </w:rPr>
        <w:t>y</w:t>
      </w:r>
      <w:r>
        <w:rPr>
          <w:color w:val="231F20"/>
          <w:spacing w:val="-5"/>
        </w:rPr>
        <w:t> </w:t>
      </w:r>
      <w:r>
        <w:rPr>
          <w:color w:val="231F20"/>
        </w:rPr>
        <w:t>le</w:t>
      </w:r>
      <w:r>
        <w:rPr>
          <w:color w:val="231F20"/>
          <w:spacing w:val="-5"/>
        </w:rPr>
        <w:t> </w:t>
      </w:r>
      <w:r>
        <w:rPr>
          <w:color w:val="231F20"/>
        </w:rPr>
        <w:t>agradecemos</w:t>
      </w:r>
      <w:r>
        <w:rPr>
          <w:color w:val="231F20"/>
          <w:spacing w:val="-5"/>
        </w:rPr>
        <w:t> </w:t>
      </w:r>
      <w:r>
        <w:rPr>
          <w:color w:val="231F20"/>
        </w:rPr>
        <w:t>mucho</w:t>
      </w:r>
      <w:r>
        <w:rPr>
          <w:color w:val="231F20"/>
          <w:spacing w:val="-5"/>
        </w:rPr>
        <w:t> </w:t>
      </w:r>
      <w:r>
        <w:rPr>
          <w:color w:val="231F20"/>
        </w:rPr>
        <w:t>más</w:t>
      </w:r>
      <w:r>
        <w:rPr>
          <w:color w:val="231F20"/>
          <w:spacing w:val="-5"/>
        </w:rPr>
        <w:t> </w:t>
      </w:r>
      <w:r>
        <w:rPr>
          <w:color w:val="231F20"/>
        </w:rPr>
        <w:t>al</w:t>
      </w:r>
      <w:r>
        <w:rPr>
          <w:color w:val="231F20"/>
          <w:spacing w:val="-5"/>
        </w:rPr>
        <w:t> </w:t>
      </w:r>
      <w:r>
        <w:rPr>
          <w:color w:val="231F20"/>
        </w:rPr>
        <w:t>gobierno</w:t>
      </w:r>
      <w:r>
        <w:rPr>
          <w:color w:val="231F20"/>
          <w:spacing w:val="-5"/>
        </w:rPr>
        <w:t> </w:t>
      </w:r>
      <w:r>
        <w:rPr>
          <w:color w:val="231F20"/>
        </w:rPr>
        <w:t>(entrevista</w:t>
      </w:r>
      <w:r>
        <w:rPr>
          <w:color w:val="231F20"/>
          <w:spacing w:val="-5"/>
        </w:rPr>
        <w:t> </w:t>
      </w:r>
      <w:r>
        <w:rPr>
          <w:color w:val="231F20"/>
        </w:rPr>
        <w:t>2).</w:t>
      </w:r>
    </w:p>
    <w:p>
      <w:pPr>
        <w:pStyle w:val="BodyText"/>
        <w:spacing w:before="5"/>
        <w:rPr>
          <w:sz w:val="21"/>
        </w:rPr>
      </w:pPr>
    </w:p>
    <w:p>
      <w:pPr>
        <w:pStyle w:val="Heading5"/>
        <w:spacing w:before="1"/>
        <w:ind w:right="792"/>
        <w:jc w:val="left"/>
        <w:rPr>
          <w:i/>
        </w:rPr>
      </w:pPr>
      <w:r>
        <w:rPr>
          <w:i/>
          <w:w w:val="80"/>
        </w:rPr>
        <w:t>Seguridad económica de la mujer y su familia</w:t>
      </w:r>
    </w:p>
    <w:p>
      <w:pPr>
        <w:pStyle w:val="BodyText"/>
        <w:spacing w:before="171"/>
        <w:ind w:left="113"/>
      </w:pPr>
      <w:r>
        <w:rPr>
          <w:color w:val="231F20"/>
        </w:rPr>
        <w:t>La pregunta de trabajo que guió esta dimensión analítica fue: ¿el progra-</w:t>
      </w:r>
    </w:p>
    <w:p>
      <w:pPr>
        <w:spacing w:after="0"/>
        <w:sectPr>
          <w:footerReference w:type="default" r:id="rId264"/>
          <w:pgSz w:w="7770" w:h="11740"/>
          <w:pgMar w:footer="474" w:header="0" w:top="840" w:bottom="660" w:left="1020" w:right="740"/>
          <w:pgNumType w:start="239"/>
        </w:sectPr>
      </w:pPr>
    </w:p>
    <w:p>
      <w:pPr>
        <w:pStyle w:val="BodyText"/>
        <w:spacing w:line="249" w:lineRule="auto" w:before="60"/>
        <w:ind w:left="110" w:right="111"/>
        <w:jc w:val="both"/>
      </w:pPr>
      <w:r>
        <w:rPr>
          <w:color w:val="231F20"/>
        </w:rPr>
        <w:t>ma proporciona seguridad económica? Algunas mujeres relataban que su apoyo era para cubrir el pago de sus electrodomésticos que habían comprado para el hogar como aparato de música, pancha, licuadora, y televisor.</w:t>
      </w:r>
    </w:p>
    <w:p>
      <w:pPr>
        <w:pStyle w:val="BodyText"/>
        <w:spacing w:line="249" w:lineRule="auto" w:before="1"/>
        <w:ind w:left="110" w:right="111" w:firstLine="283"/>
        <w:jc w:val="both"/>
      </w:pPr>
      <w:r>
        <w:rPr>
          <w:color w:val="231F20"/>
        </w:rPr>
        <w:t>Se encontró, como ya se ha mencionado, que el programa ayudaba a que la familia mejoré un poco la calidad de alimentación, pero sólo de uno a tres días; es decir, el apoyo económico cubre la necesidad alimen- taria en el momento y después las mujeres buscan cómo seguir alimen- tado a su familia.</w:t>
      </w:r>
    </w:p>
    <w:p>
      <w:pPr>
        <w:pStyle w:val="BodyText"/>
        <w:spacing w:line="249" w:lineRule="auto" w:before="1"/>
        <w:ind w:left="110" w:right="110" w:firstLine="283"/>
        <w:jc w:val="both"/>
      </w:pPr>
      <w:r>
        <w:rPr>
          <w:color w:val="231F20"/>
        </w:rPr>
        <w:t>La</w:t>
      </w:r>
      <w:r>
        <w:rPr>
          <w:color w:val="231F20"/>
          <w:spacing w:val="-12"/>
        </w:rPr>
        <w:t> </w:t>
      </w:r>
      <w:r>
        <w:rPr>
          <w:color w:val="231F20"/>
        </w:rPr>
        <w:t>relativa</w:t>
      </w:r>
      <w:r>
        <w:rPr>
          <w:color w:val="231F20"/>
          <w:spacing w:val="-12"/>
        </w:rPr>
        <w:t> </w:t>
      </w:r>
      <w:r>
        <w:rPr>
          <w:color w:val="231F20"/>
        </w:rPr>
        <w:t>seguridad</w:t>
      </w:r>
      <w:r>
        <w:rPr>
          <w:color w:val="231F20"/>
          <w:spacing w:val="-12"/>
        </w:rPr>
        <w:t> </w:t>
      </w:r>
      <w:r>
        <w:rPr>
          <w:color w:val="231F20"/>
        </w:rPr>
        <w:t>que</w:t>
      </w:r>
      <w:r>
        <w:rPr>
          <w:color w:val="231F20"/>
          <w:spacing w:val="-12"/>
        </w:rPr>
        <w:t> </w:t>
      </w:r>
      <w:r>
        <w:rPr>
          <w:color w:val="231F20"/>
        </w:rPr>
        <w:t>genera</w:t>
      </w:r>
      <w:r>
        <w:rPr>
          <w:color w:val="231F20"/>
          <w:spacing w:val="-12"/>
        </w:rPr>
        <w:t> </w:t>
      </w:r>
      <w:r>
        <w:rPr>
          <w:color w:val="231F20"/>
        </w:rPr>
        <w:t>el</w:t>
      </w:r>
      <w:r>
        <w:rPr>
          <w:color w:val="231F20"/>
          <w:spacing w:val="-12"/>
        </w:rPr>
        <w:t> </w:t>
      </w:r>
      <w:r>
        <w:rPr>
          <w:color w:val="231F20"/>
        </w:rPr>
        <w:t>programa</w:t>
      </w:r>
      <w:r>
        <w:rPr>
          <w:color w:val="231F20"/>
          <w:spacing w:val="-12"/>
        </w:rPr>
        <w:t> </w:t>
      </w:r>
      <w:r>
        <w:rPr>
          <w:color w:val="231F20"/>
        </w:rPr>
        <w:t>no</w:t>
      </w:r>
      <w:r>
        <w:rPr>
          <w:color w:val="231F20"/>
          <w:spacing w:val="-12"/>
        </w:rPr>
        <w:t> </w:t>
      </w:r>
      <w:r>
        <w:rPr>
          <w:color w:val="231F20"/>
        </w:rPr>
        <w:t>sólo</w:t>
      </w:r>
      <w:r>
        <w:rPr>
          <w:color w:val="231F20"/>
          <w:spacing w:val="-12"/>
        </w:rPr>
        <w:t> </w:t>
      </w:r>
      <w:r>
        <w:rPr>
          <w:color w:val="231F20"/>
        </w:rPr>
        <w:t>es</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mujer, sino</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marido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beneficiaria,</w:t>
      </w:r>
      <w:r>
        <w:rPr>
          <w:color w:val="231F20"/>
          <w:spacing w:val="-7"/>
        </w:rPr>
        <w:t> </w:t>
      </w:r>
      <w:r>
        <w:rPr>
          <w:color w:val="231F20"/>
        </w:rPr>
        <w:t>hijos</w:t>
      </w:r>
      <w:r>
        <w:rPr>
          <w:color w:val="231F20"/>
          <w:spacing w:val="-7"/>
        </w:rPr>
        <w:t> </w:t>
      </w:r>
      <w:r>
        <w:rPr>
          <w:color w:val="231F20"/>
        </w:rPr>
        <w:t>y</w:t>
      </w:r>
      <w:r>
        <w:rPr>
          <w:color w:val="231F20"/>
          <w:spacing w:val="-7"/>
        </w:rPr>
        <w:t> </w:t>
      </w:r>
      <w:r>
        <w:rPr>
          <w:color w:val="231F20"/>
        </w:rPr>
        <w:t>terceras</w:t>
      </w:r>
      <w:r>
        <w:rPr>
          <w:color w:val="231F20"/>
          <w:spacing w:val="-7"/>
        </w:rPr>
        <w:t> </w:t>
      </w:r>
      <w:r>
        <w:rPr>
          <w:color w:val="231F20"/>
        </w:rPr>
        <w:t>personas</w:t>
      </w:r>
      <w:r>
        <w:rPr>
          <w:color w:val="231F20"/>
          <w:spacing w:val="-7"/>
        </w:rPr>
        <w:t> </w:t>
      </w:r>
      <w:r>
        <w:rPr>
          <w:color w:val="231F20"/>
        </w:rPr>
        <w:t>que</w:t>
      </w:r>
      <w:r>
        <w:rPr>
          <w:color w:val="231F20"/>
          <w:spacing w:val="-7"/>
        </w:rPr>
        <w:t> </w:t>
      </w:r>
      <w:r>
        <w:rPr>
          <w:color w:val="231F20"/>
        </w:rPr>
        <w:t>vivan en su hogar. La seguridad económica es un factor importante ya que las mujeres se siente cobijadas cuando se les brinda un apoyo económico, aunque sea poco en cantidad; de esta forma algunas mujeres agradecen el</w:t>
      </w:r>
      <w:r>
        <w:rPr>
          <w:color w:val="231F20"/>
          <w:spacing w:val="-7"/>
        </w:rPr>
        <w:t> </w:t>
      </w:r>
      <w:r>
        <w:rPr>
          <w:color w:val="231F20"/>
        </w:rPr>
        <w:t>apoyo</w:t>
      </w:r>
      <w:r>
        <w:rPr>
          <w:color w:val="231F20"/>
          <w:spacing w:val="-7"/>
        </w:rPr>
        <w:t> </w:t>
      </w:r>
      <w:r>
        <w:rPr>
          <w:color w:val="231F20"/>
        </w:rPr>
        <w:t>económico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programas</w:t>
      </w:r>
      <w:r>
        <w:rPr>
          <w:color w:val="231F20"/>
          <w:spacing w:val="-7"/>
        </w:rPr>
        <w:t> </w:t>
      </w:r>
      <w:r>
        <w:rPr>
          <w:color w:val="231F20"/>
        </w:rPr>
        <w:t>sociales,</w:t>
      </w:r>
      <w:r>
        <w:rPr>
          <w:color w:val="231F20"/>
          <w:spacing w:val="-6"/>
        </w:rPr>
        <w:t> </w:t>
      </w:r>
      <w:r>
        <w:rPr>
          <w:color w:val="231F20"/>
        </w:rPr>
        <w:t>pues</w:t>
      </w:r>
      <w:r>
        <w:rPr>
          <w:color w:val="231F20"/>
          <w:spacing w:val="-7"/>
        </w:rPr>
        <w:t> </w:t>
      </w:r>
      <w:r>
        <w:rPr>
          <w:color w:val="231F20"/>
        </w:rPr>
        <w:t>nunca</w:t>
      </w:r>
      <w:r>
        <w:rPr>
          <w:color w:val="231F20"/>
          <w:spacing w:val="-7"/>
        </w:rPr>
        <w:t> </w:t>
      </w:r>
      <w:r>
        <w:rPr>
          <w:color w:val="231F20"/>
        </w:rPr>
        <w:t>han</w:t>
      </w:r>
      <w:r>
        <w:rPr>
          <w:color w:val="231F20"/>
          <w:spacing w:val="-7"/>
        </w:rPr>
        <w:t> </w:t>
      </w:r>
      <w:r>
        <w:rPr>
          <w:color w:val="231F20"/>
        </w:rPr>
        <w:t>tenido</w:t>
      </w:r>
      <w:r>
        <w:rPr>
          <w:color w:val="231F20"/>
          <w:spacing w:val="-7"/>
        </w:rPr>
        <w:t> </w:t>
      </w:r>
      <w:r>
        <w:rPr>
          <w:color w:val="231F20"/>
        </w:rPr>
        <w:t>un incentivo económico en su vida, y porque nunca han aportado dinero a su</w:t>
      </w:r>
      <w:r>
        <w:rPr>
          <w:color w:val="231F20"/>
          <w:spacing w:val="-6"/>
        </w:rPr>
        <w:t> </w:t>
      </w:r>
      <w:r>
        <w:rPr>
          <w:color w:val="231F20"/>
        </w:rPr>
        <w:t>hogar,</w:t>
      </w:r>
      <w:r>
        <w:rPr>
          <w:color w:val="231F20"/>
          <w:spacing w:val="-6"/>
        </w:rPr>
        <w:t> </w:t>
      </w:r>
      <w:r>
        <w:rPr>
          <w:color w:val="231F20"/>
        </w:rPr>
        <w:t>son</w:t>
      </w:r>
      <w:r>
        <w:rPr>
          <w:color w:val="231F20"/>
          <w:spacing w:val="-6"/>
        </w:rPr>
        <w:t> </w:t>
      </w:r>
      <w:r>
        <w:rPr>
          <w:color w:val="231F20"/>
        </w:rPr>
        <w:t>mujeres</w:t>
      </w:r>
      <w:r>
        <w:rPr>
          <w:color w:val="231F20"/>
          <w:spacing w:val="-7"/>
        </w:rPr>
        <w:t> </w:t>
      </w:r>
      <w:r>
        <w:rPr>
          <w:color w:val="231F20"/>
        </w:rPr>
        <w:t>que</w:t>
      </w:r>
      <w:r>
        <w:rPr>
          <w:color w:val="231F20"/>
          <w:spacing w:val="-6"/>
        </w:rPr>
        <w:t> </w:t>
      </w:r>
      <w:r>
        <w:rPr>
          <w:color w:val="231F20"/>
        </w:rPr>
        <w:t>están</w:t>
      </w:r>
      <w:r>
        <w:rPr>
          <w:color w:val="231F20"/>
          <w:spacing w:val="-7"/>
        </w:rPr>
        <w:t> </w:t>
      </w:r>
      <w:r>
        <w:rPr>
          <w:color w:val="231F20"/>
        </w:rPr>
        <w:t>a</w:t>
      </w:r>
      <w:r>
        <w:rPr>
          <w:color w:val="231F20"/>
          <w:spacing w:val="-6"/>
        </w:rPr>
        <w:t> </w:t>
      </w:r>
      <w:r>
        <w:rPr>
          <w:color w:val="231F20"/>
        </w:rPr>
        <w:t>expensas</w:t>
      </w:r>
      <w:r>
        <w:rPr>
          <w:color w:val="231F20"/>
          <w:spacing w:val="-7"/>
        </w:rPr>
        <w:t> </w:t>
      </w:r>
      <w:r>
        <w:rPr>
          <w:color w:val="231F20"/>
        </w:rPr>
        <w:t>de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hombre</w:t>
      </w:r>
      <w:r>
        <w:rPr>
          <w:color w:val="231F20"/>
          <w:spacing w:val="-6"/>
        </w:rPr>
        <w:t> </w:t>
      </w:r>
      <w:r>
        <w:rPr>
          <w:color w:val="231F20"/>
        </w:rPr>
        <w:t>les</w:t>
      </w:r>
      <w:r>
        <w:rPr>
          <w:color w:val="231F20"/>
          <w:spacing w:val="-7"/>
        </w:rPr>
        <w:t> </w:t>
      </w:r>
      <w:r>
        <w:rPr>
          <w:color w:val="231F20"/>
        </w:rPr>
        <w:t>traiga</w:t>
      </w:r>
      <w:r>
        <w:rPr>
          <w:color w:val="231F20"/>
          <w:spacing w:val="-7"/>
        </w:rPr>
        <w:t> </w:t>
      </w:r>
      <w:r>
        <w:rPr>
          <w:color w:val="231F20"/>
        </w:rPr>
        <w:t>la aportación económica. Pero el apoyo es de corto plazo y al desaparecer se desvanece esa seguridad, provocando una</w:t>
      </w:r>
      <w:r>
        <w:rPr>
          <w:color w:val="231F20"/>
          <w:spacing w:val="-11"/>
        </w:rPr>
        <w:t> </w:t>
      </w:r>
      <w:r>
        <w:rPr>
          <w:color w:val="231F20"/>
        </w:rPr>
        <w:t>inestabilidad.</w:t>
      </w:r>
    </w:p>
    <w:p>
      <w:pPr>
        <w:pStyle w:val="BodyText"/>
        <w:spacing w:line="249" w:lineRule="auto" w:before="1"/>
        <w:ind w:left="110" w:right="111" w:firstLine="283"/>
        <w:jc w:val="both"/>
      </w:pPr>
      <w:r>
        <w:rPr>
          <w:color w:val="231F20"/>
        </w:rPr>
        <w:t>Para las mujeres beneficiadas fue de utilidad invertir su apoyo eco- nómico en zapatos, ropa, comida, pasajes, doctor para su familia. Las mujeres en cuanto tienen el apoyo económico es sus manos, inmediata- mente</w:t>
      </w:r>
      <w:r>
        <w:rPr>
          <w:color w:val="231F20"/>
          <w:spacing w:val="-5"/>
        </w:rPr>
        <w:t> </w:t>
      </w:r>
      <w:r>
        <w:rPr>
          <w:color w:val="231F20"/>
        </w:rPr>
        <w:t>lo</w:t>
      </w:r>
      <w:r>
        <w:rPr>
          <w:color w:val="231F20"/>
          <w:spacing w:val="-5"/>
        </w:rPr>
        <w:t> </w:t>
      </w:r>
      <w:r>
        <w:rPr>
          <w:color w:val="231F20"/>
        </w:rPr>
        <w:t>gastan.</w:t>
      </w:r>
      <w:r>
        <w:rPr>
          <w:color w:val="231F20"/>
          <w:spacing w:val="-4"/>
        </w:rPr>
        <w:t> </w:t>
      </w:r>
      <w:r>
        <w:rPr>
          <w:color w:val="231F20"/>
        </w:rPr>
        <w:t>Con</w:t>
      </w:r>
      <w:r>
        <w:rPr>
          <w:color w:val="231F20"/>
          <w:spacing w:val="-4"/>
        </w:rPr>
        <w:t> </w:t>
      </w:r>
      <w:r>
        <w:rPr>
          <w:color w:val="231F20"/>
        </w:rPr>
        <w:t>lo</w:t>
      </w:r>
      <w:r>
        <w:rPr>
          <w:color w:val="231F20"/>
          <w:spacing w:val="-5"/>
        </w:rPr>
        <w:t> </w:t>
      </w:r>
      <w:r>
        <w:rPr>
          <w:color w:val="231F20"/>
        </w:rPr>
        <w:t>cual</w:t>
      </w:r>
      <w:r>
        <w:rPr>
          <w:color w:val="231F20"/>
          <w:spacing w:val="-5"/>
        </w:rPr>
        <w:t> </w:t>
      </w:r>
      <w:r>
        <w:rPr>
          <w:color w:val="231F20"/>
        </w:rPr>
        <w:t>no</w:t>
      </w:r>
      <w:r>
        <w:rPr>
          <w:color w:val="231F20"/>
          <w:spacing w:val="-4"/>
        </w:rPr>
        <w:t> </w:t>
      </w:r>
      <w:r>
        <w:rPr>
          <w:color w:val="231F20"/>
        </w:rPr>
        <w:t>pueden</w:t>
      </w:r>
      <w:r>
        <w:rPr>
          <w:color w:val="231F20"/>
          <w:spacing w:val="-4"/>
        </w:rPr>
        <w:t> </w:t>
      </w:r>
      <w:r>
        <w:rPr>
          <w:color w:val="231F20"/>
        </w:rPr>
        <w:t>generar</w:t>
      </w:r>
      <w:r>
        <w:rPr>
          <w:color w:val="231F20"/>
          <w:spacing w:val="-4"/>
        </w:rPr>
        <w:t> </w:t>
      </w:r>
      <w:r>
        <w:rPr>
          <w:color w:val="231F20"/>
        </w:rPr>
        <w:t>ahorro.</w:t>
      </w:r>
      <w:r>
        <w:rPr>
          <w:color w:val="231F20"/>
          <w:spacing w:val="-16"/>
        </w:rPr>
        <w:t> </w:t>
      </w:r>
      <w:r>
        <w:rPr>
          <w:color w:val="231F20"/>
        </w:rPr>
        <w:t>Algunas</w:t>
      </w:r>
      <w:r>
        <w:rPr>
          <w:color w:val="231F20"/>
          <w:spacing w:val="-4"/>
        </w:rPr>
        <w:t> </w:t>
      </w:r>
      <w:r>
        <w:rPr>
          <w:color w:val="231F20"/>
        </w:rPr>
        <w:t>mujeres comentaron que “todo urge” y que además el apoyo económico que les brindan,</w:t>
      </w:r>
      <w:r>
        <w:rPr>
          <w:color w:val="231F20"/>
          <w:spacing w:val="-6"/>
        </w:rPr>
        <w:t> </w:t>
      </w:r>
      <w:r>
        <w:rPr>
          <w:color w:val="231F20"/>
        </w:rPr>
        <w:t>de</w:t>
      </w:r>
      <w:r>
        <w:rPr>
          <w:color w:val="231F20"/>
          <w:spacing w:val="-6"/>
        </w:rPr>
        <w:t> </w:t>
      </w:r>
      <w:r>
        <w:rPr>
          <w:color w:val="231F20"/>
        </w:rPr>
        <w:t>nueva</w:t>
      </w:r>
      <w:r>
        <w:rPr>
          <w:color w:val="231F20"/>
          <w:spacing w:val="-6"/>
        </w:rPr>
        <w:t> </w:t>
      </w:r>
      <w:r>
        <w:rPr>
          <w:color w:val="231F20"/>
        </w:rPr>
        <w:t>cuenta,</w:t>
      </w:r>
      <w:r>
        <w:rPr>
          <w:color w:val="231F20"/>
          <w:spacing w:val="-6"/>
        </w:rPr>
        <w:t> </w:t>
      </w:r>
      <w:r>
        <w:rPr>
          <w:color w:val="231F20"/>
        </w:rPr>
        <w:t>no</w:t>
      </w:r>
      <w:r>
        <w:rPr>
          <w:color w:val="231F20"/>
          <w:spacing w:val="-6"/>
        </w:rPr>
        <w:t> </w:t>
      </w:r>
      <w:r>
        <w:rPr>
          <w:color w:val="231F20"/>
        </w:rPr>
        <w:t>les</w:t>
      </w:r>
      <w:r>
        <w:rPr>
          <w:color w:val="231F20"/>
          <w:spacing w:val="-6"/>
        </w:rPr>
        <w:t> </w:t>
      </w:r>
      <w:r>
        <w:rPr>
          <w:color w:val="231F20"/>
        </w:rPr>
        <w:t>alcanza</w:t>
      </w:r>
      <w:r>
        <w:rPr>
          <w:color w:val="231F20"/>
          <w:spacing w:val="-6"/>
        </w:rPr>
        <w:t> </w:t>
      </w:r>
      <w:r>
        <w:rPr>
          <w:color w:val="231F20"/>
        </w:rPr>
        <w:t>para</w:t>
      </w:r>
      <w:r>
        <w:rPr>
          <w:color w:val="231F20"/>
          <w:spacing w:val="-6"/>
        </w:rPr>
        <w:t> </w:t>
      </w:r>
      <w:r>
        <w:rPr>
          <w:color w:val="231F20"/>
        </w:rPr>
        <w:t>sus</w:t>
      </w:r>
      <w:r>
        <w:rPr>
          <w:color w:val="231F20"/>
          <w:spacing w:val="-6"/>
        </w:rPr>
        <w:t> </w:t>
      </w:r>
      <w:r>
        <w:rPr>
          <w:color w:val="231F20"/>
        </w:rPr>
        <w:t>necesidades.</w:t>
      </w:r>
      <w:r>
        <w:rPr>
          <w:color w:val="231F20"/>
          <w:spacing w:val="-6"/>
        </w:rPr>
        <w:t> </w:t>
      </w:r>
      <w:r>
        <w:rPr>
          <w:color w:val="231F20"/>
        </w:rPr>
        <w:t>Las</w:t>
      </w:r>
      <w:r>
        <w:rPr>
          <w:color w:val="231F20"/>
          <w:spacing w:val="-6"/>
        </w:rPr>
        <w:t> </w:t>
      </w:r>
      <w:r>
        <w:rPr>
          <w:color w:val="231F20"/>
        </w:rPr>
        <w:t>muje- res se quejan de que el dinero no dura y más siendo madres solteras, las cuales tienen que trabajar en el servicio doméstico informal en la ciudad de</w:t>
      </w:r>
      <w:r>
        <w:rPr>
          <w:color w:val="231F20"/>
          <w:spacing w:val="-7"/>
        </w:rPr>
        <w:t> </w:t>
      </w:r>
      <w:r>
        <w:rPr>
          <w:color w:val="231F20"/>
        </w:rPr>
        <w:t>México.</w:t>
      </w:r>
    </w:p>
    <w:p>
      <w:pPr>
        <w:pStyle w:val="BodyText"/>
        <w:spacing w:line="249" w:lineRule="auto" w:before="114"/>
        <w:ind w:left="393" w:right="111"/>
        <w:jc w:val="both"/>
      </w:pPr>
      <w:r>
        <w:rPr>
          <w:color w:val="231F20"/>
        </w:rPr>
        <w:t>Mi</w:t>
      </w:r>
      <w:r>
        <w:rPr>
          <w:color w:val="231F20"/>
          <w:spacing w:val="-7"/>
        </w:rPr>
        <w:t> </w:t>
      </w:r>
      <w:r>
        <w:rPr>
          <w:color w:val="231F20"/>
        </w:rPr>
        <w:t>apoyo</w:t>
      </w:r>
      <w:r>
        <w:rPr>
          <w:color w:val="231F20"/>
          <w:spacing w:val="-8"/>
        </w:rPr>
        <w:t> </w:t>
      </w:r>
      <w:r>
        <w:rPr>
          <w:color w:val="231F20"/>
        </w:rPr>
        <w:t>del</w:t>
      </w:r>
      <w:r>
        <w:rPr>
          <w:color w:val="231F20"/>
          <w:spacing w:val="-7"/>
        </w:rPr>
        <w:t> </w:t>
      </w:r>
      <w:r>
        <w:rPr>
          <w:color w:val="231F20"/>
        </w:rPr>
        <w:t>programa</w:t>
      </w:r>
      <w:r>
        <w:rPr>
          <w:color w:val="231F20"/>
          <w:spacing w:val="-8"/>
        </w:rPr>
        <w:t> </w:t>
      </w:r>
      <w:r>
        <w:rPr>
          <w:color w:val="231F20"/>
        </w:rPr>
        <w:t>fue</w:t>
      </w:r>
      <w:r>
        <w:rPr>
          <w:color w:val="231F20"/>
          <w:spacing w:val="-7"/>
        </w:rPr>
        <w:t> </w:t>
      </w:r>
      <w:r>
        <w:rPr>
          <w:color w:val="231F20"/>
        </w:rPr>
        <w:t>utilizado</w:t>
      </w:r>
      <w:r>
        <w:rPr>
          <w:color w:val="231F20"/>
          <w:spacing w:val="-7"/>
        </w:rPr>
        <w:t> </w:t>
      </w:r>
      <w:r>
        <w:rPr>
          <w:color w:val="231F20"/>
        </w:rPr>
        <w:t>en</w:t>
      </w:r>
      <w:r>
        <w:rPr>
          <w:color w:val="231F20"/>
          <w:spacing w:val="-8"/>
        </w:rPr>
        <w:t> </w:t>
      </w:r>
      <w:r>
        <w:rPr>
          <w:color w:val="231F20"/>
        </w:rPr>
        <w:t>zapatos,</w:t>
      </w:r>
      <w:r>
        <w:rPr>
          <w:color w:val="231F20"/>
          <w:spacing w:val="-8"/>
        </w:rPr>
        <w:t> </w:t>
      </w:r>
      <w:r>
        <w:rPr>
          <w:color w:val="231F20"/>
        </w:rPr>
        <w:t>ropa,</w:t>
      </w:r>
      <w:r>
        <w:rPr>
          <w:color w:val="231F20"/>
          <w:spacing w:val="-7"/>
        </w:rPr>
        <w:t> </w:t>
      </w:r>
      <w:r>
        <w:rPr>
          <w:color w:val="231F20"/>
        </w:rPr>
        <w:t>comida,</w:t>
      </w:r>
      <w:r>
        <w:rPr>
          <w:color w:val="231F20"/>
          <w:spacing w:val="-8"/>
        </w:rPr>
        <w:t> </w:t>
      </w:r>
      <w:r>
        <w:rPr>
          <w:color w:val="231F20"/>
        </w:rPr>
        <w:t>bueno yo menciono que todo esto verdad, pero verás, es para lo que me al- cance,</w:t>
      </w:r>
      <w:r>
        <w:rPr>
          <w:color w:val="231F20"/>
          <w:spacing w:val="-4"/>
        </w:rPr>
        <w:t> </w:t>
      </w:r>
      <w:r>
        <w:rPr>
          <w:color w:val="231F20"/>
        </w:rPr>
        <w:t>yo</w:t>
      </w:r>
      <w:r>
        <w:rPr>
          <w:color w:val="231F20"/>
          <w:spacing w:val="-4"/>
        </w:rPr>
        <w:t> </w:t>
      </w:r>
      <w:r>
        <w:rPr>
          <w:color w:val="231F20"/>
        </w:rPr>
        <w:t>quisiera</w:t>
      </w:r>
      <w:r>
        <w:rPr>
          <w:color w:val="231F20"/>
          <w:spacing w:val="-4"/>
        </w:rPr>
        <w:t> </w:t>
      </w:r>
      <w:r>
        <w:rPr>
          <w:color w:val="231F20"/>
        </w:rPr>
        <w:t>que</w:t>
      </w:r>
      <w:r>
        <w:rPr>
          <w:color w:val="231F20"/>
          <w:spacing w:val="-4"/>
        </w:rPr>
        <w:t> </w:t>
      </w:r>
      <w:r>
        <w:rPr>
          <w:color w:val="231F20"/>
        </w:rPr>
        <w:t>para</w:t>
      </w:r>
      <w:r>
        <w:rPr>
          <w:color w:val="231F20"/>
          <w:spacing w:val="-4"/>
        </w:rPr>
        <w:t> </w:t>
      </w:r>
      <w:r>
        <w:rPr>
          <w:color w:val="231F20"/>
        </w:rPr>
        <w:t>todo,</w:t>
      </w:r>
      <w:r>
        <w:rPr>
          <w:color w:val="231F20"/>
          <w:spacing w:val="-5"/>
        </w:rPr>
        <w:t> </w:t>
      </w:r>
      <w:r>
        <w:rPr>
          <w:color w:val="231F20"/>
        </w:rPr>
        <w:t>pero</w:t>
      </w:r>
      <w:r>
        <w:rPr>
          <w:color w:val="231F20"/>
          <w:spacing w:val="-4"/>
        </w:rPr>
        <w:t> </w:t>
      </w:r>
      <w:r>
        <w:rPr>
          <w:color w:val="231F20"/>
        </w:rPr>
        <w:t>el</w:t>
      </w:r>
      <w:r>
        <w:rPr>
          <w:color w:val="231F20"/>
          <w:spacing w:val="-4"/>
        </w:rPr>
        <w:t> </w:t>
      </w:r>
      <w:r>
        <w:rPr>
          <w:color w:val="231F20"/>
        </w:rPr>
        <w:t>dinero</w:t>
      </w:r>
      <w:r>
        <w:rPr>
          <w:color w:val="231F20"/>
          <w:spacing w:val="-4"/>
        </w:rPr>
        <w:t> </w:t>
      </w:r>
      <w:r>
        <w:rPr>
          <w:color w:val="231F20"/>
        </w:rPr>
        <w:t>no</w:t>
      </w:r>
      <w:r>
        <w:rPr>
          <w:color w:val="231F20"/>
          <w:spacing w:val="-4"/>
        </w:rPr>
        <w:t> </w:t>
      </w:r>
      <w:r>
        <w:rPr>
          <w:color w:val="231F20"/>
        </w:rPr>
        <w:t>rinde</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alcanza (entrevista 10).</w:t>
      </w:r>
    </w:p>
    <w:p>
      <w:pPr>
        <w:pStyle w:val="BodyText"/>
        <w:spacing w:line="249" w:lineRule="auto" w:before="114"/>
        <w:ind w:left="110" w:right="113" w:firstLine="283"/>
        <w:jc w:val="both"/>
      </w:pPr>
      <w:r>
        <w:rPr>
          <w:color w:val="231F20"/>
        </w:rPr>
        <w:t>A</w:t>
      </w:r>
      <w:r>
        <w:rPr>
          <w:color w:val="231F20"/>
          <w:spacing w:val="-18"/>
        </w:rPr>
        <w:t> </w:t>
      </w:r>
      <w:r>
        <w:rPr>
          <w:color w:val="231F20"/>
        </w:rPr>
        <w:t>otras</w:t>
      </w:r>
      <w:r>
        <w:rPr>
          <w:color w:val="231F20"/>
          <w:spacing w:val="-7"/>
        </w:rPr>
        <w:t> </w:t>
      </w:r>
      <w:r>
        <w:rPr>
          <w:color w:val="231F20"/>
        </w:rPr>
        <w:t>mujeres</w:t>
      </w:r>
      <w:r>
        <w:rPr>
          <w:color w:val="231F20"/>
          <w:spacing w:val="-7"/>
        </w:rPr>
        <w:t> </w:t>
      </w:r>
      <w:r>
        <w:rPr>
          <w:color w:val="231F20"/>
        </w:rPr>
        <w:t>les</w:t>
      </w:r>
      <w:r>
        <w:rPr>
          <w:color w:val="231F20"/>
          <w:spacing w:val="-7"/>
        </w:rPr>
        <w:t> </w:t>
      </w:r>
      <w:r>
        <w:rPr>
          <w:color w:val="231F20"/>
        </w:rPr>
        <w:t>interesa</w:t>
      </w:r>
      <w:r>
        <w:rPr>
          <w:color w:val="231F20"/>
          <w:spacing w:val="-7"/>
        </w:rPr>
        <w:t> </w:t>
      </w:r>
      <w:r>
        <w:rPr>
          <w:color w:val="231F20"/>
        </w:rPr>
        <w:t>tener</w:t>
      </w:r>
      <w:r>
        <w:rPr>
          <w:color w:val="231F20"/>
          <w:spacing w:val="-7"/>
        </w:rPr>
        <w:t> </w:t>
      </w:r>
      <w:r>
        <w:rPr>
          <w:color w:val="231F20"/>
        </w:rPr>
        <w:t>el</w:t>
      </w:r>
      <w:r>
        <w:rPr>
          <w:color w:val="231F20"/>
          <w:spacing w:val="-7"/>
        </w:rPr>
        <w:t> </w:t>
      </w:r>
      <w:r>
        <w:rPr>
          <w:color w:val="231F20"/>
        </w:rPr>
        <w:t>dinero</w:t>
      </w:r>
      <w:r>
        <w:rPr>
          <w:color w:val="231F20"/>
          <w:spacing w:val="-7"/>
        </w:rPr>
        <w:t> </w:t>
      </w:r>
      <w:r>
        <w:rPr>
          <w:color w:val="231F20"/>
        </w:rPr>
        <w:t>en</w:t>
      </w:r>
      <w:r>
        <w:rPr>
          <w:color w:val="231F20"/>
          <w:spacing w:val="-7"/>
        </w:rPr>
        <w:t> </w:t>
      </w:r>
      <w:r>
        <w:rPr>
          <w:color w:val="231F20"/>
        </w:rPr>
        <w:t>efectivo</w:t>
      </w:r>
      <w:r>
        <w:rPr>
          <w:color w:val="231F20"/>
          <w:spacing w:val="-7"/>
        </w:rPr>
        <w:t> </w:t>
      </w:r>
      <w:r>
        <w:rPr>
          <w:color w:val="231F20"/>
        </w:rPr>
        <w:t>para</w:t>
      </w:r>
      <w:r>
        <w:rPr>
          <w:color w:val="231F20"/>
          <w:spacing w:val="-7"/>
        </w:rPr>
        <w:t> </w:t>
      </w:r>
      <w:r>
        <w:rPr>
          <w:color w:val="231F20"/>
        </w:rPr>
        <w:t>destinarlo en los pasajes de sus hijos y útiles</w:t>
      </w:r>
      <w:r>
        <w:rPr>
          <w:color w:val="231F20"/>
          <w:spacing w:val="-4"/>
        </w:rPr>
        <w:t> </w:t>
      </w:r>
      <w:r>
        <w:rPr>
          <w:color w:val="231F20"/>
        </w:rPr>
        <w:t>escolares.</w:t>
      </w:r>
    </w:p>
    <w:p>
      <w:pPr>
        <w:pStyle w:val="BodyText"/>
        <w:spacing w:line="249" w:lineRule="auto" w:before="114"/>
        <w:ind w:left="393" w:right="111"/>
        <w:jc w:val="both"/>
      </w:pPr>
      <w:r>
        <w:rPr>
          <w:color w:val="231F20"/>
        </w:rPr>
        <w:t>El apoyo en cuanto me lo dieron lo tengo que ocupar para mis hijos, para sus pasajes; porque estudian la prepa pero en el municipio de Rayón. Y pues gastan, ni para una semana cerrada les alcanza (ent- revista 9).</w:t>
      </w:r>
    </w:p>
    <w:p>
      <w:pPr>
        <w:spacing w:after="0" w:line="249" w:lineRule="auto"/>
        <w:jc w:val="both"/>
        <w:sectPr>
          <w:pgSz w:w="7770" w:h="11740"/>
          <w:pgMar w:header="0" w:footer="474" w:top="840" w:bottom="740" w:left="740" w:right="1020"/>
        </w:sectPr>
      </w:pPr>
    </w:p>
    <w:p>
      <w:pPr>
        <w:pStyle w:val="BodyText"/>
        <w:spacing w:line="249" w:lineRule="auto" w:before="60"/>
        <w:ind w:left="397" w:right="108"/>
        <w:jc w:val="both"/>
      </w:pPr>
      <w:r>
        <w:rPr>
          <w:color w:val="231F20"/>
          <w:spacing w:val="-11"/>
        </w:rPr>
        <w:t>Yo</w:t>
      </w:r>
      <w:r>
        <w:rPr>
          <w:color w:val="231F20"/>
          <w:spacing w:val="-5"/>
        </w:rPr>
        <w:t> </w:t>
      </w:r>
      <w:r>
        <w:rPr>
          <w:color w:val="231F20"/>
        </w:rPr>
        <w:t>soy</w:t>
      </w:r>
      <w:r>
        <w:rPr>
          <w:color w:val="231F20"/>
          <w:spacing w:val="-5"/>
        </w:rPr>
        <w:t> </w:t>
      </w:r>
      <w:r>
        <w:rPr>
          <w:color w:val="231F20"/>
        </w:rPr>
        <w:t>madre</w:t>
      </w:r>
      <w:r>
        <w:rPr>
          <w:color w:val="231F20"/>
          <w:spacing w:val="-5"/>
        </w:rPr>
        <w:t> </w:t>
      </w:r>
      <w:r>
        <w:rPr>
          <w:color w:val="231F20"/>
        </w:rPr>
        <w:t>soltera</w:t>
      </w:r>
      <w:r>
        <w:rPr>
          <w:color w:val="231F20"/>
          <w:spacing w:val="-4"/>
        </w:rPr>
        <w:t> </w:t>
      </w:r>
      <w:r>
        <w:rPr>
          <w:color w:val="231F20"/>
        </w:rPr>
        <w:t>y</w:t>
      </w:r>
      <w:r>
        <w:rPr>
          <w:color w:val="231F20"/>
          <w:spacing w:val="-5"/>
        </w:rPr>
        <w:t> </w:t>
      </w:r>
      <w:r>
        <w:rPr>
          <w:color w:val="231F20"/>
        </w:rPr>
        <w:t>estudio</w:t>
      </w:r>
      <w:r>
        <w:rPr>
          <w:color w:val="231F20"/>
          <w:spacing w:val="-5"/>
        </w:rPr>
        <w:t> </w:t>
      </w:r>
      <w:r>
        <w:rPr>
          <w:color w:val="231F20"/>
        </w:rPr>
        <w:t>aún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apoyo</w:t>
      </w:r>
      <w:r>
        <w:rPr>
          <w:color w:val="231F20"/>
          <w:spacing w:val="-5"/>
        </w:rPr>
        <w:t> </w:t>
      </w:r>
      <w:r>
        <w:rPr>
          <w:color w:val="231F20"/>
        </w:rPr>
        <w:t>lo</w:t>
      </w:r>
      <w:r>
        <w:rPr>
          <w:color w:val="231F20"/>
          <w:spacing w:val="-5"/>
        </w:rPr>
        <w:t> </w:t>
      </w:r>
      <w:r>
        <w:rPr>
          <w:color w:val="231F20"/>
        </w:rPr>
        <w:t>ocupo</w:t>
      </w:r>
      <w:r>
        <w:rPr>
          <w:color w:val="231F20"/>
          <w:spacing w:val="-5"/>
        </w:rPr>
        <w:t> </w:t>
      </w:r>
      <w:r>
        <w:rPr>
          <w:color w:val="231F20"/>
        </w:rPr>
        <w:t>para</w:t>
      </w:r>
      <w:r>
        <w:rPr>
          <w:color w:val="231F20"/>
          <w:spacing w:val="-5"/>
        </w:rPr>
        <w:t> </w:t>
      </w:r>
      <w:r>
        <w:rPr>
          <w:color w:val="231F20"/>
        </w:rPr>
        <w:t>mis</w:t>
      </w:r>
      <w:r>
        <w:rPr>
          <w:color w:val="231F20"/>
          <w:spacing w:val="-5"/>
        </w:rPr>
        <w:t> </w:t>
      </w:r>
      <w:r>
        <w:rPr>
          <w:color w:val="231F20"/>
        </w:rPr>
        <w:t>pas- ajes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escuela</w:t>
      </w:r>
      <w:r>
        <w:rPr>
          <w:color w:val="231F20"/>
          <w:spacing w:val="-4"/>
        </w:rPr>
        <w:t> </w:t>
      </w:r>
      <w:r>
        <w:rPr>
          <w:color w:val="231F20"/>
        </w:rPr>
        <w:t>y</w:t>
      </w:r>
      <w:r>
        <w:rPr>
          <w:color w:val="231F20"/>
          <w:spacing w:val="-4"/>
        </w:rPr>
        <w:t> </w:t>
      </w:r>
      <w:r>
        <w:rPr>
          <w:color w:val="231F20"/>
        </w:rPr>
        <w:t>si</w:t>
      </w:r>
      <w:r>
        <w:rPr>
          <w:color w:val="231F20"/>
          <w:spacing w:val="-4"/>
        </w:rPr>
        <w:t> </w:t>
      </w:r>
      <w:r>
        <w:rPr>
          <w:color w:val="231F20"/>
        </w:rPr>
        <w:t>me</w:t>
      </w:r>
      <w:r>
        <w:rPr>
          <w:color w:val="231F20"/>
          <w:spacing w:val="-4"/>
        </w:rPr>
        <w:t> </w:t>
      </w:r>
      <w:r>
        <w:rPr>
          <w:color w:val="231F20"/>
        </w:rPr>
        <w:t>llega</w:t>
      </w:r>
      <w:r>
        <w:rPr>
          <w:color w:val="231F20"/>
          <w:spacing w:val="-4"/>
        </w:rPr>
        <w:t> </w:t>
      </w:r>
      <w:r>
        <w:rPr>
          <w:color w:val="231F20"/>
        </w:rPr>
        <w:t>a</w:t>
      </w:r>
      <w:r>
        <w:rPr>
          <w:color w:val="231F20"/>
          <w:spacing w:val="-4"/>
        </w:rPr>
        <w:t> </w:t>
      </w:r>
      <w:r>
        <w:rPr>
          <w:color w:val="231F20"/>
        </w:rPr>
        <w:t>sobrar,</w:t>
      </w:r>
      <w:r>
        <w:rPr>
          <w:color w:val="231F20"/>
          <w:spacing w:val="-4"/>
        </w:rPr>
        <w:t> </w:t>
      </w:r>
      <w:r>
        <w:rPr>
          <w:color w:val="231F20"/>
        </w:rPr>
        <w:t>me</w:t>
      </w:r>
      <w:r>
        <w:rPr>
          <w:color w:val="231F20"/>
          <w:spacing w:val="-4"/>
        </w:rPr>
        <w:t> </w:t>
      </w:r>
      <w:r>
        <w:rPr>
          <w:color w:val="231F20"/>
        </w:rPr>
        <w:t>compro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blusa</w:t>
      </w:r>
      <w:r>
        <w:rPr>
          <w:color w:val="231F20"/>
          <w:spacing w:val="-4"/>
        </w:rPr>
        <w:t> </w:t>
      </w:r>
      <w:r>
        <w:rPr>
          <w:color w:val="231F20"/>
        </w:rPr>
        <w:t>o</w:t>
      </w:r>
      <w:r>
        <w:rPr>
          <w:color w:val="231F20"/>
          <w:spacing w:val="-4"/>
        </w:rPr>
        <w:t> </w:t>
      </w:r>
      <w:r>
        <w:rPr>
          <w:color w:val="231F20"/>
        </w:rPr>
        <w:t>un pantalón, pero no me alcanza para todo, ya que cada pantalón cuesta 300 o 500 pesos ahí se va casi todo mi apoyo (entrevista</w:t>
      </w:r>
      <w:r>
        <w:rPr>
          <w:color w:val="231F20"/>
          <w:spacing w:val="-6"/>
        </w:rPr>
        <w:t> </w:t>
      </w:r>
      <w:r>
        <w:rPr>
          <w:color w:val="231F20"/>
        </w:rPr>
        <w:t>5).</w:t>
      </w:r>
    </w:p>
    <w:p>
      <w:pPr>
        <w:pStyle w:val="BodyText"/>
        <w:spacing w:line="249" w:lineRule="auto" w:before="114"/>
        <w:ind w:left="113" w:right="108" w:firstLine="283"/>
        <w:jc w:val="both"/>
      </w:pPr>
      <w:r>
        <w:rPr>
          <w:color w:val="231F20"/>
        </w:rPr>
        <w:t>El apoyo económico las mujeres también lo invierten en el mejora- miento de su vivienda.</w:t>
      </w:r>
    </w:p>
    <w:p>
      <w:pPr>
        <w:pStyle w:val="BodyText"/>
        <w:spacing w:line="249" w:lineRule="auto" w:before="114"/>
        <w:ind w:left="397" w:right="108"/>
        <w:jc w:val="both"/>
      </w:pPr>
      <w:r>
        <w:rPr>
          <w:color w:val="231F20"/>
        </w:rPr>
        <w:t>Pues mi apoyo fue para los gastos de mi casa, para hacer un cuarto más, ya que soy madre soltera, y no me alcanza, por eso tengo que trabajar y no sólo dependo del programa; si me lo dan que bien y si no, pues yo trabajo, no estoy a expensas del gobierno, es la primera vez</w:t>
      </w:r>
      <w:r>
        <w:rPr>
          <w:color w:val="231F20"/>
          <w:spacing w:val="-5"/>
        </w:rPr>
        <w:t> </w:t>
      </w:r>
      <w:r>
        <w:rPr>
          <w:color w:val="231F20"/>
        </w:rPr>
        <w:t>que</w:t>
      </w:r>
      <w:r>
        <w:rPr>
          <w:color w:val="231F20"/>
          <w:spacing w:val="-5"/>
        </w:rPr>
        <w:t> </w:t>
      </w:r>
      <w:r>
        <w:rPr>
          <w:color w:val="231F20"/>
        </w:rPr>
        <w:t>tengo</w:t>
      </w:r>
      <w:r>
        <w:rPr>
          <w:color w:val="231F20"/>
          <w:spacing w:val="-5"/>
        </w:rPr>
        <w:t> </w:t>
      </w:r>
      <w:r>
        <w:rPr>
          <w:color w:val="231F20"/>
        </w:rPr>
        <w:t>suerte</w:t>
      </w:r>
      <w:r>
        <w:rPr>
          <w:color w:val="231F20"/>
          <w:spacing w:val="-4"/>
        </w:rPr>
        <w:t> </w:t>
      </w:r>
      <w:r>
        <w:rPr>
          <w:color w:val="231F20"/>
        </w:rPr>
        <w:t>que</w:t>
      </w:r>
      <w:r>
        <w:rPr>
          <w:color w:val="231F20"/>
          <w:spacing w:val="-5"/>
        </w:rPr>
        <w:t> </w:t>
      </w:r>
      <w:r>
        <w:rPr>
          <w:color w:val="231F20"/>
        </w:rPr>
        <w:t>me</w:t>
      </w:r>
      <w:r>
        <w:rPr>
          <w:color w:val="231F20"/>
          <w:spacing w:val="-5"/>
        </w:rPr>
        <w:t> </w:t>
      </w:r>
      <w:r>
        <w:rPr>
          <w:color w:val="231F20"/>
        </w:rPr>
        <w:t>lo</w:t>
      </w:r>
      <w:r>
        <w:rPr>
          <w:color w:val="231F20"/>
          <w:spacing w:val="-5"/>
        </w:rPr>
        <w:t> </w:t>
      </w:r>
      <w:r>
        <w:rPr>
          <w:color w:val="231F20"/>
        </w:rPr>
        <w:t>dieron,</w:t>
      </w:r>
      <w:r>
        <w:rPr>
          <w:color w:val="231F20"/>
          <w:spacing w:val="-5"/>
        </w:rPr>
        <w:t> </w:t>
      </w:r>
      <w:r>
        <w:rPr>
          <w:color w:val="231F20"/>
        </w:rPr>
        <w:t>porque</w:t>
      </w:r>
      <w:r>
        <w:rPr>
          <w:color w:val="231F20"/>
          <w:spacing w:val="-5"/>
        </w:rPr>
        <w:t> </w:t>
      </w:r>
      <w:r>
        <w:rPr>
          <w:color w:val="231F20"/>
        </w:rPr>
        <w:t>nunca</w:t>
      </w:r>
      <w:r>
        <w:rPr>
          <w:color w:val="231F20"/>
          <w:spacing w:val="-5"/>
        </w:rPr>
        <w:t> </w:t>
      </w:r>
      <w:r>
        <w:rPr>
          <w:color w:val="231F20"/>
        </w:rPr>
        <w:t>me</w:t>
      </w:r>
      <w:r>
        <w:rPr>
          <w:color w:val="231F20"/>
          <w:spacing w:val="-5"/>
        </w:rPr>
        <w:t> </w:t>
      </w:r>
      <w:r>
        <w:rPr>
          <w:color w:val="231F20"/>
        </w:rPr>
        <w:t>habían</w:t>
      </w:r>
      <w:r>
        <w:rPr>
          <w:color w:val="231F20"/>
          <w:spacing w:val="-5"/>
        </w:rPr>
        <w:t> </w:t>
      </w:r>
      <w:r>
        <w:rPr>
          <w:color w:val="231F20"/>
        </w:rPr>
        <w:t>dado ningún apoyo (entrevista</w:t>
      </w:r>
      <w:r>
        <w:rPr>
          <w:color w:val="231F20"/>
          <w:spacing w:val="-1"/>
        </w:rPr>
        <w:t> </w:t>
      </w:r>
      <w:r>
        <w:rPr>
          <w:color w:val="231F20"/>
        </w:rPr>
        <w:t>8).</w:t>
      </w:r>
    </w:p>
    <w:p>
      <w:pPr>
        <w:pStyle w:val="BodyText"/>
        <w:spacing w:before="9"/>
        <w:rPr>
          <w:sz w:val="19"/>
        </w:rPr>
      </w:pPr>
    </w:p>
    <w:p>
      <w:pPr>
        <w:pStyle w:val="BodyText"/>
        <w:spacing w:line="249" w:lineRule="auto"/>
        <w:ind w:left="397" w:right="107"/>
        <w:jc w:val="both"/>
      </w:pPr>
      <w:r>
        <w:rPr>
          <w:color w:val="231F20"/>
        </w:rPr>
        <w:t>Argumentan</w:t>
      </w:r>
      <w:r>
        <w:rPr>
          <w:color w:val="231F20"/>
          <w:spacing w:val="-8"/>
        </w:rPr>
        <w:t> </w:t>
      </w:r>
      <w:r>
        <w:rPr>
          <w:color w:val="231F20"/>
        </w:rPr>
        <w:t>las</w:t>
      </w:r>
      <w:r>
        <w:rPr>
          <w:color w:val="231F20"/>
          <w:spacing w:val="-8"/>
        </w:rPr>
        <w:t> </w:t>
      </w:r>
      <w:r>
        <w:rPr>
          <w:color w:val="231F20"/>
        </w:rPr>
        <w:t>mujeres</w:t>
      </w:r>
      <w:r>
        <w:rPr>
          <w:color w:val="231F20"/>
          <w:spacing w:val="-9"/>
        </w:rPr>
        <w:t> </w:t>
      </w:r>
      <w:r>
        <w:rPr>
          <w:color w:val="231F20"/>
        </w:rPr>
        <w:t>que</w:t>
      </w:r>
      <w:r>
        <w:rPr>
          <w:color w:val="231F20"/>
          <w:spacing w:val="-8"/>
        </w:rPr>
        <w:t> </w:t>
      </w:r>
      <w:r>
        <w:rPr>
          <w:color w:val="231F20"/>
        </w:rPr>
        <w:t>el</w:t>
      </w:r>
      <w:r>
        <w:rPr>
          <w:color w:val="231F20"/>
          <w:spacing w:val="-8"/>
        </w:rPr>
        <w:t> </w:t>
      </w:r>
      <w:r>
        <w:rPr>
          <w:color w:val="231F20"/>
        </w:rPr>
        <w:t>apoyo</w:t>
      </w:r>
      <w:r>
        <w:rPr>
          <w:color w:val="231F20"/>
          <w:spacing w:val="-8"/>
        </w:rPr>
        <w:t> </w:t>
      </w:r>
      <w:r>
        <w:rPr>
          <w:color w:val="231F20"/>
        </w:rPr>
        <w:t>es</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alimentación,</w:t>
      </w:r>
      <w:r>
        <w:rPr>
          <w:color w:val="231F20"/>
          <w:spacing w:val="-9"/>
        </w:rPr>
        <w:t> </w:t>
      </w:r>
      <w:r>
        <w:rPr>
          <w:color w:val="231F20"/>
        </w:rPr>
        <w:t>porque comprar comida es costoso, y el “doctor no se diga, bueno para que le digo ya todo está carísimo”: “El dinero que me otorgan es para la comida, o en doctor de mis hijos” (entrevista</w:t>
      </w:r>
      <w:r>
        <w:rPr>
          <w:color w:val="231F20"/>
          <w:spacing w:val="-3"/>
        </w:rPr>
        <w:t> </w:t>
      </w:r>
      <w:r>
        <w:rPr>
          <w:color w:val="231F20"/>
        </w:rPr>
        <w:t>6).</w:t>
      </w:r>
    </w:p>
    <w:p>
      <w:pPr>
        <w:pStyle w:val="BodyText"/>
        <w:spacing w:line="249" w:lineRule="auto" w:before="114"/>
        <w:ind w:left="113" w:right="107" w:firstLine="283"/>
        <w:jc w:val="both"/>
      </w:pPr>
      <w:r>
        <w:rPr>
          <w:color w:val="231F20"/>
        </w:rPr>
        <w:t>Hubo casos en donde se otorgó el programa a mujeres jóvenes es- tudiantes, sin hijos, lo cual es un error de focalización; éstas invirtieron el apoyo en gustos diversos, porque argumentaban que obligaciones no tienen,</w:t>
      </w:r>
      <w:r>
        <w:rPr>
          <w:color w:val="231F20"/>
          <w:spacing w:val="-9"/>
        </w:rPr>
        <w:t> </w:t>
      </w:r>
      <w:r>
        <w:rPr>
          <w:color w:val="231F20"/>
        </w:rPr>
        <w:t>porque</w:t>
      </w:r>
      <w:r>
        <w:rPr>
          <w:color w:val="231F20"/>
          <w:spacing w:val="-8"/>
        </w:rPr>
        <w:t> </w:t>
      </w:r>
      <w:r>
        <w:rPr>
          <w:color w:val="231F20"/>
        </w:rPr>
        <w:t>son</w:t>
      </w:r>
      <w:r>
        <w:rPr>
          <w:color w:val="231F20"/>
          <w:spacing w:val="-8"/>
        </w:rPr>
        <w:t> </w:t>
      </w:r>
      <w:r>
        <w:rPr>
          <w:color w:val="231F20"/>
        </w:rPr>
        <w:t>hijas</w:t>
      </w:r>
      <w:r>
        <w:rPr>
          <w:color w:val="231F20"/>
          <w:spacing w:val="-8"/>
        </w:rPr>
        <w:t> </w:t>
      </w:r>
      <w:r>
        <w:rPr>
          <w:color w:val="231F20"/>
        </w:rPr>
        <w:t>de</w:t>
      </w:r>
      <w:r>
        <w:rPr>
          <w:color w:val="231F20"/>
          <w:spacing w:val="-8"/>
        </w:rPr>
        <w:t> </w:t>
      </w:r>
      <w:r>
        <w:rPr>
          <w:color w:val="231F20"/>
        </w:rPr>
        <w:t>familia,</w:t>
      </w:r>
      <w:r>
        <w:rPr>
          <w:color w:val="231F20"/>
          <w:spacing w:val="-8"/>
        </w:rPr>
        <w:t> </w:t>
      </w:r>
      <w:r>
        <w:rPr>
          <w:color w:val="231F20"/>
        </w:rPr>
        <w:t>pero</w:t>
      </w:r>
      <w:r>
        <w:rPr>
          <w:color w:val="231F20"/>
          <w:spacing w:val="-8"/>
        </w:rPr>
        <w:t> </w:t>
      </w:r>
      <w:r>
        <w:rPr>
          <w:color w:val="231F20"/>
        </w:rPr>
        <w:t>que</w:t>
      </w:r>
      <w:r>
        <w:rPr>
          <w:color w:val="231F20"/>
          <w:spacing w:val="-8"/>
        </w:rPr>
        <w:t> </w:t>
      </w:r>
      <w:r>
        <w:rPr>
          <w:color w:val="231F20"/>
        </w:rPr>
        <w:t>estuvo</w:t>
      </w:r>
      <w:r>
        <w:rPr>
          <w:color w:val="231F20"/>
          <w:spacing w:val="-9"/>
        </w:rPr>
        <w:t> </w:t>
      </w:r>
      <w:r>
        <w:rPr>
          <w:color w:val="231F20"/>
        </w:rPr>
        <w:t>bien</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programa se les diera, aunque fuera para un gusto</w:t>
      </w:r>
      <w:r>
        <w:rPr>
          <w:color w:val="231F20"/>
          <w:spacing w:val="-3"/>
        </w:rPr>
        <w:t> </w:t>
      </w:r>
      <w:r>
        <w:rPr>
          <w:color w:val="231F20"/>
        </w:rPr>
        <w:t>personal.</w:t>
      </w:r>
    </w:p>
    <w:p>
      <w:pPr>
        <w:pStyle w:val="BodyText"/>
        <w:spacing w:line="249" w:lineRule="auto" w:before="114"/>
        <w:ind w:left="397" w:right="107"/>
        <w:jc w:val="both"/>
      </w:pPr>
      <w:r>
        <w:rPr>
          <w:color w:val="231F20"/>
        </w:rPr>
        <w:t>Me ayudé para comprarme ropa, zapatos y hasta me alcanzó para ir  a unos bailes, porque soy soltera. Y decían que no me darían el pro- grama</w:t>
      </w:r>
      <w:r>
        <w:rPr>
          <w:color w:val="231F20"/>
          <w:spacing w:val="-5"/>
        </w:rPr>
        <w:t> </w:t>
      </w:r>
      <w:r>
        <w:rPr>
          <w:color w:val="231F20"/>
        </w:rPr>
        <w:t>porque</w:t>
      </w:r>
      <w:r>
        <w:rPr>
          <w:color w:val="231F20"/>
          <w:spacing w:val="-5"/>
        </w:rPr>
        <w:t> </w:t>
      </w:r>
      <w:r>
        <w:rPr>
          <w:color w:val="231F20"/>
        </w:rPr>
        <w:t>no</w:t>
      </w:r>
      <w:r>
        <w:rPr>
          <w:color w:val="231F20"/>
          <w:spacing w:val="-5"/>
        </w:rPr>
        <w:t> </w:t>
      </w:r>
      <w:r>
        <w:rPr>
          <w:color w:val="231F20"/>
        </w:rPr>
        <w:t>tenía</w:t>
      </w:r>
      <w:r>
        <w:rPr>
          <w:color w:val="231F20"/>
          <w:spacing w:val="-5"/>
        </w:rPr>
        <w:t> </w:t>
      </w:r>
      <w:r>
        <w:rPr>
          <w:color w:val="231F20"/>
        </w:rPr>
        <w:t>hijos</w:t>
      </w:r>
      <w:r>
        <w:rPr>
          <w:color w:val="231F20"/>
          <w:spacing w:val="-5"/>
        </w:rPr>
        <w:t> </w:t>
      </w:r>
      <w:r>
        <w:rPr>
          <w:color w:val="231F20"/>
          <w:spacing w:val="-7"/>
        </w:rPr>
        <w:t>y,</w:t>
      </w:r>
      <w:r>
        <w:rPr>
          <w:color w:val="231F20"/>
          <w:spacing w:val="-5"/>
        </w:rPr>
        <w:t> </w:t>
      </w:r>
      <w:r>
        <w:rPr>
          <w:color w:val="231F20"/>
        </w:rPr>
        <w:t>porque</w:t>
      </w:r>
      <w:r>
        <w:rPr>
          <w:color w:val="231F20"/>
          <w:spacing w:val="-5"/>
        </w:rPr>
        <w:t> </w:t>
      </w:r>
      <w:r>
        <w:rPr>
          <w:color w:val="231F20"/>
        </w:rPr>
        <w:t>así</w:t>
      </w:r>
      <w:r>
        <w:rPr>
          <w:color w:val="231F20"/>
          <w:spacing w:val="-5"/>
        </w:rPr>
        <w:t> </w:t>
      </w:r>
      <w:r>
        <w:rPr>
          <w:color w:val="231F20"/>
        </w:rPr>
        <w:t>lo</w:t>
      </w:r>
      <w:r>
        <w:rPr>
          <w:color w:val="231F20"/>
          <w:spacing w:val="-5"/>
        </w:rPr>
        <w:t> </w:t>
      </w:r>
      <w:r>
        <w:rPr>
          <w:color w:val="231F20"/>
        </w:rPr>
        <w:t>decía</w:t>
      </w:r>
      <w:r>
        <w:rPr>
          <w:color w:val="231F20"/>
          <w:spacing w:val="-5"/>
        </w:rPr>
        <w:t> </w:t>
      </w:r>
      <w:r>
        <w:rPr>
          <w:color w:val="231F20"/>
        </w:rPr>
        <w:t>el</w:t>
      </w:r>
      <w:r>
        <w:rPr>
          <w:color w:val="231F20"/>
          <w:spacing w:val="-5"/>
        </w:rPr>
        <w:t> </w:t>
      </w:r>
      <w:r>
        <w:rPr>
          <w:color w:val="231F20"/>
        </w:rPr>
        <w:t>lineamiento,</w:t>
      </w:r>
      <w:r>
        <w:rPr>
          <w:color w:val="231F20"/>
          <w:spacing w:val="-6"/>
        </w:rPr>
        <w:t> </w:t>
      </w:r>
      <w:r>
        <w:rPr>
          <w:color w:val="231F20"/>
        </w:rPr>
        <w:t>y</w:t>
      </w:r>
      <w:r>
        <w:rPr>
          <w:color w:val="231F20"/>
          <w:spacing w:val="-5"/>
        </w:rPr>
        <w:t> </w:t>
      </w:r>
      <w:r>
        <w:rPr>
          <w:color w:val="231F20"/>
        </w:rPr>
        <w:t>sí me lo dieron para ir a bailar aunque sea, sí me sirvió en su momento (entre-vista 7).</w:t>
      </w:r>
    </w:p>
    <w:p>
      <w:pPr>
        <w:pStyle w:val="BodyText"/>
        <w:spacing w:line="249" w:lineRule="auto" w:before="114"/>
        <w:ind w:left="113" w:right="107" w:firstLine="283"/>
        <w:jc w:val="both"/>
      </w:pPr>
      <w:r>
        <w:rPr>
          <w:color w:val="231F20"/>
        </w:rPr>
        <w:t>Hubo mujeres jóvenes que son madres solteras por lo que el uso del recurso económico es diferente, ya que tiene la obligación de mantener  a sus</w:t>
      </w:r>
      <w:r>
        <w:rPr>
          <w:color w:val="231F20"/>
          <w:spacing w:val="-2"/>
        </w:rPr>
        <w:t> </w:t>
      </w:r>
      <w:r>
        <w:rPr>
          <w:color w:val="231F20"/>
        </w:rPr>
        <w:t>hijos.</w:t>
      </w:r>
    </w:p>
    <w:p>
      <w:pPr>
        <w:pStyle w:val="BodyText"/>
        <w:spacing w:line="249" w:lineRule="auto" w:before="114"/>
        <w:ind w:left="397" w:right="108"/>
        <w:jc w:val="both"/>
      </w:pPr>
      <w:r>
        <w:rPr>
          <w:color w:val="231F20"/>
        </w:rPr>
        <w:t>En mis necesidades como madre soltera, compré la leche, pañales, incluso [lo usé] hasta para ir al pediatra, claro no alcanza para todo, pero el dinero lo voy ajustando de acuerdo a las necesidades más primordiales que tengo con mis hijas (entrevista 4).</w:t>
      </w:r>
    </w:p>
    <w:p>
      <w:pPr>
        <w:pStyle w:val="BodyText"/>
        <w:spacing w:before="5"/>
        <w:rPr>
          <w:sz w:val="21"/>
        </w:rPr>
      </w:pPr>
    </w:p>
    <w:p>
      <w:pPr>
        <w:pStyle w:val="Heading5"/>
        <w:spacing w:before="1"/>
        <w:ind w:right="792"/>
        <w:jc w:val="left"/>
        <w:rPr>
          <w:i/>
        </w:rPr>
      </w:pPr>
      <w:r>
        <w:rPr>
          <w:i/>
          <w:w w:val="75"/>
        </w:rPr>
        <w:t>Eficiencia del programa</w:t>
      </w:r>
    </w:p>
    <w:p>
      <w:pPr>
        <w:pStyle w:val="BodyText"/>
        <w:spacing w:line="249" w:lineRule="auto" w:before="171"/>
        <w:ind w:left="113"/>
      </w:pPr>
      <w:r>
        <w:rPr>
          <w:color w:val="231F20"/>
        </w:rPr>
        <w:t>Esta dimensión analítica tenía como objetivo conocer el proceso de im- plementación del programa.</w:t>
      </w:r>
    </w:p>
    <w:p>
      <w:pPr>
        <w:spacing w:after="0" w:line="249" w:lineRule="auto"/>
        <w:sectPr>
          <w:footerReference w:type="default" r:id="rId265"/>
          <w:pgSz w:w="7770" w:h="11740"/>
          <w:pgMar w:footer="474" w:header="0" w:top="840" w:bottom="660" w:left="1020" w:right="740"/>
          <w:pgNumType w:start="241"/>
        </w:sectPr>
      </w:pPr>
    </w:p>
    <w:p>
      <w:pPr>
        <w:pStyle w:val="BodyText"/>
        <w:spacing w:line="249" w:lineRule="auto" w:before="60"/>
        <w:ind w:left="110" w:right="111" w:firstLine="283"/>
        <w:jc w:val="both"/>
      </w:pPr>
      <w:r>
        <w:rPr>
          <w:color w:val="231F20"/>
        </w:rPr>
        <w:t>En este sentido se encontraron problemas de focalización, ya que hubo</w:t>
      </w:r>
      <w:r>
        <w:rPr>
          <w:color w:val="231F20"/>
          <w:spacing w:val="-8"/>
        </w:rPr>
        <w:t> </w:t>
      </w:r>
      <w:r>
        <w:rPr>
          <w:color w:val="231F20"/>
        </w:rPr>
        <w:t>mujeres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cumplieron</w:t>
      </w:r>
      <w:r>
        <w:rPr>
          <w:color w:val="231F20"/>
          <w:spacing w:val="-9"/>
        </w:rPr>
        <w:t> </w:t>
      </w:r>
      <w:r>
        <w:rPr>
          <w:color w:val="231F20"/>
        </w:rPr>
        <w:t>con</w:t>
      </w:r>
      <w:r>
        <w:rPr>
          <w:color w:val="231F20"/>
          <w:spacing w:val="-8"/>
        </w:rPr>
        <w:t> </w:t>
      </w:r>
      <w:r>
        <w:rPr>
          <w:color w:val="231F20"/>
        </w:rPr>
        <w:t>los</w:t>
      </w:r>
      <w:r>
        <w:rPr>
          <w:color w:val="231F20"/>
          <w:spacing w:val="-8"/>
        </w:rPr>
        <w:t> </w:t>
      </w:r>
      <w:r>
        <w:rPr>
          <w:color w:val="231F20"/>
        </w:rPr>
        <w:t>lineamientos</w:t>
      </w:r>
      <w:r>
        <w:rPr>
          <w:color w:val="231F20"/>
          <w:spacing w:val="-9"/>
        </w:rPr>
        <w:t> </w:t>
      </w:r>
      <w:r>
        <w:rPr>
          <w:color w:val="231F20"/>
        </w:rPr>
        <w:t>para</w:t>
      </w:r>
      <w:r>
        <w:rPr>
          <w:color w:val="231F20"/>
          <w:spacing w:val="-8"/>
        </w:rPr>
        <w:t> </w:t>
      </w:r>
      <w:r>
        <w:rPr>
          <w:color w:val="231F20"/>
        </w:rPr>
        <w:t>ser</w:t>
      </w:r>
      <w:r>
        <w:rPr>
          <w:color w:val="231F20"/>
          <w:spacing w:val="-8"/>
        </w:rPr>
        <w:t> </w:t>
      </w:r>
      <w:r>
        <w:rPr>
          <w:color w:val="231F20"/>
        </w:rPr>
        <w:t>beneficia- ria del programa, pero a pesar de ello fueron beneficiadas; a diferencia de</w:t>
      </w:r>
      <w:r>
        <w:rPr>
          <w:color w:val="231F20"/>
          <w:spacing w:val="-4"/>
        </w:rPr>
        <w:t> </w:t>
      </w:r>
      <w:r>
        <w:rPr>
          <w:color w:val="231F20"/>
        </w:rPr>
        <w:t>otras</w:t>
      </w:r>
      <w:r>
        <w:rPr>
          <w:color w:val="231F20"/>
          <w:spacing w:val="-4"/>
        </w:rPr>
        <w:t> </w:t>
      </w:r>
      <w:r>
        <w:rPr>
          <w:color w:val="231F20"/>
        </w:rPr>
        <w:t>mujeres</w:t>
      </w:r>
      <w:r>
        <w:rPr>
          <w:color w:val="231F20"/>
          <w:spacing w:val="-4"/>
        </w:rPr>
        <w:t> </w:t>
      </w:r>
      <w:r>
        <w:rPr>
          <w:color w:val="231F20"/>
        </w:rPr>
        <w:t>que</w:t>
      </w:r>
      <w:r>
        <w:rPr>
          <w:color w:val="231F20"/>
          <w:spacing w:val="-4"/>
        </w:rPr>
        <w:t> </w:t>
      </w:r>
      <w:r>
        <w:rPr>
          <w:color w:val="231F20"/>
        </w:rPr>
        <w:t>cumplieron</w:t>
      </w:r>
      <w:r>
        <w:rPr>
          <w:color w:val="231F20"/>
          <w:spacing w:val="-4"/>
        </w:rPr>
        <w:t> </w:t>
      </w:r>
      <w:r>
        <w:rPr>
          <w:color w:val="231F20"/>
        </w:rPr>
        <w:t>con</w:t>
      </w:r>
      <w:r>
        <w:rPr>
          <w:color w:val="231F20"/>
          <w:spacing w:val="-4"/>
        </w:rPr>
        <w:t> </w:t>
      </w:r>
      <w:r>
        <w:rPr>
          <w:color w:val="231F20"/>
        </w:rPr>
        <w:t>todo</w:t>
      </w:r>
      <w:r>
        <w:rPr>
          <w:color w:val="231F20"/>
          <w:spacing w:val="-4"/>
        </w:rPr>
        <w:t> </w:t>
      </w:r>
      <w:r>
        <w:rPr>
          <w:color w:val="231F20"/>
        </w:rPr>
        <w:t>el</w:t>
      </w:r>
      <w:r>
        <w:rPr>
          <w:color w:val="231F20"/>
          <w:spacing w:val="-4"/>
        </w:rPr>
        <w:t> </w:t>
      </w:r>
      <w:r>
        <w:rPr>
          <w:color w:val="231F20"/>
        </w:rPr>
        <w:t>trámite,</w:t>
      </w:r>
      <w:r>
        <w:rPr>
          <w:color w:val="231F20"/>
          <w:spacing w:val="-4"/>
        </w:rPr>
        <w:t> </w:t>
      </w:r>
      <w:r>
        <w:rPr>
          <w:color w:val="231F20"/>
        </w:rPr>
        <w:t>tienen</w:t>
      </w:r>
      <w:r>
        <w:rPr>
          <w:color w:val="231F20"/>
          <w:spacing w:val="-4"/>
        </w:rPr>
        <w:t> </w:t>
      </w:r>
      <w:r>
        <w:rPr>
          <w:color w:val="231F20"/>
        </w:rPr>
        <w:t>hijos,</w:t>
      </w:r>
      <w:r>
        <w:rPr>
          <w:color w:val="231F20"/>
          <w:spacing w:val="-4"/>
        </w:rPr>
        <w:t> </w:t>
      </w:r>
      <w:r>
        <w:rPr>
          <w:color w:val="231F20"/>
        </w:rPr>
        <w:t>son</w:t>
      </w:r>
      <w:r>
        <w:rPr>
          <w:color w:val="231F20"/>
          <w:spacing w:val="-4"/>
        </w:rPr>
        <w:t> </w:t>
      </w:r>
      <w:r>
        <w:rPr>
          <w:color w:val="231F20"/>
        </w:rPr>
        <w:t>de familias vulnerables y no resultaron beneficiadas. La convocatoria fue abierta,</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algunos</w:t>
      </w:r>
      <w:r>
        <w:rPr>
          <w:color w:val="231F20"/>
          <w:spacing w:val="-6"/>
        </w:rPr>
        <w:t> </w:t>
      </w:r>
      <w:r>
        <w:rPr>
          <w:color w:val="231F20"/>
        </w:rPr>
        <w:t>hogares</w:t>
      </w:r>
      <w:r>
        <w:rPr>
          <w:color w:val="231F20"/>
          <w:spacing w:val="-6"/>
        </w:rPr>
        <w:t> </w:t>
      </w:r>
      <w:r>
        <w:rPr>
          <w:color w:val="231F20"/>
        </w:rPr>
        <w:t>se</w:t>
      </w:r>
      <w:r>
        <w:rPr>
          <w:color w:val="231F20"/>
          <w:spacing w:val="-6"/>
        </w:rPr>
        <w:t> </w:t>
      </w:r>
      <w:r>
        <w:rPr>
          <w:color w:val="231F20"/>
        </w:rPr>
        <w:t>benefició</w:t>
      </w:r>
      <w:r>
        <w:rPr>
          <w:color w:val="231F20"/>
          <w:spacing w:val="-6"/>
        </w:rPr>
        <w:t> </w:t>
      </w:r>
      <w:r>
        <w:rPr>
          <w:color w:val="231F20"/>
        </w:rPr>
        <w:t>hasta</w:t>
      </w:r>
      <w:r>
        <w:rPr>
          <w:color w:val="231F20"/>
          <w:spacing w:val="-6"/>
        </w:rPr>
        <w:t> </w:t>
      </w:r>
      <w:r>
        <w:rPr>
          <w:color w:val="231F20"/>
        </w:rPr>
        <w:t>dos</w:t>
      </w:r>
      <w:r>
        <w:rPr>
          <w:color w:val="231F20"/>
          <w:spacing w:val="-6"/>
        </w:rPr>
        <w:t> </w:t>
      </w:r>
      <w:r>
        <w:rPr>
          <w:color w:val="231F20"/>
        </w:rPr>
        <w:t>o</w:t>
      </w:r>
      <w:r>
        <w:rPr>
          <w:color w:val="231F20"/>
          <w:spacing w:val="-6"/>
        </w:rPr>
        <w:t> </w:t>
      </w:r>
      <w:r>
        <w:rPr>
          <w:color w:val="231F20"/>
        </w:rPr>
        <w:t>tres</w:t>
      </w:r>
      <w:r>
        <w:rPr>
          <w:color w:val="231F20"/>
          <w:spacing w:val="-6"/>
        </w:rPr>
        <w:t> </w:t>
      </w:r>
      <w:r>
        <w:rPr>
          <w:color w:val="231F20"/>
        </w:rPr>
        <w:t>familiares</w:t>
      </w:r>
      <w:r>
        <w:rPr>
          <w:color w:val="231F20"/>
          <w:spacing w:val="-6"/>
        </w:rPr>
        <w:t> </w:t>
      </w:r>
      <w:r>
        <w:rPr>
          <w:color w:val="231F20"/>
        </w:rPr>
        <w:t>y</w:t>
      </w:r>
      <w:r>
        <w:rPr>
          <w:color w:val="231F20"/>
          <w:spacing w:val="-6"/>
        </w:rPr>
        <w:t> </w:t>
      </w:r>
      <w:r>
        <w:rPr>
          <w:color w:val="231F20"/>
        </w:rPr>
        <w:t>en otras viviendas se dejó a varias mujeres sin él</w:t>
      </w:r>
      <w:r>
        <w:rPr>
          <w:color w:val="231F20"/>
          <w:spacing w:val="-4"/>
        </w:rPr>
        <w:t> </w:t>
      </w:r>
      <w:r>
        <w:rPr>
          <w:color w:val="231F20"/>
        </w:rPr>
        <w:t>apoyó.</w:t>
      </w:r>
    </w:p>
    <w:p>
      <w:pPr>
        <w:pStyle w:val="BodyText"/>
        <w:spacing w:line="249" w:lineRule="auto" w:before="1"/>
        <w:ind w:left="110" w:right="111" w:firstLine="283"/>
        <w:jc w:val="both"/>
      </w:pPr>
      <w:r>
        <w:rPr>
          <w:color w:val="231F20"/>
        </w:rPr>
        <w:t>La forma del pago a las beneficiarias no fue la mejor, ya que se rea- lizó mediante el uso de tarjetas bancarias de débito. Las mujeres benefi- ciarias comentaron que fue complicado desde la entrega de tarjeta y su activación, porque “se llevaron todo un día y no se les entregó, ni a la mitad de mujeres, su tarjeta”; el proceso fue cansado y agotador, “estar esperando en el sol”, además los coordinadores del programa “fueron groseros, como si las mujeres fueran las culpables de su mal organiza- ción</w:t>
      </w:r>
      <w:r>
        <w:rPr>
          <w:color w:val="231F20"/>
          <w:spacing w:val="-8"/>
        </w:rPr>
        <w:t> </w:t>
      </w:r>
      <w:r>
        <w:rPr>
          <w:color w:val="231F20"/>
        </w:rPr>
        <w:t>de</w:t>
      </w:r>
      <w:r>
        <w:rPr>
          <w:color w:val="231F20"/>
          <w:spacing w:val="-8"/>
        </w:rPr>
        <w:t> </w:t>
      </w:r>
      <w:r>
        <w:rPr>
          <w:color w:val="231F20"/>
        </w:rPr>
        <w:t>ellos”.</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se</w:t>
      </w:r>
      <w:r>
        <w:rPr>
          <w:color w:val="231F20"/>
          <w:spacing w:val="-8"/>
        </w:rPr>
        <w:t> </w:t>
      </w:r>
      <w:r>
        <w:rPr>
          <w:color w:val="231F20"/>
        </w:rPr>
        <w:t>canceló</w:t>
      </w:r>
      <w:r>
        <w:rPr>
          <w:color w:val="231F20"/>
          <w:spacing w:val="-8"/>
        </w:rPr>
        <w:t> </w:t>
      </w:r>
      <w:r>
        <w:rPr>
          <w:color w:val="231F20"/>
        </w:rPr>
        <w:t>la</w:t>
      </w:r>
      <w:r>
        <w:rPr>
          <w:color w:val="231F20"/>
          <w:spacing w:val="-8"/>
        </w:rPr>
        <w:t> </w:t>
      </w:r>
      <w:r>
        <w:rPr>
          <w:color w:val="231F20"/>
        </w:rPr>
        <w:t>entrega</w:t>
      </w:r>
      <w:r>
        <w:rPr>
          <w:color w:val="231F20"/>
          <w:spacing w:val="-8"/>
        </w:rPr>
        <w:t> </w:t>
      </w:r>
      <w:r>
        <w:rPr>
          <w:color w:val="231F20"/>
        </w:rPr>
        <w:t>y</w:t>
      </w:r>
      <w:r>
        <w:rPr>
          <w:color w:val="231F20"/>
          <w:spacing w:val="-8"/>
        </w:rPr>
        <w:t> </w:t>
      </w:r>
      <w:r>
        <w:rPr>
          <w:color w:val="231F20"/>
        </w:rPr>
        <w:t>mandaron</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mujeres al banco a que ellas solas activaran su</w:t>
      </w:r>
      <w:r>
        <w:rPr>
          <w:color w:val="231F20"/>
          <w:spacing w:val="-7"/>
        </w:rPr>
        <w:t> </w:t>
      </w:r>
      <w:r>
        <w:rPr>
          <w:color w:val="231F20"/>
        </w:rPr>
        <w:t>tarjeta.</w:t>
      </w:r>
    </w:p>
    <w:p>
      <w:pPr>
        <w:pStyle w:val="BodyText"/>
        <w:spacing w:line="249" w:lineRule="auto" w:before="1"/>
        <w:ind w:left="110" w:right="111" w:firstLine="283"/>
        <w:jc w:val="both"/>
      </w:pPr>
      <w:r>
        <w:rPr>
          <w:color w:val="231F20"/>
        </w:rPr>
        <w:t>Para agilizar todo el trámite el programa debe buscar un mecanismo de entrega del apoyo económico que sea fácil y eficiente para las</w:t>
      </w:r>
      <w:r>
        <w:rPr>
          <w:color w:val="231F20"/>
          <w:spacing w:val="-33"/>
        </w:rPr>
        <w:t> </w:t>
      </w:r>
      <w:r>
        <w:rPr>
          <w:color w:val="231F20"/>
        </w:rPr>
        <w:t>benefi- ciarias; pues el utilizado resultó un descontrol. En este caso no hay que perder de vista que se trata de mujeres que no tienen experiencia con instituciones bancarias; de esta forma se encontraron casos de mujeres que no sabían cómo utilizar una tarjeta y mucho menos cobrar dinero  en un banco e incluso casos en donde por esta razón dejaron perder su apoyo</w:t>
      </w:r>
      <w:r>
        <w:rPr>
          <w:color w:val="231F20"/>
          <w:spacing w:val="-1"/>
        </w:rPr>
        <w:t> </w:t>
      </w:r>
      <w:r>
        <w:rPr>
          <w:color w:val="231F20"/>
        </w:rPr>
        <w:t>económico.</w:t>
      </w:r>
    </w:p>
    <w:p>
      <w:pPr>
        <w:pStyle w:val="BodyText"/>
        <w:spacing w:line="249" w:lineRule="auto" w:before="1"/>
        <w:ind w:left="110" w:right="111" w:firstLine="283"/>
        <w:jc w:val="both"/>
      </w:pPr>
      <w:r>
        <w:rPr>
          <w:color w:val="231F20"/>
        </w:rPr>
        <w:t>Comentaron las mujeres que algunas recurrieron al contador del</w:t>
      </w:r>
      <w:r>
        <w:rPr>
          <w:color w:val="231F20"/>
          <w:spacing w:val="-32"/>
        </w:rPr>
        <w:t> </w:t>
      </w:r>
      <w:r>
        <w:rPr>
          <w:color w:val="231F20"/>
        </w:rPr>
        <w:t>ban- co para que les ayudara a sacar su dinero, las mujeres exponían que el usar</w:t>
      </w:r>
      <w:r>
        <w:rPr>
          <w:color w:val="231F20"/>
          <w:spacing w:val="-9"/>
        </w:rPr>
        <w:t> </w:t>
      </w:r>
      <w:r>
        <w:rPr>
          <w:color w:val="231F20"/>
        </w:rPr>
        <w:t>el</w:t>
      </w:r>
      <w:r>
        <w:rPr>
          <w:color w:val="231F20"/>
          <w:spacing w:val="-9"/>
        </w:rPr>
        <w:t> </w:t>
      </w:r>
      <w:r>
        <w:rPr>
          <w:color w:val="231F20"/>
        </w:rPr>
        <w:t>cajero</w:t>
      </w:r>
      <w:r>
        <w:rPr>
          <w:color w:val="231F20"/>
          <w:spacing w:val="-9"/>
        </w:rPr>
        <w:t> </w:t>
      </w:r>
      <w:r>
        <w:rPr>
          <w:color w:val="231F20"/>
        </w:rPr>
        <w:t>les</w:t>
      </w:r>
      <w:r>
        <w:rPr>
          <w:color w:val="231F20"/>
          <w:spacing w:val="-9"/>
        </w:rPr>
        <w:t> </w:t>
      </w:r>
      <w:r>
        <w:rPr>
          <w:color w:val="231F20"/>
        </w:rPr>
        <w:t>generaba</w:t>
      </w:r>
      <w:r>
        <w:rPr>
          <w:color w:val="231F20"/>
          <w:spacing w:val="-9"/>
        </w:rPr>
        <w:t> </w:t>
      </w:r>
      <w:r>
        <w:rPr>
          <w:color w:val="231F20"/>
        </w:rPr>
        <w:t>miedos,</w:t>
      </w:r>
      <w:r>
        <w:rPr>
          <w:color w:val="231F20"/>
          <w:spacing w:val="-9"/>
        </w:rPr>
        <w:t> </w:t>
      </w:r>
      <w:r>
        <w:rPr>
          <w:color w:val="231F20"/>
        </w:rPr>
        <w:t>ellas</w:t>
      </w:r>
      <w:r>
        <w:rPr>
          <w:color w:val="231F20"/>
          <w:spacing w:val="-9"/>
        </w:rPr>
        <w:t> </w:t>
      </w:r>
      <w:r>
        <w:rPr>
          <w:color w:val="231F20"/>
        </w:rPr>
        <w:t>hubieran</w:t>
      </w:r>
      <w:r>
        <w:rPr>
          <w:color w:val="231F20"/>
          <w:spacing w:val="-9"/>
        </w:rPr>
        <w:t> </w:t>
      </w:r>
      <w:r>
        <w:rPr>
          <w:color w:val="231F20"/>
        </w:rPr>
        <w:t>preferido</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pagos se</w:t>
      </w:r>
      <w:r>
        <w:rPr>
          <w:color w:val="231F20"/>
          <w:spacing w:val="-4"/>
        </w:rPr>
        <w:t> </w:t>
      </w:r>
      <w:r>
        <w:rPr>
          <w:color w:val="231F20"/>
        </w:rPr>
        <w:t>les</w:t>
      </w:r>
      <w:r>
        <w:rPr>
          <w:color w:val="231F20"/>
          <w:spacing w:val="-4"/>
        </w:rPr>
        <w:t> </w:t>
      </w:r>
      <w:r>
        <w:rPr>
          <w:color w:val="231F20"/>
        </w:rPr>
        <w:t>hubiesen</w:t>
      </w:r>
      <w:r>
        <w:rPr>
          <w:color w:val="231F20"/>
          <w:spacing w:val="-4"/>
        </w:rPr>
        <w:t> </w:t>
      </w:r>
      <w:r>
        <w:rPr>
          <w:color w:val="231F20"/>
        </w:rPr>
        <w:t>hecho</w:t>
      </w:r>
      <w:r>
        <w:rPr>
          <w:color w:val="231F20"/>
          <w:spacing w:val="-4"/>
        </w:rPr>
        <w:t> </w:t>
      </w:r>
      <w:r>
        <w:rPr>
          <w:color w:val="231F20"/>
        </w:rPr>
        <w:t>llegar</w:t>
      </w:r>
      <w:r>
        <w:rPr>
          <w:color w:val="231F20"/>
          <w:spacing w:val="-5"/>
        </w:rPr>
        <w:t> </w:t>
      </w:r>
      <w:r>
        <w:rPr>
          <w:color w:val="231F20"/>
        </w:rPr>
        <w:t>de</w:t>
      </w:r>
      <w:r>
        <w:rPr>
          <w:color w:val="231F20"/>
          <w:spacing w:val="-4"/>
        </w:rPr>
        <w:t> </w:t>
      </w:r>
      <w:r>
        <w:rPr>
          <w:color w:val="231F20"/>
        </w:rPr>
        <w:t>otra</w:t>
      </w:r>
      <w:r>
        <w:rPr>
          <w:color w:val="231F20"/>
          <w:spacing w:val="-4"/>
        </w:rPr>
        <w:t> </w:t>
      </w:r>
      <w:r>
        <w:rPr>
          <w:color w:val="231F20"/>
        </w:rPr>
        <w:t>forma</w:t>
      </w:r>
      <w:r>
        <w:rPr>
          <w:color w:val="231F20"/>
          <w:spacing w:val="-4"/>
        </w:rPr>
        <w:t> </w:t>
      </w:r>
      <w:r>
        <w:rPr>
          <w:color w:val="231F20"/>
        </w:rPr>
        <w:t>más</w:t>
      </w:r>
      <w:r>
        <w:rPr>
          <w:color w:val="231F20"/>
          <w:spacing w:val="-5"/>
        </w:rPr>
        <w:t> </w:t>
      </w:r>
      <w:r>
        <w:rPr>
          <w:color w:val="231F20"/>
        </w:rPr>
        <w:t>práctica.</w:t>
      </w:r>
      <w:r>
        <w:rPr>
          <w:color w:val="231F20"/>
          <w:spacing w:val="-4"/>
        </w:rPr>
        <w:t> </w:t>
      </w:r>
      <w:r>
        <w:rPr>
          <w:color w:val="231F20"/>
        </w:rPr>
        <w:t>El</w:t>
      </w:r>
      <w:r>
        <w:rPr>
          <w:color w:val="231F20"/>
          <w:spacing w:val="-4"/>
        </w:rPr>
        <w:t> </w:t>
      </w:r>
      <w:r>
        <w:rPr>
          <w:color w:val="231F20"/>
        </w:rPr>
        <w:t>asistir</w:t>
      </w:r>
      <w:r>
        <w:rPr>
          <w:color w:val="231F20"/>
          <w:spacing w:val="-5"/>
        </w:rPr>
        <w:t> </w:t>
      </w:r>
      <w:r>
        <w:rPr>
          <w:color w:val="231F20"/>
        </w:rPr>
        <w:t>al</w:t>
      </w:r>
      <w:r>
        <w:rPr>
          <w:color w:val="231F20"/>
          <w:spacing w:val="-4"/>
        </w:rPr>
        <w:t> </w:t>
      </w:r>
      <w:r>
        <w:rPr>
          <w:color w:val="231F20"/>
        </w:rPr>
        <w:t>ban- co y pedir a los contadores como usar el cajero no fue fácil, ya que hay mujeres que no saben leer y escribir. Las mujeres se desesperaban y los contadores del banco también, “estaban de mal carácter”, se desespera- ban</w:t>
      </w:r>
      <w:r>
        <w:rPr>
          <w:color w:val="231F20"/>
          <w:spacing w:val="-10"/>
        </w:rPr>
        <w:t> </w:t>
      </w:r>
      <w:r>
        <w:rPr>
          <w:color w:val="231F20"/>
        </w:rPr>
        <w:t>al</w:t>
      </w:r>
      <w:r>
        <w:rPr>
          <w:color w:val="231F20"/>
          <w:spacing w:val="-10"/>
        </w:rPr>
        <w:t> </w:t>
      </w:r>
      <w:r>
        <w:rPr>
          <w:color w:val="231F20"/>
        </w:rPr>
        <w:t>atender</w:t>
      </w:r>
      <w:r>
        <w:rPr>
          <w:color w:val="231F20"/>
          <w:spacing w:val="-11"/>
        </w:rPr>
        <w:t> </w:t>
      </w:r>
      <w:r>
        <w:rPr>
          <w:color w:val="231F20"/>
        </w:rPr>
        <w:t>a</w:t>
      </w:r>
      <w:r>
        <w:rPr>
          <w:color w:val="231F20"/>
          <w:spacing w:val="-10"/>
        </w:rPr>
        <w:t> </w:t>
      </w:r>
      <w:r>
        <w:rPr>
          <w:color w:val="231F20"/>
        </w:rPr>
        <w:t>tantas</w:t>
      </w:r>
      <w:r>
        <w:rPr>
          <w:color w:val="231F20"/>
          <w:spacing w:val="-11"/>
        </w:rPr>
        <w:t> </w:t>
      </w:r>
      <w:r>
        <w:rPr>
          <w:color w:val="231F20"/>
        </w:rPr>
        <w:t>mujeres,</w:t>
      </w:r>
      <w:r>
        <w:rPr>
          <w:color w:val="231F20"/>
          <w:spacing w:val="-11"/>
        </w:rPr>
        <w:t> </w:t>
      </w:r>
      <w:r>
        <w:rPr>
          <w:color w:val="231F20"/>
        </w:rPr>
        <w:t>generando</w:t>
      </w:r>
      <w:r>
        <w:rPr>
          <w:color w:val="231F20"/>
          <w:spacing w:val="-10"/>
        </w:rPr>
        <w:t> </w:t>
      </w:r>
      <w:r>
        <w:rPr>
          <w:color w:val="231F20"/>
        </w:rPr>
        <w:t>hacia</w:t>
      </w:r>
      <w:r>
        <w:rPr>
          <w:color w:val="231F20"/>
          <w:spacing w:val="-10"/>
        </w:rPr>
        <w:t> </w:t>
      </w:r>
      <w:r>
        <w:rPr>
          <w:color w:val="231F20"/>
        </w:rPr>
        <w:t>las</w:t>
      </w:r>
      <w:r>
        <w:rPr>
          <w:color w:val="231F20"/>
          <w:spacing w:val="-10"/>
        </w:rPr>
        <w:t> </w:t>
      </w:r>
      <w:r>
        <w:rPr>
          <w:color w:val="231F20"/>
        </w:rPr>
        <w:t>mujeres</w:t>
      </w:r>
      <w:r>
        <w:rPr>
          <w:color w:val="231F20"/>
          <w:spacing w:val="-11"/>
        </w:rPr>
        <w:t> </w:t>
      </w:r>
      <w:r>
        <w:rPr>
          <w:color w:val="231F20"/>
        </w:rPr>
        <w:t>humillación; las mujeres decían que la gente las veía mal y se burlaban de ellas: </w:t>
      </w:r>
      <w:r>
        <w:rPr>
          <w:color w:val="231F20"/>
          <w:spacing w:val="-7"/>
        </w:rPr>
        <w:t>“Yo </w:t>
      </w:r>
      <w:r>
        <w:rPr>
          <w:color w:val="231F20"/>
        </w:rPr>
        <w:t>no sé qué es esa palabra que dice emprender; también me puse hasta nerviosa de que no sabía cobrar mi pagos en el banco” (entrevista 3). “La forma de pago no fue correcta, no me gustó, me tarde mucho con esas máquinas dicen que se llaman cajeros, y no sabía cómo utilizarlo” (entrevista 2). “Híjole fue muy complicado y humillante para mí,</w:t>
      </w:r>
      <w:r>
        <w:rPr>
          <w:color w:val="231F20"/>
          <w:spacing w:val="-32"/>
        </w:rPr>
        <w:t> </w:t>
      </w:r>
      <w:r>
        <w:rPr>
          <w:color w:val="231F20"/>
        </w:rPr>
        <w:t>porque no sabía cómo utilizar esa máquinas” (entrevista</w:t>
      </w:r>
      <w:r>
        <w:rPr>
          <w:color w:val="231F20"/>
          <w:spacing w:val="-7"/>
        </w:rPr>
        <w:t> </w:t>
      </w:r>
      <w:r>
        <w:rPr>
          <w:color w:val="231F20"/>
        </w:rPr>
        <w:t>7).</w:t>
      </w:r>
    </w:p>
    <w:p>
      <w:pPr>
        <w:pStyle w:val="BodyText"/>
        <w:spacing w:before="114"/>
        <w:ind w:left="393" w:right="-19"/>
      </w:pPr>
      <w:r>
        <w:rPr>
          <w:color w:val="231F20"/>
          <w:spacing w:val="-11"/>
        </w:rPr>
        <w:t>Yo </w:t>
      </w:r>
      <w:r>
        <w:rPr>
          <w:color w:val="231F20"/>
        </w:rPr>
        <w:t>perdí mi hojita de información donde venía mi tarjeta y que el </w:t>
      </w:r>
      <w:r>
        <w:rPr>
          <w:color w:val="231F20"/>
          <w:spacing w:val="-7"/>
        </w:rPr>
        <w:t>NIP,</w:t>
      </w:r>
    </w:p>
    <w:p>
      <w:pPr>
        <w:spacing w:after="0"/>
        <w:sectPr>
          <w:pgSz w:w="7770" w:h="11740"/>
          <w:pgMar w:header="0" w:footer="474" w:top="840" w:bottom="740" w:left="740" w:right="1020"/>
        </w:sectPr>
      </w:pPr>
    </w:p>
    <w:p>
      <w:pPr>
        <w:pStyle w:val="BodyText"/>
        <w:spacing w:line="249" w:lineRule="auto" w:before="60"/>
        <w:ind w:left="397" w:right="109"/>
        <w:jc w:val="both"/>
      </w:pPr>
      <w:r>
        <w:rPr>
          <w:color w:val="231F20"/>
        </w:rPr>
        <w:t>después</w:t>
      </w:r>
      <w:r>
        <w:rPr>
          <w:color w:val="231F20"/>
          <w:spacing w:val="-11"/>
        </w:rPr>
        <w:t> </w:t>
      </w:r>
      <w:r>
        <w:rPr>
          <w:color w:val="231F20"/>
        </w:rPr>
        <w:t>ya</w:t>
      </w:r>
      <w:r>
        <w:rPr>
          <w:color w:val="231F20"/>
          <w:spacing w:val="-11"/>
        </w:rPr>
        <w:t> </w:t>
      </w:r>
      <w:r>
        <w:rPr>
          <w:color w:val="231F20"/>
        </w:rPr>
        <w:t>fui</w:t>
      </w:r>
      <w:r>
        <w:rPr>
          <w:color w:val="231F20"/>
          <w:spacing w:val="-11"/>
        </w:rPr>
        <w:t> </w:t>
      </w:r>
      <w:r>
        <w:rPr>
          <w:color w:val="231F20"/>
        </w:rPr>
        <w:t>al</w:t>
      </w:r>
      <w:r>
        <w:rPr>
          <w:color w:val="231F20"/>
          <w:spacing w:val="-11"/>
        </w:rPr>
        <w:t> </w:t>
      </w:r>
      <w:r>
        <w:rPr>
          <w:color w:val="231F20"/>
        </w:rPr>
        <w:t>banco</w:t>
      </w:r>
      <w:r>
        <w:rPr>
          <w:color w:val="231F20"/>
          <w:spacing w:val="-11"/>
        </w:rPr>
        <w:t> </w:t>
      </w:r>
      <w:r>
        <w:rPr>
          <w:color w:val="231F20"/>
        </w:rPr>
        <w:t>a</w:t>
      </w:r>
      <w:r>
        <w:rPr>
          <w:color w:val="231F20"/>
          <w:spacing w:val="-11"/>
        </w:rPr>
        <w:t> </w:t>
      </w:r>
      <w:r>
        <w:rPr>
          <w:color w:val="231F20"/>
        </w:rPr>
        <w:t>preguntar</w:t>
      </w:r>
      <w:r>
        <w:rPr>
          <w:color w:val="231F20"/>
          <w:spacing w:val="-11"/>
        </w:rPr>
        <w:t> </w:t>
      </w:r>
      <w:r>
        <w:rPr>
          <w:color w:val="231F20"/>
        </w:rPr>
        <w:t>y</w:t>
      </w:r>
      <w:r>
        <w:rPr>
          <w:color w:val="231F20"/>
          <w:spacing w:val="-11"/>
        </w:rPr>
        <w:t> </w:t>
      </w:r>
      <w:r>
        <w:rPr>
          <w:color w:val="231F20"/>
        </w:rPr>
        <w:t>un</w:t>
      </w:r>
      <w:r>
        <w:rPr>
          <w:color w:val="231F20"/>
          <w:spacing w:val="-11"/>
        </w:rPr>
        <w:t> </w:t>
      </w:r>
      <w:r>
        <w:rPr>
          <w:color w:val="231F20"/>
        </w:rPr>
        <w:t>señor</w:t>
      </w:r>
      <w:r>
        <w:rPr>
          <w:color w:val="231F20"/>
          <w:spacing w:val="-11"/>
        </w:rPr>
        <w:t> </w:t>
      </w:r>
      <w:r>
        <w:rPr>
          <w:color w:val="231F20"/>
        </w:rPr>
        <w:t>me</w:t>
      </w:r>
      <w:r>
        <w:rPr>
          <w:color w:val="231F20"/>
          <w:spacing w:val="-11"/>
        </w:rPr>
        <w:t> </w:t>
      </w:r>
      <w:r>
        <w:rPr>
          <w:color w:val="231F20"/>
        </w:rPr>
        <w:t>respondió</w:t>
      </w:r>
      <w:r>
        <w:rPr>
          <w:color w:val="231F20"/>
          <w:spacing w:val="-11"/>
        </w:rPr>
        <w:t> </w:t>
      </w:r>
      <w:r>
        <w:rPr>
          <w:color w:val="231F20"/>
        </w:rPr>
        <w:t>muy</w:t>
      </w:r>
      <w:r>
        <w:rPr>
          <w:color w:val="231F20"/>
          <w:spacing w:val="-11"/>
        </w:rPr>
        <w:t> </w:t>
      </w:r>
      <w:r>
        <w:rPr>
          <w:color w:val="231F20"/>
        </w:rPr>
        <w:t>gro- sero,</w:t>
      </w:r>
      <w:r>
        <w:rPr>
          <w:color w:val="231F20"/>
          <w:spacing w:val="-8"/>
        </w:rPr>
        <w:t> </w:t>
      </w:r>
      <w:r>
        <w:rPr>
          <w:color w:val="231F20"/>
        </w:rPr>
        <w:t>quería</w:t>
      </w:r>
      <w:r>
        <w:rPr>
          <w:color w:val="231F20"/>
          <w:spacing w:val="-8"/>
        </w:rPr>
        <w:t> </w:t>
      </w:r>
      <w:r>
        <w:rPr>
          <w:color w:val="231F20"/>
        </w:rPr>
        <w:t>que</w:t>
      </w:r>
      <w:r>
        <w:rPr>
          <w:color w:val="231F20"/>
          <w:spacing w:val="-8"/>
        </w:rPr>
        <w:t> </w:t>
      </w:r>
      <w:r>
        <w:rPr>
          <w:color w:val="231F20"/>
        </w:rPr>
        <w:t>le</w:t>
      </w:r>
      <w:r>
        <w:rPr>
          <w:color w:val="231F20"/>
          <w:spacing w:val="-8"/>
        </w:rPr>
        <w:t> </w:t>
      </w:r>
      <w:r>
        <w:rPr>
          <w:color w:val="231F20"/>
        </w:rPr>
        <w:t>firmara</w:t>
      </w:r>
      <w:r>
        <w:rPr>
          <w:color w:val="231F20"/>
          <w:spacing w:val="-8"/>
        </w:rPr>
        <w:t> </w:t>
      </w:r>
      <w:r>
        <w:rPr>
          <w:color w:val="231F20"/>
        </w:rPr>
        <w:t>unos</w:t>
      </w:r>
      <w:r>
        <w:rPr>
          <w:color w:val="231F20"/>
          <w:spacing w:val="-8"/>
        </w:rPr>
        <w:t> </w:t>
      </w:r>
      <w:r>
        <w:rPr>
          <w:color w:val="231F20"/>
        </w:rPr>
        <w:t>papeles,</w:t>
      </w:r>
      <w:r>
        <w:rPr>
          <w:color w:val="231F20"/>
          <w:spacing w:val="-8"/>
        </w:rPr>
        <w:t> </w:t>
      </w:r>
      <w:r>
        <w:rPr>
          <w:color w:val="231F20"/>
        </w:rPr>
        <w:t>me</w:t>
      </w:r>
      <w:r>
        <w:rPr>
          <w:color w:val="231F20"/>
          <w:spacing w:val="-8"/>
        </w:rPr>
        <w:t> </w:t>
      </w:r>
      <w:r>
        <w:rPr>
          <w:color w:val="231F20"/>
        </w:rPr>
        <w:t>puso</w:t>
      </w:r>
      <w:r>
        <w:rPr>
          <w:color w:val="231F20"/>
          <w:spacing w:val="-8"/>
        </w:rPr>
        <w:t> </w:t>
      </w:r>
      <w:r>
        <w:rPr>
          <w:color w:val="231F20"/>
        </w:rPr>
        <w:t>bien</w:t>
      </w:r>
      <w:r>
        <w:rPr>
          <w:color w:val="231F20"/>
          <w:spacing w:val="-8"/>
        </w:rPr>
        <w:t> </w:t>
      </w:r>
      <w:r>
        <w:rPr>
          <w:color w:val="231F20"/>
        </w:rPr>
        <w:t>nerviosa,</w:t>
      </w:r>
      <w:r>
        <w:rPr>
          <w:color w:val="231F20"/>
          <w:spacing w:val="-8"/>
        </w:rPr>
        <w:t> </w:t>
      </w:r>
      <w:r>
        <w:rPr>
          <w:color w:val="231F20"/>
        </w:rPr>
        <w:t>hasta enferma me puse, y todo paso hasta perdí los pagos (entrevista</w:t>
      </w:r>
      <w:r>
        <w:rPr>
          <w:color w:val="231F20"/>
          <w:spacing w:val="-3"/>
        </w:rPr>
        <w:t> </w:t>
      </w:r>
      <w:r>
        <w:rPr>
          <w:color w:val="231F20"/>
        </w:rPr>
        <w:t>10).</w:t>
      </w:r>
    </w:p>
    <w:p>
      <w:pPr>
        <w:pStyle w:val="BodyText"/>
        <w:spacing w:before="9"/>
        <w:rPr>
          <w:sz w:val="19"/>
        </w:rPr>
      </w:pPr>
    </w:p>
    <w:p>
      <w:pPr>
        <w:pStyle w:val="BodyText"/>
        <w:spacing w:line="249" w:lineRule="auto"/>
        <w:ind w:left="397" w:right="108"/>
        <w:jc w:val="both"/>
      </w:pPr>
      <w:r>
        <w:rPr>
          <w:color w:val="231F20"/>
        </w:rPr>
        <w:t>Yo pienso que nos paguen de otra manera, así es muy difícil, porque el ir hasta Tenango al banco, imagínese y uno que ni sabe usar el banco, no hay quién nos acompañe, y tenemos que pagar pasaje para ir a cobrar, eso es muy difícil pa´uno (entrevista 3).</w:t>
      </w:r>
    </w:p>
    <w:p>
      <w:pPr>
        <w:pStyle w:val="BodyText"/>
        <w:spacing w:line="249" w:lineRule="auto" w:before="114"/>
        <w:ind w:left="113" w:right="107" w:firstLine="283"/>
        <w:jc w:val="both"/>
      </w:pPr>
      <w:r>
        <w:rPr>
          <w:color w:val="231F20"/>
        </w:rPr>
        <w:t>Es importante mencionar que el control del programa y su operación en la comunidad lo maneja los delegados municipales, ellos son los me- diadores con los actores políticos como lo es el presidente municipal y los regidores. Los programas sociales llegan a la presidencia municipal, de ahí parten a la dirección de desarrollo social y a la vez se organiza su despliegue en el territorio con la gente que envía el Gobierno del Estado de</w:t>
      </w:r>
      <w:r>
        <w:rPr>
          <w:color w:val="231F20"/>
          <w:spacing w:val="-6"/>
        </w:rPr>
        <w:t> </w:t>
      </w:r>
      <w:r>
        <w:rPr>
          <w:color w:val="231F20"/>
        </w:rPr>
        <w:t>México.</w:t>
      </w:r>
      <w:r>
        <w:rPr>
          <w:color w:val="231F20"/>
          <w:spacing w:val="-5"/>
        </w:rPr>
        <w:t> </w:t>
      </w:r>
      <w:r>
        <w:rPr>
          <w:color w:val="231F20"/>
        </w:rPr>
        <w:t>Los</w:t>
      </w:r>
      <w:r>
        <w:rPr>
          <w:color w:val="231F20"/>
          <w:spacing w:val="-6"/>
        </w:rPr>
        <w:t> </w:t>
      </w:r>
      <w:r>
        <w:rPr>
          <w:color w:val="231F20"/>
        </w:rPr>
        <w:t>delegados</w:t>
      </w:r>
      <w:r>
        <w:rPr>
          <w:color w:val="231F20"/>
          <w:spacing w:val="-6"/>
        </w:rPr>
        <w:t> </w:t>
      </w:r>
      <w:r>
        <w:rPr>
          <w:color w:val="231F20"/>
        </w:rPr>
        <w:t>municipales</w:t>
      </w:r>
      <w:r>
        <w:rPr>
          <w:color w:val="231F20"/>
          <w:spacing w:val="-6"/>
        </w:rPr>
        <w:t> </w:t>
      </w:r>
      <w:r>
        <w:rPr>
          <w:color w:val="231F20"/>
        </w:rPr>
        <w:t>son</w:t>
      </w:r>
      <w:r>
        <w:rPr>
          <w:color w:val="231F20"/>
          <w:spacing w:val="-6"/>
        </w:rPr>
        <w:t> </w:t>
      </w:r>
      <w:r>
        <w:rPr>
          <w:color w:val="231F20"/>
        </w:rPr>
        <w:t>los</w:t>
      </w:r>
      <w:r>
        <w:rPr>
          <w:color w:val="231F20"/>
          <w:spacing w:val="-6"/>
        </w:rPr>
        <w:t> </w:t>
      </w:r>
      <w:r>
        <w:rPr>
          <w:color w:val="231F20"/>
        </w:rPr>
        <w:t>indicados</w:t>
      </w:r>
      <w:r>
        <w:rPr>
          <w:color w:val="231F20"/>
          <w:spacing w:val="-6"/>
        </w:rPr>
        <w:t> </w:t>
      </w:r>
      <w:r>
        <w:rPr>
          <w:color w:val="231F20"/>
        </w:rPr>
        <w:t>para</w:t>
      </w:r>
      <w:r>
        <w:rPr>
          <w:color w:val="231F20"/>
          <w:spacing w:val="-6"/>
        </w:rPr>
        <w:t> </w:t>
      </w:r>
      <w:r>
        <w:rPr>
          <w:color w:val="231F20"/>
        </w:rPr>
        <w:t>difundir</w:t>
      </w:r>
      <w:r>
        <w:rPr>
          <w:color w:val="231F20"/>
          <w:spacing w:val="-6"/>
        </w:rPr>
        <w:t> </w:t>
      </w:r>
      <w:r>
        <w:rPr>
          <w:color w:val="231F20"/>
        </w:rPr>
        <w:t>la información de que va a ver un programa social dirigido hacia las muje- res de la comunidad.</w:t>
      </w:r>
    </w:p>
    <w:p>
      <w:pPr>
        <w:pStyle w:val="BodyText"/>
        <w:spacing w:line="249" w:lineRule="auto" w:before="1"/>
        <w:ind w:left="113" w:right="108" w:firstLine="283"/>
        <w:jc w:val="both"/>
      </w:pPr>
      <w:r>
        <w:rPr>
          <w:color w:val="231F20"/>
        </w:rPr>
        <w:t>En la selección de beneficiarias se usan estrategias políticas con in- tenciones electorales, de esta forma se consideran beneficiarias de ma- nera inmediata a mujeres que ayudaran con su voto el día de eleccio-  nes a los partidos políticos en el poder, provocando que el programa se distorsione y generando inconformidad porque quedan mujeres que no contaron con el</w:t>
      </w:r>
      <w:r>
        <w:rPr>
          <w:color w:val="231F20"/>
          <w:spacing w:val="-2"/>
        </w:rPr>
        <w:t> </w:t>
      </w:r>
      <w:r>
        <w:rPr>
          <w:color w:val="231F20"/>
        </w:rPr>
        <w:t>apoyo.</w:t>
      </w:r>
    </w:p>
    <w:p>
      <w:pPr>
        <w:pStyle w:val="BodyText"/>
        <w:spacing w:line="249" w:lineRule="auto" w:before="1"/>
        <w:ind w:left="113" w:right="107" w:firstLine="283"/>
        <w:jc w:val="both"/>
      </w:pPr>
      <w:r>
        <w:rPr>
          <w:color w:val="231F20"/>
        </w:rPr>
        <w:t>Algunas de las mujeres que obtuvieron el apoyo expresaron su dis- gusto porque no recibieron todos sus pagos, pues su tarjeta no fue acti- vada como el programa había acordado; mientras que a otras mujeres se les terminó el programa y se los volvió a otorgar el apoyo. Ahí es donde las mujeres se percatan y dicen que es una injusticia que algunas tengan el programa en dos ocasiones y sin embargo no lo necesitan a diferencia de otras mujeres: “Está mal el gobierno, por eso, seguimos iguales”, “no hay cambio de nada”.</w:t>
      </w:r>
    </w:p>
    <w:p>
      <w:pPr>
        <w:pStyle w:val="BodyText"/>
        <w:spacing w:line="249" w:lineRule="auto" w:before="1"/>
        <w:ind w:left="113" w:right="108" w:firstLine="283"/>
        <w:jc w:val="both"/>
      </w:pPr>
      <w:r>
        <w:rPr>
          <w:color w:val="231F20"/>
        </w:rPr>
        <w:t>Cuando</w:t>
      </w:r>
      <w:r>
        <w:rPr>
          <w:color w:val="231F20"/>
          <w:spacing w:val="-5"/>
        </w:rPr>
        <w:t> </w:t>
      </w:r>
      <w:r>
        <w:rPr>
          <w:color w:val="231F20"/>
        </w:rPr>
        <w:t>se</w:t>
      </w:r>
      <w:r>
        <w:rPr>
          <w:color w:val="231F20"/>
          <w:spacing w:val="-5"/>
        </w:rPr>
        <w:t> </w:t>
      </w:r>
      <w:r>
        <w:rPr>
          <w:color w:val="231F20"/>
        </w:rPr>
        <w:t>les</w:t>
      </w:r>
      <w:r>
        <w:rPr>
          <w:color w:val="231F20"/>
          <w:spacing w:val="-5"/>
        </w:rPr>
        <w:t> </w:t>
      </w:r>
      <w:r>
        <w:rPr>
          <w:color w:val="231F20"/>
        </w:rPr>
        <w:t>preguntó</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beneficiarias</w:t>
      </w:r>
      <w:r>
        <w:rPr>
          <w:color w:val="231F20"/>
          <w:spacing w:val="-5"/>
        </w:rPr>
        <w:t> </w:t>
      </w:r>
      <w:r>
        <w:rPr>
          <w:color w:val="231F20"/>
        </w:rPr>
        <w:t>si</w:t>
      </w:r>
      <w:r>
        <w:rPr>
          <w:color w:val="231F20"/>
          <w:spacing w:val="-5"/>
        </w:rPr>
        <w:t> </w:t>
      </w:r>
      <w:r>
        <w:rPr>
          <w:color w:val="231F20"/>
        </w:rPr>
        <w:t>sabían</w:t>
      </w:r>
      <w:r>
        <w:rPr>
          <w:color w:val="231F20"/>
          <w:spacing w:val="-5"/>
        </w:rPr>
        <w:t> </w:t>
      </w:r>
      <w:r>
        <w:rPr>
          <w:color w:val="231F20"/>
        </w:rPr>
        <w:t>quién</w:t>
      </w:r>
      <w:r>
        <w:rPr>
          <w:color w:val="231F20"/>
          <w:spacing w:val="-5"/>
        </w:rPr>
        <w:t> </w:t>
      </w:r>
      <w:r>
        <w:rPr>
          <w:color w:val="231F20"/>
        </w:rPr>
        <w:t>le</w:t>
      </w:r>
      <w:r>
        <w:rPr>
          <w:color w:val="231F20"/>
          <w:spacing w:val="-5"/>
        </w:rPr>
        <w:t> </w:t>
      </w:r>
      <w:r>
        <w:rPr>
          <w:color w:val="231F20"/>
        </w:rPr>
        <w:t>otorgaba el programa, la mayoría desconocía quién les otorgó el apoyo econó- mico, sólo una sola mujer nos dio por respuesta: “Peña Nieto, dice mi sobrina ella me</w:t>
      </w:r>
      <w:r>
        <w:rPr>
          <w:color w:val="231F20"/>
          <w:spacing w:val="-7"/>
        </w:rPr>
        <w:t> </w:t>
      </w:r>
      <w:r>
        <w:rPr>
          <w:color w:val="231F20"/>
        </w:rPr>
        <w:t>dijo”.</w:t>
      </w:r>
    </w:p>
    <w:p>
      <w:pPr>
        <w:pStyle w:val="BodyText"/>
        <w:spacing w:line="249" w:lineRule="auto" w:before="1"/>
        <w:ind w:left="113" w:right="108" w:firstLine="283"/>
        <w:jc w:val="both"/>
      </w:pPr>
      <w:r>
        <w:rPr>
          <w:color w:val="231F20"/>
        </w:rPr>
        <w:t>Algunas mujeres comentaron que no les importaba quien les diera el programa,</w:t>
      </w:r>
      <w:r>
        <w:rPr>
          <w:color w:val="231F20"/>
          <w:spacing w:val="-9"/>
        </w:rPr>
        <w:t> </w:t>
      </w:r>
      <w:r>
        <w:rPr>
          <w:color w:val="231F20"/>
        </w:rPr>
        <w:t>sino</w:t>
      </w:r>
      <w:r>
        <w:rPr>
          <w:color w:val="231F20"/>
          <w:spacing w:val="-9"/>
        </w:rPr>
        <w:t> </w:t>
      </w:r>
      <w:r>
        <w:rPr>
          <w:color w:val="231F20"/>
        </w:rPr>
        <w:t>que</w:t>
      </w:r>
      <w:r>
        <w:rPr>
          <w:color w:val="231F20"/>
          <w:spacing w:val="-9"/>
        </w:rPr>
        <w:t> </w:t>
      </w:r>
      <w:r>
        <w:rPr>
          <w:color w:val="231F20"/>
        </w:rPr>
        <w:t>resultaron</w:t>
      </w:r>
      <w:r>
        <w:rPr>
          <w:color w:val="231F20"/>
          <w:spacing w:val="-9"/>
        </w:rPr>
        <w:t> </w:t>
      </w:r>
      <w:r>
        <w:rPr>
          <w:color w:val="231F20"/>
        </w:rPr>
        <w:t>beneficiadas,</w:t>
      </w:r>
      <w:r>
        <w:rPr>
          <w:color w:val="231F20"/>
          <w:spacing w:val="-9"/>
        </w:rPr>
        <w:t> </w:t>
      </w:r>
      <w:r>
        <w:rPr>
          <w:color w:val="231F20"/>
        </w:rPr>
        <w:t>y</w:t>
      </w:r>
      <w:r>
        <w:rPr>
          <w:color w:val="231F20"/>
          <w:spacing w:val="-9"/>
        </w:rPr>
        <w:t> </w:t>
      </w:r>
      <w:r>
        <w:rPr>
          <w:color w:val="231F20"/>
        </w:rPr>
        <w:t>quieren</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programas, sean para todas las mujeres, porque todas lo necesitan: “Pues yo no sé quién me lo da, pero lo importantes es que lo recibí” (entrevista 2). In- cluso algunas mujeres tenían una mala información de qué gobierno </w:t>
      </w:r>
      <w:r>
        <w:rPr>
          <w:color w:val="231F20"/>
          <w:spacing w:val="5"/>
        </w:rPr>
        <w:t> </w:t>
      </w:r>
      <w:r>
        <w:rPr>
          <w:color w:val="231F20"/>
        </w:rPr>
        <w:t>les</w:t>
      </w:r>
    </w:p>
    <w:p>
      <w:pPr>
        <w:spacing w:after="0" w:line="249" w:lineRule="auto"/>
        <w:jc w:val="both"/>
        <w:sectPr>
          <w:footerReference w:type="default" r:id="rId266"/>
          <w:pgSz w:w="7770" w:h="11740"/>
          <w:pgMar w:footer="474" w:header="0" w:top="840" w:bottom="660" w:left="1020" w:right="740"/>
          <w:pgNumType w:start="243"/>
        </w:sectPr>
      </w:pPr>
    </w:p>
    <w:p>
      <w:pPr>
        <w:pStyle w:val="BodyText"/>
        <w:spacing w:line="249" w:lineRule="auto" w:before="60"/>
        <w:ind w:left="110" w:right="107"/>
      </w:pPr>
      <w:r>
        <w:rPr>
          <w:color w:val="231F20"/>
        </w:rPr>
        <w:t>otorgo</w:t>
      </w:r>
      <w:r>
        <w:rPr>
          <w:color w:val="231F20"/>
          <w:spacing w:val="-12"/>
        </w:rPr>
        <w:t> </w:t>
      </w:r>
      <w:r>
        <w:rPr>
          <w:color w:val="231F20"/>
        </w:rPr>
        <w:t>el</w:t>
      </w:r>
      <w:r>
        <w:rPr>
          <w:color w:val="231F20"/>
          <w:spacing w:val="-12"/>
        </w:rPr>
        <w:t> </w:t>
      </w:r>
      <w:r>
        <w:rPr>
          <w:color w:val="231F20"/>
        </w:rPr>
        <w:t>apoyo:</w:t>
      </w:r>
      <w:r>
        <w:rPr>
          <w:color w:val="231F20"/>
          <w:spacing w:val="-12"/>
        </w:rPr>
        <w:t> </w:t>
      </w:r>
      <w:r>
        <w:rPr>
          <w:color w:val="231F20"/>
          <w:spacing w:val="-7"/>
        </w:rPr>
        <w:t>“Yo</w:t>
      </w:r>
      <w:r>
        <w:rPr>
          <w:color w:val="231F20"/>
          <w:spacing w:val="-12"/>
        </w:rPr>
        <w:t> </w:t>
      </w:r>
      <w:r>
        <w:rPr>
          <w:color w:val="231F20"/>
        </w:rPr>
        <w:t>sabía</w:t>
      </w:r>
      <w:r>
        <w:rPr>
          <w:color w:val="231F20"/>
          <w:spacing w:val="-11"/>
        </w:rPr>
        <w:t> </w:t>
      </w:r>
      <w:r>
        <w:rPr>
          <w:color w:val="231F20"/>
        </w:rPr>
        <w:t>que</w:t>
      </w:r>
      <w:r>
        <w:rPr>
          <w:color w:val="231F20"/>
          <w:spacing w:val="-12"/>
        </w:rPr>
        <w:t> </w:t>
      </w:r>
      <w:r>
        <w:rPr>
          <w:color w:val="231F20"/>
        </w:rPr>
        <w:t>el</w:t>
      </w:r>
      <w:r>
        <w:rPr>
          <w:color w:val="231F20"/>
          <w:spacing w:val="-12"/>
        </w:rPr>
        <w:t> </w:t>
      </w:r>
      <w:r>
        <w:rPr>
          <w:color w:val="231F20"/>
        </w:rPr>
        <w:t>programa</w:t>
      </w:r>
      <w:r>
        <w:rPr>
          <w:color w:val="231F20"/>
          <w:spacing w:val="-12"/>
        </w:rPr>
        <w:t> </w:t>
      </w:r>
      <w:r>
        <w:rPr>
          <w:color w:val="231F20"/>
        </w:rPr>
        <w:t>me</w:t>
      </w:r>
      <w:r>
        <w:rPr>
          <w:color w:val="231F20"/>
          <w:spacing w:val="-12"/>
        </w:rPr>
        <w:t> </w:t>
      </w:r>
      <w:r>
        <w:rPr>
          <w:color w:val="231F20"/>
        </w:rPr>
        <w:t>lo</w:t>
      </w:r>
      <w:r>
        <w:rPr>
          <w:color w:val="231F20"/>
          <w:spacing w:val="-12"/>
        </w:rPr>
        <w:t> </w:t>
      </w:r>
      <w:r>
        <w:rPr>
          <w:color w:val="231F20"/>
        </w:rPr>
        <w:t>había</w:t>
      </w:r>
      <w:r>
        <w:rPr>
          <w:color w:val="231F20"/>
          <w:spacing w:val="-12"/>
        </w:rPr>
        <w:t> </w:t>
      </w:r>
      <w:r>
        <w:rPr>
          <w:color w:val="231F20"/>
        </w:rPr>
        <w:t>dado</w:t>
      </w:r>
      <w:r>
        <w:rPr>
          <w:color w:val="231F20"/>
          <w:spacing w:val="-12"/>
        </w:rPr>
        <w:t> </w:t>
      </w:r>
      <w:r>
        <w:rPr>
          <w:color w:val="231F20"/>
        </w:rPr>
        <w:t>el</w:t>
      </w:r>
      <w:r>
        <w:rPr>
          <w:color w:val="231F20"/>
          <w:spacing w:val="-12"/>
        </w:rPr>
        <w:t> </w:t>
      </w:r>
      <w:r>
        <w:rPr>
          <w:color w:val="231F20"/>
        </w:rPr>
        <w:t>Presiden- te Felipe Calderón, que hasta dio pisos firmes” (entrevista</w:t>
      </w:r>
      <w:r>
        <w:rPr>
          <w:color w:val="231F20"/>
          <w:spacing w:val="-11"/>
        </w:rPr>
        <w:t> </w:t>
      </w:r>
      <w:r>
        <w:rPr>
          <w:color w:val="231F20"/>
        </w:rPr>
        <w:t>7).</w:t>
      </w:r>
    </w:p>
    <w:p>
      <w:pPr>
        <w:pStyle w:val="BodyText"/>
        <w:spacing w:line="249" w:lineRule="auto" w:before="1"/>
        <w:ind w:left="110" w:right="111" w:firstLine="283"/>
        <w:jc w:val="both"/>
      </w:pPr>
      <w:r>
        <w:rPr>
          <w:color w:val="231F20"/>
        </w:rPr>
        <w:t>Algunas mujeres hicieron mención de que antes de que el gobierno las</w:t>
      </w:r>
      <w:r>
        <w:rPr>
          <w:color w:val="231F20"/>
          <w:spacing w:val="-4"/>
        </w:rPr>
        <w:t> </w:t>
      </w:r>
      <w:r>
        <w:rPr>
          <w:color w:val="231F20"/>
        </w:rPr>
        <w:t>apoye</w:t>
      </w:r>
      <w:r>
        <w:rPr>
          <w:color w:val="231F20"/>
          <w:spacing w:val="-4"/>
        </w:rPr>
        <w:t> </w:t>
      </w:r>
      <w:r>
        <w:rPr>
          <w:color w:val="231F20"/>
        </w:rPr>
        <w:t>con</w:t>
      </w:r>
      <w:r>
        <w:rPr>
          <w:color w:val="231F20"/>
          <w:spacing w:val="-4"/>
        </w:rPr>
        <w:t> </w:t>
      </w:r>
      <w:r>
        <w:rPr>
          <w:color w:val="231F20"/>
        </w:rPr>
        <w:t>algún</w:t>
      </w:r>
      <w:r>
        <w:rPr>
          <w:color w:val="231F20"/>
          <w:spacing w:val="-4"/>
        </w:rPr>
        <w:t> </w:t>
      </w:r>
      <w:r>
        <w:rPr>
          <w:color w:val="231F20"/>
        </w:rPr>
        <w:t>programa</w:t>
      </w:r>
      <w:r>
        <w:rPr>
          <w:color w:val="231F20"/>
          <w:spacing w:val="-4"/>
        </w:rPr>
        <w:t> </w:t>
      </w:r>
      <w:r>
        <w:rPr>
          <w:color w:val="231F20"/>
        </w:rPr>
        <w:t>se</w:t>
      </w:r>
      <w:r>
        <w:rPr>
          <w:color w:val="231F20"/>
          <w:spacing w:val="-4"/>
        </w:rPr>
        <w:t> </w:t>
      </w:r>
      <w:r>
        <w:rPr>
          <w:color w:val="231F20"/>
        </w:rPr>
        <w:t>les</w:t>
      </w:r>
      <w:r>
        <w:rPr>
          <w:color w:val="231F20"/>
          <w:spacing w:val="-4"/>
        </w:rPr>
        <w:t> </w:t>
      </w:r>
      <w:r>
        <w:rPr>
          <w:color w:val="231F20"/>
        </w:rPr>
        <w:t>brinde</w:t>
      </w:r>
      <w:r>
        <w:rPr>
          <w:color w:val="231F20"/>
          <w:spacing w:val="-4"/>
        </w:rPr>
        <w:t> </w:t>
      </w:r>
      <w:r>
        <w:rPr>
          <w:color w:val="231F20"/>
        </w:rPr>
        <w:t>un</w:t>
      </w:r>
      <w:r>
        <w:rPr>
          <w:color w:val="231F20"/>
          <w:spacing w:val="-4"/>
        </w:rPr>
        <w:t> </w:t>
      </w:r>
      <w:r>
        <w:rPr>
          <w:color w:val="231F20"/>
        </w:rPr>
        <w:t>curso</w:t>
      </w:r>
      <w:r>
        <w:rPr>
          <w:color w:val="231F20"/>
          <w:spacing w:val="-4"/>
        </w:rPr>
        <w:t> </w:t>
      </w:r>
      <w:r>
        <w:rPr>
          <w:color w:val="231F20"/>
        </w:rPr>
        <w:t>para</w:t>
      </w:r>
      <w:r>
        <w:rPr>
          <w:color w:val="231F20"/>
          <w:spacing w:val="-4"/>
        </w:rPr>
        <w:t> </w:t>
      </w:r>
      <w:r>
        <w:rPr>
          <w:color w:val="231F20"/>
        </w:rPr>
        <w:t>saber</w:t>
      </w:r>
      <w:r>
        <w:rPr>
          <w:color w:val="231F20"/>
          <w:spacing w:val="-4"/>
        </w:rPr>
        <w:t> </w:t>
      </w:r>
      <w:r>
        <w:rPr>
          <w:color w:val="231F20"/>
        </w:rPr>
        <w:t>el</w:t>
      </w:r>
      <w:r>
        <w:rPr>
          <w:color w:val="231F20"/>
          <w:spacing w:val="-4"/>
        </w:rPr>
        <w:t> </w:t>
      </w:r>
      <w:r>
        <w:rPr>
          <w:color w:val="231F20"/>
        </w:rPr>
        <w:t>objeti- vo del programa y qué gobierno las</w:t>
      </w:r>
      <w:r>
        <w:rPr>
          <w:color w:val="231F20"/>
          <w:spacing w:val="-1"/>
        </w:rPr>
        <w:t> </w:t>
      </w:r>
      <w:r>
        <w:rPr>
          <w:color w:val="231F20"/>
        </w:rPr>
        <w:t>apoya.</w:t>
      </w:r>
    </w:p>
    <w:p>
      <w:pPr>
        <w:pStyle w:val="BodyText"/>
        <w:spacing w:line="249" w:lineRule="auto" w:before="114"/>
        <w:ind w:left="393" w:right="111"/>
        <w:jc w:val="both"/>
      </w:pPr>
      <w:r>
        <w:rPr>
          <w:color w:val="231F20"/>
        </w:rPr>
        <w:t>Pues</w:t>
      </w:r>
      <w:r>
        <w:rPr>
          <w:color w:val="231F20"/>
          <w:spacing w:val="-7"/>
        </w:rPr>
        <w:t> </w:t>
      </w:r>
      <w:r>
        <w:rPr>
          <w:color w:val="231F20"/>
        </w:rPr>
        <w:t>sí</w:t>
      </w:r>
      <w:r>
        <w:rPr>
          <w:color w:val="231F20"/>
          <w:spacing w:val="-7"/>
        </w:rPr>
        <w:t> </w:t>
      </w:r>
      <w:r>
        <w:rPr>
          <w:color w:val="231F20"/>
        </w:rPr>
        <w:t>me</w:t>
      </w:r>
      <w:r>
        <w:rPr>
          <w:color w:val="231F20"/>
          <w:spacing w:val="-7"/>
        </w:rPr>
        <w:t> </w:t>
      </w:r>
      <w:r>
        <w:rPr>
          <w:color w:val="231F20"/>
        </w:rPr>
        <w:t>ayudó</w:t>
      </w:r>
      <w:r>
        <w:rPr>
          <w:color w:val="231F20"/>
          <w:spacing w:val="-7"/>
        </w:rPr>
        <w:t> </w:t>
      </w:r>
      <w:r>
        <w:rPr>
          <w:color w:val="231F20"/>
        </w:rPr>
        <w:t>pero</w:t>
      </w:r>
      <w:r>
        <w:rPr>
          <w:color w:val="231F20"/>
          <w:spacing w:val="-7"/>
        </w:rPr>
        <w:t> </w:t>
      </w:r>
      <w:r>
        <w:rPr>
          <w:color w:val="231F20"/>
        </w:rPr>
        <w:t>me</w:t>
      </w:r>
      <w:r>
        <w:rPr>
          <w:color w:val="231F20"/>
          <w:spacing w:val="-7"/>
        </w:rPr>
        <w:t> </w:t>
      </w:r>
      <w:r>
        <w:rPr>
          <w:color w:val="231F20"/>
        </w:rPr>
        <w:t>hubiera</w:t>
      </w:r>
      <w:r>
        <w:rPr>
          <w:color w:val="231F20"/>
          <w:spacing w:val="-7"/>
        </w:rPr>
        <w:t> </w:t>
      </w:r>
      <w:r>
        <w:rPr>
          <w:color w:val="231F20"/>
        </w:rPr>
        <w:t>gustado</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nosotras</w:t>
      </w:r>
      <w:r>
        <w:rPr>
          <w:color w:val="231F20"/>
          <w:spacing w:val="-7"/>
        </w:rPr>
        <w:t> </w:t>
      </w:r>
      <w:r>
        <w:rPr>
          <w:color w:val="231F20"/>
        </w:rPr>
        <w:t>las</w:t>
      </w:r>
      <w:r>
        <w:rPr>
          <w:color w:val="231F20"/>
          <w:spacing w:val="-7"/>
        </w:rPr>
        <w:t> </w:t>
      </w:r>
      <w:r>
        <w:rPr>
          <w:color w:val="231F20"/>
        </w:rPr>
        <w:t>mujeres nos hubieran explicado cómo iba a funcionar el programa, también quién</w:t>
      </w:r>
      <w:r>
        <w:rPr>
          <w:color w:val="231F20"/>
          <w:spacing w:val="-4"/>
        </w:rPr>
        <w:t> </w:t>
      </w:r>
      <w:r>
        <w:rPr>
          <w:color w:val="231F20"/>
        </w:rPr>
        <w:t>nos</w:t>
      </w:r>
      <w:r>
        <w:rPr>
          <w:color w:val="231F20"/>
          <w:spacing w:val="-4"/>
        </w:rPr>
        <w:t> </w:t>
      </w:r>
      <w:r>
        <w:rPr>
          <w:color w:val="231F20"/>
        </w:rPr>
        <w:t>benefició</w:t>
      </w:r>
      <w:r>
        <w:rPr>
          <w:color w:val="231F20"/>
          <w:spacing w:val="-4"/>
        </w:rPr>
        <w:t> </w:t>
      </w:r>
      <w:r>
        <w:rPr>
          <w:color w:val="231F20"/>
        </w:rPr>
        <w:t>y</w:t>
      </w:r>
      <w:r>
        <w:rPr>
          <w:color w:val="231F20"/>
          <w:spacing w:val="-4"/>
        </w:rPr>
        <w:t> </w:t>
      </w:r>
      <w:r>
        <w:rPr>
          <w:color w:val="231F20"/>
        </w:rPr>
        <w:t>cuál</w:t>
      </w:r>
      <w:r>
        <w:rPr>
          <w:color w:val="231F20"/>
          <w:spacing w:val="-4"/>
        </w:rPr>
        <w:t> </w:t>
      </w:r>
      <w:r>
        <w:rPr>
          <w:color w:val="231F20"/>
        </w:rPr>
        <w:t>era</w:t>
      </w:r>
      <w:r>
        <w:rPr>
          <w:color w:val="231F20"/>
          <w:spacing w:val="-4"/>
        </w:rPr>
        <w:t> </w:t>
      </w:r>
      <w:r>
        <w:rPr>
          <w:color w:val="231F20"/>
        </w:rPr>
        <w:t>el</w:t>
      </w:r>
      <w:r>
        <w:rPr>
          <w:color w:val="231F20"/>
          <w:spacing w:val="-4"/>
        </w:rPr>
        <w:t> </w:t>
      </w:r>
      <w:r>
        <w:rPr>
          <w:color w:val="231F20"/>
        </w:rPr>
        <w:t>objetivo,</w:t>
      </w:r>
      <w:r>
        <w:rPr>
          <w:color w:val="231F20"/>
          <w:spacing w:val="-4"/>
        </w:rPr>
        <w:t> </w:t>
      </w:r>
      <w:r>
        <w:rPr>
          <w:color w:val="231F20"/>
        </w:rPr>
        <w:t>porque</w:t>
      </w:r>
      <w:r>
        <w:rPr>
          <w:color w:val="231F20"/>
          <w:spacing w:val="-4"/>
        </w:rPr>
        <w:t> </w:t>
      </w:r>
      <w:r>
        <w:rPr>
          <w:color w:val="231F20"/>
        </w:rPr>
        <w:t>hasta</w:t>
      </w:r>
      <w:r>
        <w:rPr>
          <w:color w:val="231F20"/>
          <w:spacing w:val="-4"/>
        </w:rPr>
        <w:t> </w:t>
      </w:r>
      <w:r>
        <w:rPr>
          <w:color w:val="231F20"/>
        </w:rPr>
        <w:t>ahora</w:t>
      </w:r>
      <w:r>
        <w:rPr>
          <w:color w:val="231F20"/>
          <w:spacing w:val="-4"/>
        </w:rPr>
        <w:t> </w:t>
      </w:r>
      <w:r>
        <w:rPr>
          <w:color w:val="231F20"/>
        </w:rPr>
        <w:t>que</w:t>
      </w:r>
      <w:r>
        <w:rPr>
          <w:color w:val="231F20"/>
          <w:spacing w:val="-4"/>
        </w:rPr>
        <w:t> </w:t>
      </w:r>
      <w:r>
        <w:rPr>
          <w:color w:val="231F20"/>
        </w:rPr>
        <w:t>me entrevistas, me entero de todo y que el objetivo era emprender un negocio y de ahí tener algo como mujeres (entrevista</w:t>
      </w:r>
      <w:r>
        <w:rPr>
          <w:color w:val="231F20"/>
          <w:spacing w:val="-5"/>
        </w:rPr>
        <w:t> </w:t>
      </w:r>
      <w:r>
        <w:rPr>
          <w:color w:val="231F20"/>
        </w:rPr>
        <w:t>5).</w:t>
      </w:r>
    </w:p>
    <w:p>
      <w:pPr>
        <w:pStyle w:val="BodyText"/>
        <w:spacing w:before="1"/>
        <w:rPr>
          <w:sz w:val="26"/>
        </w:rPr>
      </w:pPr>
    </w:p>
    <w:p>
      <w:pPr>
        <w:spacing w:line="252" w:lineRule="auto" w:before="0"/>
        <w:ind w:left="229" w:right="514" w:firstLine="0"/>
        <w:jc w:val="left"/>
        <w:rPr>
          <w:sz w:val="19"/>
        </w:rPr>
      </w:pPr>
      <w:r>
        <w:rPr>
          <w:w w:val="105"/>
          <w:sz w:val="19"/>
        </w:rPr>
        <w:t>Tabla 1. Relación de mujeres entrevistadas del Programa Mujeres Trabjadoras Comprometidas</w:t>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8"/>
        <w:gridCol w:w="1480"/>
        <w:gridCol w:w="1103"/>
        <w:gridCol w:w="1777"/>
      </w:tblGrid>
      <w:tr>
        <w:trPr>
          <w:trHeight w:val="470" w:hRule="exact"/>
        </w:trPr>
        <w:tc>
          <w:tcPr>
            <w:tcW w:w="1348" w:type="dxa"/>
            <w:tcBorders>
              <w:left w:val="nil"/>
              <w:right w:val="nil"/>
            </w:tcBorders>
          </w:tcPr>
          <w:p>
            <w:pPr>
              <w:pStyle w:val="TableParagraph"/>
              <w:spacing w:line="252" w:lineRule="auto" w:before="5"/>
              <w:ind w:left="110" w:right="131"/>
              <w:jc w:val="left"/>
              <w:rPr>
                <w:sz w:val="19"/>
              </w:rPr>
            </w:pPr>
            <w:r>
              <w:rPr>
                <w:w w:val="105"/>
                <w:sz w:val="19"/>
              </w:rPr>
              <w:t>Número de la entrevistada</w:t>
            </w:r>
          </w:p>
        </w:tc>
        <w:tc>
          <w:tcPr>
            <w:tcW w:w="1480" w:type="dxa"/>
            <w:tcBorders>
              <w:left w:val="nil"/>
              <w:right w:val="nil"/>
            </w:tcBorders>
          </w:tcPr>
          <w:p>
            <w:pPr>
              <w:pStyle w:val="TableParagraph"/>
              <w:spacing w:before="5"/>
              <w:jc w:val="left"/>
              <w:rPr>
                <w:sz w:val="20"/>
              </w:rPr>
            </w:pPr>
          </w:p>
          <w:p>
            <w:pPr>
              <w:pStyle w:val="TableParagraph"/>
              <w:ind w:left="150"/>
              <w:jc w:val="left"/>
              <w:rPr>
                <w:sz w:val="19"/>
              </w:rPr>
            </w:pPr>
            <w:r>
              <w:rPr>
                <w:w w:val="105"/>
                <w:sz w:val="19"/>
              </w:rPr>
              <w:t>Estado civil</w:t>
            </w:r>
          </w:p>
        </w:tc>
        <w:tc>
          <w:tcPr>
            <w:tcW w:w="1103" w:type="dxa"/>
            <w:tcBorders>
              <w:left w:val="nil"/>
              <w:right w:val="nil"/>
            </w:tcBorders>
          </w:tcPr>
          <w:p>
            <w:pPr>
              <w:pStyle w:val="TableParagraph"/>
              <w:spacing w:before="5"/>
              <w:jc w:val="left"/>
              <w:rPr>
                <w:sz w:val="20"/>
              </w:rPr>
            </w:pPr>
          </w:p>
          <w:p>
            <w:pPr>
              <w:pStyle w:val="TableParagraph"/>
              <w:ind w:left="225"/>
              <w:jc w:val="left"/>
              <w:rPr>
                <w:sz w:val="19"/>
              </w:rPr>
            </w:pPr>
            <w:r>
              <w:rPr>
                <w:w w:val="105"/>
                <w:sz w:val="19"/>
              </w:rPr>
              <w:t>Edad</w:t>
            </w:r>
          </w:p>
        </w:tc>
        <w:tc>
          <w:tcPr>
            <w:tcW w:w="1777" w:type="dxa"/>
            <w:tcBorders>
              <w:left w:val="nil"/>
              <w:right w:val="nil"/>
            </w:tcBorders>
          </w:tcPr>
          <w:p>
            <w:pPr>
              <w:pStyle w:val="TableParagraph"/>
              <w:spacing w:before="5"/>
              <w:ind w:left="260"/>
              <w:jc w:val="left"/>
              <w:rPr>
                <w:sz w:val="19"/>
              </w:rPr>
            </w:pPr>
            <w:r>
              <w:rPr>
                <w:w w:val="105"/>
                <w:sz w:val="19"/>
              </w:rPr>
              <w:t>Nivel</w:t>
            </w:r>
          </w:p>
          <w:p>
            <w:pPr>
              <w:pStyle w:val="TableParagraph"/>
              <w:spacing w:before="12"/>
              <w:ind w:left="260"/>
              <w:jc w:val="left"/>
              <w:rPr>
                <w:sz w:val="19"/>
              </w:rPr>
            </w:pPr>
            <w:r>
              <w:rPr>
                <w:w w:val="105"/>
                <w:sz w:val="19"/>
              </w:rPr>
              <w:t>de escolaridad</w:t>
            </w:r>
          </w:p>
        </w:tc>
      </w:tr>
      <w:tr>
        <w:trPr>
          <w:trHeight w:val="242" w:hRule="exact"/>
        </w:trPr>
        <w:tc>
          <w:tcPr>
            <w:tcW w:w="1348" w:type="dxa"/>
            <w:tcBorders>
              <w:left w:val="nil"/>
              <w:bottom w:val="nil"/>
              <w:right w:val="nil"/>
            </w:tcBorders>
          </w:tcPr>
          <w:p>
            <w:pPr>
              <w:pStyle w:val="TableParagraph"/>
              <w:spacing w:before="5"/>
              <w:ind w:left="110"/>
              <w:jc w:val="left"/>
              <w:rPr>
                <w:sz w:val="19"/>
              </w:rPr>
            </w:pPr>
            <w:r>
              <w:rPr>
                <w:w w:val="103"/>
                <w:sz w:val="19"/>
              </w:rPr>
              <w:t>1</w:t>
            </w:r>
          </w:p>
        </w:tc>
        <w:tc>
          <w:tcPr>
            <w:tcW w:w="1480" w:type="dxa"/>
            <w:tcBorders>
              <w:left w:val="nil"/>
              <w:bottom w:val="nil"/>
              <w:right w:val="nil"/>
            </w:tcBorders>
          </w:tcPr>
          <w:p>
            <w:pPr>
              <w:pStyle w:val="TableParagraph"/>
              <w:spacing w:before="5"/>
              <w:ind w:left="150"/>
              <w:jc w:val="left"/>
              <w:rPr>
                <w:sz w:val="19"/>
              </w:rPr>
            </w:pPr>
            <w:r>
              <w:rPr>
                <w:w w:val="105"/>
                <w:sz w:val="19"/>
              </w:rPr>
              <w:t>Casada</w:t>
            </w:r>
          </w:p>
        </w:tc>
        <w:tc>
          <w:tcPr>
            <w:tcW w:w="1103" w:type="dxa"/>
            <w:tcBorders>
              <w:left w:val="nil"/>
              <w:bottom w:val="nil"/>
              <w:right w:val="nil"/>
            </w:tcBorders>
          </w:tcPr>
          <w:p>
            <w:pPr>
              <w:pStyle w:val="TableParagraph"/>
              <w:spacing w:before="5"/>
              <w:ind w:left="225"/>
              <w:jc w:val="left"/>
              <w:rPr>
                <w:sz w:val="19"/>
              </w:rPr>
            </w:pPr>
            <w:r>
              <w:rPr>
                <w:w w:val="105"/>
                <w:sz w:val="19"/>
              </w:rPr>
              <w:t>29 años</w:t>
            </w:r>
          </w:p>
        </w:tc>
        <w:tc>
          <w:tcPr>
            <w:tcW w:w="1777" w:type="dxa"/>
            <w:tcBorders>
              <w:left w:val="nil"/>
              <w:bottom w:val="nil"/>
              <w:right w:val="nil"/>
            </w:tcBorders>
          </w:tcPr>
          <w:p>
            <w:pPr>
              <w:pStyle w:val="TableParagraph"/>
              <w:spacing w:before="5"/>
              <w:ind w:left="260"/>
              <w:jc w:val="left"/>
              <w:rPr>
                <w:sz w:val="19"/>
              </w:rPr>
            </w:pPr>
            <w:r>
              <w:rPr>
                <w:w w:val="105"/>
                <w:sz w:val="19"/>
              </w:rPr>
              <w:t>Preparatoria</w:t>
            </w:r>
          </w:p>
        </w:tc>
      </w:tr>
      <w:tr>
        <w:trPr>
          <w:trHeight w:val="230" w:hRule="exact"/>
        </w:trPr>
        <w:tc>
          <w:tcPr>
            <w:tcW w:w="1348" w:type="dxa"/>
            <w:tcBorders>
              <w:top w:val="nil"/>
              <w:left w:val="nil"/>
              <w:bottom w:val="nil"/>
              <w:right w:val="nil"/>
            </w:tcBorders>
          </w:tcPr>
          <w:p>
            <w:pPr>
              <w:pStyle w:val="TableParagraph"/>
              <w:spacing w:line="216" w:lineRule="exact"/>
              <w:ind w:left="110"/>
              <w:jc w:val="left"/>
              <w:rPr>
                <w:sz w:val="19"/>
              </w:rPr>
            </w:pPr>
            <w:r>
              <w:rPr>
                <w:w w:val="103"/>
                <w:sz w:val="19"/>
              </w:rPr>
              <w:t>2</w:t>
            </w:r>
          </w:p>
        </w:tc>
        <w:tc>
          <w:tcPr>
            <w:tcW w:w="1480" w:type="dxa"/>
            <w:tcBorders>
              <w:top w:val="nil"/>
              <w:left w:val="nil"/>
              <w:bottom w:val="nil"/>
              <w:right w:val="nil"/>
            </w:tcBorders>
          </w:tcPr>
          <w:p>
            <w:pPr>
              <w:pStyle w:val="TableParagraph"/>
              <w:spacing w:line="216" w:lineRule="exact"/>
              <w:ind w:left="150"/>
              <w:jc w:val="left"/>
              <w:rPr>
                <w:sz w:val="19"/>
              </w:rPr>
            </w:pPr>
            <w:r>
              <w:rPr>
                <w:w w:val="105"/>
                <w:sz w:val="19"/>
              </w:rPr>
              <w:t>Madre soltera</w:t>
            </w:r>
          </w:p>
        </w:tc>
        <w:tc>
          <w:tcPr>
            <w:tcW w:w="1103" w:type="dxa"/>
            <w:tcBorders>
              <w:top w:val="nil"/>
              <w:left w:val="nil"/>
              <w:bottom w:val="nil"/>
              <w:right w:val="nil"/>
            </w:tcBorders>
          </w:tcPr>
          <w:p>
            <w:pPr>
              <w:pStyle w:val="TableParagraph"/>
              <w:spacing w:line="216" w:lineRule="exact"/>
              <w:ind w:left="225"/>
              <w:jc w:val="left"/>
              <w:rPr>
                <w:sz w:val="19"/>
              </w:rPr>
            </w:pPr>
            <w:r>
              <w:rPr>
                <w:w w:val="105"/>
                <w:sz w:val="19"/>
              </w:rPr>
              <w:t>26 años</w:t>
            </w:r>
          </w:p>
        </w:tc>
        <w:tc>
          <w:tcPr>
            <w:tcW w:w="1777" w:type="dxa"/>
            <w:tcBorders>
              <w:top w:val="nil"/>
              <w:left w:val="nil"/>
              <w:bottom w:val="nil"/>
              <w:right w:val="nil"/>
            </w:tcBorders>
          </w:tcPr>
          <w:p>
            <w:pPr>
              <w:pStyle w:val="TableParagraph"/>
              <w:spacing w:line="216" w:lineRule="exact"/>
              <w:ind w:left="260"/>
              <w:jc w:val="left"/>
              <w:rPr>
                <w:sz w:val="19"/>
              </w:rPr>
            </w:pPr>
            <w:r>
              <w:rPr>
                <w:w w:val="105"/>
                <w:sz w:val="19"/>
              </w:rPr>
              <w:t>Primaria</w:t>
            </w:r>
          </w:p>
        </w:tc>
      </w:tr>
      <w:tr>
        <w:trPr>
          <w:trHeight w:val="230" w:hRule="exact"/>
        </w:trPr>
        <w:tc>
          <w:tcPr>
            <w:tcW w:w="1348" w:type="dxa"/>
            <w:tcBorders>
              <w:top w:val="nil"/>
              <w:left w:val="nil"/>
              <w:bottom w:val="nil"/>
              <w:right w:val="nil"/>
            </w:tcBorders>
          </w:tcPr>
          <w:p>
            <w:pPr>
              <w:pStyle w:val="TableParagraph"/>
              <w:spacing w:line="216" w:lineRule="exact"/>
              <w:ind w:left="110"/>
              <w:jc w:val="left"/>
              <w:rPr>
                <w:sz w:val="19"/>
              </w:rPr>
            </w:pPr>
            <w:r>
              <w:rPr>
                <w:w w:val="103"/>
                <w:sz w:val="19"/>
              </w:rPr>
              <w:t>3</w:t>
            </w:r>
          </w:p>
        </w:tc>
        <w:tc>
          <w:tcPr>
            <w:tcW w:w="1480" w:type="dxa"/>
            <w:tcBorders>
              <w:top w:val="nil"/>
              <w:left w:val="nil"/>
              <w:bottom w:val="nil"/>
              <w:right w:val="nil"/>
            </w:tcBorders>
          </w:tcPr>
          <w:p>
            <w:pPr>
              <w:pStyle w:val="TableParagraph"/>
              <w:spacing w:line="216" w:lineRule="exact"/>
              <w:ind w:left="150"/>
              <w:jc w:val="left"/>
              <w:rPr>
                <w:sz w:val="19"/>
              </w:rPr>
            </w:pPr>
            <w:r>
              <w:rPr>
                <w:w w:val="105"/>
                <w:sz w:val="19"/>
              </w:rPr>
              <w:t>Viuda</w:t>
            </w:r>
          </w:p>
        </w:tc>
        <w:tc>
          <w:tcPr>
            <w:tcW w:w="1103" w:type="dxa"/>
            <w:tcBorders>
              <w:top w:val="nil"/>
              <w:left w:val="nil"/>
              <w:bottom w:val="nil"/>
              <w:right w:val="nil"/>
            </w:tcBorders>
          </w:tcPr>
          <w:p>
            <w:pPr>
              <w:pStyle w:val="TableParagraph"/>
              <w:spacing w:line="216" w:lineRule="exact"/>
              <w:ind w:left="225"/>
              <w:jc w:val="left"/>
              <w:rPr>
                <w:sz w:val="19"/>
              </w:rPr>
            </w:pPr>
            <w:r>
              <w:rPr>
                <w:w w:val="105"/>
                <w:sz w:val="19"/>
              </w:rPr>
              <w:t>32 años</w:t>
            </w:r>
          </w:p>
        </w:tc>
        <w:tc>
          <w:tcPr>
            <w:tcW w:w="1777" w:type="dxa"/>
            <w:tcBorders>
              <w:top w:val="nil"/>
              <w:left w:val="nil"/>
              <w:bottom w:val="nil"/>
              <w:right w:val="nil"/>
            </w:tcBorders>
          </w:tcPr>
          <w:p>
            <w:pPr>
              <w:pStyle w:val="TableParagraph"/>
              <w:spacing w:line="216" w:lineRule="exact"/>
              <w:ind w:left="260"/>
              <w:jc w:val="left"/>
              <w:rPr>
                <w:sz w:val="19"/>
              </w:rPr>
            </w:pPr>
            <w:r>
              <w:rPr>
                <w:w w:val="105"/>
                <w:sz w:val="19"/>
              </w:rPr>
              <w:t>Secundaria</w:t>
            </w:r>
          </w:p>
        </w:tc>
      </w:tr>
      <w:tr>
        <w:trPr>
          <w:trHeight w:val="230" w:hRule="exact"/>
        </w:trPr>
        <w:tc>
          <w:tcPr>
            <w:tcW w:w="1348" w:type="dxa"/>
            <w:tcBorders>
              <w:top w:val="nil"/>
              <w:left w:val="nil"/>
              <w:bottom w:val="nil"/>
              <w:right w:val="nil"/>
            </w:tcBorders>
          </w:tcPr>
          <w:p>
            <w:pPr>
              <w:pStyle w:val="TableParagraph"/>
              <w:spacing w:line="216" w:lineRule="exact"/>
              <w:ind w:left="110"/>
              <w:jc w:val="left"/>
              <w:rPr>
                <w:sz w:val="19"/>
              </w:rPr>
            </w:pPr>
            <w:r>
              <w:rPr>
                <w:w w:val="103"/>
                <w:sz w:val="19"/>
              </w:rPr>
              <w:t>4</w:t>
            </w:r>
          </w:p>
        </w:tc>
        <w:tc>
          <w:tcPr>
            <w:tcW w:w="1480" w:type="dxa"/>
            <w:tcBorders>
              <w:top w:val="nil"/>
              <w:left w:val="nil"/>
              <w:bottom w:val="nil"/>
              <w:right w:val="nil"/>
            </w:tcBorders>
          </w:tcPr>
          <w:p>
            <w:pPr>
              <w:pStyle w:val="TableParagraph"/>
              <w:spacing w:line="216" w:lineRule="exact"/>
              <w:ind w:left="150"/>
              <w:jc w:val="left"/>
              <w:rPr>
                <w:sz w:val="19"/>
              </w:rPr>
            </w:pPr>
            <w:r>
              <w:rPr>
                <w:w w:val="105"/>
                <w:sz w:val="19"/>
              </w:rPr>
              <w:t>Madre soltera</w:t>
            </w:r>
          </w:p>
        </w:tc>
        <w:tc>
          <w:tcPr>
            <w:tcW w:w="1103" w:type="dxa"/>
            <w:tcBorders>
              <w:top w:val="nil"/>
              <w:left w:val="nil"/>
              <w:bottom w:val="nil"/>
              <w:right w:val="nil"/>
            </w:tcBorders>
          </w:tcPr>
          <w:p>
            <w:pPr>
              <w:pStyle w:val="TableParagraph"/>
              <w:spacing w:line="216" w:lineRule="exact"/>
              <w:ind w:left="225"/>
              <w:jc w:val="left"/>
              <w:rPr>
                <w:sz w:val="19"/>
              </w:rPr>
            </w:pPr>
            <w:r>
              <w:rPr>
                <w:w w:val="105"/>
                <w:sz w:val="19"/>
              </w:rPr>
              <w:t>20 años</w:t>
            </w:r>
          </w:p>
        </w:tc>
        <w:tc>
          <w:tcPr>
            <w:tcW w:w="1777" w:type="dxa"/>
            <w:tcBorders>
              <w:top w:val="nil"/>
              <w:left w:val="nil"/>
              <w:bottom w:val="nil"/>
              <w:right w:val="nil"/>
            </w:tcBorders>
          </w:tcPr>
          <w:p>
            <w:pPr>
              <w:pStyle w:val="TableParagraph"/>
              <w:spacing w:line="216" w:lineRule="exact"/>
              <w:ind w:left="260"/>
              <w:jc w:val="left"/>
              <w:rPr>
                <w:sz w:val="19"/>
              </w:rPr>
            </w:pPr>
            <w:r>
              <w:rPr>
                <w:w w:val="105"/>
                <w:sz w:val="19"/>
              </w:rPr>
              <w:t>Secundaria</w:t>
            </w:r>
          </w:p>
        </w:tc>
      </w:tr>
      <w:tr>
        <w:trPr>
          <w:trHeight w:val="230" w:hRule="exact"/>
        </w:trPr>
        <w:tc>
          <w:tcPr>
            <w:tcW w:w="1348" w:type="dxa"/>
            <w:tcBorders>
              <w:top w:val="nil"/>
              <w:left w:val="nil"/>
              <w:bottom w:val="nil"/>
              <w:right w:val="nil"/>
            </w:tcBorders>
          </w:tcPr>
          <w:p>
            <w:pPr>
              <w:pStyle w:val="TableParagraph"/>
              <w:spacing w:line="216" w:lineRule="exact"/>
              <w:ind w:left="110"/>
              <w:jc w:val="left"/>
              <w:rPr>
                <w:sz w:val="19"/>
              </w:rPr>
            </w:pPr>
            <w:r>
              <w:rPr>
                <w:w w:val="103"/>
                <w:sz w:val="19"/>
              </w:rPr>
              <w:t>5</w:t>
            </w:r>
          </w:p>
        </w:tc>
        <w:tc>
          <w:tcPr>
            <w:tcW w:w="1480" w:type="dxa"/>
            <w:tcBorders>
              <w:top w:val="nil"/>
              <w:left w:val="nil"/>
              <w:bottom w:val="nil"/>
              <w:right w:val="nil"/>
            </w:tcBorders>
          </w:tcPr>
          <w:p>
            <w:pPr>
              <w:pStyle w:val="TableParagraph"/>
              <w:spacing w:line="216" w:lineRule="exact"/>
              <w:ind w:left="150"/>
              <w:jc w:val="left"/>
              <w:rPr>
                <w:sz w:val="19"/>
              </w:rPr>
            </w:pPr>
            <w:r>
              <w:rPr>
                <w:w w:val="105"/>
                <w:sz w:val="19"/>
              </w:rPr>
              <w:t>Madre soltera</w:t>
            </w:r>
          </w:p>
        </w:tc>
        <w:tc>
          <w:tcPr>
            <w:tcW w:w="1103" w:type="dxa"/>
            <w:tcBorders>
              <w:top w:val="nil"/>
              <w:left w:val="nil"/>
              <w:bottom w:val="nil"/>
              <w:right w:val="nil"/>
            </w:tcBorders>
          </w:tcPr>
          <w:p>
            <w:pPr>
              <w:pStyle w:val="TableParagraph"/>
              <w:spacing w:line="216" w:lineRule="exact"/>
              <w:ind w:left="225"/>
              <w:jc w:val="left"/>
              <w:rPr>
                <w:sz w:val="19"/>
              </w:rPr>
            </w:pPr>
            <w:r>
              <w:rPr>
                <w:w w:val="105"/>
                <w:sz w:val="19"/>
              </w:rPr>
              <w:t>21 años</w:t>
            </w:r>
          </w:p>
        </w:tc>
        <w:tc>
          <w:tcPr>
            <w:tcW w:w="1777" w:type="dxa"/>
            <w:tcBorders>
              <w:top w:val="nil"/>
              <w:left w:val="nil"/>
              <w:bottom w:val="nil"/>
              <w:right w:val="nil"/>
            </w:tcBorders>
          </w:tcPr>
          <w:p>
            <w:pPr>
              <w:pStyle w:val="TableParagraph"/>
              <w:spacing w:line="216" w:lineRule="exact"/>
              <w:ind w:left="260"/>
              <w:jc w:val="left"/>
              <w:rPr>
                <w:sz w:val="19"/>
              </w:rPr>
            </w:pPr>
            <w:r>
              <w:rPr>
                <w:w w:val="105"/>
                <w:sz w:val="19"/>
              </w:rPr>
              <w:t>Secundaria</w:t>
            </w:r>
          </w:p>
        </w:tc>
      </w:tr>
      <w:tr>
        <w:trPr>
          <w:trHeight w:val="230" w:hRule="exact"/>
        </w:trPr>
        <w:tc>
          <w:tcPr>
            <w:tcW w:w="1348" w:type="dxa"/>
            <w:tcBorders>
              <w:top w:val="nil"/>
              <w:left w:val="nil"/>
              <w:bottom w:val="nil"/>
              <w:right w:val="nil"/>
            </w:tcBorders>
          </w:tcPr>
          <w:p>
            <w:pPr>
              <w:pStyle w:val="TableParagraph"/>
              <w:spacing w:line="216" w:lineRule="exact"/>
              <w:ind w:left="110"/>
              <w:jc w:val="left"/>
              <w:rPr>
                <w:sz w:val="19"/>
              </w:rPr>
            </w:pPr>
            <w:r>
              <w:rPr>
                <w:w w:val="103"/>
                <w:sz w:val="19"/>
              </w:rPr>
              <w:t>6</w:t>
            </w:r>
          </w:p>
        </w:tc>
        <w:tc>
          <w:tcPr>
            <w:tcW w:w="1480" w:type="dxa"/>
            <w:tcBorders>
              <w:top w:val="nil"/>
              <w:left w:val="nil"/>
              <w:bottom w:val="nil"/>
              <w:right w:val="nil"/>
            </w:tcBorders>
          </w:tcPr>
          <w:p>
            <w:pPr>
              <w:pStyle w:val="TableParagraph"/>
              <w:spacing w:line="216" w:lineRule="exact"/>
              <w:ind w:left="150"/>
              <w:jc w:val="left"/>
              <w:rPr>
                <w:sz w:val="19"/>
              </w:rPr>
            </w:pPr>
            <w:r>
              <w:rPr>
                <w:w w:val="105"/>
                <w:sz w:val="19"/>
              </w:rPr>
              <w:t>Madre soltera</w:t>
            </w:r>
          </w:p>
        </w:tc>
        <w:tc>
          <w:tcPr>
            <w:tcW w:w="1103" w:type="dxa"/>
            <w:tcBorders>
              <w:top w:val="nil"/>
              <w:left w:val="nil"/>
              <w:bottom w:val="nil"/>
              <w:right w:val="nil"/>
            </w:tcBorders>
          </w:tcPr>
          <w:p>
            <w:pPr>
              <w:pStyle w:val="TableParagraph"/>
              <w:spacing w:line="216" w:lineRule="exact"/>
              <w:ind w:left="225"/>
              <w:jc w:val="left"/>
              <w:rPr>
                <w:sz w:val="19"/>
              </w:rPr>
            </w:pPr>
            <w:r>
              <w:rPr>
                <w:w w:val="105"/>
                <w:sz w:val="19"/>
              </w:rPr>
              <w:t>18 años</w:t>
            </w:r>
          </w:p>
        </w:tc>
        <w:tc>
          <w:tcPr>
            <w:tcW w:w="1777" w:type="dxa"/>
            <w:tcBorders>
              <w:top w:val="nil"/>
              <w:left w:val="nil"/>
              <w:bottom w:val="nil"/>
              <w:right w:val="nil"/>
            </w:tcBorders>
          </w:tcPr>
          <w:p>
            <w:pPr>
              <w:pStyle w:val="TableParagraph"/>
              <w:spacing w:line="216" w:lineRule="exact"/>
              <w:ind w:left="260"/>
              <w:jc w:val="left"/>
              <w:rPr>
                <w:sz w:val="19"/>
              </w:rPr>
            </w:pPr>
            <w:r>
              <w:rPr>
                <w:w w:val="105"/>
                <w:sz w:val="19"/>
              </w:rPr>
              <w:t>Primaria</w:t>
            </w:r>
          </w:p>
        </w:tc>
      </w:tr>
      <w:tr>
        <w:trPr>
          <w:trHeight w:val="230" w:hRule="exact"/>
        </w:trPr>
        <w:tc>
          <w:tcPr>
            <w:tcW w:w="1348" w:type="dxa"/>
            <w:tcBorders>
              <w:top w:val="nil"/>
              <w:left w:val="nil"/>
              <w:bottom w:val="nil"/>
              <w:right w:val="nil"/>
            </w:tcBorders>
          </w:tcPr>
          <w:p>
            <w:pPr>
              <w:pStyle w:val="TableParagraph"/>
              <w:spacing w:line="216" w:lineRule="exact"/>
              <w:ind w:left="110"/>
              <w:jc w:val="left"/>
              <w:rPr>
                <w:sz w:val="19"/>
              </w:rPr>
            </w:pPr>
            <w:r>
              <w:rPr>
                <w:w w:val="103"/>
                <w:sz w:val="19"/>
              </w:rPr>
              <w:t>7</w:t>
            </w:r>
          </w:p>
        </w:tc>
        <w:tc>
          <w:tcPr>
            <w:tcW w:w="1480" w:type="dxa"/>
            <w:tcBorders>
              <w:top w:val="nil"/>
              <w:left w:val="nil"/>
              <w:bottom w:val="nil"/>
              <w:right w:val="nil"/>
            </w:tcBorders>
          </w:tcPr>
          <w:p>
            <w:pPr>
              <w:pStyle w:val="TableParagraph"/>
              <w:spacing w:line="216" w:lineRule="exact"/>
              <w:ind w:left="150"/>
              <w:jc w:val="left"/>
              <w:rPr>
                <w:sz w:val="19"/>
              </w:rPr>
            </w:pPr>
            <w:r>
              <w:rPr>
                <w:w w:val="105"/>
                <w:sz w:val="19"/>
              </w:rPr>
              <w:t>Divorciada</w:t>
            </w:r>
          </w:p>
        </w:tc>
        <w:tc>
          <w:tcPr>
            <w:tcW w:w="1103" w:type="dxa"/>
            <w:tcBorders>
              <w:top w:val="nil"/>
              <w:left w:val="nil"/>
              <w:bottom w:val="nil"/>
              <w:right w:val="nil"/>
            </w:tcBorders>
          </w:tcPr>
          <w:p>
            <w:pPr>
              <w:pStyle w:val="TableParagraph"/>
              <w:spacing w:line="216" w:lineRule="exact"/>
              <w:ind w:left="225"/>
              <w:jc w:val="left"/>
              <w:rPr>
                <w:sz w:val="19"/>
              </w:rPr>
            </w:pPr>
            <w:r>
              <w:rPr>
                <w:w w:val="105"/>
                <w:sz w:val="19"/>
              </w:rPr>
              <w:t>22 años</w:t>
            </w:r>
          </w:p>
        </w:tc>
        <w:tc>
          <w:tcPr>
            <w:tcW w:w="1777" w:type="dxa"/>
            <w:tcBorders>
              <w:top w:val="nil"/>
              <w:left w:val="nil"/>
              <w:bottom w:val="nil"/>
              <w:right w:val="nil"/>
            </w:tcBorders>
          </w:tcPr>
          <w:p>
            <w:pPr>
              <w:pStyle w:val="TableParagraph"/>
              <w:spacing w:line="216" w:lineRule="exact"/>
              <w:ind w:left="260"/>
              <w:jc w:val="left"/>
              <w:rPr>
                <w:sz w:val="19"/>
              </w:rPr>
            </w:pPr>
            <w:r>
              <w:rPr>
                <w:w w:val="105"/>
                <w:sz w:val="19"/>
              </w:rPr>
              <w:t>Primaria</w:t>
            </w:r>
          </w:p>
        </w:tc>
      </w:tr>
      <w:tr>
        <w:trPr>
          <w:trHeight w:val="230" w:hRule="exact"/>
        </w:trPr>
        <w:tc>
          <w:tcPr>
            <w:tcW w:w="1348" w:type="dxa"/>
            <w:tcBorders>
              <w:top w:val="nil"/>
              <w:left w:val="nil"/>
              <w:bottom w:val="nil"/>
              <w:right w:val="nil"/>
            </w:tcBorders>
          </w:tcPr>
          <w:p>
            <w:pPr>
              <w:pStyle w:val="TableParagraph"/>
              <w:spacing w:line="216" w:lineRule="exact"/>
              <w:ind w:left="110"/>
              <w:jc w:val="left"/>
              <w:rPr>
                <w:sz w:val="19"/>
              </w:rPr>
            </w:pPr>
            <w:r>
              <w:rPr>
                <w:w w:val="103"/>
                <w:sz w:val="19"/>
              </w:rPr>
              <w:t>8</w:t>
            </w:r>
          </w:p>
        </w:tc>
        <w:tc>
          <w:tcPr>
            <w:tcW w:w="1480" w:type="dxa"/>
            <w:tcBorders>
              <w:top w:val="nil"/>
              <w:left w:val="nil"/>
              <w:bottom w:val="nil"/>
              <w:right w:val="nil"/>
            </w:tcBorders>
          </w:tcPr>
          <w:p>
            <w:pPr>
              <w:pStyle w:val="TableParagraph"/>
              <w:spacing w:line="216" w:lineRule="exact"/>
              <w:ind w:left="150"/>
              <w:jc w:val="left"/>
              <w:rPr>
                <w:sz w:val="19"/>
              </w:rPr>
            </w:pPr>
            <w:r>
              <w:rPr>
                <w:w w:val="105"/>
                <w:sz w:val="19"/>
              </w:rPr>
              <w:t>Divorciada</w:t>
            </w:r>
          </w:p>
        </w:tc>
        <w:tc>
          <w:tcPr>
            <w:tcW w:w="1103" w:type="dxa"/>
            <w:tcBorders>
              <w:top w:val="nil"/>
              <w:left w:val="nil"/>
              <w:bottom w:val="nil"/>
              <w:right w:val="nil"/>
            </w:tcBorders>
          </w:tcPr>
          <w:p>
            <w:pPr>
              <w:pStyle w:val="TableParagraph"/>
              <w:spacing w:line="216" w:lineRule="exact"/>
              <w:ind w:left="225"/>
              <w:jc w:val="left"/>
              <w:rPr>
                <w:sz w:val="19"/>
              </w:rPr>
            </w:pPr>
            <w:r>
              <w:rPr>
                <w:w w:val="105"/>
                <w:sz w:val="19"/>
              </w:rPr>
              <w:t>19 años</w:t>
            </w:r>
          </w:p>
        </w:tc>
        <w:tc>
          <w:tcPr>
            <w:tcW w:w="1777" w:type="dxa"/>
            <w:tcBorders>
              <w:top w:val="nil"/>
              <w:left w:val="nil"/>
              <w:bottom w:val="nil"/>
              <w:right w:val="nil"/>
            </w:tcBorders>
          </w:tcPr>
          <w:p>
            <w:pPr>
              <w:pStyle w:val="TableParagraph"/>
              <w:spacing w:line="216" w:lineRule="exact"/>
              <w:ind w:left="260"/>
              <w:jc w:val="left"/>
              <w:rPr>
                <w:sz w:val="19"/>
              </w:rPr>
            </w:pPr>
            <w:r>
              <w:rPr>
                <w:w w:val="105"/>
                <w:sz w:val="19"/>
              </w:rPr>
              <w:t>Secundaria</w:t>
            </w:r>
          </w:p>
        </w:tc>
      </w:tr>
      <w:tr>
        <w:trPr>
          <w:trHeight w:val="228" w:hRule="exact"/>
        </w:trPr>
        <w:tc>
          <w:tcPr>
            <w:tcW w:w="1348" w:type="dxa"/>
            <w:tcBorders>
              <w:top w:val="nil"/>
              <w:left w:val="nil"/>
              <w:bottom w:val="nil"/>
              <w:right w:val="nil"/>
            </w:tcBorders>
          </w:tcPr>
          <w:p>
            <w:pPr>
              <w:pStyle w:val="TableParagraph"/>
              <w:spacing w:line="216" w:lineRule="exact"/>
              <w:ind w:left="110"/>
              <w:jc w:val="left"/>
              <w:rPr>
                <w:sz w:val="19"/>
              </w:rPr>
            </w:pPr>
            <w:r>
              <w:rPr>
                <w:w w:val="103"/>
                <w:sz w:val="19"/>
              </w:rPr>
              <w:t>9</w:t>
            </w:r>
          </w:p>
        </w:tc>
        <w:tc>
          <w:tcPr>
            <w:tcW w:w="1480" w:type="dxa"/>
            <w:tcBorders>
              <w:top w:val="nil"/>
              <w:left w:val="nil"/>
              <w:bottom w:val="nil"/>
              <w:right w:val="nil"/>
            </w:tcBorders>
          </w:tcPr>
          <w:p>
            <w:pPr>
              <w:pStyle w:val="TableParagraph"/>
              <w:spacing w:line="216" w:lineRule="exact"/>
              <w:ind w:left="150"/>
              <w:jc w:val="left"/>
              <w:rPr>
                <w:sz w:val="19"/>
              </w:rPr>
            </w:pPr>
            <w:r>
              <w:rPr>
                <w:w w:val="105"/>
                <w:sz w:val="19"/>
              </w:rPr>
              <w:t>Madre soltera</w:t>
            </w:r>
          </w:p>
        </w:tc>
        <w:tc>
          <w:tcPr>
            <w:tcW w:w="1103" w:type="dxa"/>
            <w:tcBorders>
              <w:top w:val="nil"/>
              <w:left w:val="nil"/>
              <w:bottom w:val="nil"/>
              <w:right w:val="nil"/>
            </w:tcBorders>
          </w:tcPr>
          <w:p>
            <w:pPr>
              <w:pStyle w:val="TableParagraph"/>
              <w:spacing w:line="216" w:lineRule="exact"/>
              <w:ind w:left="225"/>
              <w:jc w:val="left"/>
              <w:rPr>
                <w:sz w:val="19"/>
              </w:rPr>
            </w:pPr>
            <w:r>
              <w:rPr>
                <w:w w:val="105"/>
                <w:sz w:val="19"/>
              </w:rPr>
              <w:t>18 años</w:t>
            </w:r>
          </w:p>
        </w:tc>
        <w:tc>
          <w:tcPr>
            <w:tcW w:w="1777" w:type="dxa"/>
            <w:tcBorders>
              <w:top w:val="nil"/>
              <w:left w:val="nil"/>
              <w:bottom w:val="nil"/>
              <w:right w:val="nil"/>
            </w:tcBorders>
          </w:tcPr>
          <w:p>
            <w:pPr>
              <w:pStyle w:val="TableParagraph"/>
              <w:spacing w:line="216" w:lineRule="exact"/>
              <w:ind w:left="260"/>
              <w:jc w:val="left"/>
              <w:rPr>
                <w:sz w:val="19"/>
              </w:rPr>
            </w:pPr>
            <w:r>
              <w:rPr>
                <w:w w:val="105"/>
                <w:sz w:val="19"/>
              </w:rPr>
              <w:t>Primaria</w:t>
            </w:r>
          </w:p>
        </w:tc>
      </w:tr>
      <w:tr>
        <w:trPr>
          <w:trHeight w:val="226" w:hRule="exact"/>
        </w:trPr>
        <w:tc>
          <w:tcPr>
            <w:tcW w:w="1348" w:type="dxa"/>
            <w:tcBorders>
              <w:top w:val="nil"/>
              <w:left w:val="nil"/>
              <w:right w:val="nil"/>
            </w:tcBorders>
          </w:tcPr>
          <w:p>
            <w:pPr>
              <w:pStyle w:val="TableParagraph"/>
              <w:spacing w:line="214" w:lineRule="exact"/>
              <w:ind w:left="110" w:right="131"/>
              <w:jc w:val="left"/>
              <w:rPr>
                <w:sz w:val="19"/>
              </w:rPr>
            </w:pPr>
            <w:r>
              <w:rPr>
                <w:w w:val="105"/>
                <w:sz w:val="19"/>
              </w:rPr>
              <w:t>10</w:t>
            </w:r>
          </w:p>
        </w:tc>
        <w:tc>
          <w:tcPr>
            <w:tcW w:w="1480" w:type="dxa"/>
            <w:tcBorders>
              <w:top w:val="nil"/>
              <w:left w:val="nil"/>
              <w:right w:val="nil"/>
            </w:tcBorders>
          </w:tcPr>
          <w:p>
            <w:pPr>
              <w:pStyle w:val="TableParagraph"/>
              <w:spacing w:line="214" w:lineRule="exact"/>
              <w:ind w:left="150"/>
              <w:jc w:val="left"/>
              <w:rPr>
                <w:sz w:val="19"/>
              </w:rPr>
            </w:pPr>
            <w:r>
              <w:rPr>
                <w:w w:val="105"/>
                <w:sz w:val="19"/>
              </w:rPr>
              <w:t>Madre soltera</w:t>
            </w:r>
          </w:p>
        </w:tc>
        <w:tc>
          <w:tcPr>
            <w:tcW w:w="1103" w:type="dxa"/>
            <w:tcBorders>
              <w:top w:val="nil"/>
              <w:left w:val="nil"/>
              <w:right w:val="nil"/>
            </w:tcBorders>
          </w:tcPr>
          <w:p>
            <w:pPr>
              <w:pStyle w:val="TableParagraph"/>
              <w:spacing w:line="214" w:lineRule="exact"/>
              <w:ind w:left="225"/>
              <w:jc w:val="left"/>
              <w:rPr>
                <w:sz w:val="19"/>
              </w:rPr>
            </w:pPr>
            <w:r>
              <w:rPr>
                <w:w w:val="105"/>
                <w:sz w:val="19"/>
              </w:rPr>
              <w:t>17 años</w:t>
            </w:r>
          </w:p>
        </w:tc>
        <w:tc>
          <w:tcPr>
            <w:tcW w:w="1777" w:type="dxa"/>
            <w:tcBorders>
              <w:top w:val="nil"/>
              <w:left w:val="nil"/>
              <w:right w:val="nil"/>
            </w:tcBorders>
          </w:tcPr>
          <w:p>
            <w:pPr>
              <w:pStyle w:val="TableParagraph"/>
              <w:spacing w:line="214" w:lineRule="exact"/>
              <w:ind w:left="260"/>
              <w:jc w:val="left"/>
              <w:rPr>
                <w:sz w:val="19"/>
              </w:rPr>
            </w:pPr>
            <w:r>
              <w:rPr>
                <w:w w:val="105"/>
                <w:sz w:val="19"/>
              </w:rPr>
              <w:t>Secundaria</w:t>
            </w:r>
          </w:p>
        </w:tc>
      </w:tr>
    </w:tbl>
    <w:p>
      <w:pPr>
        <w:spacing w:line="179" w:lineRule="exact" w:before="0"/>
        <w:ind w:left="229" w:right="792" w:firstLine="0"/>
        <w:jc w:val="left"/>
        <w:rPr>
          <w:sz w:val="16"/>
        </w:rPr>
      </w:pPr>
      <w:r>
        <w:rPr>
          <w:sz w:val="16"/>
        </w:rPr>
        <w:t>Fuente: elaboración propia de los autores.</w:t>
      </w:r>
    </w:p>
    <w:p>
      <w:pPr>
        <w:pStyle w:val="BodyText"/>
        <w:spacing w:before="10"/>
        <w:rPr>
          <w:sz w:val="14"/>
        </w:rPr>
      </w:pPr>
    </w:p>
    <w:p>
      <w:pPr>
        <w:pStyle w:val="Heading4"/>
        <w:spacing w:before="0"/>
        <w:ind w:left="110"/>
      </w:pPr>
      <w:r>
        <w:rPr>
          <w:w w:val="85"/>
        </w:rPr>
        <w:t>Conclusiones</w:t>
      </w:r>
    </w:p>
    <w:p>
      <w:pPr>
        <w:pStyle w:val="BodyText"/>
        <w:spacing w:line="249" w:lineRule="auto" w:before="171"/>
        <w:ind w:left="110" w:right="111"/>
        <w:jc w:val="both"/>
      </w:pPr>
      <w:r>
        <w:rPr>
          <w:color w:val="231F20"/>
        </w:rPr>
        <w:t>A</w:t>
      </w:r>
      <w:r>
        <w:rPr>
          <w:color w:val="231F20"/>
          <w:spacing w:val="-22"/>
        </w:rPr>
        <w:t> </w:t>
      </w:r>
      <w:r>
        <w:rPr>
          <w:color w:val="231F20"/>
        </w:rPr>
        <w:t>través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investigación</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realizó</w:t>
      </w:r>
      <w:r>
        <w:rPr>
          <w:color w:val="231F20"/>
          <w:spacing w:val="-11"/>
        </w:rPr>
        <w:t> </w:t>
      </w:r>
      <w:r>
        <w:rPr>
          <w:color w:val="231F20"/>
        </w:rPr>
        <w:t>en</w:t>
      </w:r>
      <w:r>
        <w:rPr>
          <w:color w:val="231F20"/>
          <w:spacing w:val="-11"/>
        </w:rPr>
        <w:t> </w:t>
      </w:r>
      <w:r>
        <w:rPr>
          <w:color w:val="231F20"/>
        </w:rPr>
        <w:t>campo</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mujeres</w:t>
      </w:r>
      <w:r>
        <w:rPr>
          <w:color w:val="231F20"/>
          <w:spacing w:val="-10"/>
        </w:rPr>
        <w:t> </w:t>
      </w:r>
      <w:r>
        <w:rPr>
          <w:color w:val="231F20"/>
        </w:rPr>
        <w:t>de</w:t>
      </w:r>
      <w:r>
        <w:rPr>
          <w:color w:val="231F20"/>
          <w:spacing w:val="-10"/>
        </w:rPr>
        <w:t> </w:t>
      </w:r>
      <w:r>
        <w:rPr>
          <w:color w:val="231F20"/>
        </w:rPr>
        <w:t>la comunidad de San Pedro Tlanixco, beneficiarias del programa Mujeres Trabajadoras Comprometidas, es posible concluir que los apoyos eco- nómicos que otorga dicho programa no reducen de manera significativa las desigualdades económicas, ni dotan de mejores oportunidades para ellas y sus familias de manera sistemática y duradera. De esta forma el programa no tiene capacidades para elimina de manera total la pobreza que afronta el género femenino. Los apoyos económicos son tan peque- ños que es imposible pensar en que con ellos las mujeres puedan iniciar emprendimientos</w:t>
      </w:r>
      <w:r>
        <w:rPr>
          <w:color w:val="231F20"/>
          <w:spacing w:val="-1"/>
        </w:rPr>
        <w:t> </w:t>
      </w:r>
      <w:r>
        <w:rPr>
          <w:color w:val="231F20"/>
        </w:rPr>
        <w:t>económicos.</w:t>
      </w:r>
    </w:p>
    <w:p>
      <w:pPr>
        <w:pStyle w:val="BodyText"/>
        <w:spacing w:before="1"/>
        <w:ind w:left="393"/>
      </w:pPr>
      <w:r>
        <w:rPr>
          <w:color w:val="231F20"/>
        </w:rPr>
        <w:t>Lo que sucede con los apoyos de este programa, sobre todo los  eco-</w:t>
      </w:r>
    </w:p>
    <w:p>
      <w:pPr>
        <w:spacing w:after="0"/>
        <w:sectPr>
          <w:pgSz w:w="7770" w:h="11740"/>
          <w:pgMar w:header="0" w:footer="474" w:top="840" w:bottom="740" w:left="740" w:right="1020"/>
        </w:sectPr>
      </w:pPr>
    </w:p>
    <w:p>
      <w:pPr>
        <w:pStyle w:val="BodyText"/>
        <w:spacing w:line="249" w:lineRule="auto" w:before="60"/>
        <w:ind w:left="113" w:right="107"/>
        <w:jc w:val="both"/>
      </w:pPr>
      <w:r>
        <w:rPr>
          <w:color w:val="231F20"/>
        </w:rPr>
        <w:t>nómicos, es que generan lo que denominamos micro zonas de bienestar, o sea, los recursos ayudan a satisfacer necesidades de manera puntual, fugaz,</w:t>
      </w:r>
      <w:r>
        <w:rPr>
          <w:color w:val="231F20"/>
          <w:spacing w:val="-4"/>
        </w:rPr>
        <w:t> </w:t>
      </w:r>
      <w:r>
        <w:rPr>
          <w:color w:val="231F20"/>
        </w:rPr>
        <w:t>a</w:t>
      </w:r>
      <w:r>
        <w:rPr>
          <w:color w:val="231F20"/>
          <w:spacing w:val="-4"/>
        </w:rPr>
        <w:t> </w:t>
      </w:r>
      <w:r>
        <w:rPr>
          <w:color w:val="231F20"/>
        </w:rPr>
        <w:t>veces</w:t>
      </w:r>
      <w:r>
        <w:rPr>
          <w:color w:val="231F20"/>
          <w:spacing w:val="-4"/>
        </w:rPr>
        <w:t> </w:t>
      </w:r>
      <w:r>
        <w:rPr>
          <w:color w:val="231F20"/>
        </w:rPr>
        <w:t>de</w:t>
      </w:r>
      <w:r>
        <w:rPr>
          <w:color w:val="231F20"/>
          <w:spacing w:val="-4"/>
        </w:rPr>
        <w:t> </w:t>
      </w:r>
      <w:r>
        <w:rPr>
          <w:color w:val="231F20"/>
        </w:rPr>
        <w:t>manera</w:t>
      </w:r>
      <w:r>
        <w:rPr>
          <w:color w:val="231F20"/>
          <w:spacing w:val="-5"/>
        </w:rPr>
        <w:t> </w:t>
      </w:r>
      <w:r>
        <w:rPr>
          <w:color w:val="231F20"/>
        </w:rPr>
        <w:t>coyuntural.</w:t>
      </w:r>
      <w:r>
        <w:rPr>
          <w:color w:val="231F20"/>
          <w:spacing w:val="-5"/>
        </w:rPr>
        <w:t> </w:t>
      </w:r>
      <w:r>
        <w:rPr>
          <w:color w:val="231F20"/>
        </w:rPr>
        <w:t>En</w:t>
      </w:r>
      <w:r>
        <w:rPr>
          <w:color w:val="231F20"/>
          <w:spacing w:val="-4"/>
        </w:rPr>
        <w:t> </w:t>
      </w:r>
      <w:r>
        <w:rPr>
          <w:color w:val="231F20"/>
        </w:rPr>
        <w:t>ocasiones</w:t>
      </w:r>
      <w:r>
        <w:rPr>
          <w:color w:val="231F20"/>
          <w:spacing w:val="-4"/>
        </w:rPr>
        <w:t> </w:t>
      </w:r>
      <w:r>
        <w:rPr>
          <w:color w:val="231F20"/>
        </w:rPr>
        <w:t>se</w:t>
      </w:r>
      <w:r>
        <w:rPr>
          <w:color w:val="231F20"/>
          <w:spacing w:val="-4"/>
        </w:rPr>
        <w:t> </w:t>
      </w:r>
      <w:r>
        <w:rPr>
          <w:color w:val="231F20"/>
        </w:rPr>
        <w:t>convierten</w:t>
      </w:r>
      <w:r>
        <w:rPr>
          <w:color w:val="231F20"/>
          <w:spacing w:val="-5"/>
        </w:rPr>
        <w:t> </w:t>
      </w:r>
      <w:r>
        <w:rPr>
          <w:color w:val="231F20"/>
        </w:rPr>
        <w:t>en</w:t>
      </w:r>
      <w:r>
        <w:rPr>
          <w:color w:val="231F20"/>
          <w:spacing w:val="-4"/>
        </w:rPr>
        <w:t> </w:t>
      </w:r>
      <w:r>
        <w:rPr>
          <w:color w:val="231F20"/>
        </w:rPr>
        <w:t>apo- yos estratégicos pues logran satisfacer necesidades sustantivas para una madre de familia. El problema de fondo es que estas micro zonas de bienestar,</w:t>
      </w:r>
      <w:r>
        <w:rPr>
          <w:color w:val="231F20"/>
          <w:spacing w:val="-4"/>
        </w:rPr>
        <w:t> </w:t>
      </w:r>
      <w:r>
        <w:rPr>
          <w:color w:val="231F20"/>
        </w:rPr>
        <w:t>a</w:t>
      </w:r>
      <w:r>
        <w:rPr>
          <w:color w:val="231F20"/>
          <w:spacing w:val="-4"/>
        </w:rPr>
        <w:t> </w:t>
      </w:r>
      <w:r>
        <w:rPr>
          <w:color w:val="231F20"/>
        </w:rPr>
        <w:t>pesar</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cantidad</w:t>
      </w:r>
      <w:r>
        <w:rPr>
          <w:color w:val="231F20"/>
          <w:spacing w:val="-4"/>
        </w:rPr>
        <w:t> </w:t>
      </w:r>
      <w:r>
        <w:rPr>
          <w:color w:val="231F20"/>
        </w:rPr>
        <w:t>o</w:t>
      </w:r>
      <w:r>
        <w:rPr>
          <w:color w:val="231F20"/>
          <w:spacing w:val="-4"/>
        </w:rPr>
        <w:t> </w:t>
      </w:r>
      <w:r>
        <w:rPr>
          <w:color w:val="231F20"/>
        </w:rPr>
        <w:t>densidad,</w:t>
      </w:r>
      <w:r>
        <w:rPr>
          <w:color w:val="231F20"/>
          <w:spacing w:val="-4"/>
        </w:rPr>
        <w:t> </w:t>
      </w:r>
      <w:r>
        <w:rPr>
          <w:color w:val="231F20"/>
        </w:rPr>
        <w:t>no</w:t>
      </w:r>
      <w:r>
        <w:rPr>
          <w:color w:val="231F20"/>
          <w:spacing w:val="-4"/>
        </w:rPr>
        <w:t> </w:t>
      </w:r>
      <w:r>
        <w:rPr>
          <w:color w:val="231F20"/>
        </w:rPr>
        <w:t>logran</w:t>
      </w:r>
      <w:r>
        <w:rPr>
          <w:color w:val="231F20"/>
          <w:spacing w:val="-4"/>
        </w:rPr>
        <w:t> </w:t>
      </w:r>
      <w:r>
        <w:rPr>
          <w:color w:val="231F20"/>
        </w:rPr>
        <w:t>constituirse</w:t>
      </w:r>
      <w:r>
        <w:rPr>
          <w:color w:val="231F20"/>
          <w:spacing w:val="-4"/>
        </w:rPr>
        <w:t> </w:t>
      </w:r>
      <w:r>
        <w:rPr>
          <w:color w:val="231F20"/>
        </w:rPr>
        <w:t>como fuerzas estables productoras de bienestar a mediano y largo plazo. El apoyo económico que se les otorga a las mujeres tiende a complementar las necesidades alimentarias, de calzado, pago de doctor para los hijos, gastos</w:t>
      </w:r>
      <w:r>
        <w:rPr>
          <w:color w:val="231F20"/>
          <w:spacing w:val="-5"/>
        </w:rPr>
        <w:t> </w:t>
      </w:r>
      <w:r>
        <w:rPr>
          <w:color w:val="231F20"/>
        </w:rPr>
        <w:t>para</w:t>
      </w:r>
      <w:r>
        <w:rPr>
          <w:color w:val="231F20"/>
          <w:spacing w:val="-6"/>
        </w:rPr>
        <w:t> </w:t>
      </w:r>
      <w:r>
        <w:rPr>
          <w:color w:val="231F20"/>
        </w:rPr>
        <w:t>mantener</w:t>
      </w:r>
      <w:r>
        <w:rPr>
          <w:color w:val="231F20"/>
          <w:spacing w:val="-6"/>
        </w:rPr>
        <w:t> </w:t>
      </w:r>
      <w:r>
        <w:rPr>
          <w:color w:val="231F20"/>
        </w:rPr>
        <w:t>a</w:t>
      </w:r>
      <w:r>
        <w:rPr>
          <w:color w:val="231F20"/>
          <w:spacing w:val="-5"/>
        </w:rPr>
        <w:t> </w:t>
      </w:r>
      <w:r>
        <w:rPr>
          <w:color w:val="231F20"/>
        </w:rPr>
        <w:t>sus</w:t>
      </w:r>
      <w:r>
        <w:rPr>
          <w:color w:val="231F20"/>
          <w:spacing w:val="-5"/>
        </w:rPr>
        <w:t> </w:t>
      </w:r>
      <w:r>
        <w:rPr>
          <w:color w:val="231F20"/>
        </w:rPr>
        <w:t>hijos</w:t>
      </w:r>
      <w:r>
        <w:rPr>
          <w:color w:val="231F20"/>
          <w:spacing w:val="-5"/>
        </w:rPr>
        <w:t> </w:t>
      </w:r>
      <w:r>
        <w:rPr>
          <w:color w:val="231F20"/>
        </w:rPr>
        <w:t>en</w:t>
      </w:r>
      <w:r>
        <w:rPr>
          <w:color w:val="231F20"/>
          <w:spacing w:val="-6"/>
        </w:rPr>
        <w:t> </w:t>
      </w:r>
      <w:r>
        <w:rPr>
          <w:color w:val="231F20"/>
        </w:rPr>
        <w:t>la</w:t>
      </w:r>
      <w:r>
        <w:rPr>
          <w:color w:val="231F20"/>
          <w:spacing w:val="-6"/>
        </w:rPr>
        <w:t> </w:t>
      </w:r>
      <w:r>
        <w:rPr>
          <w:color w:val="231F20"/>
        </w:rPr>
        <w:t>escuela</w:t>
      </w:r>
      <w:r>
        <w:rPr>
          <w:color w:val="231F20"/>
          <w:spacing w:val="-6"/>
        </w:rPr>
        <w:t> </w:t>
      </w:r>
      <w:r>
        <w:rPr>
          <w:color w:val="231F20"/>
        </w:rPr>
        <w:t>y</w:t>
      </w:r>
      <w:r>
        <w:rPr>
          <w:color w:val="231F20"/>
          <w:spacing w:val="-5"/>
        </w:rPr>
        <w:t> </w:t>
      </w:r>
      <w:r>
        <w:rPr>
          <w:color w:val="231F20"/>
        </w:rPr>
        <w:t>otras</w:t>
      </w:r>
      <w:r>
        <w:rPr>
          <w:color w:val="231F20"/>
          <w:spacing w:val="-5"/>
        </w:rPr>
        <w:t> </w:t>
      </w:r>
      <w:r>
        <w:rPr>
          <w:color w:val="231F20"/>
        </w:rPr>
        <w:t>pequeñas</w:t>
      </w:r>
      <w:r>
        <w:rPr>
          <w:color w:val="231F20"/>
          <w:spacing w:val="-5"/>
        </w:rPr>
        <w:t> </w:t>
      </w:r>
      <w:r>
        <w:rPr>
          <w:color w:val="231F20"/>
        </w:rPr>
        <w:t>necesida- des que la familia tiene que resolver. Es decir, los recursos económicos del programa entran a la racionalidad de sobrevivencia que producen las mujeres </w:t>
      </w:r>
      <w:r>
        <w:rPr>
          <w:color w:val="231F20"/>
          <w:spacing w:val="-7"/>
        </w:rPr>
        <w:t>y, </w:t>
      </w:r>
      <w:r>
        <w:rPr>
          <w:color w:val="231F20"/>
        </w:rPr>
        <w:t>en todo caso, se convierten en apoyos de uso estratégico en medio de un poderoso sistema de</w:t>
      </w:r>
      <w:r>
        <w:rPr>
          <w:color w:val="231F20"/>
          <w:spacing w:val="-7"/>
        </w:rPr>
        <w:t> </w:t>
      </w:r>
      <w:r>
        <w:rPr>
          <w:color w:val="231F20"/>
        </w:rPr>
        <w:t>carencias.</w:t>
      </w:r>
    </w:p>
    <w:p>
      <w:pPr>
        <w:pStyle w:val="BodyText"/>
        <w:spacing w:line="249" w:lineRule="auto" w:before="1"/>
        <w:ind w:left="113" w:right="107" w:firstLine="283"/>
        <w:jc w:val="both"/>
      </w:pPr>
      <w:r>
        <w:rPr>
          <w:color w:val="231F20"/>
        </w:rPr>
        <w:t>El programa está dirigido a comunidades vulnerables y marginadas en</w:t>
      </w:r>
      <w:r>
        <w:rPr>
          <w:color w:val="231F20"/>
          <w:spacing w:val="-8"/>
        </w:rPr>
        <w:t> </w:t>
      </w:r>
      <w:r>
        <w:rPr>
          <w:color w:val="231F20"/>
        </w:rPr>
        <w:t>donde</w:t>
      </w:r>
      <w:r>
        <w:rPr>
          <w:color w:val="231F20"/>
          <w:spacing w:val="-7"/>
        </w:rPr>
        <w:t> </w:t>
      </w:r>
      <w:r>
        <w:rPr>
          <w:color w:val="231F20"/>
        </w:rPr>
        <w:t>la</w:t>
      </w:r>
      <w:r>
        <w:rPr>
          <w:color w:val="231F20"/>
          <w:spacing w:val="-8"/>
        </w:rPr>
        <w:t> </w:t>
      </w:r>
      <w:r>
        <w:rPr>
          <w:color w:val="231F20"/>
        </w:rPr>
        <w:t>cultura</w:t>
      </w:r>
      <w:r>
        <w:rPr>
          <w:color w:val="231F20"/>
          <w:spacing w:val="-8"/>
        </w:rPr>
        <w:t> </w:t>
      </w:r>
      <w:r>
        <w:rPr>
          <w:color w:val="231F20"/>
        </w:rPr>
        <w:t>patriarcal</w:t>
      </w:r>
      <w:r>
        <w:rPr>
          <w:color w:val="231F20"/>
          <w:spacing w:val="-7"/>
        </w:rPr>
        <w:t> </w:t>
      </w:r>
      <w:r>
        <w:rPr>
          <w:color w:val="231F20"/>
        </w:rPr>
        <w:t>es</w:t>
      </w:r>
      <w:r>
        <w:rPr>
          <w:color w:val="231F20"/>
          <w:spacing w:val="-8"/>
        </w:rPr>
        <w:t> </w:t>
      </w:r>
      <w:r>
        <w:rPr>
          <w:color w:val="231F20"/>
        </w:rPr>
        <w:t>importante,</w:t>
      </w:r>
      <w:r>
        <w:rPr>
          <w:color w:val="231F20"/>
          <w:spacing w:val="-8"/>
        </w:rPr>
        <w:t> </w:t>
      </w:r>
      <w:r>
        <w:rPr>
          <w:color w:val="231F20"/>
        </w:rPr>
        <w:t>cultura</w:t>
      </w:r>
      <w:r>
        <w:rPr>
          <w:color w:val="231F20"/>
          <w:spacing w:val="-8"/>
        </w:rPr>
        <w:t> </w:t>
      </w:r>
      <w:r>
        <w:rPr>
          <w:color w:val="231F20"/>
        </w:rPr>
        <w:t>que</w:t>
      </w:r>
      <w:r>
        <w:rPr>
          <w:color w:val="231F20"/>
          <w:spacing w:val="-7"/>
        </w:rPr>
        <w:t> </w:t>
      </w:r>
      <w:r>
        <w:rPr>
          <w:color w:val="231F20"/>
        </w:rPr>
        <w:t>domina</w:t>
      </w:r>
      <w:r>
        <w:rPr>
          <w:color w:val="231F20"/>
          <w:spacing w:val="-8"/>
        </w:rPr>
        <w:t> </w:t>
      </w:r>
      <w:r>
        <w:rPr>
          <w:color w:val="231F20"/>
        </w:rPr>
        <w:t>las</w:t>
      </w:r>
      <w:r>
        <w:rPr>
          <w:color w:val="231F20"/>
          <w:spacing w:val="-8"/>
        </w:rPr>
        <w:t> </w:t>
      </w:r>
      <w:r>
        <w:rPr>
          <w:color w:val="231F20"/>
        </w:rPr>
        <w:t>coor- denadas de la vida familiar, así el hombre tiene la idea de que él es jefe, “el hombre de la casa”, al cual se le debe respeto. En este contexto los programas asistenciales como MTC no alcanzan a atacan de fondo y de manera frontal la cultura patriarcal; por lo que el empoderamiento de algunas mujeres se debe a otro tipo de factores que no tienen que ver con</w:t>
      </w:r>
      <w:r>
        <w:rPr>
          <w:color w:val="231F20"/>
          <w:spacing w:val="-5"/>
        </w:rPr>
        <w:t> </w:t>
      </w:r>
      <w:r>
        <w:rPr>
          <w:color w:val="231F20"/>
        </w:rPr>
        <w:t>los</w:t>
      </w:r>
      <w:r>
        <w:rPr>
          <w:color w:val="231F20"/>
          <w:spacing w:val="-5"/>
        </w:rPr>
        <w:t> </w:t>
      </w:r>
      <w:r>
        <w:rPr>
          <w:color w:val="231F20"/>
        </w:rPr>
        <w:t>apoyos</w:t>
      </w:r>
      <w:r>
        <w:rPr>
          <w:color w:val="231F20"/>
          <w:spacing w:val="-5"/>
        </w:rPr>
        <w:t> </w:t>
      </w:r>
      <w:r>
        <w:rPr>
          <w:color w:val="231F20"/>
        </w:rPr>
        <w:t>del</w:t>
      </w:r>
      <w:r>
        <w:rPr>
          <w:color w:val="231F20"/>
          <w:spacing w:val="-5"/>
        </w:rPr>
        <w:t> </w:t>
      </w:r>
      <w:r>
        <w:rPr>
          <w:color w:val="231F20"/>
        </w:rPr>
        <w:t>programa;</w:t>
      </w:r>
      <w:r>
        <w:rPr>
          <w:color w:val="231F20"/>
          <w:spacing w:val="-5"/>
        </w:rPr>
        <w:t> </w:t>
      </w:r>
      <w:r>
        <w:rPr>
          <w:color w:val="231F20"/>
        </w:rPr>
        <w:t>si</w:t>
      </w:r>
      <w:r>
        <w:rPr>
          <w:color w:val="231F20"/>
          <w:spacing w:val="-5"/>
        </w:rPr>
        <w:t> </w:t>
      </w:r>
      <w:r>
        <w:rPr>
          <w:color w:val="231F20"/>
        </w:rPr>
        <w:t>bien,</w:t>
      </w:r>
      <w:r>
        <w:rPr>
          <w:color w:val="231F20"/>
          <w:spacing w:val="-5"/>
        </w:rPr>
        <w:t> </w:t>
      </w:r>
      <w:r>
        <w:rPr>
          <w:color w:val="231F20"/>
        </w:rPr>
        <w:t>en</w:t>
      </w:r>
      <w:r>
        <w:rPr>
          <w:color w:val="231F20"/>
          <w:spacing w:val="-5"/>
        </w:rPr>
        <w:t> </w:t>
      </w:r>
      <w:r>
        <w:rPr>
          <w:color w:val="231F20"/>
        </w:rPr>
        <w:t>algunos</w:t>
      </w:r>
      <w:r>
        <w:rPr>
          <w:color w:val="231F20"/>
          <w:spacing w:val="-5"/>
        </w:rPr>
        <w:t> </w:t>
      </w:r>
      <w:r>
        <w:rPr>
          <w:color w:val="231F20"/>
        </w:rPr>
        <w:t>casos,</w:t>
      </w:r>
      <w:r>
        <w:rPr>
          <w:color w:val="231F20"/>
          <w:spacing w:val="-5"/>
        </w:rPr>
        <w:t> </w:t>
      </w:r>
      <w:r>
        <w:rPr>
          <w:color w:val="231F20"/>
        </w:rPr>
        <w:t>estos</w:t>
      </w:r>
      <w:r>
        <w:rPr>
          <w:color w:val="231F20"/>
          <w:spacing w:val="-5"/>
        </w:rPr>
        <w:t> </w:t>
      </w:r>
      <w:r>
        <w:rPr>
          <w:color w:val="231F20"/>
        </w:rPr>
        <w:t>apoyos</w:t>
      </w:r>
      <w:r>
        <w:rPr>
          <w:color w:val="231F20"/>
          <w:spacing w:val="-5"/>
        </w:rPr>
        <w:t> </w:t>
      </w:r>
      <w:r>
        <w:rPr>
          <w:color w:val="231F20"/>
        </w:rPr>
        <w:t>son una punta de lanza para que las mujeres puedan contribuir, de manera modesta, a la economía familiar y lograr algunas realizaciones para</w:t>
      </w:r>
      <w:r>
        <w:rPr>
          <w:color w:val="231F20"/>
          <w:spacing w:val="-24"/>
        </w:rPr>
        <w:t> </w:t>
      </w:r>
      <w:r>
        <w:rPr>
          <w:color w:val="231F20"/>
        </w:rPr>
        <w:t>ellas y sus hijos, con lo que logran precarios reequilibros de poder dentro de su relación con el varón, no siempre es</w:t>
      </w:r>
      <w:r>
        <w:rPr>
          <w:color w:val="231F20"/>
          <w:spacing w:val="-9"/>
        </w:rPr>
        <w:t> </w:t>
      </w:r>
      <w:r>
        <w:rPr>
          <w:color w:val="231F20"/>
        </w:rPr>
        <w:t>así.</w:t>
      </w:r>
    </w:p>
    <w:p>
      <w:pPr>
        <w:pStyle w:val="BodyText"/>
        <w:spacing w:line="249" w:lineRule="auto" w:before="1"/>
        <w:ind w:left="113" w:right="108" w:firstLine="283"/>
        <w:jc w:val="both"/>
      </w:pPr>
      <w:r>
        <w:rPr>
          <w:color w:val="231F20"/>
        </w:rPr>
        <w:t>En cuanto a la operación del programa es evidente que la selección de</w:t>
      </w:r>
      <w:r>
        <w:rPr>
          <w:color w:val="231F20"/>
          <w:spacing w:val="-4"/>
        </w:rPr>
        <w:t> </w:t>
      </w:r>
      <w:r>
        <w:rPr>
          <w:color w:val="231F20"/>
        </w:rPr>
        <w:t>beneficiarias</w:t>
      </w:r>
      <w:r>
        <w:rPr>
          <w:color w:val="231F20"/>
          <w:spacing w:val="-4"/>
        </w:rPr>
        <w:t> </w:t>
      </w:r>
      <w:r>
        <w:rPr>
          <w:color w:val="231F20"/>
        </w:rPr>
        <w:t>tiene</w:t>
      </w:r>
      <w:r>
        <w:rPr>
          <w:color w:val="231F20"/>
          <w:spacing w:val="-4"/>
        </w:rPr>
        <w:t> </w:t>
      </w:r>
      <w:r>
        <w:rPr>
          <w:color w:val="231F20"/>
        </w:rPr>
        <w:t>un</w:t>
      </w:r>
      <w:r>
        <w:rPr>
          <w:color w:val="231F20"/>
          <w:spacing w:val="-4"/>
        </w:rPr>
        <w:t> </w:t>
      </w:r>
      <w:r>
        <w:rPr>
          <w:color w:val="231F20"/>
        </w:rPr>
        <w:t>manejo</w:t>
      </w:r>
      <w:r>
        <w:rPr>
          <w:color w:val="231F20"/>
          <w:spacing w:val="-4"/>
        </w:rPr>
        <w:t> </w:t>
      </w:r>
      <w:r>
        <w:rPr>
          <w:color w:val="231F20"/>
        </w:rPr>
        <w:t>opaco,</w:t>
      </w:r>
      <w:r>
        <w:rPr>
          <w:color w:val="231F20"/>
          <w:spacing w:val="-4"/>
        </w:rPr>
        <w:t> </w:t>
      </w:r>
      <w:r>
        <w:rPr>
          <w:color w:val="231F20"/>
        </w:rPr>
        <w:t>es</w:t>
      </w:r>
      <w:r>
        <w:rPr>
          <w:color w:val="231F20"/>
          <w:spacing w:val="-3"/>
        </w:rPr>
        <w:t> </w:t>
      </w:r>
      <w:r>
        <w:rPr>
          <w:color w:val="231F20"/>
        </w:rPr>
        <w:t>decir,</w:t>
      </w:r>
      <w:r>
        <w:rPr>
          <w:color w:val="231F20"/>
          <w:spacing w:val="-4"/>
        </w:rPr>
        <w:t> </w:t>
      </w:r>
      <w:r>
        <w:rPr>
          <w:color w:val="231F20"/>
        </w:rPr>
        <w:t>hay</w:t>
      </w:r>
      <w:r>
        <w:rPr>
          <w:color w:val="231F20"/>
          <w:spacing w:val="-4"/>
        </w:rPr>
        <w:t> </w:t>
      </w:r>
      <w:r>
        <w:rPr>
          <w:color w:val="231F20"/>
        </w:rPr>
        <w:t>errores</w:t>
      </w:r>
      <w:r>
        <w:rPr>
          <w:color w:val="231F20"/>
          <w:spacing w:val="-4"/>
        </w:rPr>
        <w:t> </w:t>
      </w:r>
      <w:r>
        <w:rPr>
          <w:color w:val="231F20"/>
        </w:rPr>
        <w:t>de</w:t>
      </w:r>
      <w:r>
        <w:rPr>
          <w:color w:val="231F20"/>
          <w:spacing w:val="-4"/>
        </w:rPr>
        <w:t> </w:t>
      </w:r>
      <w:r>
        <w:rPr>
          <w:color w:val="231F20"/>
        </w:rPr>
        <w:t>focaliza- ción; además de que la selección de beneficiarias tiene tintes políticos, por</w:t>
      </w:r>
      <w:r>
        <w:rPr>
          <w:color w:val="231F20"/>
          <w:spacing w:val="-4"/>
        </w:rPr>
        <w:t> </w:t>
      </w:r>
      <w:r>
        <w:rPr>
          <w:color w:val="231F20"/>
        </w:rPr>
        <w:t>lo</w:t>
      </w:r>
      <w:r>
        <w:rPr>
          <w:color w:val="231F20"/>
          <w:spacing w:val="-5"/>
        </w:rPr>
        <w:t> </w:t>
      </w:r>
      <w:r>
        <w:rPr>
          <w:color w:val="231F20"/>
        </w:rPr>
        <w:t>que</w:t>
      </w:r>
      <w:r>
        <w:rPr>
          <w:color w:val="231F20"/>
          <w:spacing w:val="-5"/>
        </w:rPr>
        <w:t> </w:t>
      </w:r>
      <w:r>
        <w:rPr>
          <w:color w:val="231F20"/>
        </w:rPr>
        <w:t>este</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programas</w:t>
      </w:r>
      <w:r>
        <w:rPr>
          <w:color w:val="231F20"/>
          <w:spacing w:val="-5"/>
        </w:rPr>
        <w:t> </w:t>
      </w:r>
      <w:r>
        <w:rPr>
          <w:color w:val="231F20"/>
        </w:rPr>
        <w:t>tiende</w:t>
      </w:r>
      <w:r>
        <w:rPr>
          <w:color w:val="231F20"/>
          <w:spacing w:val="-5"/>
        </w:rPr>
        <w:t> </w:t>
      </w:r>
      <w:r>
        <w:rPr>
          <w:color w:val="231F20"/>
        </w:rPr>
        <w:t>a</w:t>
      </w:r>
      <w:r>
        <w:rPr>
          <w:color w:val="231F20"/>
          <w:spacing w:val="-5"/>
        </w:rPr>
        <w:t> </w:t>
      </w:r>
      <w:r>
        <w:rPr>
          <w:color w:val="231F20"/>
        </w:rPr>
        <w:t>generar</w:t>
      </w:r>
      <w:r>
        <w:rPr>
          <w:color w:val="231F20"/>
          <w:spacing w:val="-5"/>
        </w:rPr>
        <w:t> </w:t>
      </w:r>
      <w:r>
        <w:rPr>
          <w:color w:val="231F20"/>
        </w:rPr>
        <w:t>clientela</w:t>
      </w:r>
      <w:r>
        <w:rPr>
          <w:color w:val="231F20"/>
          <w:spacing w:val="-5"/>
        </w:rPr>
        <w:t> </w:t>
      </w:r>
      <w:r>
        <w:rPr>
          <w:color w:val="231F20"/>
        </w:rPr>
        <w:t>política</w:t>
      </w:r>
      <w:r>
        <w:rPr>
          <w:color w:val="231F20"/>
          <w:spacing w:val="-5"/>
        </w:rPr>
        <w:t> </w:t>
      </w:r>
      <w:r>
        <w:rPr>
          <w:color w:val="231F20"/>
        </w:rPr>
        <w:t>entre las mujeres pobres, con lo cual pierde su sentido en tanto que derecho social</w:t>
      </w:r>
      <w:r>
        <w:rPr>
          <w:color w:val="231F20"/>
          <w:spacing w:val="-5"/>
        </w:rPr>
        <w:t> </w:t>
      </w:r>
      <w:r>
        <w:rPr>
          <w:color w:val="231F20"/>
        </w:rPr>
        <w:t>ciudadano.</w:t>
      </w:r>
    </w:p>
    <w:p>
      <w:pPr>
        <w:pStyle w:val="BodyText"/>
        <w:spacing w:line="249" w:lineRule="auto" w:before="1"/>
        <w:ind w:left="113" w:right="107" w:firstLine="283"/>
        <w:jc w:val="both"/>
      </w:pPr>
      <w:r>
        <w:rPr>
          <w:color w:val="231F20"/>
        </w:rPr>
        <w:t>Con</w:t>
      </w:r>
      <w:r>
        <w:rPr>
          <w:color w:val="231F20"/>
          <w:spacing w:val="-3"/>
        </w:rPr>
        <w:t> </w:t>
      </w:r>
      <w:r>
        <w:rPr>
          <w:color w:val="231F20"/>
        </w:rPr>
        <w:t>base</w:t>
      </w:r>
      <w:r>
        <w:rPr>
          <w:color w:val="231F20"/>
          <w:spacing w:val="-3"/>
        </w:rPr>
        <w:t> </w:t>
      </w:r>
      <w:r>
        <w:rPr>
          <w:color w:val="231F20"/>
        </w:rPr>
        <w:t>en</w:t>
      </w:r>
      <w:r>
        <w:rPr>
          <w:color w:val="231F20"/>
          <w:spacing w:val="-4"/>
        </w:rPr>
        <w:t> </w:t>
      </w:r>
      <w:r>
        <w:rPr>
          <w:color w:val="231F20"/>
        </w:rPr>
        <w:t>la</w:t>
      </w:r>
      <w:r>
        <w:rPr>
          <w:color w:val="231F20"/>
          <w:spacing w:val="-3"/>
        </w:rPr>
        <w:t> </w:t>
      </w:r>
      <w:r>
        <w:rPr>
          <w:color w:val="231F20"/>
        </w:rPr>
        <w:t>experiencia</w:t>
      </w:r>
      <w:r>
        <w:rPr>
          <w:color w:val="231F20"/>
          <w:spacing w:val="-4"/>
        </w:rPr>
        <w:t> </w:t>
      </w:r>
      <w:r>
        <w:rPr>
          <w:color w:val="231F20"/>
        </w:rPr>
        <w:t>de</w:t>
      </w:r>
      <w:r>
        <w:rPr>
          <w:color w:val="231F20"/>
          <w:spacing w:val="-3"/>
        </w:rPr>
        <w:t> </w:t>
      </w:r>
      <w:r>
        <w:rPr>
          <w:color w:val="231F20"/>
        </w:rPr>
        <w:t>campo,</w:t>
      </w:r>
      <w:r>
        <w:rPr>
          <w:color w:val="231F20"/>
          <w:spacing w:val="-4"/>
        </w:rPr>
        <w:t> </w:t>
      </w:r>
      <w:r>
        <w:rPr>
          <w:color w:val="231F20"/>
        </w:rPr>
        <w:t>creemos</w:t>
      </w:r>
      <w:r>
        <w:rPr>
          <w:color w:val="231F20"/>
          <w:spacing w:val="-4"/>
        </w:rPr>
        <w:t> </w:t>
      </w:r>
      <w:r>
        <w:rPr>
          <w:color w:val="231F20"/>
        </w:rPr>
        <w:t>que</w:t>
      </w:r>
      <w:r>
        <w:rPr>
          <w:color w:val="231F20"/>
          <w:spacing w:val="-3"/>
        </w:rPr>
        <w:t> </w:t>
      </w:r>
      <w:r>
        <w:rPr>
          <w:color w:val="231F20"/>
        </w:rPr>
        <w:t>es</w:t>
      </w:r>
      <w:r>
        <w:rPr>
          <w:color w:val="231F20"/>
          <w:spacing w:val="-3"/>
        </w:rPr>
        <w:t> </w:t>
      </w:r>
      <w:r>
        <w:rPr>
          <w:color w:val="231F20"/>
        </w:rPr>
        <w:t>necesario</w:t>
      </w:r>
      <w:r>
        <w:rPr>
          <w:color w:val="231F20"/>
          <w:spacing w:val="-3"/>
        </w:rPr>
        <w:t> </w:t>
      </w:r>
      <w:r>
        <w:rPr>
          <w:color w:val="231F20"/>
        </w:rPr>
        <w:t>dise- ñar</w:t>
      </w:r>
      <w:r>
        <w:rPr>
          <w:color w:val="231F20"/>
          <w:spacing w:val="-11"/>
        </w:rPr>
        <w:t> </w:t>
      </w:r>
      <w:r>
        <w:rPr>
          <w:color w:val="231F20"/>
        </w:rPr>
        <w:t>estrategias</w:t>
      </w:r>
      <w:r>
        <w:rPr>
          <w:color w:val="231F20"/>
          <w:spacing w:val="-12"/>
        </w:rPr>
        <w:t> </w:t>
      </w:r>
      <w:r>
        <w:rPr>
          <w:color w:val="231F20"/>
        </w:rPr>
        <w:t>de</w:t>
      </w:r>
      <w:r>
        <w:rPr>
          <w:color w:val="231F20"/>
          <w:spacing w:val="-11"/>
        </w:rPr>
        <w:t> </w:t>
      </w:r>
      <w:r>
        <w:rPr>
          <w:color w:val="231F20"/>
        </w:rPr>
        <w:t>política</w:t>
      </w:r>
      <w:r>
        <w:rPr>
          <w:color w:val="231F20"/>
          <w:spacing w:val="-11"/>
        </w:rPr>
        <w:t> </w:t>
      </w:r>
      <w:r>
        <w:rPr>
          <w:color w:val="231F20"/>
        </w:rPr>
        <w:t>pública</w:t>
      </w:r>
      <w:r>
        <w:rPr>
          <w:color w:val="231F20"/>
          <w:spacing w:val="-11"/>
        </w:rPr>
        <w:t> </w:t>
      </w:r>
      <w:r>
        <w:rPr>
          <w:color w:val="231F20"/>
        </w:rPr>
        <w:t>donde</w:t>
      </w:r>
      <w:r>
        <w:rPr>
          <w:color w:val="231F20"/>
          <w:spacing w:val="-11"/>
        </w:rPr>
        <w:t> </w:t>
      </w:r>
      <w:r>
        <w:rPr>
          <w:color w:val="231F20"/>
        </w:rPr>
        <w:t>se</w:t>
      </w:r>
      <w:r>
        <w:rPr>
          <w:color w:val="231F20"/>
          <w:spacing w:val="-11"/>
        </w:rPr>
        <w:t> </w:t>
      </w:r>
      <w:r>
        <w:rPr>
          <w:color w:val="231F20"/>
        </w:rPr>
        <w:t>establezcan</w:t>
      </w:r>
      <w:r>
        <w:rPr>
          <w:color w:val="231F20"/>
          <w:spacing w:val="-12"/>
        </w:rPr>
        <w:t> </w:t>
      </w:r>
      <w:r>
        <w:rPr>
          <w:color w:val="231F20"/>
        </w:rPr>
        <w:t>nuevas</w:t>
      </w:r>
      <w:r>
        <w:rPr>
          <w:color w:val="231F20"/>
          <w:spacing w:val="-11"/>
        </w:rPr>
        <w:t> </w:t>
      </w:r>
      <w:r>
        <w:rPr>
          <w:color w:val="231F20"/>
        </w:rPr>
        <w:t>relaciones entre</w:t>
      </w:r>
      <w:r>
        <w:rPr>
          <w:color w:val="231F20"/>
          <w:spacing w:val="-12"/>
        </w:rPr>
        <w:t> </w:t>
      </w:r>
      <w:r>
        <w:rPr>
          <w:color w:val="231F20"/>
        </w:rPr>
        <w:t>Estado</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es</w:t>
      </w:r>
      <w:r>
        <w:rPr>
          <w:color w:val="231F20"/>
          <w:spacing w:val="-12"/>
        </w:rPr>
        <w:t> </w:t>
      </w:r>
      <w:r>
        <w:rPr>
          <w:color w:val="231F20"/>
        </w:rPr>
        <w:t>decir,</w:t>
      </w:r>
      <w:r>
        <w:rPr>
          <w:color w:val="231F20"/>
          <w:spacing w:val="-12"/>
        </w:rPr>
        <w:t> </w:t>
      </w:r>
      <w:r>
        <w:rPr>
          <w:color w:val="231F20"/>
        </w:rPr>
        <w:t>donde</w:t>
      </w:r>
      <w:r>
        <w:rPr>
          <w:color w:val="231F20"/>
          <w:spacing w:val="-12"/>
        </w:rPr>
        <w:t> </w:t>
      </w:r>
      <w:r>
        <w:rPr>
          <w:color w:val="231F20"/>
        </w:rPr>
        <w:t>existan</w:t>
      </w:r>
      <w:r>
        <w:rPr>
          <w:color w:val="231F20"/>
          <w:spacing w:val="-12"/>
        </w:rPr>
        <w:t> </w:t>
      </w:r>
      <w:r>
        <w:rPr>
          <w:color w:val="231F20"/>
        </w:rPr>
        <w:t>mecanismos</w:t>
      </w:r>
      <w:r>
        <w:rPr>
          <w:color w:val="231F20"/>
          <w:spacing w:val="-12"/>
        </w:rPr>
        <w:t> </w:t>
      </w:r>
      <w:r>
        <w:rPr>
          <w:color w:val="231F20"/>
        </w:rPr>
        <w:t>reflexivos para el uso de los recursos efectuados, de tal manera que éstos tengan mayor</w:t>
      </w:r>
      <w:r>
        <w:rPr>
          <w:color w:val="231F20"/>
          <w:spacing w:val="-5"/>
        </w:rPr>
        <w:t> </w:t>
      </w:r>
      <w:r>
        <w:rPr>
          <w:color w:val="231F20"/>
        </w:rPr>
        <w:t>efectividad</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hora</w:t>
      </w:r>
      <w:r>
        <w:rPr>
          <w:color w:val="231F20"/>
          <w:spacing w:val="-5"/>
        </w:rPr>
        <w:t> </w:t>
      </w:r>
      <w:r>
        <w:rPr>
          <w:color w:val="231F20"/>
        </w:rPr>
        <w:t>de</w:t>
      </w:r>
      <w:r>
        <w:rPr>
          <w:color w:val="231F20"/>
          <w:spacing w:val="-5"/>
        </w:rPr>
        <w:t> </w:t>
      </w:r>
      <w:r>
        <w:rPr>
          <w:color w:val="231F20"/>
        </w:rPr>
        <w:t>mejorar</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hijos; así como que las reglas de operación eviten mecanismos de condiciona- miento político hacia las</w:t>
      </w:r>
      <w:r>
        <w:rPr>
          <w:color w:val="231F20"/>
          <w:spacing w:val="-11"/>
        </w:rPr>
        <w:t> </w:t>
      </w:r>
      <w:r>
        <w:rPr>
          <w:color w:val="231F20"/>
        </w:rPr>
        <w:t>beneficiarias.</w:t>
      </w:r>
    </w:p>
    <w:p>
      <w:pPr>
        <w:pStyle w:val="BodyText"/>
        <w:spacing w:before="1"/>
        <w:ind w:left="397"/>
      </w:pPr>
      <w:r>
        <w:rPr>
          <w:color w:val="231F20"/>
        </w:rPr>
        <w:t>Mucho queda por hacer en términos de diseño para tener  programas</w:t>
      </w:r>
    </w:p>
    <w:p>
      <w:pPr>
        <w:spacing w:after="0"/>
        <w:sectPr>
          <w:footerReference w:type="default" r:id="rId267"/>
          <w:pgSz w:w="7770" w:h="11740"/>
          <w:pgMar w:footer="474" w:header="0" w:top="840" w:bottom="660" w:left="1020" w:right="740"/>
          <w:pgNumType w:start="245"/>
        </w:sectPr>
      </w:pPr>
    </w:p>
    <w:p>
      <w:pPr>
        <w:pStyle w:val="BodyText"/>
        <w:spacing w:line="249" w:lineRule="auto" w:before="46"/>
        <w:ind w:left="110" w:right="111"/>
        <w:jc w:val="both"/>
      </w:pPr>
      <w:r>
        <w:rPr>
          <w:color w:val="231F20"/>
        </w:rPr>
        <w:t>de género en el campo mexicano. Programas que cuenten con diseños y herramientas</w:t>
      </w:r>
      <w:r>
        <w:rPr>
          <w:color w:val="231F20"/>
          <w:spacing w:val="-5"/>
        </w:rPr>
        <w:t> </w:t>
      </w:r>
      <w:r>
        <w:rPr>
          <w:color w:val="231F20"/>
        </w:rPr>
        <w:t>que</w:t>
      </w:r>
      <w:r>
        <w:rPr>
          <w:color w:val="231F20"/>
          <w:spacing w:val="-5"/>
        </w:rPr>
        <w:t> </w:t>
      </w:r>
      <w:r>
        <w:rPr>
          <w:color w:val="231F20"/>
        </w:rPr>
        <w:t>puedan</w:t>
      </w:r>
      <w:r>
        <w:rPr>
          <w:color w:val="231F20"/>
          <w:spacing w:val="-5"/>
        </w:rPr>
        <w:t> </w:t>
      </w:r>
      <w:r>
        <w:rPr>
          <w:color w:val="231F20"/>
        </w:rPr>
        <w:t>garantizar</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sistemática</w:t>
      </w:r>
      <w:r>
        <w:rPr>
          <w:color w:val="231F20"/>
          <w:spacing w:val="-4"/>
        </w:rPr>
        <w:t> </w:t>
      </w:r>
      <w:r>
        <w:rPr>
          <w:color w:val="231F20"/>
        </w:rPr>
        <w:t>y</w:t>
      </w:r>
      <w:r>
        <w:rPr>
          <w:color w:val="231F20"/>
          <w:spacing w:val="-5"/>
        </w:rPr>
        <w:t> </w:t>
      </w:r>
      <w:r>
        <w:rPr>
          <w:color w:val="231F20"/>
        </w:rPr>
        <w:t>sostenida</w:t>
      </w:r>
      <w:r>
        <w:rPr>
          <w:color w:val="231F20"/>
          <w:spacing w:val="-4"/>
        </w:rPr>
        <w:t> </w:t>
      </w:r>
      <w:r>
        <w:rPr>
          <w:color w:val="231F20"/>
        </w:rPr>
        <w:t>la igualdad de oportunidades para que las mujeres alcancen su pleno desa- rrollo y ejerzan sus derechos en igualdad a los</w:t>
      </w:r>
      <w:r>
        <w:rPr>
          <w:color w:val="231F20"/>
          <w:spacing w:val="-6"/>
        </w:rPr>
        <w:t> </w:t>
      </w:r>
      <w:r>
        <w:rPr>
          <w:color w:val="231F20"/>
        </w:rPr>
        <w:t>hombres.</w:t>
      </w:r>
    </w:p>
    <w:p>
      <w:pPr>
        <w:pStyle w:val="BodyText"/>
        <w:spacing w:before="7"/>
        <w:rPr>
          <w:sz w:val="22"/>
        </w:rPr>
      </w:pPr>
    </w:p>
    <w:p>
      <w:pPr>
        <w:pStyle w:val="Heading4"/>
        <w:spacing w:before="1"/>
        <w:ind w:left="110"/>
      </w:pPr>
      <w:r>
        <w:rPr>
          <w:w w:val="85"/>
        </w:rPr>
        <w:t>Bibliografía</w:t>
      </w:r>
    </w:p>
    <w:p>
      <w:pPr>
        <w:pStyle w:val="BodyText"/>
        <w:spacing w:before="10"/>
        <w:rPr>
          <w:b/>
          <w:sz w:val="26"/>
        </w:rPr>
      </w:pPr>
    </w:p>
    <w:p>
      <w:pPr>
        <w:spacing w:line="254" w:lineRule="auto" w:before="0"/>
        <w:ind w:left="110" w:right="111" w:firstLine="0"/>
        <w:jc w:val="both"/>
        <w:rPr>
          <w:sz w:val="18"/>
        </w:rPr>
      </w:pPr>
      <w:r>
        <w:rPr>
          <w:color w:val="231F20"/>
          <w:sz w:val="18"/>
        </w:rPr>
        <w:t>Arzate, Jorge (2004) “Elementos para construir una teoría de la equidad entre géneros. El caso de la política de lucha contra la pobreza extrema en México”, en </w:t>
      </w:r>
      <w:r>
        <w:rPr>
          <w:i/>
          <w:color w:val="231F20"/>
          <w:sz w:val="18"/>
        </w:rPr>
        <w:t>Género y poder. Diferentes experiencias, mismas preocupaciones</w:t>
      </w:r>
      <w:r>
        <w:rPr>
          <w:color w:val="231F20"/>
          <w:sz w:val="18"/>
        </w:rPr>
        <w:t>, México: Universidad Autónoma del Estado de México.</w:t>
      </w:r>
    </w:p>
    <w:p>
      <w:pPr>
        <w:spacing w:line="254" w:lineRule="auto" w:before="57"/>
        <w:ind w:left="110" w:right="111" w:firstLine="0"/>
        <w:jc w:val="both"/>
        <w:rPr>
          <w:sz w:val="18"/>
        </w:rPr>
      </w:pPr>
      <w:r>
        <w:rPr>
          <w:color w:val="231F20"/>
          <w:sz w:val="18"/>
        </w:rPr>
        <w:t>Arzate. Jorge e Ivonne Vizcarra (2007) “De la migración masculina transnacio- nal: violencia estructural y género en comunidades campesinas del Estado de México”, en </w:t>
      </w:r>
      <w:r>
        <w:rPr>
          <w:i/>
          <w:color w:val="231F20"/>
          <w:sz w:val="18"/>
        </w:rPr>
        <w:t>Migración y Desarrollo</w:t>
      </w:r>
      <w:r>
        <w:rPr>
          <w:color w:val="231F20"/>
          <w:sz w:val="18"/>
        </w:rPr>
        <w:t>, núm. 9, Red Internacional de Migración   y</w:t>
      </w:r>
      <w:r>
        <w:rPr>
          <w:color w:val="231F20"/>
          <w:spacing w:val="-11"/>
          <w:sz w:val="18"/>
        </w:rPr>
        <w:t> </w:t>
      </w:r>
      <w:r>
        <w:rPr>
          <w:color w:val="231F20"/>
          <w:sz w:val="18"/>
        </w:rPr>
        <w:t>Desarrollo.</w:t>
      </w:r>
    </w:p>
    <w:p>
      <w:pPr>
        <w:spacing w:line="254" w:lineRule="auto" w:before="57"/>
        <w:ind w:left="110" w:right="112" w:firstLine="0"/>
        <w:jc w:val="both"/>
        <w:rPr>
          <w:sz w:val="18"/>
        </w:rPr>
      </w:pPr>
      <w:r>
        <w:rPr>
          <w:color w:val="231F20"/>
          <w:sz w:val="18"/>
        </w:rPr>
        <w:t>Benería, Lourdes (1979) “Reproduction, Production and the Sexual Division of Labor”, en </w:t>
      </w:r>
      <w:r>
        <w:rPr>
          <w:i/>
          <w:color w:val="231F20"/>
          <w:sz w:val="18"/>
        </w:rPr>
        <w:t>Cambridge Journal Economics, </w:t>
      </w:r>
      <w:r>
        <w:rPr>
          <w:color w:val="231F20"/>
          <w:sz w:val="18"/>
        </w:rPr>
        <w:t>vol. 3 (3).</w:t>
      </w:r>
    </w:p>
    <w:p>
      <w:pPr>
        <w:spacing w:line="254" w:lineRule="auto" w:before="57"/>
        <w:ind w:left="110" w:right="111" w:firstLine="0"/>
        <w:jc w:val="both"/>
        <w:rPr>
          <w:sz w:val="18"/>
        </w:rPr>
      </w:pPr>
      <w:r>
        <w:rPr>
          <w:color w:val="231F20"/>
          <w:sz w:val="18"/>
        </w:rPr>
        <w:t>Carrasco, Cristina (1999) “Introducción. Hacia una economía feminista”, en Cristina Carrasco, </w:t>
      </w:r>
      <w:r>
        <w:rPr>
          <w:i/>
          <w:color w:val="231F20"/>
          <w:sz w:val="18"/>
        </w:rPr>
        <w:t>Mujeres y economía. Nuevas perspectivas para viejos y nue- </w:t>
      </w:r>
      <w:r>
        <w:rPr>
          <w:i/>
          <w:color w:val="231F20"/>
          <w:sz w:val="18"/>
        </w:rPr>
        <w:t>vos problemas</w:t>
      </w:r>
      <w:r>
        <w:rPr>
          <w:color w:val="231F20"/>
          <w:sz w:val="18"/>
        </w:rPr>
        <w:t>, Barcelona: Icaria.</w:t>
      </w:r>
    </w:p>
    <w:p>
      <w:pPr>
        <w:spacing w:line="254" w:lineRule="auto" w:before="57"/>
        <w:ind w:left="110" w:right="111" w:firstLine="0"/>
        <w:jc w:val="both"/>
        <w:rPr>
          <w:sz w:val="18"/>
        </w:rPr>
      </w:pPr>
      <w:r>
        <w:rPr>
          <w:color w:val="231F20"/>
          <w:sz w:val="18"/>
        </w:rPr>
        <w:t>De Barbieri, Teresita (2002) “Acerca de las propuestas metodológicas femi- nistas”, en Eli Bartra (comp.), </w:t>
      </w:r>
      <w:r>
        <w:rPr>
          <w:i/>
          <w:color w:val="231F20"/>
          <w:sz w:val="18"/>
        </w:rPr>
        <w:t>Debates en torno a una metodología feminista</w:t>
      </w:r>
      <w:r>
        <w:rPr>
          <w:color w:val="231F20"/>
          <w:sz w:val="18"/>
        </w:rPr>
        <w:t>, México: PUEG-UNAM-X.</w:t>
      </w:r>
    </w:p>
    <w:p>
      <w:pPr>
        <w:spacing w:before="57"/>
        <w:ind w:left="110" w:right="0" w:firstLine="0"/>
        <w:jc w:val="both"/>
        <w:rPr>
          <w:sz w:val="18"/>
        </w:rPr>
      </w:pPr>
      <w:r>
        <w:rPr>
          <w:color w:val="231F20"/>
          <w:sz w:val="18"/>
        </w:rPr>
        <w:t>Hierro, Graciela (1988) </w:t>
      </w:r>
      <w:r>
        <w:rPr>
          <w:i/>
          <w:color w:val="231F20"/>
          <w:sz w:val="18"/>
        </w:rPr>
        <w:t>Ética y feminismo</w:t>
      </w:r>
      <w:r>
        <w:rPr>
          <w:color w:val="231F20"/>
          <w:sz w:val="18"/>
        </w:rPr>
        <w:t>, México: UNAM.</w:t>
      </w:r>
    </w:p>
    <w:p>
      <w:pPr>
        <w:spacing w:line="254" w:lineRule="auto" w:before="69"/>
        <w:ind w:left="110" w:right="111" w:firstLine="0"/>
        <w:jc w:val="both"/>
        <w:rPr>
          <w:sz w:val="18"/>
        </w:rPr>
      </w:pPr>
      <w:r>
        <w:rPr>
          <w:color w:val="231F20"/>
          <w:sz w:val="18"/>
        </w:rPr>
        <w:t>Lagarde, Marcela (2001-2002) “Claves éticas para el feminismo en el umbral del</w:t>
      </w:r>
      <w:r>
        <w:rPr>
          <w:color w:val="231F20"/>
          <w:spacing w:val="-8"/>
          <w:sz w:val="18"/>
        </w:rPr>
        <w:t> </w:t>
      </w:r>
      <w:r>
        <w:rPr>
          <w:color w:val="231F20"/>
          <w:sz w:val="18"/>
        </w:rPr>
        <w:t>milenio”,</w:t>
      </w:r>
      <w:r>
        <w:rPr>
          <w:color w:val="231F20"/>
          <w:spacing w:val="-8"/>
          <w:sz w:val="18"/>
        </w:rPr>
        <w:t> </w:t>
      </w:r>
      <w:r>
        <w:rPr>
          <w:color w:val="231F20"/>
          <w:sz w:val="18"/>
        </w:rPr>
        <w:t>en</w:t>
      </w:r>
      <w:r>
        <w:rPr>
          <w:color w:val="231F20"/>
          <w:spacing w:val="-8"/>
          <w:sz w:val="18"/>
        </w:rPr>
        <w:t> </w:t>
      </w:r>
      <w:r>
        <w:rPr>
          <w:i/>
          <w:color w:val="231F20"/>
          <w:sz w:val="18"/>
        </w:rPr>
        <w:t>OMNIA,</w:t>
      </w:r>
      <w:r>
        <w:rPr>
          <w:i/>
          <w:color w:val="231F20"/>
          <w:spacing w:val="-8"/>
          <w:sz w:val="18"/>
        </w:rPr>
        <w:t> </w:t>
      </w:r>
      <w:r>
        <w:rPr>
          <w:i/>
          <w:color w:val="231F20"/>
          <w:sz w:val="18"/>
        </w:rPr>
        <w:t>Estudios</w:t>
      </w:r>
      <w:r>
        <w:rPr>
          <w:i/>
          <w:color w:val="231F20"/>
          <w:spacing w:val="-8"/>
          <w:sz w:val="18"/>
        </w:rPr>
        <w:t> </w:t>
      </w:r>
      <w:r>
        <w:rPr>
          <w:i/>
          <w:color w:val="231F20"/>
          <w:sz w:val="18"/>
        </w:rPr>
        <w:t>de</w:t>
      </w:r>
      <w:r>
        <w:rPr>
          <w:i/>
          <w:color w:val="231F20"/>
          <w:spacing w:val="-8"/>
          <w:sz w:val="18"/>
        </w:rPr>
        <w:t> </w:t>
      </w:r>
      <w:r>
        <w:rPr>
          <w:i/>
          <w:color w:val="231F20"/>
          <w:sz w:val="18"/>
        </w:rPr>
        <w:t>género,</w:t>
      </w:r>
      <w:r>
        <w:rPr>
          <w:i/>
          <w:color w:val="231F20"/>
          <w:spacing w:val="-8"/>
          <w:sz w:val="18"/>
        </w:rPr>
        <w:t> </w:t>
      </w:r>
      <w:r>
        <w:rPr>
          <w:color w:val="231F20"/>
          <w:sz w:val="18"/>
        </w:rPr>
        <w:t>Revista</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Dirección</w:t>
      </w:r>
      <w:r>
        <w:rPr>
          <w:color w:val="231F20"/>
          <w:spacing w:val="-8"/>
          <w:sz w:val="18"/>
        </w:rPr>
        <w:t> </w:t>
      </w:r>
      <w:r>
        <w:rPr>
          <w:color w:val="231F20"/>
          <w:sz w:val="18"/>
        </w:rPr>
        <w:t>General</w:t>
      </w:r>
      <w:r>
        <w:rPr>
          <w:color w:val="231F20"/>
          <w:spacing w:val="-8"/>
          <w:sz w:val="18"/>
        </w:rPr>
        <w:t> </w:t>
      </w:r>
      <w:r>
        <w:rPr>
          <w:color w:val="231F20"/>
          <w:sz w:val="18"/>
        </w:rPr>
        <w:t>de Estudios de Posgrado de la UNAM, núm.</w:t>
      </w:r>
      <w:r>
        <w:rPr>
          <w:color w:val="231F20"/>
          <w:spacing w:val="-12"/>
          <w:sz w:val="18"/>
        </w:rPr>
        <w:t> </w:t>
      </w:r>
      <w:r>
        <w:rPr>
          <w:color w:val="231F20"/>
          <w:sz w:val="18"/>
        </w:rPr>
        <w:t>41.</w:t>
      </w:r>
    </w:p>
    <w:p>
      <w:pPr>
        <w:spacing w:line="254" w:lineRule="auto" w:before="57"/>
        <w:ind w:left="110" w:right="111" w:firstLine="0"/>
        <w:jc w:val="both"/>
        <w:rPr>
          <w:sz w:val="18"/>
        </w:rPr>
      </w:pPr>
      <w:r>
        <w:rPr>
          <w:color w:val="231F20"/>
          <w:sz w:val="18"/>
        </w:rPr>
        <w:t>Lamas, Marta (compiladora) (1996) </w:t>
      </w:r>
      <w:r>
        <w:rPr>
          <w:i/>
          <w:color w:val="231F20"/>
          <w:sz w:val="18"/>
        </w:rPr>
        <w:t>El género, la construcción cultural de la </w:t>
      </w:r>
      <w:r>
        <w:rPr>
          <w:i/>
          <w:color w:val="231F20"/>
          <w:sz w:val="18"/>
        </w:rPr>
        <w:t>diferencia sexual</w:t>
      </w:r>
      <w:r>
        <w:rPr>
          <w:color w:val="231F20"/>
          <w:sz w:val="18"/>
        </w:rPr>
        <w:t>, México: PUEG-UNAM/Porrúa.</w:t>
      </w:r>
    </w:p>
    <w:p>
      <w:pPr>
        <w:spacing w:line="254" w:lineRule="auto" w:before="57"/>
        <w:ind w:left="110" w:right="111" w:firstLine="0"/>
        <w:jc w:val="both"/>
        <w:rPr>
          <w:sz w:val="18"/>
        </w:rPr>
      </w:pPr>
      <w:r>
        <w:rPr>
          <w:color w:val="231F20"/>
          <w:sz w:val="18"/>
        </w:rPr>
        <w:t>Nash, June y Patricia Fernández Kelly (editores) (1984) </w:t>
      </w:r>
      <w:r>
        <w:rPr>
          <w:i/>
          <w:color w:val="231F20"/>
          <w:spacing w:val="-3"/>
          <w:sz w:val="18"/>
        </w:rPr>
        <w:t>Women, </w:t>
      </w:r>
      <w:r>
        <w:rPr>
          <w:i/>
          <w:color w:val="231F20"/>
          <w:sz w:val="18"/>
        </w:rPr>
        <w:t>Men, and the </w:t>
      </w:r>
      <w:r>
        <w:rPr>
          <w:i/>
          <w:color w:val="231F20"/>
          <w:sz w:val="18"/>
        </w:rPr>
        <w:t>International</w:t>
      </w:r>
      <w:r>
        <w:rPr>
          <w:i/>
          <w:color w:val="231F20"/>
          <w:spacing w:val="-12"/>
          <w:sz w:val="18"/>
        </w:rPr>
        <w:t> </w:t>
      </w:r>
      <w:r>
        <w:rPr>
          <w:i/>
          <w:color w:val="231F20"/>
          <w:sz w:val="18"/>
        </w:rPr>
        <w:t>Division</w:t>
      </w:r>
      <w:r>
        <w:rPr>
          <w:i/>
          <w:color w:val="231F20"/>
          <w:spacing w:val="-12"/>
          <w:sz w:val="18"/>
        </w:rPr>
        <w:t> </w:t>
      </w:r>
      <w:r>
        <w:rPr>
          <w:i/>
          <w:color w:val="231F20"/>
          <w:sz w:val="18"/>
        </w:rPr>
        <w:t>of</w:t>
      </w:r>
      <w:r>
        <w:rPr>
          <w:i/>
          <w:color w:val="231F20"/>
          <w:spacing w:val="-12"/>
          <w:sz w:val="18"/>
        </w:rPr>
        <w:t> </w:t>
      </w:r>
      <w:r>
        <w:rPr>
          <w:i/>
          <w:color w:val="231F20"/>
          <w:sz w:val="18"/>
        </w:rPr>
        <w:t>Labor</w:t>
      </w:r>
      <w:r>
        <w:rPr>
          <w:color w:val="231F20"/>
          <w:sz w:val="18"/>
        </w:rPr>
        <w:t>.</w:t>
      </w:r>
      <w:r>
        <w:rPr>
          <w:color w:val="231F20"/>
          <w:spacing w:val="-12"/>
          <w:sz w:val="18"/>
        </w:rPr>
        <w:t> </w:t>
      </w:r>
      <w:r>
        <w:rPr>
          <w:color w:val="231F20"/>
          <w:sz w:val="18"/>
        </w:rPr>
        <w:t>EU:</w:t>
      </w:r>
      <w:r>
        <w:rPr>
          <w:color w:val="231F20"/>
          <w:spacing w:val="-21"/>
          <w:sz w:val="18"/>
        </w:rPr>
        <w:t> </w:t>
      </w:r>
      <w:r>
        <w:rPr>
          <w:color w:val="231F20"/>
          <w:sz w:val="18"/>
        </w:rPr>
        <w:t>Albany</w:t>
      </w:r>
      <w:r>
        <w:rPr>
          <w:color w:val="231F20"/>
          <w:spacing w:val="-12"/>
          <w:sz w:val="18"/>
        </w:rPr>
        <w:t> </w:t>
      </w:r>
      <w:r>
        <w:rPr>
          <w:color w:val="231F20"/>
          <w:sz w:val="18"/>
        </w:rPr>
        <w:t>State</w:t>
      </w:r>
      <w:r>
        <w:rPr>
          <w:color w:val="231F20"/>
          <w:spacing w:val="-12"/>
          <w:sz w:val="18"/>
        </w:rPr>
        <w:t> </w:t>
      </w:r>
      <w:r>
        <w:rPr>
          <w:color w:val="231F20"/>
          <w:sz w:val="18"/>
        </w:rPr>
        <w:t>University</w:t>
      </w:r>
      <w:r>
        <w:rPr>
          <w:color w:val="231F20"/>
          <w:spacing w:val="-12"/>
          <w:sz w:val="18"/>
        </w:rPr>
        <w:t> </w:t>
      </w:r>
      <w:r>
        <w:rPr>
          <w:color w:val="231F20"/>
          <w:sz w:val="18"/>
        </w:rPr>
        <w:t>of</w:t>
      </w:r>
      <w:r>
        <w:rPr>
          <w:color w:val="231F20"/>
          <w:spacing w:val="-12"/>
          <w:sz w:val="18"/>
        </w:rPr>
        <w:t> </w:t>
      </w:r>
      <w:r>
        <w:rPr>
          <w:color w:val="231F20"/>
          <w:sz w:val="18"/>
        </w:rPr>
        <w:t>New</w:t>
      </w:r>
      <w:r>
        <w:rPr>
          <w:color w:val="231F20"/>
          <w:spacing w:val="-18"/>
          <w:sz w:val="18"/>
        </w:rPr>
        <w:t> </w:t>
      </w:r>
      <w:r>
        <w:rPr>
          <w:color w:val="231F20"/>
          <w:spacing w:val="-5"/>
          <w:sz w:val="18"/>
        </w:rPr>
        <w:t>York</w:t>
      </w:r>
      <w:r>
        <w:rPr>
          <w:color w:val="231F20"/>
          <w:spacing w:val="-12"/>
          <w:sz w:val="18"/>
        </w:rPr>
        <w:t> </w:t>
      </w:r>
      <w:r>
        <w:rPr>
          <w:color w:val="231F20"/>
          <w:sz w:val="18"/>
        </w:rPr>
        <w:t>Press.</w:t>
      </w:r>
    </w:p>
    <w:p>
      <w:pPr>
        <w:spacing w:line="254" w:lineRule="auto" w:before="57"/>
        <w:ind w:left="110" w:right="111" w:firstLine="0"/>
        <w:jc w:val="both"/>
        <w:rPr>
          <w:sz w:val="18"/>
        </w:rPr>
      </w:pPr>
      <w:r>
        <w:rPr>
          <w:color w:val="231F20"/>
          <w:sz w:val="18"/>
        </w:rPr>
        <w:t>Nash, June, H. Safa (editors) (1980) </w:t>
      </w:r>
      <w:r>
        <w:rPr>
          <w:i/>
          <w:color w:val="231F20"/>
          <w:sz w:val="18"/>
        </w:rPr>
        <w:t>Sex and Class in Latin America: Women´s </w:t>
      </w:r>
      <w:r>
        <w:rPr>
          <w:i/>
          <w:color w:val="231F20"/>
          <w:sz w:val="18"/>
        </w:rPr>
        <w:t>Perspectives on Politics, Economics and the Familily in the Third World, </w:t>
      </w:r>
      <w:r>
        <w:rPr>
          <w:color w:val="231F20"/>
          <w:sz w:val="18"/>
        </w:rPr>
        <w:t>South Hadley: Bergin.</w:t>
      </w:r>
    </w:p>
    <w:p>
      <w:pPr>
        <w:spacing w:before="57"/>
        <w:ind w:left="110" w:right="0" w:firstLine="0"/>
        <w:jc w:val="both"/>
        <w:rPr>
          <w:sz w:val="18"/>
        </w:rPr>
      </w:pPr>
      <w:r>
        <w:rPr>
          <w:color w:val="231F20"/>
          <w:sz w:val="18"/>
        </w:rPr>
        <w:t>Sen, Amarthya (2000) </w:t>
      </w:r>
      <w:r>
        <w:rPr>
          <w:i/>
          <w:color w:val="231F20"/>
          <w:sz w:val="18"/>
        </w:rPr>
        <w:t>Respenser I´inégalité</w:t>
      </w:r>
      <w:r>
        <w:rPr>
          <w:color w:val="231F20"/>
          <w:sz w:val="18"/>
        </w:rPr>
        <w:t>, París: SEUIL.</w:t>
      </w:r>
    </w:p>
    <w:p>
      <w:pPr>
        <w:spacing w:line="254" w:lineRule="auto" w:before="69"/>
        <w:ind w:left="110" w:right="111" w:firstLine="0"/>
        <w:jc w:val="both"/>
        <w:rPr>
          <w:sz w:val="18"/>
        </w:rPr>
      </w:pPr>
      <w:r>
        <w:rPr>
          <w:color w:val="231F20"/>
          <w:sz w:val="18"/>
        </w:rPr>
        <w:t>Vizcarra, Ivonne (2002a) </w:t>
      </w:r>
      <w:r>
        <w:rPr>
          <w:i/>
          <w:color w:val="231F20"/>
          <w:sz w:val="18"/>
        </w:rPr>
        <w:t>Entre el taco mazahua y el mundo: la comida de las </w:t>
      </w:r>
      <w:r>
        <w:rPr>
          <w:i/>
          <w:color w:val="231F20"/>
          <w:sz w:val="18"/>
        </w:rPr>
        <w:t>relaciones de poder, resistencia e identidades</w:t>
      </w:r>
      <w:r>
        <w:rPr>
          <w:color w:val="231F20"/>
          <w:sz w:val="18"/>
        </w:rPr>
        <w:t>. Toluca: Gobierno del Estado de México/Universidad Autónoma del Estado de México.</w:t>
      </w:r>
    </w:p>
    <w:p>
      <w:pPr>
        <w:spacing w:after="0" w:line="254" w:lineRule="auto"/>
        <w:jc w:val="both"/>
        <w:rPr>
          <w:sz w:val="18"/>
        </w:rPr>
        <w:sectPr>
          <w:pgSz w:w="7770" w:h="11740"/>
          <w:pgMar w:header="0" w:footer="474" w:top="840" w:bottom="740" w:left="740" w:right="1020"/>
        </w:sectPr>
      </w:pPr>
    </w:p>
    <w:p>
      <w:pPr>
        <w:spacing w:line="254" w:lineRule="auto" w:before="50"/>
        <w:ind w:left="113" w:right="108" w:firstLine="0"/>
        <w:jc w:val="both"/>
        <w:rPr>
          <w:sz w:val="18"/>
        </w:rPr>
      </w:pPr>
      <w:r>
        <w:rPr>
          <w:color w:val="231F20"/>
          <w:sz w:val="18"/>
        </w:rPr>
        <w:t>Vizcarra, Ivonne (2002b) “La institucionalización de la equidad de género en el Estado de México y la economía política feminista”</w:t>
      </w:r>
      <w:r>
        <w:rPr>
          <w:i/>
          <w:color w:val="231F20"/>
          <w:sz w:val="18"/>
        </w:rPr>
        <w:t>, </w:t>
      </w:r>
      <w:r>
        <w:rPr>
          <w:color w:val="231F20"/>
          <w:sz w:val="18"/>
        </w:rPr>
        <w:t>en </w:t>
      </w:r>
      <w:r>
        <w:rPr>
          <w:i/>
          <w:color w:val="231F20"/>
          <w:sz w:val="18"/>
        </w:rPr>
        <w:t>Reflexión política</w:t>
      </w:r>
      <w:r>
        <w:rPr>
          <w:color w:val="231F20"/>
          <w:sz w:val="18"/>
        </w:rPr>
        <w:t>, año 4, núm. 8, Bucaramanga: en coedición con </w:t>
      </w:r>
      <w:r>
        <w:rPr>
          <w:i/>
          <w:color w:val="231F20"/>
          <w:sz w:val="18"/>
        </w:rPr>
        <w:t>Convergencia, Revista de Ciencias </w:t>
      </w:r>
      <w:r>
        <w:rPr>
          <w:i/>
          <w:color w:val="231F20"/>
          <w:sz w:val="18"/>
        </w:rPr>
        <w:t>Sociales</w:t>
      </w:r>
      <w:r>
        <w:rPr>
          <w:color w:val="231F20"/>
          <w:sz w:val="18"/>
        </w:rPr>
        <w:t>, año 9, núm. 30.</w:t>
      </w:r>
    </w:p>
    <w:p>
      <w:pPr>
        <w:spacing w:line="254" w:lineRule="auto" w:before="57"/>
        <w:ind w:left="113" w:right="108" w:firstLine="0"/>
        <w:jc w:val="both"/>
        <w:rPr>
          <w:sz w:val="18"/>
        </w:rPr>
      </w:pPr>
      <w:r>
        <w:rPr>
          <w:color w:val="231F20"/>
          <w:sz w:val="18"/>
        </w:rPr>
        <w:t>Vizcarra,</w:t>
      </w:r>
      <w:r>
        <w:rPr>
          <w:color w:val="231F20"/>
          <w:spacing w:val="-5"/>
          <w:sz w:val="18"/>
        </w:rPr>
        <w:t> </w:t>
      </w:r>
      <w:r>
        <w:rPr>
          <w:color w:val="231F20"/>
          <w:sz w:val="18"/>
        </w:rPr>
        <w:t>Ivonne</w:t>
      </w:r>
      <w:r>
        <w:rPr>
          <w:color w:val="231F20"/>
          <w:spacing w:val="-5"/>
          <w:sz w:val="18"/>
        </w:rPr>
        <w:t> </w:t>
      </w:r>
      <w:r>
        <w:rPr>
          <w:color w:val="231F20"/>
          <w:sz w:val="18"/>
        </w:rPr>
        <w:t>(2005)</w:t>
      </w:r>
      <w:r>
        <w:rPr>
          <w:color w:val="231F20"/>
          <w:spacing w:val="-5"/>
          <w:sz w:val="18"/>
        </w:rPr>
        <w:t> </w:t>
      </w:r>
      <w:r>
        <w:rPr>
          <w:color w:val="231F20"/>
          <w:sz w:val="18"/>
        </w:rPr>
        <w:t>“A</w:t>
      </w:r>
      <w:r>
        <w:rPr>
          <w:color w:val="231F20"/>
          <w:spacing w:val="-14"/>
          <w:sz w:val="18"/>
        </w:rPr>
        <w:t> </w:t>
      </w:r>
      <w:r>
        <w:rPr>
          <w:color w:val="231F20"/>
          <w:sz w:val="18"/>
        </w:rPr>
        <w:t>manera</w:t>
      </w:r>
      <w:r>
        <w:rPr>
          <w:color w:val="231F20"/>
          <w:spacing w:val="-5"/>
          <w:sz w:val="18"/>
        </w:rPr>
        <w:t> </w:t>
      </w:r>
      <w:r>
        <w:rPr>
          <w:color w:val="231F20"/>
          <w:sz w:val="18"/>
        </w:rPr>
        <w:t>de</w:t>
      </w:r>
      <w:r>
        <w:rPr>
          <w:color w:val="231F20"/>
          <w:spacing w:val="-5"/>
          <w:sz w:val="18"/>
        </w:rPr>
        <w:t> </w:t>
      </w:r>
      <w:r>
        <w:rPr>
          <w:color w:val="231F20"/>
          <w:sz w:val="18"/>
        </w:rPr>
        <w:t>introducción:</w:t>
      </w:r>
      <w:r>
        <w:rPr>
          <w:color w:val="231F20"/>
          <w:spacing w:val="-5"/>
          <w:sz w:val="18"/>
        </w:rPr>
        <w:t> </w:t>
      </w:r>
      <w:r>
        <w:rPr>
          <w:color w:val="231F20"/>
          <w:sz w:val="18"/>
        </w:rPr>
        <w:t>hacia</w:t>
      </w:r>
      <w:r>
        <w:rPr>
          <w:color w:val="231F20"/>
          <w:spacing w:val="-5"/>
          <w:sz w:val="18"/>
        </w:rPr>
        <w:t> </w:t>
      </w:r>
      <w:r>
        <w:rPr>
          <w:color w:val="231F20"/>
          <w:sz w:val="18"/>
        </w:rPr>
        <w:t>la</w:t>
      </w:r>
      <w:r>
        <w:rPr>
          <w:color w:val="231F20"/>
          <w:spacing w:val="-5"/>
          <w:sz w:val="18"/>
        </w:rPr>
        <w:t> </w:t>
      </w:r>
      <w:r>
        <w:rPr>
          <w:color w:val="231F20"/>
          <w:sz w:val="18"/>
        </w:rPr>
        <w:t>formulación</w:t>
      </w:r>
      <w:r>
        <w:rPr>
          <w:color w:val="231F20"/>
          <w:spacing w:val="-5"/>
          <w:sz w:val="18"/>
        </w:rPr>
        <w:t> </w:t>
      </w:r>
      <w:r>
        <w:rPr>
          <w:color w:val="231F20"/>
          <w:sz w:val="18"/>
        </w:rPr>
        <w:t>de</w:t>
      </w:r>
      <w:r>
        <w:rPr>
          <w:color w:val="231F20"/>
          <w:spacing w:val="-5"/>
          <w:sz w:val="18"/>
        </w:rPr>
        <w:t> </w:t>
      </w:r>
      <w:r>
        <w:rPr>
          <w:color w:val="231F20"/>
          <w:sz w:val="18"/>
        </w:rPr>
        <w:t>una economía política feminista”, en </w:t>
      </w:r>
      <w:r>
        <w:rPr>
          <w:i/>
          <w:color w:val="231F20"/>
          <w:sz w:val="18"/>
        </w:rPr>
        <w:t>Género y </w:t>
      </w:r>
      <w:r>
        <w:rPr>
          <w:i/>
          <w:color w:val="231F20"/>
          <w:spacing w:val="-4"/>
          <w:sz w:val="18"/>
        </w:rPr>
        <w:t>poder. </w:t>
      </w:r>
      <w:r>
        <w:rPr>
          <w:i/>
          <w:color w:val="231F20"/>
          <w:sz w:val="18"/>
        </w:rPr>
        <w:t>Diferentes experiencias, mis- </w:t>
      </w:r>
      <w:r>
        <w:rPr>
          <w:i/>
          <w:color w:val="231F20"/>
          <w:sz w:val="18"/>
        </w:rPr>
        <w:t>mas</w:t>
      </w:r>
      <w:r>
        <w:rPr>
          <w:i/>
          <w:color w:val="231F20"/>
          <w:spacing w:val="-7"/>
          <w:sz w:val="18"/>
        </w:rPr>
        <w:t> </w:t>
      </w:r>
      <w:r>
        <w:rPr>
          <w:i/>
          <w:color w:val="231F20"/>
          <w:sz w:val="18"/>
        </w:rPr>
        <w:t>preocupaciones</w:t>
      </w:r>
      <w:r>
        <w:rPr>
          <w:color w:val="231F20"/>
          <w:sz w:val="18"/>
        </w:rPr>
        <w:t>,</w:t>
      </w:r>
      <w:r>
        <w:rPr>
          <w:color w:val="231F20"/>
          <w:spacing w:val="-10"/>
          <w:sz w:val="18"/>
        </w:rPr>
        <w:t> </w:t>
      </w:r>
      <w:r>
        <w:rPr>
          <w:color w:val="231F20"/>
          <w:sz w:val="18"/>
        </w:rPr>
        <w:t>Toluca:</w:t>
      </w:r>
      <w:r>
        <w:rPr>
          <w:color w:val="231F20"/>
          <w:spacing w:val="-7"/>
          <w:sz w:val="18"/>
        </w:rPr>
        <w:t> </w:t>
      </w:r>
      <w:r>
        <w:rPr>
          <w:color w:val="231F20"/>
          <w:sz w:val="18"/>
        </w:rPr>
        <w:t>Universidad</w:t>
      </w:r>
      <w:r>
        <w:rPr>
          <w:color w:val="231F20"/>
          <w:spacing w:val="-15"/>
          <w:sz w:val="18"/>
        </w:rPr>
        <w:t> </w:t>
      </w:r>
      <w:r>
        <w:rPr>
          <w:color w:val="231F20"/>
          <w:sz w:val="18"/>
        </w:rPr>
        <w:t>Autónoma</w:t>
      </w:r>
      <w:r>
        <w:rPr>
          <w:color w:val="231F20"/>
          <w:spacing w:val="-7"/>
          <w:sz w:val="18"/>
        </w:rPr>
        <w:t> </w:t>
      </w:r>
      <w:r>
        <w:rPr>
          <w:color w:val="231F20"/>
          <w:sz w:val="18"/>
        </w:rPr>
        <w:t>del</w:t>
      </w:r>
      <w:r>
        <w:rPr>
          <w:color w:val="231F20"/>
          <w:spacing w:val="-7"/>
          <w:sz w:val="18"/>
        </w:rPr>
        <w:t> </w:t>
      </w:r>
      <w:r>
        <w:rPr>
          <w:color w:val="231F20"/>
          <w:sz w:val="18"/>
        </w:rPr>
        <w:t>Estado</w:t>
      </w:r>
      <w:r>
        <w:rPr>
          <w:color w:val="231F20"/>
          <w:spacing w:val="-7"/>
          <w:sz w:val="18"/>
        </w:rPr>
        <w:t> </w:t>
      </w:r>
      <w:r>
        <w:rPr>
          <w:color w:val="231F20"/>
          <w:sz w:val="18"/>
        </w:rPr>
        <w:t>de</w:t>
      </w:r>
      <w:r>
        <w:rPr>
          <w:color w:val="231F20"/>
          <w:spacing w:val="-7"/>
          <w:sz w:val="18"/>
        </w:rPr>
        <w:t> </w:t>
      </w:r>
      <w:r>
        <w:rPr>
          <w:color w:val="231F20"/>
          <w:sz w:val="18"/>
        </w:rPr>
        <w:t>México.</w:t>
      </w:r>
    </w:p>
    <w:p>
      <w:pPr>
        <w:spacing w:after="0" w:line="254" w:lineRule="auto"/>
        <w:jc w:val="both"/>
        <w:rPr>
          <w:sz w:val="18"/>
        </w:rPr>
        <w:sectPr>
          <w:footerReference w:type="default" r:id="rId268"/>
          <w:pgSz w:w="7770" w:h="11740"/>
          <w:pgMar w:footer="474" w:header="0" w:top="840" w:bottom="660" w:left="1020" w:right="740"/>
        </w:sectPr>
      </w:pPr>
    </w:p>
    <w:p>
      <w:pPr>
        <w:pStyle w:val="BodyText"/>
      </w:pPr>
      <w:r>
        <w:rPr/>
        <w:pict>
          <v:shape style="position:absolute;margin-left:34.063pt;margin-top:538.958984pt;width:325.45pt;height:30.45pt;mso-position-horizontal-relative:page;mso-position-vertical-relative:page;z-index:-329824" type="#_x0000_t202" filled="false" stroked="false">
            <v:textbox inset="0,0,0,0">
              <w:txbxContent>
                <w:p>
                  <w:pPr>
                    <w:pStyle w:val="BodyText"/>
                    <w:spacing w:before="171"/>
                    <w:ind w:left="2392" w:right="2780"/>
                    <w:jc w:val="center"/>
                  </w:pPr>
                  <w:r>
                    <w:rPr>
                      <w:color w:val="231F20"/>
                    </w:rPr>
                    <w:t>248</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2"/>
        </w:rPr>
      </w:pPr>
    </w:p>
    <w:p>
      <w:pPr>
        <w:pStyle w:val="BodyText"/>
        <w:ind w:left="101"/>
      </w:pPr>
      <w:r>
        <w:rPr/>
        <w:pict>
          <v:group style="width:325.45pt;height:30.45pt;mso-position-horizontal-relative:char;mso-position-vertical-relative:line" coordorigin="0,0" coordsize="6509,609">
            <v:rect style="position:absolute;left:0;top:0;width:6508;height:609" filled="true" fillcolor="#ffffff" stroked="false">
              <v:fill type="solid"/>
            </v:rect>
          </v:group>
        </w:pict>
      </w:r>
      <w:r>
        <w:rPr/>
      </w:r>
    </w:p>
    <w:p>
      <w:pPr>
        <w:spacing w:after="0"/>
        <w:sectPr>
          <w:footerReference w:type="default" r:id="rId269"/>
          <w:pgSz w:w="7770" w:h="11740"/>
          <w:pgMar w:footer="0" w:header="0" w:top="1080" w:bottom="0" w:left="580" w:right="460"/>
        </w:sectPr>
      </w:pPr>
    </w:p>
    <w:p>
      <w:pPr>
        <w:pStyle w:val="Heading1"/>
        <w:ind w:left="1993" w:right="107" w:hanging="396"/>
        <w:jc w:val="right"/>
      </w:pPr>
      <w:r>
        <w:rPr>
          <w:color w:val="231F20"/>
          <w:w w:val="70"/>
        </w:rPr>
        <w:t>Alcances del trabajo remunerado en la vejez. Hijas del milagro mexicano, las abuelas del siglo XXI</w:t>
      </w:r>
    </w:p>
    <w:p>
      <w:pPr>
        <w:pStyle w:val="Heading3"/>
        <w:spacing w:line="280" w:lineRule="exact" w:before="329"/>
        <w:ind w:left="1727" w:right="108" w:firstLine="388"/>
        <w:jc w:val="right"/>
      </w:pPr>
      <w:r>
        <w:rPr>
          <w:color w:val="231F20"/>
        </w:rPr>
        <w:t>Zoraida Ronzón Hernández, Norma Baca Tavira y América Luna Martínez*</w:t>
      </w:r>
    </w:p>
    <w:p>
      <w:pPr>
        <w:pStyle w:val="BodyText"/>
      </w:pPr>
    </w:p>
    <w:p>
      <w:pPr>
        <w:pStyle w:val="BodyText"/>
      </w:pPr>
    </w:p>
    <w:p>
      <w:pPr>
        <w:pStyle w:val="BodyText"/>
        <w:spacing w:before="1"/>
        <w:rPr>
          <w:sz w:val="17"/>
        </w:rPr>
      </w:pPr>
    </w:p>
    <w:p>
      <w:pPr>
        <w:pStyle w:val="Heading4"/>
        <w:spacing w:before="69"/>
        <w:ind w:right="792"/>
        <w:jc w:val="left"/>
      </w:pPr>
      <w:r>
        <w:rPr>
          <w:w w:val="85"/>
        </w:rPr>
        <w:t>Introducción</w:t>
      </w:r>
    </w:p>
    <w:p>
      <w:pPr>
        <w:pStyle w:val="BodyText"/>
        <w:rPr>
          <w:b/>
        </w:rPr>
      </w:pPr>
    </w:p>
    <w:p>
      <w:pPr>
        <w:pStyle w:val="BodyText"/>
        <w:spacing w:before="7"/>
        <w:rPr>
          <w:b/>
          <w:sz w:val="24"/>
        </w:rPr>
      </w:pPr>
    </w:p>
    <w:p>
      <w:pPr>
        <w:pStyle w:val="BodyText"/>
        <w:spacing w:line="249" w:lineRule="auto" w:before="75"/>
        <w:ind w:left="113" w:right="107"/>
        <w:jc w:val="both"/>
      </w:pPr>
      <w:r>
        <w:rPr>
          <w:color w:val="231F20"/>
        </w:rPr>
        <w:t>Desde hace aproximadamente 20 años, a partir de la década de 1980, se ha</w:t>
      </w:r>
      <w:r>
        <w:rPr>
          <w:color w:val="231F20"/>
          <w:spacing w:val="-9"/>
        </w:rPr>
        <w:t> </w:t>
      </w:r>
      <w:r>
        <w:rPr>
          <w:color w:val="231F20"/>
        </w:rPr>
        <w:t>incrementado</w:t>
      </w:r>
      <w:r>
        <w:rPr>
          <w:color w:val="231F20"/>
          <w:spacing w:val="-9"/>
        </w:rPr>
        <w:t> </w:t>
      </w:r>
      <w:r>
        <w:rPr>
          <w:color w:val="231F20"/>
        </w:rPr>
        <w:t>el</w:t>
      </w:r>
      <w:r>
        <w:rPr>
          <w:color w:val="231F20"/>
          <w:spacing w:val="-9"/>
        </w:rPr>
        <w:t> </w:t>
      </w:r>
      <w:r>
        <w:rPr>
          <w:color w:val="231F20"/>
        </w:rPr>
        <w:t>interés</w:t>
      </w:r>
      <w:r>
        <w:rPr>
          <w:color w:val="231F20"/>
          <w:spacing w:val="-10"/>
        </w:rPr>
        <w:t> </w:t>
      </w:r>
      <w:r>
        <w:rPr>
          <w:color w:val="231F20"/>
        </w:rPr>
        <w:t>por</w:t>
      </w:r>
      <w:r>
        <w:rPr>
          <w:color w:val="231F20"/>
          <w:spacing w:val="-9"/>
        </w:rPr>
        <w:t> </w:t>
      </w:r>
      <w:r>
        <w:rPr>
          <w:color w:val="231F20"/>
        </w:rPr>
        <w:t>la</w:t>
      </w:r>
      <w:r>
        <w:rPr>
          <w:color w:val="231F20"/>
          <w:spacing w:val="-9"/>
        </w:rPr>
        <w:t> </w:t>
      </w:r>
      <w:r>
        <w:rPr>
          <w:color w:val="231F20"/>
        </w:rPr>
        <w:t>exploración</w:t>
      </w:r>
      <w:r>
        <w:rPr>
          <w:color w:val="231F20"/>
          <w:spacing w:val="-10"/>
        </w:rPr>
        <w:t> </w:t>
      </w:r>
      <w:r>
        <w:rPr>
          <w:color w:val="231F20"/>
        </w:rPr>
        <w:t>de</w:t>
      </w:r>
      <w:r>
        <w:rPr>
          <w:color w:val="231F20"/>
          <w:spacing w:val="-9"/>
        </w:rPr>
        <w:t> </w:t>
      </w:r>
      <w:r>
        <w:rPr>
          <w:color w:val="231F20"/>
        </w:rPr>
        <w:t>un</w:t>
      </w:r>
      <w:r>
        <w:rPr>
          <w:color w:val="231F20"/>
          <w:spacing w:val="-9"/>
        </w:rPr>
        <w:t> </w:t>
      </w:r>
      <w:r>
        <w:rPr>
          <w:color w:val="231F20"/>
        </w:rPr>
        <w:t>campo</w:t>
      </w:r>
      <w:r>
        <w:rPr>
          <w:color w:val="231F20"/>
          <w:spacing w:val="-9"/>
        </w:rPr>
        <w:t> </w:t>
      </w:r>
      <w:r>
        <w:rPr>
          <w:color w:val="231F20"/>
        </w:rPr>
        <w:t>de</w:t>
      </w:r>
      <w:r>
        <w:rPr>
          <w:color w:val="231F20"/>
          <w:spacing w:val="-9"/>
        </w:rPr>
        <w:t> </w:t>
      </w:r>
      <w:r>
        <w:rPr>
          <w:color w:val="231F20"/>
        </w:rPr>
        <w:t>estudio</w:t>
      </w:r>
      <w:r>
        <w:rPr>
          <w:color w:val="231F20"/>
          <w:spacing w:val="-10"/>
        </w:rPr>
        <w:t> </w:t>
      </w:r>
      <w:r>
        <w:rPr>
          <w:color w:val="231F20"/>
        </w:rPr>
        <w:t>que hasta ese momento había sido no sólo olvidado sino inexistente en Mé- xico: observar la vejez y el envejecimiento como tema de investigación no sólo para las ciencias médicas sino para las ciencias sociales como la sociodemografía en un principio y la antropología posteriormente,</w:t>
      </w:r>
      <w:r>
        <w:rPr>
          <w:color w:val="231F20"/>
          <w:spacing w:val="-29"/>
        </w:rPr>
        <w:t> </w:t>
      </w:r>
      <w:r>
        <w:rPr>
          <w:color w:val="231F20"/>
        </w:rPr>
        <w:t>disci- plina bajo la cual se desarrolla la presente</w:t>
      </w:r>
      <w:r>
        <w:rPr>
          <w:color w:val="231F20"/>
          <w:spacing w:val="-2"/>
        </w:rPr>
        <w:t> </w:t>
      </w:r>
      <w:r>
        <w:rPr>
          <w:color w:val="231F20"/>
        </w:rPr>
        <w:t>investigación.</w:t>
      </w:r>
    </w:p>
    <w:p>
      <w:pPr>
        <w:pStyle w:val="BodyText"/>
        <w:spacing w:line="249" w:lineRule="auto" w:before="1"/>
        <w:ind w:left="113" w:right="107" w:firstLine="283"/>
        <w:jc w:val="both"/>
      </w:pPr>
      <w:r>
        <w:rPr>
          <w:color w:val="231F20"/>
        </w:rPr>
        <w:t>La</w:t>
      </w:r>
      <w:r>
        <w:rPr>
          <w:color w:val="231F20"/>
          <w:spacing w:val="-6"/>
        </w:rPr>
        <w:t> </w:t>
      </w:r>
      <w:r>
        <w:rPr>
          <w:color w:val="231F20"/>
        </w:rPr>
        <w:t>realidad</w:t>
      </w:r>
      <w:r>
        <w:rPr>
          <w:color w:val="231F20"/>
          <w:spacing w:val="-6"/>
        </w:rPr>
        <w:t> </w:t>
      </w:r>
      <w:r>
        <w:rPr>
          <w:color w:val="231F20"/>
        </w:rPr>
        <w:t>social</w:t>
      </w:r>
      <w:r>
        <w:rPr>
          <w:color w:val="231F20"/>
          <w:spacing w:val="-5"/>
        </w:rPr>
        <w:t> </w:t>
      </w:r>
      <w:r>
        <w:rPr>
          <w:color w:val="231F20"/>
        </w:rPr>
        <w:t>que</w:t>
      </w:r>
      <w:r>
        <w:rPr>
          <w:color w:val="231F20"/>
          <w:spacing w:val="-6"/>
        </w:rPr>
        <w:t> </w:t>
      </w:r>
      <w:r>
        <w:rPr>
          <w:color w:val="231F20"/>
        </w:rPr>
        <w:t>fundamenta</w:t>
      </w:r>
      <w:r>
        <w:rPr>
          <w:color w:val="231F20"/>
          <w:spacing w:val="-6"/>
        </w:rPr>
        <w:t> </w:t>
      </w:r>
      <w:r>
        <w:rPr>
          <w:color w:val="231F20"/>
        </w:rPr>
        <w:t>este</w:t>
      </w:r>
      <w:r>
        <w:rPr>
          <w:color w:val="231F20"/>
          <w:spacing w:val="-6"/>
        </w:rPr>
        <w:t> </w:t>
      </w:r>
      <w:r>
        <w:rPr>
          <w:color w:val="231F20"/>
        </w:rPr>
        <w:t>interés</w:t>
      </w:r>
      <w:r>
        <w:rPr>
          <w:color w:val="231F20"/>
          <w:spacing w:val="-6"/>
        </w:rPr>
        <w:t> </w:t>
      </w:r>
      <w:r>
        <w:rPr>
          <w:color w:val="231F20"/>
        </w:rPr>
        <w:t>se</w:t>
      </w:r>
      <w:r>
        <w:rPr>
          <w:color w:val="231F20"/>
          <w:spacing w:val="-6"/>
        </w:rPr>
        <w:t> </w:t>
      </w:r>
      <w:r>
        <w:rPr>
          <w:color w:val="231F20"/>
        </w:rPr>
        <w:t>entiende</w:t>
      </w:r>
      <w:r>
        <w:rPr>
          <w:color w:val="231F20"/>
          <w:spacing w:val="-6"/>
        </w:rPr>
        <w:t> </w:t>
      </w:r>
      <w:r>
        <w:rPr>
          <w:color w:val="231F20"/>
        </w:rPr>
        <w:t>en</w:t>
      </w:r>
      <w:r>
        <w:rPr>
          <w:color w:val="231F20"/>
          <w:spacing w:val="-6"/>
        </w:rPr>
        <w:t> </w:t>
      </w:r>
      <w:r>
        <w:rPr>
          <w:color w:val="231F20"/>
        </w:rPr>
        <w:t>torno</w:t>
      </w:r>
      <w:r>
        <w:rPr>
          <w:color w:val="231F20"/>
          <w:spacing w:val="-6"/>
        </w:rPr>
        <w:t> </w:t>
      </w:r>
      <w:r>
        <w:rPr>
          <w:color w:val="231F20"/>
        </w:rPr>
        <w:t>al envejecimiento acelerado que vive México y toda Latinoamérica, como un proceso inevitable y que impactará de manera dramática en los</w:t>
      </w:r>
      <w:r>
        <w:rPr>
          <w:color w:val="231F20"/>
          <w:spacing w:val="-17"/>
        </w:rPr>
        <w:t> </w:t>
      </w:r>
      <w:r>
        <w:rPr>
          <w:color w:val="231F20"/>
        </w:rPr>
        <w:t>ámbi- tos económicos y sociales de la comunidad, por lo que los objetivos de este trabajo son en dos sentidos: por una parte conocer aspectos del pro- ceso</w:t>
      </w:r>
      <w:r>
        <w:rPr>
          <w:color w:val="231F20"/>
          <w:spacing w:val="-5"/>
        </w:rPr>
        <w:t> </w:t>
      </w:r>
      <w:r>
        <w:rPr>
          <w:color w:val="231F20"/>
        </w:rPr>
        <w:t>de</w:t>
      </w:r>
      <w:r>
        <w:rPr>
          <w:color w:val="231F20"/>
          <w:spacing w:val="-5"/>
        </w:rPr>
        <w:t> </w:t>
      </w:r>
      <w:r>
        <w:rPr>
          <w:color w:val="231F20"/>
        </w:rPr>
        <w:t>envejecimiento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envejecida</w:t>
      </w:r>
      <w:r>
        <w:rPr>
          <w:color w:val="231F20"/>
          <w:spacing w:val="-6"/>
        </w:rPr>
        <w:t> </w:t>
      </w:r>
      <w:r>
        <w:rPr>
          <w:color w:val="231F20"/>
        </w:rPr>
        <w:t>y</w:t>
      </w:r>
      <w:r>
        <w:rPr>
          <w:color w:val="231F20"/>
          <w:spacing w:val="-5"/>
        </w:rPr>
        <w:t> </w:t>
      </w:r>
      <w:r>
        <w:rPr>
          <w:color w:val="231F20"/>
        </w:rPr>
        <w:t>mostrar</w:t>
      </w:r>
      <w:r>
        <w:rPr>
          <w:color w:val="231F20"/>
          <w:spacing w:val="-6"/>
        </w:rPr>
        <w:t> </w:t>
      </w:r>
      <w:r>
        <w:rPr>
          <w:color w:val="231F20"/>
        </w:rPr>
        <w:t>la</w:t>
      </w:r>
      <w:r>
        <w:rPr>
          <w:color w:val="231F20"/>
          <w:spacing w:val="-5"/>
        </w:rPr>
        <w:t> </w:t>
      </w:r>
      <w:r>
        <w:rPr>
          <w:color w:val="231F20"/>
        </w:rPr>
        <w:t>situación actual</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sector,</w:t>
      </w:r>
      <w:r>
        <w:rPr>
          <w:color w:val="231F20"/>
          <w:spacing w:val="-7"/>
        </w:rPr>
        <w:t> </w:t>
      </w:r>
      <w:r>
        <w:rPr>
          <w:color w:val="231F20"/>
        </w:rPr>
        <w:t>y</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otra</w:t>
      </w:r>
      <w:r>
        <w:rPr>
          <w:color w:val="231F20"/>
          <w:spacing w:val="-7"/>
        </w:rPr>
        <w:t> </w:t>
      </w:r>
      <w:r>
        <w:rPr>
          <w:color w:val="231F20"/>
        </w:rPr>
        <w:t>hacer</w:t>
      </w:r>
      <w:r>
        <w:rPr>
          <w:color w:val="231F20"/>
          <w:spacing w:val="-7"/>
        </w:rPr>
        <w:t> </w:t>
      </w:r>
      <w:r>
        <w:rPr>
          <w:color w:val="231F20"/>
        </w:rPr>
        <w:t>evidente</w:t>
      </w:r>
      <w:r>
        <w:rPr>
          <w:color w:val="231F20"/>
          <w:spacing w:val="-8"/>
        </w:rPr>
        <w:t> </w:t>
      </w:r>
      <w:r>
        <w:rPr>
          <w:color w:val="231F20"/>
        </w:rPr>
        <w:t>que</w:t>
      </w:r>
      <w:r>
        <w:rPr>
          <w:color w:val="231F20"/>
          <w:spacing w:val="-7"/>
        </w:rPr>
        <w:t> </w:t>
      </w:r>
      <w:r>
        <w:rPr>
          <w:color w:val="231F20"/>
        </w:rPr>
        <w:t>las</w:t>
      </w:r>
      <w:r>
        <w:rPr>
          <w:color w:val="231F20"/>
          <w:spacing w:val="-7"/>
        </w:rPr>
        <w:t> </w:t>
      </w:r>
      <w:r>
        <w:rPr>
          <w:color w:val="231F20"/>
        </w:rPr>
        <w:t>mujeres</w:t>
      </w:r>
      <w:r>
        <w:rPr>
          <w:color w:val="231F20"/>
          <w:spacing w:val="-8"/>
        </w:rPr>
        <w:t> </w:t>
      </w:r>
      <w:r>
        <w:rPr>
          <w:color w:val="231F20"/>
        </w:rPr>
        <w:t>que</w:t>
      </w:r>
      <w:r>
        <w:rPr>
          <w:color w:val="231F20"/>
          <w:spacing w:val="-7"/>
        </w:rPr>
        <w:t> </w:t>
      </w:r>
      <w:r>
        <w:rPr>
          <w:color w:val="231F20"/>
        </w:rPr>
        <w:t>hoy tienen más de 60 años de edad, son aquellas que modificaron la realidad de la sociedad mexicana al insertarse en el sector laboral asalariado, lo que llevaría a una modificación de diferentes aristas tales como la cali- dad de vida, los recursos económicos, las redes o lazos familiares y pa- rentales, así como al replanteamiento y construcción de nuevas políticas públicas en torno a éste grupo etario, aspectos que no sólo deberían de ser</w:t>
      </w:r>
      <w:r>
        <w:rPr>
          <w:color w:val="231F20"/>
          <w:spacing w:val="-10"/>
        </w:rPr>
        <w:t> </w:t>
      </w:r>
      <w:r>
        <w:rPr>
          <w:color w:val="231F20"/>
        </w:rPr>
        <w:t>objeto</w:t>
      </w:r>
      <w:r>
        <w:rPr>
          <w:color w:val="231F20"/>
          <w:spacing w:val="-10"/>
        </w:rPr>
        <w:t> </w:t>
      </w:r>
      <w:r>
        <w:rPr>
          <w:color w:val="231F20"/>
        </w:rPr>
        <w:t>de</w:t>
      </w:r>
      <w:r>
        <w:rPr>
          <w:color w:val="231F20"/>
          <w:spacing w:val="-10"/>
        </w:rPr>
        <w:t> </w:t>
      </w:r>
      <w:r>
        <w:rPr>
          <w:color w:val="231F20"/>
        </w:rPr>
        <w:t>investigación</w:t>
      </w:r>
      <w:r>
        <w:rPr>
          <w:color w:val="231F20"/>
          <w:spacing w:val="-10"/>
        </w:rPr>
        <w:t> </w:t>
      </w:r>
      <w:r>
        <w:rPr>
          <w:color w:val="231F20"/>
        </w:rPr>
        <w:t>académica</w:t>
      </w:r>
      <w:r>
        <w:rPr>
          <w:color w:val="231F20"/>
          <w:spacing w:val="-10"/>
        </w:rPr>
        <w:t> </w:t>
      </w:r>
      <w:r>
        <w:rPr>
          <w:color w:val="231F20"/>
        </w:rPr>
        <w:t>sino</w:t>
      </w:r>
      <w:r>
        <w:rPr>
          <w:color w:val="231F20"/>
          <w:spacing w:val="-9"/>
        </w:rPr>
        <w:t> </w:t>
      </w:r>
      <w:r>
        <w:rPr>
          <w:color w:val="231F20"/>
        </w:rPr>
        <w:t>que</w:t>
      </w:r>
      <w:r>
        <w:rPr>
          <w:color w:val="231F20"/>
          <w:spacing w:val="-10"/>
        </w:rPr>
        <w:t> </w:t>
      </w:r>
      <w:r>
        <w:rPr>
          <w:color w:val="231F20"/>
        </w:rPr>
        <w:t>debería</w:t>
      </w:r>
      <w:r>
        <w:rPr>
          <w:color w:val="231F20"/>
          <w:spacing w:val="-10"/>
        </w:rPr>
        <w:t> </w:t>
      </w:r>
      <w:r>
        <w:rPr>
          <w:color w:val="231F20"/>
        </w:rPr>
        <w:t>preocupar</w:t>
      </w:r>
      <w:r>
        <w:rPr>
          <w:color w:val="231F20"/>
          <w:spacing w:val="-10"/>
        </w:rPr>
        <w:t> </w:t>
      </w:r>
      <w:r>
        <w:rPr>
          <w:color w:val="231F20"/>
        </w:rPr>
        <w:t>a</w:t>
      </w:r>
      <w:r>
        <w:rPr>
          <w:color w:val="231F20"/>
          <w:spacing w:val="-10"/>
        </w:rPr>
        <w:t> </w:t>
      </w:r>
      <w:r>
        <w:rPr>
          <w:color w:val="231F20"/>
        </w:rPr>
        <w:t>todos como población en general, como una sociedad que</w:t>
      </w:r>
      <w:r>
        <w:rPr>
          <w:color w:val="231F20"/>
          <w:spacing w:val="-10"/>
        </w:rPr>
        <w:t> </w:t>
      </w:r>
      <w:r>
        <w:rPr>
          <w:color w:val="231F20"/>
        </w:rPr>
        <w:t>envejece.</w:t>
      </w:r>
    </w:p>
    <w:p>
      <w:pPr>
        <w:pStyle w:val="BodyText"/>
      </w:pPr>
    </w:p>
    <w:p>
      <w:pPr>
        <w:pStyle w:val="BodyText"/>
        <w:spacing w:before="10"/>
        <w:rPr>
          <w:sz w:val="22"/>
        </w:rPr>
      </w:pPr>
    </w:p>
    <w:p>
      <w:pPr>
        <w:spacing w:before="82"/>
        <w:ind w:left="113" w:right="792" w:firstLine="0"/>
        <w:jc w:val="left"/>
        <w:rPr>
          <w:sz w:val="14"/>
        </w:rPr>
      </w:pPr>
      <w:r>
        <w:rPr>
          <w:color w:val="231F20"/>
          <w:sz w:val="14"/>
        </w:rPr>
        <w:t>* Investigadoras de la Universidad Autónoma del Estado de México.</w:t>
      </w:r>
    </w:p>
    <w:p>
      <w:pPr>
        <w:spacing w:after="0"/>
        <w:jc w:val="left"/>
        <w:rPr>
          <w:sz w:val="14"/>
        </w:rPr>
        <w:sectPr>
          <w:footerReference w:type="default" r:id="rId270"/>
          <w:pgSz w:w="7770" w:h="11740"/>
          <w:pgMar w:footer="474" w:header="0" w:top="820" w:bottom="660" w:left="1020" w:right="740"/>
          <w:pgNumType w:start="249"/>
        </w:sectPr>
      </w:pPr>
    </w:p>
    <w:p>
      <w:pPr>
        <w:pStyle w:val="BodyText"/>
        <w:spacing w:line="249" w:lineRule="auto" w:before="55"/>
        <w:ind w:left="110" w:right="111" w:firstLine="283"/>
        <w:jc w:val="both"/>
      </w:pPr>
      <w:r>
        <w:rPr>
          <w:color w:val="231F20"/>
        </w:rPr>
        <w:t>Estos son efectos de lo que los demógrafos han concebido como Transición Demográfica,</w:t>
      </w:r>
      <w:r>
        <w:rPr>
          <w:color w:val="231F20"/>
          <w:position w:val="7"/>
          <w:sz w:val="11"/>
        </w:rPr>
        <w:t>1 </w:t>
      </w:r>
      <w:r>
        <w:rPr>
          <w:color w:val="231F20"/>
        </w:rPr>
        <w:t>ya que se considera al envejecimiento demo- gráfico como consecuencia de ésta. Podemos considerar que el aumento de la vida humana, en tiempo, ha generado la necesidad de elaborar in- vestigaciones en el campo de la vejez que ha llevado a muchos intentos por tratar de conceptualizarla de manera positiva y asignarle términos como tercera edad, adultos mayores, personas en plenitud, etc., sin em- bargo, y a pesar de las múltiples discusiones conceptuales que pueda derivar, lo innegable es que cualquier persona la concibe como la etapa última de la vida.</w:t>
      </w:r>
    </w:p>
    <w:p>
      <w:pPr>
        <w:pStyle w:val="BodyText"/>
        <w:spacing w:line="249" w:lineRule="auto" w:before="1"/>
        <w:ind w:left="110" w:right="110" w:firstLine="283"/>
        <w:jc w:val="both"/>
      </w:pPr>
      <w:r>
        <w:rPr>
          <w:color w:val="231F20"/>
        </w:rPr>
        <w:t>Para</w:t>
      </w:r>
      <w:r>
        <w:rPr>
          <w:color w:val="231F20"/>
          <w:spacing w:val="-6"/>
        </w:rPr>
        <w:t> </w:t>
      </w:r>
      <w:r>
        <w:rPr>
          <w:color w:val="231F20"/>
        </w:rPr>
        <w:t>este</w:t>
      </w:r>
      <w:r>
        <w:rPr>
          <w:color w:val="231F20"/>
          <w:spacing w:val="-6"/>
        </w:rPr>
        <w:t> </w:t>
      </w:r>
      <w:r>
        <w:rPr>
          <w:color w:val="231F20"/>
        </w:rPr>
        <w:t>trabajo</w:t>
      </w:r>
      <w:r>
        <w:rPr>
          <w:color w:val="231F20"/>
          <w:spacing w:val="-7"/>
        </w:rPr>
        <w:t> </w:t>
      </w:r>
      <w:r>
        <w:rPr>
          <w:color w:val="231F20"/>
        </w:rPr>
        <w:t>el</w:t>
      </w:r>
      <w:r>
        <w:rPr>
          <w:color w:val="231F20"/>
          <w:spacing w:val="-6"/>
        </w:rPr>
        <w:t> </w:t>
      </w:r>
      <w:r>
        <w:rPr>
          <w:color w:val="231F20"/>
        </w:rPr>
        <w:t>interés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vejez</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enfoca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grupo</w:t>
      </w:r>
      <w:r>
        <w:rPr>
          <w:color w:val="231F20"/>
          <w:spacing w:val="-6"/>
        </w:rPr>
        <w:t> </w:t>
      </w:r>
      <w:r>
        <w:rPr>
          <w:color w:val="231F20"/>
        </w:rPr>
        <w:t>pobla- cional</w:t>
      </w:r>
      <w:r>
        <w:rPr>
          <w:color w:val="231F20"/>
          <w:spacing w:val="-11"/>
        </w:rPr>
        <w:t> </w:t>
      </w:r>
      <w:r>
        <w:rPr>
          <w:color w:val="231F20"/>
        </w:rPr>
        <w:t>en</w:t>
      </w:r>
      <w:r>
        <w:rPr>
          <w:color w:val="231F20"/>
          <w:spacing w:val="-11"/>
        </w:rPr>
        <w:t> </w:t>
      </w:r>
      <w:r>
        <w:rPr>
          <w:color w:val="231F20"/>
        </w:rPr>
        <w:t>general</w:t>
      </w:r>
      <w:r>
        <w:rPr>
          <w:color w:val="231F20"/>
          <w:spacing w:val="-11"/>
        </w:rPr>
        <w:t> </w:t>
      </w:r>
      <w:r>
        <w:rPr>
          <w:color w:val="231F20"/>
        </w:rPr>
        <w:t>de</w:t>
      </w:r>
      <w:r>
        <w:rPr>
          <w:color w:val="231F20"/>
          <w:spacing w:val="-11"/>
        </w:rPr>
        <w:t> </w:t>
      </w:r>
      <w:r>
        <w:rPr>
          <w:color w:val="231F20"/>
        </w:rPr>
        <w:t>más</w:t>
      </w:r>
      <w:r>
        <w:rPr>
          <w:color w:val="231F20"/>
          <w:spacing w:val="-11"/>
        </w:rPr>
        <w:t> </w:t>
      </w:r>
      <w:r>
        <w:rPr>
          <w:color w:val="231F20"/>
        </w:rPr>
        <w:t>de</w:t>
      </w:r>
      <w:r>
        <w:rPr>
          <w:color w:val="231F20"/>
          <w:spacing w:val="-11"/>
        </w:rPr>
        <w:t> </w:t>
      </w:r>
      <w:r>
        <w:rPr>
          <w:color w:val="231F20"/>
        </w:rPr>
        <w:t>60</w:t>
      </w:r>
      <w:r>
        <w:rPr>
          <w:color w:val="231F20"/>
          <w:spacing w:val="-11"/>
        </w:rPr>
        <w:t> </w:t>
      </w:r>
      <w:r>
        <w:rPr>
          <w:color w:val="231F20"/>
        </w:rPr>
        <w:t>años,</w:t>
      </w:r>
      <w:r>
        <w:rPr>
          <w:color w:val="231F20"/>
          <w:spacing w:val="-11"/>
        </w:rPr>
        <w:t> </w:t>
      </w:r>
      <w:r>
        <w:rPr>
          <w:color w:val="231F20"/>
        </w:rPr>
        <w:t>sino</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que</w:t>
      </w:r>
      <w:r>
        <w:rPr>
          <w:color w:val="231F20"/>
          <w:spacing w:val="-11"/>
        </w:rPr>
        <w:t> </w:t>
      </w:r>
      <w:r>
        <w:rPr>
          <w:color w:val="231F20"/>
        </w:rPr>
        <w:t>son</w:t>
      </w:r>
      <w:r>
        <w:rPr>
          <w:color w:val="231F20"/>
          <w:spacing w:val="-11"/>
        </w:rPr>
        <w:t> </w:t>
      </w:r>
      <w:r>
        <w:rPr>
          <w:color w:val="231F20"/>
        </w:rPr>
        <w:t>ancianas y la trascendencia de las trayectorias vitales de las mujeres que hoy se encuentran envejecidas, considerando que el envejecimiento es la etapa resultante de todo el proceso vital, y en particular de las mujeres que conservaron una vida laboral activa remunerada a lo largo de su historia de vida.</w:t>
      </w:r>
    </w:p>
    <w:p>
      <w:pPr>
        <w:pStyle w:val="BodyText"/>
        <w:spacing w:line="249" w:lineRule="auto" w:before="1"/>
        <w:ind w:left="110" w:right="111" w:firstLine="283"/>
        <w:jc w:val="right"/>
      </w:pPr>
      <w:r>
        <w:rPr>
          <w:color w:val="231F20"/>
        </w:rPr>
        <w:t>De</w:t>
      </w:r>
      <w:r>
        <w:rPr>
          <w:color w:val="231F20"/>
          <w:spacing w:val="18"/>
        </w:rPr>
        <w:t> </w:t>
      </w:r>
      <w:r>
        <w:rPr>
          <w:color w:val="231F20"/>
        </w:rPr>
        <w:t>esta</w:t>
      </w:r>
      <w:r>
        <w:rPr>
          <w:color w:val="231F20"/>
          <w:spacing w:val="18"/>
        </w:rPr>
        <w:t> </w:t>
      </w:r>
      <w:r>
        <w:rPr>
          <w:color w:val="231F20"/>
        </w:rPr>
        <w:t>manera</w:t>
      </w:r>
      <w:r>
        <w:rPr>
          <w:color w:val="231F20"/>
          <w:spacing w:val="18"/>
        </w:rPr>
        <w:t> </w:t>
      </w:r>
      <w:r>
        <w:rPr>
          <w:color w:val="231F20"/>
        </w:rPr>
        <w:t>las</w:t>
      </w:r>
      <w:r>
        <w:rPr>
          <w:color w:val="231F20"/>
          <w:spacing w:val="18"/>
        </w:rPr>
        <w:t> </w:t>
      </w:r>
      <w:r>
        <w:rPr>
          <w:color w:val="231F20"/>
        </w:rPr>
        <w:t>variables</w:t>
      </w:r>
      <w:r>
        <w:rPr>
          <w:color w:val="231F20"/>
          <w:spacing w:val="18"/>
        </w:rPr>
        <w:t> </w:t>
      </w:r>
      <w:r>
        <w:rPr>
          <w:color w:val="231F20"/>
        </w:rPr>
        <w:t>a</w:t>
      </w:r>
      <w:r>
        <w:rPr>
          <w:color w:val="231F20"/>
          <w:spacing w:val="18"/>
        </w:rPr>
        <w:t> </w:t>
      </w:r>
      <w:r>
        <w:rPr>
          <w:color w:val="231F20"/>
        </w:rPr>
        <w:t>considerar</w:t>
      </w:r>
      <w:r>
        <w:rPr>
          <w:color w:val="231F20"/>
          <w:spacing w:val="18"/>
        </w:rPr>
        <w:t> </w:t>
      </w:r>
      <w:r>
        <w:rPr>
          <w:color w:val="231F20"/>
        </w:rPr>
        <w:t>son,</w:t>
      </w:r>
      <w:r>
        <w:rPr>
          <w:color w:val="231F20"/>
          <w:spacing w:val="18"/>
        </w:rPr>
        <w:t> </w:t>
      </w:r>
      <w:r>
        <w:rPr>
          <w:color w:val="231F20"/>
        </w:rPr>
        <w:t>además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vejez, el género, las trayectorias laborales, el retiro y las</w:t>
      </w:r>
      <w:r>
        <w:rPr>
          <w:color w:val="231F20"/>
          <w:spacing w:val="45"/>
        </w:rPr>
        <w:t> </w:t>
      </w:r>
      <w:r>
        <w:rPr>
          <w:color w:val="231F20"/>
        </w:rPr>
        <w:t>relaciones</w:t>
      </w:r>
      <w:r>
        <w:rPr>
          <w:color w:val="231F20"/>
          <w:spacing w:val="5"/>
        </w:rPr>
        <w:t> </w:t>
      </w:r>
      <w:r>
        <w:rPr>
          <w:color w:val="231F20"/>
        </w:rPr>
        <w:t>familiares, teniendo en cuenta que la relación entre estas variables ha sido</w:t>
      </w:r>
      <w:r>
        <w:rPr>
          <w:color w:val="231F20"/>
          <w:spacing w:val="18"/>
        </w:rPr>
        <w:t> </w:t>
      </w:r>
      <w:r>
        <w:rPr>
          <w:color w:val="231F20"/>
        </w:rPr>
        <w:t>poco</w:t>
      </w:r>
      <w:r>
        <w:rPr>
          <w:color w:val="231F20"/>
          <w:spacing w:val="1"/>
        </w:rPr>
        <w:t> </w:t>
      </w:r>
      <w:r>
        <w:rPr>
          <w:color w:val="231F20"/>
        </w:rPr>
        <w:t>de- sarrollada dentro de la investigación en envejecimiento, pues si</w:t>
      </w:r>
      <w:r>
        <w:rPr>
          <w:color w:val="231F20"/>
          <w:spacing w:val="36"/>
        </w:rPr>
        <w:t> </w:t>
      </w:r>
      <w:r>
        <w:rPr>
          <w:color w:val="231F20"/>
        </w:rPr>
        <w:t>bien</w:t>
      </w:r>
      <w:r>
        <w:rPr>
          <w:color w:val="231F20"/>
          <w:spacing w:val="9"/>
        </w:rPr>
        <w:t> </w:t>
      </w:r>
      <w:r>
        <w:rPr>
          <w:color w:val="231F20"/>
        </w:rPr>
        <w:t>se</w:t>
      </w:r>
      <w:r>
        <w:rPr>
          <w:color w:val="231F20"/>
          <w:spacing w:val="-1"/>
        </w:rPr>
        <w:t> </w:t>
      </w:r>
      <w:r>
        <w:rPr>
          <w:color w:val="231F20"/>
        </w:rPr>
        <w:t>observan</w:t>
      </w:r>
      <w:r>
        <w:rPr>
          <w:color w:val="231F20"/>
          <w:spacing w:val="-5"/>
        </w:rPr>
        <w:t> </w:t>
      </w:r>
      <w:r>
        <w:rPr>
          <w:color w:val="231F20"/>
        </w:rPr>
        <w:t>las</w:t>
      </w:r>
      <w:r>
        <w:rPr>
          <w:color w:val="231F20"/>
          <w:spacing w:val="-5"/>
        </w:rPr>
        <w:t> </w:t>
      </w:r>
      <w:r>
        <w:rPr>
          <w:color w:val="231F20"/>
        </w:rPr>
        <w:t>relaciones</w:t>
      </w:r>
      <w:r>
        <w:rPr>
          <w:color w:val="231F20"/>
          <w:spacing w:val="-5"/>
        </w:rPr>
        <w:t> </w:t>
      </w:r>
      <w:r>
        <w:rPr>
          <w:color w:val="231F20"/>
        </w:rPr>
        <w:t>familiares,</w:t>
      </w:r>
      <w:r>
        <w:rPr>
          <w:color w:val="231F20"/>
          <w:spacing w:val="-5"/>
        </w:rPr>
        <w:t> </w:t>
      </w:r>
      <w:r>
        <w:rPr>
          <w:color w:val="231F20"/>
        </w:rPr>
        <w:t>o</w:t>
      </w:r>
      <w:r>
        <w:rPr>
          <w:color w:val="231F20"/>
          <w:spacing w:val="-5"/>
        </w:rPr>
        <w:t> </w:t>
      </w:r>
      <w:r>
        <w:rPr>
          <w:color w:val="231F20"/>
        </w:rPr>
        <w:t>el</w:t>
      </w:r>
      <w:r>
        <w:rPr>
          <w:color w:val="231F20"/>
          <w:spacing w:val="-5"/>
        </w:rPr>
        <w:t> </w:t>
      </w:r>
      <w:r>
        <w:rPr>
          <w:color w:val="231F20"/>
        </w:rPr>
        <w:t>trabajo,</w:t>
      </w:r>
      <w:r>
        <w:rPr>
          <w:color w:val="231F20"/>
          <w:spacing w:val="-5"/>
        </w:rPr>
        <w:t> </w:t>
      </w:r>
      <w:r>
        <w:rPr>
          <w:color w:val="231F20"/>
        </w:rPr>
        <w:t>o</w:t>
      </w:r>
      <w:r>
        <w:rPr>
          <w:color w:val="231F20"/>
          <w:spacing w:val="-5"/>
        </w:rPr>
        <w:t> </w:t>
      </w:r>
      <w:r>
        <w:rPr>
          <w:color w:val="231F20"/>
        </w:rPr>
        <w:t>el</w:t>
      </w:r>
      <w:r>
        <w:rPr>
          <w:color w:val="231F20"/>
          <w:spacing w:val="-5"/>
        </w:rPr>
        <w:t> </w:t>
      </w:r>
      <w:r>
        <w:rPr>
          <w:color w:val="231F20"/>
        </w:rPr>
        <w:t>retiro,</w:t>
      </w:r>
      <w:r>
        <w:rPr>
          <w:color w:val="231F20"/>
          <w:spacing w:val="-5"/>
        </w:rPr>
        <w:t> </w:t>
      </w:r>
      <w:r>
        <w:rPr>
          <w:color w:val="231F20"/>
        </w:rPr>
        <w:t>no</w:t>
      </w:r>
      <w:r>
        <w:rPr>
          <w:color w:val="231F20"/>
          <w:spacing w:val="-5"/>
        </w:rPr>
        <w:t> </w:t>
      </w:r>
      <w:r>
        <w:rPr>
          <w:color w:val="231F20"/>
        </w:rPr>
        <w:t>implica</w:t>
      </w:r>
      <w:r>
        <w:rPr>
          <w:color w:val="231F20"/>
          <w:spacing w:val="-5"/>
        </w:rPr>
        <w:t> </w:t>
      </w:r>
      <w:r>
        <w:rPr>
          <w:color w:val="231F20"/>
        </w:rPr>
        <w:t>en- contrar la conexión entre todas como proceso en la vejez de</w:t>
      </w:r>
      <w:r>
        <w:rPr>
          <w:color w:val="231F20"/>
          <w:spacing w:val="-6"/>
        </w:rPr>
        <w:t> </w:t>
      </w:r>
      <w:r>
        <w:rPr>
          <w:color w:val="231F20"/>
        </w:rPr>
        <w:t>las</w:t>
      </w:r>
      <w:r>
        <w:rPr>
          <w:color w:val="231F20"/>
          <w:spacing w:val="-1"/>
        </w:rPr>
        <w:t> </w:t>
      </w:r>
      <w:r>
        <w:rPr>
          <w:color w:val="231F20"/>
        </w:rPr>
        <w:t>mujeres. Para</w:t>
      </w:r>
      <w:r>
        <w:rPr>
          <w:color w:val="231F20"/>
          <w:spacing w:val="-6"/>
        </w:rPr>
        <w:t> </w:t>
      </w:r>
      <w:r>
        <w:rPr>
          <w:color w:val="231F20"/>
        </w:rPr>
        <w:t>esta</w:t>
      </w:r>
      <w:r>
        <w:rPr>
          <w:color w:val="231F20"/>
          <w:spacing w:val="-6"/>
        </w:rPr>
        <w:t> </w:t>
      </w:r>
      <w:r>
        <w:rPr>
          <w:color w:val="231F20"/>
        </w:rPr>
        <w:t>investigación</w:t>
      </w:r>
      <w:r>
        <w:rPr>
          <w:color w:val="231F20"/>
          <w:spacing w:val="-6"/>
        </w:rPr>
        <w:t> </w:t>
      </w:r>
      <w:r>
        <w:rPr>
          <w:color w:val="231F20"/>
        </w:rPr>
        <w:t>se</w:t>
      </w:r>
      <w:r>
        <w:rPr>
          <w:color w:val="231F20"/>
          <w:spacing w:val="-6"/>
        </w:rPr>
        <w:t> </w:t>
      </w:r>
      <w:r>
        <w:rPr>
          <w:color w:val="231F20"/>
        </w:rPr>
        <w:t>concibe</w:t>
      </w:r>
      <w:r>
        <w:rPr>
          <w:color w:val="231F20"/>
          <w:spacing w:val="-6"/>
        </w:rPr>
        <w:t> </w:t>
      </w:r>
      <w:r>
        <w:rPr>
          <w:color w:val="231F20"/>
        </w:rPr>
        <w:t>al</w:t>
      </w:r>
      <w:r>
        <w:rPr>
          <w:color w:val="231F20"/>
          <w:spacing w:val="-6"/>
        </w:rPr>
        <w:t> </w:t>
      </w:r>
      <w:r>
        <w:rPr>
          <w:color w:val="231F20"/>
        </w:rPr>
        <w:t>trabajo</w:t>
      </w:r>
      <w:r>
        <w:rPr>
          <w:color w:val="231F20"/>
          <w:spacing w:val="-6"/>
        </w:rPr>
        <w:t> </w:t>
      </w:r>
      <w:r>
        <w:rPr>
          <w:color w:val="231F20"/>
        </w:rPr>
        <w:t>no</w:t>
      </w:r>
      <w:r>
        <w:rPr>
          <w:color w:val="231F20"/>
          <w:spacing w:val="-6"/>
        </w:rPr>
        <w:t> </w:t>
      </w:r>
      <w:r>
        <w:rPr>
          <w:color w:val="231F20"/>
        </w:rPr>
        <w:t>sólo</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activi- dad necesaria para la supervivencia personal (en la mayoría de</w:t>
      </w:r>
      <w:r>
        <w:rPr>
          <w:color w:val="231F20"/>
          <w:spacing w:val="-2"/>
        </w:rPr>
        <w:t> </w:t>
      </w:r>
      <w:r>
        <w:rPr>
          <w:color w:val="231F20"/>
        </w:rPr>
        <w:t>los</w:t>
      </w:r>
      <w:r>
        <w:rPr>
          <w:color w:val="231F20"/>
          <w:spacing w:val="-1"/>
        </w:rPr>
        <w:t> </w:t>
      </w:r>
      <w:r>
        <w:rPr>
          <w:color w:val="231F20"/>
        </w:rPr>
        <w:t>casos el trabajo tiene esa función) sino como una opción</w:t>
      </w:r>
      <w:r>
        <w:rPr>
          <w:color w:val="231F20"/>
          <w:spacing w:val="39"/>
        </w:rPr>
        <w:t> </w:t>
      </w:r>
      <w:r>
        <w:rPr>
          <w:color w:val="231F20"/>
        </w:rPr>
        <w:t>elegida</w:t>
      </w:r>
      <w:r>
        <w:rPr>
          <w:color w:val="231F20"/>
          <w:spacing w:val="14"/>
        </w:rPr>
        <w:t> </w:t>
      </w:r>
      <w:r>
        <w:rPr>
          <w:color w:val="231F20"/>
        </w:rPr>
        <w:t>consciente- mente ―incluso cuando las consecuencias de mantenerlo</w:t>
      </w:r>
      <w:r>
        <w:rPr>
          <w:color w:val="231F20"/>
          <w:spacing w:val="49"/>
        </w:rPr>
        <w:t> </w:t>
      </w:r>
      <w:r>
        <w:rPr>
          <w:color w:val="231F20"/>
        </w:rPr>
        <w:t>afectaban</w:t>
      </w:r>
      <w:r>
        <w:rPr>
          <w:color w:val="231F20"/>
          <w:spacing w:val="7"/>
        </w:rPr>
        <w:t> </w:t>
      </w:r>
      <w:r>
        <w:rPr>
          <w:color w:val="231F20"/>
        </w:rPr>
        <w:t>sus</w:t>
      </w:r>
      <w:r>
        <w:rPr>
          <w:color w:val="231F20"/>
          <w:w w:val="99"/>
        </w:rPr>
        <w:t> </w:t>
      </w:r>
      <w:r>
        <w:rPr>
          <w:color w:val="231F20"/>
        </w:rPr>
        <w:t>relaciones familiares y afectivas más cercanas― para</w:t>
      </w:r>
      <w:r>
        <w:rPr>
          <w:color w:val="231F20"/>
          <w:spacing w:val="45"/>
        </w:rPr>
        <w:t> </w:t>
      </w:r>
      <w:r>
        <w:rPr>
          <w:color w:val="231F20"/>
        </w:rPr>
        <w:t>lograr</w:t>
      </w:r>
      <w:r>
        <w:rPr>
          <w:color w:val="231F20"/>
          <w:spacing w:val="27"/>
        </w:rPr>
        <w:t> </w:t>
      </w:r>
      <w:r>
        <w:rPr>
          <w:color w:val="231F20"/>
        </w:rPr>
        <w:t>indepen- dencia y seguridad personal. En este sentido, pues, el trabajo no</w:t>
      </w:r>
      <w:r>
        <w:rPr>
          <w:color w:val="231F20"/>
          <w:spacing w:val="47"/>
        </w:rPr>
        <w:t> </w:t>
      </w:r>
      <w:r>
        <w:rPr>
          <w:color w:val="231F20"/>
        </w:rPr>
        <w:t>sólo</w:t>
      </w:r>
      <w:r>
        <w:rPr>
          <w:color w:val="231F20"/>
          <w:spacing w:val="4"/>
        </w:rPr>
        <w:t> </w:t>
      </w:r>
      <w:r>
        <w:rPr>
          <w:color w:val="231F20"/>
        </w:rPr>
        <w:t>se</w:t>
      </w:r>
      <w:r>
        <w:rPr>
          <w:color w:val="231F20"/>
          <w:spacing w:val="-1"/>
        </w:rPr>
        <w:t> </w:t>
      </w:r>
      <w:r>
        <w:rPr>
          <w:color w:val="231F20"/>
        </w:rPr>
        <w:t>considerará como un instrumento para obtener ingresos, sino como   </w:t>
      </w:r>
      <w:r>
        <w:rPr>
          <w:color w:val="231F20"/>
          <w:spacing w:val="14"/>
        </w:rPr>
        <w:t> </w:t>
      </w:r>
      <w:r>
        <w:rPr>
          <w:color w:val="231F20"/>
        </w:rPr>
        <w:t>un</w:t>
      </w:r>
    </w:p>
    <w:p>
      <w:pPr>
        <w:pStyle w:val="BodyText"/>
        <w:spacing w:before="1"/>
        <w:ind w:left="110"/>
        <w:jc w:val="both"/>
      </w:pPr>
      <w:r>
        <w:rPr>
          <w:color w:val="231F20"/>
        </w:rPr>
        <w:t>elemento básico en el desarrollo personal de las mujeres envejecidas.</w:t>
      </w:r>
    </w:p>
    <w:p>
      <w:pPr>
        <w:pStyle w:val="BodyText"/>
        <w:spacing w:line="249" w:lineRule="auto" w:before="10"/>
        <w:ind w:left="110" w:right="111" w:firstLine="283"/>
        <w:jc w:val="both"/>
      </w:pPr>
      <w:r>
        <w:rPr>
          <w:color w:val="231F20"/>
        </w:rPr>
        <w:t>Metodológicamente el trabajo, estuvo guiado por la investigación de tipo cualitativa, por lo que se basa completamente en la información ob- tenida en el trabajo de campo, información empírica que proporcionará los elementos necesarios para realizar el análisis pertinente para respon- der a las preguntas de la investigación; análisis basado en una    revisión</w:t>
      </w:r>
    </w:p>
    <w:p>
      <w:pPr>
        <w:pStyle w:val="BodyText"/>
        <w:spacing w:before="5"/>
        <w:rPr>
          <w:sz w:val="24"/>
        </w:rPr>
      </w:pPr>
    </w:p>
    <w:p>
      <w:pPr>
        <w:spacing w:before="0"/>
        <w:ind w:left="110" w:right="111" w:firstLine="0"/>
        <w:jc w:val="both"/>
        <w:rPr>
          <w:sz w:val="14"/>
        </w:rPr>
      </w:pPr>
      <w:r>
        <w:rPr>
          <w:color w:val="231F20"/>
          <w:position w:val="5"/>
          <w:sz w:val="8"/>
        </w:rPr>
        <w:t>1 </w:t>
      </w:r>
      <w:r>
        <w:rPr>
          <w:color w:val="231F20"/>
          <w:sz w:val="14"/>
        </w:rPr>
        <w:t>Montes de Oca (1997: 1) explica brevemente la teoría de la transición en tres etapas: 1ª) La población experimenta una alta natalidad y mortalidad; 2ª) Las tasas de mortalidad comienzan a descender antes que la tasa de fecundidad lo que genera un considerable aumento de la población, sin embargo después desciende la fecundidad hasta alcanzar el nivel de la mortalidad; 3ª) Se caracteriza por mantener un descenso de la mortalidad y fecundidad.</w:t>
      </w:r>
    </w:p>
    <w:p>
      <w:pPr>
        <w:spacing w:after="0"/>
        <w:jc w:val="both"/>
        <w:rPr>
          <w:sz w:val="14"/>
        </w:rPr>
        <w:sectPr>
          <w:pgSz w:w="7770" w:h="11740"/>
          <w:pgMar w:header="0" w:footer="474" w:top="840" w:bottom="740" w:left="740" w:right="1020"/>
        </w:sectPr>
      </w:pPr>
    </w:p>
    <w:p>
      <w:pPr>
        <w:pStyle w:val="BodyText"/>
        <w:spacing w:line="249" w:lineRule="auto" w:before="60"/>
        <w:ind w:left="113" w:right="108"/>
        <w:jc w:val="both"/>
      </w:pPr>
      <w:r>
        <w:rPr>
          <w:color w:val="231F20"/>
        </w:rPr>
        <w:t>bibliográfica sobre los cuatro ejes teóricos de la investigación: familia, género, trabajo y vejez.</w:t>
      </w:r>
    </w:p>
    <w:p>
      <w:pPr>
        <w:pStyle w:val="BodyText"/>
        <w:spacing w:line="249" w:lineRule="auto" w:before="1"/>
        <w:ind w:left="113" w:right="108" w:firstLine="283"/>
        <w:jc w:val="both"/>
      </w:pPr>
      <w:r>
        <w:rPr>
          <w:color w:val="231F20"/>
        </w:rPr>
        <w:t>La obtención de narrativas autobiográficas es fundamental para esta investigación,</w:t>
      </w:r>
      <w:r>
        <w:rPr>
          <w:color w:val="231F20"/>
          <w:spacing w:val="-10"/>
        </w:rPr>
        <w:t> </w:t>
      </w:r>
      <w:r>
        <w:rPr>
          <w:color w:val="231F20"/>
        </w:rPr>
        <w:t>ya</w:t>
      </w:r>
      <w:r>
        <w:rPr>
          <w:color w:val="231F20"/>
          <w:spacing w:val="-9"/>
        </w:rPr>
        <w:t> </w:t>
      </w:r>
      <w:r>
        <w:rPr>
          <w:color w:val="231F20"/>
        </w:rPr>
        <w:t>que</w:t>
      </w:r>
      <w:r>
        <w:rPr>
          <w:color w:val="231F20"/>
          <w:spacing w:val="-9"/>
        </w:rPr>
        <w:t> </w:t>
      </w:r>
      <w:r>
        <w:rPr>
          <w:color w:val="231F20"/>
        </w:rPr>
        <w:t>recuperan</w:t>
      </w:r>
      <w:r>
        <w:rPr>
          <w:color w:val="231F20"/>
          <w:spacing w:val="-9"/>
        </w:rPr>
        <w:t> </w:t>
      </w:r>
      <w:r>
        <w:rPr>
          <w:color w:val="231F20"/>
        </w:rPr>
        <w:t>elementos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historia</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voz del</w:t>
      </w:r>
      <w:r>
        <w:rPr>
          <w:color w:val="231F20"/>
          <w:spacing w:val="-5"/>
        </w:rPr>
        <w:t> </w:t>
      </w:r>
      <w:r>
        <w:rPr>
          <w:color w:val="231F20"/>
        </w:rPr>
        <w:t>informante,</w:t>
      </w:r>
      <w:r>
        <w:rPr>
          <w:color w:val="231F20"/>
          <w:spacing w:val="-6"/>
        </w:rPr>
        <w:t> </w:t>
      </w:r>
      <w:r>
        <w:rPr>
          <w:color w:val="231F20"/>
        </w:rPr>
        <w:t>su</w:t>
      </w:r>
      <w:r>
        <w:rPr>
          <w:color w:val="231F20"/>
          <w:spacing w:val="-5"/>
        </w:rPr>
        <w:t> </w:t>
      </w:r>
      <w:r>
        <w:rPr>
          <w:color w:val="231F20"/>
        </w:rPr>
        <w:t>subjetividad</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valoraciones</w:t>
      </w:r>
      <w:r>
        <w:rPr>
          <w:color w:val="231F20"/>
          <w:spacing w:val="-6"/>
        </w:rPr>
        <w:t> </w:t>
      </w:r>
      <w:r>
        <w:rPr>
          <w:color w:val="231F20"/>
        </w:rPr>
        <w:t>con</w:t>
      </w:r>
      <w:r>
        <w:rPr>
          <w:color w:val="231F20"/>
          <w:spacing w:val="-6"/>
        </w:rPr>
        <w:t> </w:t>
      </w:r>
      <w:r>
        <w:rPr>
          <w:color w:val="231F20"/>
        </w:rPr>
        <w:t>temas</w:t>
      </w:r>
      <w:r>
        <w:rPr>
          <w:color w:val="231F20"/>
          <w:spacing w:val="-6"/>
        </w:rPr>
        <w:t> </w:t>
      </w:r>
      <w:r>
        <w:rPr>
          <w:color w:val="231F20"/>
        </w:rPr>
        <w:t>indispensa- bles en las entrevistas y objetivos muy</w:t>
      </w:r>
      <w:r>
        <w:rPr>
          <w:color w:val="231F20"/>
          <w:spacing w:val="-4"/>
        </w:rPr>
        <w:t> </w:t>
      </w:r>
      <w:r>
        <w:rPr>
          <w:color w:val="231F20"/>
        </w:rPr>
        <w:t>marcados.</w:t>
      </w:r>
    </w:p>
    <w:p>
      <w:pPr>
        <w:pStyle w:val="BodyText"/>
        <w:spacing w:line="249" w:lineRule="auto" w:before="1"/>
        <w:ind w:left="113" w:right="107" w:firstLine="283"/>
        <w:jc w:val="both"/>
      </w:pPr>
      <w:r>
        <w:rPr>
          <w:color w:val="231F20"/>
        </w:rPr>
        <w:t>Así,</w:t>
      </w:r>
      <w:r>
        <w:rPr>
          <w:color w:val="231F20"/>
          <w:spacing w:val="-12"/>
        </w:rPr>
        <w:t> </w:t>
      </w:r>
      <w:r>
        <w:rPr>
          <w:color w:val="231F20"/>
        </w:rPr>
        <w:t>las</w:t>
      </w:r>
      <w:r>
        <w:rPr>
          <w:color w:val="231F20"/>
          <w:spacing w:val="-12"/>
        </w:rPr>
        <w:t> </w:t>
      </w:r>
      <w:r>
        <w:rPr>
          <w:color w:val="231F20"/>
        </w:rPr>
        <w:t>técnicas</w:t>
      </w:r>
      <w:r>
        <w:rPr>
          <w:color w:val="231F20"/>
          <w:spacing w:val="-12"/>
        </w:rPr>
        <w:t> </w:t>
      </w:r>
      <w:r>
        <w:rPr>
          <w:color w:val="231F20"/>
        </w:rPr>
        <w:t>a</w:t>
      </w:r>
      <w:r>
        <w:rPr>
          <w:color w:val="231F20"/>
          <w:spacing w:val="-12"/>
        </w:rPr>
        <w:t> </w:t>
      </w:r>
      <w:r>
        <w:rPr>
          <w:color w:val="231F20"/>
        </w:rPr>
        <w:t>utilizar</w:t>
      </w:r>
      <w:r>
        <w:rPr>
          <w:color w:val="231F20"/>
          <w:spacing w:val="-12"/>
        </w:rPr>
        <w:t> </w:t>
      </w:r>
      <w:r>
        <w:rPr>
          <w:color w:val="231F20"/>
        </w:rPr>
        <w:t>fueron</w:t>
      </w:r>
      <w:r>
        <w:rPr>
          <w:color w:val="231F20"/>
          <w:spacing w:val="-12"/>
        </w:rPr>
        <w:t> </w:t>
      </w:r>
      <w:r>
        <w:rPr>
          <w:color w:val="231F20"/>
        </w:rPr>
        <w:t>las</w:t>
      </w:r>
      <w:r>
        <w:rPr>
          <w:color w:val="231F20"/>
          <w:spacing w:val="-12"/>
        </w:rPr>
        <w:t> </w:t>
      </w:r>
      <w:r>
        <w:rPr>
          <w:color w:val="231F20"/>
        </w:rPr>
        <w:t>privilegiadas</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investigación social, las entrevistas de tipo estructuradas, semi-estructuradas, abiertas y la observación.</w:t>
      </w:r>
    </w:p>
    <w:p>
      <w:pPr>
        <w:pStyle w:val="BodyText"/>
        <w:spacing w:line="249" w:lineRule="auto" w:before="1"/>
        <w:ind w:left="113" w:right="107" w:firstLine="283"/>
        <w:jc w:val="both"/>
      </w:pPr>
      <w:r>
        <w:rPr>
          <w:color w:val="231F20"/>
        </w:rPr>
        <w:t>El trabajo se realizó en la Ciudad de México por tres razones prin- cipales: i) en primer lugar se debe decir que es la ciudad más grande e importante de la república mexicana, así como la principal área urbana (Olveira, 2001: 136), su desarrollo económico ha sido de gran trascen- dencia,</w:t>
      </w:r>
      <w:r>
        <w:rPr>
          <w:color w:val="231F20"/>
          <w:spacing w:val="-6"/>
        </w:rPr>
        <w:t> </w:t>
      </w:r>
      <w:r>
        <w:rPr>
          <w:color w:val="231F20"/>
        </w:rPr>
        <w:t>debido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centralización</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sectores</w:t>
      </w:r>
      <w:r>
        <w:rPr>
          <w:color w:val="231F20"/>
          <w:spacing w:val="-6"/>
        </w:rPr>
        <w:t> </w:t>
      </w:r>
      <w:r>
        <w:rPr>
          <w:color w:val="231F20"/>
        </w:rPr>
        <w:t>políticos</w:t>
      </w:r>
      <w:r>
        <w:rPr>
          <w:color w:val="231F20"/>
          <w:spacing w:val="-6"/>
        </w:rPr>
        <w:t> </w:t>
      </w:r>
      <w:r>
        <w:rPr>
          <w:color w:val="231F20"/>
        </w:rPr>
        <w:t>y</w:t>
      </w:r>
      <w:r>
        <w:rPr>
          <w:color w:val="231F20"/>
          <w:spacing w:val="-6"/>
        </w:rPr>
        <w:t> </w:t>
      </w:r>
      <w:r>
        <w:rPr>
          <w:color w:val="231F20"/>
        </w:rPr>
        <w:t>económicos, 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fue</w:t>
      </w:r>
      <w:r>
        <w:rPr>
          <w:color w:val="231F20"/>
          <w:spacing w:val="-6"/>
        </w:rPr>
        <w:t> </w:t>
      </w:r>
      <w:r>
        <w:rPr>
          <w:color w:val="231F20"/>
        </w:rPr>
        <w:t>esta</w:t>
      </w:r>
      <w:r>
        <w:rPr>
          <w:color w:val="231F20"/>
          <w:spacing w:val="-6"/>
        </w:rPr>
        <w:t> </w:t>
      </w:r>
      <w:r>
        <w:rPr>
          <w:color w:val="231F20"/>
        </w:rPr>
        <w:t>la</w:t>
      </w:r>
      <w:r>
        <w:rPr>
          <w:color w:val="231F20"/>
          <w:spacing w:val="-6"/>
        </w:rPr>
        <w:t> </w:t>
      </w:r>
      <w:r>
        <w:rPr>
          <w:color w:val="231F20"/>
        </w:rPr>
        <w:t>primera</w:t>
      </w:r>
      <w:r>
        <w:rPr>
          <w:color w:val="231F20"/>
          <w:spacing w:val="-6"/>
        </w:rPr>
        <w:t> </w:t>
      </w:r>
      <w:r>
        <w:rPr>
          <w:color w:val="231F20"/>
        </w:rPr>
        <w:t>ciudad</w:t>
      </w:r>
      <w:r>
        <w:rPr>
          <w:color w:val="231F20"/>
          <w:spacing w:val="-6"/>
        </w:rPr>
        <w:t> </w:t>
      </w:r>
      <w:r>
        <w:rPr>
          <w:color w:val="231F20"/>
        </w:rPr>
        <w:t>que</w:t>
      </w:r>
      <w:r>
        <w:rPr>
          <w:color w:val="231F20"/>
          <w:spacing w:val="-6"/>
        </w:rPr>
        <w:t> </w:t>
      </w:r>
      <w:r>
        <w:rPr>
          <w:color w:val="231F20"/>
        </w:rPr>
        <w:t>incorporara</w:t>
      </w:r>
      <w:r>
        <w:rPr>
          <w:color w:val="231F20"/>
          <w:spacing w:val="-6"/>
        </w:rPr>
        <w:t> </w:t>
      </w:r>
      <w:r>
        <w:rPr>
          <w:color w:val="231F20"/>
        </w:rPr>
        <w:t>la</w:t>
      </w:r>
      <w:r>
        <w:rPr>
          <w:color w:val="231F20"/>
          <w:spacing w:val="-6"/>
        </w:rPr>
        <w:t> </w:t>
      </w:r>
      <w:r>
        <w:rPr>
          <w:color w:val="231F20"/>
        </w:rPr>
        <w:t>mano</w:t>
      </w:r>
      <w:r>
        <w:rPr>
          <w:color w:val="231F20"/>
          <w:spacing w:val="-6"/>
        </w:rPr>
        <w:t> </w:t>
      </w:r>
      <w:r>
        <w:rPr>
          <w:color w:val="231F20"/>
        </w:rPr>
        <w:t>de</w:t>
      </w:r>
      <w:r>
        <w:rPr>
          <w:color w:val="231F20"/>
          <w:spacing w:val="-6"/>
        </w:rPr>
        <w:t> </w:t>
      </w:r>
      <w:r>
        <w:rPr>
          <w:color w:val="231F20"/>
        </w:rPr>
        <w:t>obra</w:t>
      </w:r>
      <w:r>
        <w:rPr>
          <w:color w:val="231F20"/>
          <w:spacing w:val="-6"/>
        </w:rPr>
        <w:t> </w:t>
      </w:r>
      <w:r>
        <w:rPr>
          <w:color w:val="231F20"/>
        </w:rPr>
        <w:t>fe- menina como parte del sector terciario en la primera mitad del siglo</w:t>
      </w:r>
      <w:r>
        <w:rPr>
          <w:color w:val="231F20"/>
          <w:spacing w:val="12"/>
        </w:rPr>
        <w:t> </w:t>
      </w:r>
      <w:r>
        <w:rPr>
          <w:color w:val="231F20"/>
        </w:rPr>
        <w:t>XX</w:t>
      </w:r>
    </w:p>
    <w:p>
      <w:pPr>
        <w:pStyle w:val="BodyText"/>
        <w:spacing w:line="249" w:lineRule="auto" w:before="1"/>
        <w:ind w:left="113" w:right="108"/>
        <w:jc w:val="both"/>
      </w:pPr>
      <w:r>
        <w:rPr>
          <w:color w:val="231F20"/>
        </w:rPr>
        <w:t>ii) la Ciudad de México concentra a la mayor parte de población a nivel nacional,</w:t>
      </w:r>
      <w:r>
        <w:rPr>
          <w:color w:val="231F20"/>
          <w:spacing w:val="-6"/>
        </w:rPr>
        <w:t> </w:t>
      </w:r>
      <w:r>
        <w:rPr>
          <w:color w:val="231F20"/>
        </w:rPr>
        <w:t>y</w:t>
      </w:r>
      <w:r>
        <w:rPr>
          <w:color w:val="231F20"/>
          <w:spacing w:val="-6"/>
        </w:rPr>
        <w:t> </w:t>
      </w:r>
      <w:r>
        <w:rPr>
          <w:color w:val="231F20"/>
        </w:rPr>
        <w:t>iii)</w:t>
      </w:r>
      <w:r>
        <w:rPr>
          <w:color w:val="231F20"/>
          <w:spacing w:val="-6"/>
        </w:rPr>
        <w:t> </w:t>
      </w:r>
      <w:r>
        <w:rPr>
          <w:color w:val="231F20"/>
        </w:rPr>
        <w:t>el</w:t>
      </w:r>
      <w:r>
        <w:rPr>
          <w:color w:val="231F20"/>
          <w:spacing w:val="-6"/>
        </w:rPr>
        <w:t> </w:t>
      </w:r>
      <w:r>
        <w:rPr>
          <w:color w:val="231F20"/>
        </w:rPr>
        <w:t>Distrito</w:t>
      </w:r>
      <w:r>
        <w:rPr>
          <w:color w:val="231F20"/>
          <w:spacing w:val="-6"/>
        </w:rPr>
        <w:t> </w:t>
      </w:r>
      <w:r>
        <w:rPr>
          <w:color w:val="231F20"/>
        </w:rPr>
        <w:t>Federal</w:t>
      </w:r>
      <w:r>
        <w:rPr>
          <w:color w:val="231F20"/>
          <w:spacing w:val="-6"/>
        </w:rPr>
        <w:t> </w:t>
      </w:r>
      <w:r>
        <w:rPr>
          <w:color w:val="231F20"/>
        </w:rPr>
        <w:t>tiene</w:t>
      </w:r>
      <w:r>
        <w:rPr>
          <w:color w:val="231F20"/>
          <w:spacing w:val="-6"/>
        </w:rPr>
        <w:t> </w:t>
      </w:r>
      <w:r>
        <w:rPr>
          <w:color w:val="231F20"/>
        </w:rPr>
        <w:t>11.34</w:t>
      </w:r>
      <w:r>
        <w:rPr>
          <w:color w:val="231F20"/>
          <w:spacing w:val="-6"/>
        </w:rPr>
        <w:t> </w:t>
      </w:r>
      <w:r>
        <w:rPr>
          <w:color w:val="231F20"/>
        </w:rPr>
        <w:t>por</w:t>
      </w:r>
      <w:r>
        <w:rPr>
          <w:color w:val="231F20"/>
          <w:spacing w:val="-6"/>
        </w:rPr>
        <w:t> </w:t>
      </w:r>
      <w:r>
        <w:rPr>
          <w:color w:val="231F20"/>
        </w:rPr>
        <w:t>ciento</w:t>
      </w:r>
      <w:r>
        <w:rPr>
          <w:color w:val="231F20"/>
          <w:position w:val="7"/>
          <w:sz w:val="11"/>
        </w:rPr>
        <w:t>2</w:t>
      </w:r>
      <w:r>
        <w:rPr>
          <w:color w:val="231F20"/>
          <w:spacing w:val="17"/>
          <w:position w:val="7"/>
          <w:sz w:val="11"/>
        </w:rPr>
        <w:t> </w:t>
      </w:r>
      <w:r>
        <w:rPr>
          <w:color w:val="231F20"/>
        </w:rPr>
        <w:t>de</w:t>
      </w:r>
      <w:r>
        <w:rPr>
          <w:color w:val="231F20"/>
          <w:spacing w:val="-6"/>
        </w:rPr>
        <w:t> </w:t>
      </w:r>
      <w:r>
        <w:rPr>
          <w:color w:val="231F20"/>
        </w:rPr>
        <w:t>población</w:t>
      </w:r>
      <w:r>
        <w:rPr>
          <w:color w:val="231F20"/>
          <w:spacing w:val="-6"/>
        </w:rPr>
        <w:t> </w:t>
      </w:r>
      <w:r>
        <w:rPr>
          <w:color w:val="231F20"/>
        </w:rPr>
        <w:t>de más</w:t>
      </w:r>
      <w:r>
        <w:rPr>
          <w:color w:val="231F20"/>
          <w:spacing w:val="-10"/>
        </w:rPr>
        <w:t> </w:t>
      </w:r>
      <w:r>
        <w:rPr>
          <w:color w:val="231F20"/>
        </w:rPr>
        <w:t>de</w:t>
      </w:r>
      <w:r>
        <w:rPr>
          <w:color w:val="231F20"/>
          <w:spacing w:val="-10"/>
        </w:rPr>
        <w:t> </w:t>
      </w:r>
      <w:r>
        <w:rPr>
          <w:color w:val="231F20"/>
        </w:rPr>
        <w:t>60</w:t>
      </w:r>
      <w:r>
        <w:rPr>
          <w:color w:val="231F20"/>
          <w:spacing w:val="-10"/>
        </w:rPr>
        <w:t> </w:t>
      </w:r>
      <w:r>
        <w:rPr>
          <w:color w:val="231F20"/>
        </w:rPr>
        <w:t>años,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cuales</w:t>
      </w:r>
      <w:r>
        <w:rPr>
          <w:color w:val="231F20"/>
          <w:spacing w:val="-10"/>
        </w:rPr>
        <w:t> </w:t>
      </w:r>
      <w:r>
        <w:rPr>
          <w:color w:val="231F20"/>
        </w:rPr>
        <w:t>6.55</w:t>
      </w:r>
      <w:r>
        <w:rPr>
          <w:color w:val="231F20"/>
          <w:spacing w:val="-10"/>
        </w:rPr>
        <w:t> </w:t>
      </w:r>
      <w:r>
        <w:rPr>
          <w:color w:val="231F20"/>
        </w:rPr>
        <w:t>por</w:t>
      </w:r>
      <w:r>
        <w:rPr>
          <w:color w:val="231F20"/>
          <w:spacing w:val="-10"/>
        </w:rPr>
        <w:t> </w:t>
      </w:r>
      <w:r>
        <w:rPr>
          <w:color w:val="231F20"/>
        </w:rPr>
        <w:t>ciento</w:t>
      </w:r>
      <w:r>
        <w:rPr>
          <w:color w:val="231F20"/>
          <w:spacing w:val="-10"/>
        </w:rPr>
        <w:t> </w:t>
      </w:r>
      <w:r>
        <w:rPr>
          <w:color w:val="231F20"/>
        </w:rPr>
        <w:t>son</w:t>
      </w:r>
      <w:r>
        <w:rPr>
          <w:color w:val="231F20"/>
          <w:spacing w:val="-10"/>
        </w:rPr>
        <w:t> </w:t>
      </w:r>
      <w:r>
        <w:rPr>
          <w:color w:val="231F20"/>
        </w:rPr>
        <w:t>mujeres</w:t>
      </w:r>
      <w:r>
        <w:rPr>
          <w:color w:val="231F20"/>
          <w:spacing w:val="-10"/>
        </w:rPr>
        <w:t> </w:t>
      </w:r>
      <w:r>
        <w:rPr>
          <w:color w:val="231F20"/>
        </w:rPr>
        <w:t>(INEGI,</w:t>
      </w:r>
      <w:r>
        <w:rPr>
          <w:color w:val="231F20"/>
          <w:spacing w:val="-10"/>
        </w:rPr>
        <w:t> </w:t>
      </w:r>
      <w:r>
        <w:rPr>
          <w:color w:val="231F20"/>
        </w:rPr>
        <w:t>2010), lo que convierte al Distrito Federal en la entidad con más alto índice de envejecimiento.</w:t>
      </w:r>
    </w:p>
    <w:p>
      <w:pPr>
        <w:pStyle w:val="BodyText"/>
        <w:spacing w:line="249" w:lineRule="auto" w:before="1"/>
        <w:ind w:left="113" w:right="108" w:firstLine="283"/>
        <w:jc w:val="both"/>
      </w:pPr>
      <w:r>
        <w:rPr>
          <w:color w:val="231F20"/>
        </w:rPr>
        <w:t>En México la mujer es quien alcanza mayor esperanza de vida (77.5 años para las mujeres y 72 para los hombres</w:t>
      </w:r>
      <w:r>
        <w:rPr>
          <w:color w:val="231F20"/>
          <w:position w:val="7"/>
          <w:sz w:val="11"/>
        </w:rPr>
        <w:t>3</w:t>
      </w:r>
      <w:r>
        <w:rPr>
          <w:color w:val="231F20"/>
        </w:rPr>
        <w:t>) y las que actualmente son ancianas incidieron de manera muy clara en los cambios que ha tenido la estructura del campo laboral en México, inscribiéndose de manera re- levante en la vida activa remunerada como grupo poblacional: quienes ahora tienen más de 60 años de edad debieron nacer antes de 1955, de manera que se incorporaron al trabajo remunerado en la década de los setenta, sin embargo en esta investigación se trabajó con mujeres que nacieron, incluso, a finales de la década de los años</w:t>
      </w:r>
      <w:r>
        <w:rPr>
          <w:color w:val="231F20"/>
          <w:spacing w:val="-11"/>
        </w:rPr>
        <w:t> </w:t>
      </w:r>
      <w:r>
        <w:rPr>
          <w:color w:val="231F20"/>
        </w:rPr>
        <w:t>veinte.</w:t>
      </w:r>
    </w:p>
    <w:p>
      <w:pPr>
        <w:pStyle w:val="Heading4"/>
      </w:pPr>
      <w:r>
        <w:rPr>
          <w:w w:val="75"/>
        </w:rPr>
        <w:t>Las hijas del milagro mexicano</w:t>
      </w:r>
    </w:p>
    <w:p>
      <w:pPr>
        <w:pStyle w:val="BodyText"/>
        <w:spacing w:line="249" w:lineRule="auto" w:before="171"/>
        <w:ind w:left="113" w:right="107"/>
        <w:jc w:val="both"/>
      </w:pPr>
      <w:r>
        <w:rPr>
          <w:color w:val="231F20"/>
        </w:rPr>
        <w:t>Como</w:t>
      </w:r>
      <w:r>
        <w:rPr>
          <w:color w:val="231F20"/>
          <w:spacing w:val="-9"/>
        </w:rPr>
        <w:t> </w:t>
      </w:r>
      <w:r>
        <w:rPr>
          <w:color w:val="231F20"/>
        </w:rPr>
        <w:t>se</w:t>
      </w:r>
      <w:r>
        <w:rPr>
          <w:color w:val="231F20"/>
          <w:spacing w:val="-9"/>
        </w:rPr>
        <w:t> </w:t>
      </w:r>
      <w:r>
        <w:rPr>
          <w:color w:val="231F20"/>
        </w:rPr>
        <w:t>planteó</w:t>
      </w:r>
      <w:r>
        <w:rPr>
          <w:color w:val="231F20"/>
          <w:spacing w:val="-9"/>
        </w:rPr>
        <w:t> </w:t>
      </w:r>
      <w:r>
        <w:rPr>
          <w:color w:val="231F20"/>
        </w:rPr>
        <w:t>anteriormente,</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envejecidas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actualidad, es</w:t>
      </w:r>
      <w:r>
        <w:rPr>
          <w:color w:val="231F20"/>
          <w:spacing w:val="-3"/>
        </w:rPr>
        <w:t> </w:t>
      </w:r>
      <w:r>
        <w:rPr>
          <w:color w:val="231F20"/>
        </w:rPr>
        <w:t>decir,</w:t>
      </w:r>
      <w:r>
        <w:rPr>
          <w:color w:val="231F20"/>
          <w:spacing w:val="-3"/>
        </w:rPr>
        <w:t> </w:t>
      </w:r>
      <w:r>
        <w:rPr>
          <w:color w:val="231F20"/>
        </w:rPr>
        <w:t>las</w:t>
      </w:r>
      <w:r>
        <w:rPr>
          <w:color w:val="231F20"/>
          <w:spacing w:val="-3"/>
        </w:rPr>
        <w:t> </w:t>
      </w:r>
      <w:r>
        <w:rPr>
          <w:color w:val="231F20"/>
        </w:rPr>
        <w:t>que</w:t>
      </w:r>
      <w:r>
        <w:rPr>
          <w:color w:val="231F20"/>
          <w:spacing w:val="-3"/>
        </w:rPr>
        <w:t> </w:t>
      </w:r>
      <w:r>
        <w:rPr>
          <w:color w:val="231F20"/>
        </w:rPr>
        <w:t>actualmente</w:t>
      </w:r>
      <w:r>
        <w:rPr>
          <w:color w:val="231F20"/>
          <w:spacing w:val="-4"/>
        </w:rPr>
        <w:t> </w:t>
      </w:r>
      <w:r>
        <w:rPr>
          <w:color w:val="231F20"/>
        </w:rPr>
        <w:t>deben</w:t>
      </w:r>
      <w:r>
        <w:rPr>
          <w:color w:val="231F20"/>
          <w:spacing w:val="-3"/>
        </w:rPr>
        <w:t> </w:t>
      </w:r>
      <w:r>
        <w:rPr>
          <w:color w:val="231F20"/>
        </w:rPr>
        <w:t>tener</w:t>
      </w:r>
      <w:r>
        <w:rPr>
          <w:color w:val="231F20"/>
          <w:spacing w:val="-4"/>
        </w:rPr>
        <w:t> </w:t>
      </w:r>
      <w:r>
        <w:rPr>
          <w:color w:val="231F20"/>
        </w:rPr>
        <w:t>más</w:t>
      </w:r>
      <w:r>
        <w:rPr>
          <w:color w:val="231F20"/>
          <w:spacing w:val="-3"/>
        </w:rPr>
        <w:t> </w:t>
      </w:r>
      <w:r>
        <w:rPr>
          <w:color w:val="231F20"/>
        </w:rPr>
        <w:t>de</w:t>
      </w:r>
      <w:r>
        <w:rPr>
          <w:color w:val="231F20"/>
          <w:spacing w:val="-3"/>
        </w:rPr>
        <w:t> </w:t>
      </w:r>
      <w:r>
        <w:rPr>
          <w:color w:val="231F20"/>
        </w:rPr>
        <w:t>60</w:t>
      </w:r>
      <w:r>
        <w:rPr>
          <w:color w:val="231F20"/>
          <w:spacing w:val="-3"/>
        </w:rPr>
        <w:t> </w:t>
      </w:r>
      <w:r>
        <w:rPr>
          <w:color w:val="231F20"/>
        </w:rPr>
        <w:t>años</w:t>
      </w:r>
      <w:r>
        <w:rPr>
          <w:color w:val="231F20"/>
          <w:spacing w:val="-3"/>
        </w:rPr>
        <w:t> </w:t>
      </w:r>
      <w:r>
        <w:rPr>
          <w:color w:val="231F20"/>
        </w:rPr>
        <w:t>de</w:t>
      </w:r>
      <w:r>
        <w:rPr>
          <w:color w:val="231F20"/>
          <w:spacing w:val="-3"/>
        </w:rPr>
        <w:t> </w:t>
      </w:r>
      <w:r>
        <w:rPr>
          <w:color w:val="231F20"/>
        </w:rPr>
        <w:t>edad,</w:t>
      </w:r>
      <w:r>
        <w:rPr>
          <w:color w:val="231F20"/>
          <w:spacing w:val="-3"/>
        </w:rPr>
        <w:t> </w:t>
      </w:r>
      <w:r>
        <w:rPr>
          <w:color w:val="231F20"/>
        </w:rPr>
        <w:t>debie- ron nacer antes de 1955, de manera que son mujeres que nacieron en un contexto histórico social particular, en donde los modelos económicos del país hablaban de estabilidad económica derivada no sólo de condi- ciones internas al país, sino de algunas condicionantes externas como</w:t>
      </w:r>
      <w:r>
        <w:rPr>
          <w:color w:val="231F20"/>
          <w:spacing w:val="25"/>
        </w:rPr>
        <w:t> </w:t>
      </w:r>
      <w:r>
        <w:rPr>
          <w:color w:val="231F20"/>
        </w:rPr>
        <w:t>la</w:t>
      </w:r>
    </w:p>
    <w:p>
      <w:pPr>
        <w:spacing w:line="160" w:lineRule="exact" w:before="176"/>
        <w:ind w:left="113" w:right="0" w:firstLine="0"/>
        <w:jc w:val="both"/>
        <w:rPr>
          <w:sz w:val="14"/>
        </w:rPr>
      </w:pPr>
      <w:r>
        <w:rPr>
          <w:color w:val="231F20"/>
          <w:position w:val="5"/>
          <w:sz w:val="8"/>
        </w:rPr>
        <w:t>2  </w:t>
      </w:r>
      <w:r>
        <w:rPr>
          <w:color w:val="231F20"/>
          <w:sz w:val="14"/>
        </w:rPr>
        <w:t>Este dato resulta importante debido a que el porcentaje nacional es de 8.95 por ciento.</w:t>
      </w:r>
    </w:p>
    <w:p>
      <w:pPr>
        <w:spacing w:line="160" w:lineRule="exact" w:before="0"/>
        <w:ind w:left="113" w:right="0" w:firstLine="0"/>
        <w:jc w:val="both"/>
        <w:rPr>
          <w:sz w:val="14"/>
        </w:rPr>
      </w:pPr>
      <w:r>
        <w:rPr>
          <w:color w:val="231F20"/>
          <w:position w:val="5"/>
          <w:sz w:val="8"/>
        </w:rPr>
        <w:t>3  </w:t>
      </w:r>
      <w:r>
        <w:rPr>
          <w:color w:val="231F20"/>
          <w:sz w:val="14"/>
        </w:rPr>
        <w:t>Consulta Interactiva de Indicadores (CONAPO, 2014).</w:t>
      </w:r>
    </w:p>
    <w:p>
      <w:pPr>
        <w:spacing w:after="0" w:line="160" w:lineRule="exact"/>
        <w:jc w:val="both"/>
        <w:rPr>
          <w:sz w:val="14"/>
        </w:rPr>
        <w:sectPr>
          <w:footerReference w:type="default" r:id="rId271"/>
          <w:pgSz w:w="7770" w:h="11740"/>
          <w:pgMar w:footer="474" w:header="0" w:top="840" w:bottom="660" w:left="1020" w:right="740"/>
          <w:pgNumType w:start="251"/>
        </w:sectPr>
      </w:pPr>
    </w:p>
    <w:p>
      <w:pPr>
        <w:pStyle w:val="BodyText"/>
        <w:spacing w:line="249" w:lineRule="auto" w:before="60"/>
        <w:ind w:left="110" w:right="111"/>
        <w:jc w:val="both"/>
      </w:pPr>
      <w:r>
        <w:rPr>
          <w:color w:val="231F20"/>
        </w:rPr>
        <w:t>Segunda Guerra Mundial de la década de 1940 y de la industrialización posrevolucionaria mexicana.</w:t>
      </w:r>
    </w:p>
    <w:p>
      <w:pPr>
        <w:pStyle w:val="BodyText"/>
        <w:spacing w:line="249" w:lineRule="auto" w:before="1"/>
        <w:ind w:left="110" w:right="111" w:firstLine="283"/>
        <w:jc w:val="both"/>
      </w:pPr>
      <w:r>
        <w:rPr>
          <w:color w:val="231F20"/>
        </w:rPr>
        <w:t>García (1988) hace evidente que el proceso de división social del trabajo en México tuvo mayor impacto en los años cincuenta y sesen-  ta como parte de la estrategia industrializadora que había iniciado con Lázaro Cárdenas, quien promovería el desarrollo económico del país tomando medidas como la creación de la Comisión Federal de Electrici- dad, la nacionalización de la industria petrolera y parte de los ferrocarri- les,</w:t>
      </w:r>
      <w:r>
        <w:rPr>
          <w:color w:val="231F20"/>
          <w:spacing w:val="-6"/>
        </w:rPr>
        <w:t> </w:t>
      </w:r>
      <w:r>
        <w:rPr>
          <w:color w:val="231F20"/>
        </w:rPr>
        <w:t>quedando</w:t>
      </w:r>
      <w:r>
        <w:rPr>
          <w:color w:val="231F20"/>
          <w:spacing w:val="-6"/>
        </w:rPr>
        <w:t> </w:t>
      </w:r>
      <w:r>
        <w:rPr>
          <w:color w:val="231F20"/>
        </w:rPr>
        <w:t>así</w:t>
      </w:r>
      <w:r>
        <w:rPr>
          <w:color w:val="231F20"/>
          <w:spacing w:val="-6"/>
        </w:rPr>
        <w:t> </w:t>
      </w:r>
      <w:r>
        <w:rPr>
          <w:color w:val="231F20"/>
        </w:rPr>
        <w:t>asentada</w:t>
      </w:r>
      <w:r>
        <w:rPr>
          <w:color w:val="231F20"/>
          <w:spacing w:val="-6"/>
        </w:rPr>
        <w:t> </w:t>
      </w:r>
      <w:r>
        <w:rPr>
          <w:color w:val="231F20"/>
        </w:rPr>
        <w:t>“la</w:t>
      </w:r>
      <w:r>
        <w:rPr>
          <w:color w:val="231F20"/>
          <w:spacing w:val="-6"/>
        </w:rPr>
        <w:t> </w:t>
      </w:r>
      <w:r>
        <w:rPr>
          <w:color w:val="231F20"/>
        </w:rPr>
        <w:t>base</w:t>
      </w:r>
      <w:r>
        <w:rPr>
          <w:color w:val="231F20"/>
          <w:spacing w:val="-6"/>
        </w:rPr>
        <w:t> </w:t>
      </w:r>
      <w:r>
        <w:rPr>
          <w:color w:val="231F20"/>
        </w:rPr>
        <w:t>para</w:t>
      </w:r>
      <w:r>
        <w:rPr>
          <w:color w:val="231F20"/>
          <w:spacing w:val="-6"/>
        </w:rPr>
        <w:t> </w:t>
      </w:r>
      <w:r>
        <w:rPr>
          <w:color w:val="231F20"/>
        </w:rPr>
        <w:t>apoyar,</w:t>
      </w:r>
      <w:r>
        <w:rPr>
          <w:color w:val="231F20"/>
          <w:spacing w:val="-6"/>
        </w:rPr>
        <w:t> </w:t>
      </w:r>
      <w:r>
        <w:rPr>
          <w:color w:val="231F20"/>
        </w:rPr>
        <w:t>a</w:t>
      </w:r>
      <w:r>
        <w:rPr>
          <w:color w:val="231F20"/>
          <w:spacing w:val="-6"/>
        </w:rPr>
        <w:t> </w:t>
      </w:r>
      <w:r>
        <w:rPr>
          <w:color w:val="231F20"/>
        </w:rPr>
        <w:t>largo</w:t>
      </w:r>
      <w:r>
        <w:rPr>
          <w:color w:val="231F20"/>
          <w:spacing w:val="-6"/>
        </w:rPr>
        <w:t> </w:t>
      </w:r>
      <w:r>
        <w:rPr>
          <w:color w:val="231F20"/>
        </w:rPr>
        <w:t>plazo,</w:t>
      </w:r>
      <w:r>
        <w:rPr>
          <w:color w:val="231F20"/>
          <w:spacing w:val="-6"/>
        </w:rPr>
        <w:t> </w:t>
      </w:r>
      <w:r>
        <w:rPr>
          <w:color w:val="231F20"/>
        </w:rPr>
        <w:t>el</w:t>
      </w:r>
      <w:r>
        <w:rPr>
          <w:color w:val="231F20"/>
          <w:spacing w:val="-6"/>
        </w:rPr>
        <w:t> </w:t>
      </w:r>
      <w:r>
        <w:rPr>
          <w:color w:val="231F20"/>
        </w:rPr>
        <w:t>proceso de industrialización del país” (Bazán, 1999:</w:t>
      </w:r>
      <w:r>
        <w:rPr>
          <w:color w:val="231F20"/>
          <w:spacing w:val="-1"/>
        </w:rPr>
        <w:t> </w:t>
      </w:r>
      <w:r>
        <w:rPr>
          <w:color w:val="231F20"/>
        </w:rPr>
        <w:t>41).</w:t>
      </w:r>
    </w:p>
    <w:p>
      <w:pPr>
        <w:pStyle w:val="BodyText"/>
        <w:spacing w:line="249" w:lineRule="auto" w:before="1"/>
        <w:ind w:left="110" w:right="111" w:firstLine="283"/>
        <w:jc w:val="both"/>
      </w:pPr>
      <w:r>
        <w:rPr>
          <w:color w:val="231F20"/>
        </w:rPr>
        <w:t>Económicamente, el periodo comprendido con lo que se conoce como “El milagro mexicano” (1949-1970), se caracterizó por un creci- miento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industria</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consiguiente</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ciudades,</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fomentó la migración de mano de obra de zonas rurales a núcleos urbanizados y crecientemente industrializados. La necesidad de fuerza de trabajo en el medio industrial garantizaba una mejora económica a las familias, antes campesinas, lo que ocasionaría movimientos poblacionales, los cuales, paradójicamente, fueron un factor fundamental para el desarrollo</w:t>
      </w:r>
      <w:r>
        <w:rPr>
          <w:color w:val="231F20"/>
          <w:spacing w:val="-17"/>
        </w:rPr>
        <w:t> </w:t>
      </w:r>
      <w:r>
        <w:rPr>
          <w:color w:val="231F20"/>
        </w:rPr>
        <w:t>econó- mico</w:t>
      </w:r>
      <w:r>
        <w:rPr>
          <w:color w:val="231F20"/>
          <w:spacing w:val="-6"/>
        </w:rPr>
        <w:t> </w:t>
      </w:r>
      <w:r>
        <w:rPr>
          <w:color w:val="231F20"/>
        </w:rPr>
        <w:t>y</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desequilibrio</w:t>
      </w:r>
      <w:r>
        <w:rPr>
          <w:color w:val="231F20"/>
          <w:spacing w:val="-6"/>
        </w:rPr>
        <w:t> </w:t>
      </w:r>
      <w:r>
        <w:rPr>
          <w:color w:val="231F20"/>
        </w:rPr>
        <w:t>poblacional</w:t>
      </w:r>
      <w:r>
        <w:rPr>
          <w:color w:val="231F20"/>
          <w:spacing w:val="-5"/>
        </w:rPr>
        <w:t> </w:t>
      </w:r>
      <w:r>
        <w:rPr>
          <w:color w:val="231F20"/>
        </w:rPr>
        <w:t>de</w:t>
      </w:r>
      <w:r>
        <w:rPr>
          <w:color w:val="231F20"/>
          <w:spacing w:val="-5"/>
        </w:rPr>
        <w:t> </w:t>
      </w:r>
      <w:r>
        <w:rPr>
          <w:color w:val="231F20"/>
        </w:rPr>
        <w:t>las</w:t>
      </w:r>
      <w:r>
        <w:rPr>
          <w:color w:val="231F20"/>
          <w:spacing w:val="-6"/>
        </w:rPr>
        <w:t> </w:t>
      </w:r>
      <w:r>
        <w:rPr>
          <w:color w:val="231F20"/>
        </w:rPr>
        <w:t>regiones</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(Montes de</w:t>
      </w:r>
      <w:r>
        <w:rPr>
          <w:color w:val="231F20"/>
          <w:spacing w:val="-6"/>
        </w:rPr>
        <w:t> </w:t>
      </w:r>
      <w:r>
        <w:rPr>
          <w:color w:val="231F20"/>
        </w:rPr>
        <w:t>Oca,</w:t>
      </w:r>
      <w:r>
        <w:rPr>
          <w:color w:val="231F20"/>
          <w:spacing w:val="-6"/>
        </w:rPr>
        <w:t> </w:t>
      </w:r>
      <w:r>
        <w:rPr>
          <w:color w:val="231F20"/>
        </w:rPr>
        <w:t>1995:</w:t>
      </w:r>
      <w:r>
        <w:rPr>
          <w:color w:val="231F20"/>
          <w:spacing w:val="-6"/>
        </w:rPr>
        <w:t> </w:t>
      </w:r>
      <w:r>
        <w:rPr>
          <w:color w:val="231F20"/>
        </w:rPr>
        <w:t>59).</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hombres</w:t>
      </w:r>
      <w:r>
        <w:rPr>
          <w:color w:val="231F20"/>
          <w:spacing w:val="-6"/>
        </w:rPr>
        <w:t> </w:t>
      </w:r>
      <w:r>
        <w:rPr>
          <w:color w:val="231F20"/>
        </w:rPr>
        <w:t>llegaban</w:t>
      </w:r>
      <w:r>
        <w:rPr>
          <w:color w:val="231F20"/>
          <w:spacing w:val="-7"/>
        </w:rPr>
        <w:t> </w:t>
      </w:r>
      <w:r>
        <w:rPr>
          <w:color w:val="231F20"/>
        </w:rPr>
        <w:t>a</w:t>
      </w:r>
      <w:r>
        <w:rPr>
          <w:color w:val="231F20"/>
          <w:spacing w:val="-6"/>
        </w:rPr>
        <w:t> </w:t>
      </w:r>
      <w:r>
        <w:rPr>
          <w:color w:val="231F20"/>
        </w:rPr>
        <w:t>las</w:t>
      </w:r>
      <w:r>
        <w:rPr>
          <w:color w:val="231F20"/>
          <w:spacing w:val="-6"/>
        </w:rPr>
        <w:t> </w:t>
      </w:r>
      <w:r>
        <w:rPr>
          <w:color w:val="231F20"/>
        </w:rPr>
        <w:t>ciudades,</w:t>
      </w:r>
      <w:r>
        <w:rPr>
          <w:color w:val="231F20"/>
          <w:spacing w:val="-6"/>
        </w:rPr>
        <w:t> </w:t>
      </w:r>
      <w:r>
        <w:rPr>
          <w:color w:val="231F20"/>
        </w:rPr>
        <w:t>a trabajar en la industria por supuesto, acompañados de sus familias, dan- do lugar al establecimiento de mujeres que dependían de las actividades masculinas.</w:t>
      </w:r>
    </w:p>
    <w:p>
      <w:pPr>
        <w:pStyle w:val="BodyText"/>
        <w:spacing w:line="249" w:lineRule="auto" w:before="1"/>
        <w:ind w:left="110" w:right="111" w:firstLine="283"/>
        <w:jc w:val="both"/>
      </w:pPr>
      <w:r>
        <w:rPr>
          <w:color w:val="231F20"/>
        </w:rPr>
        <w:t>Para la década de los sesenta se pensaba que el modelo de indus- trialización vigente, con un carácter dependiente, contribuía a limitar    la actuación del sector femenino de la economía para emplear la mano de obra en continuo crecimiento, tendiendo más bien a refugiarse en el terciario que había sido considerado por los hombres como un sector residual de ocupaciones de baja calificación que proporcionaban bajos ingresos. Este sector terciario, dice García (1988: 167), siempre acom- paña al proceso de industrialización. Entre los empleos ubicados en este sector</w:t>
      </w:r>
      <w:r>
        <w:rPr>
          <w:color w:val="231F20"/>
          <w:spacing w:val="-9"/>
        </w:rPr>
        <w:t> </w:t>
      </w:r>
      <w:r>
        <w:rPr>
          <w:color w:val="231F20"/>
        </w:rPr>
        <w:t>se</w:t>
      </w:r>
      <w:r>
        <w:rPr>
          <w:color w:val="231F20"/>
          <w:spacing w:val="-9"/>
        </w:rPr>
        <w:t> </w:t>
      </w:r>
      <w:r>
        <w:rPr>
          <w:color w:val="231F20"/>
        </w:rPr>
        <w:t>encuentran</w:t>
      </w:r>
      <w:r>
        <w:rPr>
          <w:color w:val="231F20"/>
          <w:spacing w:val="-9"/>
        </w:rPr>
        <w:t> </w:t>
      </w:r>
      <w:r>
        <w:rPr>
          <w:color w:val="231F20"/>
        </w:rPr>
        <w:t>los</w:t>
      </w:r>
      <w:r>
        <w:rPr>
          <w:color w:val="231F20"/>
          <w:spacing w:val="-9"/>
        </w:rPr>
        <w:t> </w:t>
      </w:r>
      <w:r>
        <w:rPr>
          <w:color w:val="231F20"/>
        </w:rPr>
        <w:t>servicios</w:t>
      </w:r>
      <w:r>
        <w:rPr>
          <w:color w:val="231F20"/>
          <w:spacing w:val="-9"/>
        </w:rPr>
        <w:t> </w:t>
      </w:r>
      <w:r>
        <w:rPr>
          <w:color w:val="231F20"/>
        </w:rPr>
        <w:t>financieros,</w:t>
      </w:r>
      <w:r>
        <w:rPr>
          <w:color w:val="231F20"/>
          <w:spacing w:val="-9"/>
        </w:rPr>
        <w:t> </w:t>
      </w:r>
      <w:r>
        <w:rPr>
          <w:color w:val="231F20"/>
        </w:rPr>
        <w:t>de</w:t>
      </w:r>
      <w:r>
        <w:rPr>
          <w:color w:val="231F20"/>
          <w:spacing w:val="-9"/>
        </w:rPr>
        <w:t> </w:t>
      </w:r>
      <w:r>
        <w:rPr>
          <w:color w:val="231F20"/>
        </w:rPr>
        <w:t>transporte</w:t>
      </w:r>
      <w:r>
        <w:rPr>
          <w:color w:val="231F20"/>
          <w:spacing w:val="-9"/>
        </w:rPr>
        <w:t> </w:t>
      </w:r>
      <w:r>
        <w:rPr>
          <w:color w:val="231F20"/>
        </w:rPr>
        <w:t>y</w:t>
      </w:r>
      <w:r>
        <w:rPr>
          <w:color w:val="231F20"/>
          <w:spacing w:val="-9"/>
        </w:rPr>
        <w:t> </w:t>
      </w:r>
      <w:r>
        <w:rPr>
          <w:color w:val="231F20"/>
        </w:rPr>
        <w:t>comerciali- zación,</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los</w:t>
      </w:r>
      <w:r>
        <w:rPr>
          <w:color w:val="231F20"/>
          <w:spacing w:val="-8"/>
        </w:rPr>
        <w:t> </w:t>
      </w:r>
      <w:r>
        <w:rPr>
          <w:color w:val="231F20"/>
        </w:rPr>
        <w:t>llamados</w:t>
      </w:r>
      <w:r>
        <w:rPr>
          <w:color w:val="231F20"/>
          <w:spacing w:val="-8"/>
        </w:rPr>
        <w:t> </w:t>
      </w:r>
      <w:r>
        <w:rPr>
          <w:color w:val="231F20"/>
        </w:rPr>
        <w:t>servicios</w:t>
      </w:r>
      <w:r>
        <w:rPr>
          <w:color w:val="231F20"/>
          <w:spacing w:val="-8"/>
        </w:rPr>
        <w:t> </w:t>
      </w:r>
      <w:r>
        <w:rPr>
          <w:color w:val="231F20"/>
        </w:rPr>
        <w:t>sociales</w:t>
      </w:r>
      <w:r>
        <w:rPr>
          <w:color w:val="231F20"/>
          <w:spacing w:val="-8"/>
        </w:rPr>
        <w:t> </w:t>
      </w:r>
      <w:r>
        <w:rPr>
          <w:color w:val="231F20"/>
        </w:rPr>
        <w:t>como</w:t>
      </w:r>
      <w:r>
        <w:rPr>
          <w:color w:val="231F20"/>
          <w:spacing w:val="-8"/>
        </w:rPr>
        <w:t> </w:t>
      </w:r>
      <w:r>
        <w:rPr>
          <w:color w:val="231F20"/>
        </w:rPr>
        <w:t>los</w:t>
      </w:r>
      <w:r>
        <w:rPr>
          <w:color w:val="231F20"/>
          <w:spacing w:val="-8"/>
        </w:rPr>
        <w:t> </w:t>
      </w:r>
      <w:r>
        <w:rPr>
          <w:color w:val="231F20"/>
        </w:rPr>
        <w:t>destinados</w:t>
      </w:r>
      <w:r>
        <w:rPr>
          <w:color w:val="231F20"/>
          <w:spacing w:val="-8"/>
        </w:rPr>
        <w:t> </w:t>
      </w:r>
      <w:r>
        <w:rPr>
          <w:color w:val="231F20"/>
        </w:rPr>
        <w:t>a</w:t>
      </w:r>
      <w:r>
        <w:rPr>
          <w:color w:val="231F20"/>
          <w:spacing w:val="-8"/>
        </w:rPr>
        <w:t> </w:t>
      </w:r>
      <w:r>
        <w:rPr>
          <w:color w:val="231F20"/>
        </w:rPr>
        <w:t>la salud, educación, etcétera.</w:t>
      </w:r>
      <w:r>
        <w:rPr>
          <w:color w:val="231F20"/>
          <w:position w:val="7"/>
          <w:sz w:val="11"/>
        </w:rPr>
        <w:t>4  </w:t>
      </w:r>
      <w:r>
        <w:rPr>
          <w:color w:val="231F20"/>
        </w:rPr>
        <w:t>Serna hace hincapié en que fue en la</w:t>
      </w:r>
      <w:r>
        <w:rPr>
          <w:color w:val="231F20"/>
          <w:spacing w:val="32"/>
        </w:rPr>
        <w:t> </w:t>
      </w:r>
      <w:r>
        <w:rPr>
          <w:color w:val="231F20"/>
        </w:rPr>
        <w:t>década</w:t>
      </w:r>
    </w:p>
    <w:p>
      <w:pPr>
        <w:pStyle w:val="BodyText"/>
        <w:rPr>
          <w:sz w:val="24"/>
        </w:rPr>
      </w:pPr>
    </w:p>
    <w:p>
      <w:pPr>
        <w:spacing w:before="0"/>
        <w:ind w:left="110" w:right="111" w:firstLine="0"/>
        <w:jc w:val="both"/>
        <w:rPr>
          <w:sz w:val="14"/>
        </w:rPr>
      </w:pPr>
      <w:r>
        <w:rPr>
          <w:color w:val="231F20"/>
          <w:position w:val="5"/>
          <w:sz w:val="8"/>
        </w:rPr>
        <w:t>4 </w:t>
      </w:r>
      <w:r>
        <w:rPr>
          <w:color w:val="231F20"/>
          <w:sz w:val="14"/>
        </w:rPr>
        <w:t>De Riz (1986: 46-47) descompone el sector de los servicios en los siguientes: alojamiento temporal, preparación y ventas alimenticias, preparación y venta de bebidas alcohólicas, estaciones de radio,</w:t>
      </w:r>
      <w:r>
        <w:rPr>
          <w:color w:val="231F20"/>
          <w:spacing w:val="-17"/>
          <w:sz w:val="14"/>
        </w:rPr>
        <w:t> </w:t>
      </w:r>
      <w:r>
        <w:rPr>
          <w:color w:val="231F20"/>
          <w:sz w:val="14"/>
        </w:rPr>
        <w:t>tele- visión y repetidoras, servicios de esparcimiento y culturales, telefónicos, radiocomunicaciones y télex, de enseñanza primaria, secundaria, jardines de niños, preparatoria o vacacional, de enseñanza mixta, universidades, escuelas o institutos de enseñanza superior, institutos de seguros y fianzas, servicios de asistencia médica, servicios de aseo y limpieza, servicios domésticos en casas particulares, servicios de profesionales, de alquiler, comisionistas, representantes y agencias, reparaciones de autos, motos, ma- quinarias y equipo mecánico, reparaciones eléctricas y electrónicas y organizaciones</w:t>
      </w:r>
      <w:r>
        <w:rPr>
          <w:color w:val="231F20"/>
          <w:spacing w:val="-8"/>
          <w:sz w:val="14"/>
        </w:rPr>
        <w:t> </w:t>
      </w:r>
      <w:r>
        <w:rPr>
          <w:color w:val="231F20"/>
          <w:sz w:val="14"/>
        </w:rPr>
        <w:t>religiosas.</w:t>
      </w:r>
    </w:p>
    <w:p>
      <w:pPr>
        <w:spacing w:after="0"/>
        <w:jc w:val="both"/>
        <w:rPr>
          <w:sz w:val="14"/>
        </w:rPr>
        <w:sectPr>
          <w:pgSz w:w="7770" w:h="11740"/>
          <w:pgMar w:header="0" w:footer="474" w:top="840" w:bottom="740" w:left="740" w:right="1020"/>
        </w:sectPr>
      </w:pPr>
    </w:p>
    <w:p>
      <w:pPr>
        <w:pStyle w:val="BodyText"/>
        <w:spacing w:line="249" w:lineRule="auto" w:before="60"/>
        <w:ind w:left="113" w:right="108"/>
        <w:jc w:val="both"/>
      </w:pPr>
      <w:r>
        <w:rPr>
          <w:color w:val="231F20"/>
        </w:rPr>
        <w:t>de los setenta cuando se registró un incremento en la participación eco- nómica femenina en México y otros países, y concuerda con las otras autoras mencionadas en que esto se debió a la expansión de la industria que originaba y necesitaba de los servicios y afirma que esta situación, trajo ligado:</w:t>
      </w:r>
    </w:p>
    <w:p>
      <w:pPr>
        <w:pStyle w:val="BodyText"/>
        <w:spacing w:line="249" w:lineRule="auto" w:before="114"/>
        <w:ind w:left="397" w:right="108" w:firstLine="40"/>
        <w:jc w:val="both"/>
      </w:pPr>
      <w:r>
        <w:rPr>
          <w:color w:val="231F20"/>
        </w:rPr>
        <w:t>Un</w:t>
      </w:r>
      <w:r>
        <w:rPr>
          <w:color w:val="231F20"/>
          <w:spacing w:val="-11"/>
        </w:rPr>
        <w:t> </w:t>
      </w:r>
      <w:r>
        <w:rPr>
          <w:color w:val="231F20"/>
        </w:rPr>
        <w:t>cambio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papel</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que</w:t>
      </w:r>
      <w:r>
        <w:rPr>
          <w:color w:val="231F20"/>
          <w:spacing w:val="-11"/>
        </w:rPr>
        <w:t> </w:t>
      </w:r>
      <w:r>
        <w:rPr>
          <w:color w:val="231F20"/>
        </w:rPr>
        <w:t>permitió</w:t>
      </w:r>
      <w:r>
        <w:rPr>
          <w:color w:val="231F20"/>
          <w:spacing w:val="-11"/>
        </w:rPr>
        <w:t> </w:t>
      </w:r>
      <w:r>
        <w:rPr>
          <w:color w:val="231F20"/>
        </w:rPr>
        <w:t>una participación activa en la actividad económica, tanto en empleos de tipo independiente, vía la formación de sus propias empresas, como en empleos que requerían de calificaciones profesionales y aún, en empleos poco calificados en donde era poco probable que se obtuvi- era</w:t>
      </w:r>
      <w:r>
        <w:rPr>
          <w:color w:val="231F20"/>
          <w:spacing w:val="-11"/>
        </w:rPr>
        <w:t> </w:t>
      </w:r>
      <w:r>
        <w:rPr>
          <w:color w:val="231F20"/>
        </w:rPr>
        <w:t>una</w:t>
      </w:r>
      <w:r>
        <w:rPr>
          <w:color w:val="231F20"/>
          <w:spacing w:val="-10"/>
        </w:rPr>
        <w:t> </w:t>
      </w:r>
      <w:r>
        <w:rPr>
          <w:color w:val="231F20"/>
        </w:rPr>
        <w:t>promoción</w:t>
      </w:r>
      <w:r>
        <w:rPr>
          <w:color w:val="231F20"/>
          <w:spacing w:val="-10"/>
        </w:rPr>
        <w:t> </w:t>
      </w:r>
      <w:r>
        <w:rPr>
          <w:color w:val="231F20"/>
        </w:rPr>
        <w:t>o</w:t>
      </w:r>
      <w:r>
        <w:rPr>
          <w:color w:val="231F20"/>
          <w:spacing w:val="-10"/>
        </w:rPr>
        <w:t> </w:t>
      </w:r>
      <w:r>
        <w:rPr>
          <w:color w:val="231F20"/>
        </w:rPr>
        <w:t>una</w:t>
      </w:r>
      <w:r>
        <w:rPr>
          <w:color w:val="231F20"/>
          <w:spacing w:val="-10"/>
        </w:rPr>
        <w:t> </w:t>
      </w:r>
      <w:r>
        <w:rPr>
          <w:color w:val="231F20"/>
        </w:rPr>
        <w:t>posición</w:t>
      </w:r>
      <w:r>
        <w:rPr>
          <w:color w:val="231F20"/>
          <w:spacing w:val="-10"/>
        </w:rPr>
        <w:t> </w:t>
      </w:r>
      <w:r>
        <w:rPr>
          <w:color w:val="231F20"/>
        </w:rPr>
        <w:t>de</w:t>
      </w:r>
      <w:r>
        <w:rPr>
          <w:color w:val="231F20"/>
          <w:spacing w:val="-10"/>
        </w:rPr>
        <w:t> </w:t>
      </w:r>
      <w:r>
        <w:rPr>
          <w:color w:val="231F20"/>
        </w:rPr>
        <w:t>mayor</w:t>
      </w:r>
      <w:r>
        <w:rPr>
          <w:color w:val="231F20"/>
          <w:spacing w:val="-11"/>
        </w:rPr>
        <w:t> </w:t>
      </w:r>
      <w:r>
        <w:rPr>
          <w:color w:val="231F20"/>
        </w:rPr>
        <w:t>responsabilidad</w:t>
      </w:r>
      <w:r>
        <w:rPr>
          <w:color w:val="231F20"/>
          <w:spacing w:val="-10"/>
        </w:rPr>
        <w:t> </w:t>
      </w:r>
      <w:r>
        <w:rPr>
          <w:color w:val="231F20"/>
        </w:rPr>
        <w:t>(</w:t>
      </w:r>
      <w:r>
        <w:rPr>
          <w:color w:val="231F20"/>
          <w:sz w:val="22"/>
        </w:rPr>
        <w:t>García, 2003:</w:t>
      </w:r>
      <w:r>
        <w:rPr>
          <w:color w:val="231F20"/>
          <w:spacing w:val="-1"/>
          <w:sz w:val="22"/>
        </w:rPr>
        <w:t> </w:t>
      </w:r>
      <w:r>
        <w:rPr>
          <w:color w:val="231F20"/>
          <w:sz w:val="22"/>
        </w:rPr>
        <w:t>78</w:t>
      </w:r>
      <w:r>
        <w:rPr>
          <w:color w:val="231F20"/>
        </w:rPr>
        <w:t>).</w:t>
      </w:r>
    </w:p>
    <w:p>
      <w:pPr>
        <w:pStyle w:val="BodyText"/>
        <w:spacing w:line="249" w:lineRule="auto" w:before="109"/>
        <w:ind w:left="113" w:right="109" w:firstLine="283"/>
        <w:jc w:val="both"/>
      </w:pPr>
      <w:r>
        <w:rPr>
          <w:color w:val="231F20"/>
        </w:rPr>
        <w:t>Sheridan</w:t>
      </w:r>
      <w:r>
        <w:rPr>
          <w:color w:val="231F20"/>
          <w:spacing w:val="-6"/>
        </w:rPr>
        <w:t> </w:t>
      </w:r>
      <w:r>
        <w:rPr>
          <w:color w:val="231F20"/>
        </w:rPr>
        <w:t>(1991:</w:t>
      </w:r>
      <w:r>
        <w:rPr>
          <w:color w:val="231F20"/>
          <w:spacing w:val="-6"/>
        </w:rPr>
        <w:t> </w:t>
      </w:r>
      <w:r>
        <w:rPr>
          <w:color w:val="231F20"/>
        </w:rPr>
        <w:t>75)</w:t>
      </w:r>
      <w:r>
        <w:rPr>
          <w:color w:val="231F20"/>
          <w:spacing w:val="-6"/>
        </w:rPr>
        <w:t> </w:t>
      </w:r>
      <w:r>
        <w:rPr>
          <w:color w:val="231F20"/>
        </w:rPr>
        <w:t>se</w:t>
      </w:r>
      <w:r>
        <w:rPr>
          <w:color w:val="231F20"/>
          <w:spacing w:val="-6"/>
        </w:rPr>
        <w:t> </w:t>
      </w:r>
      <w:r>
        <w:rPr>
          <w:color w:val="231F20"/>
        </w:rPr>
        <w:t>refiere</w:t>
      </w:r>
      <w:r>
        <w:rPr>
          <w:color w:val="231F20"/>
          <w:spacing w:val="-6"/>
        </w:rPr>
        <w:t> </w:t>
      </w:r>
      <w:r>
        <w:rPr>
          <w:color w:val="231F20"/>
        </w:rPr>
        <w:t>al</w:t>
      </w:r>
      <w:r>
        <w:rPr>
          <w:color w:val="231F20"/>
          <w:spacing w:val="-6"/>
        </w:rPr>
        <w:t> </w:t>
      </w:r>
      <w:r>
        <w:rPr>
          <w:color w:val="231F20"/>
        </w:rPr>
        <w:t>sector</w:t>
      </w:r>
      <w:r>
        <w:rPr>
          <w:color w:val="231F20"/>
          <w:spacing w:val="-6"/>
        </w:rPr>
        <w:t> </w:t>
      </w:r>
      <w:r>
        <w:rPr>
          <w:color w:val="231F20"/>
        </w:rPr>
        <w:t>terciario</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refugio”</w:t>
      </w:r>
      <w:r>
        <w:rPr>
          <w:color w:val="231F20"/>
          <w:spacing w:val="-6"/>
        </w:rPr>
        <w:t> </w:t>
      </w:r>
      <w:r>
        <w:rPr>
          <w:color w:val="231F20"/>
        </w:rPr>
        <w:t>de la actividad económica</w:t>
      </w:r>
      <w:r>
        <w:rPr>
          <w:color w:val="231F20"/>
          <w:spacing w:val="-2"/>
        </w:rPr>
        <w:t> </w:t>
      </w:r>
      <w:r>
        <w:rPr>
          <w:color w:val="231F20"/>
        </w:rPr>
        <w:t>femenina.</w:t>
      </w:r>
    </w:p>
    <w:p>
      <w:pPr>
        <w:pStyle w:val="BodyText"/>
        <w:spacing w:line="249" w:lineRule="auto" w:before="1"/>
        <w:ind w:left="113" w:right="108" w:firstLine="283"/>
        <w:jc w:val="both"/>
      </w:pPr>
      <w:r>
        <w:rPr>
          <w:color w:val="231F20"/>
        </w:rPr>
        <w:t>Ha quedado documentado, como dice Martínez, que en lo que se re- fiere al sector terciario:</w:t>
      </w:r>
    </w:p>
    <w:p>
      <w:pPr>
        <w:pStyle w:val="BodyText"/>
        <w:spacing w:line="249" w:lineRule="auto" w:before="114"/>
        <w:ind w:left="397" w:right="107" w:firstLine="53"/>
        <w:jc w:val="both"/>
      </w:pPr>
      <w:r>
        <w:rPr>
          <w:color w:val="231F20"/>
        </w:rPr>
        <w:t>[…] algunos efectos de la reestructuración económica tales como la contratación del mercado interno debido a la sustitución creciente de productos nacionales por bienes importados y la reorientación de la inversión</w:t>
      </w:r>
      <w:r>
        <w:rPr>
          <w:color w:val="231F20"/>
          <w:spacing w:val="-9"/>
        </w:rPr>
        <w:t> </w:t>
      </w:r>
      <w:r>
        <w:rPr>
          <w:color w:val="231F20"/>
        </w:rPr>
        <w:t>directa</w:t>
      </w:r>
      <w:r>
        <w:rPr>
          <w:color w:val="231F20"/>
          <w:spacing w:val="-9"/>
        </w:rPr>
        <w:t> </w:t>
      </w:r>
      <w:r>
        <w:rPr>
          <w:color w:val="231F20"/>
        </w:rPr>
        <w:t>de</w:t>
      </w:r>
      <w:r>
        <w:rPr>
          <w:color w:val="231F20"/>
          <w:spacing w:val="-9"/>
        </w:rPr>
        <w:t> </w:t>
      </w:r>
      <w:r>
        <w:rPr>
          <w:color w:val="231F20"/>
        </w:rPr>
        <w:t>origen</w:t>
      </w:r>
      <w:r>
        <w:rPr>
          <w:color w:val="231F20"/>
          <w:spacing w:val="-9"/>
        </w:rPr>
        <w:t> </w:t>
      </w:r>
      <w:r>
        <w:rPr>
          <w:color w:val="231F20"/>
        </w:rPr>
        <w:t>nacional</w:t>
      </w:r>
      <w:r>
        <w:rPr>
          <w:color w:val="231F20"/>
          <w:spacing w:val="-9"/>
        </w:rPr>
        <w:t> </w:t>
      </w:r>
      <w:r>
        <w:rPr>
          <w:color w:val="231F20"/>
        </w:rPr>
        <w:t>hacia</w:t>
      </w:r>
      <w:r>
        <w:rPr>
          <w:color w:val="231F20"/>
          <w:spacing w:val="-9"/>
        </w:rPr>
        <w:t> </w:t>
      </w:r>
      <w:r>
        <w:rPr>
          <w:color w:val="231F20"/>
        </w:rPr>
        <w:t>el</w:t>
      </w:r>
      <w:r>
        <w:rPr>
          <w:color w:val="231F20"/>
          <w:spacing w:val="-9"/>
        </w:rPr>
        <w:t> </w:t>
      </w:r>
      <w:r>
        <w:rPr>
          <w:color w:val="231F20"/>
        </w:rPr>
        <w:t>comercio</w:t>
      </w:r>
      <w:r>
        <w:rPr>
          <w:color w:val="231F20"/>
          <w:spacing w:val="-9"/>
        </w:rPr>
        <w:t> </w:t>
      </w:r>
      <w:r>
        <w:rPr>
          <w:color w:val="231F20"/>
        </w:rPr>
        <w:t>y</w:t>
      </w:r>
      <w:r>
        <w:rPr>
          <w:color w:val="231F20"/>
          <w:spacing w:val="-8"/>
        </w:rPr>
        <w:t> </w:t>
      </w:r>
      <w:r>
        <w:rPr>
          <w:color w:val="231F20"/>
        </w:rPr>
        <w:t>los</w:t>
      </w:r>
      <w:r>
        <w:rPr>
          <w:color w:val="231F20"/>
          <w:spacing w:val="-9"/>
        </w:rPr>
        <w:t> </w:t>
      </w:r>
      <w:r>
        <w:rPr>
          <w:color w:val="231F20"/>
        </w:rPr>
        <w:t>servicios, han</w:t>
      </w:r>
      <w:r>
        <w:rPr>
          <w:color w:val="231F20"/>
          <w:spacing w:val="-12"/>
        </w:rPr>
        <w:t> </w:t>
      </w:r>
      <w:r>
        <w:rPr>
          <w:color w:val="231F20"/>
        </w:rPr>
        <w:t>provocado</w:t>
      </w:r>
      <w:r>
        <w:rPr>
          <w:color w:val="231F20"/>
          <w:spacing w:val="-12"/>
        </w:rPr>
        <w:t> </w:t>
      </w:r>
      <w:r>
        <w:rPr>
          <w:color w:val="231F20"/>
        </w:rPr>
        <w:t>una</w:t>
      </w:r>
      <w:r>
        <w:rPr>
          <w:color w:val="231F20"/>
          <w:spacing w:val="-12"/>
        </w:rPr>
        <w:t> </w:t>
      </w:r>
      <w:r>
        <w:rPr>
          <w:color w:val="231F20"/>
        </w:rPr>
        <w:t>tendencia</w:t>
      </w:r>
      <w:r>
        <w:rPr>
          <w:color w:val="231F20"/>
          <w:spacing w:val="-12"/>
        </w:rPr>
        <w:t> </w:t>
      </w:r>
      <w:r>
        <w:rPr>
          <w:color w:val="231F20"/>
        </w:rPr>
        <w:t>sostenida</w:t>
      </w:r>
      <w:r>
        <w:rPr>
          <w:color w:val="231F20"/>
          <w:spacing w:val="-11"/>
        </w:rPr>
        <w:t> </w:t>
      </w:r>
      <w:r>
        <w:rPr>
          <w:color w:val="231F20"/>
        </w:rPr>
        <w:t>hacia</w:t>
      </w:r>
      <w:r>
        <w:rPr>
          <w:color w:val="231F20"/>
          <w:spacing w:val="-12"/>
        </w:rPr>
        <w:t> </w:t>
      </w:r>
      <w:r>
        <w:rPr>
          <w:color w:val="231F20"/>
        </w:rPr>
        <w:t>la</w:t>
      </w:r>
      <w:r>
        <w:rPr>
          <w:color w:val="231F20"/>
          <w:spacing w:val="-12"/>
        </w:rPr>
        <w:t> </w:t>
      </w:r>
      <w:r>
        <w:rPr>
          <w:color w:val="231F20"/>
        </w:rPr>
        <w:t>terciarización</w:t>
      </w:r>
      <w:r>
        <w:rPr>
          <w:color w:val="231F20"/>
          <w:spacing w:val="-13"/>
        </w:rPr>
        <w:t> </w:t>
      </w:r>
      <w:r>
        <w:rPr>
          <w:color w:val="231F20"/>
        </w:rPr>
        <w:t>del</w:t>
      </w:r>
      <w:r>
        <w:rPr>
          <w:color w:val="231F20"/>
          <w:spacing w:val="-12"/>
        </w:rPr>
        <w:t> </w:t>
      </w:r>
      <w:r>
        <w:rPr>
          <w:color w:val="231F20"/>
        </w:rPr>
        <w:t>em- pleo. Este proceso ha sido acompañado de un incremento del trabajo no</w:t>
      </w:r>
      <w:r>
        <w:rPr>
          <w:color w:val="231F20"/>
          <w:spacing w:val="-9"/>
        </w:rPr>
        <w:t> </w:t>
      </w:r>
      <w:r>
        <w:rPr>
          <w:color w:val="231F20"/>
        </w:rPr>
        <w:t>asalariado,</w:t>
      </w:r>
      <w:r>
        <w:rPr>
          <w:color w:val="231F20"/>
          <w:spacing w:val="-10"/>
        </w:rPr>
        <w:t> </w:t>
      </w:r>
      <w:r>
        <w:rPr>
          <w:color w:val="231F20"/>
        </w:rPr>
        <w:t>del</w:t>
      </w:r>
      <w:r>
        <w:rPr>
          <w:color w:val="231F20"/>
          <w:spacing w:val="-9"/>
        </w:rPr>
        <w:t> </w:t>
      </w:r>
      <w:r>
        <w:rPr>
          <w:color w:val="231F20"/>
        </w:rPr>
        <w:t>crecimiento</w:t>
      </w:r>
      <w:r>
        <w:rPr>
          <w:color w:val="231F20"/>
          <w:spacing w:val="-10"/>
        </w:rPr>
        <w:t> </w:t>
      </w:r>
      <w:r>
        <w:rPr>
          <w:color w:val="231F20"/>
        </w:rPr>
        <w:t>de</w:t>
      </w:r>
      <w:r>
        <w:rPr>
          <w:color w:val="231F20"/>
          <w:spacing w:val="-9"/>
        </w:rPr>
        <w:t> </w:t>
      </w:r>
      <w:r>
        <w:rPr>
          <w:color w:val="231F20"/>
        </w:rPr>
        <w:t>pequeñas</w:t>
      </w:r>
      <w:r>
        <w:rPr>
          <w:color w:val="231F20"/>
          <w:spacing w:val="-9"/>
        </w:rPr>
        <w:t> </w:t>
      </w:r>
      <w:r>
        <w:rPr>
          <w:color w:val="231F20"/>
        </w:rPr>
        <w:t>unidades</w:t>
      </w:r>
      <w:r>
        <w:rPr>
          <w:color w:val="231F20"/>
          <w:spacing w:val="-9"/>
        </w:rPr>
        <w:t> </w:t>
      </w:r>
      <w:r>
        <w:rPr>
          <w:color w:val="231F20"/>
        </w:rPr>
        <w:t>económicas</w:t>
      </w:r>
      <w:r>
        <w:rPr>
          <w:color w:val="231F20"/>
          <w:spacing w:val="-9"/>
        </w:rPr>
        <w:t> </w:t>
      </w:r>
      <w:r>
        <w:rPr>
          <w:color w:val="231F20"/>
        </w:rPr>
        <w:t>y</w:t>
      </w:r>
      <w:r>
        <w:rPr>
          <w:color w:val="231F20"/>
          <w:spacing w:val="-9"/>
        </w:rPr>
        <w:t> </w:t>
      </w:r>
      <w:r>
        <w:rPr>
          <w:color w:val="231F20"/>
        </w:rPr>
        <w:t>de la precariedad laboral (Martínez, 2006:</w:t>
      </w:r>
      <w:r>
        <w:rPr>
          <w:color w:val="231F20"/>
          <w:spacing w:val="-1"/>
        </w:rPr>
        <w:t> </w:t>
      </w:r>
      <w:r>
        <w:rPr>
          <w:color w:val="231F20"/>
        </w:rPr>
        <w:t>5).</w:t>
      </w:r>
    </w:p>
    <w:p>
      <w:pPr>
        <w:pStyle w:val="BodyText"/>
        <w:spacing w:line="249" w:lineRule="auto" w:before="114"/>
        <w:ind w:left="113" w:right="107" w:firstLine="283"/>
        <w:jc w:val="both"/>
      </w:pPr>
      <w:r>
        <w:rPr>
          <w:color w:val="231F20"/>
        </w:rPr>
        <w:t>Las mujeres tienden a predominar en este sector porque estas ocupa- ciones son consideradas “propias de la mujer”, ya que se perciben como una extensión del papel femenino en el hogar (Ramírez </w:t>
      </w:r>
      <w:r>
        <w:rPr>
          <w:i/>
          <w:color w:val="231F20"/>
        </w:rPr>
        <w:t>et al</w:t>
      </w:r>
      <w:r>
        <w:rPr>
          <w:color w:val="231F20"/>
        </w:rPr>
        <w:t>., 1991 en Enciso, 1999: 48), lo que hizo que durante los setenta,ochenta e incluso los noventa, la población masculina se rehusara a ser partícipe de este sector donde encontramos cajeras de bancos, enfermeras, secretarias,</w:t>
      </w:r>
      <w:r>
        <w:rPr>
          <w:color w:val="231F20"/>
          <w:spacing w:val="-30"/>
        </w:rPr>
        <w:t> </w:t>
      </w:r>
      <w:r>
        <w:rPr>
          <w:color w:val="231F20"/>
        </w:rPr>
        <w:t>re- cepcionistas e incluso educadoras, por mencionar algunos; sin embargo esta situación en el nuevo milenio se ve modificada, donde hombres se han integrado a este sector laboral ante el creciente campo laboral de los llamados </w:t>
      </w:r>
      <w:r>
        <w:rPr>
          <w:i/>
          <w:color w:val="231F20"/>
        </w:rPr>
        <w:t>call centers </w:t>
      </w:r>
      <w:r>
        <w:rPr>
          <w:color w:val="231F20"/>
        </w:rPr>
        <w:t>(tanto monolingües como bilingües), “servicios al cliente”, y demás necesidades de las empresas transnacionales y de con- sumo que se han vuelto “propias” de la</w:t>
      </w:r>
      <w:r>
        <w:rPr>
          <w:color w:val="231F20"/>
          <w:spacing w:val="-14"/>
        </w:rPr>
        <w:t> </w:t>
      </w:r>
      <w:r>
        <w:rPr>
          <w:color w:val="231F20"/>
        </w:rPr>
        <w:t>sociedad.</w:t>
      </w:r>
    </w:p>
    <w:p>
      <w:pPr>
        <w:pStyle w:val="BodyText"/>
        <w:spacing w:line="249" w:lineRule="auto" w:before="1"/>
        <w:ind w:left="113" w:right="108" w:firstLine="283"/>
        <w:jc w:val="both"/>
      </w:pPr>
      <w:r>
        <w:rPr>
          <w:color w:val="231F20"/>
        </w:rPr>
        <w:t>Es entonces que el conocimiento de un grupo de mujeres mayores</w:t>
      </w:r>
      <w:r>
        <w:rPr>
          <w:color w:val="231F20"/>
          <w:spacing w:val="-24"/>
        </w:rPr>
        <w:t> </w:t>
      </w:r>
      <w:r>
        <w:rPr>
          <w:color w:val="231F20"/>
        </w:rPr>
        <w:t>de 60 años, con una historia activa de trabajo remunerado integrado a  </w:t>
      </w:r>
      <w:r>
        <w:rPr>
          <w:color w:val="231F20"/>
          <w:spacing w:val="49"/>
        </w:rPr>
        <w:t> </w:t>
      </w:r>
      <w:r>
        <w:rPr>
          <w:color w:val="231F20"/>
        </w:rPr>
        <w:t>sus</w:t>
      </w:r>
    </w:p>
    <w:p>
      <w:pPr>
        <w:spacing w:after="0" w:line="249" w:lineRule="auto"/>
        <w:jc w:val="both"/>
        <w:sectPr>
          <w:footerReference w:type="default" r:id="rId272"/>
          <w:pgSz w:w="7770" w:h="11740"/>
          <w:pgMar w:footer="474" w:header="0" w:top="840" w:bottom="660" w:left="1020" w:right="740"/>
          <w:pgNumType w:start="253"/>
        </w:sectPr>
      </w:pPr>
    </w:p>
    <w:p>
      <w:pPr>
        <w:pStyle w:val="BodyText"/>
        <w:spacing w:line="249" w:lineRule="auto" w:before="60"/>
        <w:ind w:left="110" w:right="111"/>
        <w:jc w:val="both"/>
      </w:pPr>
      <w:r>
        <w:rPr>
          <w:color w:val="231F20"/>
        </w:rPr>
        <w:t>responsabilidades domésticas tradicionales, realizado en una época en</w:t>
      </w:r>
      <w:r>
        <w:rPr>
          <w:color w:val="231F20"/>
          <w:spacing w:val="-17"/>
        </w:rPr>
        <w:t> </w:t>
      </w:r>
      <w:r>
        <w:rPr>
          <w:color w:val="231F20"/>
        </w:rPr>
        <w:t>la que las reivindicaciones de género eran prácticamente inexistentes y las mujeres aún eran consideradas como un grupo subordinado, es decir, en condiciones de desigualdad frente al hombre</w:t>
      </w:r>
      <w:r>
        <w:rPr>
          <w:color w:val="231F20"/>
          <w:position w:val="7"/>
          <w:sz w:val="11"/>
        </w:rPr>
        <w:t>5 </w:t>
      </w:r>
      <w:r>
        <w:rPr>
          <w:color w:val="231F20"/>
        </w:rPr>
        <w:t>resulta no sólo interesante sino</w:t>
      </w:r>
      <w:r>
        <w:rPr>
          <w:color w:val="231F20"/>
          <w:spacing w:val="-10"/>
        </w:rPr>
        <w:t> </w:t>
      </w:r>
      <w:r>
        <w:rPr>
          <w:color w:val="231F20"/>
        </w:rPr>
        <w:t>necesario</w:t>
      </w:r>
      <w:r>
        <w:rPr>
          <w:color w:val="231F20"/>
          <w:spacing w:val="-11"/>
        </w:rPr>
        <w:t> </w:t>
      </w:r>
      <w:r>
        <w:rPr>
          <w:color w:val="231F20"/>
        </w:rPr>
        <w:t>para,</w:t>
      </w:r>
      <w:r>
        <w:rPr>
          <w:color w:val="231F20"/>
          <w:spacing w:val="-11"/>
        </w:rPr>
        <w:t> </w:t>
      </w:r>
      <w:r>
        <w:rPr>
          <w:color w:val="231F20"/>
        </w:rPr>
        <w:t>desde</w:t>
      </w:r>
      <w:r>
        <w:rPr>
          <w:color w:val="231F20"/>
          <w:spacing w:val="-11"/>
        </w:rPr>
        <w:t> </w:t>
      </w:r>
      <w:r>
        <w:rPr>
          <w:color w:val="231F20"/>
        </w:rPr>
        <w:t>la</w:t>
      </w:r>
      <w:r>
        <w:rPr>
          <w:color w:val="231F20"/>
          <w:spacing w:val="-11"/>
        </w:rPr>
        <w:t> </w:t>
      </w:r>
      <w:r>
        <w:rPr>
          <w:color w:val="231F20"/>
        </w:rPr>
        <w:t>aproximación</w:t>
      </w:r>
      <w:r>
        <w:rPr>
          <w:color w:val="231F20"/>
          <w:spacing w:val="-11"/>
        </w:rPr>
        <w:t> </w:t>
      </w:r>
      <w:r>
        <w:rPr>
          <w:color w:val="231F20"/>
        </w:rPr>
        <w:t>cualitativa,</w:t>
      </w:r>
      <w:r>
        <w:rPr>
          <w:color w:val="231F20"/>
          <w:spacing w:val="-11"/>
        </w:rPr>
        <w:t> </w:t>
      </w:r>
      <w:r>
        <w:rPr>
          <w:color w:val="231F20"/>
        </w:rPr>
        <w:t>explorar,</w:t>
      </w:r>
      <w:r>
        <w:rPr>
          <w:color w:val="231F20"/>
          <w:spacing w:val="-11"/>
        </w:rPr>
        <w:t> </w:t>
      </w:r>
      <w:r>
        <w:rPr>
          <w:color w:val="231F20"/>
        </w:rPr>
        <w:t>desde</w:t>
      </w:r>
      <w:r>
        <w:rPr>
          <w:color w:val="231F20"/>
          <w:spacing w:val="-11"/>
        </w:rPr>
        <w:t> </w:t>
      </w:r>
      <w:r>
        <w:rPr>
          <w:color w:val="231F20"/>
        </w:rPr>
        <w:t>su condición actual de vejez, las modificaciones que sus actividades labo- rales introdujeron en su vida cotidiana y en sus relaciones familiares</w:t>
      </w:r>
      <w:r>
        <w:rPr>
          <w:color w:val="231F20"/>
          <w:spacing w:val="-34"/>
        </w:rPr>
        <w:t> </w:t>
      </w:r>
      <w:r>
        <w:rPr>
          <w:color w:val="231F20"/>
        </w:rPr>
        <w:t>―y precedieron al movimiento reivindicatorio feminista― y establecer las relaciones</w:t>
      </w:r>
      <w:r>
        <w:rPr>
          <w:color w:val="231F20"/>
          <w:spacing w:val="-6"/>
        </w:rPr>
        <w:t> </w:t>
      </w:r>
      <w:r>
        <w:rPr>
          <w:color w:val="231F20"/>
        </w:rPr>
        <w:t>que</w:t>
      </w:r>
      <w:r>
        <w:rPr>
          <w:color w:val="231F20"/>
          <w:spacing w:val="-6"/>
        </w:rPr>
        <w:t> </w:t>
      </w:r>
      <w:r>
        <w:rPr>
          <w:color w:val="231F20"/>
        </w:rPr>
        <w:t>existen</w:t>
      </w:r>
      <w:r>
        <w:rPr>
          <w:color w:val="231F20"/>
          <w:spacing w:val="-7"/>
        </w:rPr>
        <w:t> </w:t>
      </w:r>
      <w:r>
        <w:rPr>
          <w:color w:val="231F20"/>
        </w:rPr>
        <w:t>entre</w:t>
      </w:r>
      <w:r>
        <w:rPr>
          <w:color w:val="231F20"/>
          <w:spacing w:val="-7"/>
        </w:rPr>
        <w:t> </w:t>
      </w:r>
      <w:r>
        <w:rPr>
          <w:color w:val="231F20"/>
        </w:rPr>
        <w:t>su</w:t>
      </w:r>
      <w:r>
        <w:rPr>
          <w:color w:val="231F20"/>
          <w:spacing w:val="-6"/>
        </w:rPr>
        <w:t> </w:t>
      </w:r>
      <w:r>
        <w:rPr>
          <w:color w:val="231F20"/>
        </w:rPr>
        <w:t>manera</w:t>
      </w:r>
      <w:r>
        <w:rPr>
          <w:color w:val="231F20"/>
          <w:spacing w:val="-7"/>
        </w:rPr>
        <w:t> </w:t>
      </w:r>
      <w:r>
        <w:rPr>
          <w:color w:val="231F20"/>
        </w:rPr>
        <w:t>de</w:t>
      </w:r>
      <w:r>
        <w:rPr>
          <w:color w:val="231F20"/>
          <w:spacing w:val="-6"/>
        </w:rPr>
        <w:t> </w:t>
      </w:r>
      <w:r>
        <w:rPr>
          <w:color w:val="231F20"/>
        </w:rPr>
        <w:t>vivir</w:t>
      </w:r>
      <w:r>
        <w:rPr>
          <w:color w:val="231F20"/>
          <w:spacing w:val="-6"/>
        </w:rPr>
        <w:t> </w:t>
      </w:r>
      <w:r>
        <w:rPr>
          <w:color w:val="231F20"/>
        </w:rPr>
        <w:t>la</w:t>
      </w:r>
      <w:r>
        <w:rPr>
          <w:color w:val="231F20"/>
          <w:spacing w:val="-6"/>
        </w:rPr>
        <w:t> </w:t>
      </w:r>
      <w:r>
        <w:rPr>
          <w:color w:val="231F20"/>
        </w:rPr>
        <w:t>vejez</w:t>
      </w:r>
      <w:r>
        <w:rPr>
          <w:color w:val="231F20"/>
          <w:spacing w:val="-7"/>
        </w:rPr>
        <w:t> </w:t>
      </w:r>
      <w:r>
        <w:rPr>
          <w:color w:val="231F20"/>
        </w:rPr>
        <w:t>y</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de su vida familiar y</w:t>
      </w:r>
      <w:r>
        <w:rPr>
          <w:color w:val="231F20"/>
          <w:spacing w:val="-1"/>
        </w:rPr>
        <w:t> </w:t>
      </w:r>
      <w:r>
        <w:rPr>
          <w:color w:val="231F20"/>
        </w:rPr>
        <w:t>laboral.</w:t>
      </w:r>
    </w:p>
    <w:p>
      <w:pPr>
        <w:pStyle w:val="BodyText"/>
        <w:spacing w:line="249" w:lineRule="auto" w:before="1"/>
        <w:ind w:left="110" w:right="111" w:firstLine="283"/>
        <w:jc w:val="both"/>
      </w:pPr>
      <w:r>
        <w:rPr>
          <w:color w:val="231F20"/>
        </w:rPr>
        <w:t>Si Freud dice que infancia es destino, ¿podemos aventurar que, en términos sociales, juventud y madurez conforman la futura vejez? ¿Hay diferencias</w:t>
      </w:r>
      <w:r>
        <w:rPr>
          <w:color w:val="231F20"/>
          <w:spacing w:val="-8"/>
        </w:rPr>
        <w:t> </w:t>
      </w:r>
      <w:r>
        <w:rPr>
          <w:color w:val="231F20"/>
        </w:rPr>
        <w:t>sustantivas</w:t>
      </w:r>
      <w:r>
        <w:rPr>
          <w:color w:val="231F20"/>
          <w:spacing w:val="-8"/>
        </w:rPr>
        <w:t> </w:t>
      </w:r>
      <w:r>
        <w:rPr>
          <w:color w:val="231F20"/>
        </w:rPr>
        <w:t>entre</w:t>
      </w:r>
      <w:r>
        <w:rPr>
          <w:color w:val="231F20"/>
          <w:spacing w:val="-9"/>
        </w:rPr>
        <w:t> </w:t>
      </w:r>
      <w:r>
        <w:rPr>
          <w:color w:val="231F20"/>
        </w:rPr>
        <w:t>la</w:t>
      </w:r>
      <w:r>
        <w:rPr>
          <w:color w:val="231F20"/>
          <w:spacing w:val="-8"/>
        </w:rPr>
        <w:t> </w:t>
      </w:r>
      <w:r>
        <w:rPr>
          <w:color w:val="231F20"/>
        </w:rPr>
        <w:t>manera</w:t>
      </w:r>
      <w:r>
        <w:rPr>
          <w:color w:val="231F20"/>
          <w:spacing w:val="-9"/>
        </w:rPr>
        <w:t> </w:t>
      </w:r>
      <w:r>
        <w:rPr>
          <w:color w:val="231F20"/>
        </w:rPr>
        <w:t>de</w:t>
      </w:r>
      <w:r>
        <w:rPr>
          <w:color w:val="231F20"/>
          <w:spacing w:val="-8"/>
        </w:rPr>
        <w:t> </w:t>
      </w:r>
      <w:r>
        <w:rPr>
          <w:color w:val="231F20"/>
        </w:rPr>
        <w:t>afrontar</w:t>
      </w:r>
      <w:r>
        <w:rPr>
          <w:color w:val="231F20"/>
          <w:spacing w:val="-9"/>
        </w:rPr>
        <w:t> </w:t>
      </w:r>
      <w:r>
        <w:rPr>
          <w:color w:val="231F20"/>
        </w:rPr>
        <w:t>este</w:t>
      </w:r>
      <w:r>
        <w:rPr>
          <w:color w:val="231F20"/>
          <w:spacing w:val="-9"/>
        </w:rPr>
        <w:t> </w:t>
      </w:r>
      <w:r>
        <w:rPr>
          <w:color w:val="231F20"/>
        </w:rPr>
        <w:t>periodo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vida entre aquellas mujeres que tuvieron un trabajo remunerado y las que de- dicaron sólo al trabajo doméstico? ¿cómo son sus relaciones familiares actualmente? Los ejes de este trabajo son entonces: el trabajo, el</w:t>
      </w:r>
      <w:r>
        <w:rPr>
          <w:color w:val="231F20"/>
          <w:spacing w:val="-19"/>
        </w:rPr>
        <w:t> </w:t>
      </w:r>
      <w:r>
        <w:rPr>
          <w:color w:val="231F20"/>
        </w:rPr>
        <w:t>género, la familia y la vejez.</w:t>
      </w:r>
    </w:p>
    <w:p>
      <w:pPr>
        <w:pStyle w:val="Heading4"/>
        <w:ind w:left="110"/>
      </w:pPr>
      <w:r>
        <w:rPr>
          <w:w w:val="75"/>
        </w:rPr>
        <w:t>El trabajo femenino</w:t>
      </w:r>
    </w:p>
    <w:p>
      <w:pPr>
        <w:pStyle w:val="BodyText"/>
        <w:spacing w:line="249" w:lineRule="auto" w:before="171"/>
        <w:ind w:left="110" w:right="111"/>
        <w:jc w:val="both"/>
      </w:pPr>
      <w:r>
        <w:rPr>
          <w:color w:val="231F20"/>
        </w:rPr>
        <w:t>El</w:t>
      </w:r>
      <w:r>
        <w:rPr>
          <w:color w:val="231F20"/>
          <w:spacing w:val="-6"/>
        </w:rPr>
        <w:t> </w:t>
      </w:r>
      <w:r>
        <w:rPr>
          <w:color w:val="231F20"/>
        </w:rPr>
        <w:t>interés</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investigación</w:t>
      </w:r>
      <w:r>
        <w:rPr>
          <w:color w:val="231F20"/>
          <w:spacing w:val="-7"/>
        </w:rPr>
        <w:t> </w:t>
      </w:r>
      <w:r>
        <w:rPr>
          <w:color w:val="231F20"/>
        </w:rPr>
        <w:t>relacionando</w:t>
      </w:r>
      <w:r>
        <w:rPr>
          <w:color w:val="231F20"/>
          <w:spacing w:val="-6"/>
        </w:rPr>
        <w:t> </w:t>
      </w:r>
      <w:r>
        <w:rPr>
          <w:color w:val="231F20"/>
        </w:rPr>
        <w:t>dos</w:t>
      </w:r>
      <w:r>
        <w:rPr>
          <w:color w:val="231F20"/>
          <w:spacing w:val="-6"/>
        </w:rPr>
        <w:t> </w:t>
      </w:r>
      <w:r>
        <w:rPr>
          <w:color w:val="231F20"/>
        </w:rPr>
        <w:t>ejes,</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géne- ro no es nuevo, existen trabajos bien desarrollados relacionando ambos temas e incluso existen los que observan a mujeres envejecidas que</w:t>
      </w:r>
      <w:r>
        <w:rPr>
          <w:color w:val="231F20"/>
          <w:spacing w:val="-16"/>
        </w:rPr>
        <w:t> </w:t>
      </w:r>
      <w:r>
        <w:rPr>
          <w:color w:val="231F20"/>
        </w:rPr>
        <w:t>con- servan una vida activa remunerada o los que estudian la dinámica fami- liar en torno a ellas. Ahora bien, el aporte principal de esta</w:t>
      </w:r>
      <w:r>
        <w:rPr>
          <w:color w:val="231F20"/>
          <w:spacing w:val="-27"/>
        </w:rPr>
        <w:t> </w:t>
      </w:r>
      <w:r>
        <w:rPr>
          <w:color w:val="231F20"/>
        </w:rPr>
        <w:t>investigación es que plantea que la trayectoria laboral pasada de las mujeres estudia- das,</w:t>
      </w:r>
      <w:r>
        <w:rPr>
          <w:color w:val="231F20"/>
          <w:spacing w:val="-9"/>
        </w:rPr>
        <w:t> </w:t>
      </w:r>
      <w:r>
        <w:rPr>
          <w:color w:val="231F20"/>
        </w:rPr>
        <w:t>tiene</w:t>
      </w:r>
      <w:r>
        <w:rPr>
          <w:color w:val="231F20"/>
          <w:spacing w:val="-9"/>
        </w:rPr>
        <w:t> </w:t>
      </w:r>
      <w:r>
        <w:rPr>
          <w:color w:val="231F20"/>
        </w:rPr>
        <w:t>consecuencias</w:t>
      </w:r>
      <w:r>
        <w:rPr>
          <w:color w:val="231F20"/>
          <w:spacing w:val="-10"/>
        </w:rPr>
        <w:t> </w:t>
      </w:r>
      <w:r>
        <w:rPr>
          <w:color w:val="231F20"/>
        </w:rPr>
        <w:t>en</w:t>
      </w:r>
      <w:r>
        <w:rPr>
          <w:color w:val="231F20"/>
          <w:spacing w:val="-9"/>
        </w:rPr>
        <w:t> </w:t>
      </w:r>
      <w:r>
        <w:rPr>
          <w:color w:val="231F20"/>
        </w:rPr>
        <w:t>los</w:t>
      </w:r>
      <w:r>
        <w:rPr>
          <w:color w:val="231F20"/>
          <w:spacing w:val="-9"/>
        </w:rPr>
        <w:t> </w:t>
      </w:r>
      <w:r>
        <w:rPr>
          <w:color w:val="231F20"/>
        </w:rPr>
        <w:t>diferentes</w:t>
      </w:r>
      <w:r>
        <w:rPr>
          <w:color w:val="231F20"/>
          <w:spacing w:val="-9"/>
        </w:rPr>
        <w:t> </w:t>
      </w:r>
      <w:r>
        <w:rPr>
          <w:color w:val="231F20"/>
        </w:rPr>
        <w:t>ámbitos</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vida</w:t>
      </w:r>
      <w:r>
        <w:rPr>
          <w:color w:val="231F20"/>
          <w:spacing w:val="-9"/>
        </w:rPr>
        <w:t> </w:t>
      </w:r>
      <w:r>
        <w:rPr>
          <w:color w:val="231F20"/>
        </w:rPr>
        <w:t>como</w:t>
      </w:r>
      <w:r>
        <w:rPr>
          <w:color w:val="231F20"/>
          <w:spacing w:val="-9"/>
        </w:rPr>
        <w:t> </w:t>
      </w:r>
      <w:r>
        <w:rPr>
          <w:color w:val="231F20"/>
        </w:rPr>
        <w:t>mujer anciana. Se observa qué sucede con estas mujeres que fueron trabajado- ras</w:t>
      </w:r>
      <w:r>
        <w:rPr>
          <w:color w:val="231F20"/>
          <w:spacing w:val="-11"/>
        </w:rPr>
        <w:t> </w:t>
      </w:r>
      <w:r>
        <w:rPr>
          <w:color w:val="231F20"/>
        </w:rPr>
        <w:t>durante</w:t>
      </w:r>
      <w:r>
        <w:rPr>
          <w:color w:val="231F20"/>
          <w:spacing w:val="-11"/>
        </w:rPr>
        <w:t> </w:t>
      </w:r>
      <w:r>
        <w:rPr>
          <w:color w:val="231F20"/>
        </w:rPr>
        <w:t>un</w:t>
      </w:r>
      <w:r>
        <w:rPr>
          <w:color w:val="231F20"/>
          <w:spacing w:val="-11"/>
        </w:rPr>
        <w:t> </w:t>
      </w:r>
      <w:r>
        <w:rPr>
          <w:color w:val="231F20"/>
        </w:rPr>
        <w:t>tiempo</w:t>
      </w:r>
      <w:r>
        <w:rPr>
          <w:color w:val="231F20"/>
          <w:spacing w:val="-11"/>
        </w:rPr>
        <w:t> </w:t>
      </w:r>
      <w:r>
        <w:rPr>
          <w:color w:val="231F20"/>
        </w:rPr>
        <w:t>prolongado</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propia</w:t>
      </w:r>
      <w:r>
        <w:rPr>
          <w:color w:val="231F20"/>
          <w:spacing w:val="-11"/>
        </w:rPr>
        <w:t> </w:t>
      </w:r>
      <w:r>
        <w:rPr>
          <w:color w:val="231F20"/>
        </w:rPr>
        <w:t>historia</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y</w:t>
      </w:r>
      <w:r>
        <w:rPr>
          <w:color w:val="231F20"/>
          <w:spacing w:val="-11"/>
        </w:rPr>
        <w:t> </w:t>
      </w:r>
      <w:r>
        <w:rPr>
          <w:color w:val="231F20"/>
        </w:rPr>
        <w:t>qué</w:t>
      </w:r>
      <w:r>
        <w:rPr>
          <w:color w:val="231F20"/>
          <w:spacing w:val="-11"/>
        </w:rPr>
        <w:t> </w:t>
      </w:r>
      <w:r>
        <w:rPr>
          <w:color w:val="231F20"/>
        </w:rPr>
        <w:t>pasa después</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vida</w:t>
      </w:r>
      <w:r>
        <w:rPr>
          <w:color w:val="231F20"/>
          <w:spacing w:val="-4"/>
        </w:rPr>
        <w:t> </w:t>
      </w:r>
      <w:r>
        <w:rPr>
          <w:color w:val="231F20"/>
        </w:rPr>
        <w:t>cotidiana,</w:t>
      </w:r>
      <w:r>
        <w:rPr>
          <w:color w:val="231F20"/>
          <w:spacing w:val="-5"/>
        </w:rPr>
        <w:t> </w:t>
      </w:r>
      <w:r>
        <w:rPr>
          <w:color w:val="231F20"/>
        </w:rPr>
        <w:t>sus</w:t>
      </w:r>
      <w:r>
        <w:rPr>
          <w:color w:val="231F20"/>
          <w:spacing w:val="-4"/>
        </w:rPr>
        <w:t> </w:t>
      </w:r>
      <w:r>
        <w:rPr>
          <w:color w:val="231F20"/>
        </w:rPr>
        <w:t>actividades</w:t>
      </w:r>
      <w:r>
        <w:rPr>
          <w:color w:val="231F20"/>
          <w:spacing w:val="-5"/>
        </w:rPr>
        <w:t> </w:t>
      </w:r>
      <w:r>
        <w:rPr>
          <w:color w:val="231F20"/>
        </w:rPr>
        <w:t>diarias,</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vida</w:t>
      </w:r>
      <w:r>
        <w:rPr>
          <w:color w:val="231F20"/>
          <w:spacing w:val="-4"/>
        </w:rPr>
        <w:t> </w:t>
      </w:r>
      <w:r>
        <w:rPr>
          <w:color w:val="231F20"/>
        </w:rPr>
        <w:t>familiar, etc.; en pocas palabras en su entorno</w:t>
      </w:r>
      <w:r>
        <w:rPr>
          <w:color w:val="231F20"/>
          <w:spacing w:val="-19"/>
        </w:rPr>
        <w:t> </w:t>
      </w:r>
      <w:r>
        <w:rPr>
          <w:color w:val="231F20"/>
        </w:rPr>
        <w:t>sociocultural.</w:t>
      </w:r>
    </w:p>
    <w:p>
      <w:pPr>
        <w:pStyle w:val="BodyText"/>
        <w:spacing w:line="249" w:lineRule="auto" w:before="1"/>
        <w:ind w:left="110" w:right="111" w:firstLine="283"/>
        <w:jc w:val="both"/>
      </w:pPr>
      <w:r>
        <w:rPr>
          <w:color w:val="231F20"/>
        </w:rPr>
        <w:t>Así, la propuesta de este trabajo es relacionar la peculiaridad de mis informantes de ser mujeres envejecidas con una trayectoria laboral pre- via y la manera en que estructuraron su vida familiar.</w:t>
      </w:r>
    </w:p>
    <w:p>
      <w:pPr>
        <w:pStyle w:val="BodyText"/>
        <w:spacing w:line="249" w:lineRule="auto" w:before="1"/>
        <w:ind w:left="110" w:right="111" w:firstLine="283"/>
        <w:jc w:val="both"/>
      </w:pPr>
      <w:r>
        <w:rPr>
          <w:color w:val="231F20"/>
        </w:rPr>
        <w:t>Ahora bien, esta incorporación de las mujeres al mercado laboral no fue</w:t>
      </w:r>
      <w:r>
        <w:rPr>
          <w:color w:val="231F20"/>
          <w:spacing w:val="-9"/>
        </w:rPr>
        <w:t> </w:t>
      </w:r>
      <w:r>
        <w:rPr>
          <w:color w:val="231F20"/>
        </w:rPr>
        <w:t>al</w:t>
      </w:r>
      <w:r>
        <w:rPr>
          <w:color w:val="231F20"/>
          <w:spacing w:val="-9"/>
        </w:rPr>
        <w:t> </w:t>
      </w:r>
      <w:r>
        <w:rPr>
          <w:color w:val="231F20"/>
        </w:rPr>
        <w:t>mismo</w:t>
      </w:r>
      <w:r>
        <w:rPr>
          <w:color w:val="231F20"/>
          <w:spacing w:val="-9"/>
        </w:rPr>
        <w:t> </w:t>
      </w:r>
      <w:r>
        <w:rPr>
          <w:color w:val="231F20"/>
        </w:rPr>
        <w:t>tiempo</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hombres.</w:t>
      </w:r>
      <w:r>
        <w:rPr>
          <w:color w:val="231F20"/>
          <w:spacing w:val="-9"/>
        </w:rPr>
        <w:t> </w:t>
      </w:r>
      <w:r>
        <w:rPr>
          <w:color w:val="231F20"/>
        </w:rPr>
        <w:t>Los</w:t>
      </w:r>
      <w:r>
        <w:rPr>
          <w:color w:val="231F20"/>
          <w:spacing w:val="-9"/>
        </w:rPr>
        <w:t> </w:t>
      </w:r>
      <w:r>
        <w:rPr>
          <w:color w:val="231F20"/>
        </w:rPr>
        <w:t>hombres</w:t>
      </w:r>
      <w:r>
        <w:rPr>
          <w:color w:val="231F20"/>
          <w:spacing w:val="-9"/>
        </w:rPr>
        <w:t> </w:t>
      </w:r>
      <w:r>
        <w:rPr>
          <w:color w:val="231F20"/>
        </w:rPr>
        <w:t>no</w:t>
      </w:r>
      <w:r>
        <w:rPr>
          <w:color w:val="231F20"/>
          <w:spacing w:val="-8"/>
        </w:rPr>
        <w:t> </w:t>
      </w:r>
      <w:r>
        <w:rPr>
          <w:color w:val="231F20"/>
        </w:rPr>
        <w:t>tuvieron</w:t>
      </w:r>
      <w:r>
        <w:rPr>
          <w:color w:val="231F20"/>
          <w:spacing w:val="-9"/>
        </w:rPr>
        <w:t> </w:t>
      </w:r>
      <w:r>
        <w:rPr>
          <w:color w:val="231F20"/>
        </w:rPr>
        <w:t>que incorporarse, simplemente vivieron la entrada de la industrialización en sus vidas, en la vida de las ciudades. Thompson dice que a finales del</w:t>
      </w:r>
      <w:r>
        <w:rPr>
          <w:color w:val="231F20"/>
          <w:spacing w:val="-30"/>
        </w:rPr>
        <w:t> </w:t>
      </w:r>
      <w:r>
        <w:rPr>
          <w:color w:val="231F20"/>
        </w:rPr>
        <w:t>si-</w:t>
      </w:r>
    </w:p>
    <w:p>
      <w:pPr>
        <w:spacing w:before="96"/>
        <w:ind w:left="110" w:right="111" w:firstLine="0"/>
        <w:jc w:val="both"/>
        <w:rPr>
          <w:sz w:val="14"/>
        </w:rPr>
      </w:pPr>
      <w:r>
        <w:rPr>
          <w:color w:val="231F20"/>
          <w:position w:val="5"/>
          <w:sz w:val="8"/>
        </w:rPr>
        <w:t>5 </w:t>
      </w:r>
      <w:r>
        <w:rPr>
          <w:color w:val="231F20"/>
          <w:sz w:val="14"/>
        </w:rPr>
        <w:t>Héritier (1991: 92), por ejemplo, afirma que en las sociedades occidentales la mujer vive subordinada al hombre y que cuando se incorpora al trabajo asalariado debe combinar éste con el trabajo</w:t>
      </w:r>
      <w:r>
        <w:rPr>
          <w:color w:val="231F20"/>
          <w:spacing w:val="-17"/>
          <w:sz w:val="14"/>
        </w:rPr>
        <w:t> </w:t>
      </w:r>
      <w:r>
        <w:rPr>
          <w:color w:val="231F20"/>
          <w:sz w:val="14"/>
        </w:rPr>
        <w:t>doméstico. Reflejo</w:t>
      </w:r>
      <w:r>
        <w:rPr>
          <w:color w:val="231F20"/>
          <w:spacing w:val="-3"/>
          <w:sz w:val="14"/>
        </w:rPr>
        <w:t> </w:t>
      </w:r>
      <w:r>
        <w:rPr>
          <w:color w:val="231F20"/>
          <w:sz w:val="14"/>
        </w:rPr>
        <w:t>de</w:t>
      </w:r>
      <w:r>
        <w:rPr>
          <w:color w:val="231F20"/>
          <w:spacing w:val="-3"/>
          <w:sz w:val="14"/>
        </w:rPr>
        <w:t> </w:t>
      </w:r>
      <w:r>
        <w:rPr>
          <w:color w:val="231F20"/>
          <w:sz w:val="14"/>
        </w:rPr>
        <w:t>esta</w:t>
      </w:r>
      <w:r>
        <w:rPr>
          <w:color w:val="231F20"/>
          <w:spacing w:val="-3"/>
          <w:sz w:val="14"/>
        </w:rPr>
        <w:t> </w:t>
      </w:r>
      <w:r>
        <w:rPr>
          <w:color w:val="231F20"/>
          <w:sz w:val="14"/>
        </w:rPr>
        <w:t>subordinación,</w:t>
      </w:r>
      <w:r>
        <w:rPr>
          <w:color w:val="231F20"/>
          <w:spacing w:val="-3"/>
          <w:sz w:val="14"/>
        </w:rPr>
        <w:t> </w:t>
      </w:r>
      <w:r>
        <w:rPr>
          <w:color w:val="231F20"/>
          <w:sz w:val="14"/>
        </w:rPr>
        <w:t>dice</w:t>
      </w:r>
      <w:r>
        <w:rPr>
          <w:color w:val="231F20"/>
          <w:spacing w:val="-3"/>
          <w:sz w:val="14"/>
        </w:rPr>
        <w:t> </w:t>
      </w:r>
      <w:r>
        <w:rPr>
          <w:color w:val="231F20"/>
          <w:sz w:val="14"/>
        </w:rPr>
        <w:t>la</w:t>
      </w:r>
      <w:r>
        <w:rPr>
          <w:color w:val="231F20"/>
          <w:spacing w:val="-3"/>
          <w:sz w:val="14"/>
        </w:rPr>
        <w:t> </w:t>
      </w:r>
      <w:r>
        <w:rPr>
          <w:color w:val="231F20"/>
          <w:sz w:val="14"/>
        </w:rPr>
        <w:t>autora,</w:t>
      </w:r>
      <w:r>
        <w:rPr>
          <w:color w:val="231F20"/>
          <w:spacing w:val="-3"/>
          <w:sz w:val="14"/>
        </w:rPr>
        <w:t> </w:t>
      </w:r>
      <w:r>
        <w:rPr>
          <w:color w:val="231F20"/>
          <w:sz w:val="14"/>
        </w:rPr>
        <w:t>económica,</w:t>
      </w:r>
      <w:r>
        <w:rPr>
          <w:color w:val="231F20"/>
          <w:spacing w:val="-4"/>
          <w:sz w:val="14"/>
        </w:rPr>
        <w:t> </w:t>
      </w:r>
      <w:r>
        <w:rPr>
          <w:color w:val="231F20"/>
          <w:sz w:val="14"/>
        </w:rPr>
        <w:t>política</w:t>
      </w:r>
      <w:r>
        <w:rPr>
          <w:color w:val="231F20"/>
          <w:spacing w:val="-4"/>
          <w:sz w:val="14"/>
        </w:rPr>
        <w:t> </w:t>
      </w:r>
      <w:r>
        <w:rPr>
          <w:color w:val="231F20"/>
          <w:sz w:val="14"/>
        </w:rPr>
        <w:t>y</w:t>
      </w:r>
      <w:r>
        <w:rPr>
          <w:color w:val="231F20"/>
          <w:spacing w:val="-3"/>
          <w:sz w:val="14"/>
        </w:rPr>
        <w:t> </w:t>
      </w:r>
      <w:r>
        <w:rPr>
          <w:color w:val="231F20"/>
          <w:sz w:val="14"/>
        </w:rPr>
        <w:t>simbólica,</w:t>
      </w:r>
      <w:r>
        <w:rPr>
          <w:color w:val="231F20"/>
          <w:spacing w:val="-4"/>
          <w:sz w:val="14"/>
        </w:rPr>
        <w:t> </w:t>
      </w:r>
      <w:r>
        <w:rPr>
          <w:color w:val="231F20"/>
          <w:sz w:val="14"/>
        </w:rPr>
        <w:t>es</w:t>
      </w:r>
      <w:r>
        <w:rPr>
          <w:color w:val="231F20"/>
          <w:spacing w:val="-3"/>
          <w:sz w:val="14"/>
        </w:rPr>
        <w:t> </w:t>
      </w:r>
      <w:r>
        <w:rPr>
          <w:color w:val="231F20"/>
          <w:sz w:val="14"/>
        </w:rPr>
        <w:t>la</w:t>
      </w:r>
      <w:r>
        <w:rPr>
          <w:color w:val="231F20"/>
          <w:spacing w:val="-3"/>
          <w:sz w:val="14"/>
        </w:rPr>
        <w:t> </w:t>
      </w:r>
      <w:r>
        <w:rPr>
          <w:color w:val="231F20"/>
          <w:sz w:val="14"/>
        </w:rPr>
        <w:t>ausencia</w:t>
      </w:r>
      <w:r>
        <w:rPr>
          <w:color w:val="231F20"/>
          <w:spacing w:val="-4"/>
          <w:sz w:val="14"/>
        </w:rPr>
        <w:t> </w:t>
      </w:r>
      <w:r>
        <w:rPr>
          <w:color w:val="231F20"/>
          <w:sz w:val="14"/>
        </w:rPr>
        <w:t>de</w:t>
      </w:r>
      <w:r>
        <w:rPr>
          <w:color w:val="231F20"/>
          <w:spacing w:val="-3"/>
          <w:sz w:val="14"/>
        </w:rPr>
        <w:t> </w:t>
      </w:r>
      <w:r>
        <w:rPr>
          <w:color w:val="231F20"/>
          <w:sz w:val="14"/>
        </w:rPr>
        <w:t>mujeres en las esferas de</w:t>
      </w:r>
      <w:r>
        <w:rPr>
          <w:color w:val="231F20"/>
          <w:spacing w:val="-11"/>
          <w:sz w:val="14"/>
        </w:rPr>
        <w:t> </w:t>
      </w:r>
      <w:r>
        <w:rPr>
          <w:color w:val="231F20"/>
          <w:sz w:val="14"/>
        </w:rPr>
        <w:t>poder.</w:t>
      </w:r>
    </w:p>
    <w:p>
      <w:pPr>
        <w:spacing w:after="0"/>
        <w:jc w:val="both"/>
        <w:rPr>
          <w:sz w:val="14"/>
        </w:rPr>
        <w:sectPr>
          <w:pgSz w:w="7770" w:h="11740"/>
          <w:pgMar w:header="0" w:footer="474" w:top="840" w:bottom="740" w:left="740" w:right="1020"/>
        </w:sectPr>
      </w:pPr>
    </w:p>
    <w:p>
      <w:pPr>
        <w:pStyle w:val="BodyText"/>
        <w:spacing w:line="249" w:lineRule="auto" w:before="60"/>
        <w:ind w:left="113" w:right="107"/>
        <w:jc w:val="both"/>
      </w:pPr>
      <w:r>
        <w:rPr>
          <w:color w:val="231F20"/>
        </w:rPr>
        <w:t>glo XVI se consideraba que la Inglaterra que había sido irrumpida por</w:t>
      </w:r>
      <w:r>
        <w:rPr>
          <w:color w:val="231F20"/>
          <w:spacing w:val="-30"/>
        </w:rPr>
        <w:t> </w:t>
      </w:r>
      <w:r>
        <w:rPr>
          <w:color w:val="231F20"/>
        </w:rPr>
        <w:t>la industria</w:t>
      </w:r>
      <w:r>
        <w:rPr>
          <w:color w:val="231F20"/>
          <w:spacing w:val="-9"/>
        </w:rPr>
        <w:t> </w:t>
      </w:r>
      <w:r>
        <w:rPr>
          <w:color w:val="231F20"/>
        </w:rPr>
        <w:t>era</w:t>
      </w:r>
      <w:r>
        <w:rPr>
          <w:color w:val="231F20"/>
          <w:spacing w:val="-9"/>
        </w:rPr>
        <w:t> </w:t>
      </w:r>
      <w:r>
        <w:rPr>
          <w:color w:val="231F20"/>
        </w:rPr>
        <w:t>lamentable,</w:t>
      </w:r>
      <w:r>
        <w:rPr>
          <w:color w:val="231F20"/>
          <w:spacing w:val="-9"/>
        </w:rPr>
        <w:t> </w:t>
      </w:r>
      <w:r>
        <w:rPr>
          <w:color w:val="231F20"/>
        </w:rPr>
        <w:t>ya</w:t>
      </w:r>
      <w:r>
        <w:rPr>
          <w:color w:val="231F20"/>
          <w:spacing w:val="-8"/>
        </w:rPr>
        <w:t> </w:t>
      </w:r>
      <w:r>
        <w:rPr>
          <w:color w:val="231F20"/>
        </w:rPr>
        <w:t>que</w:t>
      </w:r>
      <w:r>
        <w:rPr>
          <w:color w:val="231F20"/>
          <w:spacing w:val="-8"/>
        </w:rPr>
        <w:t> </w:t>
      </w:r>
      <w:r>
        <w:rPr>
          <w:color w:val="231F20"/>
        </w:rPr>
        <w:t>iba</w:t>
      </w:r>
      <w:r>
        <w:rPr>
          <w:color w:val="231F20"/>
          <w:spacing w:val="-9"/>
        </w:rPr>
        <w:t> </w:t>
      </w:r>
      <w:r>
        <w:rPr>
          <w:color w:val="231F20"/>
        </w:rPr>
        <w:t>contra</w:t>
      </w:r>
      <w:r>
        <w:rPr>
          <w:color w:val="231F20"/>
          <w:spacing w:val="-9"/>
        </w:rPr>
        <w:t> </w:t>
      </w:r>
      <w:r>
        <w:rPr>
          <w:color w:val="231F20"/>
        </w:rPr>
        <w:t>el</w:t>
      </w:r>
      <w:r>
        <w:rPr>
          <w:color w:val="231F20"/>
          <w:spacing w:val="-8"/>
        </w:rPr>
        <w:t> </w:t>
      </w:r>
      <w:r>
        <w:rPr>
          <w:color w:val="231F20"/>
        </w:rPr>
        <w:t>orden</w:t>
      </w:r>
      <w:r>
        <w:rPr>
          <w:color w:val="231F20"/>
          <w:spacing w:val="-8"/>
        </w:rPr>
        <w:t> </w:t>
      </w:r>
      <w:r>
        <w:rPr>
          <w:color w:val="231F20"/>
        </w:rPr>
        <w:t>natural.</w:t>
      </w:r>
      <w:r>
        <w:rPr>
          <w:color w:val="231F20"/>
          <w:spacing w:val="-8"/>
        </w:rPr>
        <w:t> </w:t>
      </w:r>
      <w:r>
        <w:rPr>
          <w:color w:val="231F20"/>
        </w:rPr>
        <w:t>Los</w:t>
      </w:r>
      <w:r>
        <w:rPr>
          <w:color w:val="231F20"/>
          <w:spacing w:val="-9"/>
        </w:rPr>
        <w:t> </w:t>
      </w:r>
      <w:r>
        <w:rPr>
          <w:color w:val="231F20"/>
        </w:rPr>
        <w:t>primeros hijos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Revolución</w:t>
      </w:r>
      <w:r>
        <w:rPr>
          <w:color w:val="231F20"/>
          <w:spacing w:val="-6"/>
        </w:rPr>
        <w:t> </w:t>
      </w:r>
      <w:r>
        <w:rPr>
          <w:color w:val="231F20"/>
        </w:rPr>
        <w:t>industrial</w:t>
      </w:r>
      <w:r>
        <w:rPr>
          <w:color w:val="231F20"/>
          <w:spacing w:val="-7"/>
        </w:rPr>
        <w:t> </w:t>
      </w:r>
      <w:r>
        <w:rPr>
          <w:color w:val="231F20"/>
        </w:rPr>
        <w:t>eran</w:t>
      </w:r>
      <w:r>
        <w:rPr>
          <w:color w:val="231F20"/>
          <w:spacing w:val="-7"/>
        </w:rPr>
        <w:t> </w:t>
      </w:r>
      <w:r>
        <w:rPr>
          <w:color w:val="231F20"/>
        </w:rPr>
        <w:t>la</w:t>
      </w:r>
      <w:r>
        <w:rPr>
          <w:color w:val="231F20"/>
          <w:spacing w:val="-6"/>
        </w:rPr>
        <w:t> </w:t>
      </w:r>
      <w:r>
        <w:rPr>
          <w:color w:val="231F20"/>
        </w:rPr>
        <w:t>nueva</w:t>
      </w:r>
      <w:r>
        <w:rPr>
          <w:color w:val="231F20"/>
          <w:spacing w:val="-6"/>
        </w:rPr>
        <w:t> </w:t>
      </w:r>
      <w:r>
        <w:rPr>
          <w:color w:val="231F20"/>
        </w:rPr>
        <w:t>clase</w:t>
      </w:r>
      <w:r>
        <w:rPr>
          <w:color w:val="231F20"/>
          <w:spacing w:val="-7"/>
        </w:rPr>
        <w:t> </w:t>
      </w:r>
      <w:r>
        <w:rPr>
          <w:color w:val="231F20"/>
        </w:rPr>
        <w:t>obrera</w:t>
      </w:r>
      <w:r>
        <w:rPr>
          <w:color w:val="231F20"/>
          <w:spacing w:val="-6"/>
        </w:rPr>
        <w:t> </w:t>
      </w:r>
      <w:r>
        <w:rPr>
          <w:color w:val="231F20"/>
        </w:rPr>
        <w:t>o</w:t>
      </w:r>
      <w:r>
        <w:rPr>
          <w:color w:val="231F20"/>
          <w:spacing w:val="-6"/>
        </w:rPr>
        <w:t> </w:t>
      </w:r>
      <w:r>
        <w:rPr>
          <w:color w:val="231F20"/>
        </w:rPr>
        <w:t>clase</w:t>
      </w:r>
      <w:r>
        <w:rPr>
          <w:color w:val="231F20"/>
          <w:spacing w:val="-7"/>
        </w:rPr>
        <w:t> </w:t>
      </w:r>
      <w:r>
        <w:rPr>
          <w:color w:val="231F20"/>
        </w:rPr>
        <w:t>traba- jadora</w:t>
      </w:r>
      <w:r>
        <w:rPr>
          <w:color w:val="231F20"/>
          <w:spacing w:val="-7"/>
        </w:rPr>
        <w:t> </w:t>
      </w:r>
      <w:r>
        <w:rPr>
          <w:color w:val="231F20"/>
        </w:rPr>
        <w:t>(como</w:t>
      </w:r>
      <w:r>
        <w:rPr>
          <w:color w:val="231F20"/>
          <w:spacing w:val="-6"/>
        </w:rPr>
        <w:t> </w:t>
      </w:r>
      <w:r>
        <w:rPr>
          <w:color w:val="231F20"/>
        </w:rPr>
        <w:t>preferían</w:t>
      </w:r>
      <w:r>
        <w:rPr>
          <w:color w:val="231F20"/>
          <w:spacing w:val="-6"/>
        </w:rPr>
        <w:t> </w:t>
      </w:r>
      <w:r>
        <w:rPr>
          <w:color w:val="231F20"/>
        </w:rPr>
        <w:t>llamarla</w:t>
      </w:r>
      <w:r>
        <w:rPr>
          <w:color w:val="231F20"/>
          <w:spacing w:val="-7"/>
        </w:rPr>
        <w:t> </w:t>
      </w:r>
      <w:r>
        <w:rPr>
          <w:color w:val="231F20"/>
        </w:rPr>
        <w:t>algunos),</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verían</w:t>
      </w:r>
      <w:r>
        <w:rPr>
          <w:color w:val="231F20"/>
          <w:spacing w:val="-6"/>
        </w:rPr>
        <w:t> </w:t>
      </w:r>
      <w:r>
        <w:rPr>
          <w:color w:val="231F20"/>
        </w:rPr>
        <w:t>surgir</w:t>
      </w:r>
      <w:r>
        <w:rPr>
          <w:color w:val="231F20"/>
          <w:spacing w:val="-6"/>
        </w:rPr>
        <w:t> </w:t>
      </w:r>
      <w:r>
        <w:rPr>
          <w:color w:val="231F20"/>
        </w:rPr>
        <w:t>nuevas formas de relaciones sociales, nuevas instituciones y modos de cultura (1977: 9-13). Estas nuevas formas de relaciones sociales causadas por  la irrupción de la vida industrial en las ciudades traía consigo también nuevas</w:t>
      </w:r>
      <w:r>
        <w:rPr>
          <w:color w:val="231F20"/>
          <w:spacing w:val="-4"/>
        </w:rPr>
        <w:t> </w:t>
      </w:r>
      <w:r>
        <w:rPr>
          <w:color w:val="231F20"/>
        </w:rPr>
        <w:t>formas</w:t>
      </w:r>
      <w:r>
        <w:rPr>
          <w:color w:val="231F20"/>
          <w:spacing w:val="-4"/>
        </w:rPr>
        <w:t> </w:t>
      </w:r>
      <w:r>
        <w:rPr>
          <w:color w:val="231F20"/>
        </w:rPr>
        <w:t>de</w:t>
      </w:r>
      <w:r>
        <w:rPr>
          <w:color w:val="231F20"/>
          <w:spacing w:val="-4"/>
        </w:rPr>
        <w:t> </w:t>
      </w:r>
      <w:r>
        <w:rPr>
          <w:color w:val="231F20"/>
        </w:rPr>
        <w:t>uso</w:t>
      </w:r>
      <w:r>
        <w:rPr>
          <w:color w:val="231F20"/>
          <w:spacing w:val="-4"/>
        </w:rPr>
        <w:t> </w:t>
      </w:r>
      <w:r>
        <w:rPr>
          <w:color w:val="231F20"/>
        </w:rPr>
        <w:t>del</w:t>
      </w:r>
      <w:r>
        <w:rPr>
          <w:color w:val="231F20"/>
          <w:spacing w:val="-4"/>
        </w:rPr>
        <w:t> </w:t>
      </w:r>
      <w:r>
        <w:rPr>
          <w:color w:val="231F20"/>
        </w:rPr>
        <w:t>tiempo,</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como</w:t>
      </w:r>
      <w:r>
        <w:rPr>
          <w:color w:val="231F20"/>
          <w:spacing w:val="-4"/>
        </w:rPr>
        <w:t> </w:t>
      </w:r>
      <w:r>
        <w:rPr>
          <w:color w:val="231F20"/>
        </w:rPr>
        <w:t>dice</w:t>
      </w:r>
      <w:r>
        <w:rPr>
          <w:color w:val="231F20"/>
          <w:spacing w:val="-4"/>
        </w:rPr>
        <w:t> </w:t>
      </w:r>
      <w:r>
        <w:rPr>
          <w:color w:val="231F20"/>
        </w:rPr>
        <w:t>Harvey</w:t>
      </w:r>
      <w:r>
        <w:rPr>
          <w:color w:val="231F20"/>
          <w:spacing w:val="-3"/>
        </w:rPr>
        <w:t> </w:t>
      </w:r>
      <w:r>
        <w:rPr>
          <w:color w:val="231F20"/>
        </w:rPr>
        <w:t>(1990:</w:t>
      </w:r>
      <w:r>
        <w:rPr>
          <w:color w:val="231F20"/>
          <w:spacing w:val="-4"/>
        </w:rPr>
        <w:t> </w:t>
      </w:r>
      <w:r>
        <w:rPr>
          <w:color w:val="231F20"/>
        </w:rPr>
        <w:t>418), diferentes sociedades traen diferentes concepciones de</w:t>
      </w:r>
      <w:r>
        <w:rPr>
          <w:color w:val="231F20"/>
          <w:spacing w:val="-11"/>
        </w:rPr>
        <w:t> </w:t>
      </w:r>
      <w:r>
        <w:rPr>
          <w:color w:val="231F20"/>
        </w:rPr>
        <w:t>tiempo.</w:t>
      </w:r>
    </w:p>
    <w:p>
      <w:pPr>
        <w:pStyle w:val="BodyText"/>
        <w:spacing w:line="249" w:lineRule="auto" w:before="1"/>
        <w:ind w:left="113" w:right="107" w:firstLine="283"/>
        <w:jc w:val="both"/>
      </w:pPr>
      <w:r>
        <w:rPr>
          <w:color w:val="231F20"/>
        </w:rPr>
        <w:t>En este sentido, la distinción entre público y privado tiene cabida, pues como dice Bazán, “el espacio urbano puede diferenciarse entre es- pacio</w:t>
      </w:r>
      <w:r>
        <w:rPr>
          <w:color w:val="231F20"/>
          <w:spacing w:val="-7"/>
        </w:rPr>
        <w:t> </w:t>
      </w:r>
      <w:r>
        <w:rPr>
          <w:color w:val="231F20"/>
        </w:rPr>
        <w:t>público</w:t>
      </w:r>
      <w:r>
        <w:rPr>
          <w:color w:val="231F20"/>
          <w:spacing w:val="-7"/>
        </w:rPr>
        <w:t> </w:t>
      </w:r>
      <w:r>
        <w:rPr>
          <w:color w:val="231F20"/>
        </w:rPr>
        <w:t>y</w:t>
      </w:r>
      <w:r>
        <w:rPr>
          <w:color w:val="231F20"/>
          <w:spacing w:val="-7"/>
        </w:rPr>
        <w:t> </w:t>
      </w:r>
      <w:r>
        <w:rPr>
          <w:color w:val="231F20"/>
        </w:rPr>
        <w:t>privado,</w:t>
      </w:r>
      <w:r>
        <w:rPr>
          <w:color w:val="231F20"/>
          <w:spacing w:val="-7"/>
        </w:rPr>
        <w:t> </w:t>
      </w:r>
      <w:r>
        <w:rPr>
          <w:color w:val="231F20"/>
        </w:rPr>
        <w:t>dependiendo</w:t>
      </w:r>
      <w:r>
        <w:rPr>
          <w:color w:val="231F20"/>
          <w:spacing w:val="-7"/>
        </w:rPr>
        <w:t> </w:t>
      </w:r>
      <w:r>
        <w:rPr>
          <w:color w:val="231F20"/>
        </w:rPr>
        <w:t>del</w:t>
      </w:r>
      <w:r>
        <w:rPr>
          <w:color w:val="231F20"/>
          <w:spacing w:val="-7"/>
        </w:rPr>
        <w:t> </w:t>
      </w:r>
      <w:r>
        <w:rPr>
          <w:color w:val="231F20"/>
        </w:rPr>
        <w:t>destino</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fue</w:t>
      </w:r>
      <w:r>
        <w:rPr>
          <w:color w:val="231F20"/>
          <w:spacing w:val="-7"/>
        </w:rPr>
        <w:t> </w:t>
      </w:r>
      <w:r>
        <w:rPr>
          <w:color w:val="231F20"/>
        </w:rPr>
        <w:t>creado” (1999). Luego entonces el impacto de la inserción de las mujeres en el trabajo remunerado tiene que ver con la ruptura de patrones históricos en tiempo y espacio, lo que ocasionaría la transformación de estructuras familiares.</w:t>
      </w:r>
    </w:p>
    <w:p>
      <w:pPr>
        <w:pStyle w:val="BodyText"/>
        <w:spacing w:line="249" w:lineRule="auto" w:before="1"/>
        <w:ind w:left="113" w:right="107" w:firstLine="283"/>
        <w:jc w:val="both"/>
      </w:pPr>
      <w:r>
        <w:rPr>
          <w:color w:val="231F20"/>
        </w:rPr>
        <w:t>El</w:t>
      </w:r>
      <w:r>
        <w:rPr>
          <w:color w:val="231F20"/>
          <w:spacing w:val="-12"/>
        </w:rPr>
        <w:t> </w:t>
      </w:r>
      <w:r>
        <w:rPr>
          <w:color w:val="231F20"/>
        </w:rPr>
        <w:t>trabajo</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definido,</w:t>
      </w:r>
      <w:r>
        <w:rPr>
          <w:color w:val="231F20"/>
          <w:spacing w:val="-12"/>
        </w:rPr>
        <w:t> </w:t>
      </w:r>
      <w:r>
        <w:rPr>
          <w:color w:val="231F20"/>
        </w:rPr>
        <w:t>históricamente,</w:t>
      </w:r>
      <w:r>
        <w:rPr>
          <w:color w:val="231F20"/>
          <w:spacing w:val="-12"/>
        </w:rPr>
        <w:t> </w:t>
      </w:r>
      <w:r>
        <w:rPr>
          <w:color w:val="231F20"/>
        </w:rPr>
        <w:t>como</w:t>
      </w:r>
      <w:r>
        <w:rPr>
          <w:color w:val="231F20"/>
          <w:spacing w:val="-12"/>
        </w:rPr>
        <w:t> </w:t>
      </w:r>
      <w:r>
        <w:rPr>
          <w:color w:val="231F20"/>
        </w:rPr>
        <w:t>lo</w:t>
      </w:r>
      <w:r>
        <w:rPr>
          <w:color w:val="231F20"/>
          <w:spacing w:val="-12"/>
        </w:rPr>
        <w:t> </w:t>
      </w:r>
      <w:r>
        <w:rPr>
          <w:color w:val="231F20"/>
        </w:rPr>
        <w:t>productivo</w:t>
      </w:r>
      <w:r>
        <w:rPr>
          <w:color w:val="231F20"/>
          <w:spacing w:val="-12"/>
        </w:rPr>
        <w:t> </w:t>
      </w:r>
      <w:r>
        <w:rPr>
          <w:color w:val="231F20"/>
        </w:rPr>
        <w:t>(García, 1988; Oliveira, 1988; Blanco, 2002; Sheridan, 1991; González de la</w:t>
      </w:r>
      <w:r>
        <w:rPr>
          <w:color w:val="231F20"/>
          <w:spacing w:val="-35"/>
        </w:rPr>
        <w:t> </w:t>
      </w:r>
      <w:r>
        <w:rPr>
          <w:color w:val="231F20"/>
        </w:rPr>
        <w:t>Ro- cha, 1986), lo que le pertenece al ámbito público </w:t>
      </w:r>
      <w:r>
        <w:rPr>
          <w:color w:val="231F20"/>
          <w:spacing w:val="-7"/>
        </w:rPr>
        <w:t>y, </w:t>
      </w:r>
      <w:r>
        <w:rPr>
          <w:color w:val="231F20"/>
        </w:rPr>
        <w:t>por mucho tiempo</w:t>
      </w:r>
      <w:r>
        <w:rPr>
          <w:color w:val="231F20"/>
          <w:spacing w:val="-34"/>
        </w:rPr>
        <w:t> </w:t>
      </w:r>
      <w:r>
        <w:rPr>
          <w:color w:val="231F20"/>
        </w:rPr>
        <w:t>se concibió como del hombre. Lo reproductivo es lo que ha estado a cargo de la mujer, por lo que privado, en lo doméstico, he de ahí que se trata de explicar la incorporación de la mujer en el mercado laboral como la salida de las mujeres a la calle, a lo público, rompiendo esquemas</w:t>
      </w:r>
      <w:r>
        <w:rPr>
          <w:color w:val="231F20"/>
          <w:spacing w:val="-32"/>
        </w:rPr>
        <w:t> </w:t>
      </w:r>
      <w:r>
        <w:rPr>
          <w:color w:val="231F20"/>
        </w:rPr>
        <w:t>socio- culturales y estoy de acuerdo con Oliveira cuando dice</w:t>
      </w:r>
      <w:r>
        <w:rPr>
          <w:color w:val="231F20"/>
          <w:spacing w:val="-12"/>
        </w:rPr>
        <w:t> </w:t>
      </w:r>
      <w:r>
        <w:rPr>
          <w:color w:val="231F20"/>
        </w:rPr>
        <w:t>que…</w:t>
      </w:r>
    </w:p>
    <w:p>
      <w:pPr>
        <w:pStyle w:val="BodyText"/>
        <w:spacing w:line="249" w:lineRule="auto" w:before="114"/>
        <w:ind w:left="397" w:right="108"/>
        <w:jc w:val="both"/>
      </w:pPr>
      <w:r>
        <w:rPr>
          <w:color w:val="231F20"/>
        </w:rPr>
        <w:t>[…] las mujeres [...] cumplen un papel clave en la realización de  una amplia gama de trabajos de producción y reproducción: partici- pación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mercado,</w:t>
      </w:r>
      <w:r>
        <w:rPr>
          <w:color w:val="231F20"/>
          <w:spacing w:val="-9"/>
        </w:rPr>
        <w:t> </w:t>
      </w:r>
      <w:r>
        <w:rPr>
          <w:color w:val="231F20"/>
        </w:rPr>
        <w:t>trabajo</w:t>
      </w:r>
      <w:r>
        <w:rPr>
          <w:color w:val="231F20"/>
          <w:spacing w:val="-9"/>
        </w:rPr>
        <w:t> </w:t>
      </w:r>
      <w:r>
        <w:rPr>
          <w:color w:val="231F20"/>
        </w:rPr>
        <w:t>doméstico,</w:t>
      </w:r>
      <w:r>
        <w:rPr>
          <w:color w:val="231F20"/>
          <w:spacing w:val="-8"/>
        </w:rPr>
        <w:t> </w:t>
      </w:r>
      <w:r>
        <w:rPr>
          <w:color w:val="231F20"/>
        </w:rPr>
        <w:t>producción</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autocon- sumo, creación y sostenimiento de redes de relaciones sociales; or- ganización de acciones colectivas para obtener servicios públicos..., actividades...cruciales para la obtención de recursos monetarios y   no monetarios necesarios para la sobrevivencia cotidiana (Oliveira, 1988: 30).</w:t>
      </w:r>
    </w:p>
    <w:p>
      <w:pPr>
        <w:pStyle w:val="BodyText"/>
        <w:spacing w:line="249" w:lineRule="auto" w:before="114"/>
        <w:ind w:left="113" w:right="108" w:firstLine="283"/>
        <w:jc w:val="both"/>
      </w:pPr>
      <w:r>
        <w:rPr>
          <w:color w:val="231F20"/>
        </w:rPr>
        <w:t>Para</w:t>
      </w:r>
      <w:r>
        <w:rPr>
          <w:color w:val="231F20"/>
          <w:spacing w:val="-5"/>
        </w:rPr>
        <w:t> </w:t>
      </w:r>
      <w:r>
        <w:rPr>
          <w:color w:val="231F20"/>
        </w:rPr>
        <w:t>esta</w:t>
      </w:r>
      <w:r>
        <w:rPr>
          <w:color w:val="231F20"/>
          <w:spacing w:val="-5"/>
        </w:rPr>
        <w:t> </w:t>
      </w:r>
      <w:r>
        <w:rPr>
          <w:color w:val="231F20"/>
        </w:rPr>
        <w:t>investigación</w:t>
      </w:r>
      <w:r>
        <w:rPr>
          <w:color w:val="231F20"/>
          <w:spacing w:val="-5"/>
        </w:rPr>
        <w:t> </w:t>
      </w:r>
      <w:r>
        <w:rPr>
          <w:color w:val="231F20"/>
        </w:rPr>
        <w:t>se</w:t>
      </w:r>
      <w:r>
        <w:rPr>
          <w:color w:val="231F20"/>
          <w:spacing w:val="-5"/>
        </w:rPr>
        <w:t> </w:t>
      </w:r>
      <w:r>
        <w:rPr>
          <w:color w:val="231F20"/>
        </w:rPr>
        <w:t>utiliza</w:t>
      </w:r>
      <w:r>
        <w:rPr>
          <w:color w:val="231F20"/>
          <w:spacing w:val="-5"/>
        </w:rPr>
        <w:t> </w:t>
      </w:r>
      <w:r>
        <w:rPr>
          <w:color w:val="231F20"/>
        </w:rPr>
        <w:t>el</w:t>
      </w:r>
      <w:r>
        <w:rPr>
          <w:color w:val="231F20"/>
          <w:spacing w:val="-5"/>
        </w:rPr>
        <w:t> </w:t>
      </w:r>
      <w:r>
        <w:rPr>
          <w:color w:val="231F20"/>
        </w:rPr>
        <w:t>concepto</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como la actividad remunerada a cambio de fuerza de trabajo, se ocupan los conceptos de trabajo doméstico como las labores dentro del hogar y por las cuales no se recibe salario o remuneración económica y que a pesar de que contribuye en lo productivo no se le considera o se le reconoce así. El trabajo extradoméstico entonces, se entiende como las labores desarrolladas fuera del hogar y por las cuales se recibe remuneración económica o</w:t>
      </w:r>
      <w:r>
        <w:rPr>
          <w:color w:val="231F20"/>
          <w:spacing w:val="-9"/>
        </w:rPr>
        <w:t> </w:t>
      </w:r>
      <w:r>
        <w:rPr>
          <w:color w:val="231F20"/>
        </w:rPr>
        <w:t>salario.</w:t>
      </w:r>
    </w:p>
    <w:p>
      <w:pPr>
        <w:spacing w:after="0" w:line="249" w:lineRule="auto"/>
        <w:jc w:val="both"/>
        <w:sectPr>
          <w:footerReference w:type="default" r:id="rId273"/>
          <w:pgSz w:w="7770" w:h="11740"/>
          <w:pgMar w:footer="474" w:header="0" w:top="840" w:bottom="660" w:left="1020" w:right="740"/>
          <w:pgNumType w:start="255"/>
        </w:sectPr>
      </w:pPr>
    </w:p>
    <w:p>
      <w:pPr>
        <w:pStyle w:val="BodyText"/>
        <w:spacing w:line="249" w:lineRule="auto" w:before="60"/>
        <w:ind w:left="110" w:right="111" w:firstLine="283"/>
        <w:jc w:val="both"/>
      </w:pPr>
      <w:r>
        <w:rPr>
          <w:color w:val="231F20"/>
        </w:rPr>
        <w:t>Blanco (2002) propone abordar esa triada con la diferencia del</w:t>
      </w:r>
      <w:r>
        <w:rPr>
          <w:color w:val="231F20"/>
          <w:spacing w:val="-28"/>
        </w:rPr>
        <w:t> </w:t>
      </w:r>
      <w:r>
        <w:rPr>
          <w:color w:val="231F20"/>
        </w:rPr>
        <w:t>méto- do, en este caso, cualitativo con una dimensión diacrónica, para lo cual le resulta útil la construcción conceptual de curso de vida, para este</w:t>
      </w:r>
      <w:r>
        <w:rPr>
          <w:color w:val="231F20"/>
          <w:spacing w:val="-15"/>
        </w:rPr>
        <w:t> </w:t>
      </w:r>
      <w:r>
        <w:rPr>
          <w:color w:val="231F20"/>
        </w:rPr>
        <w:t>caso de mujeres nacidas en la primera mitad de la década de los</w:t>
      </w:r>
      <w:r>
        <w:rPr>
          <w:color w:val="231F20"/>
          <w:spacing w:val="-4"/>
        </w:rPr>
        <w:t> </w:t>
      </w:r>
      <w:r>
        <w:rPr>
          <w:color w:val="231F20"/>
        </w:rPr>
        <w:t>cincuenta.</w:t>
      </w:r>
    </w:p>
    <w:p>
      <w:pPr>
        <w:pStyle w:val="BodyText"/>
        <w:spacing w:line="249" w:lineRule="auto" w:before="1"/>
        <w:ind w:left="110" w:right="110" w:firstLine="283"/>
        <w:jc w:val="both"/>
      </w:pPr>
      <w:r>
        <w:rPr>
          <w:color w:val="231F20"/>
        </w:rPr>
        <w:t>Para De Barbieri se debe observar el triple papel madre-esposa-ama de</w:t>
      </w:r>
      <w:r>
        <w:rPr>
          <w:color w:val="231F20"/>
          <w:spacing w:val="-9"/>
        </w:rPr>
        <w:t> </w:t>
      </w:r>
      <w:r>
        <w:rPr>
          <w:color w:val="231F20"/>
        </w:rPr>
        <w:t>casa</w:t>
      </w:r>
      <w:r>
        <w:rPr>
          <w:color w:val="231F20"/>
          <w:spacing w:val="-9"/>
        </w:rPr>
        <w:t> </w:t>
      </w:r>
      <w:r>
        <w:rPr>
          <w:color w:val="231F20"/>
        </w:rPr>
        <w:t>que</w:t>
      </w:r>
      <w:r>
        <w:rPr>
          <w:color w:val="231F20"/>
          <w:spacing w:val="-9"/>
        </w:rPr>
        <w:t> </w:t>
      </w:r>
      <w:r>
        <w:rPr>
          <w:color w:val="231F20"/>
        </w:rPr>
        <w:t>ha</w:t>
      </w:r>
      <w:r>
        <w:rPr>
          <w:color w:val="231F20"/>
          <w:spacing w:val="-9"/>
        </w:rPr>
        <w:t> </w:t>
      </w:r>
      <w:r>
        <w:rPr>
          <w:color w:val="231F20"/>
        </w:rPr>
        <w:t>sido</w:t>
      </w:r>
      <w:r>
        <w:rPr>
          <w:color w:val="231F20"/>
          <w:spacing w:val="-9"/>
        </w:rPr>
        <w:t> </w:t>
      </w:r>
      <w:r>
        <w:rPr>
          <w:color w:val="231F20"/>
        </w:rPr>
        <w:t>asignado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a</w:t>
      </w:r>
      <w:r>
        <w:rPr>
          <w:color w:val="231F20"/>
          <w:spacing w:val="-9"/>
        </w:rPr>
        <w:t> </w:t>
      </w:r>
      <w:r>
        <w:rPr>
          <w:color w:val="231F20"/>
        </w:rPr>
        <w:t>todas</w:t>
      </w:r>
      <w:r>
        <w:rPr>
          <w:color w:val="231F20"/>
          <w:spacing w:val="-9"/>
        </w:rPr>
        <w:t> </w:t>
      </w:r>
      <w:r>
        <w:rPr>
          <w:color w:val="231F20"/>
        </w:rPr>
        <w:t>las</w:t>
      </w:r>
      <w:r>
        <w:rPr>
          <w:color w:val="231F20"/>
          <w:spacing w:val="-9"/>
        </w:rPr>
        <w:t> </w:t>
      </w:r>
      <w:r>
        <w:rPr>
          <w:color w:val="231F20"/>
        </w:rPr>
        <w:t>mujeres</w:t>
      </w:r>
      <w:r>
        <w:rPr>
          <w:color w:val="231F20"/>
          <w:spacing w:val="33"/>
        </w:rPr>
        <w:t> </w:t>
      </w:r>
      <w:r>
        <w:rPr>
          <w:color w:val="231F20"/>
        </w:rPr>
        <w:t>y</w:t>
      </w:r>
      <w:r>
        <w:rPr>
          <w:color w:val="231F20"/>
          <w:spacing w:val="-9"/>
        </w:rPr>
        <w:t> </w:t>
      </w:r>
      <w:r>
        <w:rPr>
          <w:color w:val="231F20"/>
        </w:rPr>
        <w:t>afirma que…</w:t>
      </w:r>
    </w:p>
    <w:p>
      <w:pPr>
        <w:pStyle w:val="BodyText"/>
        <w:spacing w:line="249" w:lineRule="auto" w:before="114"/>
        <w:ind w:left="393" w:right="111" w:firstLine="57"/>
        <w:jc w:val="both"/>
      </w:pPr>
      <w:r>
        <w:rPr>
          <w:color w:val="231F20"/>
        </w:rPr>
        <w:t>[...] la problemática femenina tiene una especificidad propia que va más allá de los aspectos estructurales, es decir, de conocer la</w:t>
      </w:r>
      <w:r>
        <w:rPr>
          <w:color w:val="231F20"/>
          <w:spacing w:val="-23"/>
        </w:rPr>
        <w:t> </w:t>
      </w:r>
      <w:r>
        <w:rPr>
          <w:color w:val="231F20"/>
        </w:rPr>
        <w:t>función y sus contradicciones. Supone también indagar en los medios super- estructurales y políticos en que se desenvuelven las mujeres y cómo los</w:t>
      </w:r>
      <w:r>
        <w:rPr>
          <w:color w:val="231F20"/>
          <w:spacing w:val="-6"/>
        </w:rPr>
        <w:t> </w:t>
      </w:r>
      <w:r>
        <w:rPr>
          <w:color w:val="231F20"/>
        </w:rPr>
        <w:t>distintos</w:t>
      </w:r>
      <w:r>
        <w:rPr>
          <w:color w:val="231F20"/>
          <w:spacing w:val="-6"/>
        </w:rPr>
        <w:t> </w:t>
      </w:r>
      <w:r>
        <w:rPr>
          <w:color w:val="231F20"/>
        </w:rPr>
        <w:t>grupos</w:t>
      </w:r>
      <w:r>
        <w:rPr>
          <w:color w:val="231F20"/>
          <w:spacing w:val="-6"/>
        </w:rPr>
        <w:t> </w:t>
      </w:r>
      <w:r>
        <w:rPr>
          <w:color w:val="231F20"/>
        </w:rPr>
        <w:t>sociales</w:t>
      </w:r>
      <w:r>
        <w:rPr>
          <w:color w:val="231F20"/>
          <w:spacing w:val="-5"/>
        </w:rPr>
        <w:t> </w:t>
      </w:r>
      <w:r>
        <w:rPr>
          <w:color w:val="231F20"/>
        </w:rPr>
        <w:t>se</w:t>
      </w:r>
      <w:r>
        <w:rPr>
          <w:color w:val="231F20"/>
          <w:spacing w:val="-6"/>
        </w:rPr>
        <w:t> </w:t>
      </w:r>
      <w:r>
        <w:rPr>
          <w:color w:val="231F20"/>
        </w:rPr>
        <w:t>expresan</w:t>
      </w:r>
      <w:r>
        <w:rPr>
          <w:color w:val="231F20"/>
          <w:spacing w:val="-6"/>
        </w:rPr>
        <w:t> </w:t>
      </w:r>
      <w:r>
        <w:rPr>
          <w:color w:val="231F20"/>
        </w:rPr>
        <w:t>al</w:t>
      </w:r>
      <w:r>
        <w:rPr>
          <w:color w:val="231F20"/>
          <w:spacing w:val="-6"/>
        </w:rPr>
        <w:t> </w:t>
      </w:r>
      <w:r>
        <w:rPr>
          <w:color w:val="231F20"/>
        </w:rPr>
        <w:t>respecto</w:t>
      </w:r>
      <w:r>
        <w:rPr>
          <w:color w:val="231F20"/>
          <w:spacing w:val="-6"/>
        </w:rPr>
        <w:t> </w:t>
      </w:r>
      <w:r>
        <w:rPr>
          <w:color w:val="231F20"/>
        </w:rPr>
        <w:t>de</w:t>
      </w:r>
      <w:r>
        <w:rPr>
          <w:color w:val="231F20"/>
          <w:spacing w:val="-6"/>
        </w:rPr>
        <w:t> </w:t>
      </w:r>
      <w:r>
        <w:rPr>
          <w:color w:val="231F20"/>
        </w:rPr>
        <w:t>ellas</w:t>
      </w:r>
      <w:r>
        <w:rPr>
          <w:color w:val="231F20"/>
          <w:spacing w:val="-6"/>
        </w:rPr>
        <w:t> </w:t>
      </w:r>
      <w:r>
        <w:rPr>
          <w:color w:val="231F20"/>
        </w:rPr>
        <w:t>(De</w:t>
      </w:r>
      <w:r>
        <w:rPr>
          <w:color w:val="231F20"/>
          <w:spacing w:val="-6"/>
        </w:rPr>
        <w:t> </w:t>
      </w:r>
      <w:r>
        <w:rPr>
          <w:color w:val="231F20"/>
        </w:rPr>
        <w:t>Bar- bieri, 1984: 17).</w:t>
      </w:r>
    </w:p>
    <w:p>
      <w:pPr>
        <w:pStyle w:val="BodyText"/>
        <w:spacing w:line="249" w:lineRule="auto" w:before="114"/>
        <w:ind w:left="110" w:right="112" w:firstLine="283"/>
        <w:jc w:val="both"/>
      </w:pPr>
      <w:r>
        <w:rPr>
          <w:color w:val="231F20"/>
        </w:rPr>
        <w:t>En este sentido, es importante resaltar que, tal y como lo hace de</w:t>
      </w:r>
      <w:r>
        <w:rPr>
          <w:color w:val="231F20"/>
          <w:spacing w:val="-19"/>
        </w:rPr>
        <w:t> </w:t>
      </w:r>
      <w:r>
        <w:rPr>
          <w:color w:val="231F20"/>
        </w:rPr>
        <w:t>Riz (1986: 25), para la mujer la decisión de incorporarse al campo laboral resulta más compleja que para el hombre, pues aunque también obedece a factores que afectan a las actividades económicas de los hombres, está también</w:t>
      </w:r>
      <w:r>
        <w:rPr>
          <w:color w:val="231F20"/>
          <w:spacing w:val="-8"/>
        </w:rPr>
        <w:t> </w:t>
      </w:r>
      <w:r>
        <w:rPr>
          <w:color w:val="231F20"/>
        </w:rPr>
        <w:t>vinculada</w:t>
      </w:r>
      <w:r>
        <w:rPr>
          <w:color w:val="231F20"/>
          <w:spacing w:val="-8"/>
        </w:rPr>
        <w:t> </w:t>
      </w:r>
      <w:r>
        <w:rPr>
          <w:color w:val="231F20"/>
        </w:rPr>
        <w:t>a</w:t>
      </w:r>
      <w:r>
        <w:rPr>
          <w:color w:val="231F20"/>
          <w:spacing w:val="-8"/>
        </w:rPr>
        <w:t> </w:t>
      </w:r>
      <w:r>
        <w:rPr>
          <w:color w:val="231F20"/>
        </w:rPr>
        <w:t>factores</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civil,</w:t>
      </w:r>
      <w:r>
        <w:rPr>
          <w:color w:val="231F20"/>
          <w:spacing w:val="-8"/>
        </w:rPr>
        <w:t> </w:t>
      </w:r>
      <w:r>
        <w:rPr>
          <w:color w:val="231F20"/>
        </w:rPr>
        <w:t>el</w:t>
      </w:r>
      <w:r>
        <w:rPr>
          <w:color w:val="231F20"/>
          <w:spacing w:val="-8"/>
        </w:rPr>
        <w:t> </w:t>
      </w:r>
      <w:r>
        <w:rPr>
          <w:color w:val="231F20"/>
        </w:rPr>
        <w:t>número</w:t>
      </w:r>
      <w:r>
        <w:rPr>
          <w:color w:val="231F20"/>
          <w:spacing w:val="-8"/>
        </w:rPr>
        <w:t> </w:t>
      </w:r>
      <w:r>
        <w:rPr>
          <w:color w:val="231F20"/>
        </w:rPr>
        <w:t>de</w:t>
      </w:r>
      <w:r>
        <w:rPr>
          <w:color w:val="231F20"/>
          <w:spacing w:val="-8"/>
        </w:rPr>
        <w:t> </w:t>
      </w:r>
      <w:r>
        <w:rPr>
          <w:color w:val="231F20"/>
        </w:rPr>
        <w:t>hijos</w:t>
      </w:r>
      <w:r>
        <w:rPr>
          <w:color w:val="231F20"/>
          <w:spacing w:val="-8"/>
        </w:rPr>
        <w:t> </w:t>
      </w:r>
      <w:r>
        <w:rPr>
          <w:color w:val="231F20"/>
        </w:rPr>
        <w:t>y</w:t>
      </w:r>
      <w:r>
        <w:rPr>
          <w:color w:val="231F20"/>
          <w:spacing w:val="-8"/>
        </w:rPr>
        <w:t> </w:t>
      </w:r>
      <w:r>
        <w:rPr>
          <w:color w:val="231F20"/>
        </w:rPr>
        <w:t>la edad</w:t>
      </w:r>
      <w:r>
        <w:rPr>
          <w:color w:val="231F20"/>
          <w:spacing w:val="-9"/>
        </w:rPr>
        <w:t> </w:t>
      </w:r>
      <w:r>
        <w:rPr>
          <w:color w:val="231F20"/>
        </w:rPr>
        <w:t>de</w:t>
      </w:r>
      <w:r>
        <w:rPr>
          <w:color w:val="231F20"/>
          <w:spacing w:val="-8"/>
        </w:rPr>
        <w:t> </w:t>
      </w:r>
      <w:r>
        <w:rPr>
          <w:color w:val="231F20"/>
        </w:rPr>
        <w:t>estos,</w:t>
      </w:r>
      <w:r>
        <w:rPr>
          <w:color w:val="231F20"/>
          <w:spacing w:val="-9"/>
        </w:rPr>
        <w:t> </w:t>
      </w:r>
      <w:r>
        <w:rPr>
          <w:color w:val="231F20"/>
        </w:rPr>
        <w:t>el</w:t>
      </w:r>
      <w:r>
        <w:rPr>
          <w:color w:val="231F20"/>
          <w:spacing w:val="-9"/>
        </w:rPr>
        <w:t> </w:t>
      </w:r>
      <w:r>
        <w:rPr>
          <w:color w:val="231F20"/>
        </w:rPr>
        <w:t>nivel</w:t>
      </w:r>
      <w:r>
        <w:rPr>
          <w:color w:val="231F20"/>
          <w:spacing w:val="-9"/>
        </w:rPr>
        <w:t> </w:t>
      </w:r>
      <w:r>
        <w:rPr>
          <w:color w:val="231F20"/>
        </w:rPr>
        <w:t>de</w:t>
      </w:r>
      <w:r>
        <w:rPr>
          <w:color w:val="231F20"/>
          <w:spacing w:val="-8"/>
        </w:rPr>
        <w:t> </w:t>
      </w:r>
      <w:r>
        <w:rPr>
          <w:color w:val="231F20"/>
        </w:rPr>
        <w:t>ingreso</w:t>
      </w:r>
      <w:r>
        <w:rPr>
          <w:color w:val="231F20"/>
          <w:spacing w:val="-9"/>
        </w:rPr>
        <w:t> </w:t>
      </w:r>
      <w:r>
        <w:rPr>
          <w:color w:val="231F20"/>
        </w:rPr>
        <w:t>familiar</w:t>
      </w:r>
      <w:r>
        <w:rPr>
          <w:color w:val="231F20"/>
          <w:spacing w:val="-8"/>
        </w:rPr>
        <w:t> </w:t>
      </w:r>
      <w:r>
        <w:rPr>
          <w:color w:val="231F20"/>
        </w:rPr>
        <w:t>y</w:t>
      </w:r>
      <w:r>
        <w:rPr>
          <w:color w:val="231F20"/>
          <w:spacing w:val="-8"/>
        </w:rPr>
        <w:t> </w:t>
      </w:r>
      <w:r>
        <w:rPr>
          <w:color w:val="231F20"/>
        </w:rPr>
        <w:t>toda</w:t>
      </w:r>
      <w:r>
        <w:rPr>
          <w:color w:val="231F20"/>
          <w:spacing w:val="-9"/>
        </w:rPr>
        <w:t> </w:t>
      </w:r>
      <w:r>
        <w:rPr>
          <w:color w:val="231F20"/>
        </w:rPr>
        <w:t>una</w:t>
      </w:r>
      <w:r>
        <w:rPr>
          <w:color w:val="231F20"/>
          <w:spacing w:val="-8"/>
        </w:rPr>
        <w:t> </w:t>
      </w:r>
      <w:r>
        <w:rPr>
          <w:color w:val="231F20"/>
        </w:rPr>
        <w:t>amplia</w:t>
      </w:r>
      <w:r>
        <w:rPr>
          <w:color w:val="231F20"/>
          <w:spacing w:val="-9"/>
        </w:rPr>
        <w:t> </w:t>
      </w:r>
      <w:r>
        <w:rPr>
          <w:color w:val="231F20"/>
        </w:rPr>
        <w:t>gama</w:t>
      </w:r>
      <w:r>
        <w:rPr>
          <w:color w:val="231F20"/>
          <w:spacing w:val="-9"/>
        </w:rPr>
        <w:t> </w:t>
      </w:r>
      <w:r>
        <w:rPr>
          <w:color w:val="231F20"/>
        </w:rPr>
        <w:t>de</w:t>
      </w:r>
      <w:r>
        <w:rPr>
          <w:color w:val="231F20"/>
          <w:spacing w:val="-8"/>
        </w:rPr>
        <w:t> </w:t>
      </w:r>
      <w:r>
        <w:rPr>
          <w:color w:val="231F20"/>
        </w:rPr>
        <w:t>fac- tores ideológicos que refuerzan su posición dependiente de la</w:t>
      </w:r>
      <w:r>
        <w:rPr>
          <w:color w:val="231F20"/>
          <w:spacing w:val="-12"/>
        </w:rPr>
        <w:t> </w:t>
      </w:r>
      <w:r>
        <w:rPr>
          <w:color w:val="231F20"/>
        </w:rPr>
        <w:t>sociedad.</w:t>
      </w:r>
    </w:p>
    <w:p>
      <w:pPr>
        <w:pStyle w:val="BodyText"/>
        <w:spacing w:line="249" w:lineRule="auto" w:before="1"/>
        <w:ind w:left="110" w:right="111" w:firstLine="283"/>
        <w:jc w:val="both"/>
      </w:pPr>
      <w:r>
        <w:rPr>
          <w:color w:val="231F20"/>
        </w:rPr>
        <w:t>Bazán dice que el trabajo, al igual que el desempleo (eje principal en su</w:t>
      </w:r>
      <w:r>
        <w:rPr>
          <w:color w:val="231F20"/>
          <w:spacing w:val="-11"/>
        </w:rPr>
        <w:t> </w:t>
      </w:r>
      <w:r>
        <w:rPr>
          <w:color w:val="231F20"/>
        </w:rPr>
        <w:t>investigación)</w:t>
      </w:r>
      <w:r>
        <w:rPr>
          <w:color w:val="231F20"/>
          <w:spacing w:val="-12"/>
        </w:rPr>
        <w:t> </w:t>
      </w:r>
      <w:r>
        <w:rPr>
          <w:color w:val="231F20"/>
        </w:rPr>
        <w:t>“es</w:t>
      </w:r>
      <w:r>
        <w:rPr>
          <w:color w:val="231F20"/>
          <w:spacing w:val="-11"/>
        </w:rPr>
        <w:t> </w:t>
      </w:r>
      <w:r>
        <w:rPr>
          <w:color w:val="231F20"/>
        </w:rPr>
        <w:t>un</w:t>
      </w:r>
      <w:r>
        <w:rPr>
          <w:color w:val="231F20"/>
          <w:spacing w:val="-11"/>
        </w:rPr>
        <w:t> </w:t>
      </w:r>
      <w:r>
        <w:rPr>
          <w:color w:val="231F20"/>
        </w:rPr>
        <w:t>fenómeno</w:t>
      </w:r>
      <w:r>
        <w:rPr>
          <w:color w:val="231F20"/>
          <w:spacing w:val="-11"/>
        </w:rPr>
        <w:t> </w:t>
      </w:r>
      <w:r>
        <w:rPr>
          <w:color w:val="231F20"/>
        </w:rPr>
        <w:t>complejo</w:t>
      </w:r>
      <w:r>
        <w:rPr>
          <w:color w:val="231F20"/>
          <w:spacing w:val="-11"/>
        </w:rPr>
        <w:t> </w:t>
      </w:r>
      <w:r>
        <w:rPr>
          <w:color w:val="231F20"/>
        </w:rPr>
        <w:t>que</w:t>
      </w:r>
      <w:r>
        <w:rPr>
          <w:color w:val="231F20"/>
          <w:spacing w:val="-11"/>
        </w:rPr>
        <w:t> </w:t>
      </w:r>
      <w:r>
        <w:rPr>
          <w:color w:val="231F20"/>
        </w:rPr>
        <w:t>produce</w:t>
      </w:r>
      <w:r>
        <w:rPr>
          <w:color w:val="231F20"/>
          <w:spacing w:val="-11"/>
        </w:rPr>
        <w:t> </w:t>
      </w:r>
      <w:r>
        <w:rPr>
          <w:color w:val="231F20"/>
        </w:rPr>
        <w:t>modificaciones en el estilo de vida, en el uso de los recursos y de las relaciones perso- nales e institucionales de quienes lo experimentan” (Bazán, 1999:</w:t>
      </w:r>
      <w:r>
        <w:rPr>
          <w:color w:val="231F20"/>
          <w:spacing w:val="-3"/>
        </w:rPr>
        <w:t> </w:t>
      </w:r>
      <w:r>
        <w:rPr>
          <w:color w:val="231F20"/>
        </w:rPr>
        <w:t>13).</w:t>
      </w:r>
    </w:p>
    <w:p>
      <w:pPr>
        <w:pStyle w:val="BodyText"/>
        <w:spacing w:line="249" w:lineRule="auto" w:before="1"/>
        <w:ind w:left="110" w:right="111" w:firstLine="283"/>
        <w:jc w:val="both"/>
      </w:pPr>
      <w:r>
        <w:rPr>
          <w:color w:val="231F20"/>
        </w:rPr>
        <w:t>Y como dicen García y Oliveira (1995), la incorporación de las mu- jeres al trabajo remunerado se ha observado como estrategia de sobre- vivencia, condicionada por el ciclo vital del individuo y la inestabilidad económica de la unidad doméstica, reflejándose en variables como el estado</w:t>
      </w:r>
      <w:r>
        <w:rPr>
          <w:color w:val="231F20"/>
          <w:spacing w:val="-5"/>
        </w:rPr>
        <w:t> </w:t>
      </w:r>
      <w:r>
        <w:rPr>
          <w:color w:val="231F20"/>
        </w:rPr>
        <w:t>civil,</w:t>
      </w:r>
      <w:r>
        <w:rPr>
          <w:color w:val="231F20"/>
          <w:spacing w:val="-4"/>
        </w:rPr>
        <w:t> </w:t>
      </w:r>
      <w:r>
        <w:rPr>
          <w:color w:val="231F20"/>
        </w:rPr>
        <w:t>la</w:t>
      </w:r>
      <w:r>
        <w:rPr>
          <w:color w:val="231F20"/>
          <w:spacing w:val="-4"/>
        </w:rPr>
        <w:t> </w:t>
      </w:r>
      <w:r>
        <w:rPr>
          <w:color w:val="231F20"/>
        </w:rPr>
        <w:t>edad,</w:t>
      </w:r>
      <w:r>
        <w:rPr>
          <w:color w:val="231F20"/>
          <w:spacing w:val="-4"/>
        </w:rPr>
        <w:t> </w:t>
      </w:r>
      <w:r>
        <w:rPr>
          <w:color w:val="231F20"/>
        </w:rPr>
        <w:t>la</w:t>
      </w:r>
      <w:r>
        <w:rPr>
          <w:color w:val="231F20"/>
          <w:spacing w:val="-4"/>
        </w:rPr>
        <w:t> </w:t>
      </w:r>
      <w:r>
        <w:rPr>
          <w:color w:val="231F20"/>
        </w:rPr>
        <w:t>escolaridad</w:t>
      </w:r>
      <w:r>
        <w:rPr>
          <w:color w:val="231F20"/>
          <w:spacing w:val="-5"/>
        </w:rPr>
        <w:t> </w:t>
      </w:r>
      <w:r>
        <w:rPr>
          <w:color w:val="231F20"/>
        </w:rPr>
        <w:t>y</w:t>
      </w:r>
      <w:r>
        <w:rPr>
          <w:color w:val="231F20"/>
          <w:spacing w:val="-4"/>
        </w:rPr>
        <w:t> </w:t>
      </w:r>
      <w:r>
        <w:rPr>
          <w:color w:val="231F20"/>
        </w:rPr>
        <w:t>sobre</w:t>
      </w:r>
      <w:r>
        <w:rPr>
          <w:color w:val="231F20"/>
          <w:spacing w:val="-4"/>
        </w:rPr>
        <w:t> </w:t>
      </w:r>
      <w:r>
        <w:rPr>
          <w:color w:val="231F20"/>
        </w:rPr>
        <w:t>todo</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número</w:t>
      </w:r>
      <w:r>
        <w:rPr>
          <w:color w:val="231F20"/>
          <w:spacing w:val="-4"/>
        </w:rPr>
        <w:t> </w:t>
      </w:r>
      <w:r>
        <w:rPr>
          <w:color w:val="231F20"/>
        </w:rPr>
        <w:t>y</w:t>
      </w:r>
      <w:r>
        <w:rPr>
          <w:color w:val="231F20"/>
          <w:spacing w:val="-4"/>
        </w:rPr>
        <w:t> </w:t>
      </w:r>
      <w:r>
        <w:rPr>
          <w:color w:val="231F20"/>
        </w:rPr>
        <w:t>edad</w:t>
      </w:r>
      <w:r>
        <w:rPr>
          <w:color w:val="231F20"/>
          <w:spacing w:val="-4"/>
        </w:rPr>
        <w:t> </w:t>
      </w:r>
      <w:r>
        <w:rPr>
          <w:color w:val="231F20"/>
        </w:rPr>
        <w:t>de los</w:t>
      </w:r>
      <w:r>
        <w:rPr>
          <w:color w:val="231F20"/>
          <w:spacing w:val="-11"/>
        </w:rPr>
        <w:t> </w:t>
      </w:r>
      <w:r>
        <w:rPr>
          <w:color w:val="231F20"/>
        </w:rPr>
        <w:t>hijos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para</w:t>
      </w:r>
      <w:r>
        <w:rPr>
          <w:color w:val="231F20"/>
          <w:spacing w:val="-11"/>
        </w:rPr>
        <w:t> </w:t>
      </w:r>
      <w:r>
        <w:rPr>
          <w:color w:val="231F20"/>
        </w:rPr>
        <w:t>poder</w:t>
      </w:r>
      <w:r>
        <w:rPr>
          <w:color w:val="231F20"/>
          <w:spacing w:val="-11"/>
        </w:rPr>
        <w:t> </w:t>
      </w:r>
      <w:r>
        <w:rPr>
          <w:color w:val="231F20"/>
        </w:rPr>
        <w:t>observar</w:t>
      </w:r>
      <w:r>
        <w:rPr>
          <w:color w:val="231F20"/>
          <w:spacing w:val="-11"/>
        </w:rPr>
        <w:t> </w:t>
      </w:r>
      <w:r>
        <w:rPr>
          <w:color w:val="231F20"/>
        </w:rPr>
        <w:t>esta</w:t>
      </w:r>
      <w:r>
        <w:rPr>
          <w:color w:val="231F20"/>
          <w:spacing w:val="-11"/>
        </w:rPr>
        <w:t> </w:t>
      </w:r>
      <w:r>
        <w:rPr>
          <w:color w:val="231F20"/>
        </w:rPr>
        <w:t>multiplicidad de</w:t>
      </w:r>
      <w:r>
        <w:rPr>
          <w:color w:val="231F20"/>
          <w:spacing w:val="-4"/>
        </w:rPr>
        <w:t> </w:t>
      </w:r>
      <w:r>
        <w:rPr>
          <w:color w:val="231F20"/>
        </w:rPr>
        <w:t>elementos</w:t>
      </w:r>
      <w:r>
        <w:rPr>
          <w:color w:val="231F20"/>
          <w:spacing w:val="-5"/>
        </w:rPr>
        <w:t> </w:t>
      </w:r>
      <w:r>
        <w:rPr>
          <w:color w:val="231F20"/>
        </w:rPr>
        <w:t>es</w:t>
      </w:r>
      <w:r>
        <w:rPr>
          <w:color w:val="231F20"/>
          <w:spacing w:val="-4"/>
        </w:rPr>
        <w:t> </w:t>
      </w:r>
      <w:r>
        <w:rPr>
          <w:color w:val="231F20"/>
        </w:rPr>
        <w:t>necesaria</w:t>
      </w:r>
      <w:r>
        <w:rPr>
          <w:color w:val="231F20"/>
          <w:spacing w:val="-4"/>
        </w:rPr>
        <w:t> </w:t>
      </w:r>
      <w:r>
        <w:rPr>
          <w:color w:val="231F20"/>
        </w:rPr>
        <w:t>la</w:t>
      </w:r>
      <w:r>
        <w:rPr>
          <w:color w:val="231F20"/>
          <w:spacing w:val="-4"/>
        </w:rPr>
        <w:t> </w:t>
      </w:r>
      <w:r>
        <w:rPr>
          <w:color w:val="231F20"/>
        </w:rPr>
        <w:t>utilización</w:t>
      </w:r>
      <w:r>
        <w:rPr>
          <w:color w:val="231F20"/>
          <w:spacing w:val="-5"/>
        </w:rPr>
        <w:t> </w:t>
      </w:r>
      <w:r>
        <w:rPr>
          <w:color w:val="231F20"/>
        </w:rPr>
        <w:t>de</w:t>
      </w:r>
      <w:r>
        <w:rPr>
          <w:color w:val="231F20"/>
          <w:spacing w:val="-4"/>
        </w:rPr>
        <w:t> </w:t>
      </w:r>
      <w:r>
        <w:rPr>
          <w:color w:val="231F20"/>
        </w:rPr>
        <w:t>una</w:t>
      </w:r>
      <w:r>
        <w:rPr>
          <w:color w:val="231F20"/>
          <w:spacing w:val="-4"/>
        </w:rPr>
        <w:t> </w:t>
      </w:r>
      <w:r>
        <w:rPr>
          <w:color w:val="231F20"/>
        </w:rPr>
        <w:t>herramienta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demó- grafos y sociodemógrafos, la perspectiva del curso de vida utilizando propiamente las trayectorias</w:t>
      </w:r>
      <w:r>
        <w:rPr>
          <w:color w:val="231F20"/>
          <w:spacing w:val="-2"/>
        </w:rPr>
        <w:t> </w:t>
      </w:r>
      <w:r>
        <w:rPr>
          <w:color w:val="231F20"/>
        </w:rPr>
        <w:t>vitales.</w:t>
      </w:r>
    </w:p>
    <w:p>
      <w:pPr>
        <w:pStyle w:val="BodyText"/>
        <w:spacing w:line="249" w:lineRule="auto" w:before="1"/>
        <w:ind w:left="110" w:right="111" w:firstLine="283"/>
        <w:jc w:val="both"/>
      </w:pPr>
      <w:r>
        <w:rPr>
          <w:color w:val="231F20"/>
        </w:rPr>
        <w:t>El rol</w:t>
      </w:r>
      <w:r>
        <w:rPr>
          <w:color w:val="231F20"/>
          <w:position w:val="7"/>
          <w:sz w:val="11"/>
        </w:rPr>
        <w:t>6 </w:t>
      </w:r>
      <w:r>
        <w:rPr>
          <w:color w:val="231F20"/>
        </w:rPr>
        <w:t>de género, consideran varios autores, se forma con el</w:t>
      </w:r>
      <w:r>
        <w:rPr>
          <w:color w:val="231F20"/>
          <w:spacing w:val="-33"/>
        </w:rPr>
        <w:t> </w:t>
      </w:r>
      <w:r>
        <w:rPr>
          <w:color w:val="231F20"/>
        </w:rPr>
        <w:t>conjunto de normas y prescripciones que dictan la sociedad y la cultura sobre el comportamiento femenino y masculino, que, aunque con sus diferencias de</w:t>
      </w:r>
      <w:r>
        <w:rPr>
          <w:color w:val="231F20"/>
          <w:spacing w:val="-4"/>
        </w:rPr>
        <w:t> </w:t>
      </w:r>
      <w:r>
        <w:rPr>
          <w:color w:val="231F20"/>
        </w:rPr>
        <w:t>clase,</w:t>
      </w:r>
      <w:r>
        <w:rPr>
          <w:color w:val="231F20"/>
          <w:spacing w:val="-4"/>
        </w:rPr>
        <w:t> </w:t>
      </w:r>
      <w:r>
        <w:rPr>
          <w:color w:val="231F20"/>
        </w:rPr>
        <w:t>generacional,</w:t>
      </w:r>
      <w:r>
        <w:rPr>
          <w:color w:val="231F20"/>
          <w:spacing w:val="-5"/>
        </w:rPr>
        <w:t> </w:t>
      </w:r>
      <w:r>
        <w:rPr>
          <w:color w:val="231F20"/>
        </w:rPr>
        <w:t>etc.,</w:t>
      </w:r>
      <w:r>
        <w:rPr>
          <w:color w:val="231F20"/>
          <w:spacing w:val="-5"/>
        </w:rPr>
        <w:t> </w:t>
      </w:r>
      <w:r>
        <w:rPr>
          <w:color w:val="231F20"/>
        </w:rPr>
        <w:t>puede</w:t>
      </w:r>
      <w:r>
        <w:rPr>
          <w:color w:val="231F20"/>
          <w:spacing w:val="-4"/>
        </w:rPr>
        <w:t> </w:t>
      </w:r>
      <w:r>
        <w:rPr>
          <w:color w:val="231F20"/>
        </w:rPr>
        <w:t>coincidir</w:t>
      </w:r>
      <w:r>
        <w:rPr>
          <w:color w:val="231F20"/>
          <w:spacing w:val="-5"/>
        </w:rPr>
        <w:t> </w:t>
      </w:r>
      <w:r>
        <w:rPr>
          <w:color w:val="231F20"/>
        </w:rPr>
        <w:t>con</w:t>
      </w:r>
      <w:r>
        <w:rPr>
          <w:color w:val="231F20"/>
          <w:spacing w:val="-5"/>
        </w:rPr>
        <w:t> </w:t>
      </w:r>
      <w:r>
        <w:rPr>
          <w:color w:val="231F20"/>
        </w:rPr>
        <w:t>la</w:t>
      </w:r>
      <w:r>
        <w:rPr>
          <w:color w:val="231F20"/>
          <w:spacing w:val="-4"/>
        </w:rPr>
        <w:t> </w:t>
      </w:r>
      <w:r>
        <w:rPr>
          <w:color w:val="231F20"/>
        </w:rPr>
        <w:t>división</w:t>
      </w:r>
      <w:r>
        <w:rPr>
          <w:color w:val="231F20"/>
          <w:spacing w:val="-4"/>
        </w:rPr>
        <w:t> </w:t>
      </w:r>
      <w:r>
        <w:rPr>
          <w:color w:val="231F20"/>
        </w:rPr>
        <w:t>básica</w:t>
      </w:r>
      <w:r>
        <w:rPr>
          <w:color w:val="231F20"/>
          <w:spacing w:val="-4"/>
        </w:rPr>
        <w:t> </w:t>
      </w:r>
      <w:r>
        <w:rPr>
          <w:color w:val="231F20"/>
        </w:rPr>
        <w:t>que</w:t>
      </w:r>
      <w:r>
        <w:rPr>
          <w:color w:val="231F20"/>
          <w:spacing w:val="-4"/>
        </w:rPr>
        <w:t> </w:t>
      </w:r>
      <w:r>
        <w:rPr>
          <w:color w:val="231F20"/>
        </w:rPr>
        <w:t>es</w:t>
      </w:r>
    </w:p>
    <w:p>
      <w:pPr>
        <w:spacing w:before="129"/>
        <w:ind w:left="110" w:right="111" w:firstLine="0"/>
        <w:jc w:val="both"/>
        <w:rPr>
          <w:sz w:val="14"/>
        </w:rPr>
      </w:pPr>
      <w:r>
        <w:rPr>
          <w:color w:val="231F20"/>
          <w:position w:val="5"/>
          <w:sz w:val="8"/>
        </w:rPr>
        <w:t>6</w:t>
      </w:r>
      <w:r>
        <w:rPr>
          <w:color w:val="231F20"/>
          <w:spacing w:val="12"/>
          <w:position w:val="5"/>
          <w:sz w:val="8"/>
        </w:rPr>
        <w:t> </w:t>
      </w:r>
      <w:r>
        <w:rPr>
          <w:color w:val="231F20"/>
          <w:sz w:val="14"/>
        </w:rPr>
        <w:t>El</w:t>
      </w:r>
      <w:r>
        <w:rPr>
          <w:color w:val="231F20"/>
          <w:spacing w:val="-3"/>
          <w:sz w:val="14"/>
        </w:rPr>
        <w:t> </w:t>
      </w:r>
      <w:r>
        <w:rPr>
          <w:color w:val="231F20"/>
          <w:sz w:val="14"/>
        </w:rPr>
        <w:t>rol</w:t>
      </w:r>
      <w:r>
        <w:rPr>
          <w:color w:val="231F20"/>
          <w:spacing w:val="-3"/>
          <w:sz w:val="14"/>
        </w:rPr>
        <w:t> </w:t>
      </w:r>
      <w:r>
        <w:rPr>
          <w:color w:val="231F20"/>
          <w:sz w:val="14"/>
        </w:rPr>
        <w:t>social</w:t>
      </w:r>
      <w:r>
        <w:rPr>
          <w:color w:val="231F20"/>
          <w:spacing w:val="-3"/>
          <w:sz w:val="14"/>
        </w:rPr>
        <w:t> </w:t>
      </w:r>
      <w:r>
        <w:rPr>
          <w:color w:val="231F20"/>
          <w:sz w:val="14"/>
        </w:rPr>
        <w:t>se</w:t>
      </w:r>
      <w:r>
        <w:rPr>
          <w:color w:val="231F20"/>
          <w:spacing w:val="-3"/>
          <w:sz w:val="14"/>
        </w:rPr>
        <w:t> </w:t>
      </w:r>
      <w:r>
        <w:rPr>
          <w:color w:val="231F20"/>
          <w:sz w:val="14"/>
        </w:rPr>
        <w:t>define</w:t>
      </w:r>
      <w:r>
        <w:rPr>
          <w:color w:val="231F20"/>
          <w:spacing w:val="-3"/>
          <w:sz w:val="14"/>
        </w:rPr>
        <w:t> </w:t>
      </w:r>
      <w:r>
        <w:rPr>
          <w:color w:val="231F20"/>
          <w:sz w:val="14"/>
        </w:rPr>
        <w:t>para</w:t>
      </w:r>
      <w:r>
        <w:rPr>
          <w:color w:val="231F20"/>
          <w:spacing w:val="-3"/>
          <w:sz w:val="14"/>
        </w:rPr>
        <w:t> </w:t>
      </w:r>
      <w:r>
        <w:rPr>
          <w:color w:val="231F20"/>
          <w:sz w:val="14"/>
        </w:rPr>
        <w:t>este</w:t>
      </w:r>
      <w:r>
        <w:rPr>
          <w:color w:val="231F20"/>
          <w:spacing w:val="-3"/>
          <w:sz w:val="14"/>
        </w:rPr>
        <w:t> </w:t>
      </w:r>
      <w:r>
        <w:rPr>
          <w:color w:val="231F20"/>
          <w:sz w:val="14"/>
        </w:rPr>
        <w:t>trabajo</w:t>
      </w:r>
      <w:r>
        <w:rPr>
          <w:color w:val="231F20"/>
          <w:spacing w:val="-3"/>
          <w:sz w:val="14"/>
        </w:rPr>
        <w:t> </w:t>
      </w:r>
      <w:r>
        <w:rPr>
          <w:color w:val="231F20"/>
          <w:sz w:val="14"/>
        </w:rPr>
        <w:t>como</w:t>
      </w:r>
      <w:r>
        <w:rPr>
          <w:color w:val="231F20"/>
          <w:spacing w:val="-3"/>
          <w:sz w:val="14"/>
        </w:rPr>
        <w:t> </w:t>
      </w:r>
      <w:r>
        <w:rPr>
          <w:color w:val="231F20"/>
          <w:sz w:val="14"/>
        </w:rPr>
        <w:t>una</w:t>
      </w:r>
      <w:r>
        <w:rPr>
          <w:color w:val="231F20"/>
          <w:spacing w:val="-3"/>
          <w:sz w:val="14"/>
        </w:rPr>
        <w:t> </w:t>
      </w:r>
      <w:r>
        <w:rPr>
          <w:color w:val="231F20"/>
          <w:sz w:val="14"/>
        </w:rPr>
        <w:t>serie</w:t>
      </w:r>
      <w:r>
        <w:rPr>
          <w:color w:val="231F20"/>
          <w:spacing w:val="-3"/>
          <w:sz w:val="14"/>
        </w:rPr>
        <w:t> </w:t>
      </w:r>
      <w:r>
        <w:rPr>
          <w:color w:val="231F20"/>
          <w:sz w:val="14"/>
        </w:rPr>
        <w:t>de</w:t>
      </w:r>
      <w:r>
        <w:rPr>
          <w:color w:val="231F20"/>
          <w:spacing w:val="-3"/>
          <w:sz w:val="14"/>
        </w:rPr>
        <w:t> </w:t>
      </w:r>
      <w:r>
        <w:rPr>
          <w:color w:val="231F20"/>
          <w:sz w:val="14"/>
        </w:rPr>
        <w:t>comportamientos</w:t>
      </w:r>
      <w:r>
        <w:rPr>
          <w:color w:val="231F20"/>
          <w:spacing w:val="-3"/>
          <w:sz w:val="14"/>
        </w:rPr>
        <w:t> </w:t>
      </w:r>
      <w:r>
        <w:rPr>
          <w:color w:val="231F20"/>
          <w:sz w:val="14"/>
        </w:rPr>
        <w:t>asociados</w:t>
      </w:r>
      <w:r>
        <w:rPr>
          <w:color w:val="231F20"/>
          <w:spacing w:val="-3"/>
          <w:sz w:val="14"/>
        </w:rPr>
        <w:t> </w:t>
      </w:r>
      <w:r>
        <w:rPr>
          <w:color w:val="231F20"/>
          <w:sz w:val="14"/>
        </w:rPr>
        <w:t>con</w:t>
      </w:r>
      <w:r>
        <w:rPr>
          <w:color w:val="231F20"/>
          <w:spacing w:val="-3"/>
          <w:sz w:val="14"/>
        </w:rPr>
        <w:t> </w:t>
      </w:r>
      <w:r>
        <w:rPr>
          <w:color w:val="231F20"/>
          <w:sz w:val="14"/>
        </w:rPr>
        <w:t>el</w:t>
      </w:r>
      <w:r>
        <w:rPr>
          <w:color w:val="231F20"/>
          <w:spacing w:val="-3"/>
          <w:sz w:val="14"/>
        </w:rPr>
        <w:t> </w:t>
      </w:r>
      <w:r>
        <w:rPr>
          <w:color w:val="231F20"/>
          <w:sz w:val="14"/>
        </w:rPr>
        <w:t>lugar</w:t>
      </w:r>
      <w:r>
        <w:rPr>
          <w:color w:val="231F20"/>
          <w:spacing w:val="-3"/>
          <w:sz w:val="14"/>
        </w:rPr>
        <w:t> </w:t>
      </w:r>
      <w:r>
        <w:rPr>
          <w:color w:val="231F20"/>
          <w:sz w:val="14"/>
        </w:rPr>
        <w:t>que los</w:t>
      </w:r>
      <w:r>
        <w:rPr>
          <w:color w:val="231F20"/>
          <w:spacing w:val="-3"/>
          <w:sz w:val="14"/>
        </w:rPr>
        <w:t> </w:t>
      </w:r>
      <w:r>
        <w:rPr>
          <w:color w:val="231F20"/>
          <w:sz w:val="14"/>
        </w:rPr>
        <w:t>sujetos</w:t>
      </w:r>
      <w:r>
        <w:rPr>
          <w:color w:val="231F20"/>
          <w:spacing w:val="-2"/>
          <w:sz w:val="14"/>
        </w:rPr>
        <w:t> </w:t>
      </w:r>
      <w:r>
        <w:rPr>
          <w:color w:val="231F20"/>
          <w:sz w:val="14"/>
        </w:rPr>
        <w:t>tienen</w:t>
      </w:r>
      <w:r>
        <w:rPr>
          <w:color w:val="231F20"/>
          <w:spacing w:val="-3"/>
          <w:sz w:val="14"/>
        </w:rPr>
        <w:t> </w:t>
      </w:r>
      <w:r>
        <w:rPr>
          <w:color w:val="231F20"/>
          <w:sz w:val="14"/>
        </w:rPr>
        <w:t>en</w:t>
      </w:r>
      <w:r>
        <w:rPr>
          <w:color w:val="231F20"/>
          <w:spacing w:val="-3"/>
          <w:sz w:val="14"/>
        </w:rPr>
        <w:t> </w:t>
      </w:r>
      <w:r>
        <w:rPr>
          <w:color w:val="231F20"/>
          <w:sz w:val="14"/>
        </w:rPr>
        <w:t>una</w:t>
      </w:r>
      <w:r>
        <w:rPr>
          <w:color w:val="231F20"/>
          <w:spacing w:val="-3"/>
          <w:sz w:val="14"/>
        </w:rPr>
        <w:t> </w:t>
      </w:r>
      <w:r>
        <w:rPr>
          <w:color w:val="231F20"/>
          <w:sz w:val="14"/>
        </w:rPr>
        <w:t>determinada</w:t>
      </w:r>
      <w:r>
        <w:rPr>
          <w:color w:val="231F20"/>
          <w:spacing w:val="-3"/>
          <w:sz w:val="14"/>
        </w:rPr>
        <w:t> </w:t>
      </w:r>
      <w:r>
        <w:rPr>
          <w:color w:val="231F20"/>
          <w:sz w:val="14"/>
        </w:rPr>
        <w:t>institución</w:t>
      </w:r>
      <w:r>
        <w:rPr>
          <w:color w:val="231F20"/>
          <w:spacing w:val="-3"/>
          <w:sz w:val="14"/>
        </w:rPr>
        <w:t> </w:t>
      </w:r>
      <w:r>
        <w:rPr>
          <w:color w:val="231F20"/>
          <w:sz w:val="14"/>
        </w:rPr>
        <w:t>de</w:t>
      </w:r>
      <w:r>
        <w:rPr>
          <w:color w:val="231F20"/>
          <w:spacing w:val="-3"/>
          <w:sz w:val="14"/>
        </w:rPr>
        <w:t> </w:t>
      </w:r>
      <w:r>
        <w:rPr>
          <w:color w:val="231F20"/>
          <w:sz w:val="14"/>
        </w:rPr>
        <w:t>la</w:t>
      </w:r>
      <w:r>
        <w:rPr>
          <w:color w:val="231F20"/>
          <w:spacing w:val="-3"/>
          <w:sz w:val="14"/>
        </w:rPr>
        <w:t> </w:t>
      </w:r>
      <w:r>
        <w:rPr>
          <w:color w:val="231F20"/>
          <w:sz w:val="14"/>
        </w:rPr>
        <w:t>sociedad,</w:t>
      </w:r>
      <w:r>
        <w:rPr>
          <w:color w:val="231F20"/>
          <w:spacing w:val="-2"/>
          <w:sz w:val="14"/>
        </w:rPr>
        <w:t> </w:t>
      </w:r>
      <w:r>
        <w:rPr>
          <w:color w:val="231F20"/>
          <w:sz w:val="14"/>
        </w:rPr>
        <w:t>lo</w:t>
      </w:r>
      <w:r>
        <w:rPr>
          <w:color w:val="231F20"/>
          <w:spacing w:val="-3"/>
          <w:sz w:val="14"/>
        </w:rPr>
        <w:t> </w:t>
      </w:r>
      <w:r>
        <w:rPr>
          <w:color w:val="231F20"/>
          <w:sz w:val="14"/>
        </w:rPr>
        <w:t>que</w:t>
      </w:r>
      <w:r>
        <w:rPr>
          <w:color w:val="231F20"/>
          <w:spacing w:val="-3"/>
          <w:sz w:val="14"/>
        </w:rPr>
        <w:t> </w:t>
      </w:r>
      <w:r>
        <w:rPr>
          <w:color w:val="231F20"/>
          <w:sz w:val="14"/>
        </w:rPr>
        <w:t>implica</w:t>
      </w:r>
      <w:r>
        <w:rPr>
          <w:color w:val="231F20"/>
          <w:spacing w:val="-3"/>
          <w:sz w:val="14"/>
        </w:rPr>
        <w:t> </w:t>
      </w:r>
      <w:r>
        <w:rPr>
          <w:color w:val="231F20"/>
          <w:sz w:val="14"/>
        </w:rPr>
        <w:t>obligaciones</w:t>
      </w:r>
      <w:r>
        <w:rPr>
          <w:color w:val="231F20"/>
          <w:spacing w:val="-3"/>
          <w:sz w:val="14"/>
        </w:rPr>
        <w:t> </w:t>
      </w:r>
      <w:r>
        <w:rPr>
          <w:color w:val="231F20"/>
          <w:sz w:val="14"/>
        </w:rPr>
        <w:t>y</w:t>
      </w:r>
      <w:r>
        <w:rPr>
          <w:color w:val="231F20"/>
          <w:spacing w:val="-3"/>
          <w:sz w:val="14"/>
        </w:rPr>
        <w:t> </w:t>
      </w:r>
      <w:r>
        <w:rPr>
          <w:color w:val="231F20"/>
          <w:sz w:val="14"/>
        </w:rPr>
        <w:t>derechos entre la persona y los demás</w:t>
      </w:r>
      <w:r>
        <w:rPr>
          <w:color w:val="231F20"/>
          <w:spacing w:val="-2"/>
          <w:sz w:val="14"/>
        </w:rPr>
        <w:t> </w:t>
      </w:r>
      <w:r>
        <w:rPr>
          <w:color w:val="231F20"/>
          <w:sz w:val="14"/>
        </w:rPr>
        <w:t>miembros.</w:t>
      </w:r>
    </w:p>
    <w:p>
      <w:pPr>
        <w:spacing w:after="0"/>
        <w:jc w:val="both"/>
        <w:rPr>
          <w:sz w:val="14"/>
        </w:rPr>
        <w:sectPr>
          <w:pgSz w:w="7770" w:h="11740"/>
          <w:pgMar w:header="0" w:footer="474" w:top="840" w:bottom="740" w:left="740" w:right="1020"/>
        </w:sectPr>
      </w:pPr>
    </w:p>
    <w:p>
      <w:pPr>
        <w:pStyle w:val="BodyText"/>
        <w:spacing w:line="249" w:lineRule="auto" w:before="60"/>
        <w:ind w:left="113" w:right="108"/>
        <w:jc w:val="both"/>
      </w:pPr>
      <w:r>
        <w:rPr>
          <w:color w:val="231F20"/>
        </w:rPr>
        <w:t>la división sexual del trabajo, en la que “las mujeres paren hijos, y por  lo tanto, los cuidan: ergo, lo femenino es lo maternal, lo doméstico, lo contrapuesto con lo masculino como lo público” (Lamas,1997: 114). En este</w:t>
      </w:r>
      <w:r>
        <w:rPr>
          <w:color w:val="231F20"/>
          <w:spacing w:val="-10"/>
        </w:rPr>
        <w:t> </w:t>
      </w:r>
      <w:r>
        <w:rPr>
          <w:color w:val="231F20"/>
        </w:rPr>
        <w:t>sentido,</w:t>
      </w:r>
      <w:r>
        <w:rPr>
          <w:color w:val="231F20"/>
          <w:spacing w:val="-10"/>
        </w:rPr>
        <w:t> </w:t>
      </w:r>
      <w:r>
        <w:rPr>
          <w:color w:val="231F20"/>
        </w:rPr>
        <w:t>para</w:t>
      </w:r>
      <w:r>
        <w:rPr>
          <w:color w:val="231F20"/>
          <w:spacing w:val="-10"/>
        </w:rPr>
        <w:t> </w:t>
      </w:r>
      <w:r>
        <w:rPr>
          <w:color w:val="231F20"/>
        </w:rPr>
        <w:t>1978,</w:t>
      </w:r>
      <w:r>
        <w:rPr>
          <w:color w:val="231F20"/>
          <w:spacing w:val="-10"/>
        </w:rPr>
        <w:t> </w:t>
      </w:r>
      <w:r>
        <w:rPr>
          <w:color w:val="231F20"/>
        </w:rPr>
        <w:t>Marcuse</w:t>
      </w:r>
      <w:r>
        <w:rPr>
          <w:color w:val="231F20"/>
          <w:spacing w:val="-10"/>
        </w:rPr>
        <w:t> </w:t>
      </w:r>
      <w:r>
        <w:rPr>
          <w:color w:val="231F20"/>
        </w:rPr>
        <w:t>cuestionó</w:t>
      </w:r>
      <w:r>
        <w:rPr>
          <w:color w:val="231F20"/>
          <w:spacing w:val="-11"/>
        </w:rPr>
        <w:t> </w:t>
      </w:r>
      <w:r>
        <w:rPr>
          <w:color w:val="231F20"/>
        </w:rPr>
        <w:t>las</w:t>
      </w:r>
      <w:r>
        <w:rPr>
          <w:color w:val="231F20"/>
          <w:spacing w:val="-10"/>
        </w:rPr>
        <w:t> </w:t>
      </w:r>
      <w:r>
        <w:rPr>
          <w:color w:val="231F20"/>
        </w:rPr>
        <w:t>causas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opresión</w:t>
      </w:r>
      <w:r>
        <w:rPr>
          <w:color w:val="231F20"/>
          <w:spacing w:val="-10"/>
        </w:rPr>
        <w:t> </w:t>
      </w:r>
      <w:r>
        <w:rPr>
          <w:color w:val="231F20"/>
        </w:rPr>
        <w:t>de</w:t>
      </w:r>
      <w:r>
        <w:rPr>
          <w:color w:val="231F20"/>
          <w:spacing w:val="-10"/>
        </w:rPr>
        <w:t> </w:t>
      </w:r>
      <w:r>
        <w:rPr>
          <w:color w:val="231F20"/>
        </w:rPr>
        <w:t>la mujer</w:t>
      </w:r>
      <w:r>
        <w:rPr>
          <w:color w:val="231F20"/>
          <w:spacing w:val="-8"/>
        </w:rPr>
        <w:t> </w:t>
      </w:r>
      <w:r>
        <w:rPr>
          <w:color w:val="231F20"/>
        </w:rPr>
        <w:t>en</w:t>
      </w:r>
      <w:r>
        <w:rPr>
          <w:color w:val="231F20"/>
          <w:spacing w:val="-8"/>
        </w:rPr>
        <w:t> </w:t>
      </w:r>
      <w:r>
        <w:rPr>
          <w:color w:val="231F20"/>
        </w:rPr>
        <w:t>general,</w:t>
      </w:r>
      <w:r>
        <w:rPr>
          <w:color w:val="231F20"/>
          <w:spacing w:val="-8"/>
        </w:rPr>
        <w:t> </w:t>
      </w:r>
      <w:r>
        <w:rPr>
          <w:color w:val="231F20"/>
        </w:rPr>
        <w:t>preguntándose,</w:t>
      </w:r>
      <w:r>
        <w:rPr>
          <w:color w:val="231F20"/>
          <w:spacing w:val="-8"/>
        </w:rPr>
        <w:t> </w:t>
      </w:r>
      <w:r>
        <w:rPr>
          <w:color w:val="231F20"/>
        </w:rPr>
        <w:t>por</w:t>
      </w:r>
      <w:r>
        <w:rPr>
          <w:color w:val="231F20"/>
          <w:spacing w:val="-8"/>
        </w:rPr>
        <w:t> </w:t>
      </w:r>
      <w:r>
        <w:rPr>
          <w:color w:val="231F20"/>
        </w:rPr>
        <w:t>ejemplo,</w:t>
      </w:r>
      <w:r>
        <w:rPr>
          <w:color w:val="231F20"/>
          <w:spacing w:val="-8"/>
        </w:rPr>
        <w:t> </w:t>
      </w:r>
      <w:r>
        <w:rPr>
          <w:color w:val="231F20"/>
        </w:rPr>
        <w:t>por</w:t>
      </w:r>
      <w:r>
        <w:rPr>
          <w:color w:val="231F20"/>
          <w:spacing w:val="-8"/>
        </w:rPr>
        <w:t> </w:t>
      </w:r>
      <w:r>
        <w:rPr>
          <w:color w:val="231F20"/>
        </w:rPr>
        <w:t>qué</w:t>
      </w:r>
      <w:r>
        <w:rPr>
          <w:color w:val="231F20"/>
          <w:spacing w:val="-8"/>
        </w:rPr>
        <w:t> </w:t>
      </w:r>
      <w:r>
        <w:rPr>
          <w:color w:val="231F20"/>
        </w:rPr>
        <w:t>la</w:t>
      </w:r>
      <w:r>
        <w:rPr>
          <w:color w:val="231F20"/>
          <w:spacing w:val="-8"/>
        </w:rPr>
        <w:t> </w:t>
      </w:r>
      <w:r>
        <w:rPr>
          <w:color w:val="231F20"/>
        </w:rPr>
        <w:t>mujer</w:t>
      </w:r>
      <w:r>
        <w:rPr>
          <w:color w:val="231F20"/>
          <w:spacing w:val="-8"/>
        </w:rPr>
        <w:t> </w:t>
      </w:r>
      <w:r>
        <w:rPr>
          <w:color w:val="231F20"/>
        </w:rPr>
        <w:t>no</w:t>
      </w:r>
      <w:r>
        <w:rPr>
          <w:color w:val="231F20"/>
          <w:spacing w:val="-8"/>
        </w:rPr>
        <w:t> </w:t>
      </w:r>
      <w:r>
        <w:rPr>
          <w:color w:val="231F20"/>
        </w:rPr>
        <w:t>ha</w:t>
      </w:r>
      <w:r>
        <w:rPr>
          <w:color w:val="231F20"/>
          <w:spacing w:val="-8"/>
        </w:rPr>
        <w:t> </w:t>
      </w:r>
      <w:r>
        <w:rPr>
          <w:color w:val="231F20"/>
        </w:rPr>
        <w:t>es- crito sobre ella, y responde de igual manera que la pregunta, por la</w:t>
      </w:r>
      <w:r>
        <w:rPr>
          <w:color w:val="231F20"/>
          <w:spacing w:val="-31"/>
        </w:rPr>
        <w:t> </w:t>
      </w:r>
      <w:r>
        <w:rPr>
          <w:color w:val="231F20"/>
        </w:rPr>
        <w:t>opre- sión general de la mujer, esta opresión que se debe precisamente a</w:t>
      </w:r>
      <w:r>
        <w:rPr>
          <w:color w:val="231F20"/>
          <w:spacing w:val="-14"/>
        </w:rPr>
        <w:t> </w:t>
      </w:r>
      <w:r>
        <w:rPr>
          <w:color w:val="231F20"/>
        </w:rPr>
        <w:t>que:</w:t>
      </w:r>
    </w:p>
    <w:p>
      <w:pPr>
        <w:pStyle w:val="BodyText"/>
        <w:spacing w:line="249" w:lineRule="auto" w:before="114"/>
        <w:ind w:left="397" w:right="108"/>
        <w:jc w:val="both"/>
      </w:pPr>
      <w:r>
        <w:rPr>
          <w:color w:val="231F20"/>
        </w:rPr>
        <w:t>La imagen de la mujer ha sido determinada por una proyección mas- culina, por lo que habría que mostrar, y demostrar con datos con- cretos e investigar hasta qué punto esta imagen ha sido represiva, deshonrosa y antifemenina y esta demostración deben realizarla las mujeres. No basta con decir que todo lo que hasta ahora se ha dicho de</w:t>
      </w:r>
      <w:r>
        <w:rPr>
          <w:color w:val="231F20"/>
          <w:spacing w:val="-8"/>
        </w:rPr>
        <w:t> </w:t>
      </w:r>
      <w:r>
        <w:rPr>
          <w:color w:val="231F20"/>
        </w:rPr>
        <w:t>la</w:t>
      </w:r>
      <w:r>
        <w:rPr>
          <w:color w:val="231F20"/>
          <w:spacing w:val="-8"/>
        </w:rPr>
        <w:t> </w:t>
      </w:r>
      <w:r>
        <w:rPr>
          <w:color w:val="231F20"/>
        </w:rPr>
        <w:t>mujer</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dicho</w:t>
      </w:r>
      <w:r>
        <w:rPr>
          <w:color w:val="231F20"/>
          <w:spacing w:val="-8"/>
        </w:rPr>
        <w:t> </w:t>
      </w:r>
      <w:r>
        <w:rPr>
          <w:color w:val="231F20"/>
        </w:rPr>
        <w:t>por</w:t>
      </w:r>
      <w:r>
        <w:rPr>
          <w:color w:val="231F20"/>
          <w:spacing w:val="-8"/>
        </w:rPr>
        <w:t> </w:t>
      </w:r>
      <w:r>
        <w:rPr>
          <w:color w:val="231F20"/>
        </w:rPr>
        <w:t>varones</w:t>
      </w:r>
      <w:r>
        <w:rPr>
          <w:color w:val="231F20"/>
          <w:spacing w:val="-8"/>
        </w:rPr>
        <w:t> </w:t>
      </w:r>
      <w:r>
        <w:rPr>
          <w:color w:val="231F20"/>
        </w:rPr>
        <w:t>y</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tanto</w:t>
      </w:r>
      <w:r>
        <w:rPr>
          <w:color w:val="231F20"/>
          <w:spacing w:val="-8"/>
        </w:rPr>
        <w:t> </w:t>
      </w:r>
      <w:r>
        <w:rPr>
          <w:color w:val="231F20"/>
        </w:rPr>
        <w:t>es</w:t>
      </w:r>
      <w:r>
        <w:rPr>
          <w:color w:val="231F20"/>
          <w:spacing w:val="-8"/>
        </w:rPr>
        <w:t> </w:t>
      </w:r>
      <w:r>
        <w:rPr>
          <w:color w:val="231F20"/>
        </w:rPr>
        <w:t>falso</w:t>
      </w:r>
      <w:r>
        <w:rPr>
          <w:color w:val="231F20"/>
          <w:spacing w:val="-8"/>
        </w:rPr>
        <w:t> </w:t>
      </w:r>
      <w:r>
        <w:rPr>
          <w:color w:val="231F20"/>
        </w:rPr>
        <w:t>(Marcuse en Habermas, 1980:</w:t>
      </w:r>
      <w:r>
        <w:rPr>
          <w:color w:val="231F20"/>
          <w:spacing w:val="-9"/>
        </w:rPr>
        <w:t> </w:t>
      </w:r>
      <w:r>
        <w:rPr>
          <w:color w:val="231F20"/>
        </w:rPr>
        <w:t>91).</w:t>
      </w:r>
    </w:p>
    <w:p>
      <w:pPr>
        <w:pStyle w:val="BodyText"/>
        <w:spacing w:line="249" w:lineRule="auto" w:before="114"/>
        <w:ind w:left="113" w:right="107" w:firstLine="283"/>
        <w:jc w:val="both"/>
      </w:pPr>
      <w:r>
        <w:rPr>
          <w:color w:val="231F20"/>
        </w:rPr>
        <w:t>La tarea que Marcuse deja a las mujeres es la de mostrarse a sí mis- mas. La realización de esta tarea es lo que realmente ha sacado a la luz</w:t>
      </w:r>
      <w:r>
        <w:rPr>
          <w:color w:val="231F20"/>
          <w:spacing w:val="-27"/>
        </w:rPr>
        <w:t> </w:t>
      </w:r>
      <w:r>
        <w:rPr>
          <w:color w:val="231F20"/>
        </w:rPr>
        <w:t>a las mujeres, ya que ha sido su propio movimiento, al elaborar preguntas sobre su pasado y su futuro el que las ha colocado en el escenario de la historia. Este movimiento ha sido en todos los ámbitos, un movimiento real</w:t>
      </w:r>
      <w:r>
        <w:rPr>
          <w:color w:val="231F20"/>
          <w:spacing w:val="-7"/>
        </w:rPr>
        <w:t> </w:t>
      </w:r>
      <w:r>
        <w:rPr>
          <w:color w:val="231F20"/>
        </w:rPr>
        <w:t>que</w:t>
      </w:r>
      <w:r>
        <w:rPr>
          <w:color w:val="231F20"/>
          <w:spacing w:val="-7"/>
        </w:rPr>
        <w:t> </w:t>
      </w:r>
      <w:r>
        <w:rPr>
          <w:color w:val="231F20"/>
        </w:rPr>
        <w:t>observamos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artes,</w:t>
      </w:r>
      <w:r>
        <w:rPr>
          <w:color w:val="231F20"/>
          <w:spacing w:val="-8"/>
        </w:rPr>
        <w:t> </w:t>
      </w:r>
      <w:r>
        <w:rPr>
          <w:color w:val="231F20"/>
        </w:rPr>
        <w:t>en</w:t>
      </w:r>
      <w:r>
        <w:rPr>
          <w:color w:val="231F20"/>
          <w:spacing w:val="-7"/>
        </w:rPr>
        <w:t> </w:t>
      </w:r>
      <w:r>
        <w:rPr>
          <w:color w:val="231F20"/>
        </w:rPr>
        <w:t>lo</w:t>
      </w:r>
      <w:r>
        <w:rPr>
          <w:color w:val="231F20"/>
          <w:spacing w:val="-7"/>
        </w:rPr>
        <w:t> </w:t>
      </w:r>
      <w:r>
        <w:rPr>
          <w:color w:val="231F20"/>
        </w:rPr>
        <w:t>social</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lo</w:t>
      </w:r>
      <w:r>
        <w:rPr>
          <w:color w:val="231F20"/>
          <w:spacing w:val="-8"/>
        </w:rPr>
        <w:t> </w:t>
      </w:r>
      <w:r>
        <w:rPr>
          <w:color w:val="231F20"/>
        </w:rPr>
        <w:t>cultural,</w:t>
      </w:r>
      <w:r>
        <w:rPr>
          <w:color w:val="231F20"/>
          <w:spacing w:val="-8"/>
        </w:rPr>
        <w:t> </w:t>
      </w:r>
      <w:r>
        <w:rPr>
          <w:color w:val="231F20"/>
        </w:rPr>
        <w:t>por</w:t>
      </w:r>
      <w:r>
        <w:rPr>
          <w:color w:val="231F20"/>
          <w:spacing w:val="-7"/>
        </w:rPr>
        <w:t> </w:t>
      </w:r>
      <w:r>
        <w:rPr>
          <w:color w:val="231F20"/>
        </w:rPr>
        <w:t>lo</w:t>
      </w:r>
      <w:r>
        <w:rPr>
          <w:color w:val="231F20"/>
          <w:spacing w:val="-7"/>
        </w:rPr>
        <w:t> </w:t>
      </w:r>
      <w:r>
        <w:rPr>
          <w:color w:val="231F20"/>
        </w:rPr>
        <w:t>tanto en la historia y en el tiempo. Para Duby y</w:t>
      </w:r>
      <w:r>
        <w:rPr>
          <w:color w:val="231F20"/>
          <w:spacing w:val="-16"/>
        </w:rPr>
        <w:t> </w:t>
      </w:r>
      <w:r>
        <w:rPr>
          <w:color w:val="231F20"/>
        </w:rPr>
        <w:t>Perrot:</w:t>
      </w:r>
    </w:p>
    <w:p>
      <w:pPr>
        <w:pStyle w:val="BodyText"/>
        <w:spacing w:line="256" w:lineRule="auto" w:before="114"/>
        <w:ind w:left="397" w:right="107"/>
        <w:jc w:val="both"/>
      </w:pPr>
      <w:r>
        <w:rPr>
          <w:color w:val="231F20"/>
        </w:rPr>
        <w:t>Las mujeres han elaborado la investigación sobre sus antepasados,   a fin de comprender las raíces del dominio que padecieron y el sig- nificado de las relaciones entre los sexos a lo largo del tiempo y a través del espacio (Duby y Perrot, 1993:</w:t>
      </w:r>
      <w:r>
        <w:rPr>
          <w:color w:val="231F20"/>
          <w:spacing w:val="-7"/>
        </w:rPr>
        <w:t> </w:t>
      </w:r>
      <w:r>
        <w:rPr>
          <w:color w:val="231F20"/>
        </w:rPr>
        <w:t>7).</w:t>
      </w:r>
    </w:p>
    <w:p>
      <w:pPr>
        <w:pStyle w:val="BodyText"/>
        <w:spacing w:line="249" w:lineRule="auto" w:before="108"/>
        <w:ind w:left="113" w:right="108" w:firstLine="283"/>
        <w:jc w:val="both"/>
      </w:pPr>
      <w:r>
        <w:rPr>
          <w:color w:val="231F20"/>
        </w:rPr>
        <w:t>Lo que lleva a este trabajo, en donde las mujeres protagonistas son sus propios antepasados, donde el pasado elaboró su presente: la vejez.</w:t>
      </w:r>
    </w:p>
    <w:p>
      <w:pPr>
        <w:pStyle w:val="Heading4"/>
      </w:pPr>
      <w:r>
        <w:rPr>
          <w:w w:val="75"/>
        </w:rPr>
        <w:t>Las trayectorias laborales</w:t>
      </w:r>
    </w:p>
    <w:p>
      <w:pPr>
        <w:pStyle w:val="BodyText"/>
        <w:spacing w:line="249" w:lineRule="auto" w:before="171"/>
        <w:ind w:left="113" w:right="107"/>
        <w:jc w:val="both"/>
      </w:pPr>
      <w:r>
        <w:rPr>
          <w:color w:val="231F20"/>
        </w:rPr>
        <w:t>Desde 1974, cuando Elder emprendía sus estudios de cruzamientos de diferentes niveles en el transcurso de la vida, su intención era poder ver cómo diferentes trayectorias a lo largo de la vida se cruzan en el camino individual de una persona. Esto lo logró concretar hasta 1992, cuando  su concepto de curso de vida lo plantea no sólo de manera conceptual sino como teoría y análisis, metodología y campo de investigación, ya que, el mismo Elder dice, puede servir en el campo de la psicología, en la sociología, la historia social o en la gerontología, ya que la perspecti- va a través del tiempo permite observar cómo diferentes trayectorias </w:t>
      </w:r>
      <w:r>
        <w:rPr>
          <w:color w:val="231F20"/>
          <w:spacing w:val="36"/>
        </w:rPr>
        <w:t> </w:t>
      </w:r>
      <w:r>
        <w:rPr>
          <w:color w:val="231F20"/>
        </w:rPr>
        <w:t>se</w:t>
      </w:r>
    </w:p>
    <w:p>
      <w:pPr>
        <w:spacing w:after="0" w:line="249" w:lineRule="auto"/>
        <w:jc w:val="both"/>
        <w:sectPr>
          <w:footerReference w:type="default" r:id="rId274"/>
          <w:pgSz w:w="7770" w:h="11740"/>
          <w:pgMar w:footer="474" w:header="0" w:top="840" w:bottom="660" w:left="1020" w:right="740"/>
          <w:pgNumType w:start="257"/>
        </w:sectPr>
      </w:pPr>
    </w:p>
    <w:p>
      <w:pPr>
        <w:pStyle w:val="BodyText"/>
        <w:spacing w:line="249" w:lineRule="auto" w:before="60"/>
        <w:ind w:left="110" w:right="111"/>
        <w:jc w:val="both"/>
      </w:pPr>
      <w:r>
        <w:rPr>
          <w:color w:val="231F20"/>
        </w:rPr>
        <w:t>entrecruzan, mostrando cambios en las vidas humanas contextualizadas bajo los intereses del investigador, ya sea para criminología, en socieda- des complejas, en subcampos de población o en instituciones como la familia</w:t>
      </w:r>
      <w:r>
        <w:rPr>
          <w:color w:val="231F20"/>
          <w:spacing w:val="-7"/>
        </w:rPr>
        <w:t> </w:t>
      </w:r>
      <w:r>
        <w:rPr>
          <w:color w:val="231F20"/>
        </w:rPr>
        <w:t>(Elder,</w:t>
      </w:r>
      <w:r>
        <w:rPr>
          <w:color w:val="231F20"/>
          <w:spacing w:val="-7"/>
        </w:rPr>
        <w:t> </w:t>
      </w:r>
      <w:r>
        <w:rPr>
          <w:color w:val="231F20"/>
        </w:rPr>
        <w:t>1994).</w:t>
      </w:r>
      <w:r>
        <w:rPr>
          <w:color w:val="231F20"/>
          <w:spacing w:val="-18"/>
        </w:rPr>
        <w:t> </w:t>
      </w:r>
      <w:r>
        <w:rPr>
          <w:color w:val="231F20"/>
        </w:rPr>
        <w:t>Así,</w:t>
      </w:r>
      <w:r>
        <w:rPr>
          <w:color w:val="231F20"/>
          <w:spacing w:val="-7"/>
        </w:rPr>
        <w:t> </w:t>
      </w:r>
      <w:r>
        <w:rPr>
          <w:color w:val="231F20"/>
        </w:rPr>
        <w:t>la</w:t>
      </w:r>
      <w:r>
        <w:rPr>
          <w:color w:val="231F20"/>
          <w:spacing w:val="-7"/>
        </w:rPr>
        <w:t> </w:t>
      </w:r>
      <w:r>
        <w:rPr>
          <w:color w:val="231F20"/>
        </w:rPr>
        <w:t>finalidad</w:t>
      </w:r>
      <w:r>
        <w:rPr>
          <w:color w:val="231F20"/>
          <w:spacing w:val="-7"/>
        </w:rPr>
        <w:t> </w:t>
      </w:r>
      <w:r>
        <w:rPr>
          <w:color w:val="231F20"/>
        </w:rPr>
        <w:t>de</w:t>
      </w:r>
      <w:r>
        <w:rPr>
          <w:color w:val="231F20"/>
          <w:spacing w:val="-7"/>
        </w:rPr>
        <w:t> </w:t>
      </w:r>
      <w:r>
        <w:rPr>
          <w:color w:val="231F20"/>
        </w:rPr>
        <w:t>esta</w:t>
      </w:r>
      <w:r>
        <w:rPr>
          <w:color w:val="231F20"/>
          <w:spacing w:val="-7"/>
        </w:rPr>
        <w:t> </w:t>
      </w:r>
      <w:r>
        <w:rPr>
          <w:color w:val="231F20"/>
        </w:rPr>
        <w:t>perspectiva</w:t>
      </w:r>
      <w:r>
        <w:rPr>
          <w:color w:val="231F20"/>
          <w:spacing w:val="-7"/>
        </w:rPr>
        <w:t> </w:t>
      </w:r>
      <w:r>
        <w:rPr>
          <w:color w:val="231F20"/>
        </w:rPr>
        <w:t>es</w:t>
      </w:r>
      <w:r>
        <w:rPr>
          <w:color w:val="231F20"/>
          <w:spacing w:val="-7"/>
        </w:rPr>
        <w:t> </w:t>
      </w:r>
      <w:r>
        <w:rPr>
          <w:color w:val="231F20"/>
        </w:rPr>
        <w:t>observar</w:t>
      </w:r>
      <w:r>
        <w:rPr>
          <w:color w:val="231F20"/>
          <w:spacing w:val="-7"/>
        </w:rPr>
        <w:t> </w:t>
      </w:r>
      <w:r>
        <w:rPr>
          <w:color w:val="231F20"/>
        </w:rPr>
        <w:t>los cambios y los efectos en el curso de la vida</w:t>
      </w:r>
      <w:r>
        <w:rPr>
          <w:color w:val="231F20"/>
          <w:spacing w:val="-5"/>
        </w:rPr>
        <w:t> </w:t>
      </w:r>
      <w:r>
        <w:rPr>
          <w:color w:val="231F20"/>
        </w:rPr>
        <w:t>individual.</w:t>
      </w:r>
    </w:p>
    <w:p>
      <w:pPr>
        <w:pStyle w:val="BodyText"/>
        <w:spacing w:before="1"/>
        <w:ind w:left="393"/>
      </w:pPr>
      <w:r>
        <w:rPr>
          <w:color w:val="231F20"/>
        </w:rPr>
        <w:t>Para el caso del concepto de trayectorias laborales, Blanco (2002:</w:t>
      </w:r>
    </w:p>
    <w:p>
      <w:pPr>
        <w:pStyle w:val="BodyText"/>
        <w:spacing w:line="249" w:lineRule="auto" w:before="10"/>
        <w:ind w:left="110" w:right="110"/>
        <w:jc w:val="both"/>
      </w:pPr>
      <w:r>
        <w:rPr>
          <w:color w:val="231F20"/>
        </w:rPr>
        <w:t>451) dice que, en el entendido de que ésta es una construcción teórica, pueden variar sus aplicaciones tanto como sus vertientes de interpreta- ción, que abarcan diferentes temáticas como: la movilidad ocupacional; los</w:t>
      </w:r>
      <w:r>
        <w:rPr>
          <w:color w:val="231F20"/>
          <w:spacing w:val="-11"/>
        </w:rPr>
        <w:t> </w:t>
      </w:r>
      <w:r>
        <w:rPr>
          <w:color w:val="231F20"/>
        </w:rPr>
        <w:t>cambios</w:t>
      </w:r>
      <w:r>
        <w:rPr>
          <w:color w:val="231F20"/>
          <w:spacing w:val="-11"/>
        </w:rPr>
        <w:t> </w:t>
      </w:r>
      <w:r>
        <w:rPr>
          <w:color w:val="231F20"/>
        </w:rPr>
        <w:t>sectoriales</w:t>
      </w:r>
      <w:r>
        <w:rPr>
          <w:color w:val="231F20"/>
          <w:spacing w:val="-10"/>
        </w:rPr>
        <w:t> </w:t>
      </w:r>
      <w:r>
        <w:rPr>
          <w:color w:val="231F20"/>
        </w:rPr>
        <w:t>y</w:t>
      </w:r>
      <w:r>
        <w:rPr>
          <w:color w:val="231F20"/>
          <w:spacing w:val="-11"/>
        </w:rPr>
        <w:t> </w:t>
      </w:r>
      <w:r>
        <w:rPr>
          <w:color w:val="231F20"/>
        </w:rPr>
        <w:t>ocupacionales;</w:t>
      </w:r>
      <w:r>
        <w:rPr>
          <w:color w:val="231F20"/>
          <w:spacing w:val="-11"/>
        </w:rPr>
        <w:t> </w:t>
      </w:r>
      <w:r>
        <w:rPr>
          <w:color w:val="231F20"/>
        </w:rPr>
        <w:t>las</w:t>
      </w:r>
      <w:r>
        <w:rPr>
          <w:color w:val="231F20"/>
          <w:spacing w:val="-11"/>
        </w:rPr>
        <w:t> </w:t>
      </w:r>
      <w:r>
        <w:rPr>
          <w:color w:val="231F20"/>
        </w:rPr>
        <w:t>entradas</w:t>
      </w:r>
      <w:r>
        <w:rPr>
          <w:color w:val="231F20"/>
          <w:spacing w:val="-11"/>
        </w:rPr>
        <w:t> </w:t>
      </w:r>
      <w:r>
        <w:rPr>
          <w:color w:val="231F20"/>
        </w:rPr>
        <w:t>y</w:t>
      </w:r>
      <w:r>
        <w:rPr>
          <w:color w:val="231F20"/>
          <w:spacing w:val="-11"/>
        </w:rPr>
        <w:t> </w:t>
      </w:r>
      <w:r>
        <w:rPr>
          <w:color w:val="231F20"/>
        </w:rPr>
        <w:t>salidas</w:t>
      </w:r>
      <w:r>
        <w:rPr>
          <w:color w:val="231F20"/>
          <w:spacing w:val="-10"/>
        </w:rPr>
        <w:t> </w:t>
      </w:r>
      <w:r>
        <w:rPr>
          <w:color w:val="231F20"/>
        </w:rPr>
        <w:t>del</w:t>
      </w:r>
      <w:r>
        <w:rPr>
          <w:color w:val="231F20"/>
          <w:spacing w:val="-11"/>
        </w:rPr>
        <w:t> </w:t>
      </w:r>
      <w:r>
        <w:rPr>
          <w:color w:val="231F20"/>
        </w:rPr>
        <w:t>merca- do de trabajo; la continuidad o discontinuidad de las propias</w:t>
      </w:r>
      <w:r>
        <w:rPr>
          <w:color w:val="231F20"/>
          <w:spacing w:val="-22"/>
        </w:rPr>
        <w:t> </w:t>
      </w:r>
      <w:r>
        <w:rPr>
          <w:color w:val="231F20"/>
        </w:rPr>
        <w:t>trayectorias laborales,</w:t>
      </w:r>
      <w:r>
        <w:rPr>
          <w:color w:val="231F20"/>
          <w:spacing w:val="-9"/>
        </w:rPr>
        <w:t> </w:t>
      </w:r>
      <w:r>
        <w:rPr>
          <w:color w:val="231F20"/>
        </w:rPr>
        <w:t>el</w:t>
      </w:r>
      <w:r>
        <w:rPr>
          <w:color w:val="231F20"/>
          <w:spacing w:val="-8"/>
        </w:rPr>
        <w:t> </w:t>
      </w:r>
      <w:r>
        <w:rPr>
          <w:color w:val="231F20"/>
        </w:rPr>
        <w:t>orden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secuencia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eventos</w:t>
      </w:r>
      <w:r>
        <w:rPr>
          <w:color w:val="231F20"/>
          <w:spacing w:val="-9"/>
        </w:rPr>
        <w:t> </w:t>
      </w:r>
      <w:r>
        <w:rPr>
          <w:color w:val="231F20"/>
        </w:rPr>
        <w:t>destacando</w:t>
      </w:r>
      <w:r>
        <w:rPr>
          <w:color w:val="231F20"/>
          <w:spacing w:val="-8"/>
        </w:rPr>
        <w:t> </w:t>
      </w:r>
      <w:r>
        <w:rPr>
          <w:color w:val="231F20"/>
        </w:rPr>
        <w:t>o</w:t>
      </w:r>
      <w:r>
        <w:rPr>
          <w:color w:val="231F20"/>
          <w:spacing w:val="-8"/>
        </w:rPr>
        <w:t> </w:t>
      </w:r>
      <w:r>
        <w:rPr>
          <w:color w:val="231F20"/>
        </w:rPr>
        <w:t>no,</w:t>
      </w:r>
      <w:r>
        <w:rPr>
          <w:color w:val="231F20"/>
          <w:spacing w:val="-8"/>
        </w:rPr>
        <w:t> </w:t>
      </w:r>
      <w:r>
        <w:rPr>
          <w:color w:val="231F20"/>
        </w:rPr>
        <w:t>en</w:t>
      </w:r>
      <w:r>
        <w:rPr>
          <w:color w:val="231F20"/>
          <w:spacing w:val="-8"/>
        </w:rPr>
        <w:t> </w:t>
      </w:r>
      <w:r>
        <w:rPr>
          <w:color w:val="231F20"/>
        </w:rPr>
        <w:t>cada una de ellas, la diferenciación por</w:t>
      </w:r>
      <w:r>
        <w:rPr>
          <w:color w:val="231F20"/>
          <w:spacing w:val="-6"/>
        </w:rPr>
        <w:t> </w:t>
      </w:r>
      <w:r>
        <w:rPr>
          <w:color w:val="231F20"/>
        </w:rPr>
        <w:t>sexo.</w:t>
      </w:r>
    </w:p>
    <w:p>
      <w:pPr>
        <w:pStyle w:val="BodyText"/>
        <w:spacing w:line="249" w:lineRule="auto" w:before="1"/>
        <w:ind w:left="110" w:right="111" w:firstLine="283"/>
        <w:jc w:val="both"/>
      </w:pPr>
      <w:r>
        <w:rPr>
          <w:color w:val="231F20"/>
        </w:rPr>
        <w:t>Blanco retoma a Elder, quien es considerado como el creador del</w:t>
      </w:r>
      <w:r>
        <w:rPr>
          <w:color w:val="231F20"/>
          <w:spacing w:val="-20"/>
        </w:rPr>
        <w:t> </w:t>
      </w:r>
      <w:r>
        <w:rPr>
          <w:color w:val="231F20"/>
        </w:rPr>
        <w:t>en- foque</w:t>
      </w:r>
      <w:r>
        <w:rPr>
          <w:color w:val="231F20"/>
          <w:spacing w:val="-5"/>
        </w:rPr>
        <w:t> </w:t>
      </w:r>
      <w:r>
        <w:rPr>
          <w:color w:val="231F20"/>
        </w:rPr>
        <w:t>de</w:t>
      </w:r>
      <w:r>
        <w:rPr>
          <w:color w:val="231F20"/>
          <w:spacing w:val="-5"/>
        </w:rPr>
        <w:t> </w:t>
      </w:r>
      <w:r>
        <w:rPr>
          <w:color w:val="231F20"/>
        </w:rPr>
        <w:t>curso</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diciendo</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concepto</w:t>
      </w:r>
      <w:r>
        <w:rPr>
          <w:color w:val="231F20"/>
          <w:spacing w:val="-5"/>
        </w:rPr>
        <w:t> </w:t>
      </w:r>
      <w:r>
        <w:rPr>
          <w:color w:val="231F20"/>
        </w:rPr>
        <w:t>de</w:t>
      </w:r>
      <w:r>
        <w:rPr>
          <w:color w:val="231F20"/>
          <w:spacing w:val="-5"/>
        </w:rPr>
        <w:t> </w:t>
      </w:r>
      <w:r>
        <w:rPr>
          <w:color w:val="231F20"/>
        </w:rPr>
        <w:t>trayectoria</w:t>
      </w:r>
      <w:r>
        <w:rPr>
          <w:color w:val="231F20"/>
          <w:spacing w:val="-5"/>
        </w:rPr>
        <w:t> </w:t>
      </w:r>
      <w:r>
        <w:rPr>
          <w:color w:val="231F20"/>
        </w:rPr>
        <w:t>“se</w:t>
      </w:r>
      <w:r>
        <w:rPr>
          <w:color w:val="231F20"/>
          <w:spacing w:val="-5"/>
        </w:rPr>
        <w:t> </w:t>
      </w:r>
      <w:r>
        <w:rPr>
          <w:color w:val="231F20"/>
        </w:rPr>
        <w:t>refie- re</w:t>
      </w:r>
      <w:r>
        <w:rPr>
          <w:color w:val="231F20"/>
          <w:spacing w:val="-11"/>
        </w:rPr>
        <w:t> </w:t>
      </w:r>
      <w:r>
        <w:rPr>
          <w:color w:val="231F20"/>
        </w:rPr>
        <w:t>a</w:t>
      </w:r>
      <w:r>
        <w:rPr>
          <w:color w:val="231F20"/>
          <w:spacing w:val="-11"/>
        </w:rPr>
        <w:t> </w:t>
      </w:r>
      <w:r>
        <w:rPr>
          <w:color w:val="231F20"/>
        </w:rPr>
        <w:t>una</w:t>
      </w:r>
      <w:r>
        <w:rPr>
          <w:color w:val="231F20"/>
          <w:spacing w:val="-11"/>
        </w:rPr>
        <w:t> </w:t>
      </w:r>
      <w:r>
        <w:rPr>
          <w:color w:val="231F20"/>
        </w:rPr>
        <w:t>línea</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o</w:t>
      </w:r>
      <w:r>
        <w:rPr>
          <w:color w:val="231F20"/>
          <w:spacing w:val="-11"/>
        </w:rPr>
        <w:t> </w:t>
      </w:r>
      <w:r>
        <w:rPr>
          <w:color w:val="231F20"/>
        </w:rPr>
        <w:t>carrera,</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camino</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w:t>
      </w:r>
      <w:r>
        <w:rPr>
          <w:color w:val="231F20"/>
          <w:spacing w:val="-11"/>
        </w:rPr>
        <w:t> </w:t>
      </w:r>
      <w:r>
        <w:rPr>
          <w:color w:val="231F20"/>
        </w:rPr>
        <w:t>toda</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que puede variar y cambiar en dirección, grado y proporción” (Elder, 1991: 63, en Blanco, 2002: 460) de manera que un curso de vida, que es una metodología sociodemográfica que se basa principalmente en informa- ción proveniente de fuentes de datos cuantitativos</w:t>
      </w:r>
      <w:r>
        <w:rPr>
          <w:color w:val="231F20"/>
          <w:position w:val="7"/>
          <w:sz w:val="11"/>
        </w:rPr>
        <w:t>7 </w:t>
      </w:r>
      <w:r>
        <w:rPr>
          <w:color w:val="231F20"/>
        </w:rPr>
        <w:t>(Blanco, 2002: 458), se encuentra formado por diferentes trayectorias, de las cuales la autora resalta</w:t>
      </w:r>
      <w:r>
        <w:rPr>
          <w:color w:val="231F20"/>
          <w:spacing w:val="-5"/>
        </w:rPr>
        <w:t> </w:t>
      </w:r>
      <w:r>
        <w:rPr>
          <w:color w:val="231F20"/>
        </w:rPr>
        <w:t>cuatro:</w:t>
      </w:r>
      <w:r>
        <w:rPr>
          <w:color w:val="231F20"/>
          <w:spacing w:val="-5"/>
        </w:rPr>
        <w:t> </w:t>
      </w:r>
      <w:r>
        <w:rPr>
          <w:color w:val="231F20"/>
        </w:rPr>
        <w:t>trayectoria</w:t>
      </w:r>
      <w:r>
        <w:rPr>
          <w:color w:val="231F20"/>
          <w:spacing w:val="-5"/>
        </w:rPr>
        <w:t> </w:t>
      </w:r>
      <w:r>
        <w:rPr>
          <w:color w:val="231F20"/>
        </w:rPr>
        <w:t>escolar,</w:t>
      </w:r>
      <w:r>
        <w:rPr>
          <w:color w:val="231F20"/>
          <w:spacing w:val="-5"/>
        </w:rPr>
        <w:t> </w:t>
      </w:r>
      <w:r>
        <w:rPr>
          <w:color w:val="231F20"/>
        </w:rPr>
        <w:t>conyugal,</w:t>
      </w:r>
      <w:r>
        <w:rPr>
          <w:color w:val="231F20"/>
          <w:spacing w:val="-5"/>
        </w:rPr>
        <w:t> </w:t>
      </w:r>
      <w:r>
        <w:rPr>
          <w:color w:val="231F20"/>
        </w:rPr>
        <w:t>reproductiva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laboral.</w:t>
      </w:r>
      <w:r>
        <w:rPr>
          <w:color w:val="231F20"/>
          <w:spacing w:val="-5"/>
        </w:rPr>
        <w:t> </w:t>
      </w:r>
      <w:r>
        <w:rPr>
          <w:color w:val="231F20"/>
        </w:rPr>
        <w:t>El término trayectoria se refiere a una serie de eventos o sucesos de la vida personal de los individuos que tuvieron repercusiones en su historia de vida.</w:t>
      </w:r>
    </w:p>
    <w:p>
      <w:pPr>
        <w:pStyle w:val="BodyText"/>
        <w:spacing w:line="249" w:lineRule="auto" w:before="1"/>
        <w:ind w:left="110" w:right="110" w:firstLine="283"/>
        <w:jc w:val="both"/>
      </w:pPr>
      <w:r>
        <w:rPr>
          <w:color w:val="231F20"/>
        </w:rPr>
        <w:t>Para</w:t>
      </w:r>
      <w:r>
        <w:rPr>
          <w:color w:val="231F20"/>
          <w:spacing w:val="-11"/>
        </w:rPr>
        <w:t> </w:t>
      </w:r>
      <w:r>
        <w:rPr>
          <w:color w:val="231F20"/>
        </w:rPr>
        <w:t>este</w:t>
      </w:r>
      <w:r>
        <w:rPr>
          <w:color w:val="231F20"/>
          <w:spacing w:val="-11"/>
        </w:rPr>
        <w:t> </w:t>
      </w:r>
      <w:r>
        <w:rPr>
          <w:color w:val="231F20"/>
        </w:rPr>
        <w:t>caso,</w:t>
      </w:r>
      <w:r>
        <w:rPr>
          <w:color w:val="231F20"/>
          <w:spacing w:val="-11"/>
        </w:rPr>
        <w:t> </w:t>
      </w:r>
      <w:r>
        <w:rPr>
          <w:color w:val="231F20"/>
        </w:rPr>
        <w:t>como</w:t>
      </w:r>
      <w:r>
        <w:rPr>
          <w:color w:val="231F20"/>
          <w:spacing w:val="-11"/>
        </w:rPr>
        <w:t> </w:t>
      </w:r>
      <w:r>
        <w:rPr>
          <w:color w:val="231F20"/>
        </w:rPr>
        <w:t>lo</w:t>
      </w:r>
      <w:r>
        <w:rPr>
          <w:color w:val="231F20"/>
          <w:spacing w:val="-11"/>
        </w:rPr>
        <w:t> </w:t>
      </w:r>
      <w:r>
        <w:rPr>
          <w:color w:val="231F20"/>
        </w:rPr>
        <w:t>ha</w:t>
      </w:r>
      <w:r>
        <w:rPr>
          <w:color w:val="231F20"/>
          <w:spacing w:val="-11"/>
        </w:rPr>
        <w:t> </w:t>
      </w:r>
      <w:r>
        <w:rPr>
          <w:color w:val="231F20"/>
        </w:rPr>
        <w:t>hecho</w:t>
      </w:r>
      <w:r>
        <w:rPr>
          <w:color w:val="231F20"/>
          <w:spacing w:val="-11"/>
        </w:rPr>
        <w:t> </w:t>
      </w:r>
      <w:r>
        <w:rPr>
          <w:color w:val="231F20"/>
        </w:rPr>
        <w:t>Serna</w:t>
      </w:r>
      <w:r>
        <w:rPr>
          <w:color w:val="231F20"/>
          <w:spacing w:val="-11"/>
        </w:rPr>
        <w:t> </w:t>
      </w:r>
      <w:r>
        <w:rPr>
          <w:color w:val="231F20"/>
        </w:rPr>
        <w:t>(2003)</w:t>
      </w:r>
      <w:r>
        <w:rPr>
          <w:color w:val="231F20"/>
          <w:spacing w:val="-11"/>
        </w:rPr>
        <w:t> </w:t>
      </w:r>
      <w:r>
        <w:rPr>
          <w:color w:val="231F20"/>
        </w:rPr>
        <w:t>para</w:t>
      </w:r>
      <w:r>
        <w:rPr>
          <w:color w:val="231F20"/>
          <w:spacing w:val="-11"/>
        </w:rPr>
        <w:t> </w:t>
      </w:r>
      <w:r>
        <w:rPr>
          <w:color w:val="231F20"/>
        </w:rPr>
        <w:t>las</w:t>
      </w:r>
      <w:r>
        <w:rPr>
          <w:color w:val="231F20"/>
          <w:spacing w:val="-11"/>
        </w:rPr>
        <w:t> </w:t>
      </w:r>
      <w:r>
        <w:rPr>
          <w:color w:val="231F20"/>
        </w:rPr>
        <w:t>mujeres</w:t>
      </w:r>
      <w:r>
        <w:rPr>
          <w:color w:val="231F20"/>
          <w:spacing w:val="-12"/>
        </w:rPr>
        <w:t> </w:t>
      </w:r>
      <w:r>
        <w:rPr>
          <w:color w:val="231F20"/>
        </w:rPr>
        <w:t>ejecu- tivas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Ciudad</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rPr>
        <w:t>se</w:t>
      </w:r>
      <w:r>
        <w:rPr>
          <w:color w:val="231F20"/>
          <w:spacing w:val="-12"/>
        </w:rPr>
        <w:t> </w:t>
      </w:r>
      <w:r>
        <w:rPr>
          <w:color w:val="231F20"/>
        </w:rPr>
        <w:t>observan</w:t>
      </w:r>
      <w:r>
        <w:rPr>
          <w:color w:val="231F20"/>
          <w:spacing w:val="-12"/>
        </w:rPr>
        <w:t> </w:t>
      </w:r>
      <w:r>
        <w:rPr>
          <w:color w:val="231F20"/>
        </w:rPr>
        <w:t>las</w:t>
      </w:r>
      <w:r>
        <w:rPr>
          <w:color w:val="231F20"/>
          <w:spacing w:val="-12"/>
        </w:rPr>
        <w:t> </w:t>
      </w:r>
      <w:r>
        <w:rPr>
          <w:color w:val="231F20"/>
        </w:rPr>
        <w:t>trayectorias</w:t>
      </w:r>
      <w:r>
        <w:rPr>
          <w:color w:val="231F20"/>
          <w:spacing w:val="-13"/>
        </w:rPr>
        <w:t> </w:t>
      </w:r>
      <w:r>
        <w:rPr>
          <w:color w:val="231F20"/>
        </w:rPr>
        <w:t>laborales</w:t>
      </w:r>
      <w:r>
        <w:rPr>
          <w:color w:val="231F20"/>
          <w:spacing w:val="-12"/>
        </w:rPr>
        <w:t> </w:t>
      </w:r>
      <w:r>
        <w:rPr>
          <w:color w:val="231F20"/>
        </w:rPr>
        <w:t>como parte de las historias de vida de las mujeres, sólo que en este estudio  son de mujeres mayores de 60 años haciendo énfasis en su continuidad  o discontinuidad así como los ámbitos ocupacionales de cada una. Así, Serna (2002: 82) define “trayectoria de vida”, entendiéndola como una herramienta</w:t>
      </w:r>
      <w:r>
        <w:rPr>
          <w:color w:val="231F20"/>
          <w:spacing w:val="-8"/>
        </w:rPr>
        <w:t> </w:t>
      </w:r>
      <w:r>
        <w:rPr>
          <w:color w:val="231F20"/>
        </w:rPr>
        <w:t>analítica,</w:t>
      </w:r>
      <w:r>
        <w:rPr>
          <w:color w:val="231F20"/>
          <w:spacing w:val="-9"/>
        </w:rPr>
        <w:t> </w:t>
      </w:r>
      <w:r>
        <w:rPr>
          <w:color w:val="231F20"/>
        </w:rPr>
        <w:t>“como</w:t>
      </w:r>
      <w:r>
        <w:rPr>
          <w:color w:val="231F20"/>
          <w:spacing w:val="-9"/>
        </w:rPr>
        <w:t> </w:t>
      </w:r>
      <w:r>
        <w:rPr>
          <w:color w:val="231F20"/>
        </w:rPr>
        <w:t>un</w:t>
      </w:r>
      <w:r>
        <w:rPr>
          <w:color w:val="231F20"/>
          <w:spacing w:val="-8"/>
        </w:rPr>
        <w:t> </w:t>
      </w:r>
      <w:r>
        <w:rPr>
          <w:color w:val="231F20"/>
        </w:rPr>
        <w:t>instrumento</w:t>
      </w:r>
      <w:r>
        <w:rPr>
          <w:color w:val="231F20"/>
          <w:spacing w:val="-9"/>
        </w:rPr>
        <w:t> </w:t>
      </w:r>
      <w:r>
        <w:rPr>
          <w:color w:val="231F20"/>
        </w:rPr>
        <w:t>que</w:t>
      </w:r>
      <w:r>
        <w:rPr>
          <w:color w:val="231F20"/>
          <w:spacing w:val="-8"/>
        </w:rPr>
        <w:t> </w:t>
      </w:r>
      <w:r>
        <w:rPr>
          <w:color w:val="231F20"/>
        </w:rPr>
        <w:t>nos</w:t>
      </w:r>
      <w:r>
        <w:rPr>
          <w:color w:val="231F20"/>
          <w:spacing w:val="-8"/>
        </w:rPr>
        <w:t> </w:t>
      </w:r>
      <w:r>
        <w:rPr>
          <w:color w:val="231F20"/>
        </w:rPr>
        <w:t>permite</w:t>
      </w:r>
      <w:r>
        <w:rPr>
          <w:color w:val="231F20"/>
          <w:spacing w:val="-8"/>
        </w:rPr>
        <w:t> </w:t>
      </w:r>
      <w:r>
        <w:rPr>
          <w:color w:val="231F20"/>
        </w:rPr>
        <w:t>analizar</w:t>
      </w:r>
      <w:r>
        <w:rPr>
          <w:color w:val="231F20"/>
          <w:spacing w:val="-9"/>
        </w:rPr>
        <w:t> </w:t>
      </w:r>
      <w:r>
        <w:rPr>
          <w:color w:val="231F20"/>
        </w:rPr>
        <w:t>las formas en que los sujetos individuales se constituyen y son constituidos a</w:t>
      </w:r>
      <w:r>
        <w:rPr>
          <w:color w:val="231F20"/>
          <w:spacing w:val="-5"/>
        </w:rPr>
        <w:t> </w:t>
      </w:r>
      <w:r>
        <w:rPr>
          <w:color w:val="231F20"/>
        </w:rPr>
        <w:t>lo</w:t>
      </w:r>
      <w:r>
        <w:rPr>
          <w:color w:val="231F20"/>
          <w:spacing w:val="-5"/>
        </w:rPr>
        <w:t> </w:t>
      </w:r>
      <w:r>
        <w:rPr>
          <w:color w:val="231F20"/>
        </w:rPr>
        <w:t>largo</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proceso</w:t>
      </w:r>
      <w:r>
        <w:rPr>
          <w:color w:val="231F20"/>
          <w:spacing w:val="-5"/>
        </w:rPr>
        <w:t> </w:t>
      </w:r>
      <w:r>
        <w:rPr>
          <w:color w:val="231F20"/>
        </w:rPr>
        <w:t>socio-histórico”</w:t>
      </w:r>
      <w:r>
        <w:rPr>
          <w:color w:val="231F20"/>
          <w:spacing w:val="-4"/>
        </w:rPr>
        <w:t> </w:t>
      </w:r>
      <w:r>
        <w:rPr>
          <w:color w:val="231F20"/>
        </w:rPr>
        <w:t>poniendo</w:t>
      </w:r>
      <w:r>
        <w:rPr>
          <w:color w:val="231F20"/>
          <w:spacing w:val="-5"/>
        </w:rPr>
        <w:t> </w:t>
      </w:r>
      <w:r>
        <w:rPr>
          <w:color w:val="231F20"/>
        </w:rPr>
        <w:t>énfasis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contexto en el que se realizan las acciones individuales y hace válida este método para estudios de</w:t>
      </w:r>
      <w:r>
        <w:rPr>
          <w:color w:val="231F20"/>
          <w:spacing w:val="-1"/>
        </w:rPr>
        <w:t> </w:t>
      </w:r>
      <w:r>
        <w:rPr>
          <w:color w:val="231F20"/>
        </w:rPr>
        <w:t>caso.</w:t>
      </w:r>
    </w:p>
    <w:p>
      <w:pPr>
        <w:pStyle w:val="BodyText"/>
        <w:spacing w:line="249" w:lineRule="auto" w:before="1"/>
        <w:ind w:left="110" w:right="111" w:firstLine="283"/>
        <w:jc w:val="both"/>
      </w:pPr>
      <w:r>
        <w:rPr>
          <w:color w:val="231F20"/>
        </w:rPr>
        <w:t>García y Oliveira elaboran una tipología con base en lo que ellas llaman “grados de compromiso” ante la actividad económica femenina, constituida por cuatro tipos para las mujeres de clase media: i) el trabajo</w:t>
      </w:r>
    </w:p>
    <w:p>
      <w:pPr>
        <w:pStyle w:val="BodyText"/>
        <w:rPr>
          <w:sz w:val="17"/>
        </w:rPr>
      </w:pPr>
    </w:p>
    <w:p>
      <w:pPr>
        <w:spacing w:before="1"/>
        <w:ind w:left="110" w:right="0" w:firstLine="0"/>
        <w:jc w:val="both"/>
        <w:rPr>
          <w:sz w:val="14"/>
        </w:rPr>
      </w:pPr>
      <w:r>
        <w:rPr>
          <w:color w:val="231F20"/>
          <w:position w:val="5"/>
          <w:sz w:val="8"/>
        </w:rPr>
        <w:t>7  </w:t>
      </w:r>
      <w:r>
        <w:rPr>
          <w:color w:val="231F20"/>
          <w:sz w:val="14"/>
        </w:rPr>
        <w:t>Fuentes estadísticamente representativas.</w:t>
      </w:r>
    </w:p>
    <w:p>
      <w:pPr>
        <w:spacing w:after="0"/>
        <w:jc w:val="both"/>
        <w:rPr>
          <w:sz w:val="14"/>
        </w:rPr>
        <w:sectPr>
          <w:pgSz w:w="7770" w:h="11740"/>
          <w:pgMar w:header="0" w:footer="474" w:top="840" w:bottom="740" w:left="740" w:right="1020"/>
        </w:sectPr>
      </w:pPr>
    </w:p>
    <w:p>
      <w:pPr>
        <w:pStyle w:val="BodyText"/>
        <w:spacing w:line="249" w:lineRule="auto" w:before="60"/>
        <w:ind w:left="113" w:right="107"/>
        <w:jc w:val="both"/>
      </w:pPr>
      <w:r>
        <w:rPr>
          <w:color w:val="231F20"/>
        </w:rPr>
        <w:t>como</w:t>
      </w:r>
      <w:r>
        <w:rPr>
          <w:color w:val="231F20"/>
          <w:spacing w:val="-10"/>
        </w:rPr>
        <w:t> </w:t>
      </w:r>
      <w:r>
        <w:rPr>
          <w:color w:val="231F20"/>
        </w:rPr>
        <w:t>carrera,</w:t>
      </w:r>
      <w:r>
        <w:rPr>
          <w:color w:val="231F20"/>
          <w:spacing w:val="-10"/>
        </w:rPr>
        <w:t> </w:t>
      </w:r>
      <w:r>
        <w:rPr>
          <w:color w:val="231F20"/>
        </w:rPr>
        <w:t>ii)</w:t>
      </w:r>
      <w:r>
        <w:rPr>
          <w:color w:val="231F20"/>
          <w:spacing w:val="-10"/>
        </w:rPr>
        <w:t> </w:t>
      </w:r>
      <w:r>
        <w:rPr>
          <w:color w:val="231F20"/>
        </w:rPr>
        <w:t>el</w:t>
      </w:r>
      <w:r>
        <w:rPr>
          <w:color w:val="231F20"/>
          <w:spacing w:val="-10"/>
        </w:rPr>
        <w:t> </w:t>
      </w:r>
      <w:r>
        <w:rPr>
          <w:color w:val="231F20"/>
        </w:rPr>
        <w:t>trabajo</w:t>
      </w:r>
      <w:r>
        <w:rPr>
          <w:color w:val="231F20"/>
          <w:spacing w:val="-10"/>
        </w:rPr>
        <w:t> </w:t>
      </w:r>
      <w:r>
        <w:rPr>
          <w:color w:val="231F20"/>
        </w:rPr>
        <w:t>como</w:t>
      </w:r>
      <w:r>
        <w:rPr>
          <w:color w:val="231F20"/>
          <w:spacing w:val="-10"/>
        </w:rPr>
        <w:t> </w:t>
      </w:r>
      <w:r>
        <w:rPr>
          <w:color w:val="231F20"/>
        </w:rPr>
        <w:t>actividad</w:t>
      </w:r>
      <w:r>
        <w:rPr>
          <w:color w:val="231F20"/>
          <w:spacing w:val="-10"/>
        </w:rPr>
        <w:t> </w:t>
      </w:r>
      <w:r>
        <w:rPr>
          <w:color w:val="231F20"/>
        </w:rPr>
        <w:t>complementaria,</w:t>
      </w:r>
      <w:r>
        <w:rPr>
          <w:color w:val="231F20"/>
          <w:spacing w:val="-11"/>
        </w:rPr>
        <w:t> </w:t>
      </w:r>
      <w:r>
        <w:rPr>
          <w:color w:val="231F20"/>
        </w:rPr>
        <w:t>iii)</w:t>
      </w:r>
      <w:r>
        <w:rPr>
          <w:color w:val="231F20"/>
          <w:spacing w:val="-10"/>
        </w:rPr>
        <w:t> </w:t>
      </w:r>
      <w:r>
        <w:rPr>
          <w:color w:val="231F20"/>
        </w:rPr>
        <w:t>el</w:t>
      </w:r>
      <w:r>
        <w:rPr>
          <w:color w:val="231F20"/>
          <w:spacing w:val="-10"/>
        </w:rPr>
        <w:t> </w:t>
      </w:r>
      <w:r>
        <w:rPr>
          <w:color w:val="231F20"/>
        </w:rPr>
        <w:t>trabajo necesario</w:t>
      </w:r>
      <w:r>
        <w:rPr>
          <w:color w:val="231F20"/>
          <w:spacing w:val="-4"/>
        </w:rPr>
        <w:t> </w:t>
      </w:r>
      <w:r>
        <w:rPr>
          <w:color w:val="231F20"/>
        </w:rPr>
        <w:t>para</w:t>
      </w:r>
      <w:r>
        <w:rPr>
          <w:color w:val="231F20"/>
          <w:spacing w:val="-4"/>
        </w:rPr>
        <w:t> </w:t>
      </w:r>
      <w:r>
        <w:rPr>
          <w:color w:val="231F20"/>
        </w:rPr>
        <w:t>mantener</w:t>
      </w:r>
      <w:r>
        <w:rPr>
          <w:color w:val="231F20"/>
          <w:spacing w:val="-4"/>
        </w:rPr>
        <w:t> </w:t>
      </w:r>
      <w:r>
        <w:rPr>
          <w:color w:val="231F20"/>
        </w:rPr>
        <w:t>el</w:t>
      </w:r>
      <w:r>
        <w:rPr>
          <w:color w:val="231F20"/>
          <w:spacing w:val="-4"/>
        </w:rPr>
        <w:t> </w:t>
      </w:r>
      <w:r>
        <w:rPr>
          <w:color w:val="231F20"/>
        </w:rPr>
        <w:t>estatus</w:t>
      </w:r>
      <w:r>
        <w:rPr>
          <w:color w:val="231F20"/>
          <w:spacing w:val="-4"/>
        </w:rPr>
        <w:t> </w:t>
      </w:r>
      <w:r>
        <w:rPr>
          <w:color w:val="231F20"/>
        </w:rPr>
        <w:t>social</w:t>
      </w:r>
      <w:r>
        <w:rPr>
          <w:color w:val="231F20"/>
          <w:spacing w:val="-3"/>
        </w:rPr>
        <w:t> </w:t>
      </w:r>
      <w:r>
        <w:rPr>
          <w:color w:val="231F20"/>
        </w:rPr>
        <w:t>y</w:t>
      </w:r>
      <w:r>
        <w:rPr>
          <w:color w:val="231F20"/>
          <w:spacing w:val="-4"/>
        </w:rPr>
        <w:t> </w:t>
      </w:r>
      <w:r>
        <w:rPr>
          <w:color w:val="231F20"/>
        </w:rPr>
        <w:t>iv)</w:t>
      </w:r>
      <w:r>
        <w:rPr>
          <w:color w:val="231F20"/>
          <w:spacing w:val="-4"/>
        </w:rPr>
        <w:t> </w:t>
      </w:r>
      <w:r>
        <w:rPr>
          <w:color w:val="231F20"/>
        </w:rPr>
        <w:t>la</w:t>
      </w:r>
      <w:r>
        <w:rPr>
          <w:color w:val="231F20"/>
          <w:spacing w:val="-4"/>
        </w:rPr>
        <w:t> </w:t>
      </w:r>
      <w:r>
        <w:rPr>
          <w:color w:val="231F20"/>
        </w:rPr>
        <w:t>permanencia</w:t>
      </w:r>
      <w:r>
        <w:rPr>
          <w:color w:val="231F20"/>
          <w:spacing w:val="-4"/>
        </w:rPr>
        <w:t> </w:t>
      </w:r>
      <w:r>
        <w:rPr>
          <w:color w:val="231F20"/>
        </w:rPr>
        <w:t>en</w:t>
      </w:r>
      <w:r>
        <w:rPr>
          <w:color w:val="231F20"/>
          <w:spacing w:val="-4"/>
        </w:rPr>
        <w:t> </w:t>
      </w:r>
      <w:r>
        <w:rPr>
          <w:color w:val="231F20"/>
        </w:rPr>
        <w:t>casa</w:t>
      </w:r>
      <w:r>
        <w:rPr>
          <w:color w:val="231F20"/>
          <w:spacing w:val="-4"/>
        </w:rPr>
        <w:t> </w:t>
      </w:r>
      <w:r>
        <w:rPr>
          <w:color w:val="231F20"/>
        </w:rPr>
        <w:t>de los sectores medios (García y Oliveira, 1995: 103). Para esta investiga- ción propongo incluir un quinto tipo: el trabajo necesario para la manu- tención.</w:t>
      </w:r>
      <w:r>
        <w:rPr>
          <w:color w:val="231F20"/>
          <w:spacing w:val="-11"/>
        </w:rPr>
        <w:t> </w:t>
      </w:r>
      <w:r>
        <w:rPr>
          <w:color w:val="231F20"/>
        </w:rPr>
        <w:t>Esta</w:t>
      </w:r>
      <w:r>
        <w:rPr>
          <w:color w:val="231F20"/>
          <w:spacing w:val="-10"/>
        </w:rPr>
        <w:t> </w:t>
      </w:r>
      <w:r>
        <w:rPr>
          <w:color w:val="231F20"/>
        </w:rPr>
        <w:t>tipología</w:t>
      </w:r>
      <w:r>
        <w:rPr>
          <w:color w:val="231F20"/>
          <w:spacing w:val="-11"/>
        </w:rPr>
        <w:t> </w:t>
      </w:r>
      <w:r>
        <w:rPr>
          <w:color w:val="231F20"/>
        </w:rPr>
        <w:t>resulta</w:t>
      </w:r>
      <w:r>
        <w:rPr>
          <w:color w:val="231F20"/>
          <w:spacing w:val="-10"/>
        </w:rPr>
        <w:t> </w:t>
      </w:r>
      <w:r>
        <w:rPr>
          <w:color w:val="231F20"/>
        </w:rPr>
        <w:t>de</w:t>
      </w:r>
      <w:r>
        <w:rPr>
          <w:color w:val="231F20"/>
          <w:spacing w:val="-10"/>
        </w:rPr>
        <w:t> </w:t>
      </w:r>
      <w:r>
        <w:rPr>
          <w:color w:val="231F20"/>
        </w:rPr>
        <w:t>gran</w:t>
      </w:r>
      <w:r>
        <w:rPr>
          <w:color w:val="231F20"/>
          <w:spacing w:val="-10"/>
        </w:rPr>
        <w:t> </w:t>
      </w:r>
      <w:r>
        <w:rPr>
          <w:color w:val="231F20"/>
        </w:rPr>
        <w:t>utilidad</w:t>
      </w:r>
      <w:r>
        <w:rPr>
          <w:color w:val="231F20"/>
          <w:spacing w:val="-10"/>
        </w:rPr>
        <w:t> </w:t>
      </w:r>
      <w:r>
        <w:rPr>
          <w:color w:val="231F20"/>
        </w:rPr>
        <w:t>para</w:t>
      </w:r>
      <w:r>
        <w:rPr>
          <w:color w:val="231F20"/>
          <w:spacing w:val="-10"/>
        </w:rPr>
        <w:t> </w:t>
      </w:r>
      <w:r>
        <w:rPr>
          <w:color w:val="231F20"/>
        </w:rPr>
        <w:t>poder</w:t>
      </w:r>
      <w:r>
        <w:rPr>
          <w:color w:val="231F20"/>
          <w:spacing w:val="-10"/>
        </w:rPr>
        <w:t> </w:t>
      </w:r>
      <w:r>
        <w:rPr>
          <w:color w:val="231F20"/>
        </w:rPr>
        <w:t>comprender</w:t>
      </w:r>
      <w:r>
        <w:rPr>
          <w:color w:val="231F20"/>
          <w:spacing w:val="-10"/>
        </w:rPr>
        <w:t> </w:t>
      </w:r>
      <w:r>
        <w:rPr>
          <w:color w:val="231F20"/>
        </w:rPr>
        <w:t>los diferentes tipos de trabajo</w:t>
      </w:r>
      <w:r>
        <w:rPr>
          <w:color w:val="231F20"/>
          <w:spacing w:val="-2"/>
        </w:rPr>
        <w:t> </w:t>
      </w:r>
      <w:r>
        <w:rPr>
          <w:color w:val="231F20"/>
        </w:rPr>
        <w:t>femenino.</w:t>
      </w:r>
    </w:p>
    <w:p>
      <w:pPr>
        <w:pStyle w:val="BodyText"/>
        <w:spacing w:line="249" w:lineRule="auto" w:before="1"/>
        <w:ind w:left="113" w:right="108" w:firstLine="283"/>
        <w:jc w:val="both"/>
      </w:pPr>
      <w:r>
        <w:rPr>
          <w:color w:val="231F20"/>
        </w:rPr>
        <w:t>Es muy importante no olvidar, como dice Enciso (1999: 48) que la mayoría de las mujeres, estando integradas en el mercado laboral o no, tienen la responsabilidad de cumplir con las tareas consideradas social- mente</w:t>
      </w:r>
      <w:r>
        <w:rPr>
          <w:color w:val="231F20"/>
          <w:spacing w:val="-6"/>
        </w:rPr>
        <w:t> </w:t>
      </w:r>
      <w:r>
        <w:rPr>
          <w:color w:val="231F20"/>
        </w:rPr>
        <w:t>como</w:t>
      </w:r>
      <w:r>
        <w:rPr>
          <w:color w:val="231F20"/>
          <w:spacing w:val="-6"/>
        </w:rPr>
        <w:t> </w:t>
      </w:r>
      <w:r>
        <w:rPr>
          <w:color w:val="231F20"/>
        </w:rPr>
        <w:t>femeninas</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relacionan,</w:t>
      </w:r>
      <w:r>
        <w:rPr>
          <w:color w:val="231F20"/>
          <w:spacing w:val="-5"/>
        </w:rPr>
        <w:t> </w:t>
      </w:r>
      <w:r>
        <w:rPr>
          <w:color w:val="231F20"/>
        </w:rPr>
        <w:t>por</w:t>
      </w:r>
      <w:r>
        <w:rPr>
          <w:color w:val="231F20"/>
          <w:spacing w:val="-5"/>
        </w:rPr>
        <w:t> </w:t>
      </w:r>
      <w:r>
        <w:rPr>
          <w:color w:val="231F20"/>
        </w:rPr>
        <w:t>supuesto,</w:t>
      </w:r>
      <w:r>
        <w:rPr>
          <w:color w:val="231F20"/>
          <w:spacing w:val="-5"/>
        </w:rPr>
        <w:t> </w:t>
      </w:r>
      <w:r>
        <w:rPr>
          <w:color w:val="231F20"/>
        </w:rPr>
        <w:t>con</w:t>
      </w:r>
      <w:r>
        <w:rPr>
          <w:color w:val="231F20"/>
          <w:spacing w:val="-6"/>
        </w:rPr>
        <w:t> </w:t>
      </w:r>
      <w:r>
        <w:rPr>
          <w:color w:val="231F20"/>
        </w:rPr>
        <w:t>el</w:t>
      </w:r>
      <w:r>
        <w:rPr>
          <w:color w:val="231F20"/>
          <w:spacing w:val="-5"/>
        </w:rPr>
        <w:t> </w:t>
      </w:r>
      <w:r>
        <w:rPr>
          <w:color w:val="231F20"/>
        </w:rPr>
        <w:t>cuidado de la casa y la organización de la vida familiar (Artazcoz y Moncada, 1996 en Enciso, 1999: 48). De ahí la necesidad de observar, también, la vida familiar de las</w:t>
      </w:r>
      <w:r>
        <w:rPr>
          <w:color w:val="231F20"/>
          <w:spacing w:val="-1"/>
        </w:rPr>
        <w:t> </w:t>
      </w:r>
      <w:r>
        <w:rPr>
          <w:color w:val="231F20"/>
        </w:rPr>
        <w:t>mujeres.</w:t>
      </w:r>
    </w:p>
    <w:p>
      <w:pPr>
        <w:pStyle w:val="Heading4"/>
      </w:pPr>
      <w:r>
        <w:rPr>
          <w:w w:val="75"/>
        </w:rPr>
        <w:t>Una vida de trabajo</w:t>
      </w:r>
    </w:p>
    <w:p>
      <w:pPr>
        <w:pStyle w:val="BodyText"/>
        <w:spacing w:line="249" w:lineRule="auto" w:before="171"/>
        <w:ind w:left="113" w:right="108"/>
        <w:jc w:val="both"/>
      </w:pPr>
      <w:r>
        <w:rPr>
          <w:color w:val="231F20"/>
        </w:rPr>
        <w:t>Para poder encontrar respuestas a las incógnitas planteadas, para esta investigación se presenta la información obtenida con mujeres que tra- bajaron remuneradamente (por lo menos 15 años) y mujeres que no (no por tiempos prolongados de su vida o como recurso necesario para su sobrevivencia), de manera que pudiese tener la información de un grupo testigo</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grupo</w:t>
      </w:r>
      <w:r>
        <w:rPr>
          <w:color w:val="231F20"/>
          <w:spacing w:val="-4"/>
        </w:rPr>
        <w:t> </w:t>
      </w:r>
      <w:r>
        <w:rPr>
          <w:color w:val="231F20"/>
        </w:rPr>
        <w:t>de</w:t>
      </w:r>
      <w:r>
        <w:rPr>
          <w:color w:val="231F20"/>
          <w:spacing w:val="-4"/>
        </w:rPr>
        <w:t> </w:t>
      </w:r>
      <w:r>
        <w:rPr>
          <w:color w:val="231F20"/>
        </w:rPr>
        <w:t>mujeres</w:t>
      </w:r>
      <w:r>
        <w:rPr>
          <w:color w:val="231F20"/>
          <w:spacing w:val="-4"/>
        </w:rPr>
        <w:t> </w:t>
      </w:r>
      <w:r>
        <w:rPr>
          <w:color w:val="231F20"/>
        </w:rPr>
        <w:t>asalariadas,</w:t>
      </w:r>
      <w:r>
        <w:rPr>
          <w:color w:val="231F20"/>
          <w:spacing w:val="-4"/>
        </w:rPr>
        <w:t> </w:t>
      </w:r>
      <w:r>
        <w:rPr>
          <w:color w:val="231F20"/>
        </w:rPr>
        <w:t>para</w:t>
      </w:r>
      <w:r>
        <w:rPr>
          <w:color w:val="231F20"/>
          <w:spacing w:val="-4"/>
        </w:rPr>
        <w:t> </w:t>
      </w:r>
      <w:r>
        <w:rPr>
          <w:color w:val="231F20"/>
        </w:rPr>
        <w:t>este</w:t>
      </w:r>
      <w:r>
        <w:rPr>
          <w:color w:val="231F20"/>
          <w:spacing w:val="-4"/>
        </w:rPr>
        <w:t> </w:t>
      </w:r>
      <w:r>
        <w:rPr>
          <w:color w:val="231F20"/>
        </w:rPr>
        <w:t>caso,</w:t>
      </w:r>
      <w:r>
        <w:rPr>
          <w:color w:val="231F20"/>
          <w:spacing w:val="-4"/>
        </w:rPr>
        <w:t> </w:t>
      </w:r>
      <w:r>
        <w:rPr>
          <w:color w:val="231F20"/>
        </w:rPr>
        <w:t>mujeres</w:t>
      </w:r>
      <w:r>
        <w:rPr>
          <w:color w:val="231F20"/>
          <w:spacing w:val="-4"/>
        </w:rPr>
        <w:t> </w:t>
      </w:r>
      <w:r>
        <w:rPr>
          <w:color w:val="231F20"/>
        </w:rPr>
        <w:t>con alguna preparación académica a desarrollar en su campo</w:t>
      </w:r>
      <w:r>
        <w:rPr>
          <w:color w:val="231F20"/>
          <w:spacing w:val="-5"/>
        </w:rPr>
        <w:t> </w:t>
      </w:r>
      <w:r>
        <w:rPr>
          <w:color w:val="231F20"/>
        </w:rPr>
        <w:t>profesional.</w:t>
      </w:r>
    </w:p>
    <w:p>
      <w:pPr>
        <w:pStyle w:val="BodyText"/>
        <w:spacing w:line="249" w:lineRule="auto" w:before="1"/>
        <w:ind w:left="113" w:right="107" w:firstLine="283"/>
        <w:jc w:val="both"/>
      </w:pPr>
      <w:r>
        <w:rPr>
          <w:color w:val="231F20"/>
        </w:rPr>
        <w:t>A</w:t>
      </w:r>
      <w:r>
        <w:rPr>
          <w:color w:val="231F20"/>
          <w:spacing w:val="-16"/>
        </w:rPr>
        <w:t> </w:t>
      </w:r>
      <w:r>
        <w:rPr>
          <w:color w:val="231F20"/>
        </w:rPr>
        <w:t>continuación</w:t>
      </w:r>
      <w:r>
        <w:rPr>
          <w:color w:val="231F20"/>
          <w:spacing w:val="-6"/>
        </w:rPr>
        <w:t> </w:t>
      </w:r>
      <w:r>
        <w:rPr>
          <w:color w:val="231F20"/>
        </w:rPr>
        <w:t>se</w:t>
      </w:r>
      <w:r>
        <w:rPr>
          <w:color w:val="231F20"/>
          <w:spacing w:val="-5"/>
        </w:rPr>
        <w:t> </w:t>
      </w:r>
      <w:r>
        <w:rPr>
          <w:color w:val="231F20"/>
        </w:rPr>
        <w:t>presentan,</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breve,</w:t>
      </w:r>
      <w:r>
        <w:rPr>
          <w:color w:val="231F20"/>
          <w:spacing w:val="-5"/>
        </w:rPr>
        <w:t> </w:t>
      </w:r>
      <w:r>
        <w:rPr>
          <w:color w:val="231F20"/>
        </w:rPr>
        <w:t>los</w:t>
      </w:r>
      <w:r>
        <w:rPr>
          <w:color w:val="231F20"/>
          <w:spacing w:val="-5"/>
        </w:rPr>
        <w:t> </w:t>
      </w:r>
      <w:r>
        <w:rPr>
          <w:color w:val="231F20"/>
        </w:rPr>
        <w:t>dos</w:t>
      </w:r>
      <w:r>
        <w:rPr>
          <w:color w:val="231F20"/>
          <w:spacing w:val="-5"/>
        </w:rPr>
        <w:t> </w:t>
      </w:r>
      <w:r>
        <w:rPr>
          <w:color w:val="231F20"/>
        </w:rPr>
        <w:t>grupos</w:t>
      </w:r>
      <w:r>
        <w:rPr>
          <w:color w:val="231F20"/>
          <w:spacing w:val="-5"/>
        </w:rPr>
        <w:t> </w:t>
      </w:r>
      <w:r>
        <w:rPr>
          <w:color w:val="231F20"/>
        </w:rPr>
        <w:t>de</w:t>
      </w:r>
      <w:r>
        <w:rPr>
          <w:color w:val="231F20"/>
          <w:spacing w:val="-5"/>
        </w:rPr>
        <w:t> </w:t>
      </w:r>
      <w:r>
        <w:rPr>
          <w:color w:val="231F20"/>
        </w:rPr>
        <w:t>mu- jeres para encontrar entonces, respuestas a las preguntas planteadas con anterioridad. Se muestra la información que para este trabajo resulta re- levante de cada una de las</w:t>
      </w:r>
      <w:r>
        <w:rPr>
          <w:color w:val="231F20"/>
          <w:spacing w:val="-3"/>
        </w:rPr>
        <w:t> </w:t>
      </w:r>
      <w:r>
        <w:rPr>
          <w:color w:val="231F20"/>
        </w:rPr>
        <w:t>entrevistadas.</w:t>
      </w:r>
    </w:p>
    <w:p>
      <w:pPr>
        <w:pStyle w:val="Heading5"/>
        <w:spacing w:line="240" w:lineRule="exact" w:before="166"/>
        <w:ind w:right="633"/>
        <w:jc w:val="left"/>
      </w:pPr>
      <w:r>
        <w:rPr>
          <w:i/>
          <w:w w:val="75"/>
        </w:rPr>
        <w:t>Mujeres que no tuvieron trabajo extradoméstico. El trabajo permanente </w:t>
      </w:r>
      <w:r>
        <w:rPr>
          <w:w w:val="80"/>
        </w:rPr>
        <w:t>de las “amas de casa”</w:t>
      </w:r>
    </w:p>
    <w:p>
      <w:pPr>
        <w:pStyle w:val="BodyText"/>
        <w:spacing w:line="249" w:lineRule="auto" w:before="175"/>
        <w:ind w:left="113" w:right="108"/>
        <w:jc w:val="both"/>
      </w:pPr>
      <w:r>
        <w:rPr>
          <w:color w:val="231F20"/>
        </w:rPr>
        <w:t>Este grupo está integrado por cuatro mujeres que no mantuvieron</w:t>
      </w:r>
      <w:r>
        <w:rPr>
          <w:color w:val="231F20"/>
          <w:spacing w:val="-21"/>
        </w:rPr>
        <w:t> </w:t>
      </w:r>
      <w:r>
        <w:rPr>
          <w:color w:val="231F20"/>
        </w:rPr>
        <w:t>ningu- na trayectoria laboral remunerada prolongada, sino que se dedicaron la mayor parte de su vida a las labores domésticas familiares, pues una de ellas afirmó que “a trabajar nada más en mis hijos”. Ellas son </w:t>
      </w:r>
      <w:r>
        <w:rPr>
          <w:color w:val="231F20"/>
          <w:spacing w:val="-3"/>
        </w:rPr>
        <w:t>Chuy,</w:t>
      </w:r>
      <w:r>
        <w:rPr>
          <w:color w:val="231F20"/>
          <w:spacing w:val="-35"/>
        </w:rPr>
        <w:t> </w:t>
      </w:r>
      <w:r>
        <w:rPr>
          <w:color w:val="231F20"/>
        </w:rPr>
        <w:t>Ilse, doña Juana de 65 y doña </w:t>
      </w:r>
      <w:r>
        <w:rPr>
          <w:color w:val="231F20"/>
          <w:spacing w:val="-4"/>
        </w:rPr>
        <w:t>Toña </w:t>
      </w:r>
      <w:r>
        <w:rPr>
          <w:color w:val="231F20"/>
        </w:rPr>
        <w:t>de</w:t>
      </w:r>
      <w:r>
        <w:rPr>
          <w:color w:val="231F20"/>
          <w:spacing w:val="-2"/>
        </w:rPr>
        <w:t> </w:t>
      </w:r>
      <w:r>
        <w:rPr>
          <w:color w:val="231F20"/>
        </w:rPr>
        <w:t>83.</w:t>
      </w:r>
    </w:p>
    <w:p>
      <w:pPr>
        <w:pStyle w:val="BodyText"/>
        <w:spacing w:line="249" w:lineRule="auto" w:before="1"/>
        <w:ind w:left="113" w:right="108" w:firstLine="283"/>
        <w:jc w:val="both"/>
      </w:pPr>
      <w:r>
        <w:rPr>
          <w:color w:val="231F20"/>
        </w:rPr>
        <w:t>Éste, debo precisar, es el grupo testigo de esta investigación. La in- formación presentada en este cuadro tiene la intención de ofrecer una panorámica de los elementos importantes que se relacionan en cuanto a su trayectoria laboral, su familia y su vejez.</w:t>
      </w:r>
    </w:p>
    <w:p>
      <w:pPr>
        <w:spacing w:after="0" w:line="249" w:lineRule="auto"/>
        <w:jc w:val="both"/>
        <w:sectPr>
          <w:footerReference w:type="default" r:id="rId275"/>
          <w:pgSz w:w="7770" w:h="11740"/>
          <w:pgMar w:footer="474" w:header="0" w:top="840" w:bottom="660" w:left="1020" w:right="740"/>
          <w:pgNumType w:start="259"/>
        </w:sectPr>
      </w:pPr>
    </w:p>
    <w:p>
      <w:pPr>
        <w:spacing w:before="52"/>
        <w:ind w:left="194" w:right="242" w:firstLine="0"/>
        <w:jc w:val="left"/>
        <w:rPr>
          <w:sz w:val="19"/>
        </w:rPr>
      </w:pPr>
      <w:r>
        <w:rPr/>
        <w:pict>
          <v:group style="position:absolute;margin-left:38.002998pt;margin-top:16.979166pt;width:298.2pt;height:.5pt;mso-position-horizontal-relative:page;mso-position-vertical-relative:paragraph;z-index:8104;mso-wrap-distance-left:0;mso-wrap-distance-right:0" coordorigin="760,340" coordsize="5964,10">
            <v:line style="position:absolute" from="765,345" to="2544,345" stroked="true" strokeweight=".481pt" strokecolor="#000000"/>
            <v:line style="position:absolute" from="2544,345" to="2554,345" stroked="true" strokeweight=".481pt" strokecolor="#000000"/>
            <v:line style="position:absolute" from="2554,345" to="4541,345" stroked="true" strokeweight=".481pt" strokecolor="#000000"/>
            <v:line style="position:absolute" from="4541,345" to="4551,345" stroked="true" strokeweight=".481pt" strokecolor="#000000"/>
            <v:line style="position:absolute" from="4551,345" to="6718,345" stroked="true" strokeweight=".481pt" strokecolor="#000000"/>
            <w10:wrap type="topAndBottom"/>
          </v:group>
        </w:pict>
      </w:r>
      <w:r>
        <w:rPr>
          <w:w w:val="105"/>
          <w:sz w:val="19"/>
        </w:rPr>
        <w:t>Cuadro 1a. Mujeres sin trayectoria laboral prolongada</w:t>
      </w:r>
    </w:p>
    <w:p>
      <w:pPr>
        <w:tabs>
          <w:tab w:pos="3991" w:val="left" w:leader="none"/>
        </w:tabs>
        <w:spacing w:before="0" w:after="7"/>
        <w:ind w:left="1994" w:right="242" w:firstLine="0"/>
        <w:jc w:val="left"/>
        <w:rPr>
          <w:sz w:val="19"/>
        </w:rPr>
      </w:pPr>
      <w:r>
        <w:rPr>
          <w:w w:val="105"/>
          <w:sz w:val="19"/>
        </w:rPr>
        <w:t>Chuy</w:t>
        <w:tab/>
        <w:t>Ilse</w:t>
      </w:r>
    </w:p>
    <w:p>
      <w:pPr>
        <w:pStyle w:val="BodyText"/>
        <w:spacing w:line="20" w:lineRule="exact"/>
        <w:ind w:left="100"/>
        <w:rPr>
          <w:sz w:val="2"/>
        </w:rPr>
      </w:pPr>
      <w:r>
        <w:rPr>
          <w:sz w:val="2"/>
        </w:rPr>
        <w:pict>
          <v:group style="width:298.2pt;height:.5pt;mso-position-horizontal-relative:char;mso-position-vertical-relative:line" coordorigin="0,0" coordsize="5964,10">
            <v:line style="position:absolute" from="5,5" to="1784,5" stroked="true" strokeweight=".48pt" strokecolor="#000000"/>
            <v:line style="position:absolute" from="1784,5" to="1794,5" stroked="true" strokeweight=".48pt" strokecolor="#000000"/>
            <v:line style="position:absolute" from="1794,5" to="3781,5" stroked="true" strokeweight=".48pt" strokecolor="#000000"/>
            <v:line style="position:absolute" from="3781,5" to="3791,5" stroked="true" strokeweight=".48pt" strokecolor="#000000"/>
            <v:line style="position:absolute" from="3791,5" to="5958,5" stroked="true" strokeweight=".48pt" strokecolor="#000000"/>
          </v:group>
        </w:pict>
      </w:r>
      <w:r>
        <w:rPr>
          <w:sz w:val="2"/>
        </w:rPr>
      </w:r>
    </w:p>
    <w:p>
      <w:pPr>
        <w:tabs>
          <w:tab w:pos="1994" w:val="left" w:leader="none"/>
          <w:tab w:pos="3991" w:val="left" w:leader="none"/>
        </w:tabs>
        <w:spacing w:before="0"/>
        <w:ind w:left="194" w:right="242" w:firstLine="0"/>
        <w:jc w:val="left"/>
        <w:rPr>
          <w:sz w:val="19"/>
        </w:rPr>
      </w:pPr>
      <w:r>
        <w:rPr>
          <w:w w:val="105"/>
          <w:sz w:val="19"/>
        </w:rPr>
        <w:t>Edad</w:t>
        <w:tab/>
        <w:t>62 años</w:t>
        <w:tab/>
        <w:t>65</w:t>
      </w:r>
      <w:r>
        <w:rPr>
          <w:spacing w:val="-2"/>
          <w:w w:val="105"/>
          <w:sz w:val="19"/>
        </w:rPr>
        <w:t> </w:t>
      </w:r>
      <w:r>
        <w:rPr>
          <w:w w:val="105"/>
          <w:sz w:val="19"/>
        </w:rPr>
        <w:t>años</w:t>
      </w:r>
    </w:p>
    <w:p>
      <w:pPr>
        <w:tabs>
          <w:tab w:pos="1994" w:val="left" w:leader="none"/>
          <w:tab w:pos="3991" w:val="left" w:leader="none"/>
        </w:tabs>
        <w:spacing w:line="127" w:lineRule="auto" w:before="90"/>
        <w:ind w:left="3991" w:right="732" w:hanging="3797"/>
        <w:jc w:val="left"/>
        <w:rPr>
          <w:sz w:val="19"/>
        </w:rPr>
      </w:pPr>
      <w:r>
        <w:rPr>
          <w:w w:val="105"/>
          <w:sz w:val="19"/>
        </w:rPr>
        <w:t>Escolaridad</w:t>
        <w:tab/>
        <w:t>Primaria</w:t>
        <w:tab/>
      </w:r>
      <w:r>
        <w:rPr>
          <w:w w:val="105"/>
          <w:position w:val="12"/>
          <w:sz w:val="19"/>
        </w:rPr>
        <w:t>Primaria</w:t>
      </w:r>
      <w:r>
        <w:rPr>
          <w:spacing w:val="-3"/>
          <w:w w:val="105"/>
          <w:position w:val="12"/>
          <w:sz w:val="19"/>
        </w:rPr>
        <w:t> </w:t>
      </w:r>
      <w:r>
        <w:rPr>
          <w:w w:val="105"/>
          <w:position w:val="12"/>
          <w:sz w:val="19"/>
        </w:rPr>
        <w:t>y</w:t>
      </w:r>
      <w:r>
        <w:rPr>
          <w:spacing w:val="-2"/>
          <w:w w:val="105"/>
          <w:position w:val="12"/>
          <w:sz w:val="19"/>
        </w:rPr>
        <w:t> </w:t>
      </w:r>
      <w:r>
        <w:rPr>
          <w:w w:val="105"/>
          <w:position w:val="12"/>
          <w:sz w:val="19"/>
        </w:rPr>
        <w:t>carrera</w:t>
      </w:r>
      <w:r>
        <w:rPr>
          <w:w w:val="103"/>
          <w:position w:val="12"/>
          <w:sz w:val="19"/>
        </w:rPr>
        <w:t> </w:t>
      </w:r>
      <w:r>
        <w:rPr>
          <w:w w:val="105"/>
          <w:sz w:val="19"/>
        </w:rPr>
        <w:t>comercial</w:t>
      </w:r>
    </w:p>
    <w:p>
      <w:pPr>
        <w:spacing w:line="164" w:lineRule="exact" w:before="26"/>
        <w:ind w:left="194" w:right="242" w:firstLine="0"/>
        <w:jc w:val="left"/>
        <w:rPr>
          <w:sz w:val="19"/>
        </w:rPr>
      </w:pPr>
      <w:r>
        <w:rPr>
          <w:w w:val="105"/>
          <w:sz w:val="19"/>
        </w:rPr>
        <w:t>Edad de</w:t>
      </w:r>
    </w:p>
    <w:p>
      <w:pPr>
        <w:tabs>
          <w:tab w:pos="1994" w:val="left" w:leader="none"/>
          <w:tab w:pos="3991" w:val="left" w:leader="none"/>
        </w:tabs>
        <w:spacing w:line="284" w:lineRule="exact" w:before="0"/>
        <w:ind w:left="194" w:right="242" w:firstLine="0"/>
        <w:jc w:val="left"/>
        <w:rPr>
          <w:sz w:val="19"/>
        </w:rPr>
      </w:pPr>
      <w:r>
        <w:rPr>
          <w:w w:val="105"/>
          <w:sz w:val="19"/>
        </w:rPr>
        <w:t>casamiento</w:t>
      </w:r>
      <w:r>
        <w:rPr>
          <w:spacing w:val="-1"/>
          <w:w w:val="105"/>
          <w:sz w:val="19"/>
        </w:rPr>
        <w:t> </w:t>
      </w:r>
      <w:r>
        <w:rPr>
          <w:w w:val="105"/>
          <w:sz w:val="19"/>
        </w:rPr>
        <w:t>o</w:t>
      </w:r>
      <w:r>
        <w:rPr>
          <w:spacing w:val="-1"/>
          <w:w w:val="105"/>
          <w:sz w:val="19"/>
        </w:rPr>
        <w:t> </w:t>
      </w:r>
      <w:r>
        <w:rPr>
          <w:w w:val="105"/>
          <w:sz w:val="19"/>
        </w:rPr>
        <w:t>unión</w:t>
        <w:tab/>
      </w:r>
      <w:r>
        <w:rPr>
          <w:w w:val="105"/>
          <w:position w:val="12"/>
          <w:sz w:val="19"/>
        </w:rPr>
        <w:t>19 años</w:t>
        <w:tab/>
        <w:t>18</w:t>
      </w:r>
      <w:r>
        <w:rPr>
          <w:spacing w:val="-2"/>
          <w:w w:val="105"/>
          <w:position w:val="12"/>
          <w:sz w:val="19"/>
        </w:rPr>
        <w:t> </w:t>
      </w:r>
      <w:r>
        <w:rPr>
          <w:w w:val="105"/>
          <w:position w:val="12"/>
          <w:sz w:val="19"/>
        </w:rPr>
        <w:t>años</w:t>
      </w:r>
    </w:p>
    <w:p>
      <w:pPr>
        <w:tabs>
          <w:tab w:pos="1994" w:val="left" w:leader="none"/>
          <w:tab w:pos="3991" w:val="left" w:leader="none"/>
        </w:tabs>
        <w:spacing w:before="12"/>
        <w:ind w:left="194" w:right="242" w:firstLine="0"/>
        <w:jc w:val="left"/>
        <w:rPr>
          <w:sz w:val="19"/>
        </w:rPr>
      </w:pPr>
      <w:r>
        <w:rPr>
          <w:w w:val="105"/>
          <w:sz w:val="19"/>
        </w:rPr>
        <w:t>Edad al</w:t>
      </w:r>
      <w:r>
        <w:rPr>
          <w:spacing w:val="-1"/>
          <w:w w:val="105"/>
          <w:sz w:val="19"/>
        </w:rPr>
        <w:t> </w:t>
      </w:r>
      <w:r>
        <w:rPr>
          <w:w w:val="105"/>
          <w:sz w:val="19"/>
        </w:rPr>
        <w:t>1er</w:t>
      </w:r>
      <w:r>
        <w:rPr>
          <w:spacing w:val="-1"/>
          <w:w w:val="105"/>
          <w:sz w:val="19"/>
        </w:rPr>
        <w:t> </w:t>
      </w:r>
      <w:r>
        <w:rPr>
          <w:w w:val="105"/>
          <w:sz w:val="19"/>
        </w:rPr>
        <w:t>hijo</w:t>
        <w:tab/>
        <w:t>20 años</w:t>
        <w:tab/>
        <w:t>16</w:t>
      </w:r>
      <w:r>
        <w:rPr>
          <w:spacing w:val="-2"/>
          <w:w w:val="105"/>
          <w:sz w:val="19"/>
        </w:rPr>
        <w:t> </w:t>
      </w:r>
      <w:r>
        <w:rPr>
          <w:w w:val="105"/>
          <w:sz w:val="19"/>
        </w:rPr>
        <w:t>años</w:t>
      </w:r>
    </w:p>
    <w:p>
      <w:pPr>
        <w:tabs>
          <w:tab w:pos="1994" w:val="left" w:leader="none"/>
          <w:tab w:pos="3991" w:val="left" w:leader="none"/>
        </w:tabs>
        <w:spacing w:before="12"/>
        <w:ind w:left="194" w:right="242" w:firstLine="0"/>
        <w:jc w:val="left"/>
        <w:rPr>
          <w:sz w:val="19"/>
        </w:rPr>
      </w:pPr>
      <w:r>
        <w:rPr>
          <w:w w:val="105"/>
          <w:sz w:val="19"/>
        </w:rPr>
        <w:t>Edad al</w:t>
      </w:r>
      <w:r>
        <w:rPr>
          <w:spacing w:val="-2"/>
          <w:w w:val="105"/>
          <w:sz w:val="19"/>
        </w:rPr>
        <w:t> </w:t>
      </w:r>
      <w:r>
        <w:rPr>
          <w:w w:val="105"/>
          <w:sz w:val="19"/>
        </w:rPr>
        <w:t>último</w:t>
      </w:r>
      <w:r>
        <w:rPr>
          <w:spacing w:val="-1"/>
          <w:w w:val="105"/>
          <w:sz w:val="19"/>
        </w:rPr>
        <w:t> </w:t>
      </w:r>
      <w:r>
        <w:rPr>
          <w:w w:val="105"/>
          <w:sz w:val="19"/>
        </w:rPr>
        <w:t>hijo</w:t>
        <w:tab/>
        <w:t>36 años</w:t>
        <w:tab/>
        <w:t>32</w:t>
      </w:r>
      <w:r>
        <w:rPr>
          <w:spacing w:val="-2"/>
          <w:w w:val="105"/>
          <w:sz w:val="19"/>
        </w:rPr>
        <w:t> </w:t>
      </w:r>
      <w:r>
        <w:rPr>
          <w:w w:val="105"/>
          <w:sz w:val="19"/>
        </w:rPr>
        <w:t>años</w:t>
      </w:r>
    </w:p>
    <w:p>
      <w:pPr>
        <w:tabs>
          <w:tab w:pos="1994" w:val="left" w:leader="none"/>
          <w:tab w:pos="4089" w:val="right" w:leader="none"/>
        </w:tabs>
        <w:spacing w:before="12"/>
        <w:ind w:left="194" w:right="0" w:firstLine="0"/>
        <w:jc w:val="left"/>
        <w:rPr>
          <w:sz w:val="19"/>
        </w:rPr>
      </w:pPr>
      <w:r>
        <w:rPr>
          <w:w w:val="105"/>
          <w:sz w:val="19"/>
        </w:rPr>
        <w:t>Total</w:t>
      </w:r>
      <w:r>
        <w:rPr>
          <w:spacing w:val="-1"/>
          <w:w w:val="105"/>
          <w:sz w:val="19"/>
        </w:rPr>
        <w:t> </w:t>
      </w:r>
      <w:r>
        <w:rPr>
          <w:w w:val="105"/>
          <w:sz w:val="19"/>
        </w:rPr>
        <w:t>de</w:t>
      </w:r>
      <w:r>
        <w:rPr>
          <w:spacing w:val="-1"/>
          <w:w w:val="105"/>
          <w:sz w:val="19"/>
        </w:rPr>
        <w:t> </w:t>
      </w:r>
      <w:r>
        <w:rPr>
          <w:w w:val="105"/>
          <w:sz w:val="19"/>
        </w:rPr>
        <w:t>hijos</w:t>
        <w:tab/>
        <w:t>6</w:t>
        <w:tab/>
        <w:t>7</w:t>
      </w:r>
    </w:p>
    <w:p>
      <w:pPr>
        <w:spacing w:line="167" w:lineRule="exact" w:before="12"/>
        <w:ind w:left="194" w:right="242" w:firstLine="0"/>
        <w:jc w:val="left"/>
        <w:rPr>
          <w:sz w:val="19"/>
        </w:rPr>
      </w:pPr>
      <w:r>
        <w:rPr>
          <w:w w:val="105"/>
          <w:sz w:val="19"/>
        </w:rPr>
        <w:t>Actividad del</w:t>
      </w:r>
    </w:p>
    <w:p>
      <w:pPr>
        <w:tabs>
          <w:tab w:pos="1994" w:val="left" w:leader="none"/>
          <w:tab w:pos="3991" w:val="left" w:leader="none"/>
        </w:tabs>
        <w:spacing w:line="287" w:lineRule="exact" w:before="0"/>
        <w:ind w:left="194" w:right="242" w:firstLine="0"/>
        <w:jc w:val="left"/>
        <w:rPr>
          <w:sz w:val="19"/>
        </w:rPr>
      </w:pPr>
      <w:r>
        <w:rPr>
          <w:w w:val="105"/>
          <w:position w:val="-11"/>
          <w:sz w:val="19"/>
        </w:rPr>
        <w:t>cónyuge</w:t>
        <w:tab/>
      </w:r>
      <w:r>
        <w:rPr>
          <w:w w:val="105"/>
          <w:sz w:val="19"/>
        </w:rPr>
        <w:t>Chofer</w:t>
        <w:tab/>
        <w:t>Arquitecto</w:t>
      </w:r>
    </w:p>
    <w:p>
      <w:pPr>
        <w:tabs>
          <w:tab w:pos="1994" w:val="left" w:leader="none"/>
          <w:tab w:pos="3991" w:val="left" w:leader="none"/>
        </w:tabs>
        <w:spacing w:line="230" w:lineRule="exact" w:before="0"/>
        <w:ind w:left="194" w:right="1597" w:firstLine="0"/>
        <w:jc w:val="left"/>
        <w:rPr>
          <w:sz w:val="19"/>
        </w:rPr>
      </w:pPr>
      <w:r>
        <w:rPr>
          <w:w w:val="105"/>
          <w:sz w:val="19"/>
        </w:rPr>
        <w:t>Estado</w:t>
      </w:r>
      <w:r>
        <w:rPr>
          <w:spacing w:val="-1"/>
          <w:w w:val="105"/>
          <w:sz w:val="19"/>
        </w:rPr>
        <w:t> </w:t>
      </w:r>
      <w:r>
        <w:rPr>
          <w:w w:val="105"/>
          <w:sz w:val="19"/>
        </w:rPr>
        <w:t>civil</w:t>
        <w:tab/>
        <w:t>Viuda</w:t>
        <w:tab/>
        <w:t>Casada Separación,</w:t>
      </w:r>
    </w:p>
    <w:p>
      <w:pPr>
        <w:tabs>
          <w:tab w:pos="1994" w:val="left" w:leader="none"/>
          <w:tab w:pos="3991" w:val="left" w:leader="none"/>
        </w:tabs>
        <w:spacing w:line="226" w:lineRule="exact" w:before="0"/>
        <w:ind w:left="194" w:right="242" w:firstLine="0"/>
        <w:jc w:val="left"/>
        <w:rPr>
          <w:sz w:val="19"/>
        </w:rPr>
      </w:pPr>
      <w:r>
        <w:rPr>
          <w:w w:val="105"/>
          <w:sz w:val="19"/>
        </w:rPr>
        <w:t>divorcio o viudez</w:t>
        <w:tab/>
      </w:r>
      <w:r>
        <w:rPr>
          <w:w w:val="105"/>
          <w:position w:val="12"/>
          <w:sz w:val="19"/>
        </w:rPr>
        <w:t>Viuda 2002</w:t>
        <w:tab/>
        <w:t>----</w:t>
      </w:r>
    </w:p>
    <w:p>
      <w:pPr>
        <w:tabs>
          <w:tab w:pos="1994" w:val="left" w:leader="none"/>
          <w:tab w:pos="3991" w:val="left" w:leader="none"/>
        </w:tabs>
        <w:spacing w:line="220" w:lineRule="atLeast" w:before="10"/>
        <w:ind w:left="194" w:right="1556" w:firstLine="0"/>
        <w:jc w:val="left"/>
        <w:rPr>
          <w:sz w:val="19"/>
        </w:rPr>
      </w:pPr>
      <w:r>
        <w:rPr>
          <w:w w:val="105"/>
          <w:sz w:val="19"/>
        </w:rPr>
        <w:t>Edad al</w:t>
      </w:r>
      <w:r>
        <w:rPr>
          <w:spacing w:val="-1"/>
          <w:w w:val="105"/>
          <w:sz w:val="19"/>
        </w:rPr>
        <w:t> </w:t>
      </w:r>
      <w:r>
        <w:rPr>
          <w:w w:val="105"/>
          <w:sz w:val="19"/>
        </w:rPr>
        <w:t>1er</w:t>
      </w:r>
      <w:r>
        <w:rPr>
          <w:spacing w:val="-1"/>
          <w:w w:val="105"/>
          <w:sz w:val="19"/>
        </w:rPr>
        <w:t> </w:t>
      </w:r>
      <w:r>
        <w:rPr>
          <w:w w:val="105"/>
          <w:sz w:val="19"/>
        </w:rPr>
        <w:t>empleo</w:t>
        <w:tab/>
        <w:t>21años</w:t>
        <w:tab/>
        <w:t>16</w:t>
      </w:r>
      <w:r>
        <w:rPr>
          <w:spacing w:val="-2"/>
          <w:w w:val="105"/>
          <w:sz w:val="19"/>
        </w:rPr>
        <w:t> </w:t>
      </w:r>
      <w:r>
        <w:rPr>
          <w:w w:val="105"/>
          <w:sz w:val="19"/>
        </w:rPr>
        <w:t>años</w:t>
      </w:r>
      <w:r>
        <w:rPr>
          <w:spacing w:val="1"/>
          <w:w w:val="103"/>
          <w:sz w:val="19"/>
        </w:rPr>
        <w:t> </w:t>
      </w:r>
      <w:r>
        <w:rPr>
          <w:w w:val="105"/>
          <w:sz w:val="19"/>
        </w:rPr>
        <w:t>Edad al dejar</w:t>
      </w:r>
      <w:r>
        <w:rPr>
          <w:spacing w:val="-2"/>
          <w:w w:val="105"/>
          <w:sz w:val="19"/>
        </w:rPr>
        <w:t> </w:t>
      </w:r>
      <w:r>
        <w:rPr>
          <w:w w:val="105"/>
          <w:sz w:val="19"/>
        </w:rPr>
        <w:t>el</w:t>
      </w:r>
    </w:p>
    <w:p>
      <w:pPr>
        <w:tabs>
          <w:tab w:pos="1994" w:val="left" w:leader="none"/>
          <w:tab w:pos="3991" w:val="left" w:leader="none"/>
        </w:tabs>
        <w:spacing w:line="235" w:lineRule="exact" w:before="0"/>
        <w:ind w:left="194" w:right="242" w:firstLine="0"/>
        <w:jc w:val="left"/>
        <w:rPr>
          <w:sz w:val="19"/>
        </w:rPr>
      </w:pPr>
      <w:r>
        <w:rPr>
          <w:w w:val="105"/>
          <w:position w:val="-11"/>
          <w:sz w:val="19"/>
        </w:rPr>
        <w:t>último</w:t>
      </w:r>
      <w:r>
        <w:rPr>
          <w:spacing w:val="-1"/>
          <w:w w:val="105"/>
          <w:position w:val="-11"/>
          <w:sz w:val="19"/>
        </w:rPr>
        <w:t> </w:t>
      </w:r>
      <w:r>
        <w:rPr>
          <w:w w:val="105"/>
          <w:position w:val="-11"/>
          <w:sz w:val="19"/>
        </w:rPr>
        <w:t>empleo</w:t>
        <w:tab/>
      </w:r>
      <w:r>
        <w:rPr>
          <w:w w:val="105"/>
          <w:sz w:val="19"/>
        </w:rPr>
        <w:t>21años</w:t>
        <w:tab/>
        <w:t>16</w:t>
      </w:r>
      <w:r>
        <w:rPr>
          <w:spacing w:val="-2"/>
          <w:w w:val="105"/>
          <w:sz w:val="19"/>
        </w:rPr>
        <w:t> </w:t>
      </w:r>
      <w:r>
        <w:rPr>
          <w:w w:val="105"/>
          <w:sz w:val="19"/>
        </w:rPr>
        <w:t>años</w:t>
      </w:r>
    </w:p>
    <w:p>
      <w:pPr>
        <w:tabs>
          <w:tab w:pos="1994" w:val="left" w:leader="none"/>
          <w:tab w:pos="4089" w:val="right" w:leader="none"/>
        </w:tabs>
        <w:spacing w:before="7"/>
        <w:ind w:left="194" w:right="0" w:firstLine="0"/>
        <w:jc w:val="left"/>
        <w:rPr>
          <w:sz w:val="19"/>
        </w:rPr>
      </w:pPr>
      <w:r>
        <w:rPr>
          <w:w w:val="105"/>
          <w:sz w:val="19"/>
        </w:rPr>
        <w:t>Años</w:t>
      </w:r>
      <w:r>
        <w:rPr>
          <w:spacing w:val="-2"/>
          <w:w w:val="105"/>
          <w:sz w:val="19"/>
        </w:rPr>
        <w:t> </w:t>
      </w:r>
      <w:r>
        <w:rPr>
          <w:w w:val="105"/>
          <w:sz w:val="19"/>
        </w:rPr>
        <w:t>laborados</w:t>
        <w:tab/>
        <w:t>4</w:t>
        <w:tab/>
        <w:t>1</w:t>
      </w:r>
    </w:p>
    <w:p>
      <w:pPr>
        <w:spacing w:after="0"/>
        <w:jc w:val="left"/>
        <w:rPr>
          <w:sz w:val="19"/>
        </w:rPr>
        <w:sectPr>
          <w:pgSz w:w="7770" w:h="11740"/>
          <w:pgMar w:header="0" w:footer="474" w:top="1080" w:bottom="740" w:left="660" w:right="940"/>
        </w:sectPr>
      </w:pPr>
    </w:p>
    <w:p>
      <w:pPr>
        <w:tabs>
          <w:tab w:pos="1994" w:val="left" w:leader="none"/>
        </w:tabs>
        <w:spacing w:before="12"/>
        <w:ind w:left="194" w:right="0" w:firstLine="0"/>
        <w:jc w:val="left"/>
        <w:rPr>
          <w:sz w:val="19"/>
        </w:rPr>
      </w:pPr>
      <w:r>
        <w:rPr>
          <w:w w:val="105"/>
          <w:sz w:val="19"/>
        </w:rPr>
        <w:t>Actividad</w:t>
      </w:r>
      <w:r>
        <w:rPr>
          <w:spacing w:val="-1"/>
          <w:w w:val="105"/>
          <w:sz w:val="19"/>
        </w:rPr>
        <w:t> </w:t>
      </w:r>
      <w:r>
        <w:rPr>
          <w:w w:val="105"/>
          <w:sz w:val="19"/>
        </w:rPr>
        <w:t>actual</w:t>
        <w:tab/>
        <w:t>Ama de casa.</w:t>
      </w:r>
      <w:r>
        <w:rPr>
          <w:spacing w:val="-5"/>
          <w:w w:val="105"/>
          <w:sz w:val="19"/>
        </w:rPr>
        <w:t> </w:t>
      </w:r>
      <w:r>
        <w:rPr>
          <w:w w:val="105"/>
          <w:sz w:val="19"/>
        </w:rPr>
        <w:t>Acude</w:t>
      </w:r>
    </w:p>
    <w:p>
      <w:pPr>
        <w:spacing w:line="252" w:lineRule="auto" w:before="12"/>
        <w:ind w:left="1994" w:right="-16" w:firstLine="0"/>
        <w:jc w:val="left"/>
        <w:rPr>
          <w:sz w:val="19"/>
        </w:rPr>
      </w:pPr>
      <w:r>
        <w:rPr>
          <w:w w:val="105"/>
          <w:sz w:val="19"/>
        </w:rPr>
        <w:t>a algunas actividades recreativas y en ocasiones viaja con una de sus hermanas</w:t>
      </w:r>
    </w:p>
    <w:p>
      <w:pPr>
        <w:spacing w:line="252" w:lineRule="auto" w:before="12"/>
        <w:ind w:left="194" w:right="125" w:firstLine="0"/>
        <w:jc w:val="left"/>
        <w:rPr>
          <w:sz w:val="19"/>
        </w:rPr>
      </w:pPr>
      <w:r>
        <w:rPr/>
        <w:br w:type="column"/>
      </w:r>
      <w:r>
        <w:rPr>
          <w:w w:val="105"/>
          <w:sz w:val="19"/>
        </w:rPr>
        <w:t>Labores domésticas y cuida a su nieta por las tardes. Tiene actividades comunitarias en la iglesia</w:t>
      </w:r>
    </w:p>
    <w:p>
      <w:pPr>
        <w:spacing w:after="0" w:line="252" w:lineRule="auto"/>
        <w:jc w:val="left"/>
        <w:rPr>
          <w:sz w:val="19"/>
        </w:rPr>
        <w:sectPr>
          <w:type w:val="continuous"/>
          <w:pgSz w:w="7770" w:h="11740"/>
          <w:pgMar w:top="0" w:bottom="0" w:left="660" w:right="940"/>
          <w:cols w:num="2" w:equalWidth="0">
            <w:col w:w="3694" w:space="103"/>
            <w:col w:w="2373"/>
          </w:cols>
        </w:sectPr>
      </w:pPr>
    </w:p>
    <w:p>
      <w:pPr>
        <w:tabs>
          <w:tab w:pos="1994" w:val="left" w:leader="none"/>
          <w:tab w:pos="3991" w:val="left" w:leader="none"/>
        </w:tabs>
        <w:spacing w:before="1"/>
        <w:ind w:left="194" w:right="242" w:firstLine="0"/>
        <w:jc w:val="left"/>
        <w:rPr>
          <w:sz w:val="19"/>
        </w:rPr>
      </w:pPr>
      <w:r>
        <w:rPr>
          <w:w w:val="105"/>
          <w:sz w:val="19"/>
        </w:rPr>
        <w:t>Número</w:t>
      </w:r>
      <w:r>
        <w:rPr>
          <w:spacing w:val="-2"/>
          <w:w w:val="105"/>
          <w:sz w:val="19"/>
        </w:rPr>
        <w:t> </w:t>
      </w:r>
      <w:r>
        <w:rPr>
          <w:w w:val="105"/>
          <w:sz w:val="19"/>
        </w:rPr>
        <w:t>de</w:t>
      </w:r>
      <w:r>
        <w:rPr>
          <w:spacing w:val="-2"/>
          <w:w w:val="105"/>
          <w:sz w:val="19"/>
        </w:rPr>
        <w:t> </w:t>
      </w:r>
      <w:r>
        <w:rPr>
          <w:w w:val="105"/>
          <w:sz w:val="19"/>
        </w:rPr>
        <w:t>nietos</w:t>
        <w:tab/>
        <w:t>9</w:t>
        <w:tab/>
        <w:t>6 y un</w:t>
      </w:r>
      <w:r>
        <w:rPr>
          <w:spacing w:val="-5"/>
          <w:w w:val="105"/>
          <w:sz w:val="19"/>
        </w:rPr>
        <w:t> </w:t>
      </w:r>
      <w:r>
        <w:rPr>
          <w:w w:val="105"/>
          <w:sz w:val="19"/>
        </w:rPr>
        <w:t>bisnieto</w:t>
      </w:r>
    </w:p>
    <w:p>
      <w:pPr>
        <w:spacing w:after="0"/>
        <w:jc w:val="left"/>
        <w:rPr>
          <w:sz w:val="19"/>
        </w:rPr>
        <w:sectPr>
          <w:type w:val="continuous"/>
          <w:pgSz w:w="7770" w:h="11740"/>
          <w:pgMar w:top="0" w:bottom="0" w:left="660" w:right="940"/>
        </w:sectPr>
      </w:pPr>
    </w:p>
    <w:p>
      <w:pPr>
        <w:tabs>
          <w:tab w:pos="1994" w:val="left" w:leader="none"/>
        </w:tabs>
        <w:spacing w:line="252" w:lineRule="auto" w:before="12"/>
        <w:ind w:left="1994" w:right="0" w:hanging="1800"/>
        <w:jc w:val="left"/>
        <w:rPr>
          <w:sz w:val="19"/>
        </w:rPr>
      </w:pPr>
      <w:r>
        <w:rPr>
          <w:w w:val="105"/>
          <w:sz w:val="19"/>
        </w:rPr>
        <w:t>Corresidentes</w:t>
        <w:tab/>
        <w:t>En la</w:t>
      </w:r>
      <w:r>
        <w:rPr>
          <w:spacing w:val="-2"/>
          <w:w w:val="105"/>
          <w:sz w:val="19"/>
        </w:rPr>
        <w:t> </w:t>
      </w:r>
      <w:r>
        <w:rPr>
          <w:w w:val="105"/>
          <w:sz w:val="19"/>
        </w:rPr>
        <w:t>misma</w:t>
      </w:r>
      <w:r>
        <w:rPr>
          <w:spacing w:val="-2"/>
          <w:w w:val="105"/>
          <w:sz w:val="19"/>
        </w:rPr>
        <w:t> </w:t>
      </w:r>
      <w:r>
        <w:rPr>
          <w:w w:val="105"/>
          <w:sz w:val="19"/>
        </w:rPr>
        <w:t>casa</w:t>
      </w:r>
      <w:r>
        <w:rPr>
          <w:spacing w:val="1"/>
          <w:w w:val="103"/>
          <w:sz w:val="19"/>
        </w:rPr>
        <w:t> </w:t>
      </w:r>
      <w:r>
        <w:rPr>
          <w:w w:val="105"/>
          <w:sz w:val="19"/>
        </w:rPr>
        <w:t>nadie. En el mismo terreno pero en otros cuartos cinco hijos, dos mujeres casadas, una madre soltera y dos hombres con sus esposas</w:t>
      </w:r>
    </w:p>
    <w:p>
      <w:pPr>
        <w:spacing w:line="252" w:lineRule="auto" w:before="12"/>
        <w:ind w:left="194" w:right="137" w:firstLine="0"/>
        <w:jc w:val="left"/>
        <w:rPr>
          <w:sz w:val="19"/>
        </w:rPr>
      </w:pPr>
      <w:r>
        <w:rPr/>
        <w:br w:type="column"/>
      </w:r>
      <w:r>
        <w:rPr>
          <w:w w:val="105"/>
          <w:sz w:val="19"/>
        </w:rPr>
        <w:t>Su esposo y temporalmente una hija y su nieta, pero ellos (la pareja) pronto se mudarán a</w:t>
      </w:r>
      <w:r>
        <w:rPr>
          <w:spacing w:val="-4"/>
          <w:w w:val="105"/>
          <w:sz w:val="19"/>
        </w:rPr>
        <w:t> </w:t>
      </w:r>
      <w:r>
        <w:rPr>
          <w:w w:val="105"/>
          <w:sz w:val="19"/>
        </w:rPr>
        <w:t>Oaxtepec</w:t>
      </w:r>
    </w:p>
    <w:p>
      <w:pPr>
        <w:spacing w:after="0" w:line="252" w:lineRule="auto"/>
        <w:jc w:val="left"/>
        <w:rPr>
          <w:sz w:val="19"/>
        </w:rPr>
        <w:sectPr>
          <w:type w:val="continuous"/>
          <w:pgSz w:w="7770" w:h="11740"/>
          <w:pgMar w:top="0" w:bottom="0" w:left="660" w:right="940"/>
          <w:cols w:num="2" w:equalWidth="0">
            <w:col w:w="3665" w:space="131"/>
            <w:col w:w="2374"/>
          </w:cols>
        </w:sectPr>
      </w:pPr>
    </w:p>
    <w:p>
      <w:pPr>
        <w:spacing w:line="252" w:lineRule="auto" w:before="1"/>
        <w:ind w:left="194" w:right="-17" w:firstLine="0"/>
        <w:jc w:val="left"/>
        <w:rPr>
          <w:sz w:val="19"/>
        </w:rPr>
      </w:pPr>
      <w:r>
        <w:rPr>
          <w:w w:val="105"/>
          <w:sz w:val="19"/>
        </w:rPr>
        <w:t>Parientes con los que más tiene relación</w:t>
      </w:r>
    </w:p>
    <w:p>
      <w:pPr>
        <w:spacing w:line="252" w:lineRule="auto" w:before="116"/>
        <w:ind w:left="194" w:right="-17" w:firstLine="0"/>
        <w:jc w:val="left"/>
        <w:rPr>
          <w:sz w:val="19"/>
        </w:rPr>
      </w:pPr>
      <w:r>
        <w:rPr/>
        <w:br w:type="column"/>
      </w:r>
      <w:r>
        <w:rPr>
          <w:w w:val="105"/>
          <w:sz w:val="19"/>
        </w:rPr>
        <w:t>Una hija, una nieta y su hermana</w:t>
      </w:r>
    </w:p>
    <w:p>
      <w:pPr>
        <w:spacing w:before="232"/>
        <w:ind w:left="194" w:right="125" w:firstLine="0"/>
        <w:jc w:val="left"/>
        <w:rPr>
          <w:sz w:val="19"/>
        </w:rPr>
      </w:pPr>
      <w:r>
        <w:rPr/>
        <w:br w:type="column"/>
      </w:r>
      <w:r>
        <w:rPr>
          <w:w w:val="105"/>
          <w:sz w:val="19"/>
        </w:rPr>
        <w:t>Su esposo</w:t>
      </w:r>
    </w:p>
    <w:p>
      <w:pPr>
        <w:spacing w:after="0"/>
        <w:jc w:val="left"/>
        <w:rPr>
          <w:sz w:val="19"/>
        </w:rPr>
        <w:sectPr>
          <w:type w:val="continuous"/>
          <w:pgSz w:w="7770" w:h="11740"/>
          <w:pgMar w:top="0" w:bottom="0" w:left="660" w:right="940"/>
          <w:cols w:num="3" w:equalWidth="0">
            <w:col w:w="1549" w:space="251"/>
            <w:col w:w="1854" w:space="143"/>
            <w:col w:w="2373"/>
          </w:cols>
        </w:sectPr>
      </w:pPr>
    </w:p>
    <w:p>
      <w:pPr>
        <w:tabs>
          <w:tab w:pos="1994" w:val="left" w:leader="none"/>
        </w:tabs>
        <w:spacing w:line="122" w:lineRule="auto" w:before="88"/>
        <w:ind w:left="1994" w:right="2988" w:hanging="1801"/>
        <w:jc w:val="left"/>
        <w:rPr>
          <w:sz w:val="19"/>
        </w:rPr>
      </w:pPr>
      <w:r>
        <w:rPr/>
        <w:pict>
          <v:shape style="position:absolute;margin-left:232.578903pt;margin-top:6.765274pt;width:36.1pt;height:9.85pt;mso-position-horizontal-relative:page;mso-position-vertical-relative:paragraph;z-index:8176" type="#_x0000_t202" filled="false" stroked="false">
            <v:textbox inset="0,0,0,0">
              <w:txbxContent>
                <w:p>
                  <w:pPr>
                    <w:spacing w:line="197" w:lineRule="exact" w:before="0"/>
                    <w:ind w:left="0" w:right="-19" w:firstLine="0"/>
                    <w:jc w:val="left"/>
                    <w:rPr>
                      <w:sz w:val="19"/>
                    </w:rPr>
                  </w:pPr>
                  <w:r>
                    <w:rPr>
                      <w:w w:val="105"/>
                      <w:sz w:val="19"/>
                    </w:rPr>
                    <w:t>Nerviosa</w:t>
                  </w:r>
                </w:p>
              </w:txbxContent>
            </v:textbox>
            <w10:wrap type="none"/>
          </v:shape>
        </w:pict>
      </w:r>
      <w:r>
        <w:rPr>
          <w:w w:val="105"/>
          <w:position w:val="-11"/>
          <w:sz w:val="19"/>
        </w:rPr>
        <w:t>Enfermedades</w:t>
        <w:tab/>
      </w:r>
      <w:r>
        <w:rPr>
          <w:w w:val="105"/>
          <w:sz w:val="19"/>
        </w:rPr>
        <w:t>Hipertensión</w:t>
      </w:r>
      <w:r>
        <w:rPr>
          <w:spacing w:val="-5"/>
          <w:w w:val="105"/>
          <w:sz w:val="19"/>
        </w:rPr>
        <w:t> </w:t>
      </w:r>
      <w:r>
        <w:rPr>
          <w:w w:val="105"/>
          <w:sz w:val="19"/>
        </w:rPr>
        <w:t>y</w:t>
      </w:r>
      <w:r>
        <w:rPr>
          <w:w w:val="103"/>
          <w:sz w:val="19"/>
        </w:rPr>
        <w:t> </w:t>
      </w:r>
      <w:r>
        <w:rPr>
          <w:w w:val="105"/>
          <w:sz w:val="19"/>
        </w:rPr>
        <w:t>respiratoria</w:t>
      </w:r>
    </w:p>
    <w:p>
      <w:pPr>
        <w:spacing w:before="36"/>
        <w:ind w:left="194" w:right="242" w:firstLine="0"/>
        <w:jc w:val="left"/>
        <w:rPr>
          <w:sz w:val="16"/>
        </w:rPr>
      </w:pPr>
      <w:r>
        <w:rPr/>
        <w:pict>
          <v:shape style="position:absolute;margin-left:38.252998pt;margin-top:1.588247pt;width:297.7pt;height:.1pt;mso-position-horizontal-relative:page;mso-position-vertical-relative:paragraph;z-index:8152" coordorigin="765,32" coordsize="5954,0" path="m765,32l2544,32m2544,32l2554,32m2554,32l4541,32m4541,32l4551,32m4551,32l6718,32e" filled="false" stroked="true" strokeweight=".48pt" strokecolor="#000000">
            <v:path arrowok="t"/>
            <w10:wrap type="none"/>
          </v:shape>
        </w:pict>
      </w:r>
      <w:r>
        <w:rPr>
          <w:sz w:val="16"/>
        </w:rPr>
        <w:t>Fuente: elaborado con información obtenida en trabajo de campo.</w:t>
      </w:r>
    </w:p>
    <w:p>
      <w:pPr>
        <w:spacing w:after="0"/>
        <w:jc w:val="left"/>
        <w:rPr>
          <w:sz w:val="16"/>
        </w:rPr>
        <w:sectPr>
          <w:type w:val="continuous"/>
          <w:pgSz w:w="7770" w:h="11740"/>
          <w:pgMar w:top="0" w:bottom="0" w:left="660" w:right="940"/>
        </w:sectPr>
      </w:pPr>
    </w:p>
    <w:p>
      <w:pPr>
        <w:spacing w:before="70"/>
        <w:ind w:left="202" w:right="0" w:firstLine="0"/>
        <w:jc w:val="left"/>
        <w:rPr>
          <w:sz w:val="19"/>
        </w:rPr>
      </w:pPr>
      <w:r>
        <w:rPr>
          <w:w w:val="105"/>
          <w:sz w:val="19"/>
        </w:rPr>
        <w:t>Cuadro 1b. Mujeres sin trayectoria laboral prolongada (continuación)</w:t>
      </w:r>
    </w:p>
    <w:p>
      <w:pPr>
        <w:pStyle w:val="BodyText"/>
      </w:pPr>
    </w:p>
    <w:p>
      <w:pPr>
        <w:pStyle w:val="BodyText"/>
      </w:pPr>
    </w:p>
    <w:p>
      <w:pPr>
        <w:pStyle w:val="BodyText"/>
      </w:pPr>
    </w:p>
    <w:p>
      <w:pPr>
        <w:pStyle w:val="BodyText"/>
        <w:spacing w:before="9"/>
        <w:rPr>
          <w:sz w:val="17"/>
        </w:rPr>
      </w:pPr>
    </w:p>
    <w:p>
      <w:pPr>
        <w:spacing w:before="0"/>
        <w:ind w:left="2002" w:right="0" w:firstLine="0"/>
        <w:jc w:val="left"/>
        <w:rPr>
          <w:sz w:val="19"/>
        </w:rPr>
      </w:pPr>
      <w:r>
        <w:rPr/>
        <w:pict>
          <v:shape style="position:absolute;margin-left:56.693001pt;margin-top:-41.054855pt;width:297.650pt;height:92.2pt;mso-position-horizontal-relative:page;mso-position-vertical-relative:paragraph;z-index:822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6"/>
                    <w:gridCol w:w="1592"/>
                    <w:gridCol w:w="2594"/>
                  </w:tblGrid>
                  <w:tr>
                    <w:trPr>
                      <w:trHeight w:val="240" w:hRule="exact"/>
                    </w:trPr>
                    <w:tc>
                      <w:tcPr>
                        <w:tcW w:w="1766" w:type="dxa"/>
                        <w:tcBorders>
                          <w:left w:val="nil"/>
                          <w:right w:val="nil"/>
                        </w:tcBorders>
                      </w:tcPr>
                      <w:p>
                        <w:pPr/>
                      </w:p>
                    </w:tc>
                    <w:tc>
                      <w:tcPr>
                        <w:tcW w:w="1592" w:type="dxa"/>
                        <w:tcBorders>
                          <w:left w:val="nil"/>
                          <w:right w:val="nil"/>
                        </w:tcBorders>
                      </w:tcPr>
                      <w:p>
                        <w:pPr>
                          <w:pStyle w:val="TableParagraph"/>
                          <w:spacing w:before="5"/>
                          <w:ind w:left="122"/>
                          <w:jc w:val="left"/>
                          <w:rPr>
                            <w:sz w:val="19"/>
                          </w:rPr>
                        </w:pPr>
                        <w:r>
                          <w:rPr>
                            <w:w w:val="105"/>
                            <w:sz w:val="19"/>
                          </w:rPr>
                          <w:t>Juana</w:t>
                        </w:r>
                      </w:p>
                    </w:tc>
                    <w:tc>
                      <w:tcPr>
                        <w:tcW w:w="2594" w:type="dxa"/>
                        <w:tcBorders>
                          <w:left w:val="nil"/>
                          <w:right w:val="nil"/>
                        </w:tcBorders>
                      </w:tcPr>
                      <w:p>
                        <w:pPr>
                          <w:pStyle w:val="TableParagraph"/>
                          <w:spacing w:before="5"/>
                          <w:ind w:left="325"/>
                          <w:jc w:val="left"/>
                          <w:rPr>
                            <w:sz w:val="19"/>
                          </w:rPr>
                        </w:pPr>
                        <w:r>
                          <w:rPr>
                            <w:w w:val="105"/>
                            <w:sz w:val="19"/>
                          </w:rPr>
                          <w:t>Toña</w:t>
                        </w:r>
                      </w:p>
                    </w:tc>
                  </w:tr>
                  <w:tr>
                    <w:trPr>
                      <w:trHeight w:val="242" w:hRule="exact"/>
                    </w:trPr>
                    <w:tc>
                      <w:tcPr>
                        <w:tcW w:w="1766" w:type="dxa"/>
                        <w:tcBorders>
                          <w:left w:val="nil"/>
                          <w:bottom w:val="nil"/>
                          <w:right w:val="nil"/>
                        </w:tcBorders>
                      </w:tcPr>
                      <w:p>
                        <w:pPr>
                          <w:pStyle w:val="TableParagraph"/>
                          <w:spacing w:before="5"/>
                          <w:ind w:left="89"/>
                          <w:jc w:val="left"/>
                          <w:rPr>
                            <w:sz w:val="19"/>
                          </w:rPr>
                        </w:pPr>
                        <w:r>
                          <w:rPr>
                            <w:w w:val="105"/>
                            <w:sz w:val="19"/>
                          </w:rPr>
                          <w:t>Edad</w:t>
                        </w:r>
                      </w:p>
                    </w:tc>
                    <w:tc>
                      <w:tcPr>
                        <w:tcW w:w="1592" w:type="dxa"/>
                        <w:tcBorders>
                          <w:left w:val="nil"/>
                          <w:bottom w:val="nil"/>
                          <w:right w:val="nil"/>
                        </w:tcBorders>
                      </w:tcPr>
                      <w:p>
                        <w:pPr>
                          <w:pStyle w:val="TableParagraph"/>
                          <w:spacing w:before="5"/>
                          <w:ind w:left="122"/>
                          <w:jc w:val="left"/>
                          <w:rPr>
                            <w:sz w:val="19"/>
                          </w:rPr>
                        </w:pPr>
                        <w:r>
                          <w:rPr>
                            <w:w w:val="105"/>
                            <w:sz w:val="19"/>
                          </w:rPr>
                          <w:t>65 años</w:t>
                        </w:r>
                      </w:p>
                    </w:tc>
                    <w:tc>
                      <w:tcPr>
                        <w:tcW w:w="2594" w:type="dxa"/>
                        <w:tcBorders>
                          <w:left w:val="nil"/>
                          <w:bottom w:val="nil"/>
                          <w:right w:val="nil"/>
                        </w:tcBorders>
                      </w:tcPr>
                      <w:p>
                        <w:pPr>
                          <w:pStyle w:val="TableParagraph"/>
                          <w:spacing w:before="5"/>
                          <w:ind w:left="325"/>
                          <w:jc w:val="left"/>
                          <w:rPr>
                            <w:sz w:val="19"/>
                          </w:rPr>
                        </w:pPr>
                        <w:r>
                          <w:rPr>
                            <w:w w:val="105"/>
                            <w:sz w:val="19"/>
                          </w:rPr>
                          <w:t>83 años</w:t>
                        </w:r>
                      </w:p>
                    </w:tc>
                  </w:tr>
                  <w:tr>
                    <w:trPr>
                      <w:trHeight w:val="214" w:hRule="exact"/>
                    </w:trPr>
                    <w:tc>
                      <w:tcPr>
                        <w:tcW w:w="1766" w:type="dxa"/>
                        <w:tcBorders>
                          <w:top w:val="nil"/>
                          <w:left w:val="nil"/>
                          <w:bottom w:val="nil"/>
                          <w:right w:val="nil"/>
                        </w:tcBorders>
                      </w:tcPr>
                      <w:p>
                        <w:pPr>
                          <w:pStyle w:val="TableParagraph"/>
                          <w:spacing w:line="216" w:lineRule="exact"/>
                          <w:ind w:left="89"/>
                          <w:jc w:val="left"/>
                          <w:rPr>
                            <w:sz w:val="19"/>
                          </w:rPr>
                        </w:pPr>
                        <w:r>
                          <w:rPr>
                            <w:w w:val="105"/>
                            <w:sz w:val="19"/>
                          </w:rPr>
                          <w:t>Escolaridad</w:t>
                        </w:r>
                      </w:p>
                    </w:tc>
                    <w:tc>
                      <w:tcPr>
                        <w:tcW w:w="1592" w:type="dxa"/>
                        <w:tcBorders>
                          <w:top w:val="nil"/>
                          <w:left w:val="nil"/>
                          <w:bottom w:val="nil"/>
                          <w:right w:val="nil"/>
                        </w:tcBorders>
                      </w:tcPr>
                      <w:p>
                        <w:pPr>
                          <w:pStyle w:val="TableParagraph"/>
                          <w:spacing w:line="216" w:lineRule="exact"/>
                          <w:ind w:left="122"/>
                          <w:jc w:val="left"/>
                          <w:rPr>
                            <w:sz w:val="19"/>
                          </w:rPr>
                        </w:pPr>
                        <w:r>
                          <w:rPr>
                            <w:w w:val="105"/>
                            <w:sz w:val="19"/>
                          </w:rPr>
                          <w:t>3° de primaria</w:t>
                        </w:r>
                      </w:p>
                    </w:tc>
                    <w:tc>
                      <w:tcPr>
                        <w:tcW w:w="2594" w:type="dxa"/>
                        <w:tcBorders>
                          <w:top w:val="nil"/>
                          <w:left w:val="nil"/>
                          <w:bottom w:val="nil"/>
                          <w:right w:val="nil"/>
                        </w:tcBorders>
                      </w:tcPr>
                      <w:p>
                        <w:pPr>
                          <w:pStyle w:val="TableParagraph"/>
                          <w:spacing w:line="216" w:lineRule="exact"/>
                          <w:ind w:left="325"/>
                          <w:jc w:val="left"/>
                          <w:rPr>
                            <w:sz w:val="19"/>
                          </w:rPr>
                        </w:pPr>
                        <w:r>
                          <w:rPr>
                            <w:w w:val="105"/>
                            <w:sz w:val="19"/>
                          </w:rPr>
                          <w:t>Escribe su nombre</w:t>
                        </w:r>
                      </w:p>
                    </w:tc>
                  </w:tr>
                  <w:tr>
                    <w:trPr>
                      <w:trHeight w:val="245" w:hRule="exact"/>
                    </w:trPr>
                    <w:tc>
                      <w:tcPr>
                        <w:tcW w:w="5953" w:type="dxa"/>
                        <w:gridSpan w:val="3"/>
                        <w:tcBorders>
                          <w:top w:val="nil"/>
                          <w:left w:val="nil"/>
                          <w:bottom w:val="nil"/>
                          <w:right w:val="nil"/>
                        </w:tcBorders>
                      </w:tcPr>
                      <w:p>
                        <w:pPr>
                          <w:pStyle w:val="TableParagraph"/>
                          <w:tabs>
                            <w:tab w:pos="3684" w:val="left" w:leader="none"/>
                          </w:tabs>
                          <w:spacing w:before="14"/>
                          <w:ind w:left="89"/>
                          <w:jc w:val="left"/>
                          <w:rPr>
                            <w:sz w:val="19"/>
                          </w:rPr>
                        </w:pPr>
                        <w:r>
                          <w:rPr>
                            <w:w w:val="105"/>
                            <w:sz w:val="19"/>
                          </w:rPr>
                          <w:t>Edad de</w:t>
                          <w:tab/>
                          <w:t>1° 20</w:t>
                        </w:r>
                        <w:r>
                          <w:rPr>
                            <w:spacing w:val="-2"/>
                            <w:w w:val="105"/>
                            <w:sz w:val="19"/>
                          </w:rPr>
                          <w:t> </w:t>
                        </w:r>
                        <w:r>
                          <w:rPr>
                            <w:w w:val="105"/>
                            <w:sz w:val="19"/>
                          </w:rPr>
                          <w:t>años</w:t>
                        </w:r>
                      </w:p>
                    </w:tc>
                  </w:tr>
                  <w:tr>
                    <w:trPr>
                      <w:trHeight w:val="228" w:hRule="exact"/>
                    </w:trPr>
                    <w:tc>
                      <w:tcPr>
                        <w:tcW w:w="1766" w:type="dxa"/>
                        <w:tcBorders>
                          <w:top w:val="nil"/>
                          <w:left w:val="nil"/>
                          <w:bottom w:val="nil"/>
                          <w:right w:val="nil"/>
                        </w:tcBorders>
                      </w:tcPr>
                      <w:p>
                        <w:pPr>
                          <w:pStyle w:val="TableParagraph"/>
                          <w:spacing w:line="199" w:lineRule="exact"/>
                          <w:ind w:left="89"/>
                          <w:jc w:val="left"/>
                          <w:rPr>
                            <w:sz w:val="19"/>
                          </w:rPr>
                        </w:pPr>
                        <w:r>
                          <w:rPr>
                            <w:w w:val="105"/>
                            <w:sz w:val="19"/>
                          </w:rPr>
                          <w:t>casamiento o unión</w:t>
                        </w:r>
                      </w:p>
                    </w:tc>
                    <w:tc>
                      <w:tcPr>
                        <w:tcW w:w="1592" w:type="dxa"/>
                        <w:tcBorders>
                          <w:top w:val="nil"/>
                          <w:left w:val="nil"/>
                          <w:bottom w:val="nil"/>
                          <w:right w:val="nil"/>
                        </w:tcBorders>
                      </w:tcPr>
                      <w:p>
                        <w:pPr/>
                      </w:p>
                    </w:tc>
                    <w:tc>
                      <w:tcPr>
                        <w:tcW w:w="2594" w:type="dxa"/>
                        <w:tcBorders>
                          <w:top w:val="nil"/>
                          <w:left w:val="nil"/>
                          <w:bottom w:val="nil"/>
                          <w:right w:val="nil"/>
                        </w:tcBorders>
                      </w:tcPr>
                      <w:p>
                        <w:pPr>
                          <w:pStyle w:val="TableParagraph"/>
                          <w:spacing w:line="199" w:lineRule="exact"/>
                          <w:ind w:left="325"/>
                          <w:jc w:val="left"/>
                          <w:rPr>
                            <w:sz w:val="19"/>
                          </w:rPr>
                        </w:pPr>
                        <w:r>
                          <w:rPr>
                            <w:w w:val="105"/>
                            <w:sz w:val="19"/>
                          </w:rPr>
                          <w:t>2° 40 años</w:t>
                        </w:r>
                      </w:p>
                    </w:tc>
                  </w:tr>
                  <w:tr>
                    <w:trPr>
                      <w:trHeight w:val="230" w:hRule="exact"/>
                    </w:trPr>
                    <w:tc>
                      <w:tcPr>
                        <w:tcW w:w="1766" w:type="dxa"/>
                        <w:tcBorders>
                          <w:top w:val="nil"/>
                          <w:left w:val="nil"/>
                          <w:bottom w:val="nil"/>
                          <w:right w:val="nil"/>
                        </w:tcBorders>
                      </w:tcPr>
                      <w:p>
                        <w:pPr>
                          <w:pStyle w:val="TableParagraph"/>
                          <w:spacing w:line="216" w:lineRule="exact"/>
                          <w:ind w:left="89"/>
                          <w:jc w:val="left"/>
                          <w:rPr>
                            <w:sz w:val="19"/>
                          </w:rPr>
                        </w:pPr>
                        <w:r>
                          <w:rPr>
                            <w:w w:val="105"/>
                            <w:sz w:val="19"/>
                          </w:rPr>
                          <w:t>Edad al 1er hijo</w:t>
                        </w:r>
                      </w:p>
                    </w:tc>
                    <w:tc>
                      <w:tcPr>
                        <w:tcW w:w="1592" w:type="dxa"/>
                        <w:tcBorders>
                          <w:top w:val="nil"/>
                          <w:left w:val="nil"/>
                          <w:bottom w:val="nil"/>
                          <w:right w:val="nil"/>
                        </w:tcBorders>
                      </w:tcPr>
                      <w:p>
                        <w:pPr>
                          <w:pStyle w:val="TableParagraph"/>
                          <w:spacing w:line="216" w:lineRule="exact"/>
                          <w:ind w:left="122"/>
                          <w:jc w:val="left"/>
                          <w:rPr>
                            <w:sz w:val="19"/>
                          </w:rPr>
                        </w:pPr>
                        <w:r>
                          <w:rPr>
                            <w:w w:val="105"/>
                            <w:sz w:val="19"/>
                          </w:rPr>
                          <w:t>20 años</w:t>
                        </w:r>
                      </w:p>
                    </w:tc>
                    <w:tc>
                      <w:tcPr>
                        <w:tcW w:w="2594" w:type="dxa"/>
                        <w:tcBorders>
                          <w:top w:val="nil"/>
                          <w:left w:val="nil"/>
                          <w:bottom w:val="nil"/>
                          <w:right w:val="nil"/>
                        </w:tcBorders>
                      </w:tcPr>
                      <w:p>
                        <w:pPr>
                          <w:pStyle w:val="TableParagraph"/>
                          <w:spacing w:line="216" w:lineRule="exact"/>
                          <w:ind w:left="325"/>
                          <w:jc w:val="left"/>
                          <w:rPr>
                            <w:sz w:val="19"/>
                          </w:rPr>
                        </w:pPr>
                        <w:r>
                          <w:rPr>
                            <w:w w:val="105"/>
                            <w:sz w:val="19"/>
                          </w:rPr>
                          <w:t>21 años</w:t>
                        </w:r>
                      </w:p>
                    </w:tc>
                  </w:tr>
                  <w:tr>
                    <w:trPr>
                      <w:trHeight w:val="230" w:hRule="exact"/>
                    </w:trPr>
                    <w:tc>
                      <w:tcPr>
                        <w:tcW w:w="1766" w:type="dxa"/>
                        <w:tcBorders>
                          <w:top w:val="nil"/>
                          <w:left w:val="nil"/>
                          <w:bottom w:val="nil"/>
                          <w:right w:val="nil"/>
                        </w:tcBorders>
                      </w:tcPr>
                      <w:p>
                        <w:pPr>
                          <w:pStyle w:val="TableParagraph"/>
                          <w:spacing w:line="216" w:lineRule="exact"/>
                          <w:ind w:left="89"/>
                          <w:jc w:val="left"/>
                          <w:rPr>
                            <w:sz w:val="19"/>
                          </w:rPr>
                        </w:pPr>
                        <w:r>
                          <w:rPr>
                            <w:w w:val="105"/>
                            <w:sz w:val="19"/>
                          </w:rPr>
                          <w:t>Edad al último hijo</w:t>
                        </w:r>
                      </w:p>
                    </w:tc>
                    <w:tc>
                      <w:tcPr>
                        <w:tcW w:w="1592" w:type="dxa"/>
                        <w:tcBorders>
                          <w:top w:val="nil"/>
                          <w:left w:val="nil"/>
                          <w:bottom w:val="nil"/>
                          <w:right w:val="nil"/>
                        </w:tcBorders>
                      </w:tcPr>
                      <w:p>
                        <w:pPr>
                          <w:pStyle w:val="TableParagraph"/>
                          <w:spacing w:line="216" w:lineRule="exact"/>
                          <w:ind w:left="122"/>
                          <w:jc w:val="left"/>
                          <w:rPr>
                            <w:sz w:val="19"/>
                          </w:rPr>
                        </w:pPr>
                        <w:r>
                          <w:rPr>
                            <w:w w:val="105"/>
                            <w:sz w:val="19"/>
                          </w:rPr>
                          <w:t>37 años</w:t>
                        </w:r>
                      </w:p>
                    </w:tc>
                    <w:tc>
                      <w:tcPr>
                        <w:tcW w:w="2594" w:type="dxa"/>
                        <w:tcBorders>
                          <w:top w:val="nil"/>
                          <w:left w:val="nil"/>
                          <w:bottom w:val="nil"/>
                          <w:right w:val="nil"/>
                        </w:tcBorders>
                      </w:tcPr>
                      <w:p>
                        <w:pPr>
                          <w:pStyle w:val="TableParagraph"/>
                          <w:spacing w:line="216" w:lineRule="exact"/>
                          <w:ind w:left="325"/>
                          <w:jc w:val="left"/>
                          <w:rPr>
                            <w:sz w:val="19"/>
                          </w:rPr>
                        </w:pPr>
                        <w:r>
                          <w:rPr>
                            <w:w w:val="105"/>
                            <w:sz w:val="19"/>
                          </w:rPr>
                          <w:t>51 años</w:t>
                        </w:r>
                      </w:p>
                    </w:tc>
                  </w:tr>
                  <w:tr>
                    <w:trPr>
                      <w:trHeight w:val="214" w:hRule="exact"/>
                    </w:trPr>
                    <w:tc>
                      <w:tcPr>
                        <w:tcW w:w="1766" w:type="dxa"/>
                        <w:tcBorders>
                          <w:top w:val="nil"/>
                          <w:left w:val="nil"/>
                          <w:bottom w:val="nil"/>
                          <w:right w:val="nil"/>
                        </w:tcBorders>
                      </w:tcPr>
                      <w:p>
                        <w:pPr>
                          <w:pStyle w:val="TableParagraph"/>
                          <w:spacing w:line="216" w:lineRule="exact"/>
                          <w:ind w:left="89"/>
                          <w:jc w:val="left"/>
                          <w:rPr>
                            <w:sz w:val="19"/>
                          </w:rPr>
                        </w:pPr>
                        <w:r>
                          <w:rPr>
                            <w:w w:val="105"/>
                            <w:sz w:val="19"/>
                          </w:rPr>
                          <w:t>Total de hijos</w:t>
                        </w:r>
                      </w:p>
                    </w:tc>
                    <w:tc>
                      <w:tcPr>
                        <w:tcW w:w="1592" w:type="dxa"/>
                        <w:tcBorders>
                          <w:top w:val="nil"/>
                          <w:left w:val="nil"/>
                          <w:bottom w:val="nil"/>
                          <w:right w:val="nil"/>
                        </w:tcBorders>
                      </w:tcPr>
                      <w:p>
                        <w:pPr>
                          <w:pStyle w:val="TableParagraph"/>
                          <w:spacing w:line="216" w:lineRule="exact"/>
                          <w:ind w:left="122"/>
                          <w:jc w:val="left"/>
                          <w:rPr>
                            <w:sz w:val="19"/>
                          </w:rPr>
                        </w:pPr>
                        <w:r>
                          <w:rPr>
                            <w:w w:val="105"/>
                            <w:sz w:val="19"/>
                          </w:rPr>
                          <w:t>12</w:t>
                        </w:r>
                      </w:p>
                    </w:tc>
                    <w:tc>
                      <w:tcPr>
                        <w:tcW w:w="2594" w:type="dxa"/>
                        <w:tcBorders>
                          <w:top w:val="nil"/>
                          <w:left w:val="nil"/>
                          <w:bottom w:val="nil"/>
                          <w:right w:val="nil"/>
                        </w:tcBorders>
                      </w:tcPr>
                      <w:p>
                        <w:pPr>
                          <w:pStyle w:val="TableParagraph"/>
                          <w:spacing w:line="216" w:lineRule="exact"/>
                          <w:ind w:left="325"/>
                          <w:jc w:val="left"/>
                          <w:rPr>
                            <w:sz w:val="19"/>
                          </w:rPr>
                        </w:pPr>
                        <w:r>
                          <w:rPr>
                            <w:w w:val="105"/>
                            <w:sz w:val="19"/>
                          </w:rPr>
                          <w:t>11</w:t>
                        </w:r>
                      </w:p>
                    </w:tc>
                  </w:tr>
                </w:tbl>
                <w:p>
                  <w:pPr>
                    <w:pStyle w:val="BodyText"/>
                  </w:pPr>
                </w:p>
              </w:txbxContent>
            </v:textbox>
            <w10:wrap type="none"/>
          </v:shape>
        </w:pict>
      </w:r>
      <w:r>
        <w:rPr>
          <w:w w:val="105"/>
          <w:sz w:val="19"/>
        </w:rPr>
        <w:t>19 años</w:t>
      </w:r>
    </w:p>
    <w:p>
      <w:pPr>
        <w:pStyle w:val="BodyText"/>
      </w:pPr>
    </w:p>
    <w:p>
      <w:pPr>
        <w:pStyle w:val="BodyText"/>
      </w:pPr>
    </w:p>
    <w:p>
      <w:pPr>
        <w:pStyle w:val="BodyText"/>
        <w:spacing w:before="1"/>
        <w:rPr>
          <w:sz w:val="24"/>
        </w:rPr>
      </w:pPr>
    </w:p>
    <w:p>
      <w:pPr>
        <w:spacing w:after="0"/>
        <w:rPr>
          <w:sz w:val="24"/>
        </w:rPr>
        <w:sectPr>
          <w:footerReference w:type="default" r:id="rId276"/>
          <w:pgSz w:w="7770" w:h="11740"/>
          <w:pgMar w:footer="474" w:header="0" w:top="1000" w:bottom="660" w:left="1020" w:right="560"/>
          <w:pgNumType w:start="261"/>
        </w:sectPr>
      </w:pPr>
    </w:p>
    <w:p>
      <w:pPr>
        <w:spacing w:line="167" w:lineRule="exact" w:before="81"/>
        <w:ind w:left="202" w:right="0" w:firstLine="0"/>
        <w:jc w:val="left"/>
        <w:rPr>
          <w:sz w:val="19"/>
        </w:rPr>
      </w:pPr>
      <w:r>
        <w:rPr>
          <w:w w:val="105"/>
          <w:sz w:val="19"/>
        </w:rPr>
        <w:t>Actividad del</w:t>
      </w:r>
    </w:p>
    <w:p>
      <w:pPr>
        <w:tabs>
          <w:tab w:pos="2002" w:val="left" w:leader="none"/>
        </w:tabs>
        <w:spacing w:line="287" w:lineRule="exact" w:before="0"/>
        <w:ind w:left="202" w:right="0" w:firstLine="0"/>
        <w:jc w:val="left"/>
        <w:rPr>
          <w:sz w:val="19"/>
        </w:rPr>
      </w:pPr>
      <w:r>
        <w:rPr>
          <w:w w:val="105"/>
          <w:position w:val="-11"/>
          <w:sz w:val="19"/>
        </w:rPr>
        <w:t>cónyuge</w:t>
        <w:tab/>
      </w:r>
      <w:r>
        <w:rPr>
          <w:w w:val="105"/>
          <w:sz w:val="19"/>
        </w:rPr>
        <w:t>Empleado</w:t>
      </w:r>
    </w:p>
    <w:p>
      <w:pPr>
        <w:spacing w:before="7"/>
        <w:ind w:left="2002" w:right="-18" w:firstLine="0"/>
        <w:jc w:val="left"/>
        <w:rPr>
          <w:sz w:val="19"/>
        </w:rPr>
      </w:pPr>
      <w:r>
        <w:rPr>
          <w:w w:val="105"/>
          <w:sz w:val="19"/>
        </w:rPr>
        <w:t>Separada desde</w:t>
      </w:r>
    </w:p>
    <w:p>
      <w:pPr>
        <w:spacing w:before="81"/>
        <w:ind w:left="202" w:right="162" w:firstLine="0"/>
        <w:jc w:val="left"/>
        <w:rPr>
          <w:sz w:val="19"/>
        </w:rPr>
      </w:pPr>
      <w:r>
        <w:rPr/>
        <w:br w:type="column"/>
      </w:r>
      <w:r>
        <w:rPr>
          <w:w w:val="105"/>
          <w:sz w:val="19"/>
        </w:rPr>
        <w:t>1° campesino</w:t>
      </w:r>
    </w:p>
    <w:p>
      <w:pPr>
        <w:spacing w:before="12"/>
        <w:ind w:left="202" w:right="162" w:firstLine="0"/>
        <w:jc w:val="left"/>
        <w:rPr>
          <w:sz w:val="19"/>
        </w:rPr>
      </w:pPr>
      <w:r>
        <w:rPr>
          <w:w w:val="105"/>
          <w:sz w:val="19"/>
        </w:rPr>
        <w:t>2° empleado</w:t>
      </w:r>
    </w:p>
    <w:p>
      <w:pPr>
        <w:spacing w:after="0"/>
        <w:jc w:val="left"/>
        <w:rPr>
          <w:sz w:val="19"/>
        </w:rPr>
        <w:sectPr>
          <w:type w:val="continuous"/>
          <w:pgSz w:w="7770" w:h="11740"/>
          <w:pgMar w:top="0" w:bottom="0" w:left="1020" w:right="560"/>
          <w:cols w:num="2" w:equalWidth="0">
            <w:col w:w="3240" w:space="355"/>
            <w:col w:w="2595"/>
          </w:cols>
        </w:sectPr>
      </w:pPr>
    </w:p>
    <w:p>
      <w:pPr>
        <w:spacing w:before="12"/>
        <w:ind w:left="202" w:right="-17" w:firstLine="0"/>
        <w:jc w:val="left"/>
        <w:rPr>
          <w:sz w:val="19"/>
        </w:rPr>
      </w:pPr>
      <w:r>
        <w:rPr>
          <w:w w:val="105"/>
          <w:sz w:val="19"/>
        </w:rPr>
        <w:t>Estado civil</w:t>
      </w:r>
    </w:p>
    <w:p>
      <w:pPr>
        <w:pStyle w:val="BodyText"/>
        <w:rPr>
          <w:sz w:val="21"/>
        </w:rPr>
      </w:pPr>
    </w:p>
    <w:p>
      <w:pPr>
        <w:spacing w:line="134" w:lineRule="exact" w:before="1"/>
        <w:ind w:left="202" w:right="-6" w:firstLine="0"/>
        <w:jc w:val="left"/>
        <w:rPr>
          <w:sz w:val="19"/>
        </w:rPr>
      </w:pPr>
      <w:r>
        <w:rPr>
          <w:w w:val="105"/>
          <w:sz w:val="19"/>
        </w:rPr>
        <w:t>Separación,</w:t>
      </w:r>
    </w:p>
    <w:p>
      <w:pPr>
        <w:spacing w:line="252" w:lineRule="auto" w:before="12"/>
        <w:ind w:left="203" w:right="-18" w:hanging="1"/>
        <w:jc w:val="left"/>
        <w:rPr>
          <w:sz w:val="19"/>
        </w:rPr>
      </w:pPr>
      <w:r>
        <w:rPr/>
        <w:br w:type="column"/>
      </w:r>
      <w:r>
        <w:rPr>
          <w:w w:val="105"/>
          <w:sz w:val="19"/>
        </w:rPr>
        <w:t>hace más de 20 años</w:t>
      </w:r>
    </w:p>
    <w:p>
      <w:pPr>
        <w:spacing w:before="12"/>
        <w:ind w:left="202" w:right="0" w:firstLine="0"/>
        <w:jc w:val="left"/>
        <w:rPr>
          <w:sz w:val="19"/>
        </w:rPr>
      </w:pPr>
      <w:r>
        <w:rPr/>
        <w:br w:type="column"/>
      </w:r>
      <w:r>
        <w:rPr>
          <w:w w:val="105"/>
          <w:sz w:val="19"/>
        </w:rPr>
        <w:t>Viuda por 2ª vez</w:t>
      </w:r>
    </w:p>
    <w:p>
      <w:pPr>
        <w:spacing w:after="0"/>
        <w:jc w:val="left"/>
        <w:rPr>
          <w:sz w:val="19"/>
        </w:rPr>
        <w:sectPr>
          <w:type w:val="continuous"/>
          <w:pgSz w:w="7770" w:h="11740"/>
          <w:pgMar w:top="0" w:bottom="0" w:left="1020" w:right="560"/>
          <w:cols w:num="3" w:equalWidth="0">
            <w:col w:w="1153" w:space="647"/>
            <w:col w:w="1429" w:space="367"/>
            <w:col w:w="2594"/>
          </w:cols>
        </w:sectPr>
      </w:pPr>
    </w:p>
    <w:p>
      <w:pPr>
        <w:tabs>
          <w:tab w:pos="2002" w:val="left" w:leader="none"/>
          <w:tab w:pos="3798" w:val="left" w:leader="none"/>
        </w:tabs>
        <w:spacing w:line="315" w:lineRule="exact" w:before="0"/>
        <w:ind w:left="202" w:right="0" w:firstLine="0"/>
        <w:jc w:val="left"/>
        <w:rPr>
          <w:sz w:val="19"/>
        </w:rPr>
      </w:pPr>
      <w:r>
        <w:rPr>
          <w:w w:val="105"/>
          <w:sz w:val="19"/>
        </w:rPr>
        <w:t>divorcio o viudez</w:t>
        <w:tab/>
      </w:r>
      <w:r>
        <w:rPr>
          <w:w w:val="105"/>
          <w:position w:val="12"/>
          <w:sz w:val="19"/>
        </w:rPr>
        <w:t>1982-1983</w:t>
        <w:tab/>
        <w:t>2002</w:t>
      </w:r>
    </w:p>
    <w:p>
      <w:pPr>
        <w:tabs>
          <w:tab w:pos="2002" w:val="left" w:leader="none"/>
          <w:tab w:pos="3798" w:val="left" w:leader="none"/>
        </w:tabs>
        <w:spacing w:line="230" w:lineRule="exact" w:before="0"/>
        <w:ind w:left="202" w:right="1769" w:firstLine="0"/>
        <w:jc w:val="left"/>
        <w:rPr>
          <w:sz w:val="19"/>
        </w:rPr>
      </w:pPr>
      <w:r>
        <w:rPr>
          <w:w w:val="105"/>
          <w:sz w:val="19"/>
        </w:rPr>
        <w:t>Edad al</w:t>
      </w:r>
      <w:r>
        <w:rPr>
          <w:spacing w:val="-1"/>
          <w:w w:val="105"/>
          <w:sz w:val="19"/>
        </w:rPr>
        <w:t> </w:t>
      </w:r>
      <w:r>
        <w:rPr>
          <w:w w:val="105"/>
          <w:sz w:val="19"/>
        </w:rPr>
        <w:t>1er</w:t>
      </w:r>
      <w:r>
        <w:rPr>
          <w:spacing w:val="-1"/>
          <w:w w:val="105"/>
          <w:sz w:val="19"/>
        </w:rPr>
        <w:t> </w:t>
      </w:r>
      <w:r>
        <w:rPr>
          <w:w w:val="105"/>
          <w:sz w:val="19"/>
        </w:rPr>
        <w:t>empleo</w:t>
        <w:tab/>
        <w:t>18 años</w:t>
        <w:tab/>
        <w:t>12</w:t>
      </w:r>
      <w:r>
        <w:rPr>
          <w:spacing w:val="-2"/>
          <w:w w:val="105"/>
          <w:sz w:val="19"/>
        </w:rPr>
        <w:t> </w:t>
      </w:r>
      <w:r>
        <w:rPr>
          <w:w w:val="105"/>
          <w:sz w:val="19"/>
        </w:rPr>
        <w:t>años</w:t>
      </w:r>
      <w:r>
        <w:rPr>
          <w:spacing w:val="1"/>
          <w:w w:val="103"/>
          <w:sz w:val="19"/>
        </w:rPr>
        <w:t> </w:t>
      </w:r>
      <w:r>
        <w:rPr>
          <w:w w:val="105"/>
          <w:sz w:val="19"/>
        </w:rPr>
        <w:t>Edad al dejar</w:t>
      </w:r>
      <w:r>
        <w:rPr>
          <w:spacing w:val="-2"/>
          <w:w w:val="105"/>
          <w:sz w:val="19"/>
        </w:rPr>
        <w:t> </w:t>
      </w:r>
      <w:r>
        <w:rPr>
          <w:w w:val="105"/>
          <w:sz w:val="19"/>
        </w:rPr>
        <w:t>el</w:t>
      </w:r>
    </w:p>
    <w:p>
      <w:pPr>
        <w:tabs>
          <w:tab w:pos="2002" w:val="left" w:leader="none"/>
          <w:tab w:pos="3798" w:val="left" w:leader="none"/>
        </w:tabs>
        <w:spacing w:line="230" w:lineRule="exact" w:before="0"/>
        <w:ind w:left="202" w:right="0" w:firstLine="0"/>
        <w:jc w:val="left"/>
        <w:rPr>
          <w:sz w:val="19"/>
        </w:rPr>
      </w:pPr>
      <w:r>
        <w:rPr>
          <w:w w:val="105"/>
          <w:position w:val="-11"/>
          <w:sz w:val="19"/>
        </w:rPr>
        <w:t>último</w:t>
      </w:r>
      <w:r>
        <w:rPr>
          <w:spacing w:val="-1"/>
          <w:w w:val="105"/>
          <w:position w:val="-11"/>
          <w:sz w:val="19"/>
        </w:rPr>
        <w:t> </w:t>
      </w:r>
      <w:r>
        <w:rPr>
          <w:w w:val="105"/>
          <w:position w:val="-11"/>
          <w:sz w:val="19"/>
        </w:rPr>
        <w:t>empleo</w:t>
        <w:tab/>
      </w:r>
      <w:r>
        <w:rPr>
          <w:w w:val="105"/>
          <w:sz w:val="19"/>
        </w:rPr>
        <w:t>16 años</w:t>
        <w:tab/>
        <w:t>40</w:t>
      </w:r>
      <w:r>
        <w:rPr>
          <w:spacing w:val="-2"/>
          <w:w w:val="105"/>
          <w:sz w:val="19"/>
        </w:rPr>
        <w:t> </w:t>
      </w:r>
      <w:r>
        <w:rPr>
          <w:w w:val="105"/>
          <w:sz w:val="19"/>
        </w:rPr>
        <w:t>años</w:t>
      </w:r>
    </w:p>
    <w:p>
      <w:pPr>
        <w:tabs>
          <w:tab w:pos="2002" w:val="left" w:leader="none"/>
          <w:tab w:pos="3998" w:val="right" w:leader="none"/>
        </w:tabs>
        <w:spacing w:before="7"/>
        <w:ind w:left="202" w:right="0" w:firstLine="0"/>
        <w:jc w:val="left"/>
        <w:rPr>
          <w:sz w:val="19"/>
        </w:rPr>
      </w:pPr>
      <w:r>
        <w:rPr>
          <w:w w:val="105"/>
          <w:sz w:val="19"/>
        </w:rPr>
        <w:t>Años</w:t>
      </w:r>
      <w:r>
        <w:rPr>
          <w:spacing w:val="-2"/>
          <w:w w:val="105"/>
          <w:sz w:val="19"/>
        </w:rPr>
        <w:t> </w:t>
      </w:r>
      <w:r>
        <w:rPr>
          <w:w w:val="105"/>
          <w:sz w:val="19"/>
        </w:rPr>
        <w:t>laborados</w:t>
        <w:tab/>
        <w:t>2</w:t>
        <w:tab/>
        <w:t>13</w:t>
      </w:r>
    </w:p>
    <w:p>
      <w:pPr>
        <w:spacing w:after="0"/>
        <w:jc w:val="left"/>
        <w:rPr>
          <w:sz w:val="19"/>
        </w:rPr>
        <w:sectPr>
          <w:type w:val="continuous"/>
          <w:pgSz w:w="7770" w:h="11740"/>
          <w:pgMar w:top="0" w:bottom="0" w:left="1020" w:right="560"/>
        </w:sectPr>
      </w:pPr>
    </w:p>
    <w:p>
      <w:pPr>
        <w:tabs>
          <w:tab w:pos="2002" w:val="left" w:leader="none"/>
        </w:tabs>
        <w:spacing w:before="12"/>
        <w:ind w:left="202" w:right="0" w:firstLine="0"/>
        <w:jc w:val="left"/>
        <w:rPr>
          <w:sz w:val="19"/>
        </w:rPr>
      </w:pPr>
      <w:r>
        <w:rPr>
          <w:w w:val="105"/>
          <w:sz w:val="19"/>
        </w:rPr>
        <w:t>Actividad</w:t>
      </w:r>
      <w:r>
        <w:rPr>
          <w:spacing w:val="-1"/>
          <w:w w:val="105"/>
          <w:sz w:val="19"/>
        </w:rPr>
        <w:t> </w:t>
      </w:r>
      <w:r>
        <w:rPr>
          <w:w w:val="105"/>
          <w:sz w:val="19"/>
        </w:rPr>
        <w:t>actual</w:t>
        <w:tab/>
        <w:t>Está a cargo de</w:t>
      </w:r>
      <w:r>
        <w:rPr>
          <w:spacing w:val="-5"/>
          <w:w w:val="105"/>
          <w:sz w:val="19"/>
        </w:rPr>
        <w:t> </w:t>
      </w:r>
      <w:r>
        <w:rPr>
          <w:w w:val="105"/>
          <w:sz w:val="19"/>
        </w:rPr>
        <w:t>dos</w:t>
      </w:r>
    </w:p>
    <w:p>
      <w:pPr>
        <w:spacing w:line="252" w:lineRule="auto" w:before="12"/>
        <w:ind w:left="2002" w:right="133" w:firstLine="0"/>
        <w:jc w:val="left"/>
        <w:rPr>
          <w:sz w:val="19"/>
        </w:rPr>
      </w:pPr>
      <w:r>
        <w:rPr>
          <w:w w:val="105"/>
          <w:sz w:val="19"/>
        </w:rPr>
        <w:t>nietos y cuida a otros dos de ellos mientras trabajan sus mamás</w:t>
      </w:r>
    </w:p>
    <w:p>
      <w:pPr>
        <w:spacing w:line="252" w:lineRule="auto" w:before="12"/>
        <w:ind w:left="202" w:right="162" w:firstLine="0"/>
        <w:jc w:val="left"/>
        <w:rPr>
          <w:sz w:val="19"/>
        </w:rPr>
      </w:pPr>
      <w:r>
        <w:rPr/>
        <w:br w:type="column"/>
      </w:r>
      <w:r>
        <w:rPr>
          <w:w w:val="105"/>
          <w:sz w:val="19"/>
        </w:rPr>
        <w:t>Toma algunas clases o viajes de los grupos a los que asiste. Hace trámites a pensionados del IMSS cada mes</w:t>
      </w:r>
    </w:p>
    <w:p>
      <w:pPr>
        <w:spacing w:after="0" w:line="252" w:lineRule="auto"/>
        <w:jc w:val="left"/>
        <w:rPr>
          <w:sz w:val="19"/>
        </w:rPr>
        <w:sectPr>
          <w:type w:val="continuous"/>
          <w:pgSz w:w="7770" w:h="11740"/>
          <w:pgMar w:top="0" w:bottom="0" w:left="1020" w:right="560"/>
          <w:cols w:num="2" w:equalWidth="0">
            <w:col w:w="3546" w:space="49"/>
            <w:col w:w="2595"/>
          </w:cols>
        </w:sectPr>
      </w:pPr>
    </w:p>
    <w:p>
      <w:pPr>
        <w:tabs>
          <w:tab w:pos="2002" w:val="left" w:leader="none"/>
          <w:tab w:pos="3798" w:val="left" w:leader="none"/>
        </w:tabs>
        <w:spacing w:line="283" w:lineRule="exact" w:before="0"/>
        <w:ind w:left="202" w:right="0" w:firstLine="0"/>
        <w:jc w:val="left"/>
        <w:rPr>
          <w:sz w:val="19"/>
        </w:rPr>
      </w:pPr>
      <w:r>
        <w:rPr>
          <w:w w:val="105"/>
          <w:sz w:val="19"/>
        </w:rPr>
        <w:t>Número</w:t>
      </w:r>
      <w:r>
        <w:rPr>
          <w:spacing w:val="-1"/>
          <w:w w:val="105"/>
          <w:sz w:val="19"/>
        </w:rPr>
        <w:t> </w:t>
      </w:r>
      <w:r>
        <w:rPr>
          <w:w w:val="105"/>
          <w:sz w:val="19"/>
        </w:rPr>
        <w:t>de</w:t>
      </w:r>
      <w:r>
        <w:rPr>
          <w:spacing w:val="-1"/>
          <w:w w:val="105"/>
          <w:sz w:val="19"/>
        </w:rPr>
        <w:t> </w:t>
      </w:r>
      <w:r>
        <w:rPr>
          <w:w w:val="105"/>
          <w:sz w:val="19"/>
        </w:rPr>
        <w:t>nietos</w:t>
        <w:tab/>
        <w:t>25,</w:t>
      </w:r>
      <w:r>
        <w:rPr>
          <w:spacing w:val="-1"/>
          <w:w w:val="105"/>
          <w:sz w:val="19"/>
        </w:rPr>
        <w:t> </w:t>
      </w:r>
      <w:r>
        <w:rPr>
          <w:w w:val="105"/>
          <w:sz w:val="19"/>
        </w:rPr>
        <w:t>2 bisnietos</w:t>
        <w:tab/>
      </w:r>
      <w:r>
        <w:rPr>
          <w:w w:val="105"/>
          <w:position w:val="12"/>
          <w:sz w:val="19"/>
        </w:rPr>
        <w:t>45 nietos, 12 bisnietos,</w:t>
      </w:r>
      <w:r>
        <w:rPr>
          <w:spacing w:val="-8"/>
          <w:w w:val="105"/>
          <w:position w:val="12"/>
          <w:sz w:val="19"/>
        </w:rPr>
        <w:t> </w:t>
      </w:r>
      <w:r>
        <w:rPr>
          <w:w w:val="105"/>
          <w:position w:val="12"/>
          <w:sz w:val="19"/>
        </w:rPr>
        <w:t>3</w:t>
      </w:r>
    </w:p>
    <w:p>
      <w:pPr>
        <w:spacing w:line="167" w:lineRule="exact" w:before="0"/>
        <w:ind w:left="3798" w:right="0" w:firstLine="0"/>
        <w:jc w:val="left"/>
        <w:rPr>
          <w:sz w:val="19"/>
        </w:rPr>
      </w:pPr>
      <w:r>
        <w:rPr>
          <w:w w:val="105"/>
          <w:sz w:val="19"/>
        </w:rPr>
        <w:t>tataranietos</w:t>
      </w:r>
    </w:p>
    <w:p>
      <w:pPr>
        <w:spacing w:after="0" w:line="167" w:lineRule="exact"/>
        <w:jc w:val="left"/>
        <w:rPr>
          <w:sz w:val="19"/>
        </w:rPr>
        <w:sectPr>
          <w:type w:val="continuous"/>
          <w:pgSz w:w="7770" w:h="11740"/>
          <w:pgMar w:top="0" w:bottom="0" w:left="1020" w:right="560"/>
        </w:sectPr>
      </w:pPr>
    </w:p>
    <w:p>
      <w:pPr>
        <w:tabs>
          <w:tab w:pos="2002" w:val="left" w:leader="none"/>
        </w:tabs>
        <w:spacing w:line="252" w:lineRule="auto" w:before="12"/>
        <w:ind w:left="2002" w:right="0" w:hanging="1800"/>
        <w:jc w:val="left"/>
        <w:rPr>
          <w:sz w:val="19"/>
        </w:rPr>
      </w:pPr>
      <w:r>
        <w:rPr>
          <w:w w:val="105"/>
          <w:sz w:val="19"/>
        </w:rPr>
        <w:t>Corresidentes</w:t>
        <w:tab/>
        <w:t>Dos hijas</w:t>
      </w:r>
      <w:r>
        <w:rPr>
          <w:spacing w:val="-3"/>
          <w:w w:val="105"/>
          <w:sz w:val="19"/>
        </w:rPr>
        <w:t> </w:t>
      </w:r>
      <w:r>
        <w:rPr>
          <w:w w:val="105"/>
          <w:sz w:val="19"/>
        </w:rPr>
        <w:t>con</w:t>
      </w:r>
      <w:r>
        <w:rPr>
          <w:spacing w:val="-1"/>
          <w:w w:val="105"/>
          <w:sz w:val="19"/>
        </w:rPr>
        <w:t> </w:t>
      </w:r>
      <w:r>
        <w:rPr>
          <w:w w:val="105"/>
          <w:sz w:val="19"/>
        </w:rPr>
        <w:t>un</w:t>
      </w:r>
      <w:r>
        <w:rPr>
          <w:spacing w:val="1"/>
          <w:w w:val="103"/>
          <w:sz w:val="19"/>
        </w:rPr>
        <w:t> </w:t>
      </w:r>
      <w:r>
        <w:rPr>
          <w:w w:val="105"/>
          <w:sz w:val="19"/>
        </w:rPr>
        <w:t>hijo cada una, un hijo soltero y dos nietos que ella custodia</w:t>
      </w:r>
    </w:p>
    <w:p>
      <w:pPr>
        <w:spacing w:line="247" w:lineRule="auto" w:before="12"/>
        <w:ind w:left="202" w:right="339" w:firstLine="0"/>
        <w:jc w:val="left"/>
        <w:rPr>
          <w:sz w:val="19"/>
        </w:rPr>
      </w:pPr>
      <w:r>
        <w:rPr/>
        <w:br w:type="column"/>
      </w:r>
      <w:r>
        <w:rPr>
          <w:w w:val="105"/>
          <w:sz w:val="19"/>
        </w:rPr>
        <w:t>Una hija, un hijo y la hija de éste</w:t>
      </w:r>
    </w:p>
    <w:p>
      <w:pPr>
        <w:spacing w:after="0" w:line="247" w:lineRule="auto"/>
        <w:jc w:val="left"/>
        <w:rPr>
          <w:sz w:val="19"/>
        </w:rPr>
        <w:sectPr>
          <w:type w:val="continuous"/>
          <w:pgSz w:w="7770" w:h="11740"/>
          <w:pgMar w:top="0" w:bottom="0" w:left="1020" w:right="560"/>
          <w:cols w:num="2" w:equalWidth="0">
            <w:col w:w="3387" w:space="208"/>
            <w:col w:w="2595"/>
          </w:cols>
        </w:sectPr>
      </w:pPr>
    </w:p>
    <w:p>
      <w:pPr>
        <w:spacing w:line="252" w:lineRule="auto" w:before="1"/>
        <w:ind w:left="202" w:right="-17" w:firstLine="0"/>
        <w:jc w:val="left"/>
        <w:rPr>
          <w:sz w:val="19"/>
        </w:rPr>
      </w:pPr>
      <w:r>
        <w:rPr>
          <w:w w:val="105"/>
          <w:sz w:val="19"/>
        </w:rPr>
        <w:t>Parientes con los que más tiene relación</w:t>
      </w:r>
    </w:p>
    <w:p>
      <w:pPr>
        <w:spacing w:line="252" w:lineRule="auto" w:before="1"/>
        <w:ind w:left="202" w:right="0" w:firstLine="0"/>
        <w:jc w:val="both"/>
        <w:rPr>
          <w:sz w:val="19"/>
        </w:rPr>
      </w:pPr>
      <w:r>
        <w:rPr/>
        <w:br w:type="column"/>
      </w:r>
      <w:r>
        <w:rPr>
          <w:w w:val="105"/>
          <w:sz w:val="19"/>
        </w:rPr>
        <w:t>Sus dos hijas y los nietos con los que vive</w:t>
      </w:r>
    </w:p>
    <w:p>
      <w:pPr>
        <w:spacing w:line="252" w:lineRule="auto" w:before="1"/>
        <w:ind w:left="202" w:right="228" w:firstLine="0"/>
        <w:jc w:val="left"/>
        <w:rPr>
          <w:sz w:val="19"/>
        </w:rPr>
      </w:pPr>
      <w:r>
        <w:rPr/>
        <w:br w:type="column"/>
      </w:r>
      <w:r>
        <w:rPr>
          <w:w w:val="105"/>
          <w:sz w:val="19"/>
        </w:rPr>
        <w:t>El hijo con el que vive y la hija de este</w:t>
      </w:r>
    </w:p>
    <w:p>
      <w:pPr>
        <w:spacing w:after="0" w:line="252" w:lineRule="auto"/>
        <w:jc w:val="left"/>
        <w:rPr>
          <w:sz w:val="19"/>
        </w:rPr>
        <w:sectPr>
          <w:type w:val="continuous"/>
          <w:pgSz w:w="7770" w:h="11740"/>
          <w:pgMar w:top="0" w:bottom="0" w:left="1020" w:right="560"/>
          <w:cols w:num="3" w:equalWidth="0">
            <w:col w:w="1557" w:space="243"/>
            <w:col w:w="1680" w:space="115"/>
            <w:col w:w="2595"/>
          </w:cols>
        </w:sectPr>
      </w:pPr>
    </w:p>
    <w:p>
      <w:pPr>
        <w:tabs>
          <w:tab w:pos="2002" w:val="left" w:leader="none"/>
        </w:tabs>
        <w:spacing w:line="252" w:lineRule="auto" w:before="1"/>
        <w:ind w:left="2002" w:right="0" w:hanging="1801"/>
        <w:jc w:val="left"/>
        <w:rPr>
          <w:sz w:val="19"/>
        </w:rPr>
      </w:pPr>
      <w:r>
        <w:rPr/>
        <w:pict>
          <v:shape style="position:absolute;margin-left:56.693001pt;margin-top:23.083696pt;width:297.650pt;height:.1pt;mso-position-horizontal-relative:page;mso-position-vertical-relative:paragraph;z-index:8200" coordorigin="1134,462" coordsize="5953,0" path="m1134,462l2913,462m2913,462l2922,462m2922,462l4708,462m4708,462l4717,462m4717,462l7087,462e" filled="false" stroked="true" strokeweight=".481pt" strokecolor="#000000">
            <v:path arrowok="t"/>
            <w10:wrap type="none"/>
          </v:shape>
        </w:pict>
      </w:r>
      <w:r>
        <w:rPr>
          <w:w w:val="105"/>
          <w:sz w:val="19"/>
        </w:rPr>
        <w:t>Enfermedades</w:t>
        <w:tab/>
        <w:t>Diabetes</w:t>
      </w:r>
      <w:r>
        <w:rPr>
          <w:spacing w:val="-5"/>
          <w:w w:val="105"/>
          <w:sz w:val="19"/>
        </w:rPr>
        <w:t> </w:t>
      </w:r>
      <w:r>
        <w:rPr>
          <w:w w:val="105"/>
          <w:sz w:val="19"/>
        </w:rPr>
        <w:t>e</w:t>
      </w:r>
      <w:r>
        <w:rPr>
          <w:w w:val="103"/>
          <w:sz w:val="19"/>
        </w:rPr>
        <w:t> </w:t>
      </w:r>
      <w:r>
        <w:rPr>
          <w:w w:val="105"/>
          <w:sz w:val="19"/>
        </w:rPr>
        <w:t>hipertensión</w:t>
      </w:r>
    </w:p>
    <w:p>
      <w:pPr>
        <w:spacing w:before="1"/>
        <w:ind w:left="202" w:right="0" w:firstLine="0"/>
        <w:jc w:val="left"/>
        <w:rPr>
          <w:sz w:val="19"/>
        </w:rPr>
      </w:pPr>
      <w:r>
        <w:rPr/>
        <w:br w:type="column"/>
      </w:r>
      <w:r>
        <w:rPr>
          <w:w w:val="105"/>
          <w:sz w:val="19"/>
        </w:rPr>
        <w:t>Hipertensa y de los pies</w:t>
      </w:r>
    </w:p>
    <w:p>
      <w:pPr>
        <w:spacing w:after="0"/>
        <w:jc w:val="left"/>
        <w:rPr>
          <w:sz w:val="19"/>
        </w:rPr>
        <w:sectPr>
          <w:type w:val="continuous"/>
          <w:pgSz w:w="7770" w:h="11740"/>
          <w:pgMar w:top="0" w:bottom="0" w:left="1020" w:right="560"/>
          <w:cols w:num="2" w:equalWidth="0">
            <w:col w:w="2992" w:space="604"/>
            <w:col w:w="2594"/>
          </w:cols>
        </w:sectPr>
      </w:pPr>
    </w:p>
    <w:p>
      <w:pPr>
        <w:spacing w:before="5"/>
        <w:ind w:left="202" w:right="0" w:firstLine="0"/>
        <w:jc w:val="left"/>
        <w:rPr>
          <w:sz w:val="16"/>
        </w:rPr>
      </w:pPr>
      <w:r>
        <w:rPr>
          <w:sz w:val="16"/>
        </w:rPr>
        <w:t>Fuente: elaborado con información obtenida en trabajo de campo.</w:t>
      </w:r>
    </w:p>
    <w:p>
      <w:pPr>
        <w:spacing w:after="0"/>
        <w:jc w:val="left"/>
        <w:rPr>
          <w:sz w:val="16"/>
        </w:rPr>
        <w:sectPr>
          <w:type w:val="continuous"/>
          <w:pgSz w:w="7770" w:h="11740"/>
          <w:pgMar w:top="0" w:bottom="0" w:left="1020" w:right="560"/>
        </w:sectPr>
      </w:pPr>
    </w:p>
    <w:p>
      <w:pPr>
        <w:pStyle w:val="BodyText"/>
        <w:spacing w:line="249" w:lineRule="auto" w:before="60"/>
        <w:ind w:left="110" w:right="111" w:firstLine="283"/>
        <w:jc w:val="right"/>
      </w:pPr>
      <w:r>
        <w:rPr>
          <w:color w:val="231F20"/>
        </w:rPr>
        <w:t>Si</w:t>
      </w:r>
      <w:r>
        <w:rPr>
          <w:color w:val="231F20"/>
          <w:spacing w:val="-5"/>
        </w:rPr>
        <w:t> </w:t>
      </w:r>
      <w:r>
        <w:rPr>
          <w:color w:val="231F20"/>
        </w:rPr>
        <w:t>bien</w:t>
      </w:r>
      <w:r>
        <w:rPr>
          <w:color w:val="231F20"/>
          <w:spacing w:val="-5"/>
        </w:rPr>
        <w:t> </w:t>
      </w:r>
      <w:r>
        <w:rPr>
          <w:color w:val="231F20"/>
        </w:rPr>
        <w:t>las</w:t>
      </w:r>
      <w:r>
        <w:rPr>
          <w:color w:val="231F20"/>
          <w:spacing w:val="-5"/>
        </w:rPr>
        <w:t> </w:t>
      </w:r>
      <w:r>
        <w:rPr>
          <w:color w:val="231F20"/>
        </w:rPr>
        <w:t>cuatro</w:t>
      </w:r>
      <w:r>
        <w:rPr>
          <w:color w:val="231F20"/>
          <w:spacing w:val="-5"/>
        </w:rPr>
        <w:t> </w:t>
      </w:r>
      <w:r>
        <w:rPr>
          <w:color w:val="231F20"/>
        </w:rPr>
        <w:t>mujeres</w:t>
      </w:r>
      <w:r>
        <w:rPr>
          <w:color w:val="231F20"/>
          <w:spacing w:val="-6"/>
        </w:rPr>
        <w:t> </w:t>
      </w:r>
      <w:r>
        <w:rPr>
          <w:color w:val="231F20"/>
        </w:rPr>
        <w:t>de</w:t>
      </w:r>
      <w:r>
        <w:rPr>
          <w:color w:val="231F20"/>
          <w:spacing w:val="-5"/>
        </w:rPr>
        <w:t> </w:t>
      </w:r>
      <w:r>
        <w:rPr>
          <w:color w:val="231F20"/>
        </w:rPr>
        <w:t>este</w:t>
      </w:r>
      <w:r>
        <w:rPr>
          <w:color w:val="231F20"/>
          <w:spacing w:val="-5"/>
        </w:rPr>
        <w:t> </w:t>
      </w:r>
      <w:r>
        <w:rPr>
          <w:color w:val="231F20"/>
        </w:rPr>
        <w:t>grupo</w:t>
      </w:r>
      <w:r>
        <w:rPr>
          <w:color w:val="231F20"/>
          <w:spacing w:val="-5"/>
        </w:rPr>
        <w:t> </w:t>
      </w:r>
      <w:r>
        <w:rPr>
          <w:color w:val="231F20"/>
        </w:rPr>
        <w:t>son</w:t>
      </w:r>
      <w:r>
        <w:rPr>
          <w:color w:val="231F20"/>
          <w:spacing w:val="-5"/>
        </w:rPr>
        <w:t> </w:t>
      </w:r>
      <w:r>
        <w:rPr>
          <w:color w:val="231F20"/>
        </w:rPr>
        <w:t>amas</w:t>
      </w:r>
      <w:r>
        <w:rPr>
          <w:color w:val="231F20"/>
          <w:spacing w:val="-5"/>
        </w:rPr>
        <w:t> </w:t>
      </w:r>
      <w:r>
        <w:rPr>
          <w:color w:val="231F20"/>
        </w:rPr>
        <w:t>de</w:t>
      </w:r>
      <w:r>
        <w:rPr>
          <w:color w:val="231F20"/>
          <w:spacing w:val="-5"/>
        </w:rPr>
        <w:t> </w:t>
      </w:r>
      <w:r>
        <w:rPr>
          <w:color w:val="231F20"/>
        </w:rPr>
        <w:t>casa</w:t>
      </w:r>
      <w:r>
        <w:rPr>
          <w:color w:val="231F20"/>
          <w:spacing w:val="-5"/>
        </w:rPr>
        <w:t> </w:t>
      </w:r>
      <w:r>
        <w:rPr>
          <w:color w:val="231F20"/>
        </w:rPr>
        <w:t>actualmen- te, una de ellas no lo fue toda su vida, y además tienen</w:t>
      </w:r>
      <w:r>
        <w:rPr>
          <w:color w:val="231F20"/>
          <w:spacing w:val="20"/>
        </w:rPr>
        <w:t> </w:t>
      </w:r>
      <w:r>
        <w:rPr>
          <w:color w:val="231F20"/>
        </w:rPr>
        <w:t>algunas</w:t>
      </w:r>
      <w:r>
        <w:rPr>
          <w:color w:val="231F20"/>
          <w:spacing w:val="4"/>
        </w:rPr>
        <w:t> </w:t>
      </w:r>
      <w:r>
        <w:rPr>
          <w:color w:val="231F20"/>
        </w:rPr>
        <w:t>diferen- cias, por ejemplo, tres de ellas pertenecen a una clase media baja</w:t>
      </w:r>
      <w:r>
        <w:rPr>
          <w:color w:val="231F20"/>
          <w:spacing w:val="44"/>
        </w:rPr>
        <w:t> </w:t>
      </w:r>
      <w:r>
        <w:rPr>
          <w:color w:val="231F20"/>
        </w:rPr>
        <w:t>y</w:t>
      </w:r>
      <w:r>
        <w:rPr>
          <w:color w:val="231F20"/>
          <w:spacing w:val="7"/>
        </w:rPr>
        <w:t> </w:t>
      </w:r>
      <w:r>
        <w:rPr>
          <w:color w:val="231F20"/>
        </w:rPr>
        <w:t>una a</w:t>
      </w:r>
      <w:r>
        <w:rPr>
          <w:color w:val="231F20"/>
          <w:spacing w:val="25"/>
        </w:rPr>
        <w:t> </w:t>
      </w:r>
      <w:r>
        <w:rPr>
          <w:color w:val="231F20"/>
        </w:rPr>
        <w:t>clase</w:t>
      </w:r>
      <w:r>
        <w:rPr>
          <w:color w:val="231F20"/>
          <w:spacing w:val="25"/>
        </w:rPr>
        <w:t> </w:t>
      </w:r>
      <w:r>
        <w:rPr>
          <w:color w:val="231F20"/>
        </w:rPr>
        <w:t>media</w:t>
      </w:r>
      <w:r>
        <w:rPr>
          <w:color w:val="231F20"/>
          <w:spacing w:val="25"/>
        </w:rPr>
        <w:t> </w:t>
      </w:r>
      <w:r>
        <w:rPr>
          <w:color w:val="231F20"/>
        </w:rPr>
        <w:t>alta,</w:t>
      </w:r>
      <w:r>
        <w:rPr>
          <w:color w:val="231F20"/>
          <w:spacing w:val="25"/>
        </w:rPr>
        <w:t> </w:t>
      </w:r>
      <w:r>
        <w:rPr>
          <w:color w:val="231F20"/>
        </w:rPr>
        <w:t>todas</w:t>
      </w:r>
      <w:r>
        <w:rPr>
          <w:color w:val="231F20"/>
          <w:spacing w:val="25"/>
        </w:rPr>
        <w:t> </w:t>
      </w:r>
      <w:r>
        <w:rPr>
          <w:color w:val="231F20"/>
        </w:rPr>
        <w:t>tienen</w:t>
      </w:r>
      <w:r>
        <w:rPr>
          <w:color w:val="231F20"/>
          <w:spacing w:val="25"/>
        </w:rPr>
        <w:t> </w:t>
      </w:r>
      <w:r>
        <w:rPr>
          <w:color w:val="231F20"/>
        </w:rPr>
        <w:t>casa</w:t>
      </w:r>
      <w:r>
        <w:rPr>
          <w:color w:val="231F20"/>
          <w:spacing w:val="25"/>
        </w:rPr>
        <w:t> </w:t>
      </w:r>
      <w:r>
        <w:rPr>
          <w:color w:val="231F20"/>
        </w:rPr>
        <w:t>o</w:t>
      </w:r>
      <w:r>
        <w:rPr>
          <w:color w:val="231F20"/>
          <w:spacing w:val="25"/>
        </w:rPr>
        <w:t> </w:t>
      </w:r>
      <w:r>
        <w:rPr>
          <w:color w:val="231F20"/>
        </w:rPr>
        <w:t>departamento</w:t>
      </w:r>
      <w:r>
        <w:rPr>
          <w:color w:val="231F20"/>
          <w:spacing w:val="25"/>
        </w:rPr>
        <w:t> </w:t>
      </w:r>
      <w:r>
        <w:rPr>
          <w:color w:val="231F20"/>
        </w:rPr>
        <w:t>propio,</w:t>
      </w:r>
      <w:r>
        <w:rPr>
          <w:color w:val="231F20"/>
          <w:spacing w:val="25"/>
        </w:rPr>
        <w:t> </w:t>
      </w:r>
      <w:r>
        <w:rPr>
          <w:color w:val="231F20"/>
        </w:rPr>
        <w:t>en</w:t>
      </w:r>
      <w:r>
        <w:rPr>
          <w:color w:val="231F20"/>
          <w:spacing w:val="25"/>
        </w:rPr>
        <w:t> </w:t>
      </w:r>
      <w:r>
        <w:rPr>
          <w:color w:val="231F20"/>
        </w:rPr>
        <w:t>todos los casos se hicieron de su propiedad gracias, directa </w:t>
      </w:r>
      <w:r>
        <w:rPr>
          <w:color w:val="231F20"/>
          <w:spacing w:val="7"/>
        </w:rPr>
        <w:t> </w:t>
      </w:r>
      <w:r>
        <w:rPr>
          <w:color w:val="231F20"/>
        </w:rPr>
        <w:t>o</w:t>
      </w:r>
      <w:r>
        <w:rPr>
          <w:color w:val="231F20"/>
          <w:spacing w:val="12"/>
        </w:rPr>
        <w:t> </w:t>
      </w:r>
      <w:r>
        <w:rPr>
          <w:color w:val="231F20"/>
        </w:rPr>
        <w:t>indirectamente, a beneficios laborales del esposo, ya que, de más está decir,</w:t>
      </w:r>
      <w:r>
        <w:rPr>
          <w:color w:val="231F20"/>
          <w:spacing w:val="48"/>
        </w:rPr>
        <w:t> </w:t>
      </w:r>
      <w:r>
        <w:rPr>
          <w:color w:val="231F20"/>
        </w:rPr>
        <w:t>estas</w:t>
      </w:r>
      <w:r>
        <w:rPr>
          <w:color w:val="231F20"/>
          <w:spacing w:val="4"/>
        </w:rPr>
        <w:t> </w:t>
      </w:r>
      <w:r>
        <w:rPr>
          <w:color w:val="231F20"/>
        </w:rPr>
        <w:t>muje- res, al no contar con una trayectoria laboral que les</w:t>
      </w:r>
      <w:r>
        <w:rPr>
          <w:color w:val="231F20"/>
          <w:spacing w:val="29"/>
        </w:rPr>
        <w:t> </w:t>
      </w:r>
      <w:r>
        <w:rPr>
          <w:color w:val="231F20"/>
        </w:rPr>
        <w:t>permitiera</w:t>
      </w:r>
      <w:r>
        <w:rPr>
          <w:color w:val="231F20"/>
          <w:spacing w:val="13"/>
        </w:rPr>
        <w:t> </w:t>
      </w:r>
      <w:r>
        <w:rPr>
          <w:color w:val="231F20"/>
        </w:rPr>
        <w:t>adquirir beneficios</w:t>
      </w:r>
      <w:r>
        <w:rPr>
          <w:color w:val="231F20"/>
          <w:spacing w:val="-8"/>
        </w:rPr>
        <w:t> </w:t>
      </w:r>
      <w:r>
        <w:rPr>
          <w:color w:val="231F20"/>
        </w:rPr>
        <w:t>socioeconómicos</w:t>
      </w:r>
      <w:r>
        <w:rPr>
          <w:color w:val="231F20"/>
          <w:spacing w:val="-8"/>
        </w:rPr>
        <w:t> </w:t>
      </w:r>
      <w:r>
        <w:rPr>
          <w:color w:val="231F20"/>
        </w:rPr>
        <w:t>no</w:t>
      </w:r>
      <w:r>
        <w:rPr>
          <w:color w:val="231F20"/>
          <w:spacing w:val="-8"/>
        </w:rPr>
        <w:t> </w:t>
      </w:r>
      <w:r>
        <w:rPr>
          <w:color w:val="231F20"/>
        </w:rPr>
        <w:t>pudieron</w:t>
      </w:r>
      <w:r>
        <w:rPr>
          <w:color w:val="231F20"/>
          <w:spacing w:val="-8"/>
        </w:rPr>
        <w:t> </w:t>
      </w:r>
      <w:r>
        <w:rPr>
          <w:color w:val="231F20"/>
        </w:rPr>
        <w:t>adquirir</w:t>
      </w:r>
      <w:r>
        <w:rPr>
          <w:color w:val="231F20"/>
          <w:spacing w:val="-8"/>
        </w:rPr>
        <w:t> </w:t>
      </w:r>
      <w:r>
        <w:rPr>
          <w:color w:val="231F20"/>
        </w:rPr>
        <w:t>una</w:t>
      </w:r>
      <w:r>
        <w:rPr>
          <w:color w:val="231F20"/>
          <w:spacing w:val="-8"/>
        </w:rPr>
        <w:t> </w:t>
      </w:r>
      <w:r>
        <w:rPr>
          <w:color w:val="231F20"/>
        </w:rPr>
        <w:t>casa</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cuenta.</w:t>
      </w:r>
      <w:r>
        <w:rPr>
          <w:color w:val="231F20"/>
          <w:w w:val="100"/>
        </w:rPr>
        <w:t> </w:t>
      </w:r>
      <w:r>
        <w:rPr>
          <w:color w:val="231F20"/>
        </w:rPr>
        <w:t>Este</w:t>
      </w:r>
      <w:r>
        <w:rPr>
          <w:color w:val="231F20"/>
          <w:spacing w:val="23"/>
        </w:rPr>
        <w:t> </w:t>
      </w:r>
      <w:r>
        <w:rPr>
          <w:color w:val="231F20"/>
        </w:rPr>
        <w:t>grupo</w:t>
      </w:r>
      <w:r>
        <w:rPr>
          <w:color w:val="231F20"/>
          <w:spacing w:val="23"/>
        </w:rPr>
        <w:t> </w:t>
      </w:r>
      <w:r>
        <w:rPr>
          <w:color w:val="231F20"/>
        </w:rPr>
        <w:t>evidencia</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Sheridan</w:t>
      </w:r>
      <w:r>
        <w:rPr>
          <w:color w:val="231F20"/>
          <w:spacing w:val="23"/>
        </w:rPr>
        <w:t> </w:t>
      </w:r>
      <w:r>
        <w:rPr>
          <w:color w:val="231F20"/>
        </w:rPr>
        <w:t>mencionó</w:t>
      </w:r>
      <w:r>
        <w:rPr>
          <w:color w:val="231F20"/>
          <w:spacing w:val="23"/>
        </w:rPr>
        <w:t> </w:t>
      </w:r>
      <w:r>
        <w:rPr>
          <w:color w:val="231F20"/>
        </w:rPr>
        <w:t>como</w:t>
      </w:r>
      <w:r>
        <w:rPr>
          <w:color w:val="231F20"/>
          <w:spacing w:val="23"/>
        </w:rPr>
        <w:t> </w:t>
      </w:r>
      <w:r>
        <w:rPr>
          <w:color w:val="231F20"/>
        </w:rPr>
        <w:t>“una</w:t>
      </w:r>
      <w:r>
        <w:rPr>
          <w:color w:val="231F20"/>
          <w:spacing w:val="23"/>
        </w:rPr>
        <w:t> </w:t>
      </w:r>
      <w:r>
        <w:rPr>
          <w:color w:val="231F20"/>
        </w:rPr>
        <w:t>de</w:t>
      </w:r>
      <w:r>
        <w:rPr>
          <w:color w:val="231F20"/>
          <w:spacing w:val="23"/>
        </w:rPr>
        <w:t> </w:t>
      </w:r>
      <w:r>
        <w:rPr>
          <w:color w:val="231F20"/>
        </w:rPr>
        <w:t>las características de la vida laboral de la fuerza de trabajo</w:t>
      </w:r>
      <w:r>
        <w:rPr>
          <w:color w:val="231F20"/>
          <w:spacing w:val="16"/>
        </w:rPr>
        <w:t> </w:t>
      </w:r>
      <w:r>
        <w:rPr>
          <w:color w:val="231F20"/>
        </w:rPr>
        <w:t>femenina”</w:t>
      </w:r>
      <w:r>
        <w:rPr>
          <w:color w:val="231F20"/>
          <w:spacing w:val="1"/>
        </w:rPr>
        <w:t> </w:t>
      </w:r>
      <w:r>
        <w:rPr>
          <w:color w:val="231F20"/>
        </w:rPr>
        <w:t>(She- ridan, 1991: 78): la intermitencia, ya que estas cuatro</w:t>
      </w:r>
      <w:r>
        <w:rPr>
          <w:color w:val="231F20"/>
          <w:spacing w:val="17"/>
        </w:rPr>
        <w:t> </w:t>
      </w:r>
      <w:r>
        <w:rPr>
          <w:color w:val="231F20"/>
        </w:rPr>
        <w:t>mujeres</w:t>
      </w:r>
      <w:r>
        <w:rPr>
          <w:color w:val="231F20"/>
          <w:spacing w:val="1"/>
        </w:rPr>
        <w:t> </w:t>
      </w:r>
      <w:r>
        <w:rPr>
          <w:color w:val="231F20"/>
        </w:rPr>
        <w:t>laboraron por</w:t>
      </w:r>
      <w:r>
        <w:rPr>
          <w:color w:val="231F20"/>
          <w:spacing w:val="27"/>
        </w:rPr>
        <w:t> </w:t>
      </w:r>
      <w:r>
        <w:rPr>
          <w:color w:val="231F20"/>
        </w:rPr>
        <w:t>pocos</w:t>
      </w:r>
      <w:r>
        <w:rPr>
          <w:color w:val="231F20"/>
          <w:spacing w:val="27"/>
        </w:rPr>
        <w:t> </w:t>
      </w:r>
      <w:r>
        <w:rPr>
          <w:color w:val="231F20"/>
        </w:rPr>
        <w:t>años,</w:t>
      </w:r>
      <w:r>
        <w:rPr>
          <w:color w:val="231F20"/>
          <w:spacing w:val="26"/>
        </w:rPr>
        <w:t> </w:t>
      </w:r>
      <w:r>
        <w:rPr>
          <w:color w:val="231F20"/>
        </w:rPr>
        <w:t>en</w:t>
      </w:r>
      <w:r>
        <w:rPr>
          <w:color w:val="231F20"/>
          <w:spacing w:val="27"/>
        </w:rPr>
        <w:t> </w:t>
      </w:r>
      <w:r>
        <w:rPr>
          <w:color w:val="231F20"/>
        </w:rPr>
        <w:t>tres</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casos</w:t>
      </w:r>
      <w:r>
        <w:rPr>
          <w:color w:val="231F20"/>
          <w:spacing w:val="26"/>
        </w:rPr>
        <w:t> </w:t>
      </w:r>
      <w:r>
        <w:rPr>
          <w:color w:val="231F20"/>
        </w:rPr>
        <w:t>antes</w:t>
      </w:r>
      <w:r>
        <w:rPr>
          <w:color w:val="231F20"/>
          <w:spacing w:val="27"/>
        </w:rPr>
        <w:t> </w:t>
      </w:r>
      <w:r>
        <w:rPr>
          <w:color w:val="231F20"/>
        </w:rPr>
        <w:t>de</w:t>
      </w:r>
      <w:r>
        <w:rPr>
          <w:color w:val="231F20"/>
          <w:spacing w:val="27"/>
        </w:rPr>
        <w:t> </w:t>
      </w:r>
      <w:r>
        <w:rPr>
          <w:color w:val="231F20"/>
        </w:rPr>
        <w:t>casarse,</w:t>
      </w:r>
      <w:r>
        <w:rPr>
          <w:color w:val="231F20"/>
          <w:spacing w:val="26"/>
        </w:rPr>
        <w:t> </w:t>
      </w:r>
      <w:r>
        <w:rPr>
          <w:color w:val="231F20"/>
        </w:rPr>
        <w:t>en</w:t>
      </w:r>
      <w:r>
        <w:rPr>
          <w:color w:val="231F20"/>
          <w:spacing w:val="27"/>
        </w:rPr>
        <w:t> </w:t>
      </w:r>
      <w:r>
        <w:rPr>
          <w:color w:val="231F20"/>
        </w:rPr>
        <w:t>su</w:t>
      </w:r>
      <w:r>
        <w:rPr>
          <w:color w:val="231F20"/>
          <w:spacing w:val="27"/>
        </w:rPr>
        <w:t> </w:t>
      </w:r>
      <w:r>
        <w:rPr>
          <w:color w:val="231F20"/>
        </w:rPr>
        <w:t>etapa</w:t>
      </w:r>
      <w:r>
        <w:rPr>
          <w:color w:val="231F20"/>
          <w:spacing w:val="27"/>
        </w:rPr>
        <w:t> </w:t>
      </w:r>
      <w:r>
        <w:rPr>
          <w:color w:val="231F20"/>
        </w:rPr>
        <w:t>de soltería. </w:t>
      </w:r>
      <w:r>
        <w:rPr>
          <w:color w:val="231F20"/>
          <w:spacing w:val="-4"/>
        </w:rPr>
        <w:t>Toña </w:t>
      </w:r>
      <w:r>
        <w:rPr>
          <w:color w:val="231F20"/>
        </w:rPr>
        <w:t>reingresó al sector laboral entre matrimonios, es</w:t>
      </w:r>
      <w:r>
        <w:rPr>
          <w:color w:val="231F20"/>
          <w:spacing w:val="38"/>
        </w:rPr>
        <w:t> </w:t>
      </w:r>
      <w:r>
        <w:rPr>
          <w:color w:val="231F20"/>
        </w:rPr>
        <w:t>decir</w:t>
      </w:r>
      <w:r>
        <w:rPr>
          <w:color w:val="231F20"/>
          <w:spacing w:val="9"/>
        </w:rPr>
        <w:t> </w:t>
      </w:r>
      <w:r>
        <w:rPr>
          <w:color w:val="231F20"/>
        </w:rPr>
        <w:t>en su</w:t>
      </w:r>
      <w:r>
        <w:rPr>
          <w:color w:val="231F20"/>
          <w:spacing w:val="-6"/>
        </w:rPr>
        <w:t> </w:t>
      </w:r>
      <w:r>
        <w:rPr>
          <w:color w:val="231F20"/>
        </w:rPr>
        <w:t>momento</w:t>
      </w:r>
      <w:r>
        <w:rPr>
          <w:color w:val="231F20"/>
          <w:spacing w:val="-6"/>
        </w:rPr>
        <w:t> </w:t>
      </w:r>
      <w:r>
        <w:rPr>
          <w:color w:val="231F20"/>
        </w:rPr>
        <w:t>de</w:t>
      </w:r>
      <w:r>
        <w:rPr>
          <w:color w:val="231F20"/>
          <w:spacing w:val="-6"/>
        </w:rPr>
        <w:t> </w:t>
      </w:r>
      <w:r>
        <w:rPr>
          <w:color w:val="231F20"/>
        </w:rPr>
        <w:t>viudez,</w:t>
      </w:r>
      <w:r>
        <w:rPr>
          <w:color w:val="231F20"/>
          <w:spacing w:val="-6"/>
        </w:rPr>
        <w:t> </w:t>
      </w:r>
      <w:r>
        <w:rPr>
          <w:color w:val="231F20"/>
        </w:rPr>
        <w:t>y</w:t>
      </w:r>
      <w:r>
        <w:rPr>
          <w:color w:val="231F20"/>
          <w:spacing w:val="-6"/>
        </w:rPr>
        <w:t> </w:t>
      </w:r>
      <w:r>
        <w:rPr>
          <w:color w:val="231F20"/>
        </w:rPr>
        <w:t>al</w:t>
      </w:r>
      <w:r>
        <w:rPr>
          <w:color w:val="231F20"/>
          <w:spacing w:val="-6"/>
        </w:rPr>
        <w:t> </w:t>
      </w:r>
      <w:r>
        <w:rPr>
          <w:color w:val="231F20"/>
        </w:rPr>
        <w:t>contraer</w:t>
      </w:r>
      <w:r>
        <w:rPr>
          <w:color w:val="231F20"/>
          <w:spacing w:val="-6"/>
        </w:rPr>
        <w:t> </w:t>
      </w:r>
      <w:r>
        <w:rPr>
          <w:color w:val="231F20"/>
        </w:rPr>
        <w:t>nuevamente</w:t>
      </w:r>
      <w:r>
        <w:rPr>
          <w:color w:val="231F20"/>
          <w:spacing w:val="-6"/>
        </w:rPr>
        <w:t> </w:t>
      </w:r>
      <w:r>
        <w:rPr>
          <w:color w:val="231F20"/>
        </w:rPr>
        <w:t>nupcias</w:t>
      </w:r>
      <w:r>
        <w:rPr>
          <w:color w:val="231F20"/>
          <w:spacing w:val="-6"/>
        </w:rPr>
        <w:t> </w:t>
      </w:r>
      <w:r>
        <w:rPr>
          <w:color w:val="231F20"/>
        </w:rPr>
        <w:t>dejó</w:t>
      </w:r>
      <w:r>
        <w:rPr>
          <w:color w:val="231F20"/>
          <w:spacing w:val="-6"/>
        </w:rPr>
        <w:t> </w:t>
      </w:r>
      <w:r>
        <w:rPr>
          <w:color w:val="231F20"/>
        </w:rPr>
        <w:t>de</w:t>
      </w:r>
      <w:r>
        <w:rPr>
          <w:color w:val="231F20"/>
          <w:spacing w:val="-6"/>
        </w:rPr>
        <w:t> </w:t>
      </w:r>
      <w:r>
        <w:rPr>
          <w:color w:val="231F20"/>
        </w:rPr>
        <w:t>laborar formalmente.</w:t>
      </w:r>
      <w:r>
        <w:rPr>
          <w:color w:val="231F20"/>
          <w:spacing w:val="24"/>
        </w:rPr>
        <w:t> </w:t>
      </w:r>
      <w:r>
        <w:rPr>
          <w:color w:val="231F20"/>
        </w:rPr>
        <w:t>El</w:t>
      </w:r>
      <w:r>
        <w:rPr>
          <w:color w:val="231F20"/>
          <w:spacing w:val="24"/>
        </w:rPr>
        <w:t> </w:t>
      </w:r>
      <w:r>
        <w:rPr>
          <w:color w:val="231F20"/>
        </w:rPr>
        <w:t>cuarto</w:t>
      </w:r>
      <w:r>
        <w:rPr>
          <w:color w:val="231F20"/>
          <w:spacing w:val="24"/>
        </w:rPr>
        <w:t> </w:t>
      </w:r>
      <w:r>
        <w:rPr>
          <w:color w:val="231F20"/>
        </w:rPr>
        <w:t>caso,</w:t>
      </w:r>
      <w:r>
        <w:rPr>
          <w:color w:val="231F20"/>
          <w:spacing w:val="24"/>
        </w:rPr>
        <w:t> </w:t>
      </w:r>
      <w:r>
        <w:rPr>
          <w:color w:val="231F20"/>
        </w:rPr>
        <w:t>el</w:t>
      </w:r>
      <w:r>
        <w:rPr>
          <w:color w:val="231F20"/>
          <w:spacing w:val="24"/>
        </w:rPr>
        <w:t> </w:t>
      </w:r>
      <w:r>
        <w:rPr>
          <w:color w:val="231F20"/>
        </w:rPr>
        <w:t>de</w:t>
      </w:r>
      <w:r>
        <w:rPr>
          <w:color w:val="231F20"/>
          <w:spacing w:val="24"/>
        </w:rPr>
        <w:t> </w:t>
      </w:r>
      <w:r>
        <w:rPr>
          <w:color w:val="231F20"/>
          <w:spacing w:val="-3"/>
        </w:rPr>
        <w:t>Chuy,</w:t>
      </w:r>
      <w:r>
        <w:rPr>
          <w:color w:val="231F20"/>
          <w:spacing w:val="24"/>
        </w:rPr>
        <w:t> </w:t>
      </w:r>
      <w:r>
        <w:rPr>
          <w:color w:val="231F20"/>
        </w:rPr>
        <w:t>si</w:t>
      </w:r>
      <w:r>
        <w:rPr>
          <w:color w:val="231F20"/>
          <w:spacing w:val="24"/>
        </w:rPr>
        <w:t> </w:t>
      </w:r>
      <w:r>
        <w:rPr>
          <w:color w:val="231F20"/>
        </w:rPr>
        <w:t>bien</w:t>
      </w:r>
      <w:r>
        <w:rPr>
          <w:color w:val="231F20"/>
          <w:spacing w:val="24"/>
        </w:rPr>
        <w:t> </w:t>
      </w:r>
      <w:r>
        <w:rPr>
          <w:color w:val="231F20"/>
        </w:rPr>
        <w:t>laboró</w:t>
      </w:r>
      <w:r>
        <w:rPr>
          <w:color w:val="231F20"/>
          <w:spacing w:val="23"/>
        </w:rPr>
        <w:t> </w:t>
      </w:r>
      <w:r>
        <w:rPr>
          <w:color w:val="231F20"/>
        </w:rPr>
        <w:t>cuando</w:t>
      </w:r>
      <w:r>
        <w:rPr>
          <w:color w:val="231F20"/>
          <w:spacing w:val="23"/>
        </w:rPr>
        <w:t> </w:t>
      </w:r>
      <w:r>
        <w:rPr>
          <w:color w:val="231F20"/>
        </w:rPr>
        <w:t>ya</w:t>
      </w:r>
      <w:r>
        <w:rPr>
          <w:color w:val="231F20"/>
          <w:spacing w:val="24"/>
        </w:rPr>
        <w:t> </w:t>
      </w:r>
      <w:r>
        <w:rPr>
          <w:color w:val="231F20"/>
        </w:rPr>
        <w:t>se</w:t>
      </w:r>
      <w:r>
        <w:rPr>
          <w:color w:val="231F20"/>
          <w:spacing w:val="-1"/>
        </w:rPr>
        <w:t> </w:t>
      </w:r>
      <w:r>
        <w:rPr>
          <w:color w:val="231F20"/>
        </w:rPr>
        <w:t>había casado lo hizo solamente por cuatro años, dejando</w:t>
      </w:r>
      <w:r>
        <w:rPr>
          <w:color w:val="231F20"/>
          <w:spacing w:val="9"/>
        </w:rPr>
        <w:t> </w:t>
      </w:r>
      <w:r>
        <w:rPr>
          <w:color w:val="231F20"/>
        </w:rPr>
        <w:t>esa</w:t>
      </w:r>
      <w:r>
        <w:rPr>
          <w:color w:val="231F20"/>
          <w:spacing w:val="17"/>
        </w:rPr>
        <w:t> </w:t>
      </w:r>
      <w:r>
        <w:rPr>
          <w:color w:val="231F20"/>
        </w:rPr>
        <w:t>actividad remunerada ante la enfermedad de su madre, quien le cuidaba a los</w:t>
      </w:r>
      <w:r>
        <w:rPr>
          <w:color w:val="231F20"/>
          <w:spacing w:val="-28"/>
        </w:rPr>
        <w:t> </w:t>
      </w:r>
      <w:r>
        <w:rPr>
          <w:color w:val="231F20"/>
        </w:rPr>
        <w:t>hijos</w:t>
      </w:r>
    </w:p>
    <w:p>
      <w:pPr>
        <w:pStyle w:val="BodyText"/>
        <w:spacing w:before="1"/>
        <w:ind w:left="110" w:right="792"/>
      </w:pPr>
      <w:r>
        <w:rPr>
          <w:color w:val="231F20"/>
        </w:rPr>
        <w:t>que ya tenía.</w:t>
      </w:r>
    </w:p>
    <w:p>
      <w:pPr>
        <w:pStyle w:val="BodyText"/>
        <w:spacing w:line="249" w:lineRule="auto" w:before="10"/>
        <w:ind w:left="110" w:right="110" w:firstLine="283"/>
        <w:jc w:val="both"/>
      </w:pPr>
      <w:r>
        <w:rPr>
          <w:color w:val="231F20"/>
        </w:rPr>
        <w:t>Otro punto importante en este grupo, que muestran las trayectorias, es que, a pesar de las distancias de edad entre las 4 mujeres (62 de Chuy a 83 de Toña), hay coincidencias que resaltan, por ejemplo, resulta sig- nificativo que las cuatro presentan su más importante participación en el mercado laboral remunerado en la década de 1960, momento histórico crucial para esta investigación, ya que, como he argumentado a lo lar- go del trabajo, este momento favoreció las circunstancias adecuadas que permitieron el acceso de estas mujeres a la vida laboral.</w:t>
      </w:r>
    </w:p>
    <w:p>
      <w:pPr>
        <w:pStyle w:val="BodyText"/>
        <w:spacing w:line="249" w:lineRule="auto" w:before="1"/>
        <w:ind w:left="110" w:right="111" w:firstLine="283"/>
        <w:jc w:val="both"/>
      </w:pPr>
      <w:r>
        <w:rPr>
          <w:color w:val="231F20"/>
        </w:rPr>
        <w:t>Este grupo de amas de casa evidencia que sólo trabajaron en su pe- riodo de soltería contribuyendo al gasto familiar, y su decisión respecto al mercado laboral fue dejar de trabajar cuando contrajeron nupcias, de ahí</w:t>
      </w:r>
      <w:r>
        <w:rPr>
          <w:color w:val="231F20"/>
          <w:spacing w:val="-8"/>
        </w:rPr>
        <w:t> </w:t>
      </w:r>
      <w:r>
        <w:rPr>
          <w:color w:val="231F20"/>
        </w:rPr>
        <w:t>que</w:t>
      </w:r>
      <w:r>
        <w:rPr>
          <w:color w:val="231F20"/>
          <w:spacing w:val="-8"/>
        </w:rPr>
        <w:t> </w:t>
      </w:r>
      <w:r>
        <w:rPr>
          <w:color w:val="231F20"/>
        </w:rPr>
        <w:t>sean</w:t>
      </w:r>
      <w:r>
        <w:rPr>
          <w:color w:val="231F20"/>
          <w:spacing w:val="-8"/>
        </w:rPr>
        <w:t> </w:t>
      </w:r>
      <w:r>
        <w:rPr>
          <w:color w:val="231F20"/>
        </w:rPr>
        <w:t>cortas</w:t>
      </w:r>
      <w:r>
        <w:rPr>
          <w:color w:val="231F20"/>
          <w:spacing w:val="-8"/>
        </w:rPr>
        <w:t> </w:t>
      </w:r>
      <w:r>
        <w:rPr>
          <w:color w:val="231F20"/>
        </w:rPr>
        <w:t>sus</w:t>
      </w:r>
      <w:r>
        <w:rPr>
          <w:color w:val="231F20"/>
          <w:spacing w:val="-8"/>
        </w:rPr>
        <w:t> </w:t>
      </w:r>
      <w:r>
        <w:rPr>
          <w:color w:val="231F20"/>
        </w:rPr>
        <w:t>trayectorias</w:t>
      </w:r>
      <w:r>
        <w:rPr>
          <w:color w:val="231F20"/>
          <w:spacing w:val="-9"/>
        </w:rPr>
        <w:t> </w:t>
      </w:r>
      <w:r>
        <w:rPr>
          <w:color w:val="231F20"/>
        </w:rPr>
        <w:t>laborales,</w:t>
      </w:r>
      <w:r>
        <w:rPr>
          <w:color w:val="231F20"/>
          <w:spacing w:val="-8"/>
        </w:rPr>
        <w:t> </w:t>
      </w:r>
      <w:r>
        <w:rPr>
          <w:color w:val="231F20"/>
        </w:rPr>
        <w:t>a</w:t>
      </w:r>
      <w:r>
        <w:rPr>
          <w:color w:val="231F20"/>
          <w:spacing w:val="-8"/>
        </w:rPr>
        <w:t> </w:t>
      </w:r>
      <w:r>
        <w:rPr>
          <w:color w:val="231F20"/>
        </w:rPr>
        <w:t>excepción</w:t>
      </w:r>
      <w:r>
        <w:rPr>
          <w:color w:val="231F20"/>
          <w:spacing w:val="-8"/>
        </w:rPr>
        <w:t> </w:t>
      </w:r>
      <w:r>
        <w:rPr>
          <w:color w:val="231F20"/>
        </w:rPr>
        <w:t>de</w:t>
      </w:r>
      <w:r>
        <w:rPr>
          <w:color w:val="231F20"/>
          <w:spacing w:val="-11"/>
        </w:rPr>
        <w:t> </w:t>
      </w:r>
      <w:r>
        <w:rPr>
          <w:color w:val="231F20"/>
          <w:spacing w:val="-3"/>
        </w:rPr>
        <w:t>Toña,</w:t>
      </w:r>
      <w:r>
        <w:rPr>
          <w:color w:val="231F20"/>
          <w:spacing w:val="-8"/>
        </w:rPr>
        <w:t> </w:t>
      </w:r>
      <w:r>
        <w:rPr>
          <w:color w:val="231F20"/>
        </w:rPr>
        <w:t>quien reunió</w:t>
      </w:r>
      <w:r>
        <w:rPr>
          <w:color w:val="231F20"/>
          <w:spacing w:val="-6"/>
        </w:rPr>
        <w:t> </w:t>
      </w:r>
      <w:r>
        <w:rPr>
          <w:color w:val="231F20"/>
        </w:rPr>
        <w:t>más</w:t>
      </w:r>
      <w:r>
        <w:rPr>
          <w:color w:val="231F20"/>
          <w:spacing w:val="-6"/>
        </w:rPr>
        <w:t> </w:t>
      </w:r>
      <w:r>
        <w:rPr>
          <w:color w:val="231F20"/>
        </w:rPr>
        <w:t>años</w:t>
      </w:r>
      <w:r>
        <w:rPr>
          <w:color w:val="231F20"/>
          <w:spacing w:val="-6"/>
        </w:rPr>
        <w:t> </w:t>
      </w:r>
      <w:r>
        <w:rPr>
          <w:color w:val="231F20"/>
        </w:rPr>
        <w:t>trabajando</w:t>
      </w:r>
      <w:r>
        <w:rPr>
          <w:color w:val="231F20"/>
          <w:spacing w:val="-7"/>
        </w:rPr>
        <w:t> </w:t>
      </w:r>
      <w:r>
        <w:rPr>
          <w:color w:val="231F20"/>
        </w:rPr>
        <w:t>bajo</w:t>
      </w:r>
      <w:r>
        <w:rPr>
          <w:color w:val="231F20"/>
          <w:spacing w:val="-6"/>
        </w:rPr>
        <w:t> </w:t>
      </w:r>
      <w:r>
        <w:rPr>
          <w:color w:val="231F20"/>
        </w:rPr>
        <w:t>ciertas</w:t>
      </w:r>
      <w:r>
        <w:rPr>
          <w:color w:val="231F20"/>
          <w:spacing w:val="-7"/>
        </w:rPr>
        <w:t> </w:t>
      </w:r>
      <w:r>
        <w:rPr>
          <w:color w:val="231F20"/>
        </w:rPr>
        <w:t>circunstancias</w:t>
      </w:r>
      <w:r>
        <w:rPr>
          <w:color w:val="231F20"/>
          <w:spacing w:val="-7"/>
        </w:rPr>
        <w:t> </w:t>
      </w:r>
      <w:r>
        <w:rPr>
          <w:color w:val="231F20"/>
        </w:rPr>
        <w:t>peculiares:</w:t>
      </w:r>
      <w:r>
        <w:rPr>
          <w:color w:val="231F20"/>
          <w:spacing w:val="-6"/>
        </w:rPr>
        <w:t> </w:t>
      </w:r>
      <w:r>
        <w:rPr>
          <w:color w:val="231F20"/>
        </w:rPr>
        <w:t>la</w:t>
      </w:r>
      <w:r>
        <w:rPr>
          <w:color w:val="231F20"/>
          <w:spacing w:val="-6"/>
        </w:rPr>
        <w:t> </w:t>
      </w:r>
      <w:r>
        <w:rPr>
          <w:color w:val="231F20"/>
        </w:rPr>
        <w:t>viu- dez.</w:t>
      </w:r>
    </w:p>
    <w:p>
      <w:pPr>
        <w:pStyle w:val="BodyText"/>
        <w:spacing w:line="249" w:lineRule="auto" w:before="1"/>
        <w:ind w:left="110" w:right="111" w:firstLine="283"/>
        <w:jc w:val="both"/>
      </w:pPr>
      <w:r>
        <w:rPr>
          <w:color w:val="231F20"/>
        </w:rPr>
        <w:t>Estas</w:t>
      </w:r>
      <w:r>
        <w:rPr>
          <w:color w:val="231F20"/>
          <w:spacing w:val="-10"/>
        </w:rPr>
        <w:t> </w:t>
      </w:r>
      <w:r>
        <w:rPr>
          <w:color w:val="231F20"/>
        </w:rPr>
        <w:t>mujeres</w:t>
      </w:r>
      <w:r>
        <w:rPr>
          <w:color w:val="231F20"/>
          <w:spacing w:val="-10"/>
        </w:rPr>
        <w:t> </w:t>
      </w:r>
      <w:r>
        <w:rPr>
          <w:color w:val="231F20"/>
        </w:rPr>
        <w:t>nunca</w:t>
      </w:r>
      <w:r>
        <w:rPr>
          <w:color w:val="231F20"/>
          <w:spacing w:val="-10"/>
        </w:rPr>
        <w:t> </w:t>
      </w:r>
      <w:r>
        <w:rPr>
          <w:color w:val="231F20"/>
        </w:rPr>
        <w:t>buscaron</w:t>
      </w:r>
      <w:r>
        <w:rPr>
          <w:color w:val="231F20"/>
          <w:spacing w:val="-10"/>
        </w:rPr>
        <w:t> </w:t>
      </w:r>
      <w:r>
        <w:rPr>
          <w:color w:val="231F20"/>
        </w:rPr>
        <w:t>independizarse</w:t>
      </w:r>
      <w:r>
        <w:rPr>
          <w:color w:val="231F20"/>
          <w:spacing w:val="-11"/>
        </w:rPr>
        <w:t> </w:t>
      </w:r>
      <w:r>
        <w:rPr>
          <w:color w:val="231F20"/>
        </w:rPr>
        <w:t>y/o</w:t>
      </w:r>
      <w:r>
        <w:rPr>
          <w:color w:val="231F20"/>
          <w:spacing w:val="-10"/>
        </w:rPr>
        <w:t> </w:t>
      </w:r>
      <w:r>
        <w:rPr>
          <w:color w:val="231F20"/>
        </w:rPr>
        <w:t>deslindarse</w:t>
      </w:r>
      <w:r>
        <w:rPr>
          <w:color w:val="231F20"/>
          <w:spacing w:val="-10"/>
        </w:rPr>
        <w:t> </w:t>
      </w:r>
      <w:r>
        <w:rPr>
          <w:color w:val="231F20"/>
        </w:rPr>
        <w:t>del</w:t>
      </w:r>
      <w:r>
        <w:rPr>
          <w:color w:val="231F20"/>
          <w:spacing w:val="-10"/>
        </w:rPr>
        <w:t> </w:t>
      </w:r>
      <w:r>
        <w:rPr>
          <w:color w:val="231F20"/>
        </w:rPr>
        <w:t>ám- bito doméstico. La dependencia económica que presentaron estas mu- jeres de sus cónyuges puede deberse al seguimiento de patrones socio- culturales en donde la mujer dependía completamente del hombre y se debía a su casa, comprendiendo esto la crianza de los hijos y la atención al marido, pero pudo deberse a lo que Bott (1990) considera unas redes sueltas, donde la relación de la pareja se convierte en la red más fortale- cida debido a condiciones contextuales donde no han tenido redes  </w:t>
      </w:r>
      <w:r>
        <w:rPr>
          <w:color w:val="231F20"/>
          <w:spacing w:val="34"/>
        </w:rPr>
        <w:t> </w:t>
      </w:r>
      <w:r>
        <w:rPr>
          <w:color w:val="231F20"/>
        </w:rPr>
        <w:t>más</w:t>
      </w:r>
    </w:p>
    <w:p>
      <w:pPr>
        <w:spacing w:after="0" w:line="249" w:lineRule="auto"/>
        <w:jc w:val="both"/>
        <w:sectPr>
          <w:pgSz w:w="7770" w:h="11740"/>
          <w:pgMar w:header="0" w:footer="474" w:top="840" w:bottom="740" w:left="740" w:right="1020"/>
        </w:sectPr>
      </w:pPr>
    </w:p>
    <w:p>
      <w:pPr>
        <w:pStyle w:val="BodyText"/>
        <w:spacing w:line="249" w:lineRule="auto" w:before="60"/>
        <w:ind w:left="113" w:right="128"/>
        <w:jc w:val="both"/>
      </w:pPr>
      <w:r>
        <w:rPr>
          <w:color w:val="231F20"/>
        </w:rPr>
        <w:t>amplias fuera del matrimonio, requiriendo satisfacer sus necesidades, en este caso económicas, con su cónyuge.</w:t>
      </w:r>
    </w:p>
    <w:p>
      <w:pPr>
        <w:pStyle w:val="BodyText"/>
        <w:spacing w:line="249" w:lineRule="auto" w:before="1"/>
        <w:ind w:left="113" w:right="127" w:firstLine="283"/>
        <w:jc w:val="both"/>
      </w:pPr>
      <w:r>
        <w:rPr>
          <w:color w:val="231F20"/>
        </w:rPr>
        <w:t>Es necesario precisar que ninguna de estas mujeres hizo carrera pro- fesional,</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ellas</w:t>
      </w:r>
      <w:r>
        <w:rPr>
          <w:color w:val="231F20"/>
          <w:spacing w:val="-6"/>
        </w:rPr>
        <w:t> </w:t>
      </w:r>
      <w:r>
        <w:rPr>
          <w:color w:val="231F20"/>
        </w:rPr>
        <w:t>estudió</w:t>
      </w:r>
      <w:r>
        <w:rPr>
          <w:color w:val="231F20"/>
          <w:spacing w:val="-6"/>
        </w:rPr>
        <w:t> </w:t>
      </w:r>
      <w:r>
        <w:rPr>
          <w:color w:val="231F20"/>
        </w:rPr>
        <w:t>sólo</w:t>
      </w:r>
      <w:r>
        <w:rPr>
          <w:color w:val="231F20"/>
          <w:spacing w:val="-5"/>
        </w:rPr>
        <w:t> </w:t>
      </w:r>
      <w:r>
        <w:rPr>
          <w:color w:val="231F20"/>
        </w:rPr>
        <w:t>hasta</w:t>
      </w:r>
      <w:r>
        <w:rPr>
          <w:color w:val="231F20"/>
          <w:spacing w:val="-5"/>
        </w:rPr>
        <w:t> </w:t>
      </w:r>
      <w:r>
        <w:rPr>
          <w:color w:val="231F20"/>
        </w:rPr>
        <w:t>tercero</w:t>
      </w:r>
      <w:r>
        <w:rPr>
          <w:color w:val="231F20"/>
          <w:spacing w:val="-6"/>
        </w:rPr>
        <w:t> </w:t>
      </w:r>
      <w:r>
        <w:rPr>
          <w:color w:val="231F20"/>
        </w:rPr>
        <w:t>de</w:t>
      </w:r>
      <w:r>
        <w:rPr>
          <w:color w:val="231F20"/>
          <w:spacing w:val="-5"/>
        </w:rPr>
        <w:t> </w:t>
      </w:r>
      <w:r>
        <w:rPr>
          <w:color w:val="231F20"/>
        </w:rPr>
        <w:t>primaria,</w:t>
      </w:r>
      <w:r>
        <w:rPr>
          <w:color w:val="231F20"/>
          <w:spacing w:val="-5"/>
        </w:rPr>
        <w:t> </w:t>
      </w:r>
      <w:r>
        <w:rPr>
          <w:color w:val="231F20"/>
        </w:rPr>
        <w:t>dos</w:t>
      </w:r>
      <w:r>
        <w:rPr>
          <w:color w:val="231F20"/>
          <w:spacing w:val="-5"/>
        </w:rPr>
        <w:t> </w:t>
      </w:r>
      <w:r>
        <w:rPr>
          <w:color w:val="231F20"/>
        </w:rPr>
        <w:t>termina- ron</w:t>
      </w:r>
      <w:r>
        <w:rPr>
          <w:color w:val="231F20"/>
          <w:spacing w:val="-9"/>
        </w:rPr>
        <w:t> </w:t>
      </w:r>
      <w:r>
        <w:rPr>
          <w:color w:val="231F20"/>
        </w:rPr>
        <w:t>la</w:t>
      </w:r>
      <w:r>
        <w:rPr>
          <w:color w:val="231F20"/>
          <w:spacing w:val="-9"/>
        </w:rPr>
        <w:t> </w:t>
      </w:r>
      <w:r>
        <w:rPr>
          <w:color w:val="231F20"/>
        </w:rPr>
        <w:t>primaria</w:t>
      </w:r>
      <w:r>
        <w:rPr>
          <w:color w:val="231F20"/>
          <w:spacing w:val="-9"/>
        </w:rPr>
        <w:t> </w:t>
      </w:r>
      <w:r>
        <w:rPr>
          <w:color w:val="231F20"/>
        </w:rPr>
        <w:t>y</w:t>
      </w:r>
      <w:r>
        <w:rPr>
          <w:color w:val="231F20"/>
          <w:spacing w:val="-9"/>
        </w:rPr>
        <w:t> </w:t>
      </w:r>
      <w:r>
        <w:rPr>
          <w:color w:val="231F20"/>
        </w:rPr>
        <w:t>una</w:t>
      </w:r>
      <w:r>
        <w:rPr>
          <w:color w:val="231F20"/>
          <w:spacing w:val="-9"/>
        </w:rPr>
        <w:t> </w:t>
      </w:r>
      <w:r>
        <w:rPr>
          <w:color w:val="231F20"/>
        </w:rPr>
        <w:t>estudió</w:t>
      </w:r>
      <w:r>
        <w:rPr>
          <w:color w:val="231F20"/>
          <w:spacing w:val="-9"/>
        </w:rPr>
        <w:t> </w:t>
      </w:r>
      <w:r>
        <w:rPr>
          <w:color w:val="231F20"/>
        </w:rPr>
        <w:t>una</w:t>
      </w:r>
      <w:r>
        <w:rPr>
          <w:color w:val="231F20"/>
          <w:spacing w:val="-9"/>
        </w:rPr>
        <w:t> </w:t>
      </w:r>
      <w:r>
        <w:rPr>
          <w:color w:val="231F20"/>
        </w:rPr>
        <w:t>carrera</w:t>
      </w:r>
      <w:r>
        <w:rPr>
          <w:color w:val="231F20"/>
          <w:spacing w:val="-9"/>
        </w:rPr>
        <w:t> </w:t>
      </w:r>
      <w:r>
        <w:rPr>
          <w:color w:val="231F20"/>
        </w:rPr>
        <w:t>comercial.</w:t>
      </w:r>
      <w:r>
        <w:rPr>
          <w:color w:val="231F20"/>
          <w:spacing w:val="-9"/>
        </w:rPr>
        <w:t> </w:t>
      </w:r>
      <w:r>
        <w:rPr>
          <w:color w:val="231F20"/>
        </w:rPr>
        <w:t>Esta</w:t>
      </w:r>
      <w:r>
        <w:rPr>
          <w:color w:val="231F20"/>
          <w:spacing w:val="-9"/>
        </w:rPr>
        <w:t> </w:t>
      </w:r>
      <w:r>
        <w:rPr>
          <w:color w:val="231F20"/>
        </w:rPr>
        <w:t>baja</w:t>
      </w:r>
      <w:r>
        <w:rPr>
          <w:color w:val="231F20"/>
          <w:spacing w:val="-9"/>
        </w:rPr>
        <w:t> </w:t>
      </w:r>
      <w:r>
        <w:rPr>
          <w:color w:val="231F20"/>
        </w:rPr>
        <w:t>escolaridad de las tres primeras propició que fueran distintas las oportunidades de trabajo</w:t>
      </w:r>
      <w:r>
        <w:rPr>
          <w:color w:val="231F20"/>
          <w:spacing w:val="-6"/>
        </w:rPr>
        <w:t> </w:t>
      </w:r>
      <w:r>
        <w:rPr>
          <w:color w:val="231F20"/>
        </w:rPr>
        <w:t>a</w:t>
      </w:r>
      <w:r>
        <w:rPr>
          <w:color w:val="231F20"/>
          <w:spacing w:val="-5"/>
        </w:rPr>
        <w:t> </w:t>
      </w:r>
      <w:r>
        <w:rPr>
          <w:color w:val="231F20"/>
        </w:rPr>
        <w:t>las</w:t>
      </w:r>
      <w:r>
        <w:rPr>
          <w:color w:val="231F20"/>
          <w:spacing w:val="-5"/>
        </w:rPr>
        <w:t> </w:t>
      </w:r>
      <w:r>
        <w:rPr>
          <w:color w:val="231F20"/>
        </w:rPr>
        <w:t>de</w:t>
      </w:r>
      <w:r>
        <w:rPr>
          <w:color w:val="231F20"/>
          <w:spacing w:val="-5"/>
        </w:rPr>
        <w:t> </w:t>
      </w:r>
      <w:r>
        <w:rPr>
          <w:color w:val="231F20"/>
        </w:rPr>
        <w:t>Ilse,</w:t>
      </w:r>
      <w:r>
        <w:rPr>
          <w:color w:val="231F20"/>
          <w:spacing w:val="-5"/>
        </w:rPr>
        <w:t> </w:t>
      </w:r>
      <w:r>
        <w:rPr>
          <w:color w:val="231F20"/>
        </w:rPr>
        <w:t>aunque,</w:t>
      </w:r>
      <w:r>
        <w:rPr>
          <w:color w:val="231F20"/>
          <w:spacing w:val="-6"/>
        </w:rPr>
        <w:t> </w:t>
      </w:r>
      <w:r>
        <w:rPr>
          <w:color w:val="231F20"/>
        </w:rPr>
        <w:t>con</w:t>
      </w:r>
      <w:r>
        <w:rPr>
          <w:color w:val="231F20"/>
          <w:spacing w:val="-5"/>
        </w:rPr>
        <w:t> </w:t>
      </w:r>
      <w:r>
        <w:rPr>
          <w:color w:val="231F20"/>
        </w:rPr>
        <w:t>excepción</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obrera,</w:t>
      </w:r>
      <w:r>
        <w:rPr>
          <w:color w:val="231F20"/>
          <w:spacing w:val="-5"/>
        </w:rPr>
        <w:t> </w:t>
      </w:r>
      <w:r>
        <w:rPr>
          <w:color w:val="231F20"/>
        </w:rPr>
        <w:t>las</w:t>
      </w:r>
      <w:r>
        <w:rPr>
          <w:color w:val="231F20"/>
          <w:spacing w:val="-5"/>
        </w:rPr>
        <w:t> </w:t>
      </w:r>
      <w:r>
        <w:rPr>
          <w:color w:val="231F20"/>
        </w:rPr>
        <w:t>otras</w:t>
      </w:r>
      <w:r>
        <w:rPr>
          <w:color w:val="231F20"/>
          <w:spacing w:val="-5"/>
        </w:rPr>
        <w:t> </w:t>
      </w:r>
      <w:r>
        <w:rPr>
          <w:color w:val="231F20"/>
        </w:rPr>
        <w:t>tres</w:t>
      </w:r>
      <w:r>
        <w:rPr>
          <w:color w:val="231F20"/>
          <w:spacing w:val="-5"/>
        </w:rPr>
        <w:t> </w:t>
      </w:r>
      <w:r>
        <w:rPr>
          <w:color w:val="231F20"/>
        </w:rPr>
        <w:t>tu- vieron empleos ubicados en el sector terciario del que muchas autoras (García, 1988; Oliveira, 1988; González de la Rocha, 1986; Sheridan, 1991) hablan como el que alojó a las mujeres que se integraron a la vida remunerada, asunto ya dicho en este</w:t>
      </w:r>
      <w:r>
        <w:rPr>
          <w:color w:val="231F20"/>
          <w:spacing w:val="-3"/>
        </w:rPr>
        <w:t> </w:t>
      </w:r>
      <w:r>
        <w:rPr>
          <w:color w:val="231F20"/>
        </w:rPr>
        <w:t>trabajo.</w:t>
      </w:r>
    </w:p>
    <w:p>
      <w:pPr>
        <w:pStyle w:val="BodyText"/>
        <w:spacing w:line="249" w:lineRule="auto" w:before="1"/>
        <w:ind w:left="113" w:right="127" w:firstLine="283"/>
        <w:jc w:val="both"/>
      </w:pPr>
      <w:r>
        <w:rPr>
          <w:color w:val="231F20"/>
        </w:rPr>
        <w:t>Un punto más en común: en este grupo no existe el retiro, tres de ellas han prolongado su actividad principal en su vida, la crianza, o por lo menos el cuidado de nietos. Sólo Chuy puede tener menos responsa- bilidades, pues la mayoría de sus nietos son grandes y a los chicos los cuida muy de vez en cuando. Para las otras tres el momento de retirarse no</w:t>
      </w:r>
      <w:r>
        <w:rPr>
          <w:color w:val="231F20"/>
          <w:spacing w:val="-6"/>
        </w:rPr>
        <w:t> </w:t>
      </w:r>
      <w:r>
        <w:rPr>
          <w:color w:val="231F20"/>
        </w:rPr>
        <w:t>se</w:t>
      </w:r>
      <w:r>
        <w:rPr>
          <w:color w:val="231F20"/>
          <w:spacing w:val="-6"/>
        </w:rPr>
        <w:t> </w:t>
      </w:r>
      <w:r>
        <w:rPr>
          <w:color w:val="231F20"/>
        </w:rPr>
        <w:t>alcanza</w:t>
      </w:r>
      <w:r>
        <w:rPr>
          <w:color w:val="231F20"/>
          <w:spacing w:val="-7"/>
        </w:rPr>
        <w:t> </w:t>
      </w:r>
      <w:r>
        <w:rPr>
          <w:color w:val="231F20"/>
        </w:rPr>
        <w:t>a</w:t>
      </w:r>
      <w:r>
        <w:rPr>
          <w:color w:val="231F20"/>
          <w:spacing w:val="-6"/>
        </w:rPr>
        <w:t> </w:t>
      </w:r>
      <w:r>
        <w:rPr>
          <w:color w:val="231F20"/>
        </w:rPr>
        <w:t>vislumbrar,</w:t>
      </w:r>
      <w:r>
        <w:rPr>
          <w:color w:val="231F20"/>
          <w:spacing w:val="-6"/>
        </w:rPr>
        <w:t> </w:t>
      </w:r>
      <w:r>
        <w:rPr>
          <w:color w:val="231F20"/>
        </w:rPr>
        <w:t>ya</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pesar</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algunas</w:t>
      </w:r>
      <w:r>
        <w:rPr>
          <w:color w:val="231F20"/>
          <w:spacing w:val="-7"/>
        </w:rPr>
        <w:t> </w:t>
      </w:r>
      <w:r>
        <w:rPr>
          <w:color w:val="231F20"/>
        </w:rPr>
        <w:t>tienen</w:t>
      </w:r>
      <w:r>
        <w:rPr>
          <w:color w:val="231F20"/>
          <w:spacing w:val="-7"/>
        </w:rPr>
        <w:t> </w:t>
      </w:r>
      <w:r>
        <w:rPr>
          <w:color w:val="231F20"/>
        </w:rPr>
        <w:t>ingresos económicos por pensiones no es equiparable a que estén retiradas, la di- ferencia</w:t>
      </w:r>
      <w:r>
        <w:rPr>
          <w:color w:val="231F20"/>
          <w:spacing w:val="-6"/>
        </w:rPr>
        <w:t> </w:t>
      </w:r>
      <w:r>
        <w:rPr>
          <w:color w:val="231F20"/>
        </w:rPr>
        <w:t>radica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conceptos</w:t>
      </w:r>
      <w:r>
        <w:rPr>
          <w:color w:val="231F20"/>
          <w:spacing w:val="-7"/>
        </w:rPr>
        <w:t> </w:t>
      </w:r>
      <w:r>
        <w:rPr>
          <w:color w:val="231F20"/>
        </w:rPr>
        <w:t>de</w:t>
      </w:r>
      <w:r>
        <w:rPr>
          <w:color w:val="231F20"/>
          <w:spacing w:val="-6"/>
        </w:rPr>
        <w:t> </w:t>
      </w:r>
      <w:r>
        <w:rPr>
          <w:color w:val="231F20"/>
        </w:rPr>
        <w:t>jubilación</w:t>
      </w:r>
      <w:r>
        <w:rPr>
          <w:color w:val="231F20"/>
          <w:spacing w:val="-7"/>
        </w:rPr>
        <w:t> </w:t>
      </w:r>
      <w:r>
        <w:rPr>
          <w:color w:val="231F20"/>
        </w:rPr>
        <w:t>y</w:t>
      </w:r>
      <w:r>
        <w:rPr>
          <w:color w:val="231F20"/>
          <w:spacing w:val="-6"/>
        </w:rPr>
        <w:t> </w:t>
      </w:r>
      <w:r>
        <w:rPr>
          <w:color w:val="231F20"/>
        </w:rPr>
        <w:t>retiro</w:t>
      </w:r>
      <w:r>
        <w:rPr>
          <w:color w:val="231F20"/>
          <w:spacing w:val="-6"/>
        </w:rPr>
        <w:t> </w:t>
      </w:r>
      <w:r>
        <w:rPr>
          <w:color w:val="231F20"/>
        </w:rPr>
        <w:t>que</w:t>
      </w:r>
      <w:r>
        <w:rPr>
          <w:color w:val="231F20"/>
          <w:spacing w:val="-6"/>
        </w:rPr>
        <w:t> </w:t>
      </w:r>
      <w:r>
        <w:rPr>
          <w:color w:val="231F20"/>
        </w:rPr>
        <w:t>manejo</w:t>
      </w:r>
      <w:r>
        <w:rPr>
          <w:color w:val="231F20"/>
          <w:spacing w:val="-7"/>
        </w:rPr>
        <w:t> </w:t>
      </w:r>
      <w:r>
        <w:rPr>
          <w:color w:val="231F20"/>
        </w:rPr>
        <w:t>en</w:t>
      </w:r>
      <w:r>
        <w:rPr>
          <w:color w:val="231F20"/>
          <w:spacing w:val="-6"/>
        </w:rPr>
        <w:t> </w:t>
      </w:r>
      <w:r>
        <w:rPr>
          <w:color w:val="231F20"/>
        </w:rPr>
        <w:t>este trabajo de</w:t>
      </w:r>
      <w:r>
        <w:rPr>
          <w:color w:val="231F20"/>
          <w:spacing w:val="-1"/>
        </w:rPr>
        <w:t> </w:t>
      </w:r>
      <w:r>
        <w:rPr>
          <w:color w:val="231F20"/>
        </w:rPr>
        <w:t>investigación.</w:t>
      </w:r>
    </w:p>
    <w:p>
      <w:pPr>
        <w:pStyle w:val="BodyText"/>
        <w:spacing w:line="249" w:lineRule="auto" w:before="114"/>
        <w:ind w:left="397" w:right="127"/>
        <w:jc w:val="both"/>
      </w:pPr>
      <w:r>
        <w:rPr>
          <w:color w:val="231F20"/>
        </w:rPr>
        <w:t>Ahora, por los años que pasan, se siente uno más cansada, o sea que ya trabajé demasiado, porque yo sí trabajé mucho, porque todavía cuando vivía con mi suegra, cuando yo llegué a vivir con ella llegué a hacerles su quehacer, a lavarles, a plancharles, a darles de comer a todos, porque eran nueve, todavía estaban dos de mis cuñados, como Tomás era el más chico, una de mis cuñadas también estaba chica, tenía como, como 10 años, entonces, yo los llevaba a la escuela, yo los bañaba y yo los peinaba, entonces imagínese, era así.</w:t>
      </w:r>
    </w:p>
    <w:p>
      <w:pPr>
        <w:pStyle w:val="BodyText"/>
        <w:spacing w:before="114"/>
        <w:ind w:left="397"/>
        <w:jc w:val="both"/>
      </w:pPr>
      <w:r>
        <w:rPr>
          <w:color w:val="231F20"/>
        </w:rPr>
        <w:t>Así ha sido siempre la vida de Juana.</w:t>
      </w:r>
    </w:p>
    <w:p>
      <w:pPr>
        <w:pStyle w:val="Heading4"/>
        <w:spacing w:before="142"/>
      </w:pPr>
      <w:r>
        <w:rPr>
          <w:w w:val="75"/>
        </w:rPr>
        <w:t>Vida actual y vida cotidiana</w:t>
      </w:r>
    </w:p>
    <w:p>
      <w:pPr>
        <w:pStyle w:val="BodyText"/>
        <w:spacing w:line="249" w:lineRule="auto" w:before="171"/>
        <w:ind w:left="113" w:right="113"/>
        <w:jc w:val="both"/>
      </w:pPr>
      <w:r>
        <w:rPr>
          <w:color w:val="231F20"/>
        </w:rPr>
        <w:t>Tres</w:t>
      </w:r>
      <w:r>
        <w:rPr>
          <w:color w:val="231F20"/>
          <w:spacing w:val="-3"/>
        </w:rPr>
        <w:t> </w:t>
      </w:r>
      <w:r>
        <w:rPr>
          <w:color w:val="231F20"/>
        </w:rPr>
        <w:t>de</w:t>
      </w:r>
      <w:r>
        <w:rPr>
          <w:color w:val="231F20"/>
          <w:spacing w:val="-3"/>
        </w:rPr>
        <w:t> </w:t>
      </w:r>
      <w:r>
        <w:rPr>
          <w:color w:val="231F20"/>
        </w:rPr>
        <w:t>estas</w:t>
      </w:r>
      <w:r>
        <w:rPr>
          <w:color w:val="231F20"/>
          <w:spacing w:val="-3"/>
        </w:rPr>
        <w:t> </w:t>
      </w:r>
      <w:r>
        <w:rPr>
          <w:color w:val="231F20"/>
        </w:rPr>
        <w:t>mujeres</w:t>
      </w:r>
      <w:r>
        <w:rPr>
          <w:color w:val="231F20"/>
          <w:spacing w:val="-3"/>
        </w:rPr>
        <w:t> </w:t>
      </w:r>
      <w:r>
        <w:rPr>
          <w:color w:val="231F20"/>
        </w:rPr>
        <w:t>llegaron</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vejez</w:t>
      </w:r>
      <w:r>
        <w:rPr>
          <w:color w:val="231F20"/>
          <w:spacing w:val="-3"/>
        </w:rPr>
        <w:t> </w:t>
      </w:r>
      <w:r>
        <w:rPr>
          <w:color w:val="231F20"/>
        </w:rPr>
        <w:t>con</w:t>
      </w:r>
      <w:r>
        <w:rPr>
          <w:color w:val="231F20"/>
          <w:spacing w:val="-3"/>
        </w:rPr>
        <w:t> </w:t>
      </w:r>
      <w:r>
        <w:rPr>
          <w:color w:val="231F20"/>
        </w:rPr>
        <w:t>su</w:t>
      </w:r>
      <w:r>
        <w:rPr>
          <w:color w:val="231F20"/>
          <w:spacing w:val="-3"/>
        </w:rPr>
        <w:t> </w:t>
      </w:r>
      <w:r>
        <w:rPr>
          <w:color w:val="231F20"/>
        </w:rPr>
        <w:t>cónyuge</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que</w:t>
      </w:r>
      <w:r>
        <w:rPr>
          <w:color w:val="231F20"/>
          <w:spacing w:val="-3"/>
        </w:rPr>
        <w:t> </w:t>
      </w:r>
      <w:r>
        <w:rPr>
          <w:color w:val="231F20"/>
        </w:rPr>
        <w:t>no,</w:t>
      </w:r>
      <w:r>
        <w:rPr>
          <w:color w:val="231F20"/>
          <w:spacing w:val="-3"/>
        </w:rPr>
        <w:t> </w:t>
      </w:r>
      <w:r>
        <w:rPr>
          <w:color w:val="231F20"/>
        </w:rPr>
        <w:t>fue a causa de una separación hace más de 20 años, sin embargo, al cuestio- narle</w:t>
      </w:r>
      <w:r>
        <w:rPr>
          <w:color w:val="231F20"/>
          <w:spacing w:val="-8"/>
        </w:rPr>
        <w:t> </w:t>
      </w:r>
      <w:r>
        <w:rPr>
          <w:color w:val="231F20"/>
        </w:rPr>
        <w:t>si</w:t>
      </w:r>
      <w:r>
        <w:rPr>
          <w:color w:val="231F20"/>
          <w:spacing w:val="-8"/>
        </w:rPr>
        <w:t> </w:t>
      </w:r>
      <w:r>
        <w:rPr>
          <w:color w:val="231F20"/>
        </w:rPr>
        <w:t>le</w:t>
      </w:r>
      <w:r>
        <w:rPr>
          <w:color w:val="231F20"/>
          <w:spacing w:val="-8"/>
        </w:rPr>
        <w:t> </w:t>
      </w:r>
      <w:r>
        <w:rPr>
          <w:color w:val="231F20"/>
        </w:rPr>
        <w:t>hubiera</w:t>
      </w:r>
      <w:r>
        <w:rPr>
          <w:color w:val="231F20"/>
          <w:spacing w:val="-8"/>
        </w:rPr>
        <w:t> </w:t>
      </w:r>
      <w:r>
        <w:rPr>
          <w:color w:val="231F20"/>
        </w:rPr>
        <w:t>gustado</w:t>
      </w:r>
      <w:r>
        <w:rPr>
          <w:color w:val="231F20"/>
          <w:spacing w:val="-8"/>
        </w:rPr>
        <w:t> </w:t>
      </w:r>
      <w:r>
        <w:rPr>
          <w:color w:val="231F20"/>
        </w:rPr>
        <w:t>llegar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vejez</w:t>
      </w:r>
      <w:r>
        <w:rPr>
          <w:color w:val="231F20"/>
          <w:spacing w:val="-8"/>
        </w:rPr>
        <w:t> </w:t>
      </w:r>
      <w:r>
        <w:rPr>
          <w:color w:val="231F20"/>
        </w:rPr>
        <w:t>con</w:t>
      </w:r>
      <w:r>
        <w:rPr>
          <w:color w:val="231F20"/>
          <w:spacing w:val="-8"/>
        </w:rPr>
        <w:t> </w:t>
      </w:r>
      <w:r>
        <w:rPr>
          <w:color w:val="231F20"/>
        </w:rPr>
        <w:t>su</w:t>
      </w:r>
      <w:r>
        <w:rPr>
          <w:color w:val="231F20"/>
          <w:spacing w:val="-8"/>
        </w:rPr>
        <w:t> </w:t>
      </w:r>
      <w:r>
        <w:rPr>
          <w:color w:val="231F20"/>
        </w:rPr>
        <w:t>marido,</w:t>
      </w:r>
      <w:r>
        <w:rPr>
          <w:color w:val="231F20"/>
          <w:spacing w:val="-8"/>
        </w:rPr>
        <w:t> </w:t>
      </w:r>
      <w:r>
        <w:rPr>
          <w:color w:val="231F20"/>
        </w:rPr>
        <w:t>Juana</w:t>
      </w:r>
      <w:r>
        <w:rPr>
          <w:color w:val="231F20"/>
          <w:spacing w:val="-7"/>
        </w:rPr>
        <w:t> </w:t>
      </w:r>
      <w:r>
        <w:rPr>
          <w:color w:val="231F20"/>
        </w:rPr>
        <w:t>dice</w:t>
      </w:r>
      <w:r>
        <w:rPr>
          <w:color w:val="231F20"/>
          <w:spacing w:val="-8"/>
        </w:rPr>
        <w:t> </w:t>
      </w:r>
      <w:r>
        <w:rPr>
          <w:color w:val="231F20"/>
        </w:rPr>
        <w:t>que “sí, porque, pues ¡ay cuántos matrimonios que ya están viejitos y los ves juntos, qué bonito es eso!, ¿a poco no?, porque uno y otro se jalan pa’ donde quieren”.</w:t>
      </w:r>
    </w:p>
    <w:p>
      <w:pPr>
        <w:pStyle w:val="BodyText"/>
        <w:spacing w:line="249" w:lineRule="auto" w:before="1"/>
        <w:ind w:left="113" w:right="128" w:firstLine="283"/>
        <w:jc w:val="both"/>
      </w:pPr>
      <w:r>
        <w:rPr>
          <w:color w:val="231F20"/>
        </w:rPr>
        <w:t>Las cuatro mujeres comparten el techo, ya sea como familia extensa o conjunta, con, por lo menos, dos generaciones más, mínimo uno de</w:t>
      </w:r>
    </w:p>
    <w:p>
      <w:pPr>
        <w:spacing w:after="0" w:line="249" w:lineRule="auto"/>
        <w:jc w:val="both"/>
        <w:sectPr>
          <w:footerReference w:type="default" r:id="rId277"/>
          <w:pgSz w:w="7770" w:h="11740"/>
          <w:pgMar w:footer="474" w:header="0" w:top="840" w:bottom="660" w:left="1020" w:right="720"/>
          <w:pgNumType w:start="263"/>
        </w:sectPr>
      </w:pPr>
    </w:p>
    <w:p>
      <w:pPr>
        <w:pStyle w:val="BodyText"/>
        <w:spacing w:line="249" w:lineRule="auto" w:before="60"/>
        <w:ind w:left="110" w:right="111"/>
        <w:jc w:val="both"/>
      </w:pPr>
      <w:r>
        <w:rPr>
          <w:color w:val="231F20"/>
        </w:rPr>
        <w:t>sus hijos y un nieto, e incluso un bisnieto en el caso de </w:t>
      </w:r>
      <w:r>
        <w:rPr>
          <w:color w:val="231F20"/>
          <w:spacing w:val="-3"/>
        </w:rPr>
        <w:t>Chuy. </w:t>
      </w:r>
      <w:r>
        <w:rPr>
          <w:color w:val="231F20"/>
        </w:rPr>
        <w:t>Juana vive con tres hijos, dos mujeres, cada una con un hijo, y un hombre soltero, además de los dos nietos a su cargo.</w:t>
      </w:r>
    </w:p>
    <w:p>
      <w:pPr>
        <w:pStyle w:val="BodyText"/>
        <w:spacing w:line="249" w:lineRule="auto" w:before="1"/>
        <w:ind w:left="110" w:right="110" w:firstLine="283"/>
        <w:jc w:val="both"/>
      </w:pPr>
      <w:r>
        <w:rPr>
          <w:color w:val="231F20"/>
        </w:rPr>
        <w:t>En cuanto a jefatura de familia, dos de ellas la ejercen; </w:t>
      </w:r>
      <w:r>
        <w:rPr>
          <w:color w:val="231F20"/>
          <w:spacing w:val="-3"/>
        </w:rPr>
        <w:t>Toña, </w:t>
      </w:r>
      <w:r>
        <w:rPr>
          <w:color w:val="231F20"/>
        </w:rPr>
        <w:t>a la muerte de su esposo, se volvió jefa de familia. Comparte su casa con dos hijos que sólo trabajan esporádicamente, por lo que no contribuyen realmente al gasto familiar y con una nieta que, aunque mayor de edad, tampoco lo hace. La responsabilidad económica recae en </w:t>
      </w:r>
      <w:r>
        <w:rPr>
          <w:color w:val="231F20"/>
          <w:spacing w:val="-4"/>
        </w:rPr>
        <w:t>Toña </w:t>
      </w:r>
      <w:r>
        <w:rPr>
          <w:color w:val="231F20"/>
        </w:rPr>
        <w:t>(que</w:t>
      </w:r>
      <w:r>
        <w:rPr>
          <w:color w:val="231F20"/>
          <w:spacing w:val="-19"/>
        </w:rPr>
        <w:t> </w:t>
      </w:r>
      <w:r>
        <w:rPr>
          <w:color w:val="231F20"/>
        </w:rPr>
        <w:t>vive de la pensión que tiene por viudez y de algunas ventas que re, asimismo la toma de decisiones respecto al</w:t>
      </w:r>
      <w:r>
        <w:rPr>
          <w:color w:val="231F20"/>
          <w:spacing w:val="-13"/>
        </w:rPr>
        <w:t> </w:t>
      </w:r>
      <w:r>
        <w:rPr>
          <w:color w:val="231F20"/>
        </w:rPr>
        <w:t>hogar.</w:t>
      </w:r>
    </w:p>
    <w:p>
      <w:pPr>
        <w:pStyle w:val="BodyText"/>
        <w:spacing w:line="249" w:lineRule="auto" w:before="1"/>
        <w:ind w:left="110" w:right="111" w:firstLine="283"/>
        <w:jc w:val="both"/>
      </w:pPr>
      <w:r>
        <w:rPr>
          <w:color w:val="231F20"/>
        </w:rPr>
        <w:t>Chuy es jefa de familia aunque como corresidente no tiene a nadie, ella se hace cargo de sí misma, y ha mantenido actividades dedicadas a su persona, claro, esto sólo ha sido posible a partir de su viudez y con la pensión</w:t>
      </w:r>
      <w:r>
        <w:rPr>
          <w:color w:val="231F20"/>
          <w:spacing w:val="-6"/>
        </w:rPr>
        <w:t> </w:t>
      </w:r>
      <w:r>
        <w:rPr>
          <w:color w:val="231F20"/>
        </w:rPr>
        <w:t>“modesta”,</w:t>
      </w:r>
      <w:r>
        <w:rPr>
          <w:color w:val="231F20"/>
          <w:spacing w:val="-6"/>
        </w:rPr>
        <w:t> </w:t>
      </w:r>
      <w:r>
        <w:rPr>
          <w:color w:val="231F20"/>
        </w:rPr>
        <w:t>dice</w:t>
      </w:r>
      <w:r>
        <w:rPr>
          <w:color w:val="231F20"/>
          <w:spacing w:val="-6"/>
        </w:rPr>
        <w:t> </w:t>
      </w:r>
      <w:r>
        <w:rPr>
          <w:color w:val="231F20"/>
        </w:rPr>
        <w:t>ella,</w:t>
      </w:r>
      <w:r>
        <w:rPr>
          <w:color w:val="231F20"/>
          <w:spacing w:val="-6"/>
        </w:rPr>
        <w:t> </w:t>
      </w:r>
      <w:r>
        <w:rPr>
          <w:color w:val="231F20"/>
        </w:rPr>
        <w:t>que</w:t>
      </w:r>
      <w:r>
        <w:rPr>
          <w:color w:val="231F20"/>
          <w:spacing w:val="-6"/>
        </w:rPr>
        <w:t> </w:t>
      </w:r>
      <w:r>
        <w:rPr>
          <w:color w:val="231F20"/>
        </w:rPr>
        <w:t>le</w:t>
      </w:r>
      <w:r>
        <w:rPr>
          <w:color w:val="231F20"/>
          <w:spacing w:val="-6"/>
        </w:rPr>
        <w:t> </w:t>
      </w:r>
      <w:r>
        <w:rPr>
          <w:color w:val="231F20"/>
        </w:rPr>
        <w:t>dejó</w:t>
      </w:r>
      <w:r>
        <w:rPr>
          <w:color w:val="231F20"/>
          <w:spacing w:val="-6"/>
        </w:rPr>
        <w:t> </w:t>
      </w:r>
      <w:r>
        <w:rPr>
          <w:color w:val="231F20"/>
        </w:rPr>
        <w:t>su</w:t>
      </w:r>
      <w:r>
        <w:rPr>
          <w:color w:val="231F20"/>
          <w:spacing w:val="-6"/>
        </w:rPr>
        <w:t> </w:t>
      </w:r>
      <w:r>
        <w:rPr>
          <w:color w:val="231F20"/>
        </w:rPr>
        <w:t>esposo;</w:t>
      </w:r>
      <w:r>
        <w:rPr>
          <w:color w:val="231F20"/>
          <w:spacing w:val="-6"/>
        </w:rPr>
        <w:t> </w:t>
      </w:r>
      <w:r>
        <w:rPr>
          <w:color w:val="231F20"/>
        </w:rPr>
        <w:t>y</w:t>
      </w:r>
      <w:r>
        <w:rPr>
          <w:color w:val="231F20"/>
          <w:spacing w:val="-6"/>
        </w:rPr>
        <w:t> </w:t>
      </w:r>
      <w:r>
        <w:rPr>
          <w:color w:val="231F20"/>
        </w:rPr>
        <w:t>al</w:t>
      </w:r>
      <w:r>
        <w:rPr>
          <w:color w:val="231F20"/>
          <w:spacing w:val="-6"/>
        </w:rPr>
        <w:t> </w:t>
      </w:r>
      <w:r>
        <w:rPr>
          <w:color w:val="231F20"/>
        </w:rPr>
        <w:t>no</w:t>
      </w:r>
      <w:r>
        <w:rPr>
          <w:color w:val="231F20"/>
          <w:spacing w:val="-6"/>
        </w:rPr>
        <w:t> </w:t>
      </w:r>
      <w:r>
        <w:rPr>
          <w:color w:val="231F20"/>
        </w:rPr>
        <w:t>tener</w:t>
      </w:r>
      <w:r>
        <w:rPr>
          <w:color w:val="231F20"/>
          <w:spacing w:val="-6"/>
        </w:rPr>
        <w:t> </w:t>
      </w:r>
      <w:r>
        <w:rPr>
          <w:color w:val="231F20"/>
        </w:rPr>
        <w:t>respon- sabilidades sale uno o dos veces por año al extranjero para ver a su hijo que radica en Estados Unidos (y quien le manda dinero para el viaje), lo cual ella hace con facilidad porque dispone de su tiempo y de sus activi- dades, afirma</w:t>
      </w:r>
      <w:r>
        <w:rPr>
          <w:color w:val="231F20"/>
          <w:spacing w:val="-11"/>
        </w:rPr>
        <w:t> </w:t>
      </w:r>
      <w:r>
        <w:rPr>
          <w:color w:val="231F20"/>
        </w:rPr>
        <w:t>ella.</w:t>
      </w:r>
    </w:p>
    <w:p>
      <w:pPr>
        <w:pStyle w:val="BodyText"/>
        <w:spacing w:line="249" w:lineRule="auto" w:before="1"/>
        <w:ind w:left="110" w:right="111" w:firstLine="283"/>
        <w:jc w:val="both"/>
      </w:pPr>
      <w:r>
        <w:rPr>
          <w:color w:val="231F20"/>
        </w:rPr>
        <w:t>Ilse no es jefa del hogar, pues las responsabilidades económicas y decisiones</w:t>
      </w:r>
      <w:r>
        <w:rPr>
          <w:color w:val="231F20"/>
          <w:spacing w:val="-10"/>
        </w:rPr>
        <w:t> </w:t>
      </w:r>
      <w:r>
        <w:rPr>
          <w:color w:val="231F20"/>
        </w:rPr>
        <w:t>siguen</w:t>
      </w:r>
      <w:r>
        <w:rPr>
          <w:color w:val="231F20"/>
          <w:spacing w:val="-10"/>
        </w:rPr>
        <w:t> </w:t>
      </w:r>
      <w:r>
        <w:rPr>
          <w:color w:val="231F20"/>
        </w:rPr>
        <w:t>por</w:t>
      </w:r>
      <w:r>
        <w:rPr>
          <w:color w:val="231F20"/>
          <w:spacing w:val="-10"/>
        </w:rPr>
        <w:t> </w:t>
      </w:r>
      <w:r>
        <w:rPr>
          <w:color w:val="231F20"/>
        </w:rPr>
        <w:t>completo</w:t>
      </w:r>
      <w:r>
        <w:rPr>
          <w:color w:val="231F20"/>
          <w:spacing w:val="-11"/>
        </w:rPr>
        <w:t> </w:t>
      </w:r>
      <w:r>
        <w:rPr>
          <w:color w:val="231F20"/>
        </w:rPr>
        <w:t>a</w:t>
      </w:r>
      <w:r>
        <w:rPr>
          <w:color w:val="231F20"/>
          <w:spacing w:val="-10"/>
        </w:rPr>
        <w:t> </w:t>
      </w:r>
      <w:r>
        <w:rPr>
          <w:color w:val="231F20"/>
        </w:rPr>
        <w:t>cargo</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esposo</w:t>
      </w:r>
      <w:r>
        <w:rPr>
          <w:color w:val="231F20"/>
          <w:spacing w:val="-11"/>
        </w:rPr>
        <w:t> </w:t>
      </w:r>
      <w:r>
        <w:rPr>
          <w:color w:val="231F20"/>
        </w:rPr>
        <w:t>y</w:t>
      </w:r>
      <w:r>
        <w:rPr>
          <w:color w:val="231F20"/>
          <w:spacing w:val="-10"/>
        </w:rPr>
        <w:t> </w:t>
      </w:r>
      <w:r>
        <w:rPr>
          <w:color w:val="231F20"/>
        </w:rPr>
        <w:t>contribuye</w:t>
      </w:r>
      <w:r>
        <w:rPr>
          <w:color w:val="231F20"/>
          <w:spacing w:val="-11"/>
        </w:rPr>
        <w:t> </w:t>
      </w:r>
      <w:r>
        <w:rPr>
          <w:color w:val="231F20"/>
        </w:rPr>
        <w:t>su</w:t>
      </w:r>
      <w:r>
        <w:rPr>
          <w:color w:val="231F20"/>
          <w:spacing w:val="-10"/>
        </w:rPr>
        <w:t> </w:t>
      </w:r>
      <w:r>
        <w:rPr>
          <w:color w:val="231F20"/>
        </w:rPr>
        <w:t>hija, y</w:t>
      </w:r>
      <w:r>
        <w:rPr>
          <w:color w:val="231F20"/>
          <w:spacing w:val="-7"/>
        </w:rPr>
        <w:t> </w:t>
      </w:r>
      <w:r>
        <w:rPr>
          <w:color w:val="231F20"/>
        </w:rPr>
        <w:t>a</w:t>
      </w:r>
      <w:r>
        <w:rPr>
          <w:color w:val="231F20"/>
          <w:spacing w:val="-7"/>
        </w:rPr>
        <w:t> </w:t>
      </w:r>
      <w:r>
        <w:rPr>
          <w:color w:val="231F20"/>
        </w:rPr>
        <w:t>pesar</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ella</w:t>
      </w:r>
      <w:r>
        <w:rPr>
          <w:color w:val="231F20"/>
          <w:spacing w:val="-8"/>
        </w:rPr>
        <w:t> </w:t>
      </w:r>
      <w:r>
        <w:rPr>
          <w:color w:val="231F20"/>
        </w:rPr>
        <w:t>se</w:t>
      </w:r>
      <w:r>
        <w:rPr>
          <w:color w:val="231F20"/>
          <w:spacing w:val="-7"/>
        </w:rPr>
        <w:t> </w:t>
      </w:r>
      <w:r>
        <w:rPr>
          <w:color w:val="231F20"/>
        </w:rPr>
        <w:t>encarga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casa</w:t>
      </w:r>
      <w:r>
        <w:rPr>
          <w:color w:val="231F20"/>
          <w:spacing w:val="-8"/>
        </w:rPr>
        <w:t> </w:t>
      </w:r>
      <w:r>
        <w:rPr>
          <w:color w:val="231F20"/>
        </w:rPr>
        <w:t>y</w:t>
      </w:r>
      <w:r>
        <w:rPr>
          <w:color w:val="231F20"/>
          <w:spacing w:val="-7"/>
        </w:rPr>
        <w:t> </w:t>
      </w:r>
      <w:r>
        <w:rPr>
          <w:color w:val="231F20"/>
        </w:rPr>
        <w:t>sus</w:t>
      </w:r>
      <w:r>
        <w:rPr>
          <w:color w:val="231F20"/>
          <w:spacing w:val="-7"/>
        </w:rPr>
        <w:t> </w:t>
      </w:r>
      <w:r>
        <w:rPr>
          <w:color w:val="231F20"/>
        </w:rPr>
        <w:t>quehaceres,</w:t>
      </w:r>
      <w:r>
        <w:rPr>
          <w:color w:val="231F20"/>
          <w:spacing w:val="-7"/>
        </w:rPr>
        <w:t> </w:t>
      </w:r>
      <w:r>
        <w:rPr>
          <w:color w:val="231F20"/>
        </w:rPr>
        <w:t>por</w:t>
      </w:r>
      <w:r>
        <w:rPr>
          <w:color w:val="231F20"/>
          <w:spacing w:val="-7"/>
        </w:rPr>
        <w:t> </w:t>
      </w:r>
      <w:r>
        <w:rPr>
          <w:color w:val="231F20"/>
        </w:rPr>
        <w:t>lo</w:t>
      </w:r>
      <w:r>
        <w:rPr>
          <w:color w:val="231F20"/>
          <w:spacing w:val="-8"/>
        </w:rPr>
        <w:t> </w:t>
      </w:r>
      <w:r>
        <w:rPr>
          <w:color w:val="231F20"/>
        </w:rPr>
        <w:t>menos de supervisarlos, lo cierto es que cualquier decisión importante debe ser aprobada por su esposo. A pesar de que ella tiene otras actividades</w:t>
      </w:r>
      <w:r>
        <w:rPr>
          <w:color w:val="231F20"/>
          <w:spacing w:val="-18"/>
        </w:rPr>
        <w:t> </w:t>
      </w:r>
      <w:r>
        <w:rPr>
          <w:color w:val="231F20"/>
        </w:rPr>
        <w:t>fuera de</w:t>
      </w:r>
      <w:r>
        <w:rPr>
          <w:color w:val="231F20"/>
          <w:spacing w:val="-4"/>
        </w:rPr>
        <w:t> </w:t>
      </w:r>
      <w:r>
        <w:rPr>
          <w:color w:val="231F20"/>
        </w:rPr>
        <w:t>su</w:t>
      </w:r>
      <w:r>
        <w:rPr>
          <w:color w:val="231F20"/>
          <w:spacing w:val="-4"/>
        </w:rPr>
        <w:t> </w:t>
      </w:r>
      <w:r>
        <w:rPr>
          <w:color w:val="231F20"/>
        </w:rPr>
        <w:t>hogar</w:t>
      </w:r>
      <w:r>
        <w:rPr>
          <w:color w:val="231F20"/>
          <w:spacing w:val="-4"/>
        </w:rPr>
        <w:t> </w:t>
      </w:r>
      <w:r>
        <w:rPr>
          <w:color w:val="231F20"/>
        </w:rPr>
        <w:t>ninguna</w:t>
      </w:r>
      <w:r>
        <w:rPr>
          <w:color w:val="231F20"/>
          <w:spacing w:val="-4"/>
        </w:rPr>
        <w:t> </w:t>
      </w:r>
      <w:r>
        <w:rPr>
          <w:color w:val="231F20"/>
        </w:rPr>
        <w:t>está</w:t>
      </w:r>
      <w:r>
        <w:rPr>
          <w:color w:val="231F20"/>
          <w:spacing w:val="-4"/>
        </w:rPr>
        <w:t> </w:t>
      </w:r>
      <w:r>
        <w:rPr>
          <w:color w:val="231F20"/>
        </w:rPr>
        <w:t>dedicada</w:t>
      </w:r>
      <w:r>
        <w:rPr>
          <w:color w:val="231F20"/>
          <w:spacing w:val="-4"/>
        </w:rPr>
        <w:t> </w:t>
      </w:r>
      <w:r>
        <w:rPr>
          <w:color w:val="231F20"/>
        </w:rPr>
        <w:t>a</w:t>
      </w:r>
      <w:r>
        <w:rPr>
          <w:color w:val="231F20"/>
          <w:spacing w:val="-4"/>
        </w:rPr>
        <w:t> </w:t>
      </w:r>
      <w:r>
        <w:rPr>
          <w:color w:val="231F20"/>
        </w:rPr>
        <w:t>su</w:t>
      </w:r>
      <w:r>
        <w:rPr>
          <w:color w:val="231F20"/>
          <w:spacing w:val="-4"/>
        </w:rPr>
        <w:t> </w:t>
      </w:r>
      <w:r>
        <w:rPr>
          <w:color w:val="231F20"/>
        </w:rPr>
        <w:t>persona,</w:t>
      </w:r>
      <w:r>
        <w:rPr>
          <w:color w:val="231F20"/>
          <w:spacing w:val="-4"/>
        </w:rPr>
        <w:t> </w:t>
      </w:r>
      <w:r>
        <w:rPr>
          <w:color w:val="231F20"/>
        </w:rPr>
        <w:t>todas</w:t>
      </w:r>
      <w:r>
        <w:rPr>
          <w:color w:val="231F20"/>
          <w:spacing w:val="-5"/>
        </w:rPr>
        <w:t> </w:t>
      </w:r>
      <w:r>
        <w:rPr>
          <w:color w:val="231F20"/>
        </w:rPr>
        <w:t>son</w:t>
      </w:r>
      <w:r>
        <w:rPr>
          <w:color w:val="231F20"/>
          <w:spacing w:val="-4"/>
        </w:rPr>
        <w:t> </w:t>
      </w:r>
      <w:r>
        <w:rPr>
          <w:color w:val="231F20"/>
        </w:rPr>
        <w:t>de</w:t>
      </w:r>
      <w:r>
        <w:rPr>
          <w:color w:val="231F20"/>
          <w:spacing w:val="-4"/>
        </w:rPr>
        <w:t> </w:t>
      </w:r>
      <w:r>
        <w:rPr>
          <w:color w:val="231F20"/>
        </w:rPr>
        <w:t>actividades con la comunidad, de voluntariado, y hoy en día están sujetas al horario de su</w:t>
      </w:r>
      <w:r>
        <w:rPr>
          <w:color w:val="231F20"/>
          <w:spacing w:val="-1"/>
        </w:rPr>
        <w:t> </w:t>
      </w:r>
      <w:r>
        <w:rPr>
          <w:color w:val="231F20"/>
        </w:rPr>
        <w:t>nieta.</w:t>
      </w:r>
    </w:p>
    <w:p>
      <w:pPr>
        <w:pStyle w:val="BodyText"/>
        <w:spacing w:line="249" w:lineRule="auto" w:before="1"/>
        <w:ind w:left="110" w:right="111" w:firstLine="283"/>
        <w:jc w:val="both"/>
      </w:pPr>
      <w:r>
        <w:rPr>
          <w:color w:val="231F20"/>
        </w:rPr>
        <w:t>Juana no es la jefa de familia, ya que las decisiones del hogar no las toma ella, si bien su opinión cuenta, son las decisiones de los hijos co- rresidentes las que siempre se realizan y aunque sus aportaciones</w:t>
      </w:r>
      <w:r>
        <w:rPr>
          <w:color w:val="231F20"/>
          <w:spacing w:val="-29"/>
        </w:rPr>
        <w:t> </w:t>
      </w:r>
      <w:r>
        <w:rPr>
          <w:color w:val="231F20"/>
        </w:rPr>
        <w:t>econó- micas son pocas contribuye con responsabilidades en el núcleo familiar, difícilmente puede dedicar tiempo a su persona salvo para acudir a sus citas médicas. Mantiene y perpetúa su rol de madre, ha prolongado su papel de cuidadora, ahora cuida</w:t>
      </w:r>
      <w:r>
        <w:rPr>
          <w:color w:val="231F20"/>
          <w:spacing w:val="-3"/>
        </w:rPr>
        <w:t> </w:t>
      </w:r>
      <w:r>
        <w:rPr>
          <w:color w:val="231F20"/>
        </w:rPr>
        <w:t>nietos.</w:t>
      </w:r>
    </w:p>
    <w:p>
      <w:pPr>
        <w:pStyle w:val="BodyText"/>
        <w:spacing w:line="249" w:lineRule="auto" w:before="1"/>
        <w:ind w:left="110" w:right="111" w:firstLine="283"/>
        <w:jc w:val="both"/>
      </w:pPr>
      <w:r>
        <w:rPr>
          <w:color w:val="231F20"/>
        </w:rPr>
        <w:t>En este sentido, tres contribuyen de igual manera en sus grupos fa- miliares, pues a pesar de que ellas no necesitaron que sus madres les cuidaran</w:t>
      </w:r>
      <w:r>
        <w:rPr>
          <w:color w:val="231F20"/>
          <w:spacing w:val="-6"/>
        </w:rPr>
        <w:t> </w:t>
      </w:r>
      <w:r>
        <w:rPr>
          <w:color w:val="231F20"/>
        </w:rPr>
        <w:t>a</w:t>
      </w:r>
      <w:r>
        <w:rPr>
          <w:color w:val="231F20"/>
          <w:spacing w:val="-5"/>
        </w:rPr>
        <w:t> </w:t>
      </w:r>
      <w:r>
        <w:rPr>
          <w:color w:val="231F20"/>
        </w:rPr>
        <w:t>sus</w:t>
      </w:r>
      <w:r>
        <w:rPr>
          <w:color w:val="231F20"/>
          <w:spacing w:val="-5"/>
        </w:rPr>
        <w:t> </w:t>
      </w:r>
      <w:r>
        <w:rPr>
          <w:color w:val="231F20"/>
        </w:rPr>
        <w:t>hijos</w:t>
      </w:r>
      <w:r>
        <w:rPr>
          <w:color w:val="231F20"/>
          <w:spacing w:val="-5"/>
        </w:rPr>
        <w:t> </w:t>
      </w:r>
      <w:r>
        <w:rPr>
          <w:color w:val="231F20"/>
        </w:rPr>
        <w:t>restringiendo</w:t>
      </w:r>
      <w:r>
        <w:rPr>
          <w:color w:val="231F20"/>
          <w:spacing w:val="-5"/>
        </w:rPr>
        <w:t> </w:t>
      </w:r>
      <w:r>
        <w:rPr>
          <w:color w:val="231F20"/>
        </w:rPr>
        <w:t>sus</w:t>
      </w:r>
      <w:r>
        <w:rPr>
          <w:color w:val="231F20"/>
          <w:spacing w:val="-5"/>
        </w:rPr>
        <w:t> </w:t>
      </w:r>
      <w:r>
        <w:rPr>
          <w:color w:val="231F20"/>
        </w:rPr>
        <w:t>redes,</w:t>
      </w:r>
      <w:r>
        <w:rPr>
          <w:color w:val="231F20"/>
          <w:spacing w:val="-5"/>
        </w:rPr>
        <w:t> </w:t>
      </w:r>
      <w:r>
        <w:rPr>
          <w:color w:val="231F20"/>
        </w:rPr>
        <w:t>al</w:t>
      </w:r>
      <w:r>
        <w:rPr>
          <w:color w:val="231F20"/>
          <w:spacing w:val="-5"/>
        </w:rPr>
        <w:t> </w:t>
      </w:r>
      <w:r>
        <w:rPr>
          <w:color w:val="231F20"/>
        </w:rPr>
        <w:t>igual</w:t>
      </w:r>
      <w:r>
        <w:rPr>
          <w:color w:val="231F20"/>
          <w:spacing w:val="-5"/>
        </w:rPr>
        <w:t> </w:t>
      </w:r>
      <w:r>
        <w:rPr>
          <w:color w:val="231F20"/>
        </w:rPr>
        <w:t>que</w:t>
      </w:r>
      <w:r>
        <w:rPr>
          <w:color w:val="231F20"/>
          <w:spacing w:val="-5"/>
        </w:rPr>
        <w:t> </w:t>
      </w:r>
      <w:r>
        <w:rPr>
          <w:color w:val="231F20"/>
        </w:rPr>
        <w:t>ellas</w:t>
      </w:r>
      <w:r>
        <w:rPr>
          <w:color w:val="231F20"/>
          <w:spacing w:val="-5"/>
        </w:rPr>
        <w:t> </w:t>
      </w:r>
      <w:r>
        <w:rPr>
          <w:color w:val="231F20"/>
        </w:rPr>
        <w:t>lo</w:t>
      </w:r>
      <w:r>
        <w:rPr>
          <w:color w:val="231F20"/>
          <w:spacing w:val="-5"/>
        </w:rPr>
        <w:t> </w:t>
      </w:r>
      <w:r>
        <w:rPr>
          <w:color w:val="231F20"/>
        </w:rPr>
        <w:t>vivieron en su niñez, a sus familias nucleares, ahora son parte de las redes de sus hijas, pues tres de ellas cuidan nietos, las tres cuyo grupo de corresiden- cia es</w:t>
      </w:r>
      <w:r>
        <w:rPr>
          <w:color w:val="231F20"/>
          <w:spacing w:val="-2"/>
        </w:rPr>
        <w:t> </w:t>
      </w:r>
      <w:r>
        <w:rPr>
          <w:color w:val="231F20"/>
        </w:rPr>
        <w:t>conjunto.</w:t>
      </w:r>
    </w:p>
    <w:p>
      <w:pPr>
        <w:pStyle w:val="BodyText"/>
        <w:spacing w:before="1"/>
        <w:ind w:left="393"/>
      </w:pPr>
      <w:r>
        <w:rPr>
          <w:color w:val="231F20"/>
        </w:rPr>
        <w:t>Económicamente dos de ellas son independientes, las viudas, quienes</w:t>
      </w:r>
    </w:p>
    <w:p>
      <w:pPr>
        <w:spacing w:after="0"/>
        <w:sectPr>
          <w:pgSz w:w="7770" w:h="11740"/>
          <w:pgMar w:header="0" w:footer="474" w:top="840" w:bottom="740" w:left="740" w:right="1020"/>
        </w:sectPr>
      </w:pPr>
    </w:p>
    <w:p>
      <w:pPr>
        <w:pStyle w:val="BodyText"/>
        <w:spacing w:line="249" w:lineRule="auto" w:before="60"/>
        <w:ind w:left="113" w:right="108"/>
        <w:jc w:val="both"/>
      </w:pPr>
      <w:r>
        <w:rPr>
          <w:color w:val="231F20"/>
        </w:rPr>
        <w:t>gozan de su pensión por viudez, gracias al trabajo de los esposos. Juana recibe el cheque de la pensión de su ex-esposo, sin embargo resulta in- suficiente para los gasto de la casa, de manera que es complemento con las</w:t>
      </w:r>
      <w:r>
        <w:rPr>
          <w:color w:val="231F20"/>
          <w:spacing w:val="-3"/>
        </w:rPr>
        <w:t> </w:t>
      </w:r>
      <w:r>
        <w:rPr>
          <w:color w:val="231F20"/>
        </w:rPr>
        <w:t>aportaciones</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hijos</w:t>
      </w:r>
      <w:r>
        <w:rPr>
          <w:color w:val="231F20"/>
          <w:spacing w:val="-3"/>
        </w:rPr>
        <w:t> </w:t>
      </w:r>
      <w:r>
        <w:rPr>
          <w:color w:val="231F20"/>
        </w:rPr>
        <w:t>y</w:t>
      </w:r>
      <w:r>
        <w:rPr>
          <w:color w:val="231F20"/>
          <w:spacing w:val="-3"/>
        </w:rPr>
        <w:t> </w:t>
      </w:r>
      <w:r>
        <w:rPr>
          <w:color w:val="231F20"/>
        </w:rPr>
        <w:t>para</w:t>
      </w:r>
      <w:r>
        <w:rPr>
          <w:color w:val="231F20"/>
          <w:spacing w:val="-3"/>
        </w:rPr>
        <w:t> </w:t>
      </w:r>
      <w:r>
        <w:rPr>
          <w:color w:val="231F20"/>
        </w:rPr>
        <w:t>ella</w:t>
      </w:r>
      <w:r>
        <w:rPr>
          <w:color w:val="231F20"/>
          <w:spacing w:val="-3"/>
        </w:rPr>
        <w:t> </w:t>
      </w:r>
      <w:r>
        <w:rPr>
          <w:color w:val="231F20"/>
        </w:rPr>
        <w:t>no</w:t>
      </w:r>
      <w:r>
        <w:rPr>
          <w:color w:val="231F20"/>
          <w:spacing w:val="-3"/>
        </w:rPr>
        <w:t> </w:t>
      </w:r>
      <w:r>
        <w:rPr>
          <w:color w:val="231F20"/>
        </w:rPr>
        <w:t>queda</w:t>
      </w:r>
      <w:r>
        <w:rPr>
          <w:color w:val="231F20"/>
          <w:spacing w:val="-3"/>
        </w:rPr>
        <w:t> </w:t>
      </w:r>
      <w:r>
        <w:rPr>
          <w:color w:val="231F20"/>
        </w:rPr>
        <w:t>nada.</w:t>
      </w:r>
      <w:r>
        <w:rPr>
          <w:color w:val="231F20"/>
          <w:spacing w:val="-3"/>
        </w:rPr>
        <w:t> </w:t>
      </w:r>
      <w:r>
        <w:rPr>
          <w:color w:val="231F20"/>
        </w:rPr>
        <w:t>Ilse,</w:t>
      </w:r>
      <w:r>
        <w:rPr>
          <w:color w:val="231F20"/>
          <w:spacing w:val="-3"/>
        </w:rPr>
        <w:t> </w:t>
      </w:r>
      <w:r>
        <w:rPr>
          <w:color w:val="231F20"/>
        </w:rPr>
        <w:t>por</w:t>
      </w:r>
      <w:r>
        <w:rPr>
          <w:color w:val="231F20"/>
          <w:spacing w:val="-3"/>
        </w:rPr>
        <w:t> </w:t>
      </w:r>
      <w:r>
        <w:rPr>
          <w:color w:val="231F20"/>
        </w:rPr>
        <w:t>su</w:t>
      </w:r>
      <w:r>
        <w:rPr>
          <w:color w:val="231F20"/>
          <w:spacing w:val="-3"/>
        </w:rPr>
        <w:t> </w:t>
      </w:r>
      <w:r>
        <w:rPr>
          <w:color w:val="231F20"/>
        </w:rPr>
        <w:t>parte, depende totalmente de su</w:t>
      </w:r>
      <w:r>
        <w:rPr>
          <w:color w:val="231F20"/>
          <w:spacing w:val="-2"/>
        </w:rPr>
        <w:t> </w:t>
      </w:r>
      <w:r>
        <w:rPr>
          <w:color w:val="231F20"/>
        </w:rPr>
        <w:t>esposo.</w:t>
      </w:r>
    </w:p>
    <w:p>
      <w:pPr>
        <w:pStyle w:val="BodyText"/>
        <w:spacing w:line="249" w:lineRule="auto" w:before="1"/>
        <w:ind w:left="113" w:right="108" w:firstLine="283"/>
        <w:jc w:val="both"/>
      </w:pPr>
      <w:r>
        <w:rPr>
          <w:color w:val="231F20"/>
        </w:rPr>
        <w:t>En cuanto a autopercepción tienen un elemento en común, las cuatro se perciben como viejas, ellas asumen su vejez por su cansancio, sus años, su cambio físico, emocional y mental. Para ellas la vejez es una etapa presente en sus vidas, que se hace notoria en las diferentes en- fermedades que cada una tiene, no permitiéndoles hacer su vida “como antes”, Juana al respecto dice:</w:t>
      </w:r>
    </w:p>
    <w:p>
      <w:pPr>
        <w:pStyle w:val="BodyText"/>
        <w:spacing w:line="249" w:lineRule="auto" w:before="114"/>
        <w:ind w:left="397" w:right="108"/>
        <w:jc w:val="both"/>
      </w:pPr>
      <w:r>
        <w:rPr>
          <w:color w:val="231F20"/>
        </w:rPr>
        <w:t>[...]</w:t>
      </w:r>
      <w:r>
        <w:rPr>
          <w:color w:val="231F20"/>
          <w:spacing w:val="-8"/>
        </w:rPr>
        <w:t> </w:t>
      </w:r>
      <w:r>
        <w:rPr>
          <w:color w:val="231F20"/>
        </w:rPr>
        <w:t>si</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cosa</w:t>
      </w:r>
      <w:r>
        <w:rPr>
          <w:color w:val="231F20"/>
          <w:spacing w:val="-8"/>
        </w:rPr>
        <w:t> </w:t>
      </w:r>
      <w:r>
        <w:rPr>
          <w:color w:val="231F20"/>
        </w:rPr>
        <w:t>es</w:t>
      </w:r>
      <w:r>
        <w:rPr>
          <w:color w:val="231F20"/>
          <w:spacing w:val="-8"/>
        </w:rPr>
        <w:t> </w:t>
      </w:r>
      <w:r>
        <w:rPr>
          <w:color w:val="231F20"/>
        </w:rPr>
        <w:t>otra</w:t>
      </w:r>
      <w:r>
        <w:rPr>
          <w:color w:val="231F20"/>
          <w:spacing w:val="-8"/>
        </w:rPr>
        <w:t> </w:t>
      </w:r>
      <w:r>
        <w:rPr>
          <w:color w:val="231F20"/>
        </w:rPr>
        <w:t>y</w:t>
      </w:r>
      <w:r>
        <w:rPr>
          <w:color w:val="231F20"/>
          <w:spacing w:val="-8"/>
        </w:rPr>
        <w:t> </w:t>
      </w:r>
      <w:r>
        <w:rPr>
          <w:color w:val="231F20"/>
        </w:rPr>
        <w:t>bueno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seguro</w:t>
      </w:r>
      <w:r>
        <w:rPr>
          <w:color w:val="231F20"/>
          <w:spacing w:val="-8"/>
        </w:rPr>
        <w:t> </w:t>
      </w:r>
      <w:r>
        <w:rPr>
          <w:color w:val="231F20"/>
        </w:rPr>
        <w:t>me</w:t>
      </w:r>
      <w:r>
        <w:rPr>
          <w:color w:val="231F20"/>
          <w:spacing w:val="-8"/>
        </w:rPr>
        <w:t> </w:t>
      </w:r>
      <w:r>
        <w:rPr>
          <w:color w:val="231F20"/>
        </w:rPr>
        <w:t>dicen</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por algún problema en casa, o que esté uno muy presionada de</w:t>
      </w:r>
      <w:r>
        <w:rPr>
          <w:color w:val="231F20"/>
          <w:spacing w:val="-20"/>
        </w:rPr>
        <w:t> </w:t>
      </w:r>
      <w:r>
        <w:rPr>
          <w:color w:val="231F20"/>
        </w:rPr>
        <w:t>quehacer, pues cualquier cosa, eso es por lo que a veces se sienten así o se les altera mucho los nervios y sí es cierto, a veces dice uno, como que, se desespera</w:t>
      </w:r>
      <w:r>
        <w:rPr>
          <w:color w:val="231F20"/>
          <w:spacing w:val="-1"/>
        </w:rPr>
        <w:t> </w:t>
      </w:r>
      <w:r>
        <w:rPr>
          <w:color w:val="231F20"/>
        </w:rPr>
        <w:t>uno.</w:t>
      </w:r>
    </w:p>
    <w:p>
      <w:pPr>
        <w:pStyle w:val="BodyText"/>
        <w:spacing w:line="249" w:lineRule="auto" w:before="114"/>
        <w:ind w:left="113" w:right="108" w:firstLine="283"/>
        <w:jc w:val="both"/>
      </w:pPr>
      <w:r>
        <w:rPr>
          <w:color w:val="231F20"/>
        </w:rPr>
        <w:t>Y</w:t>
      </w:r>
      <w:r>
        <w:rPr>
          <w:color w:val="231F20"/>
          <w:spacing w:val="-12"/>
        </w:rPr>
        <w:t> </w:t>
      </w:r>
      <w:r>
        <w:rPr>
          <w:color w:val="231F20"/>
        </w:rPr>
        <w:t>es</w:t>
      </w:r>
      <w:r>
        <w:rPr>
          <w:color w:val="231F20"/>
          <w:spacing w:val="-5"/>
        </w:rPr>
        <w:t> </w:t>
      </w:r>
      <w:r>
        <w:rPr>
          <w:color w:val="231F20"/>
        </w:rPr>
        <w:t>que</w:t>
      </w:r>
      <w:r>
        <w:rPr>
          <w:color w:val="231F20"/>
          <w:spacing w:val="-4"/>
        </w:rPr>
        <w:t> </w:t>
      </w:r>
      <w:r>
        <w:rPr>
          <w:color w:val="231F20"/>
        </w:rPr>
        <w:t>actualmente</w:t>
      </w:r>
      <w:r>
        <w:rPr>
          <w:color w:val="231F20"/>
          <w:spacing w:val="-5"/>
        </w:rPr>
        <w:t> </w:t>
      </w:r>
      <w:r>
        <w:rPr>
          <w:color w:val="231F20"/>
        </w:rPr>
        <w:t>ella</w:t>
      </w:r>
      <w:r>
        <w:rPr>
          <w:color w:val="231F20"/>
          <w:spacing w:val="-5"/>
        </w:rPr>
        <w:t> </w:t>
      </w:r>
      <w:r>
        <w:rPr>
          <w:color w:val="231F20"/>
        </w:rPr>
        <w:t>ya</w:t>
      </w:r>
      <w:r>
        <w:rPr>
          <w:color w:val="231F20"/>
          <w:spacing w:val="-4"/>
        </w:rPr>
        <w:t> </w:t>
      </w:r>
      <w:r>
        <w:rPr>
          <w:color w:val="231F20"/>
        </w:rPr>
        <w:t>no</w:t>
      </w:r>
      <w:r>
        <w:rPr>
          <w:color w:val="231F20"/>
          <w:spacing w:val="-4"/>
        </w:rPr>
        <w:t> </w:t>
      </w:r>
      <w:r>
        <w:rPr>
          <w:color w:val="231F20"/>
        </w:rPr>
        <w:t>soporta</w:t>
      </w:r>
      <w:r>
        <w:rPr>
          <w:color w:val="231F20"/>
          <w:spacing w:val="-4"/>
        </w:rPr>
        <w:t> </w:t>
      </w:r>
      <w:r>
        <w:rPr>
          <w:color w:val="231F20"/>
        </w:rPr>
        <w:t>mucho</w:t>
      </w:r>
      <w:r>
        <w:rPr>
          <w:color w:val="231F20"/>
          <w:spacing w:val="-5"/>
        </w:rPr>
        <w:t> </w:t>
      </w:r>
      <w:r>
        <w:rPr>
          <w:color w:val="231F20"/>
        </w:rPr>
        <w:t>la</w:t>
      </w:r>
      <w:r>
        <w:rPr>
          <w:color w:val="231F20"/>
          <w:spacing w:val="-4"/>
        </w:rPr>
        <w:t> </w:t>
      </w:r>
      <w:r>
        <w:rPr>
          <w:color w:val="231F20"/>
        </w:rPr>
        <w:t>aglomeración</w:t>
      </w:r>
      <w:r>
        <w:rPr>
          <w:color w:val="231F20"/>
          <w:spacing w:val="-5"/>
        </w:rPr>
        <w:t> </w:t>
      </w:r>
      <w:r>
        <w:rPr>
          <w:color w:val="231F20"/>
        </w:rPr>
        <w:t>de</w:t>
      </w:r>
      <w:r>
        <w:rPr>
          <w:color w:val="231F20"/>
          <w:spacing w:val="-4"/>
        </w:rPr>
        <w:t> </w:t>
      </w:r>
      <w:r>
        <w:rPr>
          <w:color w:val="231F20"/>
        </w:rPr>
        <w:t>la gente, casi no le gusta </w:t>
      </w:r>
      <w:r>
        <w:rPr>
          <w:color w:val="231F20"/>
          <w:spacing w:val="-2"/>
        </w:rPr>
        <w:t>salir, </w:t>
      </w:r>
      <w:r>
        <w:rPr>
          <w:color w:val="231F20"/>
        </w:rPr>
        <w:t>piensa muy bien las cosas antes de hacerlo</w:t>
      </w:r>
      <w:r>
        <w:rPr>
          <w:color w:val="231F20"/>
          <w:spacing w:val="-26"/>
        </w:rPr>
        <w:t> </w:t>
      </w:r>
      <w:r>
        <w:rPr>
          <w:color w:val="231F20"/>
        </w:rPr>
        <w:t>y sí ha pensado en que algún día ya no cuidara nietos y podrá estar, “tran- quila”, pero ese día no se ve</w:t>
      </w:r>
      <w:r>
        <w:rPr>
          <w:color w:val="231F20"/>
          <w:spacing w:val="-2"/>
        </w:rPr>
        <w:t> </w:t>
      </w:r>
      <w:r>
        <w:rPr>
          <w:color w:val="231F20"/>
        </w:rPr>
        <w:t>cercano.</w:t>
      </w:r>
    </w:p>
    <w:p>
      <w:pPr>
        <w:pStyle w:val="Heading5"/>
        <w:spacing w:line="240" w:lineRule="exact" w:before="166"/>
        <w:ind w:right="633"/>
        <w:jc w:val="left"/>
      </w:pPr>
      <w:r>
        <w:rPr>
          <w:i/>
          <w:w w:val="75"/>
        </w:rPr>
        <w:t>Mujeres con estudios profesionistas con trayectoria laboral en su ramo, </w:t>
      </w:r>
      <w:r>
        <w:rPr>
          <w:w w:val="75"/>
        </w:rPr>
        <w:t>el trabajo como satisfactor personal</w:t>
      </w:r>
    </w:p>
    <w:p>
      <w:pPr>
        <w:pStyle w:val="BodyText"/>
        <w:spacing w:line="249" w:lineRule="auto" w:before="175"/>
        <w:ind w:left="113" w:right="108"/>
        <w:jc w:val="both"/>
      </w:pPr>
      <w:r>
        <w:rPr>
          <w:color w:val="231F20"/>
        </w:rPr>
        <w:t>Las mujeres integrantes de este grupo son aquellas que realizaron estu- dios profesionales que desarrollaron a lo largo de su trayectoria laboral. Cabe resaltar que este grupo está integrado por cuatro mujeres, pero tres de ellas, a pesar de que no para todas fuera su primera opción, en algún momento de su vida se dedicaron a la docencia.</w:t>
      </w:r>
    </w:p>
    <w:p>
      <w:pPr>
        <w:pStyle w:val="BodyText"/>
        <w:spacing w:line="249" w:lineRule="auto" w:before="1"/>
        <w:ind w:left="113" w:right="108" w:firstLine="283"/>
        <w:jc w:val="both"/>
      </w:pPr>
      <w:r>
        <w:rPr>
          <w:color w:val="231F20"/>
        </w:rPr>
        <w:t>El Cuadro 2 resalta elementos que impactaron de manera determi- nante en su vida, tanto en la edad productiva y reproductiva como en la vejez.</w:t>
      </w:r>
    </w:p>
    <w:p>
      <w:pPr>
        <w:pStyle w:val="BodyText"/>
        <w:spacing w:line="249" w:lineRule="auto" w:before="1"/>
        <w:ind w:left="113" w:right="107" w:firstLine="283"/>
        <w:jc w:val="both"/>
      </w:pPr>
      <w:r>
        <w:rPr>
          <w:color w:val="231F20"/>
        </w:rPr>
        <w:t>Las mujeres de este grupo ejemplifican dos cosas importantes que Salazar (1999: 109) señala sobre la escolaridad; primero, que “podría funcionar como factor explicativo de cambios en las tasas de movilidad territorial femenina y en el uso de espacio urbano”, así vemos que estas mujeres tienen una vida dinámica, donde asisten a Universidades y se desplazan a diferentes puntos de la ciudad buscando su mejor adaptabi- lidad, primero de escuelas y después de trabajos. El desplazamiento a la universidad de la maestra Lupita desde Xochimilco implicaba la  mane-</w:t>
      </w:r>
    </w:p>
    <w:p>
      <w:pPr>
        <w:spacing w:after="0" w:line="249" w:lineRule="auto"/>
        <w:jc w:val="both"/>
        <w:sectPr>
          <w:footerReference w:type="default" r:id="rId278"/>
          <w:pgSz w:w="7770" w:h="11740"/>
          <w:pgMar w:footer="474" w:header="0" w:top="840" w:bottom="660" w:left="1020" w:right="740"/>
          <w:pgNumType w:start="265"/>
        </w:sectPr>
      </w:pPr>
    </w:p>
    <w:p>
      <w:pPr>
        <w:pStyle w:val="BodyText"/>
        <w:spacing w:line="249" w:lineRule="auto" w:before="60"/>
        <w:ind w:left="190" w:right="191"/>
        <w:jc w:val="both"/>
      </w:pPr>
      <w:r>
        <w:rPr>
          <w:color w:val="231F20"/>
        </w:rPr>
        <w:t>ra de dominar el espacio urbano de los años 1950, ya que utilizaba las principales vías de comunicación que en ese entonces funcionaban en la ciudad como el tren. Esperanza conoció distintos rumbos de la ciudad mientras</w:t>
      </w:r>
      <w:r>
        <w:rPr>
          <w:color w:val="231F20"/>
          <w:spacing w:val="-9"/>
        </w:rPr>
        <w:t> </w:t>
      </w:r>
      <w:r>
        <w:rPr>
          <w:color w:val="231F20"/>
        </w:rPr>
        <w:t>iniciaba</w:t>
      </w:r>
      <w:r>
        <w:rPr>
          <w:color w:val="231F20"/>
          <w:spacing w:val="-9"/>
        </w:rPr>
        <w:t> </w:t>
      </w:r>
      <w:r>
        <w:rPr>
          <w:color w:val="231F20"/>
        </w:rPr>
        <w:t>su</w:t>
      </w:r>
      <w:r>
        <w:rPr>
          <w:color w:val="231F20"/>
          <w:spacing w:val="-9"/>
        </w:rPr>
        <w:t> </w:t>
      </w:r>
      <w:r>
        <w:rPr>
          <w:color w:val="231F20"/>
        </w:rPr>
        <w:t>trayectoria</w:t>
      </w:r>
      <w:r>
        <w:rPr>
          <w:color w:val="231F20"/>
          <w:spacing w:val="-9"/>
        </w:rPr>
        <w:t> </w:t>
      </w:r>
      <w:r>
        <w:rPr>
          <w:color w:val="231F20"/>
        </w:rPr>
        <w:t>laboral</w:t>
      </w:r>
      <w:r>
        <w:rPr>
          <w:color w:val="231F20"/>
          <w:spacing w:val="-9"/>
        </w:rPr>
        <w:t> </w:t>
      </w:r>
      <w:r>
        <w:rPr>
          <w:color w:val="231F20"/>
        </w:rPr>
        <w:t>al</w:t>
      </w:r>
      <w:r>
        <w:rPr>
          <w:color w:val="231F20"/>
          <w:spacing w:val="-9"/>
        </w:rPr>
        <w:t> </w:t>
      </w:r>
      <w:r>
        <w:rPr>
          <w:color w:val="231F20"/>
        </w:rPr>
        <w:t>mismo</w:t>
      </w:r>
      <w:r>
        <w:rPr>
          <w:color w:val="231F20"/>
          <w:spacing w:val="-9"/>
        </w:rPr>
        <w:t> </w:t>
      </w:r>
      <w:r>
        <w:rPr>
          <w:color w:val="231F20"/>
        </w:rPr>
        <w:t>tiempo</w:t>
      </w:r>
      <w:r>
        <w:rPr>
          <w:color w:val="231F20"/>
          <w:spacing w:val="-9"/>
        </w:rPr>
        <w:t> </w:t>
      </w:r>
      <w:r>
        <w:rPr>
          <w:color w:val="231F20"/>
        </w:rPr>
        <w:t>que</w:t>
      </w:r>
      <w:r>
        <w:rPr>
          <w:color w:val="231F20"/>
          <w:spacing w:val="-9"/>
        </w:rPr>
        <w:t> </w:t>
      </w:r>
      <w:r>
        <w:rPr>
          <w:color w:val="231F20"/>
        </w:rPr>
        <w:t>sus</w:t>
      </w:r>
      <w:r>
        <w:rPr>
          <w:color w:val="231F20"/>
          <w:spacing w:val="-8"/>
        </w:rPr>
        <w:t> </w:t>
      </w:r>
      <w:r>
        <w:rPr>
          <w:color w:val="231F20"/>
        </w:rPr>
        <w:t>estudios profesionales,</w:t>
      </w:r>
      <w:r>
        <w:rPr>
          <w:color w:val="231F20"/>
          <w:spacing w:val="-9"/>
        </w:rPr>
        <w:t> </w:t>
      </w:r>
      <w:r>
        <w:rPr>
          <w:color w:val="231F20"/>
        </w:rPr>
        <w:t>cada</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estas</w:t>
      </w:r>
      <w:r>
        <w:rPr>
          <w:color w:val="231F20"/>
          <w:spacing w:val="-9"/>
        </w:rPr>
        <w:t> </w:t>
      </w:r>
      <w:r>
        <w:rPr>
          <w:color w:val="231F20"/>
        </w:rPr>
        <w:t>mujeres</w:t>
      </w:r>
      <w:r>
        <w:rPr>
          <w:color w:val="231F20"/>
          <w:spacing w:val="-9"/>
        </w:rPr>
        <w:t> </w:t>
      </w:r>
      <w:r>
        <w:rPr>
          <w:color w:val="231F20"/>
        </w:rPr>
        <w:t>ampliaba</w:t>
      </w:r>
      <w:r>
        <w:rPr>
          <w:color w:val="231F20"/>
          <w:spacing w:val="-9"/>
        </w:rPr>
        <w:t> </w:t>
      </w:r>
      <w:r>
        <w:rPr>
          <w:color w:val="231F20"/>
        </w:rPr>
        <w:t>su</w:t>
      </w:r>
      <w:r>
        <w:rPr>
          <w:color w:val="231F20"/>
          <w:spacing w:val="-9"/>
        </w:rPr>
        <w:t> </w:t>
      </w:r>
      <w:r>
        <w:rPr>
          <w:color w:val="231F20"/>
        </w:rPr>
        <w:t>territorio</w:t>
      </w:r>
      <w:r>
        <w:rPr>
          <w:color w:val="231F20"/>
          <w:spacing w:val="-9"/>
        </w:rPr>
        <w:t> </w:t>
      </w:r>
      <w:r>
        <w:rPr>
          <w:color w:val="231F20"/>
        </w:rPr>
        <w:t>cotidiano, la</w:t>
      </w:r>
      <w:r>
        <w:rPr>
          <w:color w:val="231F20"/>
          <w:spacing w:val="-11"/>
        </w:rPr>
        <w:t> </w:t>
      </w:r>
      <w:r>
        <w:rPr>
          <w:color w:val="231F20"/>
        </w:rPr>
        <w:t>casa</w:t>
      </w:r>
      <w:r>
        <w:rPr>
          <w:color w:val="231F20"/>
          <w:spacing w:val="-11"/>
        </w:rPr>
        <w:t> </w:t>
      </w:r>
      <w:r>
        <w:rPr>
          <w:color w:val="231F20"/>
        </w:rPr>
        <w:t>no</w:t>
      </w:r>
      <w:r>
        <w:rPr>
          <w:color w:val="231F20"/>
          <w:spacing w:val="-11"/>
        </w:rPr>
        <w:t> </w:t>
      </w:r>
      <w:r>
        <w:rPr>
          <w:color w:val="231F20"/>
        </w:rPr>
        <w:t>era</w:t>
      </w:r>
      <w:r>
        <w:rPr>
          <w:color w:val="231F20"/>
          <w:spacing w:val="-11"/>
        </w:rPr>
        <w:t> </w:t>
      </w:r>
      <w:r>
        <w:rPr>
          <w:color w:val="231F20"/>
        </w:rPr>
        <w:t>su</w:t>
      </w:r>
      <w:r>
        <w:rPr>
          <w:color w:val="231F20"/>
          <w:spacing w:val="-11"/>
        </w:rPr>
        <w:t> </w:t>
      </w:r>
      <w:r>
        <w:rPr>
          <w:color w:val="231F20"/>
        </w:rPr>
        <w:t>único</w:t>
      </w:r>
      <w:r>
        <w:rPr>
          <w:color w:val="231F20"/>
          <w:spacing w:val="-11"/>
        </w:rPr>
        <w:t> </w:t>
      </w:r>
      <w:r>
        <w:rPr>
          <w:color w:val="231F20"/>
        </w:rPr>
        <w:t>espacio,</w:t>
      </w:r>
      <w:r>
        <w:rPr>
          <w:color w:val="231F20"/>
          <w:spacing w:val="-11"/>
        </w:rPr>
        <w:t> </w:t>
      </w:r>
      <w:r>
        <w:rPr>
          <w:color w:val="231F20"/>
        </w:rPr>
        <w:t>sino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espacio</w:t>
      </w:r>
      <w:r>
        <w:rPr>
          <w:color w:val="231F20"/>
          <w:spacing w:val="-11"/>
        </w:rPr>
        <w:t> </w:t>
      </w:r>
      <w:r>
        <w:rPr>
          <w:color w:val="231F20"/>
        </w:rPr>
        <w:t>público</w:t>
      </w:r>
      <w:r>
        <w:rPr>
          <w:color w:val="231F20"/>
          <w:spacing w:val="-11"/>
        </w:rPr>
        <w:t> </w:t>
      </w:r>
      <w:r>
        <w:rPr>
          <w:color w:val="231F20"/>
        </w:rPr>
        <w:t>(Bazán,</w:t>
      </w:r>
      <w:r>
        <w:rPr>
          <w:color w:val="231F20"/>
          <w:spacing w:val="-11"/>
        </w:rPr>
        <w:t> </w:t>
      </w:r>
      <w:r>
        <w:rPr>
          <w:color w:val="231F20"/>
        </w:rPr>
        <w:t>1999) era el área en el que se circunscribían las actividades que regían su vida diaria.</w:t>
      </w:r>
    </w:p>
    <w:p>
      <w:pPr>
        <w:pStyle w:val="BodyText"/>
        <w:spacing w:before="7"/>
        <w:rPr>
          <w:sz w:val="25"/>
        </w:rPr>
      </w:pPr>
    </w:p>
    <w:p>
      <w:pPr>
        <w:spacing w:before="0"/>
        <w:ind w:left="188" w:right="0" w:firstLine="0"/>
        <w:jc w:val="both"/>
        <w:rPr>
          <w:sz w:val="19"/>
        </w:rPr>
      </w:pPr>
      <w:r>
        <w:rPr/>
        <w:pict>
          <v:group style="position:absolute;margin-left:38.018002pt;margin-top:14.13833pt;width:298.150pt;height:.5pt;mso-position-horizontal-relative:page;mso-position-vertical-relative:paragraph;z-index:8248;mso-wrap-distance-left:0;mso-wrap-distance-right:0" coordorigin="760,283" coordsize="5963,10">
            <v:line style="position:absolute" from="765,288" to="2548,288" stroked="true" strokeweight=".48pt" strokecolor="#000000"/>
            <v:line style="position:absolute" from="2548,288" to="2558,288" stroked="true" strokeweight=".48pt" strokecolor="#000000"/>
            <v:line style="position:absolute" from="2558,288" to="4679,288" stroked="true" strokeweight=".48pt" strokecolor="#000000"/>
            <v:line style="position:absolute" from="4679,288" to="4689,288" stroked="true" strokeweight=".48pt" strokecolor="#000000"/>
            <v:line style="position:absolute" from="4689,288" to="6718,288" stroked="true" strokeweight=".48pt" strokecolor="#000000"/>
            <w10:wrap type="topAndBottom"/>
          </v:group>
        </w:pict>
      </w:r>
      <w:r>
        <w:rPr>
          <w:w w:val="105"/>
          <w:sz w:val="19"/>
        </w:rPr>
        <w:t>Cuadro 2a. Mujeres profesionistas con trayectoria laboral remunerada</w:t>
      </w:r>
    </w:p>
    <w:p>
      <w:pPr>
        <w:tabs>
          <w:tab w:pos="4124" w:val="left" w:leader="none"/>
        </w:tabs>
        <w:spacing w:before="0" w:after="7"/>
        <w:ind w:left="1998" w:right="242" w:firstLine="0"/>
        <w:jc w:val="left"/>
        <w:rPr>
          <w:sz w:val="19"/>
        </w:rPr>
      </w:pPr>
      <w:r>
        <w:rPr>
          <w:w w:val="105"/>
          <w:sz w:val="19"/>
        </w:rPr>
        <w:t>Magy</w:t>
        <w:tab/>
        <w:t>Guadalupe</w:t>
      </w:r>
    </w:p>
    <w:p>
      <w:pPr>
        <w:pStyle w:val="BodyText"/>
        <w:spacing w:line="20" w:lineRule="exact"/>
        <w:ind w:left="100"/>
        <w:rPr>
          <w:sz w:val="2"/>
        </w:rPr>
      </w:pPr>
      <w:r>
        <w:rPr>
          <w:sz w:val="2"/>
        </w:rPr>
        <w:pict>
          <v:group style="width:298.150pt;height:.5pt;mso-position-horizontal-relative:char;mso-position-vertical-relative:line" coordorigin="0,0" coordsize="5963,10">
            <v:line style="position:absolute" from="5,5" to="1788,5" stroked="true" strokeweight=".481pt" strokecolor="#000000"/>
            <v:line style="position:absolute" from="1788,5" to="1797,5" stroked="true" strokeweight=".481pt" strokecolor="#000000"/>
            <v:line style="position:absolute" from="1797,5" to="3919,5" stroked="true" strokeweight=".481pt" strokecolor="#000000"/>
            <v:line style="position:absolute" from="3919,5" to="3928,5" stroked="true" strokeweight=".481pt" strokecolor="#000000"/>
            <v:line style="position:absolute" from="3928,5" to="5958,5" stroked="true" strokeweight=".481pt" strokecolor="#000000"/>
          </v:group>
        </w:pict>
      </w:r>
      <w:r>
        <w:rPr>
          <w:sz w:val="2"/>
        </w:rPr>
      </w:r>
    </w:p>
    <w:p>
      <w:pPr>
        <w:tabs>
          <w:tab w:pos="1998" w:val="left" w:leader="none"/>
          <w:tab w:pos="4124" w:val="left" w:leader="none"/>
        </w:tabs>
        <w:spacing w:before="0"/>
        <w:ind w:left="188" w:right="0" w:firstLine="0"/>
        <w:jc w:val="both"/>
        <w:rPr>
          <w:sz w:val="19"/>
        </w:rPr>
      </w:pPr>
      <w:r>
        <w:rPr>
          <w:w w:val="105"/>
          <w:sz w:val="19"/>
        </w:rPr>
        <w:t>Edad</w:t>
        <w:tab/>
        <w:t>68 años</w:t>
        <w:tab/>
        <w:t>70</w:t>
      </w:r>
      <w:r>
        <w:rPr>
          <w:spacing w:val="-2"/>
          <w:w w:val="105"/>
          <w:sz w:val="19"/>
        </w:rPr>
        <w:t> </w:t>
      </w:r>
      <w:r>
        <w:rPr>
          <w:w w:val="105"/>
          <w:sz w:val="19"/>
        </w:rPr>
        <w:t>años</w:t>
      </w:r>
    </w:p>
    <w:p>
      <w:pPr>
        <w:spacing w:after="0"/>
        <w:jc w:val="both"/>
        <w:rPr>
          <w:sz w:val="19"/>
        </w:rPr>
        <w:sectPr>
          <w:pgSz w:w="7770" w:h="11740"/>
          <w:pgMar w:header="0" w:footer="474" w:top="840" w:bottom="740" w:left="660" w:right="940"/>
        </w:sectPr>
      </w:pPr>
    </w:p>
    <w:p>
      <w:pPr>
        <w:tabs>
          <w:tab w:pos="1998" w:val="left" w:leader="none"/>
        </w:tabs>
        <w:spacing w:line="120" w:lineRule="auto" w:before="100"/>
        <w:ind w:left="1998" w:right="0" w:hanging="1810"/>
        <w:jc w:val="left"/>
        <w:rPr>
          <w:sz w:val="19"/>
        </w:rPr>
      </w:pPr>
      <w:r>
        <w:rPr>
          <w:w w:val="105"/>
          <w:position w:val="-11"/>
          <w:sz w:val="19"/>
        </w:rPr>
        <w:t>Escolaridad</w:t>
        <w:tab/>
      </w:r>
      <w:r>
        <w:rPr>
          <w:w w:val="105"/>
          <w:sz w:val="19"/>
        </w:rPr>
        <w:t>Licenciatura</w:t>
      </w:r>
      <w:r>
        <w:rPr>
          <w:spacing w:val="-5"/>
          <w:w w:val="105"/>
          <w:sz w:val="19"/>
        </w:rPr>
        <w:t> </w:t>
      </w:r>
      <w:r>
        <w:rPr>
          <w:w w:val="105"/>
          <w:sz w:val="19"/>
        </w:rPr>
        <w:t>en</w:t>
      </w:r>
      <w:r>
        <w:rPr>
          <w:spacing w:val="1"/>
          <w:w w:val="103"/>
          <w:sz w:val="19"/>
        </w:rPr>
        <w:t> </w:t>
      </w:r>
      <w:r>
        <w:rPr>
          <w:w w:val="105"/>
          <w:sz w:val="19"/>
        </w:rPr>
        <w:t>química</w:t>
      </w:r>
    </w:p>
    <w:p>
      <w:pPr>
        <w:spacing w:line="252" w:lineRule="auto" w:before="12"/>
        <w:ind w:left="188" w:right="142" w:firstLine="0"/>
        <w:jc w:val="left"/>
        <w:rPr>
          <w:sz w:val="19"/>
        </w:rPr>
      </w:pPr>
      <w:r>
        <w:rPr/>
        <w:br w:type="column"/>
      </w:r>
      <w:r>
        <w:rPr>
          <w:w w:val="105"/>
          <w:sz w:val="19"/>
        </w:rPr>
        <w:t>Doctorado en geografía (UNAM)</w:t>
      </w:r>
    </w:p>
    <w:p>
      <w:pPr>
        <w:spacing w:after="0" w:line="252" w:lineRule="auto"/>
        <w:jc w:val="left"/>
        <w:rPr>
          <w:sz w:val="19"/>
        </w:rPr>
        <w:sectPr>
          <w:type w:val="continuous"/>
          <w:pgSz w:w="7770" w:h="11740"/>
          <w:pgMar w:top="0" w:bottom="0" w:left="660" w:right="940"/>
          <w:cols w:num="2" w:equalWidth="0">
            <w:col w:w="3237" w:space="699"/>
            <w:col w:w="2234"/>
          </w:cols>
        </w:sectPr>
      </w:pPr>
    </w:p>
    <w:p>
      <w:pPr>
        <w:spacing w:line="164" w:lineRule="exact" w:before="1"/>
        <w:ind w:left="188" w:right="242" w:firstLine="0"/>
        <w:jc w:val="left"/>
        <w:rPr>
          <w:sz w:val="19"/>
        </w:rPr>
      </w:pPr>
      <w:r>
        <w:rPr>
          <w:w w:val="105"/>
          <w:sz w:val="19"/>
        </w:rPr>
        <w:t>Edad de</w:t>
      </w:r>
    </w:p>
    <w:p>
      <w:pPr>
        <w:tabs>
          <w:tab w:pos="1998" w:val="left" w:leader="none"/>
          <w:tab w:pos="4124" w:val="left" w:leader="none"/>
        </w:tabs>
        <w:spacing w:line="284" w:lineRule="exact" w:before="0"/>
        <w:ind w:left="188" w:right="242" w:firstLine="0"/>
        <w:jc w:val="left"/>
        <w:rPr>
          <w:sz w:val="19"/>
        </w:rPr>
      </w:pPr>
      <w:r>
        <w:rPr>
          <w:w w:val="105"/>
          <w:sz w:val="19"/>
        </w:rPr>
        <w:t>casamiento</w:t>
      </w:r>
      <w:r>
        <w:rPr>
          <w:spacing w:val="-1"/>
          <w:w w:val="105"/>
          <w:sz w:val="19"/>
        </w:rPr>
        <w:t> </w:t>
      </w:r>
      <w:r>
        <w:rPr>
          <w:w w:val="105"/>
          <w:sz w:val="19"/>
        </w:rPr>
        <w:t>o</w:t>
      </w:r>
      <w:r>
        <w:rPr>
          <w:spacing w:val="-1"/>
          <w:w w:val="105"/>
          <w:sz w:val="19"/>
        </w:rPr>
        <w:t> </w:t>
      </w:r>
      <w:r>
        <w:rPr>
          <w:w w:val="105"/>
          <w:sz w:val="19"/>
        </w:rPr>
        <w:t>unión</w:t>
        <w:tab/>
      </w:r>
      <w:r>
        <w:rPr>
          <w:w w:val="105"/>
          <w:position w:val="12"/>
          <w:sz w:val="19"/>
        </w:rPr>
        <w:t>23 años</w:t>
        <w:tab/>
        <w:t>27</w:t>
      </w:r>
      <w:r>
        <w:rPr>
          <w:spacing w:val="-2"/>
          <w:w w:val="105"/>
          <w:position w:val="12"/>
          <w:sz w:val="19"/>
        </w:rPr>
        <w:t> </w:t>
      </w:r>
      <w:r>
        <w:rPr>
          <w:w w:val="105"/>
          <w:position w:val="12"/>
          <w:sz w:val="19"/>
        </w:rPr>
        <w:t>años</w:t>
      </w:r>
    </w:p>
    <w:p>
      <w:pPr>
        <w:tabs>
          <w:tab w:pos="1998" w:val="left" w:leader="none"/>
          <w:tab w:pos="4124" w:val="left" w:leader="none"/>
        </w:tabs>
        <w:spacing w:before="12"/>
        <w:ind w:left="188" w:right="242" w:firstLine="0"/>
        <w:jc w:val="left"/>
        <w:rPr>
          <w:sz w:val="19"/>
        </w:rPr>
      </w:pPr>
      <w:r>
        <w:rPr>
          <w:w w:val="105"/>
          <w:sz w:val="19"/>
        </w:rPr>
        <w:t>1er</w:t>
      </w:r>
      <w:r>
        <w:rPr>
          <w:spacing w:val="-1"/>
          <w:w w:val="105"/>
          <w:sz w:val="19"/>
        </w:rPr>
        <w:t> </w:t>
      </w:r>
      <w:r>
        <w:rPr>
          <w:w w:val="105"/>
          <w:sz w:val="19"/>
        </w:rPr>
        <w:t>hijo</w:t>
        <w:tab/>
        <w:t>1961</w:t>
        <w:tab/>
        <w:t>1961</w:t>
      </w:r>
    </w:p>
    <w:p>
      <w:pPr>
        <w:tabs>
          <w:tab w:pos="1998" w:val="left" w:leader="none"/>
          <w:tab w:pos="4124" w:val="left" w:leader="none"/>
        </w:tabs>
        <w:spacing w:before="12"/>
        <w:ind w:left="188" w:right="242" w:firstLine="0"/>
        <w:jc w:val="left"/>
        <w:rPr>
          <w:sz w:val="19"/>
        </w:rPr>
      </w:pPr>
      <w:r>
        <w:rPr>
          <w:w w:val="105"/>
          <w:sz w:val="19"/>
        </w:rPr>
        <w:t>Último</w:t>
      </w:r>
      <w:r>
        <w:rPr>
          <w:spacing w:val="-1"/>
          <w:w w:val="105"/>
          <w:sz w:val="19"/>
        </w:rPr>
        <w:t> </w:t>
      </w:r>
      <w:r>
        <w:rPr>
          <w:w w:val="105"/>
          <w:sz w:val="19"/>
        </w:rPr>
        <w:t>hijo</w:t>
        <w:tab/>
        <w:t>1972</w:t>
        <w:tab/>
        <w:t>1974</w:t>
      </w:r>
    </w:p>
    <w:p>
      <w:pPr>
        <w:tabs>
          <w:tab w:pos="1998" w:val="left" w:leader="none"/>
          <w:tab w:pos="4223" w:val="right" w:leader="none"/>
        </w:tabs>
        <w:spacing w:before="12"/>
        <w:ind w:left="188" w:right="0" w:firstLine="0"/>
        <w:jc w:val="left"/>
        <w:rPr>
          <w:sz w:val="19"/>
        </w:rPr>
      </w:pPr>
      <w:r>
        <w:rPr>
          <w:w w:val="105"/>
          <w:sz w:val="19"/>
        </w:rPr>
        <w:t>Total</w:t>
      </w:r>
      <w:r>
        <w:rPr>
          <w:spacing w:val="-1"/>
          <w:w w:val="105"/>
          <w:sz w:val="19"/>
        </w:rPr>
        <w:t> </w:t>
      </w:r>
      <w:r>
        <w:rPr>
          <w:w w:val="105"/>
          <w:sz w:val="19"/>
        </w:rPr>
        <w:t>de</w:t>
      </w:r>
      <w:r>
        <w:rPr>
          <w:spacing w:val="-1"/>
          <w:w w:val="105"/>
          <w:sz w:val="19"/>
        </w:rPr>
        <w:t> </w:t>
      </w:r>
      <w:r>
        <w:rPr>
          <w:w w:val="105"/>
          <w:sz w:val="19"/>
        </w:rPr>
        <w:t>hijos</w:t>
        <w:tab/>
        <w:t>5</w:t>
        <w:tab/>
        <w:t>5</w:t>
      </w:r>
    </w:p>
    <w:p>
      <w:pPr>
        <w:spacing w:line="167" w:lineRule="exact" w:before="12"/>
        <w:ind w:left="188" w:right="242" w:firstLine="0"/>
        <w:jc w:val="left"/>
        <w:rPr>
          <w:sz w:val="19"/>
        </w:rPr>
      </w:pPr>
      <w:r>
        <w:rPr>
          <w:w w:val="105"/>
          <w:sz w:val="19"/>
        </w:rPr>
        <w:t>Actividad del</w:t>
      </w:r>
    </w:p>
    <w:p>
      <w:pPr>
        <w:tabs>
          <w:tab w:pos="1998" w:val="left" w:leader="none"/>
          <w:tab w:pos="4124" w:val="left" w:leader="none"/>
        </w:tabs>
        <w:spacing w:line="287" w:lineRule="exact" w:before="0"/>
        <w:ind w:left="188" w:right="242" w:firstLine="0"/>
        <w:jc w:val="left"/>
        <w:rPr>
          <w:sz w:val="19"/>
        </w:rPr>
      </w:pPr>
      <w:r>
        <w:rPr>
          <w:w w:val="105"/>
          <w:position w:val="-11"/>
          <w:sz w:val="19"/>
        </w:rPr>
        <w:t>cónyuge</w:t>
        <w:tab/>
      </w:r>
      <w:r>
        <w:rPr>
          <w:w w:val="105"/>
          <w:sz w:val="19"/>
        </w:rPr>
        <w:t>Médico</w:t>
        <w:tab/>
        <w:t>Profesor</w:t>
      </w:r>
    </w:p>
    <w:p>
      <w:pPr>
        <w:tabs>
          <w:tab w:pos="1998" w:val="left" w:leader="none"/>
          <w:tab w:pos="4124" w:val="left" w:leader="none"/>
        </w:tabs>
        <w:spacing w:line="220" w:lineRule="atLeast" w:before="5"/>
        <w:ind w:left="188" w:right="662" w:firstLine="0"/>
        <w:jc w:val="left"/>
        <w:rPr>
          <w:sz w:val="19"/>
        </w:rPr>
      </w:pPr>
      <w:r>
        <w:rPr>
          <w:w w:val="105"/>
          <w:sz w:val="19"/>
        </w:rPr>
        <w:t>Estado</w:t>
      </w:r>
      <w:r>
        <w:rPr>
          <w:spacing w:val="-1"/>
          <w:w w:val="105"/>
          <w:sz w:val="19"/>
        </w:rPr>
        <w:t> </w:t>
      </w:r>
      <w:r>
        <w:rPr>
          <w:w w:val="105"/>
          <w:sz w:val="19"/>
        </w:rPr>
        <w:t>civil</w:t>
        <w:tab/>
        <w:t>Viuda</w:t>
      </w:r>
      <w:r>
        <w:rPr>
          <w:spacing w:val="-1"/>
          <w:w w:val="105"/>
          <w:sz w:val="19"/>
        </w:rPr>
        <w:t> </w:t>
      </w:r>
      <w:r>
        <w:rPr>
          <w:w w:val="105"/>
          <w:sz w:val="19"/>
        </w:rPr>
        <w:t>(4 años)</w:t>
        <w:tab/>
        <w:t>Casada</w:t>
      </w:r>
      <w:r>
        <w:rPr>
          <w:spacing w:val="-2"/>
          <w:w w:val="105"/>
          <w:sz w:val="19"/>
        </w:rPr>
        <w:t> </w:t>
      </w:r>
      <w:r>
        <w:rPr>
          <w:w w:val="105"/>
          <w:sz w:val="19"/>
        </w:rPr>
        <w:t>(40</w:t>
      </w:r>
      <w:r>
        <w:rPr>
          <w:spacing w:val="-1"/>
          <w:w w:val="105"/>
          <w:sz w:val="19"/>
        </w:rPr>
        <w:t> </w:t>
      </w:r>
      <w:r>
        <w:rPr>
          <w:w w:val="105"/>
          <w:sz w:val="19"/>
        </w:rPr>
        <w:t>años)</w:t>
      </w:r>
      <w:r>
        <w:rPr>
          <w:spacing w:val="1"/>
          <w:w w:val="103"/>
          <w:sz w:val="19"/>
        </w:rPr>
        <w:t> </w:t>
      </w:r>
      <w:r>
        <w:rPr>
          <w:w w:val="105"/>
          <w:sz w:val="19"/>
        </w:rPr>
        <w:t>Separación,</w:t>
      </w:r>
    </w:p>
    <w:p>
      <w:pPr>
        <w:tabs>
          <w:tab w:pos="1998" w:val="left" w:leader="none"/>
          <w:tab w:pos="4124" w:val="left" w:leader="none"/>
        </w:tabs>
        <w:spacing w:line="230" w:lineRule="exact" w:before="0"/>
        <w:ind w:left="188" w:right="242" w:firstLine="0"/>
        <w:jc w:val="left"/>
        <w:rPr>
          <w:sz w:val="19"/>
        </w:rPr>
      </w:pPr>
      <w:r>
        <w:rPr>
          <w:w w:val="105"/>
          <w:sz w:val="19"/>
        </w:rPr>
        <w:t>divorcio o viudez</w:t>
        <w:tab/>
      </w:r>
      <w:r>
        <w:rPr>
          <w:w w:val="105"/>
          <w:position w:val="12"/>
          <w:sz w:val="19"/>
        </w:rPr>
        <w:t>2000</w:t>
        <w:tab/>
        <w:t>------</w:t>
      </w:r>
    </w:p>
    <w:p>
      <w:pPr>
        <w:spacing w:after="0" w:line="230" w:lineRule="exact"/>
        <w:jc w:val="left"/>
        <w:rPr>
          <w:sz w:val="19"/>
        </w:rPr>
        <w:sectPr>
          <w:type w:val="continuous"/>
          <w:pgSz w:w="7770" w:h="11740"/>
          <w:pgMar w:top="0" w:bottom="0" w:left="660" w:right="940"/>
        </w:sectPr>
      </w:pPr>
    </w:p>
    <w:p>
      <w:pPr>
        <w:spacing w:line="252" w:lineRule="auto" w:before="12"/>
        <w:ind w:left="188" w:right="-18" w:firstLine="0"/>
        <w:jc w:val="left"/>
        <w:rPr>
          <w:sz w:val="19"/>
        </w:rPr>
      </w:pPr>
      <w:r>
        <w:rPr>
          <w:w w:val="105"/>
          <w:sz w:val="19"/>
        </w:rPr>
        <w:t>Edad cumplida en su primer empleo</w:t>
      </w:r>
    </w:p>
    <w:p>
      <w:pPr>
        <w:spacing w:line="134" w:lineRule="exact" w:before="92"/>
        <w:ind w:left="188" w:right="-18" w:firstLine="0"/>
        <w:jc w:val="left"/>
        <w:rPr>
          <w:sz w:val="19"/>
        </w:rPr>
      </w:pPr>
      <w:r>
        <w:rPr>
          <w:w w:val="105"/>
          <w:sz w:val="19"/>
        </w:rPr>
        <w:t>Edad al dejar el</w:t>
      </w:r>
    </w:p>
    <w:p>
      <w:pPr>
        <w:spacing w:line="252" w:lineRule="auto" w:before="12"/>
        <w:ind w:left="188" w:right="-16" w:firstLine="0"/>
        <w:jc w:val="left"/>
        <w:rPr>
          <w:sz w:val="19"/>
        </w:rPr>
      </w:pPr>
      <w:r>
        <w:rPr/>
        <w:br w:type="column"/>
      </w:r>
      <w:r>
        <w:rPr>
          <w:w w:val="105"/>
          <w:sz w:val="19"/>
        </w:rPr>
        <w:t>21 años de edad. Hospital Laboratorio</w:t>
      </w:r>
    </w:p>
    <w:p>
      <w:pPr>
        <w:spacing w:line="252" w:lineRule="auto" w:before="12"/>
        <w:ind w:left="188" w:right="208" w:firstLine="0"/>
        <w:jc w:val="left"/>
        <w:rPr>
          <w:sz w:val="19"/>
        </w:rPr>
      </w:pPr>
      <w:r>
        <w:rPr/>
        <w:br w:type="column"/>
      </w:r>
      <w:r>
        <w:rPr>
          <w:w w:val="105"/>
          <w:sz w:val="19"/>
        </w:rPr>
        <w:t>18 años de edad. Mtra. de primaria</w:t>
      </w:r>
    </w:p>
    <w:p>
      <w:pPr>
        <w:spacing w:line="134" w:lineRule="exact" w:before="92"/>
        <w:ind w:left="188" w:right="142" w:firstLine="0"/>
        <w:jc w:val="left"/>
        <w:rPr>
          <w:sz w:val="19"/>
        </w:rPr>
      </w:pPr>
      <w:r>
        <w:rPr>
          <w:w w:val="105"/>
          <w:sz w:val="19"/>
        </w:rPr>
        <w:t>55 años se jubiló pero</w:t>
      </w:r>
    </w:p>
    <w:p>
      <w:pPr>
        <w:spacing w:after="0" w:line="134" w:lineRule="exact"/>
        <w:jc w:val="left"/>
        <w:rPr>
          <w:sz w:val="19"/>
        </w:rPr>
        <w:sectPr>
          <w:type w:val="continuous"/>
          <w:pgSz w:w="7770" w:h="11740"/>
          <w:pgMar w:top="0" w:bottom="0" w:left="660" w:right="940"/>
          <w:cols w:num="3" w:equalWidth="0">
            <w:col w:w="1631" w:space="178"/>
            <w:col w:w="1860" w:space="267"/>
            <w:col w:w="2234"/>
          </w:cols>
        </w:sectPr>
      </w:pPr>
    </w:p>
    <w:p>
      <w:pPr>
        <w:tabs>
          <w:tab w:pos="1998" w:val="left" w:leader="none"/>
        </w:tabs>
        <w:spacing w:line="315" w:lineRule="exact" w:before="0"/>
        <w:ind w:left="188" w:right="0" w:firstLine="0"/>
        <w:jc w:val="left"/>
        <w:rPr>
          <w:sz w:val="19"/>
        </w:rPr>
      </w:pPr>
      <w:r>
        <w:rPr>
          <w:w w:val="105"/>
          <w:sz w:val="19"/>
        </w:rPr>
        <w:t>último</w:t>
      </w:r>
      <w:r>
        <w:rPr>
          <w:spacing w:val="-1"/>
          <w:w w:val="105"/>
          <w:sz w:val="19"/>
        </w:rPr>
        <w:t> </w:t>
      </w:r>
      <w:r>
        <w:rPr>
          <w:w w:val="105"/>
          <w:sz w:val="19"/>
        </w:rPr>
        <w:t>empleo</w:t>
        <w:tab/>
      </w:r>
      <w:r>
        <w:rPr>
          <w:w w:val="105"/>
          <w:position w:val="12"/>
          <w:sz w:val="19"/>
        </w:rPr>
        <w:t>67</w:t>
      </w:r>
      <w:r>
        <w:rPr>
          <w:spacing w:val="-2"/>
          <w:w w:val="105"/>
          <w:position w:val="12"/>
          <w:sz w:val="19"/>
        </w:rPr>
        <w:t> </w:t>
      </w:r>
      <w:r>
        <w:rPr>
          <w:w w:val="105"/>
          <w:position w:val="12"/>
          <w:sz w:val="19"/>
        </w:rPr>
        <w:t>años</w:t>
      </w:r>
    </w:p>
    <w:p>
      <w:pPr>
        <w:spacing w:before="96"/>
        <w:ind w:left="188" w:right="142" w:firstLine="0"/>
        <w:jc w:val="left"/>
        <w:rPr>
          <w:sz w:val="19"/>
        </w:rPr>
      </w:pPr>
      <w:r>
        <w:rPr/>
        <w:br w:type="column"/>
      </w:r>
      <w:r>
        <w:rPr>
          <w:w w:val="105"/>
          <w:sz w:val="19"/>
        </w:rPr>
        <w:t>se retiró hasta los 61</w:t>
      </w:r>
    </w:p>
    <w:p>
      <w:pPr>
        <w:spacing w:after="0"/>
        <w:jc w:val="left"/>
        <w:rPr>
          <w:sz w:val="19"/>
        </w:rPr>
        <w:sectPr>
          <w:type w:val="continuous"/>
          <w:pgSz w:w="7770" w:h="11740"/>
          <w:pgMar w:top="0" w:bottom="0" w:left="660" w:right="940"/>
          <w:cols w:num="2" w:equalWidth="0">
            <w:col w:w="2616" w:space="1320"/>
            <w:col w:w="2234"/>
          </w:cols>
        </w:sectPr>
      </w:pPr>
    </w:p>
    <w:p>
      <w:pPr>
        <w:tabs>
          <w:tab w:pos="1998" w:val="left" w:leader="none"/>
          <w:tab w:pos="4124" w:val="left" w:leader="none"/>
        </w:tabs>
        <w:spacing w:before="12"/>
        <w:ind w:left="188" w:right="242" w:firstLine="0"/>
        <w:jc w:val="left"/>
        <w:rPr>
          <w:sz w:val="19"/>
        </w:rPr>
      </w:pPr>
      <w:r>
        <w:rPr>
          <w:w w:val="105"/>
          <w:sz w:val="19"/>
        </w:rPr>
        <w:t>Años</w:t>
      </w:r>
      <w:r>
        <w:rPr>
          <w:spacing w:val="-2"/>
          <w:w w:val="105"/>
          <w:sz w:val="19"/>
        </w:rPr>
        <w:t> </w:t>
      </w:r>
      <w:r>
        <w:rPr>
          <w:w w:val="105"/>
          <w:sz w:val="19"/>
        </w:rPr>
        <w:t>laborados</w:t>
        <w:tab/>
        <w:t>40 años</w:t>
        <w:tab/>
        <w:t>30</w:t>
      </w:r>
      <w:r>
        <w:rPr>
          <w:spacing w:val="-2"/>
          <w:w w:val="105"/>
          <w:sz w:val="19"/>
        </w:rPr>
        <w:t> </w:t>
      </w:r>
      <w:r>
        <w:rPr>
          <w:w w:val="105"/>
          <w:sz w:val="19"/>
        </w:rPr>
        <w:t>años</w:t>
      </w:r>
    </w:p>
    <w:p>
      <w:pPr>
        <w:spacing w:after="0"/>
        <w:jc w:val="left"/>
        <w:rPr>
          <w:sz w:val="19"/>
        </w:rPr>
        <w:sectPr>
          <w:type w:val="continuous"/>
          <w:pgSz w:w="7770" w:h="11740"/>
          <w:pgMar w:top="0" w:bottom="0" w:left="660" w:right="940"/>
        </w:sectPr>
      </w:pPr>
    </w:p>
    <w:p>
      <w:pPr>
        <w:tabs>
          <w:tab w:pos="1998" w:val="left" w:leader="none"/>
        </w:tabs>
        <w:spacing w:line="284" w:lineRule="exact" w:before="12"/>
        <w:ind w:left="188" w:right="0" w:firstLine="0"/>
        <w:jc w:val="left"/>
        <w:rPr>
          <w:sz w:val="19"/>
        </w:rPr>
      </w:pPr>
      <w:r>
        <w:rPr>
          <w:w w:val="105"/>
          <w:position w:val="-11"/>
          <w:sz w:val="19"/>
        </w:rPr>
        <w:t>Actividad</w:t>
      </w:r>
      <w:r>
        <w:rPr>
          <w:spacing w:val="-1"/>
          <w:w w:val="105"/>
          <w:position w:val="-11"/>
          <w:sz w:val="19"/>
        </w:rPr>
        <w:t> </w:t>
      </w:r>
      <w:r>
        <w:rPr>
          <w:w w:val="105"/>
          <w:position w:val="-11"/>
          <w:sz w:val="19"/>
        </w:rPr>
        <w:t>actual</w:t>
        <w:tab/>
      </w:r>
      <w:r>
        <w:rPr>
          <w:w w:val="105"/>
          <w:sz w:val="19"/>
        </w:rPr>
        <w:t>Edición de libros</w:t>
      </w:r>
      <w:r>
        <w:rPr>
          <w:spacing w:val="-6"/>
          <w:w w:val="105"/>
          <w:sz w:val="19"/>
        </w:rPr>
        <w:t> </w:t>
      </w:r>
      <w:r>
        <w:rPr>
          <w:w w:val="105"/>
          <w:sz w:val="19"/>
        </w:rPr>
        <w:t>de</w:t>
      </w:r>
    </w:p>
    <w:p>
      <w:pPr>
        <w:spacing w:line="164" w:lineRule="exact" w:before="0"/>
        <w:ind w:left="1998" w:right="-17" w:firstLine="0"/>
        <w:jc w:val="left"/>
        <w:rPr>
          <w:sz w:val="19"/>
        </w:rPr>
      </w:pPr>
      <w:r>
        <w:rPr>
          <w:w w:val="105"/>
          <w:sz w:val="19"/>
        </w:rPr>
        <w:t>texto para secundaria y</w:t>
      </w:r>
    </w:p>
    <w:p>
      <w:pPr>
        <w:spacing w:before="7"/>
        <w:ind w:left="1998" w:right="0" w:firstLine="0"/>
        <w:jc w:val="left"/>
        <w:rPr>
          <w:sz w:val="19"/>
        </w:rPr>
      </w:pPr>
      <w:r>
        <w:rPr>
          <w:w w:val="105"/>
          <w:sz w:val="19"/>
        </w:rPr>
        <w:t>bachillerato</w:t>
      </w:r>
    </w:p>
    <w:p>
      <w:pPr>
        <w:spacing w:line="249" w:lineRule="auto" w:before="12"/>
        <w:ind w:left="188" w:right="159" w:firstLine="0"/>
        <w:jc w:val="left"/>
        <w:rPr>
          <w:sz w:val="19"/>
        </w:rPr>
      </w:pPr>
      <w:r>
        <w:rPr/>
        <w:br w:type="column"/>
      </w:r>
      <w:r>
        <w:rPr>
          <w:w w:val="105"/>
          <w:sz w:val="19"/>
        </w:rPr>
        <w:t>Actividades recreativas (yoga, gimnasia, pintura, poesía)</w:t>
      </w:r>
    </w:p>
    <w:p>
      <w:pPr>
        <w:spacing w:after="0" w:line="249" w:lineRule="auto"/>
        <w:jc w:val="left"/>
        <w:rPr>
          <w:sz w:val="19"/>
        </w:rPr>
        <w:sectPr>
          <w:type w:val="continuous"/>
          <w:pgSz w:w="7770" w:h="11740"/>
          <w:pgMar w:top="0" w:bottom="0" w:left="660" w:right="940"/>
          <w:cols w:num="2" w:equalWidth="0">
            <w:col w:w="3846" w:space="90"/>
            <w:col w:w="2234"/>
          </w:cols>
        </w:sectPr>
      </w:pPr>
    </w:p>
    <w:p>
      <w:pPr>
        <w:tabs>
          <w:tab w:pos="1998" w:val="left" w:leader="none"/>
          <w:tab w:pos="4223" w:val="right" w:leader="none"/>
        </w:tabs>
        <w:spacing w:before="3"/>
        <w:ind w:left="188" w:right="0" w:firstLine="0"/>
        <w:jc w:val="left"/>
        <w:rPr>
          <w:sz w:val="19"/>
        </w:rPr>
      </w:pPr>
      <w:r>
        <w:rPr>
          <w:w w:val="105"/>
          <w:sz w:val="19"/>
        </w:rPr>
        <w:t>Número</w:t>
      </w:r>
      <w:r>
        <w:rPr>
          <w:spacing w:val="-2"/>
          <w:w w:val="105"/>
          <w:sz w:val="19"/>
        </w:rPr>
        <w:t> </w:t>
      </w:r>
      <w:r>
        <w:rPr>
          <w:w w:val="105"/>
          <w:sz w:val="19"/>
        </w:rPr>
        <w:t>de</w:t>
      </w:r>
      <w:r>
        <w:rPr>
          <w:spacing w:val="-2"/>
          <w:w w:val="105"/>
          <w:sz w:val="19"/>
        </w:rPr>
        <w:t> </w:t>
      </w:r>
      <w:r>
        <w:rPr>
          <w:w w:val="105"/>
          <w:sz w:val="19"/>
        </w:rPr>
        <w:t>nietos</w:t>
        <w:tab/>
        <w:t>2</w:t>
        <w:tab/>
        <w:t>7</w:t>
      </w:r>
    </w:p>
    <w:p>
      <w:pPr>
        <w:tabs>
          <w:tab w:pos="1998" w:val="left" w:leader="none"/>
          <w:tab w:pos="4124" w:val="left" w:leader="none"/>
        </w:tabs>
        <w:spacing w:before="12"/>
        <w:ind w:left="188" w:right="242" w:firstLine="0"/>
        <w:jc w:val="left"/>
        <w:rPr>
          <w:sz w:val="19"/>
        </w:rPr>
      </w:pPr>
      <w:r>
        <w:rPr>
          <w:w w:val="105"/>
          <w:sz w:val="19"/>
        </w:rPr>
        <w:t>Corresidentes</w:t>
        <w:tab/>
        <w:t>Nadie</w:t>
        <w:tab/>
        <w:t>Esposo</w:t>
      </w:r>
    </w:p>
    <w:p>
      <w:pPr>
        <w:spacing w:after="0"/>
        <w:jc w:val="left"/>
        <w:rPr>
          <w:sz w:val="19"/>
        </w:rPr>
        <w:sectPr>
          <w:type w:val="continuous"/>
          <w:pgSz w:w="7770" w:h="11740"/>
          <w:pgMar w:top="0" w:bottom="0" w:left="660" w:right="940"/>
        </w:sectPr>
      </w:pPr>
    </w:p>
    <w:p>
      <w:pPr>
        <w:spacing w:line="252" w:lineRule="auto" w:before="12"/>
        <w:ind w:left="188" w:right="-17" w:firstLine="0"/>
        <w:jc w:val="left"/>
        <w:rPr>
          <w:sz w:val="19"/>
        </w:rPr>
      </w:pPr>
      <w:r>
        <w:rPr>
          <w:w w:val="105"/>
          <w:sz w:val="19"/>
        </w:rPr>
        <w:t>Parientes con los que tiene más relación</w:t>
      </w:r>
    </w:p>
    <w:p>
      <w:pPr>
        <w:spacing w:line="252" w:lineRule="auto" w:before="12"/>
        <w:ind w:left="188" w:right="-17" w:firstLine="0"/>
        <w:jc w:val="left"/>
        <w:rPr>
          <w:sz w:val="19"/>
        </w:rPr>
      </w:pPr>
      <w:r>
        <w:rPr/>
        <w:br w:type="column"/>
      </w:r>
      <w:r>
        <w:rPr>
          <w:w w:val="105"/>
          <w:sz w:val="19"/>
        </w:rPr>
        <w:t>Un hijo separado que vive junto a la casa de ella</w:t>
      </w:r>
    </w:p>
    <w:p>
      <w:pPr>
        <w:spacing w:before="242"/>
        <w:ind w:left="188" w:right="0" w:firstLine="0"/>
        <w:jc w:val="left"/>
        <w:rPr>
          <w:sz w:val="19"/>
        </w:rPr>
      </w:pPr>
      <w:r>
        <w:rPr/>
        <w:br w:type="column"/>
      </w:r>
      <w:r>
        <w:rPr>
          <w:w w:val="105"/>
          <w:sz w:val="19"/>
        </w:rPr>
        <w:t>Su esposo</w:t>
      </w:r>
    </w:p>
    <w:p>
      <w:pPr>
        <w:spacing w:after="0"/>
        <w:jc w:val="left"/>
        <w:rPr>
          <w:sz w:val="19"/>
        </w:rPr>
        <w:sectPr>
          <w:type w:val="continuous"/>
          <w:pgSz w:w="7770" w:h="11740"/>
          <w:pgMar w:top="0" w:bottom="0" w:left="660" w:right="940"/>
          <w:cols w:num="3" w:equalWidth="0">
            <w:col w:w="1543" w:space="267"/>
            <w:col w:w="1959" w:space="168"/>
            <w:col w:w="2233"/>
          </w:cols>
        </w:sectPr>
      </w:pPr>
    </w:p>
    <w:p>
      <w:pPr>
        <w:tabs>
          <w:tab w:pos="1998" w:val="left" w:leader="none"/>
          <w:tab w:pos="4124" w:val="left" w:leader="none"/>
        </w:tabs>
        <w:spacing w:before="1"/>
        <w:ind w:left="188" w:right="242" w:firstLine="0"/>
        <w:jc w:val="left"/>
        <w:rPr>
          <w:sz w:val="19"/>
        </w:rPr>
      </w:pPr>
      <w:r>
        <w:rPr/>
        <w:pict>
          <v:shape style="position:absolute;margin-left:38.268002pt;margin-top:11.558342pt;width:297.650pt;height:.1pt;mso-position-horizontal-relative:page;mso-position-vertical-relative:paragraph;z-index:8296" coordorigin="765,231" coordsize="5953,0" path="m765,231l2548,231m2548,231l2558,231m2558,231l4679,231m4679,231l4689,231m4689,231l6718,231e" filled="false" stroked="true" strokeweight=".48pt" strokecolor="#000000">
            <v:path arrowok="t"/>
            <w10:wrap type="none"/>
          </v:shape>
        </w:pict>
      </w:r>
      <w:r>
        <w:rPr>
          <w:w w:val="105"/>
          <w:sz w:val="19"/>
        </w:rPr>
        <w:t>Enfermedades</w:t>
        <w:tab/>
        <w:t>Migraña,</w:t>
      </w:r>
      <w:r>
        <w:rPr>
          <w:spacing w:val="-3"/>
          <w:w w:val="105"/>
          <w:sz w:val="19"/>
        </w:rPr>
        <w:t> </w:t>
      </w:r>
      <w:r>
        <w:rPr>
          <w:w w:val="105"/>
          <w:sz w:val="19"/>
        </w:rPr>
        <w:t>Hipertensión</w:t>
        <w:tab/>
        <w:t>Artritis</w:t>
      </w:r>
    </w:p>
    <w:p>
      <w:pPr>
        <w:spacing w:before="16"/>
        <w:ind w:left="188" w:right="242" w:firstLine="0"/>
        <w:jc w:val="left"/>
        <w:rPr>
          <w:sz w:val="16"/>
        </w:rPr>
      </w:pPr>
      <w:r>
        <w:rPr>
          <w:sz w:val="16"/>
        </w:rPr>
        <w:t>Fuente: elaborado con información de trabajo de campo.</w:t>
      </w:r>
    </w:p>
    <w:p>
      <w:pPr>
        <w:spacing w:after="0"/>
        <w:jc w:val="left"/>
        <w:rPr>
          <w:sz w:val="16"/>
        </w:rPr>
        <w:sectPr>
          <w:type w:val="continuous"/>
          <w:pgSz w:w="7770" w:h="11740"/>
          <w:pgMar w:top="0" w:bottom="0" w:left="660" w:right="940"/>
        </w:sectPr>
      </w:pPr>
    </w:p>
    <w:p>
      <w:pPr>
        <w:spacing w:line="247" w:lineRule="auto" w:before="52"/>
        <w:ind w:left="197" w:right="242" w:firstLine="0"/>
        <w:jc w:val="left"/>
        <w:rPr>
          <w:sz w:val="15"/>
        </w:rPr>
      </w:pPr>
      <w:r>
        <w:rPr/>
        <w:pict>
          <v:shape style="position:absolute;margin-left:52.441013pt;margin-top:22.678553pt;width:297.650pt;height:.1pt;mso-position-horizontal-relative:page;mso-position-vertical-relative:paragraph;z-index:8320" coordorigin="1049,454" coordsize="5953,0" path="m1049,454l2391,454m2391,454l2400,454m2400,454l4541,454m4541,454l4551,454m4551,454l7002,454e" filled="false" stroked="true" strokeweight=".368335pt" strokecolor="#000000">
            <v:path arrowok="t"/>
            <w10:wrap type="none"/>
          </v:shape>
        </w:pict>
      </w:r>
      <w:r>
        <w:rPr>
          <w:w w:val="130"/>
          <w:sz w:val="15"/>
        </w:rPr>
        <w:t>Cuadro 2b. Mujeres profesionistas con trayectoria laboral remunerada (continuación)</w:t>
      </w:r>
    </w:p>
    <w:p>
      <w:pPr>
        <w:tabs>
          <w:tab w:pos="3711" w:val="left" w:leader="none"/>
        </w:tabs>
        <w:spacing w:before="51"/>
        <w:ind w:left="1561" w:right="242" w:firstLine="0"/>
        <w:jc w:val="left"/>
        <w:rPr>
          <w:sz w:val="15"/>
        </w:rPr>
      </w:pPr>
      <w:r>
        <w:rPr/>
        <w:pict>
          <v:shape style="position:absolute;margin-left:52.441013pt;margin-top:11.578504pt;width:297.650pt;height:.1pt;mso-position-horizontal-relative:page;mso-position-vertical-relative:paragraph;z-index:8344" coordorigin="1049,232" coordsize="5953,0" path="m1049,232l2391,232m2391,232l2400,232m2400,232l4541,232m4541,232l4551,232m4551,232l7002,232e" filled="false" stroked="true" strokeweight=".368335pt" strokecolor="#000000">
            <v:path arrowok="t"/>
            <w10:wrap type="none"/>
          </v:shape>
        </w:pict>
      </w:r>
      <w:r>
        <w:rPr>
          <w:w w:val="130"/>
          <w:sz w:val="15"/>
        </w:rPr>
        <w:t>Ana</w:t>
        <w:tab/>
        <w:t>Esperanza</w:t>
      </w:r>
    </w:p>
    <w:p>
      <w:pPr>
        <w:tabs>
          <w:tab w:pos="1561" w:val="left" w:leader="none"/>
          <w:tab w:pos="3711" w:val="left" w:leader="none"/>
        </w:tabs>
        <w:spacing w:before="11"/>
        <w:ind w:left="197" w:right="242" w:firstLine="0"/>
        <w:jc w:val="left"/>
        <w:rPr>
          <w:sz w:val="15"/>
        </w:rPr>
      </w:pPr>
      <w:r>
        <w:rPr>
          <w:w w:val="130"/>
          <w:sz w:val="15"/>
        </w:rPr>
        <w:t>Edad</w:t>
        <w:tab/>
        <w:t>74</w:t>
      </w:r>
      <w:r>
        <w:rPr>
          <w:spacing w:val="6"/>
          <w:w w:val="130"/>
          <w:sz w:val="15"/>
        </w:rPr>
        <w:t> </w:t>
      </w:r>
      <w:r>
        <w:rPr>
          <w:w w:val="130"/>
          <w:sz w:val="15"/>
        </w:rPr>
        <w:t>años</w:t>
        <w:tab/>
        <w:t>75</w:t>
      </w:r>
      <w:r>
        <w:rPr>
          <w:spacing w:val="12"/>
          <w:w w:val="130"/>
          <w:sz w:val="15"/>
        </w:rPr>
        <w:t> </w:t>
      </w:r>
      <w:r>
        <w:rPr>
          <w:w w:val="130"/>
          <w:sz w:val="15"/>
        </w:rPr>
        <w:t>años</w:t>
      </w:r>
    </w:p>
    <w:p>
      <w:pPr>
        <w:spacing w:after="0"/>
        <w:jc w:val="left"/>
        <w:rPr>
          <w:sz w:val="15"/>
        </w:rPr>
        <w:sectPr>
          <w:footerReference w:type="default" r:id="rId279"/>
          <w:pgSz w:w="7770" w:h="11740"/>
          <w:pgMar w:footer="474" w:header="0" w:top="940" w:bottom="660" w:left="940" w:right="660"/>
          <w:pgNumType w:start="267"/>
        </w:sectPr>
      </w:pPr>
    </w:p>
    <w:p>
      <w:pPr>
        <w:tabs>
          <w:tab w:pos="1561" w:val="left" w:leader="none"/>
        </w:tabs>
        <w:spacing w:before="4"/>
        <w:ind w:left="197" w:right="0" w:firstLine="0"/>
        <w:jc w:val="left"/>
        <w:rPr>
          <w:sz w:val="15"/>
        </w:rPr>
      </w:pPr>
      <w:r>
        <w:rPr>
          <w:w w:val="130"/>
          <w:sz w:val="15"/>
        </w:rPr>
        <w:t>Escolaridad</w:t>
        <w:tab/>
        <w:t>Preparatoria</w:t>
      </w:r>
      <w:r>
        <w:rPr>
          <w:spacing w:val="20"/>
          <w:w w:val="130"/>
          <w:sz w:val="15"/>
        </w:rPr>
        <w:t> </w:t>
      </w:r>
      <w:r>
        <w:rPr>
          <w:w w:val="130"/>
          <w:sz w:val="15"/>
        </w:rPr>
        <w:t>y</w:t>
      </w:r>
    </w:p>
    <w:p>
      <w:pPr>
        <w:spacing w:line="247" w:lineRule="auto" w:before="4"/>
        <w:ind w:left="1561" w:right="0" w:firstLine="0"/>
        <w:jc w:val="left"/>
        <w:rPr>
          <w:sz w:val="15"/>
        </w:rPr>
      </w:pPr>
      <w:r>
        <w:rPr>
          <w:w w:val="130"/>
          <w:sz w:val="15"/>
        </w:rPr>
        <w:t>educación bilingüe que revalidaría después para obtener el título en lengua inglesa por la Universidad de Texas</w:t>
      </w:r>
    </w:p>
    <w:p>
      <w:pPr>
        <w:spacing w:line="247" w:lineRule="auto" w:before="4"/>
        <w:ind w:left="180" w:right="128" w:firstLine="0"/>
        <w:jc w:val="left"/>
        <w:rPr>
          <w:sz w:val="15"/>
        </w:rPr>
      </w:pPr>
      <w:r>
        <w:rPr/>
        <w:br w:type="column"/>
      </w:r>
      <w:r>
        <w:rPr>
          <w:w w:val="130"/>
          <w:sz w:val="15"/>
        </w:rPr>
        <w:t>Normal, Universidad Pedagógica, Universidad Femenina, contabilidad en la UNAM</w:t>
      </w:r>
    </w:p>
    <w:p>
      <w:pPr>
        <w:spacing w:after="0" w:line="247" w:lineRule="auto"/>
        <w:jc w:val="left"/>
        <w:rPr>
          <w:sz w:val="15"/>
        </w:rPr>
        <w:sectPr>
          <w:type w:val="continuous"/>
          <w:pgSz w:w="7770" w:h="11740"/>
          <w:pgMar w:top="0" w:bottom="0" w:left="940" w:right="660"/>
          <w:cols w:num="2" w:equalWidth="0">
            <w:col w:w="3492" w:space="40"/>
            <w:col w:w="2638"/>
          </w:cols>
        </w:sectPr>
      </w:pPr>
    </w:p>
    <w:p>
      <w:pPr>
        <w:spacing w:line="242" w:lineRule="auto" w:before="0"/>
        <w:ind w:left="197" w:right="0" w:firstLine="0"/>
        <w:jc w:val="left"/>
        <w:rPr>
          <w:sz w:val="15"/>
        </w:rPr>
      </w:pPr>
      <w:r>
        <w:rPr>
          <w:w w:val="130"/>
          <w:sz w:val="15"/>
        </w:rPr>
        <w:t>Edad de casamiento o unión</w:t>
      </w:r>
    </w:p>
    <w:p>
      <w:pPr>
        <w:tabs>
          <w:tab w:pos="2348" w:val="left" w:leader="none"/>
        </w:tabs>
        <w:spacing w:before="172"/>
        <w:ind w:left="197" w:right="0" w:firstLine="0"/>
        <w:jc w:val="left"/>
        <w:rPr>
          <w:sz w:val="15"/>
        </w:rPr>
      </w:pPr>
      <w:r>
        <w:rPr/>
        <w:br w:type="column"/>
      </w:r>
      <w:r>
        <w:rPr>
          <w:w w:val="130"/>
          <w:sz w:val="15"/>
        </w:rPr>
        <w:t>Nunca</w:t>
      </w:r>
      <w:r>
        <w:rPr>
          <w:spacing w:val="6"/>
          <w:w w:val="130"/>
          <w:sz w:val="15"/>
        </w:rPr>
        <w:t> </w:t>
      </w:r>
      <w:r>
        <w:rPr>
          <w:w w:val="130"/>
          <w:sz w:val="15"/>
        </w:rPr>
        <w:t>se</w:t>
      </w:r>
      <w:r>
        <w:rPr>
          <w:spacing w:val="6"/>
          <w:w w:val="130"/>
          <w:sz w:val="15"/>
        </w:rPr>
        <w:t> </w:t>
      </w:r>
      <w:r>
        <w:rPr>
          <w:w w:val="130"/>
          <w:sz w:val="15"/>
        </w:rPr>
        <w:t>casó</w:t>
        <w:tab/>
        <w:t>26</w:t>
      </w:r>
      <w:r>
        <w:rPr>
          <w:spacing w:val="12"/>
          <w:w w:val="130"/>
          <w:sz w:val="15"/>
        </w:rPr>
        <w:t> </w:t>
      </w:r>
      <w:r>
        <w:rPr>
          <w:w w:val="130"/>
          <w:sz w:val="15"/>
        </w:rPr>
        <w:t>años</w:t>
      </w:r>
    </w:p>
    <w:p>
      <w:pPr>
        <w:spacing w:after="0"/>
        <w:jc w:val="left"/>
        <w:rPr>
          <w:sz w:val="15"/>
        </w:rPr>
        <w:sectPr>
          <w:type w:val="continuous"/>
          <w:pgSz w:w="7770" w:h="11740"/>
          <w:pgMar w:top="0" w:bottom="0" w:left="940" w:right="660"/>
          <w:cols w:num="2" w:equalWidth="0">
            <w:col w:w="1246" w:space="117"/>
            <w:col w:w="4807"/>
          </w:cols>
        </w:sectPr>
      </w:pPr>
    </w:p>
    <w:p>
      <w:pPr>
        <w:tabs>
          <w:tab w:pos="1561" w:val="left" w:leader="none"/>
          <w:tab w:pos="3711" w:val="left" w:leader="none"/>
        </w:tabs>
        <w:spacing w:before="2"/>
        <w:ind w:left="197" w:right="242" w:firstLine="0"/>
        <w:jc w:val="left"/>
        <w:rPr>
          <w:sz w:val="15"/>
        </w:rPr>
      </w:pPr>
      <w:r>
        <w:rPr>
          <w:w w:val="130"/>
          <w:sz w:val="15"/>
        </w:rPr>
        <w:t>1er</w:t>
      </w:r>
      <w:r>
        <w:rPr>
          <w:spacing w:val="5"/>
          <w:w w:val="130"/>
          <w:sz w:val="15"/>
        </w:rPr>
        <w:t> </w:t>
      </w:r>
      <w:r>
        <w:rPr>
          <w:w w:val="130"/>
          <w:sz w:val="15"/>
        </w:rPr>
        <w:t>hijo</w:t>
        <w:tab/>
        <w:t>----</w:t>
        <w:tab/>
        <w:t>1956</w:t>
      </w:r>
    </w:p>
    <w:p>
      <w:pPr>
        <w:tabs>
          <w:tab w:pos="1561" w:val="left" w:leader="none"/>
          <w:tab w:pos="3711" w:val="left" w:leader="none"/>
        </w:tabs>
        <w:spacing w:before="4"/>
        <w:ind w:left="197" w:right="242" w:firstLine="0"/>
        <w:jc w:val="left"/>
        <w:rPr>
          <w:sz w:val="15"/>
        </w:rPr>
      </w:pPr>
      <w:r>
        <w:rPr>
          <w:w w:val="130"/>
          <w:sz w:val="15"/>
        </w:rPr>
        <w:t>Último</w:t>
      </w:r>
      <w:r>
        <w:rPr>
          <w:spacing w:val="7"/>
          <w:w w:val="130"/>
          <w:sz w:val="15"/>
        </w:rPr>
        <w:t> </w:t>
      </w:r>
      <w:r>
        <w:rPr>
          <w:w w:val="130"/>
          <w:sz w:val="15"/>
        </w:rPr>
        <w:t>hijo</w:t>
        <w:tab/>
        <w:t>-----</w:t>
        <w:tab/>
        <w:t>1958</w:t>
      </w:r>
    </w:p>
    <w:p>
      <w:pPr>
        <w:tabs>
          <w:tab w:pos="1561" w:val="left" w:leader="none"/>
          <w:tab w:pos="3711" w:val="left" w:leader="none"/>
        </w:tabs>
        <w:spacing w:line="120" w:lineRule="auto" w:before="74"/>
        <w:ind w:left="3711" w:right="337" w:hanging="3514"/>
        <w:jc w:val="left"/>
        <w:rPr>
          <w:sz w:val="15"/>
        </w:rPr>
      </w:pPr>
      <w:r>
        <w:rPr>
          <w:w w:val="130"/>
          <w:position w:val="-8"/>
          <w:sz w:val="15"/>
        </w:rPr>
        <w:t>Total</w:t>
      </w:r>
      <w:r>
        <w:rPr>
          <w:spacing w:val="5"/>
          <w:w w:val="130"/>
          <w:position w:val="-8"/>
          <w:sz w:val="15"/>
        </w:rPr>
        <w:t> </w:t>
      </w:r>
      <w:r>
        <w:rPr>
          <w:w w:val="130"/>
          <w:position w:val="-8"/>
          <w:sz w:val="15"/>
        </w:rPr>
        <w:t>de</w:t>
      </w:r>
      <w:r>
        <w:rPr>
          <w:spacing w:val="5"/>
          <w:w w:val="130"/>
          <w:position w:val="-8"/>
          <w:sz w:val="15"/>
        </w:rPr>
        <w:t> </w:t>
      </w:r>
      <w:r>
        <w:rPr>
          <w:w w:val="130"/>
          <w:position w:val="-8"/>
          <w:sz w:val="15"/>
        </w:rPr>
        <w:t>hijos</w:t>
        <w:tab/>
        <w:t>0</w:t>
        <w:tab/>
      </w:r>
      <w:r>
        <w:rPr>
          <w:w w:val="130"/>
          <w:sz w:val="15"/>
        </w:rPr>
        <w:t>2 propios y 2</w:t>
      </w:r>
      <w:r>
        <w:rPr>
          <w:spacing w:val="34"/>
          <w:w w:val="130"/>
          <w:sz w:val="15"/>
        </w:rPr>
        <w:t> </w:t>
      </w:r>
      <w:r>
        <w:rPr>
          <w:w w:val="130"/>
          <w:sz w:val="15"/>
        </w:rPr>
        <w:t>sobrinos</w:t>
      </w:r>
      <w:r>
        <w:rPr>
          <w:spacing w:val="7"/>
          <w:w w:val="130"/>
          <w:sz w:val="15"/>
        </w:rPr>
        <w:t> </w:t>
      </w:r>
      <w:r>
        <w:rPr>
          <w:w w:val="130"/>
          <w:sz w:val="15"/>
        </w:rPr>
        <w:t>que</w:t>
      </w:r>
      <w:r>
        <w:rPr>
          <w:spacing w:val="1"/>
          <w:w w:val="131"/>
          <w:sz w:val="15"/>
        </w:rPr>
        <w:t> </w:t>
      </w:r>
      <w:r>
        <w:rPr>
          <w:w w:val="130"/>
          <w:sz w:val="15"/>
        </w:rPr>
        <w:t>ella</w:t>
      </w:r>
      <w:r>
        <w:rPr>
          <w:spacing w:val="10"/>
          <w:w w:val="130"/>
          <w:sz w:val="15"/>
        </w:rPr>
        <w:t> </w:t>
      </w:r>
      <w:r>
        <w:rPr>
          <w:w w:val="130"/>
          <w:sz w:val="15"/>
        </w:rPr>
        <w:t>crió</w:t>
      </w:r>
    </w:p>
    <w:p>
      <w:pPr>
        <w:spacing w:line="130" w:lineRule="exact" w:before="20"/>
        <w:ind w:left="197" w:right="242" w:firstLine="0"/>
        <w:jc w:val="left"/>
        <w:rPr>
          <w:sz w:val="15"/>
        </w:rPr>
      </w:pPr>
      <w:r>
        <w:rPr>
          <w:w w:val="130"/>
          <w:sz w:val="15"/>
        </w:rPr>
        <w:t>Actividad del</w:t>
      </w:r>
    </w:p>
    <w:p>
      <w:pPr>
        <w:tabs>
          <w:tab w:pos="1561" w:val="left" w:leader="none"/>
          <w:tab w:pos="3711" w:val="left" w:leader="none"/>
        </w:tabs>
        <w:spacing w:line="220" w:lineRule="exact" w:before="0"/>
        <w:ind w:left="197" w:right="242" w:firstLine="0"/>
        <w:jc w:val="left"/>
        <w:rPr>
          <w:sz w:val="15"/>
        </w:rPr>
      </w:pPr>
      <w:r>
        <w:rPr>
          <w:w w:val="130"/>
          <w:position w:val="-8"/>
          <w:sz w:val="15"/>
        </w:rPr>
        <w:t>cónyuge</w:t>
        <w:tab/>
      </w:r>
      <w:r>
        <w:rPr>
          <w:w w:val="130"/>
          <w:sz w:val="15"/>
        </w:rPr>
        <w:t>-----</w:t>
        <w:tab/>
        <w:t>Abogado</w:t>
      </w:r>
    </w:p>
    <w:p>
      <w:pPr>
        <w:spacing w:after="0" w:line="220" w:lineRule="exact"/>
        <w:jc w:val="left"/>
        <w:rPr>
          <w:sz w:val="15"/>
        </w:rPr>
        <w:sectPr>
          <w:type w:val="continuous"/>
          <w:pgSz w:w="7770" w:h="11740"/>
          <w:pgMar w:top="0" w:bottom="0" w:left="940" w:right="660"/>
        </w:sectPr>
      </w:pPr>
    </w:p>
    <w:p>
      <w:pPr>
        <w:tabs>
          <w:tab w:pos="1561" w:val="left" w:leader="none"/>
        </w:tabs>
        <w:spacing w:line="220" w:lineRule="exact" w:before="2"/>
        <w:ind w:left="197" w:right="0" w:firstLine="0"/>
        <w:jc w:val="left"/>
        <w:rPr>
          <w:sz w:val="15"/>
        </w:rPr>
      </w:pPr>
      <w:r>
        <w:rPr>
          <w:w w:val="130"/>
          <w:position w:val="-8"/>
          <w:sz w:val="15"/>
        </w:rPr>
        <w:t>Estado</w:t>
      </w:r>
      <w:r>
        <w:rPr>
          <w:spacing w:val="6"/>
          <w:w w:val="130"/>
          <w:position w:val="-8"/>
          <w:sz w:val="15"/>
        </w:rPr>
        <w:t> </w:t>
      </w:r>
      <w:r>
        <w:rPr>
          <w:w w:val="130"/>
          <w:position w:val="-8"/>
          <w:sz w:val="15"/>
        </w:rPr>
        <w:t>civil</w:t>
        <w:tab/>
      </w:r>
      <w:r>
        <w:rPr>
          <w:w w:val="130"/>
          <w:sz w:val="15"/>
        </w:rPr>
        <w:t>Soltera (nunca se</w:t>
      </w:r>
      <w:r>
        <w:rPr>
          <w:spacing w:val="34"/>
          <w:w w:val="130"/>
          <w:sz w:val="15"/>
        </w:rPr>
        <w:t> </w:t>
      </w:r>
      <w:r>
        <w:rPr>
          <w:w w:val="130"/>
          <w:sz w:val="15"/>
        </w:rPr>
        <w:t>casó,</w:t>
      </w:r>
    </w:p>
    <w:p>
      <w:pPr>
        <w:spacing w:line="130" w:lineRule="exact" w:before="0"/>
        <w:ind w:left="1561" w:right="0" w:firstLine="0"/>
        <w:jc w:val="left"/>
        <w:rPr>
          <w:sz w:val="15"/>
        </w:rPr>
      </w:pPr>
      <w:r>
        <w:rPr>
          <w:w w:val="130"/>
          <w:sz w:val="15"/>
        </w:rPr>
        <w:t>ni vivió en unión libre)</w:t>
      </w:r>
    </w:p>
    <w:p>
      <w:pPr>
        <w:spacing w:line="247" w:lineRule="auto" w:before="2"/>
        <w:ind w:left="197" w:right="161" w:firstLine="50"/>
        <w:jc w:val="left"/>
        <w:rPr>
          <w:sz w:val="15"/>
        </w:rPr>
      </w:pPr>
      <w:r>
        <w:rPr/>
        <w:br w:type="column"/>
      </w:r>
      <w:r>
        <w:rPr>
          <w:w w:val="130"/>
          <w:sz w:val="15"/>
        </w:rPr>
        <w:t>Separada hace más de 40 años</w:t>
      </w:r>
    </w:p>
    <w:p>
      <w:pPr>
        <w:spacing w:after="0" w:line="247" w:lineRule="auto"/>
        <w:jc w:val="left"/>
        <w:rPr>
          <w:sz w:val="15"/>
        </w:rPr>
        <w:sectPr>
          <w:type w:val="continuous"/>
          <w:pgSz w:w="7770" w:h="11740"/>
          <w:pgMar w:top="0" w:bottom="0" w:left="940" w:right="660"/>
          <w:cols w:num="2" w:equalWidth="0">
            <w:col w:w="3404" w:space="110"/>
            <w:col w:w="2656"/>
          </w:cols>
        </w:sectPr>
      </w:pPr>
    </w:p>
    <w:p>
      <w:pPr>
        <w:spacing w:line="242" w:lineRule="auto" w:before="0"/>
        <w:ind w:left="197" w:right="0" w:firstLine="0"/>
        <w:jc w:val="left"/>
        <w:rPr>
          <w:sz w:val="15"/>
        </w:rPr>
      </w:pPr>
      <w:r>
        <w:rPr>
          <w:w w:val="130"/>
          <w:sz w:val="15"/>
        </w:rPr>
        <w:t>Separación, divorcio o viudez</w:t>
      </w:r>
    </w:p>
    <w:p>
      <w:pPr>
        <w:pStyle w:val="BodyText"/>
        <w:spacing w:before="11"/>
        <w:rPr>
          <w:sz w:val="14"/>
        </w:rPr>
      </w:pPr>
      <w:r>
        <w:rPr/>
        <w:br w:type="column"/>
      </w:r>
      <w:r>
        <w:rPr>
          <w:sz w:val="14"/>
        </w:rPr>
      </w:r>
    </w:p>
    <w:p>
      <w:pPr>
        <w:tabs>
          <w:tab w:pos="2348" w:val="left" w:leader="none"/>
        </w:tabs>
        <w:spacing w:before="0"/>
        <w:ind w:left="197" w:right="0" w:firstLine="0"/>
        <w:jc w:val="left"/>
        <w:rPr>
          <w:sz w:val="15"/>
        </w:rPr>
      </w:pPr>
      <w:r>
        <w:rPr>
          <w:w w:val="130"/>
          <w:sz w:val="15"/>
        </w:rPr>
        <w:t>------</w:t>
        <w:tab/>
        <w:t>1961</w:t>
      </w:r>
    </w:p>
    <w:p>
      <w:pPr>
        <w:spacing w:after="0"/>
        <w:jc w:val="left"/>
        <w:rPr>
          <w:sz w:val="15"/>
        </w:rPr>
        <w:sectPr>
          <w:type w:val="continuous"/>
          <w:pgSz w:w="7770" w:h="11740"/>
          <w:pgMar w:top="0" w:bottom="0" w:left="940" w:right="660"/>
          <w:cols w:num="2" w:equalWidth="0">
            <w:col w:w="1136" w:space="227"/>
            <w:col w:w="4807"/>
          </w:cols>
        </w:sectPr>
      </w:pPr>
    </w:p>
    <w:p>
      <w:pPr>
        <w:spacing w:line="247" w:lineRule="auto" w:before="2"/>
        <w:ind w:left="197" w:right="0" w:firstLine="0"/>
        <w:jc w:val="left"/>
        <w:rPr>
          <w:sz w:val="15"/>
        </w:rPr>
      </w:pPr>
      <w:r>
        <w:rPr>
          <w:w w:val="130"/>
          <w:sz w:val="15"/>
        </w:rPr>
        <w:t>Edad cumplida en su primer empleo</w:t>
      </w:r>
    </w:p>
    <w:p>
      <w:pPr>
        <w:spacing w:line="172" w:lineRule="exact" w:before="0"/>
        <w:ind w:left="197" w:right="0" w:firstLine="0"/>
        <w:jc w:val="left"/>
        <w:rPr>
          <w:sz w:val="15"/>
        </w:rPr>
      </w:pPr>
      <w:r>
        <w:rPr>
          <w:w w:val="130"/>
          <w:sz w:val="15"/>
        </w:rPr>
        <w:t>Edad al dejar</w:t>
      </w:r>
    </w:p>
    <w:p>
      <w:pPr>
        <w:spacing w:line="247" w:lineRule="auto" w:before="2"/>
        <w:ind w:left="197" w:right="0" w:firstLine="0"/>
        <w:jc w:val="left"/>
        <w:rPr>
          <w:sz w:val="15"/>
        </w:rPr>
      </w:pPr>
      <w:r>
        <w:rPr/>
        <w:br w:type="column"/>
      </w:r>
      <w:r>
        <w:rPr>
          <w:w w:val="130"/>
          <w:sz w:val="15"/>
        </w:rPr>
        <w:t>17 años. Empleo temporal y enseguida fue empleada de oficina (3 años)</w:t>
      </w:r>
    </w:p>
    <w:p>
      <w:pPr>
        <w:spacing w:line="247" w:lineRule="auto" w:before="2"/>
        <w:ind w:left="196" w:right="21" w:firstLine="0"/>
        <w:jc w:val="left"/>
        <w:rPr>
          <w:sz w:val="15"/>
        </w:rPr>
      </w:pPr>
      <w:r>
        <w:rPr/>
        <w:br w:type="column"/>
      </w:r>
      <w:r>
        <w:rPr>
          <w:w w:val="130"/>
          <w:sz w:val="15"/>
        </w:rPr>
        <w:t>15 años, mientras estudiaba. Empleada temporal en zapatería y secretaria</w:t>
      </w:r>
    </w:p>
    <w:p>
      <w:pPr>
        <w:spacing w:after="0" w:line="247" w:lineRule="auto"/>
        <w:jc w:val="left"/>
        <w:rPr>
          <w:sz w:val="15"/>
        </w:rPr>
        <w:sectPr>
          <w:type w:val="continuous"/>
          <w:pgSz w:w="7770" w:h="11740"/>
          <w:pgMar w:top="0" w:bottom="0" w:left="940" w:right="660"/>
          <w:cols w:num="3" w:equalWidth="0">
            <w:col w:w="1254" w:space="109"/>
            <w:col w:w="2112" w:space="40"/>
            <w:col w:w="2655"/>
          </w:cols>
        </w:sectPr>
      </w:pPr>
    </w:p>
    <w:p>
      <w:pPr>
        <w:spacing w:line="170" w:lineRule="atLeast" w:before="4"/>
        <w:ind w:left="197" w:right="-3" w:firstLine="0"/>
        <w:jc w:val="left"/>
        <w:rPr>
          <w:sz w:val="15"/>
        </w:rPr>
      </w:pPr>
      <w:r>
        <w:rPr>
          <w:w w:val="130"/>
          <w:sz w:val="15"/>
        </w:rPr>
        <w:t>el último empleo Años</w:t>
      </w:r>
    </w:p>
    <w:p>
      <w:pPr>
        <w:tabs>
          <w:tab w:pos="2348" w:val="left" w:leader="none"/>
        </w:tabs>
        <w:spacing w:before="4"/>
        <w:ind w:left="197" w:right="0" w:firstLine="0"/>
        <w:jc w:val="left"/>
        <w:rPr>
          <w:sz w:val="15"/>
        </w:rPr>
      </w:pPr>
      <w:r>
        <w:rPr/>
        <w:br w:type="column"/>
      </w:r>
      <w:r>
        <w:rPr>
          <w:w w:val="130"/>
          <w:sz w:val="15"/>
        </w:rPr>
        <w:t>68</w:t>
      </w:r>
      <w:r>
        <w:rPr>
          <w:spacing w:val="6"/>
          <w:w w:val="130"/>
          <w:sz w:val="15"/>
        </w:rPr>
        <w:t> </w:t>
      </w:r>
      <w:r>
        <w:rPr>
          <w:w w:val="130"/>
          <w:sz w:val="15"/>
        </w:rPr>
        <w:t>años</w:t>
        <w:tab/>
        <w:t>67</w:t>
      </w:r>
      <w:r>
        <w:rPr>
          <w:spacing w:val="12"/>
          <w:w w:val="130"/>
          <w:sz w:val="15"/>
        </w:rPr>
        <w:t> </w:t>
      </w:r>
      <w:r>
        <w:rPr>
          <w:w w:val="130"/>
          <w:sz w:val="15"/>
        </w:rPr>
        <w:t>años</w:t>
      </w:r>
    </w:p>
    <w:p>
      <w:pPr>
        <w:spacing w:after="0"/>
        <w:jc w:val="left"/>
        <w:rPr>
          <w:sz w:val="15"/>
        </w:rPr>
        <w:sectPr>
          <w:type w:val="continuous"/>
          <w:pgSz w:w="7770" w:h="11740"/>
          <w:pgMar w:top="0" w:bottom="0" w:left="940" w:right="660"/>
          <w:cols w:num="2" w:equalWidth="0">
            <w:col w:w="913" w:space="450"/>
            <w:col w:w="4807"/>
          </w:cols>
        </w:sectPr>
      </w:pPr>
    </w:p>
    <w:p>
      <w:pPr>
        <w:tabs>
          <w:tab w:pos="1561" w:val="left" w:leader="none"/>
          <w:tab w:pos="3711" w:val="left" w:leader="none"/>
        </w:tabs>
        <w:spacing w:line="178" w:lineRule="exact" w:before="0"/>
        <w:ind w:left="197" w:right="242" w:firstLine="0"/>
        <w:jc w:val="left"/>
        <w:rPr>
          <w:sz w:val="15"/>
        </w:rPr>
      </w:pPr>
      <w:r>
        <w:rPr>
          <w:w w:val="130"/>
          <w:position w:val="-8"/>
          <w:sz w:val="15"/>
        </w:rPr>
        <w:t>laborados</w:t>
        <w:tab/>
      </w:r>
      <w:r>
        <w:rPr>
          <w:w w:val="130"/>
          <w:sz w:val="15"/>
        </w:rPr>
        <w:t>36</w:t>
      </w:r>
      <w:r>
        <w:rPr>
          <w:spacing w:val="5"/>
          <w:w w:val="130"/>
          <w:sz w:val="15"/>
        </w:rPr>
        <w:t> </w:t>
      </w:r>
      <w:r>
        <w:rPr>
          <w:w w:val="130"/>
          <w:sz w:val="15"/>
        </w:rPr>
        <w:t>años</w:t>
        <w:tab/>
        <w:t>46</w:t>
      </w:r>
      <w:r>
        <w:rPr>
          <w:spacing w:val="12"/>
          <w:w w:val="130"/>
          <w:sz w:val="15"/>
        </w:rPr>
        <w:t> </w:t>
      </w:r>
      <w:r>
        <w:rPr>
          <w:w w:val="130"/>
          <w:sz w:val="15"/>
        </w:rPr>
        <w:t>años</w:t>
      </w:r>
    </w:p>
    <w:p>
      <w:pPr>
        <w:spacing w:after="0" w:line="178" w:lineRule="exact"/>
        <w:jc w:val="left"/>
        <w:rPr>
          <w:sz w:val="15"/>
        </w:rPr>
        <w:sectPr>
          <w:type w:val="continuous"/>
          <w:pgSz w:w="7770" w:h="11740"/>
          <w:pgMar w:top="0" w:bottom="0" w:left="940" w:right="660"/>
        </w:sectPr>
      </w:pPr>
    </w:p>
    <w:p>
      <w:pPr>
        <w:pStyle w:val="BodyText"/>
        <w:rPr>
          <w:sz w:val="14"/>
        </w:rPr>
      </w:pPr>
    </w:p>
    <w:p>
      <w:pPr>
        <w:pStyle w:val="BodyText"/>
        <w:rPr>
          <w:sz w:val="14"/>
        </w:rPr>
      </w:pPr>
    </w:p>
    <w:p>
      <w:pPr>
        <w:spacing w:line="247" w:lineRule="auto" w:before="119"/>
        <w:ind w:left="197" w:right="0" w:firstLine="0"/>
        <w:jc w:val="left"/>
        <w:rPr>
          <w:sz w:val="15"/>
        </w:rPr>
      </w:pPr>
      <w:r>
        <w:rPr>
          <w:w w:val="130"/>
          <w:sz w:val="15"/>
        </w:rPr>
        <w:t>Actividad actual</w:t>
      </w:r>
    </w:p>
    <w:p>
      <w:pPr>
        <w:pStyle w:val="BodyText"/>
        <w:rPr>
          <w:sz w:val="14"/>
        </w:rPr>
      </w:pPr>
    </w:p>
    <w:p>
      <w:pPr>
        <w:pStyle w:val="BodyText"/>
        <w:rPr>
          <w:sz w:val="14"/>
        </w:rPr>
      </w:pPr>
    </w:p>
    <w:p>
      <w:pPr>
        <w:pStyle w:val="BodyText"/>
        <w:rPr>
          <w:sz w:val="14"/>
        </w:rPr>
      </w:pPr>
    </w:p>
    <w:p>
      <w:pPr>
        <w:pStyle w:val="BodyText"/>
        <w:spacing w:before="8"/>
        <w:rPr>
          <w:sz w:val="11"/>
        </w:rPr>
      </w:pPr>
    </w:p>
    <w:p>
      <w:pPr>
        <w:spacing w:line="107" w:lineRule="exact" w:before="0"/>
        <w:ind w:left="197" w:right="0" w:firstLine="0"/>
        <w:jc w:val="left"/>
        <w:rPr>
          <w:sz w:val="15"/>
        </w:rPr>
      </w:pPr>
      <w:r>
        <w:rPr>
          <w:w w:val="130"/>
          <w:sz w:val="15"/>
        </w:rPr>
        <w:t>Número de</w:t>
      </w:r>
    </w:p>
    <w:p>
      <w:pPr>
        <w:spacing w:line="247" w:lineRule="auto" w:before="0"/>
        <w:ind w:left="197" w:right="0" w:firstLine="0"/>
        <w:jc w:val="left"/>
        <w:rPr>
          <w:sz w:val="15"/>
        </w:rPr>
      </w:pPr>
      <w:r>
        <w:rPr/>
        <w:br w:type="column"/>
      </w:r>
      <w:r>
        <w:rPr>
          <w:w w:val="130"/>
          <w:sz w:val="15"/>
        </w:rPr>
        <w:t>Se recupera de dos infartos que derivaron en una cirugía a corazón abierto pero quiere dar clases particulares de inglés (lo hacía antes de los infartos)</w:t>
      </w:r>
    </w:p>
    <w:p>
      <w:pPr>
        <w:spacing w:line="247" w:lineRule="auto" w:before="0"/>
        <w:ind w:left="197" w:right="161" w:firstLine="0"/>
        <w:jc w:val="left"/>
        <w:rPr>
          <w:sz w:val="15"/>
        </w:rPr>
      </w:pPr>
      <w:r>
        <w:rPr/>
        <w:br w:type="column"/>
      </w:r>
      <w:r>
        <w:rPr>
          <w:w w:val="130"/>
          <w:sz w:val="15"/>
        </w:rPr>
        <w:t>Actividades recreativas (yoga, gimnasia, pintura, poesía)</w:t>
      </w:r>
    </w:p>
    <w:p>
      <w:pPr>
        <w:spacing w:after="0" w:line="247" w:lineRule="auto"/>
        <w:jc w:val="left"/>
        <w:rPr>
          <w:sz w:val="15"/>
        </w:rPr>
        <w:sectPr>
          <w:type w:val="continuous"/>
          <w:pgSz w:w="7770" w:h="11740"/>
          <w:pgMar w:top="0" w:bottom="0" w:left="940" w:right="660"/>
          <w:cols w:num="3" w:equalWidth="0">
            <w:col w:w="1091" w:space="272"/>
            <w:col w:w="1964" w:space="187"/>
            <w:col w:w="2656"/>
          </w:cols>
        </w:sectPr>
      </w:pPr>
    </w:p>
    <w:p>
      <w:pPr>
        <w:tabs>
          <w:tab w:pos="1561" w:val="left" w:leader="none"/>
          <w:tab w:pos="3809" w:val="right" w:leader="none"/>
        </w:tabs>
        <w:spacing w:line="242" w:lineRule="exact" w:before="0"/>
        <w:ind w:left="197" w:right="0" w:firstLine="0"/>
        <w:jc w:val="left"/>
        <w:rPr>
          <w:sz w:val="15"/>
        </w:rPr>
      </w:pPr>
      <w:r>
        <w:rPr>
          <w:w w:val="130"/>
          <w:sz w:val="15"/>
        </w:rPr>
        <w:t>nietos</w:t>
        <w:tab/>
      </w:r>
      <w:r>
        <w:rPr>
          <w:w w:val="130"/>
          <w:position w:val="9"/>
          <w:sz w:val="15"/>
        </w:rPr>
        <w:t>0</w:t>
        <w:tab/>
        <w:t>7</w:t>
      </w:r>
    </w:p>
    <w:p>
      <w:pPr>
        <w:spacing w:line="130" w:lineRule="exact" w:before="4"/>
        <w:ind w:left="1561" w:right="242" w:firstLine="0"/>
        <w:jc w:val="left"/>
        <w:rPr>
          <w:sz w:val="15"/>
        </w:rPr>
      </w:pPr>
      <w:r>
        <w:rPr/>
        <w:pict>
          <v:shape style="position:absolute;margin-left:56.896999pt;margin-top:5.545937pt;width:55pt;height:7.55pt;mso-position-horizontal-relative:page;mso-position-vertical-relative:paragraph;z-index:8392" type="#_x0000_t202" filled="false" stroked="false">
            <v:textbox inset="0,0,0,0">
              <w:txbxContent>
                <w:p>
                  <w:pPr>
                    <w:spacing w:line="151" w:lineRule="exact" w:before="0"/>
                    <w:ind w:left="0" w:right="0" w:firstLine="0"/>
                    <w:jc w:val="left"/>
                    <w:rPr>
                      <w:sz w:val="15"/>
                    </w:rPr>
                  </w:pPr>
                  <w:r>
                    <w:rPr>
                      <w:w w:val="130"/>
                      <w:sz w:val="15"/>
                    </w:rPr>
                    <w:t>Corresidentes</w:t>
                  </w:r>
                </w:p>
              </w:txbxContent>
            </v:textbox>
            <w10:wrap type="none"/>
          </v:shape>
        </w:pict>
      </w:r>
      <w:r>
        <w:rPr>
          <w:w w:val="130"/>
          <w:sz w:val="15"/>
        </w:rPr>
        <w:t>Su cuidadora personal</w:t>
      </w:r>
    </w:p>
    <w:p>
      <w:pPr>
        <w:tabs>
          <w:tab w:pos="3711" w:val="left" w:leader="none"/>
        </w:tabs>
        <w:spacing w:line="220" w:lineRule="exact" w:before="0"/>
        <w:ind w:left="1561" w:right="242" w:firstLine="0"/>
        <w:jc w:val="left"/>
        <w:rPr>
          <w:sz w:val="15"/>
        </w:rPr>
      </w:pPr>
      <w:r>
        <w:rPr>
          <w:w w:val="130"/>
          <w:sz w:val="15"/>
        </w:rPr>
        <w:t>que tiene</w:t>
      </w:r>
      <w:r>
        <w:rPr>
          <w:spacing w:val="11"/>
          <w:w w:val="130"/>
          <w:sz w:val="15"/>
        </w:rPr>
        <w:t> </w:t>
      </w:r>
      <w:r>
        <w:rPr>
          <w:w w:val="130"/>
          <w:sz w:val="15"/>
        </w:rPr>
        <w:t>dos</w:t>
      </w:r>
      <w:r>
        <w:rPr>
          <w:spacing w:val="5"/>
          <w:w w:val="130"/>
          <w:sz w:val="15"/>
        </w:rPr>
        <w:t> </w:t>
      </w:r>
      <w:r>
        <w:rPr>
          <w:w w:val="130"/>
          <w:sz w:val="15"/>
        </w:rPr>
        <w:t>hijas.</w:t>
        <w:tab/>
      </w:r>
      <w:r>
        <w:rPr>
          <w:w w:val="130"/>
          <w:position w:val="9"/>
          <w:sz w:val="15"/>
        </w:rPr>
        <w:t>Un hijo</w:t>
      </w:r>
      <w:r>
        <w:rPr>
          <w:spacing w:val="28"/>
          <w:w w:val="130"/>
          <w:position w:val="9"/>
          <w:sz w:val="15"/>
        </w:rPr>
        <w:t> </w:t>
      </w:r>
      <w:r>
        <w:rPr>
          <w:w w:val="130"/>
          <w:position w:val="9"/>
          <w:sz w:val="15"/>
        </w:rPr>
        <w:t>separado</w:t>
      </w:r>
    </w:p>
    <w:p>
      <w:pPr>
        <w:spacing w:after="0" w:line="220" w:lineRule="exact"/>
        <w:jc w:val="left"/>
        <w:rPr>
          <w:sz w:val="15"/>
        </w:rPr>
        <w:sectPr>
          <w:type w:val="continuous"/>
          <w:pgSz w:w="7770" w:h="11740"/>
          <w:pgMar w:top="0" w:bottom="0" w:left="940" w:right="660"/>
        </w:sectPr>
      </w:pPr>
    </w:p>
    <w:p>
      <w:pPr>
        <w:spacing w:line="247" w:lineRule="auto" w:before="0"/>
        <w:ind w:left="197" w:right="0" w:firstLine="0"/>
        <w:jc w:val="left"/>
        <w:rPr>
          <w:sz w:val="15"/>
        </w:rPr>
      </w:pPr>
      <w:r>
        <w:rPr>
          <w:w w:val="130"/>
          <w:sz w:val="15"/>
        </w:rPr>
        <w:t>Parientes con los que tiene más relación</w:t>
      </w:r>
    </w:p>
    <w:p>
      <w:pPr>
        <w:spacing w:line="247" w:lineRule="auto" w:before="0"/>
        <w:ind w:left="197" w:right="7" w:firstLine="0"/>
        <w:jc w:val="left"/>
        <w:rPr>
          <w:sz w:val="15"/>
        </w:rPr>
      </w:pPr>
      <w:r>
        <w:rPr/>
        <w:br w:type="column"/>
      </w:r>
      <w:r>
        <w:rPr>
          <w:w w:val="130"/>
          <w:sz w:val="15"/>
        </w:rPr>
        <w:t>Una hermana que vive en la misma colonia, de hecho fue esa la razón de mudarse al sur, pues ella vivió siempre en La Condesa</w:t>
      </w:r>
    </w:p>
    <w:p>
      <w:pPr>
        <w:spacing w:line="247" w:lineRule="auto" w:before="0"/>
        <w:ind w:left="180" w:right="128" w:firstLine="0"/>
        <w:jc w:val="left"/>
        <w:rPr>
          <w:sz w:val="15"/>
        </w:rPr>
      </w:pPr>
      <w:r>
        <w:rPr/>
        <w:br w:type="column"/>
      </w:r>
      <w:r>
        <w:rPr>
          <w:w w:val="130"/>
          <w:sz w:val="15"/>
        </w:rPr>
        <w:t>Convive más y mejor con su hija aunque vive en Querétaro. La visita cotidianamente uno de los sobrinos que crió</w:t>
      </w:r>
    </w:p>
    <w:p>
      <w:pPr>
        <w:spacing w:after="0" w:line="247" w:lineRule="auto"/>
        <w:jc w:val="left"/>
        <w:rPr>
          <w:sz w:val="15"/>
        </w:rPr>
        <w:sectPr>
          <w:type w:val="continuous"/>
          <w:pgSz w:w="7770" w:h="11740"/>
          <w:pgMar w:top="0" w:bottom="0" w:left="940" w:right="660"/>
          <w:cols w:num="3" w:equalWidth="0">
            <w:col w:w="1270" w:space="93"/>
            <w:col w:w="2129" w:space="40"/>
            <w:col w:w="2638"/>
          </w:cols>
        </w:sectPr>
      </w:pPr>
    </w:p>
    <w:p>
      <w:pPr>
        <w:tabs>
          <w:tab w:pos="1561" w:val="left" w:leader="none"/>
          <w:tab w:pos="3711" w:val="left" w:leader="none"/>
        </w:tabs>
        <w:spacing w:line="120" w:lineRule="auto" w:before="69"/>
        <w:ind w:left="3711" w:right="205" w:hanging="3514"/>
        <w:jc w:val="left"/>
        <w:rPr>
          <w:sz w:val="15"/>
        </w:rPr>
      </w:pPr>
      <w:r>
        <w:rPr>
          <w:w w:val="130"/>
          <w:position w:val="-8"/>
          <w:sz w:val="15"/>
        </w:rPr>
        <w:t>Enfermedades</w:t>
        <w:tab/>
        <w:t>Cardiacas</w:t>
        <w:tab/>
      </w:r>
      <w:r>
        <w:rPr>
          <w:w w:val="130"/>
          <w:sz w:val="15"/>
        </w:rPr>
        <w:t>Lesión en la columna</w:t>
      </w:r>
      <w:r>
        <w:rPr>
          <w:spacing w:val="34"/>
          <w:w w:val="130"/>
          <w:sz w:val="15"/>
        </w:rPr>
        <w:t> </w:t>
      </w:r>
      <w:r>
        <w:rPr>
          <w:w w:val="130"/>
          <w:sz w:val="15"/>
        </w:rPr>
        <w:t>que</w:t>
      </w:r>
      <w:r>
        <w:rPr>
          <w:spacing w:val="8"/>
          <w:w w:val="130"/>
          <w:sz w:val="15"/>
        </w:rPr>
        <w:t> </w:t>
      </w:r>
      <w:r>
        <w:rPr>
          <w:w w:val="130"/>
          <w:sz w:val="15"/>
        </w:rPr>
        <w:t>le</w:t>
      </w:r>
      <w:r>
        <w:rPr>
          <w:w w:val="131"/>
          <w:sz w:val="15"/>
        </w:rPr>
        <w:t> </w:t>
      </w:r>
      <w:r>
        <w:rPr>
          <w:w w:val="130"/>
          <w:sz w:val="15"/>
        </w:rPr>
        <w:t>afecta sus</w:t>
      </w:r>
      <w:r>
        <w:rPr>
          <w:spacing w:val="27"/>
          <w:w w:val="130"/>
          <w:sz w:val="15"/>
        </w:rPr>
        <w:t> </w:t>
      </w:r>
      <w:r>
        <w:rPr>
          <w:w w:val="130"/>
          <w:sz w:val="15"/>
        </w:rPr>
        <w:t>piernas</w:t>
      </w:r>
    </w:p>
    <w:p>
      <w:pPr>
        <w:spacing w:before="30"/>
        <w:ind w:left="197" w:right="242" w:firstLine="0"/>
        <w:jc w:val="left"/>
        <w:rPr>
          <w:sz w:val="12"/>
        </w:rPr>
      </w:pPr>
      <w:r>
        <w:rPr/>
        <w:pict>
          <v:shape style="position:absolute;margin-left:52.441013pt;margin-top:1.208135pt;width:297.650pt;height:.1pt;mso-position-horizontal-relative:page;mso-position-vertical-relative:paragraph;z-index:8368" coordorigin="1049,24" coordsize="5953,0" path="m1049,24l2391,24m2391,24l2400,24m2400,24l4541,24m4541,24l4551,24m4551,24l7002,24e" filled="false" stroked="true" strokeweight=".368335pt" strokecolor="#000000">
            <v:path arrowok="t"/>
            <w10:wrap type="none"/>
          </v:shape>
        </w:pict>
      </w:r>
      <w:r>
        <w:rPr>
          <w:w w:val="130"/>
          <w:sz w:val="12"/>
        </w:rPr>
        <w:t>Fuente: elaborado con información de trabajo de  campo.</w:t>
      </w:r>
    </w:p>
    <w:p>
      <w:pPr>
        <w:spacing w:after="0"/>
        <w:jc w:val="left"/>
        <w:rPr>
          <w:sz w:val="12"/>
        </w:rPr>
        <w:sectPr>
          <w:type w:val="continuous"/>
          <w:pgSz w:w="7770" w:h="11740"/>
          <w:pgMar w:top="0" w:bottom="0" w:left="940" w:right="660"/>
        </w:sectPr>
      </w:pPr>
    </w:p>
    <w:p>
      <w:pPr>
        <w:pStyle w:val="BodyText"/>
        <w:spacing w:line="249" w:lineRule="auto" w:before="60"/>
        <w:ind w:left="110" w:right="111" w:firstLine="283"/>
        <w:jc w:val="both"/>
      </w:pPr>
      <w:r>
        <w:rPr>
          <w:color w:val="231F20"/>
        </w:rPr>
        <w:t>Segundo, Salazar (1999) afirma que “a mayor escolaridad, se amplía el mundo laboral”, y si bien la autora se refiere a cuestiones de espacio  y territorio lo cierto es que estas mujeres tomaron la decisión de salir de sus</w:t>
      </w:r>
      <w:r>
        <w:rPr>
          <w:color w:val="231F20"/>
          <w:spacing w:val="-5"/>
        </w:rPr>
        <w:t> </w:t>
      </w:r>
      <w:r>
        <w:rPr>
          <w:color w:val="231F20"/>
        </w:rPr>
        <w:t>hogares,</w:t>
      </w:r>
      <w:r>
        <w:rPr>
          <w:color w:val="231F20"/>
          <w:spacing w:val="-6"/>
        </w:rPr>
        <w:t> </w:t>
      </w:r>
      <w:r>
        <w:rPr>
          <w:color w:val="231F20"/>
        </w:rPr>
        <w:t>e</w:t>
      </w:r>
      <w:r>
        <w:rPr>
          <w:color w:val="231F20"/>
          <w:spacing w:val="-6"/>
        </w:rPr>
        <w:t> </w:t>
      </w:r>
      <w:r>
        <w:rPr>
          <w:color w:val="231F20"/>
        </w:rPr>
        <w:t>ir</w:t>
      </w:r>
      <w:r>
        <w:rPr>
          <w:color w:val="231F20"/>
          <w:spacing w:val="-6"/>
        </w:rPr>
        <w:t> </w:t>
      </w:r>
      <w:r>
        <w:rPr>
          <w:color w:val="231F20"/>
        </w:rPr>
        <w:t>más</w:t>
      </w:r>
      <w:r>
        <w:rPr>
          <w:color w:val="231F20"/>
          <w:spacing w:val="-6"/>
        </w:rPr>
        <w:t> </w:t>
      </w:r>
      <w:r>
        <w:rPr>
          <w:color w:val="231F20"/>
        </w:rPr>
        <w:t>allá,</w:t>
      </w:r>
      <w:r>
        <w:rPr>
          <w:color w:val="231F20"/>
          <w:spacing w:val="-6"/>
        </w:rPr>
        <w:t> </w:t>
      </w:r>
      <w:r>
        <w:rPr>
          <w:color w:val="231F20"/>
        </w:rPr>
        <w:t>para</w:t>
      </w:r>
      <w:r>
        <w:rPr>
          <w:color w:val="231F20"/>
          <w:spacing w:val="-6"/>
        </w:rPr>
        <w:t> </w:t>
      </w:r>
      <w:r>
        <w:rPr>
          <w:color w:val="231F20"/>
        </w:rPr>
        <w:t>no</w:t>
      </w:r>
      <w:r>
        <w:rPr>
          <w:color w:val="231F20"/>
          <w:spacing w:val="-6"/>
        </w:rPr>
        <w:t> </w:t>
      </w:r>
      <w:r>
        <w:rPr>
          <w:color w:val="231F20"/>
        </w:rPr>
        <w:t>sólo</w:t>
      </w:r>
      <w:r>
        <w:rPr>
          <w:color w:val="231F20"/>
          <w:spacing w:val="-5"/>
        </w:rPr>
        <w:t> </w:t>
      </w:r>
      <w:r>
        <w:rPr>
          <w:color w:val="231F20"/>
        </w:rPr>
        <w:t>responder</w:t>
      </w:r>
      <w:r>
        <w:rPr>
          <w:color w:val="231F20"/>
          <w:spacing w:val="-6"/>
        </w:rPr>
        <w:t> </w:t>
      </w:r>
      <w:r>
        <w:rPr>
          <w:color w:val="231F20"/>
        </w:rPr>
        <w:t>a</w:t>
      </w:r>
      <w:r>
        <w:rPr>
          <w:color w:val="231F20"/>
          <w:spacing w:val="-6"/>
        </w:rPr>
        <w:t> </w:t>
      </w:r>
      <w:r>
        <w:rPr>
          <w:color w:val="231F20"/>
        </w:rPr>
        <w:t>sus</w:t>
      </w:r>
      <w:r>
        <w:rPr>
          <w:color w:val="231F20"/>
          <w:spacing w:val="-5"/>
        </w:rPr>
        <w:t> </w:t>
      </w:r>
      <w:r>
        <w:rPr>
          <w:color w:val="231F20"/>
        </w:rPr>
        <w:t>responsabilidades y</w:t>
      </w:r>
      <w:r>
        <w:rPr>
          <w:color w:val="231F20"/>
          <w:spacing w:val="-5"/>
        </w:rPr>
        <w:t> </w:t>
      </w:r>
      <w:r>
        <w:rPr>
          <w:color w:val="231F20"/>
        </w:rPr>
        <w:t>necesidades</w:t>
      </w:r>
      <w:r>
        <w:rPr>
          <w:color w:val="231F20"/>
          <w:spacing w:val="-5"/>
        </w:rPr>
        <w:t> </w:t>
      </w:r>
      <w:r>
        <w:rPr>
          <w:color w:val="231F20"/>
        </w:rPr>
        <w:t>económicas,</w:t>
      </w:r>
      <w:r>
        <w:rPr>
          <w:color w:val="231F20"/>
          <w:spacing w:val="-6"/>
        </w:rPr>
        <w:t> </w:t>
      </w:r>
      <w:r>
        <w:rPr>
          <w:color w:val="231F20"/>
        </w:rPr>
        <w:t>sino</w:t>
      </w:r>
      <w:r>
        <w:rPr>
          <w:color w:val="231F20"/>
          <w:spacing w:val="-5"/>
        </w:rPr>
        <w:t> </w:t>
      </w:r>
      <w:r>
        <w:rPr>
          <w:color w:val="231F20"/>
        </w:rPr>
        <w:t>a</w:t>
      </w:r>
      <w:r>
        <w:rPr>
          <w:color w:val="231F20"/>
          <w:spacing w:val="-5"/>
        </w:rPr>
        <w:t> </w:t>
      </w:r>
      <w:r>
        <w:rPr>
          <w:color w:val="231F20"/>
        </w:rPr>
        <w:t>sus</w:t>
      </w:r>
      <w:r>
        <w:rPr>
          <w:color w:val="231F20"/>
          <w:spacing w:val="-5"/>
        </w:rPr>
        <w:t> </w:t>
      </w:r>
      <w:r>
        <w:rPr>
          <w:color w:val="231F20"/>
        </w:rPr>
        <w:t>visiones</w:t>
      </w:r>
      <w:r>
        <w:rPr>
          <w:color w:val="231F20"/>
          <w:spacing w:val="-5"/>
        </w:rPr>
        <w:t> </w:t>
      </w:r>
      <w:r>
        <w:rPr>
          <w:color w:val="231F20"/>
        </w:rPr>
        <w:t>de</w:t>
      </w:r>
      <w:r>
        <w:rPr>
          <w:color w:val="231F20"/>
          <w:spacing w:val="-5"/>
        </w:rPr>
        <w:t> </w:t>
      </w:r>
      <w:r>
        <w:rPr>
          <w:color w:val="231F20"/>
        </w:rPr>
        <w:t>autorrealización,</w:t>
      </w:r>
      <w:r>
        <w:rPr>
          <w:color w:val="231F20"/>
          <w:spacing w:val="-6"/>
        </w:rPr>
        <w:t> </w:t>
      </w:r>
      <w:r>
        <w:rPr>
          <w:color w:val="231F20"/>
        </w:rPr>
        <w:t>visio- nes que las cuatro mujeres de este grupo expresan, donde un elemento principal era el trabajo, la búsqueda de superación continua se evidencia también en ellas, seguirse preparando consecutivamente, este fue el</w:t>
      </w:r>
      <w:r>
        <w:rPr>
          <w:color w:val="231F20"/>
          <w:spacing w:val="-35"/>
        </w:rPr>
        <w:t> </w:t>
      </w:r>
      <w:r>
        <w:rPr>
          <w:color w:val="231F20"/>
        </w:rPr>
        <w:t>caso de Esperanza, quien no sólo hizo su carrera normalista sino que hizo además otra licenciatura que le permitiría encontrar otro empleo; Ana consiguió su título universitario gracias a la perseverancia que la llevó a buscar la revalidación de sus conocimientos en una universidad extran- jera, la maestra Guadalupe hizo estudios de posgrado y Magy se</w:t>
      </w:r>
      <w:r>
        <w:rPr>
          <w:color w:val="231F20"/>
          <w:spacing w:val="-33"/>
        </w:rPr>
        <w:t> </w:t>
      </w:r>
      <w:r>
        <w:rPr>
          <w:color w:val="231F20"/>
        </w:rPr>
        <w:t>preparó como profesora de bachillerato. Ampliar significó también pasar de ser de maestra de primaria, como la maestra Guadalupe hasta ser directora de una secundaria, para Esperanza esto pasó de la educación básica a la universitaria,</w:t>
      </w:r>
      <w:r>
        <w:rPr>
          <w:color w:val="231F20"/>
          <w:spacing w:val="-7"/>
        </w:rPr>
        <w:t> </w:t>
      </w:r>
      <w:r>
        <w:rPr>
          <w:color w:val="231F20"/>
        </w:rPr>
        <w:t>o</w:t>
      </w:r>
      <w:r>
        <w:rPr>
          <w:color w:val="231F20"/>
          <w:spacing w:val="-18"/>
        </w:rPr>
        <w:t> </w:t>
      </w:r>
      <w:r>
        <w:rPr>
          <w:color w:val="231F20"/>
        </w:rPr>
        <w:t>Ana</w:t>
      </w:r>
      <w:r>
        <w:rPr>
          <w:color w:val="231F20"/>
          <w:spacing w:val="-7"/>
        </w:rPr>
        <w:t> </w:t>
      </w:r>
      <w:r>
        <w:rPr>
          <w:color w:val="231F20"/>
        </w:rPr>
        <w:t>que</w:t>
      </w:r>
      <w:r>
        <w:rPr>
          <w:color w:val="231F20"/>
          <w:spacing w:val="-7"/>
        </w:rPr>
        <w:t> </w:t>
      </w:r>
      <w:r>
        <w:rPr>
          <w:color w:val="231F20"/>
        </w:rPr>
        <w:t>empezó</w:t>
      </w:r>
      <w:r>
        <w:rPr>
          <w:color w:val="231F20"/>
          <w:spacing w:val="-7"/>
        </w:rPr>
        <w:t> </w:t>
      </w:r>
      <w:r>
        <w:rPr>
          <w:color w:val="231F20"/>
        </w:rPr>
        <w:t>como</w:t>
      </w:r>
      <w:r>
        <w:rPr>
          <w:color w:val="231F20"/>
          <w:spacing w:val="-7"/>
        </w:rPr>
        <w:t> </w:t>
      </w:r>
      <w:r>
        <w:rPr>
          <w:color w:val="231F20"/>
        </w:rPr>
        <w:t>ayudante</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oficina</w:t>
      </w:r>
      <w:r>
        <w:rPr>
          <w:color w:val="231F20"/>
          <w:spacing w:val="-7"/>
        </w:rPr>
        <w:t> </w:t>
      </w:r>
      <w:r>
        <w:rPr>
          <w:color w:val="231F20"/>
        </w:rPr>
        <w:t>y</w:t>
      </w:r>
      <w:r>
        <w:rPr>
          <w:color w:val="231F20"/>
          <w:spacing w:val="-7"/>
        </w:rPr>
        <w:t> </w:t>
      </w:r>
      <w:r>
        <w:rPr>
          <w:color w:val="231F20"/>
        </w:rPr>
        <w:t>terminó como jefa administrativa, y la última, </w:t>
      </w:r>
      <w:r>
        <w:rPr>
          <w:color w:val="231F20"/>
          <w:spacing w:val="-4"/>
        </w:rPr>
        <w:t>Magy, </w:t>
      </w:r>
      <w:r>
        <w:rPr>
          <w:color w:val="231F20"/>
        </w:rPr>
        <w:t>pasó por la docencia des- pués de estudiar Química y ahora edita</w:t>
      </w:r>
      <w:r>
        <w:rPr>
          <w:color w:val="231F20"/>
          <w:spacing w:val="-9"/>
        </w:rPr>
        <w:t> </w:t>
      </w:r>
      <w:r>
        <w:rPr>
          <w:color w:val="231F20"/>
        </w:rPr>
        <w:t>libros.</w:t>
      </w:r>
    </w:p>
    <w:p>
      <w:pPr>
        <w:pStyle w:val="BodyText"/>
        <w:spacing w:line="249" w:lineRule="auto" w:before="1"/>
        <w:ind w:left="110" w:right="111" w:firstLine="283"/>
        <w:jc w:val="both"/>
      </w:pPr>
      <w:r>
        <w:rPr>
          <w:color w:val="231F20"/>
        </w:rPr>
        <w:t>Para Bott (1990: 347) “la segregación por sexos tiende a disminuir cuando aumenta la independencia y el poder económico en las mujeres” y continúa, “paradójicamente, la inestabilidad conyugal puede extender- se a medida que las mujeres se independizan de los ingresos de los</w:t>
      </w:r>
      <w:r>
        <w:rPr>
          <w:color w:val="231F20"/>
          <w:spacing w:val="-32"/>
        </w:rPr>
        <w:t> </w:t>
      </w:r>
      <w:r>
        <w:rPr>
          <w:color w:val="231F20"/>
        </w:rPr>
        <w:t>hom- bres”, y esto sucedió en el caso de Esperanza, quien tomó la decisión consciente</w:t>
      </w:r>
      <w:r>
        <w:rPr>
          <w:color w:val="231F20"/>
          <w:spacing w:val="-10"/>
        </w:rPr>
        <w:t> </w:t>
      </w:r>
      <w:r>
        <w:rPr>
          <w:color w:val="231F20"/>
        </w:rPr>
        <w:t>de</w:t>
      </w:r>
      <w:r>
        <w:rPr>
          <w:color w:val="231F20"/>
          <w:spacing w:val="-9"/>
        </w:rPr>
        <w:t> </w:t>
      </w:r>
      <w:r>
        <w:rPr>
          <w:color w:val="231F20"/>
        </w:rPr>
        <w:t>terminar</w:t>
      </w:r>
      <w:r>
        <w:rPr>
          <w:color w:val="231F20"/>
          <w:spacing w:val="-10"/>
        </w:rPr>
        <w:t> </w:t>
      </w:r>
      <w:r>
        <w:rPr>
          <w:color w:val="231F20"/>
        </w:rPr>
        <w:t>con</w:t>
      </w:r>
      <w:r>
        <w:rPr>
          <w:color w:val="231F20"/>
          <w:spacing w:val="-10"/>
        </w:rPr>
        <w:t> </w:t>
      </w:r>
      <w:r>
        <w:rPr>
          <w:color w:val="231F20"/>
        </w:rPr>
        <w:t>su</w:t>
      </w:r>
      <w:r>
        <w:rPr>
          <w:color w:val="231F20"/>
          <w:spacing w:val="-9"/>
        </w:rPr>
        <w:t> </w:t>
      </w:r>
      <w:r>
        <w:rPr>
          <w:color w:val="231F20"/>
        </w:rPr>
        <w:t>matrimonio</w:t>
      </w:r>
      <w:r>
        <w:rPr>
          <w:color w:val="231F20"/>
          <w:spacing w:val="-10"/>
        </w:rPr>
        <w:t> </w:t>
      </w:r>
      <w:r>
        <w:rPr>
          <w:color w:val="231F20"/>
        </w:rPr>
        <w:t>porque</w:t>
      </w:r>
      <w:r>
        <w:rPr>
          <w:color w:val="231F20"/>
          <w:spacing w:val="-9"/>
        </w:rPr>
        <w:t> </w:t>
      </w:r>
      <w:r>
        <w:rPr>
          <w:color w:val="231F20"/>
        </w:rPr>
        <w:t>“le</w:t>
      </w:r>
      <w:r>
        <w:rPr>
          <w:color w:val="231F20"/>
          <w:spacing w:val="-10"/>
        </w:rPr>
        <w:t> </w:t>
      </w:r>
      <w:r>
        <w:rPr>
          <w:color w:val="231F20"/>
        </w:rPr>
        <w:t>pudo</w:t>
      </w:r>
      <w:r>
        <w:rPr>
          <w:color w:val="231F20"/>
          <w:spacing w:val="-9"/>
        </w:rPr>
        <w:t> </w:t>
      </w:r>
      <w:r>
        <w:rPr>
          <w:color w:val="231F20"/>
        </w:rPr>
        <w:t>que</w:t>
      </w:r>
      <w:r>
        <w:rPr>
          <w:color w:val="231F20"/>
          <w:spacing w:val="-9"/>
        </w:rPr>
        <w:t> </w:t>
      </w:r>
      <w:r>
        <w:rPr>
          <w:color w:val="231F20"/>
        </w:rPr>
        <w:t>yo</w:t>
      </w:r>
      <w:r>
        <w:rPr>
          <w:color w:val="231F20"/>
          <w:spacing w:val="-9"/>
        </w:rPr>
        <w:t> </w:t>
      </w:r>
      <w:r>
        <w:rPr>
          <w:color w:val="231F20"/>
        </w:rPr>
        <w:t>ganara más que él”, dice ella; sin embargo en los otros tres casos no fue así, las otras dos mujeres casadas pasaron toda su vida en su relación conyugal, compartiendo su trayectoria doméstica con su trayectoria laboral, la ma- nera en que conservar su trabajo laboral remunerado no tenía la conse- cuencia inevitable de terminar su unión conyugal, en ambos casos una de las opciones fue ampliar sus redes, se hicieron llegar, o</w:t>
      </w:r>
      <w:r>
        <w:rPr>
          <w:color w:val="231F20"/>
          <w:spacing w:val="-12"/>
        </w:rPr>
        <w:t> </w:t>
      </w:r>
      <w:r>
        <w:rPr>
          <w:color w:val="231F20"/>
        </w:rPr>
        <w:t>construyeron, redes (como la ayuda de empleadas domésticas), para cumplir con la doble jornada que su rol asumido</w:t>
      </w:r>
      <w:r>
        <w:rPr>
          <w:color w:val="231F20"/>
          <w:spacing w:val="-3"/>
        </w:rPr>
        <w:t> </w:t>
      </w:r>
      <w:r>
        <w:rPr>
          <w:color w:val="231F20"/>
        </w:rPr>
        <w:t>requería.</w:t>
      </w:r>
    </w:p>
    <w:p>
      <w:pPr>
        <w:pStyle w:val="BodyText"/>
        <w:spacing w:line="249" w:lineRule="auto" w:before="1"/>
        <w:ind w:left="110" w:right="111" w:firstLine="283"/>
        <w:jc w:val="both"/>
      </w:pPr>
      <w:r>
        <w:rPr>
          <w:color w:val="231F20"/>
        </w:rPr>
        <w:t>Esta doble jornada que desempeñaron tres de estas mujeres fue asu- mida como una decisión personal, ya que ellas tuvieron la opción de dejar</w:t>
      </w:r>
      <w:r>
        <w:rPr>
          <w:color w:val="231F20"/>
          <w:spacing w:val="-8"/>
        </w:rPr>
        <w:t> </w:t>
      </w:r>
      <w:r>
        <w:rPr>
          <w:color w:val="231F20"/>
        </w:rPr>
        <w:t>de</w:t>
      </w:r>
      <w:r>
        <w:rPr>
          <w:color w:val="231F20"/>
          <w:spacing w:val="-7"/>
        </w:rPr>
        <w:t> </w:t>
      </w:r>
      <w:r>
        <w:rPr>
          <w:color w:val="231F20"/>
        </w:rPr>
        <w:t>trabajar</w:t>
      </w:r>
      <w:r>
        <w:rPr>
          <w:color w:val="231F20"/>
          <w:spacing w:val="-8"/>
        </w:rPr>
        <w:t> </w:t>
      </w:r>
      <w:r>
        <w:rPr>
          <w:color w:val="231F20"/>
        </w:rPr>
        <w:t>al</w:t>
      </w:r>
      <w:r>
        <w:rPr>
          <w:color w:val="231F20"/>
          <w:spacing w:val="-7"/>
        </w:rPr>
        <w:t> </w:t>
      </w:r>
      <w:r>
        <w:rPr>
          <w:color w:val="231F20"/>
        </w:rPr>
        <w:t>casarse,</w:t>
      </w:r>
      <w:r>
        <w:rPr>
          <w:color w:val="231F20"/>
          <w:spacing w:val="-8"/>
        </w:rPr>
        <w:t> </w:t>
      </w:r>
      <w:r>
        <w:rPr>
          <w:color w:val="231F20"/>
        </w:rPr>
        <w:t>de</w:t>
      </w:r>
      <w:r>
        <w:rPr>
          <w:color w:val="231F20"/>
          <w:spacing w:val="-7"/>
        </w:rPr>
        <w:t> </w:t>
      </w:r>
      <w:r>
        <w:rPr>
          <w:color w:val="231F20"/>
        </w:rPr>
        <w:t>hecho</w:t>
      </w:r>
      <w:r>
        <w:rPr>
          <w:color w:val="231F20"/>
          <w:spacing w:val="-7"/>
        </w:rPr>
        <w:t> </w:t>
      </w:r>
      <w:r>
        <w:rPr>
          <w:color w:val="231F20"/>
        </w:rPr>
        <w:t>Magy</w:t>
      </w:r>
      <w:r>
        <w:rPr>
          <w:color w:val="231F20"/>
          <w:spacing w:val="-7"/>
        </w:rPr>
        <w:t> </w:t>
      </w:r>
      <w:r>
        <w:rPr>
          <w:color w:val="231F20"/>
        </w:rPr>
        <w:t>dejó</w:t>
      </w:r>
      <w:r>
        <w:rPr>
          <w:color w:val="231F20"/>
          <w:spacing w:val="-7"/>
        </w:rPr>
        <w:t> </w:t>
      </w:r>
      <w:r>
        <w:rPr>
          <w:color w:val="231F20"/>
        </w:rPr>
        <w:t>de</w:t>
      </w:r>
      <w:r>
        <w:rPr>
          <w:color w:val="231F20"/>
          <w:spacing w:val="-7"/>
        </w:rPr>
        <w:t> </w:t>
      </w:r>
      <w:r>
        <w:rPr>
          <w:color w:val="231F20"/>
        </w:rPr>
        <w:t>hacerlo,</w:t>
      </w:r>
      <w:r>
        <w:rPr>
          <w:color w:val="231F20"/>
          <w:spacing w:val="-8"/>
        </w:rPr>
        <w:t> </w:t>
      </w:r>
      <w:r>
        <w:rPr>
          <w:color w:val="231F20"/>
        </w:rPr>
        <w:t>sin</w:t>
      </w:r>
      <w:r>
        <w:rPr>
          <w:color w:val="231F20"/>
          <w:spacing w:val="-7"/>
        </w:rPr>
        <w:t> </w:t>
      </w:r>
      <w:r>
        <w:rPr>
          <w:color w:val="231F20"/>
        </w:rPr>
        <w:t>embargo, ante una oferta laboral reinició sus actividades extradomésticas. Espe- ranza y Guadalupe aunque tuvieron esa opción no les pareció siquiera considerarla, pues en ambos casos era importante desempeñarse como personas en lo que se habían preparado, es decir, como   </w:t>
      </w:r>
      <w:r>
        <w:rPr>
          <w:color w:val="231F20"/>
          <w:spacing w:val="19"/>
        </w:rPr>
        <w:t> </w:t>
      </w:r>
      <w:r>
        <w:rPr>
          <w:color w:val="231F20"/>
        </w:rPr>
        <w:t>profesionistas,</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y ese ingreso no sólo les daba independencia económica sino poder de decisión.</w:t>
      </w:r>
    </w:p>
    <w:p>
      <w:pPr>
        <w:pStyle w:val="BodyText"/>
        <w:spacing w:line="249" w:lineRule="auto" w:before="1"/>
        <w:ind w:left="113" w:right="107" w:firstLine="283"/>
        <w:jc w:val="both"/>
      </w:pPr>
      <w:r>
        <w:rPr>
          <w:color w:val="231F20"/>
        </w:rPr>
        <w:t>Otro beneficio que contrajeron estas mujeres que tuvieron trabajos con beneficios sociales y de salud es el de las guarderías, que aunque   en sus inicios no eran del todo aceptadas, hubo muchas mujeres, como Esperanza, que hicieron uso de las guarderías del Instituto de Seguridad y</w:t>
      </w:r>
      <w:r>
        <w:rPr>
          <w:color w:val="231F20"/>
          <w:spacing w:val="-6"/>
        </w:rPr>
        <w:t> </w:t>
      </w:r>
      <w:r>
        <w:rPr>
          <w:color w:val="231F20"/>
        </w:rPr>
        <w:t>Servicios</w:t>
      </w:r>
      <w:r>
        <w:rPr>
          <w:color w:val="231F20"/>
          <w:spacing w:val="-6"/>
        </w:rPr>
        <w:t> </w:t>
      </w:r>
      <w:r>
        <w:rPr>
          <w:color w:val="231F20"/>
        </w:rPr>
        <w:t>Sociales</w:t>
      </w:r>
      <w:r>
        <w:rPr>
          <w:color w:val="231F20"/>
          <w:spacing w:val="-6"/>
        </w:rPr>
        <w:t> </w:t>
      </w:r>
      <w:r>
        <w:rPr>
          <w:color w:val="231F20"/>
        </w:rPr>
        <w:t>de</w:t>
      </w:r>
      <w:r>
        <w:rPr>
          <w:color w:val="231F20"/>
          <w:spacing w:val="-6"/>
        </w:rPr>
        <w:t> </w:t>
      </w:r>
      <w:r>
        <w:rPr>
          <w:color w:val="231F20"/>
        </w:rPr>
        <w:t>los</w:t>
      </w:r>
      <w:r>
        <w:rPr>
          <w:color w:val="231F20"/>
          <w:spacing w:val="-9"/>
        </w:rPr>
        <w:t> </w:t>
      </w:r>
      <w:r>
        <w:rPr>
          <w:color w:val="231F20"/>
        </w:rPr>
        <w:t>Trabajadores</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(ISSSTE)</w:t>
      </w:r>
      <w:r>
        <w:rPr>
          <w:color w:val="231F20"/>
          <w:spacing w:val="-6"/>
        </w:rPr>
        <w:t> </w:t>
      </w:r>
      <w:r>
        <w:rPr>
          <w:color w:val="231F20"/>
        </w:rPr>
        <w:t>de</w:t>
      </w:r>
      <w:r>
        <w:rPr>
          <w:color w:val="231F20"/>
          <w:spacing w:val="-6"/>
        </w:rPr>
        <w:t> </w:t>
      </w:r>
      <w:r>
        <w:rPr>
          <w:color w:val="231F20"/>
        </w:rPr>
        <w:t>manera que</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servía</w:t>
      </w:r>
      <w:r>
        <w:rPr>
          <w:color w:val="231F20"/>
          <w:spacing w:val="-5"/>
        </w:rPr>
        <w:t> </w:t>
      </w:r>
      <w:r>
        <w:rPr>
          <w:color w:val="231F20"/>
        </w:rPr>
        <w:t>para</w:t>
      </w:r>
      <w:r>
        <w:rPr>
          <w:color w:val="231F20"/>
          <w:spacing w:val="-6"/>
        </w:rPr>
        <w:t> </w:t>
      </w:r>
      <w:r>
        <w:rPr>
          <w:color w:val="231F20"/>
        </w:rPr>
        <w:t>hacer</w:t>
      </w:r>
      <w:r>
        <w:rPr>
          <w:color w:val="231F20"/>
          <w:spacing w:val="-6"/>
        </w:rPr>
        <w:t> </w:t>
      </w:r>
      <w:r>
        <w:rPr>
          <w:color w:val="231F20"/>
        </w:rPr>
        <w:t>sus</w:t>
      </w:r>
      <w:r>
        <w:rPr>
          <w:color w:val="231F20"/>
          <w:spacing w:val="-5"/>
        </w:rPr>
        <w:t> </w:t>
      </w:r>
      <w:r>
        <w:rPr>
          <w:color w:val="231F20"/>
        </w:rPr>
        <w:t>redes</w:t>
      </w:r>
      <w:r>
        <w:rPr>
          <w:color w:val="231F20"/>
          <w:spacing w:val="-6"/>
        </w:rPr>
        <w:t> </w:t>
      </w:r>
      <w:r>
        <w:rPr>
          <w:color w:val="231F20"/>
        </w:rPr>
        <w:t>más</w:t>
      </w:r>
      <w:r>
        <w:rPr>
          <w:color w:val="231F20"/>
          <w:spacing w:val="-6"/>
        </w:rPr>
        <w:t> </w:t>
      </w:r>
      <w:r>
        <w:rPr>
          <w:color w:val="231F20"/>
        </w:rPr>
        <w:t>estables</w:t>
      </w:r>
      <w:r>
        <w:rPr>
          <w:color w:val="231F20"/>
          <w:spacing w:val="-6"/>
        </w:rPr>
        <w:t> </w:t>
      </w:r>
      <w:r>
        <w:rPr>
          <w:color w:val="231F20"/>
        </w:rPr>
        <w:t>además</w:t>
      </w:r>
      <w:r>
        <w:rPr>
          <w:color w:val="231F20"/>
          <w:spacing w:val="-6"/>
        </w:rPr>
        <w:t> </w:t>
      </w:r>
      <w:r>
        <w:rPr>
          <w:color w:val="231F20"/>
        </w:rPr>
        <w:t>de</w:t>
      </w:r>
      <w:r>
        <w:rPr>
          <w:color w:val="231F20"/>
          <w:spacing w:val="-6"/>
        </w:rPr>
        <w:t> </w:t>
      </w:r>
      <w:r>
        <w:rPr>
          <w:color w:val="231F20"/>
        </w:rPr>
        <w:t>ser</w:t>
      </w:r>
      <w:r>
        <w:rPr>
          <w:color w:val="231F20"/>
          <w:spacing w:val="-6"/>
        </w:rPr>
        <w:t> </w:t>
      </w:r>
      <w:r>
        <w:rPr>
          <w:color w:val="231F20"/>
        </w:rPr>
        <w:t>una prestación.</w:t>
      </w:r>
    </w:p>
    <w:p>
      <w:pPr>
        <w:pStyle w:val="BodyText"/>
        <w:spacing w:line="249" w:lineRule="auto" w:before="1"/>
        <w:ind w:left="113" w:right="107" w:firstLine="283"/>
        <w:jc w:val="both"/>
      </w:pPr>
      <w:r>
        <w:rPr>
          <w:color w:val="231F20"/>
        </w:rPr>
        <w:t>De estas cuatro mujeres dos de ellas consiguieron obtener dos plazas laborales,</w:t>
      </w:r>
      <w:r>
        <w:rPr>
          <w:color w:val="231F20"/>
          <w:spacing w:val="-6"/>
        </w:rPr>
        <w:t> </w:t>
      </w:r>
      <w:r>
        <w:rPr>
          <w:color w:val="231F20"/>
        </w:rPr>
        <w:t>lo</w:t>
      </w:r>
      <w:r>
        <w:rPr>
          <w:color w:val="231F20"/>
          <w:spacing w:val="-5"/>
        </w:rPr>
        <w:t> </w:t>
      </w:r>
      <w:r>
        <w:rPr>
          <w:color w:val="231F20"/>
        </w:rPr>
        <w:t>que</w:t>
      </w:r>
      <w:r>
        <w:rPr>
          <w:color w:val="231F20"/>
          <w:spacing w:val="-5"/>
        </w:rPr>
        <w:t> </w:t>
      </w:r>
      <w:r>
        <w:rPr>
          <w:color w:val="231F20"/>
        </w:rPr>
        <w:t>les</w:t>
      </w:r>
      <w:r>
        <w:rPr>
          <w:color w:val="231F20"/>
          <w:spacing w:val="-5"/>
        </w:rPr>
        <w:t> </w:t>
      </w:r>
      <w:r>
        <w:rPr>
          <w:color w:val="231F20"/>
        </w:rPr>
        <w:t>implicaba</w:t>
      </w:r>
      <w:r>
        <w:rPr>
          <w:color w:val="231F20"/>
          <w:spacing w:val="-6"/>
        </w:rPr>
        <w:t> </w:t>
      </w:r>
      <w:r>
        <w:rPr>
          <w:color w:val="231F20"/>
        </w:rPr>
        <w:t>doble</w:t>
      </w:r>
      <w:r>
        <w:rPr>
          <w:color w:val="231F20"/>
          <w:spacing w:val="-5"/>
        </w:rPr>
        <w:t> </w:t>
      </w:r>
      <w:r>
        <w:rPr>
          <w:color w:val="231F20"/>
        </w:rPr>
        <w:t>salario,</w:t>
      </w:r>
      <w:r>
        <w:rPr>
          <w:color w:val="231F20"/>
          <w:spacing w:val="-5"/>
        </w:rPr>
        <w:t> </w:t>
      </w:r>
      <w:r>
        <w:rPr>
          <w:color w:val="231F20"/>
        </w:rPr>
        <w:t>la</w:t>
      </w:r>
      <w:r>
        <w:rPr>
          <w:color w:val="231F20"/>
          <w:spacing w:val="-5"/>
        </w:rPr>
        <w:t> </w:t>
      </w:r>
      <w:r>
        <w:rPr>
          <w:color w:val="231F20"/>
        </w:rPr>
        <w:t>maestra</w:t>
      </w:r>
      <w:r>
        <w:rPr>
          <w:color w:val="231F20"/>
          <w:spacing w:val="-6"/>
        </w:rPr>
        <w:t> </w:t>
      </w:r>
      <w:r>
        <w:rPr>
          <w:color w:val="231F20"/>
        </w:rPr>
        <w:t>Guadalupe</w:t>
      </w:r>
      <w:r>
        <w:rPr>
          <w:color w:val="231F20"/>
          <w:spacing w:val="-4"/>
        </w:rPr>
        <w:t> </w:t>
      </w:r>
      <w:r>
        <w:rPr>
          <w:color w:val="231F20"/>
        </w:rPr>
        <w:t>logró unirlos</w:t>
      </w:r>
      <w:r>
        <w:rPr>
          <w:color w:val="231F20"/>
          <w:spacing w:val="-4"/>
        </w:rPr>
        <w:t> </w:t>
      </w:r>
      <w:r>
        <w:rPr>
          <w:color w:val="231F20"/>
        </w:rPr>
        <w:t>al</w:t>
      </w:r>
      <w:r>
        <w:rPr>
          <w:color w:val="231F20"/>
          <w:spacing w:val="-4"/>
        </w:rPr>
        <w:t> </w:t>
      </w:r>
      <w:r>
        <w:rPr>
          <w:color w:val="231F20"/>
        </w:rPr>
        <w:t>obtener</w:t>
      </w:r>
      <w:r>
        <w:rPr>
          <w:color w:val="231F20"/>
          <w:spacing w:val="-4"/>
        </w:rPr>
        <w:t> </w:t>
      </w:r>
      <w:r>
        <w:rPr>
          <w:color w:val="231F20"/>
        </w:rPr>
        <w:t>la</w:t>
      </w:r>
      <w:r>
        <w:rPr>
          <w:color w:val="231F20"/>
          <w:spacing w:val="-4"/>
        </w:rPr>
        <w:t> </w:t>
      </w:r>
      <w:r>
        <w:rPr>
          <w:color w:val="231F20"/>
        </w:rPr>
        <w:t>dirección</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secundaria,</w:t>
      </w:r>
      <w:r>
        <w:rPr>
          <w:color w:val="231F20"/>
          <w:spacing w:val="-3"/>
        </w:rPr>
        <w:t> </w:t>
      </w:r>
      <w:r>
        <w:rPr>
          <w:color w:val="231F20"/>
        </w:rPr>
        <w:t>logrando</w:t>
      </w:r>
      <w:r>
        <w:rPr>
          <w:color w:val="231F20"/>
          <w:spacing w:val="-4"/>
        </w:rPr>
        <w:t> </w:t>
      </w:r>
      <w:r>
        <w:rPr>
          <w:color w:val="231F20"/>
        </w:rPr>
        <w:t>así</w:t>
      </w:r>
      <w:r>
        <w:rPr>
          <w:color w:val="231F20"/>
          <w:spacing w:val="-4"/>
        </w:rPr>
        <w:t> </w:t>
      </w:r>
      <w:r>
        <w:rPr>
          <w:color w:val="231F20"/>
        </w:rPr>
        <w:t>una</w:t>
      </w:r>
      <w:r>
        <w:rPr>
          <w:color w:val="231F20"/>
          <w:spacing w:val="-4"/>
        </w:rPr>
        <w:t> </w:t>
      </w:r>
      <w:r>
        <w:rPr>
          <w:color w:val="231F20"/>
        </w:rPr>
        <w:t>mejor pensión al jubilarse. Esperanza continuó laborando en sus dos trabajos para unir sus pensiones y hoy en día gozar de un ingreso que le permite vivir sin carencias. La pensión de Ana se considera buena, gracias a que el último trabajo en el que laboró en el Instituto Mexicano del Seguro Social (IMSS) era una jefatura</w:t>
      </w:r>
      <w:r>
        <w:rPr>
          <w:color w:val="231F20"/>
          <w:spacing w:val="-8"/>
        </w:rPr>
        <w:t> </w:t>
      </w:r>
      <w:r>
        <w:rPr>
          <w:color w:val="231F20"/>
        </w:rPr>
        <w:t>administrativa.</w:t>
      </w:r>
    </w:p>
    <w:p>
      <w:pPr>
        <w:pStyle w:val="Heading4"/>
      </w:pPr>
      <w:r>
        <w:rPr>
          <w:w w:val="75"/>
        </w:rPr>
        <w:t>Vida actual y vida cotidiana</w:t>
      </w:r>
    </w:p>
    <w:p>
      <w:pPr>
        <w:pStyle w:val="BodyText"/>
        <w:spacing w:line="249" w:lineRule="auto" w:before="171"/>
        <w:ind w:left="113" w:right="107"/>
        <w:jc w:val="both"/>
      </w:pPr>
      <w:r>
        <w:rPr>
          <w:color w:val="231F20"/>
        </w:rPr>
        <w:t>Con las mujeres de este grupo se puede observar una planeación, por pequeña que fuera de la manera en que iban a vivir la vejez, y si bien no se observa a simple vista, se hace notorio en el deseo de jubilarse con 100 por ciento de su salario, lo que les daría la posibilidad de mantener el mismo nivel de vida que tenían, y ese era un motivo importante para prolongar</w:t>
      </w:r>
      <w:r>
        <w:rPr>
          <w:color w:val="231F20"/>
          <w:spacing w:val="-9"/>
        </w:rPr>
        <w:t> </w:t>
      </w:r>
      <w:r>
        <w:rPr>
          <w:color w:val="231F20"/>
        </w:rPr>
        <w:t>su</w:t>
      </w:r>
      <w:r>
        <w:rPr>
          <w:color w:val="231F20"/>
          <w:spacing w:val="-9"/>
        </w:rPr>
        <w:t> </w:t>
      </w:r>
      <w:r>
        <w:rPr>
          <w:color w:val="231F20"/>
        </w:rPr>
        <w:t>vida</w:t>
      </w:r>
      <w:r>
        <w:rPr>
          <w:color w:val="231F20"/>
          <w:spacing w:val="-9"/>
        </w:rPr>
        <w:t> </w:t>
      </w:r>
      <w:r>
        <w:rPr>
          <w:color w:val="231F20"/>
        </w:rPr>
        <w:t>laboral,</w:t>
      </w:r>
      <w:r>
        <w:rPr>
          <w:color w:val="231F20"/>
          <w:spacing w:val="-9"/>
        </w:rPr>
        <w:t> </w:t>
      </w:r>
      <w:r>
        <w:rPr>
          <w:color w:val="231F20"/>
        </w:rPr>
        <w:t>pues</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ellas</w:t>
      </w:r>
      <w:r>
        <w:rPr>
          <w:color w:val="231F20"/>
          <w:spacing w:val="-9"/>
        </w:rPr>
        <w:t> </w:t>
      </w:r>
      <w:r>
        <w:rPr>
          <w:color w:val="231F20"/>
        </w:rPr>
        <w:t>afirma</w:t>
      </w:r>
      <w:r>
        <w:rPr>
          <w:color w:val="231F20"/>
          <w:spacing w:val="-9"/>
        </w:rPr>
        <w:t> </w:t>
      </w:r>
      <w:r>
        <w:rPr>
          <w:color w:val="231F20"/>
        </w:rPr>
        <w:t>que</w:t>
      </w:r>
      <w:r>
        <w:rPr>
          <w:color w:val="231F20"/>
          <w:spacing w:val="-9"/>
        </w:rPr>
        <w:t> </w:t>
      </w:r>
      <w:r>
        <w:rPr>
          <w:color w:val="231F20"/>
        </w:rPr>
        <w:t>“si</w:t>
      </w:r>
      <w:r>
        <w:rPr>
          <w:color w:val="231F20"/>
          <w:spacing w:val="-9"/>
        </w:rPr>
        <w:t> </w:t>
      </w:r>
      <w:r>
        <w:rPr>
          <w:color w:val="231F20"/>
        </w:rPr>
        <w:t>hubiera</w:t>
      </w:r>
      <w:r>
        <w:rPr>
          <w:color w:val="231F20"/>
          <w:spacing w:val="-9"/>
        </w:rPr>
        <w:t> </w:t>
      </w:r>
      <w:r>
        <w:rPr>
          <w:color w:val="231F20"/>
        </w:rPr>
        <w:t>dejado de trabajar, no hubiera sido igual de</w:t>
      </w:r>
      <w:r>
        <w:rPr>
          <w:color w:val="231F20"/>
          <w:spacing w:val="-13"/>
        </w:rPr>
        <w:t> </w:t>
      </w:r>
      <w:r>
        <w:rPr>
          <w:color w:val="231F20"/>
        </w:rPr>
        <w:t>feliz”.</w:t>
      </w:r>
    </w:p>
    <w:p>
      <w:pPr>
        <w:pStyle w:val="BodyText"/>
        <w:spacing w:line="249" w:lineRule="auto" w:before="1"/>
        <w:ind w:left="113" w:right="108" w:firstLine="283"/>
        <w:jc w:val="both"/>
      </w:pPr>
      <w:r>
        <w:rPr>
          <w:color w:val="231F20"/>
        </w:rPr>
        <w:t>En este grupo ninguna de las mujeres se siente vieja, su autopercep- ción en este sentido no está basada en sus enfermedades, que saben que tienen y se atienden, sino que va más encaminada a las actividades que realizan,</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ha</w:t>
      </w:r>
      <w:r>
        <w:rPr>
          <w:color w:val="231F20"/>
          <w:spacing w:val="-6"/>
        </w:rPr>
        <w:t> </w:t>
      </w:r>
      <w:r>
        <w:rPr>
          <w:color w:val="231F20"/>
        </w:rPr>
        <w:t>sido</w:t>
      </w:r>
      <w:r>
        <w:rPr>
          <w:color w:val="231F20"/>
          <w:spacing w:val="-6"/>
        </w:rPr>
        <w:t> </w:t>
      </w:r>
      <w:r>
        <w:rPr>
          <w:color w:val="231F20"/>
        </w:rPr>
        <w:t>toda</w:t>
      </w:r>
      <w:r>
        <w:rPr>
          <w:color w:val="231F20"/>
          <w:spacing w:val="-6"/>
        </w:rPr>
        <w:t> </w:t>
      </w:r>
      <w:r>
        <w:rPr>
          <w:color w:val="231F20"/>
        </w:rPr>
        <w:t>su</w:t>
      </w:r>
      <w:r>
        <w:rPr>
          <w:color w:val="231F20"/>
          <w:spacing w:val="-6"/>
        </w:rPr>
        <w:t> </w:t>
      </w:r>
      <w:r>
        <w:rPr>
          <w:color w:val="231F20"/>
        </w:rPr>
        <w:t>vida,</w:t>
      </w:r>
      <w:r>
        <w:rPr>
          <w:color w:val="231F20"/>
          <w:spacing w:val="-6"/>
        </w:rPr>
        <w:t> </w:t>
      </w:r>
      <w:r>
        <w:rPr>
          <w:color w:val="231F20"/>
        </w:rPr>
        <w:t>la</w:t>
      </w:r>
      <w:r>
        <w:rPr>
          <w:color w:val="231F20"/>
          <w:spacing w:val="-6"/>
        </w:rPr>
        <w:t> </w:t>
      </w:r>
      <w:r>
        <w:rPr>
          <w:color w:val="231F20"/>
        </w:rPr>
        <w:t>satisfacción</w:t>
      </w:r>
      <w:r>
        <w:rPr>
          <w:color w:val="231F20"/>
          <w:spacing w:val="-5"/>
        </w:rPr>
        <w:t> </w:t>
      </w:r>
      <w:r>
        <w:rPr>
          <w:color w:val="231F20"/>
        </w:rPr>
        <w:t>de</w:t>
      </w:r>
      <w:r>
        <w:rPr>
          <w:color w:val="231F20"/>
          <w:spacing w:val="-6"/>
        </w:rPr>
        <w:t> </w:t>
      </w:r>
      <w:r>
        <w:rPr>
          <w:color w:val="231F20"/>
        </w:rPr>
        <w:t>necesidades individuales. La continuación de la realización de las distintas activida- des a las que se dedica cada una, argumentan ellas mismas, es para “no hacerse viejas”, pues este grupo coincide en que la falta de actividades, la pasividad puede llevarlas más rápidamente a envejecer, aspecto im- portante en la percepción de la vejez sobre la inactividad y el “volverse viejos” (Ronzón, 2014).</w:t>
      </w:r>
    </w:p>
    <w:p>
      <w:pPr>
        <w:pStyle w:val="BodyText"/>
        <w:spacing w:line="249" w:lineRule="auto" w:before="1"/>
        <w:ind w:left="113" w:right="108" w:firstLine="283"/>
        <w:jc w:val="both"/>
      </w:pPr>
      <w:r>
        <w:rPr>
          <w:color w:val="231F20"/>
        </w:rPr>
        <w:t>Ninguna de las informantes es o ha sido cuidadora de nietos, y no es algo que esté en sus prioridades, conviven con sus descendientes pero son muy escasas las ocasiones en que cuidan a alguno de sus nietos. Sin embargo, el papel de cuidadoras lo desarrollaron con sus padres, ya que</w:t>
      </w:r>
    </w:p>
    <w:p>
      <w:pPr>
        <w:spacing w:after="0" w:line="249" w:lineRule="auto"/>
        <w:jc w:val="both"/>
        <w:sectPr>
          <w:footerReference w:type="default" r:id="rId280"/>
          <w:pgSz w:w="7770" w:h="11740"/>
          <w:pgMar w:footer="474" w:header="0" w:top="840" w:bottom="660" w:left="1020" w:right="740"/>
          <w:pgNumType w:start="269"/>
        </w:sectPr>
      </w:pPr>
    </w:p>
    <w:p>
      <w:pPr>
        <w:pStyle w:val="BodyText"/>
        <w:spacing w:line="249" w:lineRule="auto" w:before="60"/>
        <w:ind w:left="110" w:right="111"/>
        <w:jc w:val="both"/>
      </w:pPr>
      <w:r>
        <w:rPr>
          <w:color w:val="231F20"/>
        </w:rPr>
        <w:t>las cuatro estuvieron vigilantes de la estabilidad de éstos, en corresiden- cia</w:t>
      </w:r>
      <w:r>
        <w:rPr>
          <w:color w:val="231F20"/>
          <w:spacing w:val="-7"/>
        </w:rPr>
        <w:t> </w:t>
      </w:r>
      <w:r>
        <w:rPr>
          <w:color w:val="231F20"/>
        </w:rPr>
        <w:t>(Esperanza</w:t>
      </w:r>
      <w:r>
        <w:rPr>
          <w:color w:val="231F20"/>
          <w:spacing w:val="-7"/>
        </w:rPr>
        <w:t> </w:t>
      </w:r>
      <w:r>
        <w:rPr>
          <w:color w:val="231F20"/>
        </w:rPr>
        <w:t>y</w:t>
      </w:r>
      <w:r>
        <w:rPr>
          <w:color w:val="231F20"/>
          <w:spacing w:val="-18"/>
        </w:rPr>
        <w:t> </w:t>
      </w:r>
      <w:r>
        <w:rPr>
          <w:color w:val="231F20"/>
        </w:rPr>
        <w:t>Ana),</w:t>
      </w:r>
      <w:r>
        <w:rPr>
          <w:color w:val="231F20"/>
          <w:spacing w:val="-6"/>
        </w:rPr>
        <w:t> </w:t>
      </w:r>
      <w:r>
        <w:rPr>
          <w:color w:val="231F20"/>
        </w:rPr>
        <w:t>económicamente</w:t>
      </w:r>
      <w:r>
        <w:rPr>
          <w:color w:val="231F20"/>
          <w:spacing w:val="-8"/>
        </w:rPr>
        <w:t> </w:t>
      </w:r>
      <w:r>
        <w:rPr>
          <w:color w:val="231F20"/>
        </w:rPr>
        <w:t>(Guadalupe)</w:t>
      </w:r>
      <w:r>
        <w:rPr>
          <w:color w:val="231F20"/>
          <w:spacing w:val="-7"/>
        </w:rPr>
        <w:t> </w:t>
      </w:r>
      <w:r>
        <w:rPr>
          <w:color w:val="231F20"/>
        </w:rPr>
        <w:t>o</w:t>
      </w:r>
      <w:r>
        <w:rPr>
          <w:color w:val="231F20"/>
          <w:spacing w:val="-7"/>
        </w:rPr>
        <w:t> </w:t>
      </w:r>
      <w:r>
        <w:rPr>
          <w:color w:val="231F20"/>
        </w:rPr>
        <w:t>económicamente y en vigilancia diaria</w:t>
      </w:r>
      <w:r>
        <w:rPr>
          <w:color w:val="231F20"/>
          <w:spacing w:val="-1"/>
        </w:rPr>
        <w:t> </w:t>
      </w:r>
      <w:r>
        <w:rPr>
          <w:color w:val="231F20"/>
        </w:rPr>
        <w:t>(Magy).</w:t>
      </w:r>
    </w:p>
    <w:p>
      <w:pPr>
        <w:pStyle w:val="BodyText"/>
        <w:spacing w:line="249" w:lineRule="auto" w:before="1"/>
        <w:ind w:left="110" w:right="111" w:firstLine="283"/>
        <w:jc w:val="right"/>
      </w:pPr>
      <w:r>
        <w:rPr>
          <w:color w:val="231F20"/>
        </w:rPr>
        <w:t>Tres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cuatro</w:t>
      </w:r>
      <w:r>
        <w:rPr>
          <w:color w:val="231F20"/>
          <w:spacing w:val="17"/>
        </w:rPr>
        <w:t> </w:t>
      </w:r>
      <w:r>
        <w:rPr>
          <w:color w:val="231F20"/>
        </w:rPr>
        <w:t>mujeres</w:t>
      </w:r>
      <w:r>
        <w:rPr>
          <w:color w:val="231F20"/>
          <w:spacing w:val="17"/>
        </w:rPr>
        <w:t> </w:t>
      </w:r>
      <w:r>
        <w:rPr>
          <w:color w:val="231F20"/>
        </w:rPr>
        <w:t>de</w:t>
      </w:r>
      <w:r>
        <w:rPr>
          <w:color w:val="231F20"/>
          <w:spacing w:val="18"/>
        </w:rPr>
        <w:t> </w:t>
      </w:r>
      <w:r>
        <w:rPr>
          <w:color w:val="231F20"/>
        </w:rPr>
        <w:t>este</w:t>
      </w:r>
      <w:r>
        <w:rPr>
          <w:color w:val="231F20"/>
          <w:spacing w:val="18"/>
        </w:rPr>
        <w:t> </w:t>
      </w:r>
      <w:r>
        <w:rPr>
          <w:color w:val="231F20"/>
        </w:rPr>
        <w:t>grupo</w:t>
      </w:r>
      <w:r>
        <w:rPr>
          <w:color w:val="231F20"/>
          <w:spacing w:val="18"/>
        </w:rPr>
        <w:t> </w:t>
      </w:r>
      <w:r>
        <w:rPr>
          <w:color w:val="231F20"/>
        </w:rPr>
        <w:t>viven</w:t>
      </w:r>
      <w:r>
        <w:rPr>
          <w:color w:val="231F20"/>
          <w:spacing w:val="18"/>
        </w:rPr>
        <w:t> </w:t>
      </w:r>
      <w:r>
        <w:rPr>
          <w:color w:val="231F20"/>
        </w:rPr>
        <w:t>dentro</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grupo de</w:t>
      </w:r>
      <w:r>
        <w:rPr>
          <w:color w:val="231F20"/>
          <w:spacing w:val="22"/>
        </w:rPr>
        <w:t> </w:t>
      </w:r>
      <w:r>
        <w:rPr>
          <w:color w:val="231F20"/>
        </w:rPr>
        <w:t>tipo</w:t>
      </w:r>
      <w:r>
        <w:rPr>
          <w:color w:val="231F20"/>
          <w:spacing w:val="22"/>
        </w:rPr>
        <w:t> </w:t>
      </w:r>
      <w:r>
        <w:rPr>
          <w:color w:val="231F20"/>
        </w:rPr>
        <w:t>unipersonal,</w:t>
      </w:r>
      <w:r>
        <w:rPr>
          <w:color w:val="231F20"/>
          <w:spacing w:val="22"/>
        </w:rPr>
        <w:t> </w:t>
      </w:r>
      <w:r>
        <w:rPr>
          <w:color w:val="231F20"/>
        </w:rPr>
        <w:t>pues</w:t>
      </w:r>
      <w:r>
        <w:rPr>
          <w:color w:val="231F20"/>
          <w:spacing w:val="22"/>
        </w:rPr>
        <w:t> </w:t>
      </w:r>
      <w:r>
        <w:rPr>
          <w:color w:val="231F20"/>
        </w:rPr>
        <w:t>a</w:t>
      </w:r>
      <w:r>
        <w:rPr>
          <w:color w:val="231F20"/>
          <w:spacing w:val="22"/>
        </w:rPr>
        <w:t> </w:t>
      </w:r>
      <w:r>
        <w:rPr>
          <w:color w:val="231F20"/>
        </w:rPr>
        <w:t>pesar</w:t>
      </w:r>
      <w:r>
        <w:rPr>
          <w:color w:val="231F20"/>
          <w:spacing w:val="22"/>
        </w:rPr>
        <w:t> </w:t>
      </w:r>
      <w:r>
        <w:rPr>
          <w:color w:val="231F20"/>
        </w:rPr>
        <w:t>de</w:t>
      </w:r>
      <w:r>
        <w:rPr>
          <w:color w:val="231F20"/>
          <w:spacing w:val="22"/>
        </w:rPr>
        <w:t> </w:t>
      </w:r>
      <w:r>
        <w:rPr>
          <w:color w:val="231F20"/>
        </w:rPr>
        <w:t>que</w:t>
      </w:r>
      <w:r>
        <w:rPr>
          <w:color w:val="231F20"/>
          <w:spacing w:val="22"/>
        </w:rPr>
        <w:t> </w:t>
      </w:r>
      <w:r>
        <w:rPr>
          <w:color w:val="231F20"/>
        </w:rPr>
        <w:t>Esperanza</w:t>
      </w:r>
      <w:r>
        <w:rPr>
          <w:color w:val="231F20"/>
          <w:spacing w:val="22"/>
        </w:rPr>
        <w:t> </w:t>
      </w:r>
      <w:r>
        <w:rPr>
          <w:color w:val="231F20"/>
        </w:rPr>
        <w:t>comparte</w:t>
      </w:r>
      <w:r>
        <w:rPr>
          <w:color w:val="231F20"/>
          <w:spacing w:val="22"/>
        </w:rPr>
        <w:t> </w:t>
      </w:r>
      <w:r>
        <w:rPr>
          <w:color w:val="231F20"/>
        </w:rPr>
        <w:t>el</w:t>
      </w:r>
      <w:r>
        <w:rPr>
          <w:color w:val="231F20"/>
          <w:spacing w:val="22"/>
        </w:rPr>
        <w:t> </w:t>
      </w:r>
      <w:r>
        <w:rPr>
          <w:color w:val="231F20"/>
        </w:rPr>
        <w:t>techo con</w:t>
      </w:r>
      <w:r>
        <w:rPr>
          <w:color w:val="231F20"/>
          <w:spacing w:val="19"/>
        </w:rPr>
        <w:t> </w:t>
      </w:r>
      <w:r>
        <w:rPr>
          <w:color w:val="231F20"/>
        </w:rPr>
        <w:t>uno</w:t>
      </w:r>
      <w:r>
        <w:rPr>
          <w:color w:val="231F20"/>
          <w:spacing w:val="19"/>
        </w:rPr>
        <w:t> </w:t>
      </w:r>
      <w:r>
        <w:rPr>
          <w:color w:val="231F20"/>
        </w:rPr>
        <w:t>de</w:t>
      </w:r>
      <w:r>
        <w:rPr>
          <w:color w:val="231F20"/>
          <w:spacing w:val="19"/>
        </w:rPr>
        <w:t> </w:t>
      </w:r>
      <w:r>
        <w:rPr>
          <w:color w:val="231F20"/>
        </w:rPr>
        <w:t>sus</w:t>
      </w:r>
      <w:r>
        <w:rPr>
          <w:color w:val="231F20"/>
          <w:spacing w:val="20"/>
        </w:rPr>
        <w:t> </w:t>
      </w:r>
      <w:r>
        <w:rPr>
          <w:color w:val="231F20"/>
        </w:rPr>
        <w:t>hijos</w:t>
      </w:r>
      <w:r>
        <w:rPr>
          <w:color w:val="231F20"/>
          <w:spacing w:val="19"/>
        </w:rPr>
        <w:t> </w:t>
      </w:r>
      <w:r>
        <w:rPr>
          <w:color w:val="231F20"/>
        </w:rPr>
        <w:t>no</w:t>
      </w:r>
      <w:r>
        <w:rPr>
          <w:color w:val="231F20"/>
          <w:spacing w:val="19"/>
        </w:rPr>
        <w:t> </w:t>
      </w:r>
      <w:r>
        <w:rPr>
          <w:color w:val="231F20"/>
        </w:rPr>
        <w:t>comparten</w:t>
      </w:r>
      <w:r>
        <w:rPr>
          <w:color w:val="231F20"/>
          <w:spacing w:val="19"/>
        </w:rPr>
        <w:t> </w:t>
      </w:r>
      <w:r>
        <w:rPr>
          <w:color w:val="231F20"/>
        </w:rPr>
        <w:t>actividades</w:t>
      </w:r>
      <w:r>
        <w:rPr>
          <w:color w:val="231F20"/>
          <w:spacing w:val="19"/>
        </w:rPr>
        <w:t> </w:t>
      </w:r>
      <w:r>
        <w:rPr>
          <w:color w:val="231F20"/>
        </w:rPr>
        <w:t>juntos</w:t>
      </w:r>
      <w:r>
        <w:rPr>
          <w:color w:val="231F20"/>
          <w:spacing w:val="19"/>
        </w:rPr>
        <w:t> </w:t>
      </w:r>
      <w:r>
        <w:rPr>
          <w:color w:val="231F20"/>
        </w:rPr>
        <w:t>y</w:t>
      </w:r>
      <w:r>
        <w:rPr>
          <w:color w:val="231F20"/>
          <w:spacing w:val="19"/>
        </w:rPr>
        <w:t> </w:t>
      </w:r>
      <w:r>
        <w:rPr>
          <w:color w:val="231F20"/>
        </w:rPr>
        <w:t>cada</w:t>
      </w:r>
      <w:r>
        <w:rPr>
          <w:color w:val="231F20"/>
          <w:spacing w:val="19"/>
        </w:rPr>
        <w:t> </w:t>
      </w:r>
      <w:r>
        <w:rPr>
          <w:color w:val="231F20"/>
        </w:rPr>
        <w:t>quien</w:t>
      </w:r>
      <w:r>
        <w:rPr>
          <w:color w:val="231F20"/>
          <w:spacing w:val="19"/>
        </w:rPr>
        <w:t> </w:t>
      </w:r>
      <w:r>
        <w:rPr>
          <w:color w:val="231F20"/>
        </w:rPr>
        <w:t>es responsable de su propia forma de vivir. Sólo una de ellas</w:t>
      </w:r>
      <w:r>
        <w:rPr>
          <w:color w:val="231F20"/>
          <w:spacing w:val="14"/>
        </w:rPr>
        <w:t> </w:t>
      </w:r>
      <w:r>
        <w:rPr>
          <w:color w:val="231F20"/>
        </w:rPr>
        <w:t>comparte</w:t>
      </w:r>
      <w:r>
        <w:rPr>
          <w:color w:val="231F20"/>
          <w:spacing w:val="9"/>
        </w:rPr>
        <w:t> </w:t>
      </w:r>
      <w:r>
        <w:rPr>
          <w:color w:val="231F20"/>
        </w:rPr>
        <w:t>su</w:t>
      </w:r>
      <w:r>
        <w:rPr>
          <w:color w:val="231F20"/>
          <w:spacing w:val="-1"/>
        </w:rPr>
        <w:t> </w:t>
      </w:r>
      <w:r>
        <w:rPr>
          <w:color w:val="231F20"/>
        </w:rPr>
        <w:t>techo con una familia nuclear, que además, no los unen</w:t>
      </w:r>
      <w:r>
        <w:rPr>
          <w:color w:val="231F20"/>
          <w:spacing w:val="-20"/>
        </w:rPr>
        <w:t> </w:t>
      </w:r>
      <w:r>
        <w:rPr>
          <w:color w:val="231F20"/>
        </w:rPr>
        <w:t>lazos</w:t>
      </w:r>
      <w:r>
        <w:rPr>
          <w:color w:val="231F20"/>
          <w:spacing w:val="-2"/>
        </w:rPr>
        <w:t> </w:t>
      </w:r>
      <w:r>
        <w:rPr>
          <w:color w:val="231F20"/>
        </w:rPr>
        <w:t>parentales, el grupo de Ana, quien comparte todas sus actividades con</w:t>
      </w:r>
      <w:r>
        <w:rPr>
          <w:color w:val="231F20"/>
          <w:spacing w:val="23"/>
        </w:rPr>
        <w:t> </w:t>
      </w:r>
      <w:r>
        <w:rPr>
          <w:color w:val="231F20"/>
        </w:rPr>
        <w:t>su</w:t>
      </w:r>
      <w:r>
        <w:rPr>
          <w:color w:val="231F20"/>
          <w:spacing w:val="8"/>
        </w:rPr>
        <w:t> </w:t>
      </w:r>
      <w:r>
        <w:rPr>
          <w:color w:val="231F20"/>
        </w:rPr>
        <w:t>ayudante y sus hijas, por lo que se puede considerar como un grupo</w:t>
      </w:r>
      <w:r>
        <w:rPr>
          <w:color w:val="231F20"/>
          <w:spacing w:val="44"/>
        </w:rPr>
        <w:t> </w:t>
      </w:r>
      <w:r>
        <w:rPr>
          <w:color w:val="231F20"/>
        </w:rPr>
        <w:t>familiar</w:t>
      </w:r>
      <w:r>
        <w:rPr>
          <w:color w:val="231F20"/>
          <w:spacing w:val="3"/>
        </w:rPr>
        <w:t> </w:t>
      </w:r>
      <w:r>
        <w:rPr>
          <w:color w:val="231F20"/>
        </w:rPr>
        <w:t>con- junto,</w:t>
      </w:r>
      <w:r>
        <w:rPr>
          <w:color w:val="231F20"/>
          <w:spacing w:val="-4"/>
        </w:rPr>
        <w:t> </w:t>
      </w:r>
      <w:r>
        <w:rPr>
          <w:color w:val="231F20"/>
        </w:rPr>
        <w:t>quien</w:t>
      </w:r>
      <w:r>
        <w:rPr>
          <w:color w:val="231F20"/>
          <w:spacing w:val="-4"/>
        </w:rPr>
        <w:t> </w:t>
      </w:r>
      <w:r>
        <w:rPr>
          <w:color w:val="231F20"/>
        </w:rPr>
        <w:t>además,</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única</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grupo</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tuvo</w:t>
      </w:r>
      <w:r>
        <w:rPr>
          <w:color w:val="231F20"/>
          <w:spacing w:val="-4"/>
        </w:rPr>
        <w:t> </w:t>
      </w:r>
      <w:r>
        <w:rPr>
          <w:color w:val="231F20"/>
        </w:rPr>
        <w:t>descendencia. Las cuatro tienen ingresos propios suficientes para</w:t>
      </w:r>
      <w:r>
        <w:rPr>
          <w:color w:val="231F20"/>
          <w:spacing w:val="31"/>
        </w:rPr>
        <w:t> </w:t>
      </w:r>
      <w:r>
        <w:rPr>
          <w:color w:val="231F20"/>
        </w:rPr>
        <w:t>su</w:t>
      </w:r>
      <w:r>
        <w:rPr>
          <w:color w:val="231F20"/>
          <w:spacing w:val="11"/>
        </w:rPr>
        <w:t> </w:t>
      </w:r>
      <w:r>
        <w:rPr>
          <w:color w:val="231F20"/>
        </w:rPr>
        <w:t>manutención,</w:t>
      </w:r>
      <w:r>
        <w:rPr>
          <w:color w:val="231F20"/>
          <w:w w:val="100"/>
        </w:rPr>
        <w:t> </w:t>
      </w:r>
      <w:r>
        <w:rPr>
          <w:color w:val="231F20"/>
        </w:rPr>
        <w:t>sólo una de ellas comparte gastos con alguien y ésta es la que</w:t>
      </w:r>
      <w:r>
        <w:rPr>
          <w:color w:val="231F20"/>
          <w:spacing w:val="34"/>
        </w:rPr>
        <w:t> </w:t>
      </w:r>
      <w:r>
        <w:rPr>
          <w:color w:val="231F20"/>
        </w:rPr>
        <w:t>sigue</w:t>
      </w:r>
      <w:r>
        <w:rPr>
          <w:color w:val="231F20"/>
          <w:spacing w:val="6"/>
        </w:rPr>
        <w:t> </w:t>
      </w:r>
      <w:r>
        <w:rPr>
          <w:color w:val="231F20"/>
        </w:rPr>
        <w:t>ca- sada, las otras tres obtienen recursos suficientes para mantenerse</w:t>
      </w:r>
      <w:r>
        <w:rPr>
          <w:color w:val="231F20"/>
          <w:spacing w:val="6"/>
        </w:rPr>
        <w:t> </w:t>
      </w:r>
      <w:r>
        <w:rPr>
          <w:color w:val="231F20"/>
        </w:rPr>
        <w:t>en</w:t>
      </w:r>
      <w:r>
        <w:rPr>
          <w:color w:val="231F20"/>
          <w:spacing w:val="11"/>
        </w:rPr>
        <w:t> </w:t>
      </w:r>
      <w:r>
        <w:rPr>
          <w:color w:val="231F20"/>
        </w:rPr>
        <w:t>un nivel de vida sin carencias, incluso al jubilarse pudieron viajar más </w:t>
      </w:r>
      <w:r>
        <w:rPr>
          <w:color w:val="231F20"/>
          <w:spacing w:val="22"/>
        </w:rPr>
        <w:t> </w:t>
      </w:r>
      <w:r>
        <w:rPr>
          <w:color w:val="231F20"/>
        </w:rPr>
        <w:t>que</w:t>
      </w:r>
    </w:p>
    <w:p>
      <w:pPr>
        <w:pStyle w:val="BodyText"/>
        <w:spacing w:before="1"/>
        <w:ind w:left="110"/>
        <w:jc w:val="both"/>
      </w:pPr>
      <w:r>
        <w:rPr>
          <w:color w:val="231F20"/>
        </w:rPr>
        <w:t>antes, tres de ellas dijeron haber viajado al extranjero.</w:t>
      </w:r>
    </w:p>
    <w:p>
      <w:pPr>
        <w:pStyle w:val="BodyText"/>
        <w:spacing w:line="249" w:lineRule="auto" w:before="10"/>
        <w:ind w:left="110" w:right="111" w:firstLine="283"/>
        <w:jc w:val="both"/>
      </w:pPr>
      <w:r>
        <w:rPr>
          <w:color w:val="231F20"/>
        </w:rPr>
        <w:t>Un punto más en común de estas mujeres es que todas, ya sea con</w:t>
      </w:r>
      <w:r>
        <w:rPr>
          <w:color w:val="231F20"/>
          <w:spacing w:val="-19"/>
        </w:rPr>
        <w:t> </w:t>
      </w:r>
      <w:r>
        <w:rPr>
          <w:color w:val="231F20"/>
        </w:rPr>
        <w:t>su cónyuge</w:t>
      </w:r>
      <w:r>
        <w:rPr>
          <w:color w:val="231F20"/>
          <w:spacing w:val="-5"/>
        </w:rPr>
        <w:t> </w:t>
      </w:r>
      <w:r>
        <w:rPr>
          <w:color w:val="231F20"/>
        </w:rPr>
        <w:t>o</w:t>
      </w:r>
      <w:r>
        <w:rPr>
          <w:color w:val="231F20"/>
          <w:spacing w:val="-4"/>
        </w:rPr>
        <w:t> </w:t>
      </w:r>
      <w:r>
        <w:rPr>
          <w:color w:val="231F20"/>
        </w:rPr>
        <w:t>solas,</w:t>
      </w:r>
      <w:r>
        <w:rPr>
          <w:color w:val="231F20"/>
          <w:spacing w:val="-4"/>
        </w:rPr>
        <w:t> </w:t>
      </w:r>
      <w:r>
        <w:rPr>
          <w:color w:val="231F20"/>
        </w:rPr>
        <w:t>tienen</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menos</w:t>
      </w:r>
      <w:r>
        <w:rPr>
          <w:color w:val="231F20"/>
          <w:spacing w:val="-5"/>
        </w:rPr>
        <w:t> </w:t>
      </w:r>
      <w:r>
        <w:rPr>
          <w:color w:val="231F20"/>
        </w:rPr>
        <w:t>una</w:t>
      </w:r>
      <w:r>
        <w:rPr>
          <w:color w:val="231F20"/>
          <w:spacing w:val="-4"/>
        </w:rPr>
        <w:t> </w:t>
      </w:r>
      <w:r>
        <w:rPr>
          <w:color w:val="231F20"/>
        </w:rPr>
        <w:t>propiedad</w:t>
      </w:r>
      <w:r>
        <w:rPr>
          <w:color w:val="231F20"/>
          <w:spacing w:val="-4"/>
        </w:rPr>
        <w:t> </w:t>
      </w:r>
      <w:r>
        <w:rPr>
          <w:color w:val="231F20"/>
        </w:rPr>
        <w:t>más</w:t>
      </w:r>
      <w:r>
        <w:rPr>
          <w:color w:val="231F20"/>
          <w:spacing w:val="-4"/>
        </w:rPr>
        <w:t> </w:t>
      </w:r>
      <w:r>
        <w:rPr>
          <w:color w:val="231F20"/>
        </w:rPr>
        <w:t>aparte</w:t>
      </w:r>
      <w:r>
        <w:rPr>
          <w:color w:val="231F20"/>
          <w:spacing w:val="-4"/>
        </w:rPr>
        <w:t> </w:t>
      </w:r>
      <w:r>
        <w:rPr>
          <w:color w:val="231F20"/>
        </w:rPr>
        <w:t>del</w:t>
      </w:r>
      <w:r>
        <w:rPr>
          <w:color w:val="231F20"/>
          <w:spacing w:val="-4"/>
        </w:rPr>
        <w:t> </w:t>
      </w:r>
      <w:r>
        <w:rPr>
          <w:color w:val="231F20"/>
        </w:rPr>
        <w:t>lugar en el que residen, del cual suelen obtener un ingreso extra a su</w:t>
      </w:r>
      <w:r>
        <w:rPr>
          <w:color w:val="231F20"/>
          <w:spacing w:val="-10"/>
        </w:rPr>
        <w:t> </w:t>
      </w:r>
      <w:r>
        <w:rPr>
          <w:color w:val="231F20"/>
        </w:rPr>
        <w:t>pensión.</w:t>
      </w:r>
    </w:p>
    <w:p>
      <w:pPr>
        <w:pStyle w:val="Heading4"/>
        <w:ind w:left="110"/>
      </w:pPr>
      <w:r>
        <w:rPr>
          <w:w w:val="75"/>
        </w:rPr>
        <w:t>La trayectoria laboral, ¿hasta dónde llega?</w:t>
      </w:r>
    </w:p>
    <w:p>
      <w:pPr>
        <w:pStyle w:val="BodyText"/>
        <w:spacing w:line="249" w:lineRule="auto" w:before="171"/>
        <w:ind w:left="110" w:right="111"/>
        <w:jc w:val="both"/>
      </w:pPr>
      <w:r>
        <w:rPr>
          <w:color w:val="231F20"/>
        </w:rPr>
        <w:t>El trabajo de investigación propuso trabajar con mujeres mayores de 60 años de edad, de manera que son mujeres nacidas antes de 1945 las que son sujetos de investigación. De esta manera, y teniendo en cuenta los principales postulados del trabajo, estas mujeres se habrán integrado al mercado de trabajo después de los años 1950, década considerada, por distintos autores, como el inicio de un cambio en la absorción de mano de obra y de aumento femenino en las filas laborales.</w:t>
      </w:r>
    </w:p>
    <w:p>
      <w:pPr>
        <w:pStyle w:val="BodyText"/>
        <w:spacing w:line="249" w:lineRule="auto" w:before="1"/>
        <w:ind w:left="110" w:right="111" w:firstLine="283"/>
        <w:jc w:val="both"/>
      </w:pPr>
      <w:r>
        <w:rPr>
          <w:color w:val="231F20"/>
        </w:rPr>
        <w:t>Resulta innegable que las actividades económicas a las que se ha de- dicado la mujer que hoy en día es vieja han estado condicionadas por un acceso desigual en la estructura de oportunidades. Las que trabajaron realizaron tareas socialmente consideradas femeninas (maestras, recep- cionistas, secretarias, cocineras, enfermeras, etc. actividades considera- das</w:t>
      </w:r>
      <w:r>
        <w:rPr>
          <w:color w:val="231F20"/>
          <w:spacing w:val="-11"/>
        </w:rPr>
        <w:t> </w:t>
      </w:r>
      <w:r>
        <w:rPr>
          <w:color w:val="231F20"/>
        </w:rPr>
        <w:t>dentro</w:t>
      </w:r>
      <w:r>
        <w:rPr>
          <w:color w:val="231F20"/>
          <w:spacing w:val="-11"/>
        </w:rPr>
        <w:t> </w:t>
      </w:r>
      <w:r>
        <w:rPr>
          <w:color w:val="231F20"/>
        </w:rPr>
        <w:t>del</w:t>
      </w:r>
      <w:r>
        <w:rPr>
          <w:color w:val="231F20"/>
          <w:spacing w:val="-11"/>
        </w:rPr>
        <w:t> </w:t>
      </w:r>
      <w:r>
        <w:rPr>
          <w:color w:val="231F20"/>
        </w:rPr>
        <w:t>sector</w:t>
      </w:r>
      <w:r>
        <w:rPr>
          <w:color w:val="231F20"/>
          <w:spacing w:val="-10"/>
        </w:rPr>
        <w:t> </w:t>
      </w:r>
      <w:r>
        <w:rPr>
          <w:color w:val="231F20"/>
        </w:rPr>
        <w:t>terciario),</w:t>
      </w:r>
      <w:r>
        <w:rPr>
          <w:color w:val="231F20"/>
          <w:spacing w:val="-12"/>
        </w:rPr>
        <w:t> </w:t>
      </w:r>
      <w:r>
        <w:rPr>
          <w:color w:val="231F20"/>
        </w:rPr>
        <w:t>pero</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trabajo</w:t>
      </w:r>
      <w:r>
        <w:rPr>
          <w:color w:val="231F20"/>
          <w:spacing w:val="-11"/>
        </w:rPr>
        <w:t> </w:t>
      </w:r>
      <w:r>
        <w:rPr>
          <w:color w:val="231F20"/>
        </w:rPr>
        <w:t>quedan</w:t>
      </w:r>
      <w:r>
        <w:rPr>
          <w:color w:val="231F20"/>
          <w:spacing w:val="-11"/>
        </w:rPr>
        <w:t> </w:t>
      </w:r>
      <w:r>
        <w:rPr>
          <w:color w:val="231F20"/>
        </w:rPr>
        <w:t>al</w:t>
      </w:r>
      <w:r>
        <w:rPr>
          <w:color w:val="231F20"/>
          <w:spacing w:val="-11"/>
        </w:rPr>
        <w:t> </w:t>
      </w:r>
      <w:r>
        <w:rPr>
          <w:color w:val="231F20"/>
        </w:rPr>
        <w:t>descubierto algunas cosas que parecieran paradójicas, pues por una parte el rol de mujer-ama</w:t>
      </w:r>
      <w:r>
        <w:rPr>
          <w:color w:val="231F20"/>
          <w:spacing w:val="-11"/>
        </w:rPr>
        <w:t> </w:t>
      </w:r>
      <w:r>
        <w:rPr>
          <w:color w:val="231F20"/>
        </w:rPr>
        <w:t>de</w:t>
      </w:r>
      <w:r>
        <w:rPr>
          <w:color w:val="231F20"/>
          <w:spacing w:val="-11"/>
        </w:rPr>
        <w:t> </w:t>
      </w:r>
      <w:r>
        <w:rPr>
          <w:color w:val="231F20"/>
        </w:rPr>
        <w:t>casa</w:t>
      </w:r>
      <w:r>
        <w:rPr>
          <w:color w:val="231F20"/>
          <w:spacing w:val="-11"/>
        </w:rPr>
        <w:t> </w:t>
      </w:r>
      <w:r>
        <w:rPr>
          <w:color w:val="231F20"/>
        </w:rPr>
        <w:t>se</w:t>
      </w:r>
      <w:r>
        <w:rPr>
          <w:color w:val="231F20"/>
          <w:spacing w:val="-11"/>
        </w:rPr>
        <w:t> </w:t>
      </w:r>
      <w:r>
        <w:rPr>
          <w:color w:val="231F20"/>
        </w:rPr>
        <w:t>reproduce</w:t>
      </w:r>
      <w:r>
        <w:rPr>
          <w:color w:val="231F20"/>
          <w:spacing w:val="-11"/>
        </w:rPr>
        <w:t> </w:t>
      </w:r>
      <w:r>
        <w:rPr>
          <w:color w:val="231F20"/>
        </w:rPr>
        <w:t>bajo</w:t>
      </w:r>
      <w:r>
        <w:rPr>
          <w:color w:val="231F20"/>
          <w:spacing w:val="-11"/>
        </w:rPr>
        <w:t> </w:t>
      </w:r>
      <w:r>
        <w:rPr>
          <w:color w:val="231F20"/>
        </w:rPr>
        <w:t>los</w:t>
      </w:r>
      <w:r>
        <w:rPr>
          <w:color w:val="231F20"/>
          <w:spacing w:val="-11"/>
        </w:rPr>
        <w:t> </w:t>
      </w:r>
      <w:r>
        <w:rPr>
          <w:color w:val="231F20"/>
        </w:rPr>
        <w:t>patrones</w:t>
      </w:r>
      <w:r>
        <w:rPr>
          <w:color w:val="231F20"/>
          <w:spacing w:val="-11"/>
        </w:rPr>
        <w:t> </w:t>
      </w:r>
      <w:r>
        <w:rPr>
          <w:color w:val="231F20"/>
        </w:rPr>
        <w:t>socialmente</w:t>
      </w:r>
      <w:r>
        <w:rPr>
          <w:color w:val="231F20"/>
          <w:spacing w:val="-10"/>
        </w:rPr>
        <w:t> </w:t>
      </w:r>
      <w:r>
        <w:rPr>
          <w:color w:val="231F20"/>
        </w:rPr>
        <w:t>aceptados, pero dentro de estas mujeres envejecidas también existe el rol de mujer- trabajadora que implicaba una ruptura sociocultural en su contexto; sin embargo, preservaban su rol de “cuidadora” de</w:t>
      </w:r>
      <w:r>
        <w:rPr>
          <w:color w:val="231F20"/>
          <w:spacing w:val="-6"/>
        </w:rPr>
        <w:t> </w:t>
      </w:r>
      <w:r>
        <w:rPr>
          <w:color w:val="231F20"/>
        </w:rPr>
        <w:t>otros.</w:t>
      </w:r>
    </w:p>
    <w:p>
      <w:pPr>
        <w:spacing w:after="0" w:line="249" w:lineRule="auto"/>
        <w:jc w:val="both"/>
        <w:sectPr>
          <w:pgSz w:w="7770" w:h="11740"/>
          <w:pgMar w:header="0" w:footer="474" w:top="840" w:bottom="740" w:left="740" w:right="1020"/>
        </w:sectPr>
      </w:pPr>
    </w:p>
    <w:p>
      <w:pPr>
        <w:pStyle w:val="BodyText"/>
        <w:spacing w:line="249" w:lineRule="auto" w:before="60"/>
        <w:ind w:left="113" w:right="107" w:firstLine="283"/>
        <w:jc w:val="both"/>
      </w:pPr>
      <w:r>
        <w:rPr>
          <w:color w:val="231F20"/>
        </w:rPr>
        <w:t>Se pudo observar que, por parte de las mujeres que realizaron estu- dios y trabajaron profesionalmente, lograron la compatibilidad que Oli- veira</w:t>
      </w:r>
      <w:r>
        <w:rPr>
          <w:color w:val="231F20"/>
          <w:spacing w:val="-5"/>
        </w:rPr>
        <w:t> </w:t>
      </w:r>
      <w:r>
        <w:rPr>
          <w:color w:val="231F20"/>
        </w:rPr>
        <w:t>(1988:</w:t>
      </w:r>
      <w:r>
        <w:rPr>
          <w:color w:val="231F20"/>
          <w:spacing w:val="-5"/>
        </w:rPr>
        <w:t> </w:t>
      </w:r>
      <w:r>
        <w:rPr>
          <w:color w:val="231F20"/>
        </w:rPr>
        <w:t>146)</w:t>
      </w:r>
      <w:r>
        <w:rPr>
          <w:color w:val="231F20"/>
          <w:spacing w:val="-5"/>
        </w:rPr>
        <w:t> </w:t>
      </w:r>
      <w:r>
        <w:rPr>
          <w:color w:val="231F20"/>
        </w:rPr>
        <w:t>dice</w:t>
      </w:r>
      <w:r>
        <w:rPr>
          <w:color w:val="231F20"/>
          <w:spacing w:val="-5"/>
        </w:rPr>
        <w:t> </w:t>
      </w:r>
      <w:r>
        <w:rPr>
          <w:color w:val="231F20"/>
        </w:rPr>
        <w:t>debe</w:t>
      </w:r>
      <w:r>
        <w:rPr>
          <w:color w:val="231F20"/>
          <w:spacing w:val="-5"/>
        </w:rPr>
        <w:t> </w:t>
      </w:r>
      <w:r>
        <w:rPr>
          <w:color w:val="231F20"/>
        </w:rPr>
        <w:t>observarse</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crítica,</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muchos autores hablan de la preferencia de las mujeres por cierto tipo de em- pleos, de manera que la división sexual del trabajo entre actividades de producción y reproducción subyace como elemento explicativo de la in- serción</w:t>
      </w:r>
      <w:r>
        <w:rPr>
          <w:color w:val="231F20"/>
          <w:spacing w:val="-5"/>
        </w:rPr>
        <w:t> </w:t>
      </w:r>
      <w:r>
        <w:rPr>
          <w:color w:val="231F20"/>
        </w:rPr>
        <w:t>segregada</w:t>
      </w:r>
      <w:r>
        <w:rPr>
          <w:color w:val="231F20"/>
          <w:spacing w:val="-4"/>
        </w:rPr>
        <w:t> </w:t>
      </w:r>
      <w:r>
        <w:rPr>
          <w:color w:val="231F20"/>
        </w:rPr>
        <w:t>de</w:t>
      </w:r>
      <w:r>
        <w:rPr>
          <w:color w:val="231F20"/>
          <w:spacing w:val="-5"/>
        </w:rPr>
        <w:t> </w:t>
      </w:r>
      <w:r>
        <w:rPr>
          <w:color w:val="231F20"/>
        </w:rPr>
        <w:t>las</w:t>
      </w:r>
      <w:r>
        <w:rPr>
          <w:color w:val="231F20"/>
          <w:spacing w:val="-5"/>
        </w:rPr>
        <w:t> </w:t>
      </w:r>
      <w:r>
        <w:rPr>
          <w:color w:val="231F20"/>
        </w:rPr>
        <w:t>mujeres</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mercado</w:t>
      </w:r>
      <w:r>
        <w:rPr>
          <w:color w:val="231F20"/>
          <w:spacing w:val="-6"/>
        </w:rPr>
        <w:t> </w:t>
      </w:r>
      <w:r>
        <w:rPr>
          <w:color w:val="231F20"/>
        </w:rPr>
        <w:t>de</w:t>
      </w:r>
      <w:r>
        <w:rPr>
          <w:color w:val="231F20"/>
          <w:spacing w:val="-5"/>
        </w:rPr>
        <w:t> </w:t>
      </w:r>
      <w:r>
        <w:rPr>
          <w:color w:val="231F20"/>
        </w:rPr>
        <w:t>trabajo,</w:t>
      </w:r>
      <w:r>
        <w:rPr>
          <w:color w:val="231F20"/>
          <w:spacing w:val="-6"/>
        </w:rPr>
        <w:t> </w:t>
      </w:r>
      <w:r>
        <w:rPr>
          <w:color w:val="231F20"/>
        </w:rPr>
        <w:t>la</w:t>
      </w:r>
      <w:r>
        <w:rPr>
          <w:color w:val="231F20"/>
          <w:spacing w:val="-5"/>
        </w:rPr>
        <w:t> </w:t>
      </w:r>
      <w:r>
        <w:rPr>
          <w:color w:val="231F20"/>
        </w:rPr>
        <w:t>autora</w:t>
      </w:r>
      <w:r>
        <w:rPr>
          <w:color w:val="231F20"/>
          <w:spacing w:val="-5"/>
        </w:rPr>
        <w:t> </w:t>
      </w:r>
      <w:r>
        <w:rPr>
          <w:color w:val="231F20"/>
        </w:rPr>
        <w:t>dice que</w:t>
      </w:r>
      <w:r>
        <w:rPr>
          <w:color w:val="231F20"/>
          <w:spacing w:val="-5"/>
        </w:rPr>
        <w:t> </w:t>
      </w:r>
      <w:r>
        <w:rPr>
          <w:color w:val="231F20"/>
        </w:rPr>
        <w:t>para</w:t>
      </w:r>
      <w:r>
        <w:rPr>
          <w:color w:val="231F20"/>
          <w:spacing w:val="-5"/>
        </w:rPr>
        <w:t> </w:t>
      </w:r>
      <w:r>
        <w:rPr>
          <w:color w:val="231F20"/>
        </w:rPr>
        <w:t>utilizar</w:t>
      </w:r>
      <w:r>
        <w:rPr>
          <w:color w:val="231F20"/>
          <w:spacing w:val="-5"/>
        </w:rPr>
        <w:t> </w:t>
      </w:r>
      <w:r>
        <w:rPr>
          <w:color w:val="231F20"/>
        </w:rPr>
        <w:t>correctamente</w:t>
      </w:r>
      <w:r>
        <w:rPr>
          <w:color w:val="231F20"/>
          <w:spacing w:val="-6"/>
        </w:rPr>
        <w:t> </w:t>
      </w:r>
      <w:r>
        <w:rPr>
          <w:color w:val="231F20"/>
        </w:rPr>
        <w:t>el</w:t>
      </w:r>
      <w:r>
        <w:rPr>
          <w:color w:val="231F20"/>
          <w:spacing w:val="-5"/>
        </w:rPr>
        <w:t> </w:t>
      </w:r>
      <w:r>
        <w:rPr>
          <w:color w:val="231F20"/>
        </w:rPr>
        <w:t>concepto</w:t>
      </w:r>
      <w:r>
        <w:rPr>
          <w:color w:val="231F20"/>
          <w:spacing w:val="-6"/>
        </w:rPr>
        <w:t> </w:t>
      </w:r>
      <w:r>
        <w:rPr>
          <w:color w:val="231F20"/>
        </w:rPr>
        <w:t>de</w:t>
      </w:r>
      <w:r>
        <w:rPr>
          <w:color w:val="231F20"/>
          <w:spacing w:val="-5"/>
        </w:rPr>
        <w:t> </w:t>
      </w:r>
      <w:r>
        <w:rPr>
          <w:color w:val="231F20"/>
        </w:rPr>
        <w:t>compatibilidad</w:t>
      </w:r>
      <w:r>
        <w:rPr>
          <w:color w:val="231F20"/>
          <w:spacing w:val="-6"/>
        </w:rPr>
        <w:t> </w:t>
      </w:r>
      <w:r>
        <w:rPr>
          <w:color w:val="231F20"/>
        </w:rPr>
        <w:t>no</w:t>
      </w:r>
      <w:r>
        <w:rPr>
          <w:color w:val="231F20"/>
          <w:spacing w:val="-5"/>
        </w:rPr>
        <w:t> </w:t>
      </w:r>
      <w:r>
        <w:rPr>
          <w:color w:val="231F20"/>
        </w:rPr>
        <w:t>debiera aceptarse</w:t>
      </w:r>
      <w:r>
        <w:rPr>
          <w:color w:val="231F20"/>
          <w:spacing w:val="-8"/>
        </w:rPr>
        <w:t> </w:t>
      </w:r>
      <w:r>
        <w:rPr>
          <w:color w:val="231F20"/>
        </w:rPr>
        <w:t>como</w:t>
      </w:r>
      <w:r>
        <w:rPr>
          <w:color w:val="231F20"/>
          <w:spacing w:val="-8"/>
        </w:rPr>
        <w:t> </w:t>
      </w:r>
      <w:r>
        <w:rPr>
          <w:color w:val="231F20"/>
        </w:rPr>
        <w:t>natural</w:t>
      </w:r>
      <w:r>
        <w:rPr>
          <w:color w:val="231F20"/>
          <w:spacing w:val="-8"/>
        </w:rPr>
        <w:t> </w:t>
      </w:r>
      <w:r>
        <w:rPr>
          <w:color w:val="231F20"/>
        </w:rPr>
        <w:t>la</w:t>
      </w:r>
      <w:r>
        <w:rPr>
          <w:color w:val="231F20"/>
          <w:spacing w:val="-7"/>
        </w:rPr>
        <w:t> </w:t>
      </w:r>
      <w:r>
        <w:rPr>
          <w:color w:val="231F20"/>
        </w:rPr>
        <w:t>“división</w:t>
      </w:r>
      <w:r>
        <w:rPr>
          <w:color w:val="231F20"/>
          <w:spacing w:val="-7"/>
        </w:rPr>
        <w:t> </w:t>
      </w:r>
      <w:r>
        <w:rPr>
          <w:color w:val="231F20"/>
        </w:rPr>
        <w:t>sexual</w:t>
      </w:r>
      <w:r>
        <w:rPr>
          <w:color w:val="231F20"/>
          <w:spacing w:val="-7"/>
        </w:rPr>
        <w:t> </w:t>
      </w:r>
      <w:r>
        <w:rPr>
          <w:color w:val="231F20"/>
        </w:rPr>
        <w:t>del</w:t>
      </w:r>
      <w:r>
        <w:rPr>
          <w:color w:val="231F20"/>
          <w:spacing w:val="-7"/>
        </w:rPr>
        <w:t> </w:t>
      </w:r>
      <w:r>
        <w:rPr>
          <w:color w:val="231F20"/>
        </w:rPr>
        <w:t>trabajo</w:t>
      </w:r>
      <w:r>
        <w:rPr>
          <w:color w:val="231F20"/>
          <w:spacing w:val="-8"/>
        </w:rPr>
        <w:t> </w:t>
      </w:r>
      <w:r>
        <w:rPr>
          <w:color w:val="231F20"/>
        </w:rPr>
        <w:t>existente”,</w:t>
      </w:r>
      <w:r>
        <w:rPr>
          <w:color w:val="231F20"/>
          <w:spacing w:val="-8"/>
        </w:rPr>
        <w:t> </w:t>
      </w:r>
      <w:r>
        <w:rPr>
          <w:color w:val="231F20"/>
        </w:rPr>
        <w:t>porque, además, muchos autores cuando hablan de esta compatibilidad introdu- cen un argumento en donde se sostiene que las mujeres dan preferencia a trabajos que permitan compatibilizar el rol de ama de casa con el de trabajadora</w:t>
      </w:r>
      <w:r>
        <w:rPr>
          <w:color w:val="231F20"/>
          <w:spacing w:val="-10"/>
        </w:rPr>
        <w:t> </w:t>
      </w:r>
      <w:r>
        <w:rPr>
          <w:color w:val="231F20"/>
        </w:rPr>
        <w:t>remunerada</w:t>
      </w:r>
      <w:r>
        <w:rPr>
          <w:color w:val="231F20"/>
          <w:spacing w:val="-9"/>
        </w:rPr>
        <w:t> </w:t>
      </w:r>
      <w:r>
        <w:rPr>
          <w:color w:val="231F20"/>
        </w:rPr>
        <w:t>(Oliveira,</w:t>
      </w:r>
      <w:r>
        <w:rPr>
          <w:color w:val="231F20"/>
          <w:spacing w:val="-9"/>
        </w:rPr>
        <w:t> </w:t>
      </w:r>
      <w:r>
        <w:rPr>
          <w:color w:val="231F20"/>
        </w:rPr>
        <w:t>1988:</w:t>
      </w:r>
      <w:r>
        <w:rPr>
          <w:color w:val="231F20"/>
          <w:spacing w:val="-9"/>
        </w:rPr>
        <w:t> </w:t>
      </w:r>
      <w:r>
        <w:rPr>
          <w:color w:val="231F20"/>
        </w:rPr>
        <w:t>147).</w:t>
      </w:r>
      <w:r>
        <w:rPr>
          <w:color w:val="231F20"/>
          <w:spacing w:val="-9"/>
        </w:rPr>
        <w:t> </w:t>
      </w:r>
      <w:r>
        <w:rPr>
          <w:color w:val="231F20"/>
        </w:rPr>
        <w:t>Es</w:t>
      </w:r>
      <w:r>
        <w:rPr>
          <w:color w:val="231F20"/>
          <w:spacing w:val="-9"/>
        </w:rPr>
        <w:t> </w:t>
      </w:r>
      <w:r>
        <w:rPr>
          <w:color w:val="231F20"/>
        </w:rPr>
        <w:t>importante</w:t>
      </w:r>
      <w:r>
        <w:rPr>
          <w:color w:val="231F20"/>
          <w:spacing w:val="-10"/>
        </w:rPr>
        <w:t> </w:t>
      </w:r>
      <w:r>
        <w:rPr>
          <w:color w:val="231F20"/>
        </w:rPr>
        <w:t>resaltar</w:t>
      </w:r>
      <w:r>
        <w:rPr>
          <w:color w:val="231F20"/>
          <w:spacing w:val="-9"/>
        </w:rPr>
        <w:t> </w:t>
      </w:r>
      <w:r>
        <w:rPr>
          <w:color w:val="231F20"/>
        </w:rPr>
        <w:t>este argumento, las mujeres de esta investigación evidencian empírica para ver si existe la búsqueda de la compatibilidad de roles, y no siempre en “trabajos</w:t>
      </w:r>
      <w:r>
        <w:rPr>
          <w:color w:val="231F20"/>
          <w:spacing w:val="-4"/>
        </w:rPr>
        <w:t> </w:t>
      </w:r>
      <w:r>
        <w:rPr>
          <w:color w:val="231F20"/>
        </w:rPr>
        <w:t>terribles”,</w:t>
      </w:r>
      <w:r>
        <w:rPr>
          <w:color w:val="231F20"/>
          <w:spacing w:val="-4"/>
        </w:rPr>
        <w:t> </w:t>
      </w:r>
      <w:r>
        <w:rPr>
          <w:color w:val="231F20"/>
        </w:rPr>
        <w:t>dice</w:t>
      </w:r>
      <w:r>
        <w:rPr>
          <w:color w:val="231F20"/>
          <w:spacing w:val="-4"/>
        </w:rPr>
        <w:t> </w:t>
      </w:r>
      <w:r>
        <w:rPr>
          <w:color w:val="231F20"/>
        </w:rPr>
        <w:t>Scott</w:t>
      </w:r>
      <w:r>
        <w:rPr>
          <w:color w:val="231F20"/>
          <w:spacing w:val="-4"/>
        </w:rPr>
        <w:t> </w:t>
      </w:r>
      <w:r>
        <w:rPr>
          <w:color w:val="231F20"/>
        </w:rPr>
        <w:t>(1993)</w:t>
      </w:r>
      <w:r>
        <w:rPr>
          <w:color w:val="231F20"/>
          <w:spacing w:val="-4"/>
        </w:rPr>
        <w:t> </w:t>
      </w:r>
      <w:r>
        <w:rPr>
          <w:color w:val="231F20"/>
        </w:rPr>
        <w:t>o</w:t>
      </w:r>
      <w:r>
        <w:rPr>
          <w:color w:val="231F20"/>
          <w:spacing w:val="-4"/>
        </w:rPr>
        <w:t> </w:t>
      </w:r>
      <w:r>
        <w:rPr>
          <w:color w:val="231F20"/>
        </w:rPr>
        <w:t>la</w:t>
      </w:r>
      <w:r>
        <w:rPr>
          <w:color w:val="231F20"/>
          <w:spacing w:val="-4"/>
        </w:rPr>
        <w:t> </w:t>
      </w:r>
      <w:r>
        <w:rPr>
          <w:color w:val="231F20"/>
        </w:rPr>
        <w:t>ruptura</w:t>
      </w:r>
      <w:r>
        <w:rPr>
          <w:color w:val="231F20"/>
          <w:spacing w:val="-4"/>
        </w:rPr>
        <w:t> </w:t>
      </w:r>
      <w:r>
        <w:rPr>
          <w:color w:val="231F20"/>
        </w:rPr>
        <w:t>de</w:t>
      </w:r>
      <w:r>
        <w:rPr>
          <w:color w:val="231F20"/>
          <w:spacing w:val="-4"/>
        </w:rPr>
        <w:t> </w:t>
      </w:r>
      <w:r>
        <w:rPr>
          <w:color w:val="231F20"/>
        </w:rPr>
        <w:t>esa</w:t>
      </w:r>
      <w:r>
        <w:rPr>
          <w:color w:val="231F20"/>
          <w:spacing w:val="-4"/>
        </w:rPr>
        <w:t> </w:t>
      </w:r>
      <w:r>
        <w:rPr>
          <w:color w:val="231F20"/>
        </w:rPr>
        <w:t>natural</w:t>
      </w:r>
      <w:r>
        <w:rPr>
          <w:color w:val="231F20"/>
          <w:spacing w:val="-4"/>
        </w:rPr>
        <w:t> </w:t>
      </w:r>
      <w:r>
        <w:rPr>
          <w:color w:val="231F20"/>
        </w:rPr>
        <w:t>división sexual del</w:t>
      </w:r>
      <w:r>
        <w:rPr>
          <w:color w:val="231F20"/>
          <w:spacing w:val="-5"/>
        </w:rPr>
        <w:t> </w:t>
      </w:r>
      <w:r>
        <w:rPr>
          <w:color w:val="231F20"/>
        </w:rPr>
        <w:t>trabajo.</w:t>
      </w:r>
    </w:p>
    <w:p>
      <w:pPr>
        <w:pStyle w:val="BodyText"/>
        <w:spacing w:line="249" w:lineRule="auto" w:before="1"/>
        <w:ind w:left="113" w:right="108" w:firstLine="283"/>
        <w:jc w:val="both"/>
      </w:pPr>
      <w:r>
        <w:rPr>
          <w:color w:val="231F20"/>
        </w:rPr>
        <w:t>En este sentido Sheridan (1991: 76) habla de conciliación entre las actividades productivas y domésticas, y resalta que es evidente que se da, puesto que existe un sector importante de madres que lo hace, sin embargo lo interesante es observar “hasta dónde ésta conciliación es po- sible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marco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condiciones</w:t>
      </w:r>
      <w:r>
        <w:rPr>
          <w:color w:val="231F20"/>
          <w:spacing w:val="-11"/>
        </w:rPr>
        <w:t> </w:t>
      </w:r>
      <w:r>
        <w:rPr>
          <w:color w:val="231F20"/>
        </w:rPr>
        <w:t>particulares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unidad</w:t>
      </w:r>
      <w:r>
        <w:rPr>
          <w:color w:val="231F20"/>
          <w:spacing w:val="-11"/>
        </w:rPr>
        <w:t> </w:t>
      </w:r>
      <w:r>
        <w:rPr>
          <w:color w:val="231F20"/>
        </w:rPr>
        <w:t>doméstica”, esto además, conjugado para esta investigación con un contexto históri- co particular de las mujeres ahora envejecidas. El grupo de mujeres tra- bajadoras remuneradamente lograron esa compatibilidad a pesar de las condiciones precarias de redes o apoyos institucionales, que conforme</w:t>
      </w:r>
      <w:r>
        <w:rPr>
          <w:color w:val="231F20"/>
          <w:spacing w:val="-31"/>
        </w:rPr>
        <w:t> </w:t>
      </w:r>
      <w:r>
        <w:rPr>
          <w:color w:val="231F20"/>
        </w:rPr>
        <w:t>la creación de guarderías, por ejemplo, las utilizaron como sustitución de redes</w:t>
      </w:r>
      <w:r>
        <w:rPr>
          <w:color w:val="231F20"/>
          <w:spacing w:val="-5"/>
        </w:rPr>
        <w:t> </w:t>
      </w:r>
      <w:r>
        <w:rPr>
          <w:color w:val="231F20"/>
        </w:rPr>
        <w:t>“naturales”</w:t>
      </w:r>
      <w:r>
        <w:rPr>
          <w:color w:val="231F20"/>
          <w:spacing w:val="-6"/>
        </w:rPr>
        <w:t> </w:t>
      </w:r>
      <w:r>
        <w:rPr>
          <w:color w:val="231F20"/>
        </w:rPr>
        <w:t>(familiares</w:t>
      </w:r>
      <w:r>
        <w:rPr>
          <w:color w:val="231F20"/>
          <w:spacing w:val="-5"/>
        </w:rPr>
        <w:t> </w:t>
      </w:r>
      <w:r>
        <w:rPr>
          <w:color w:val="231F20"/>
        </w:rPr>
        <w:t>que</w:t>
      </w:r>
      <w:r>
        <w:rPr>
          <w:color w:val="231F20"/>
          <w:spacing w:val="-5"/>
        </w:rPr>
        <w:t> </w:t>
      </w:r>
      <w:r>
        <w:rPr>
          <w:color w:val="231F20"/>
        </w:rPr>
        <w:t>cuidaran</w:t>
      </w:r>
      <w:r>
        <w:rPr>
          <w:color w:val="231F20"/>
          <w:spacing w:val="-6"/>
        </w:rPr>
        <w:t> </w:t>
      </w:r>
      <w:r>
        <w:rPr>
          <w:color w:val="231F20"/>
        </w:rPr>
        <w:t>de</w:t>
      </w:r>
      <w:r>
        <w:rPr>
          <w:color w:val="231F20"/>
          <w:spacing w:val="-5"/>
        </w:rPr>
        <w:t> </w:t>
      </w:r>
      <w:r>
        <w:rPr>
          <w:color w:val="231F20"/>
        </w:rPr>
        <w:t>sus</w:t>
      </w:r>
      <w:r>
        <w:rPr>
          <w:color w:val="231F20"/>
          <w:spacing w:val="-5"/>
        </w:rPr>
        <w:t> </w:t>
      </w:r>
      <w:r>
        <w:rPr>
          <w:color w:val="231F20"/>
        </w:rPr>
        <w:t>hijos)</w:t>
      </w:r>
      <w:r>
        <w:rPr>
          <w:color w:val="231F20"/>
          <w:spacing w:val="-5"/>
        </w:rPr>
        <w:t> </w:t>
      </w:r>
      <w:r>
        <w:rPr>
          <w:color w:val="231F20"/>
        </w:rPr>
        <w:t>e</w:t>
      </w:r>
      <w:r>
        <w:rPr>
          <w:color w:val="231F20"/>
          <w:spacing w:val="-5"/>
        </w:rPr>
        <w:t> </w:t>
      </w:r>
      <w:r>
        <w:rPr>
          <w:color w:val="231F20"/>
        </w:rPr>
        <w:t>hicieron</w:t>
      </w:r>
      <w:r>
        <w:rPr>
          <w:color w:val="231F20"/>
          <w:spacing w:val="-5"/>
        </w:rPr>
        <w:t> </w:t>
      </w:r>
      <w:r>
        <w:rPr>
          <w:color w:val="231F20"/>
        </w:rPr>
        <w:t>uso</w:t>
      </w:r>
      <w:r>
        <w:rPr>
          <w:color w:val="231F20"/>
          <w:spacing w:val="-5"/>
        </w:rPr>
        <w:t> </w:t>
      </w:r>
      <w:r>
        <w:rPr>
          <w:color w:val="231F20"/>
        </w:rPr>
        <w:t>de nuevas formas de cubrir esas</w:t>
      </w:r>
      <w:r>
        <w:rPr>
          <w:color w:val="231F20"/>
          <w:spacing w:val="-2"/>
        </w:rPr>
        <w:t> </w:t>
      </w:r>
      <w:r>
        <w:rPr>
          <w:color w:val="231F20"/>
        </w:rPr>
        <w:t>redes.</w:t>
      </w:r>
    </w:p>
    <w:p>
      <w:pPr>
        <w:pStyle w:val="BodyText"/>
        <w:spacing w:line="249" w:lineRule="auto" w:before="1"/>
        <w:ind w:left="113" w:right="107" w:firstLine="283"/>
        <w:jc w:val="both"/>
      </w:pPr>
      <w:r>
        <w:rPr>
          <w:color w:val="231F20"/>
        </w:rPr>
        <w:t>Para De Riz (1989: 18) existen dos mitos esenciales sobre lo</w:t>
      </w:r>
      <w:r>
        <w:rPr>
          <w:color w:val="231F20"/>
          <w:spacing w:val="-31"/>
        </w:rPr>
        <w:t> </w:t>
      </w:r>
      <w:r>
        <w:rPr>
          <w:color w:val="231F20"/>
        </w:rPr>
        <w:t>femeni- no:</w:t>
      </w:r>
      <w:r>
        <w:rPr>
          <w:color w:val="231F20"/>
          <w:spacing w:val="-5"/>
        </w:rPr>
        <w:t> </w:t>
      </w:r>
      <w:r>
        <w:rPr>
          <w:color w:val="231F20"/>
        </w:rPr>
        <w:t>el</w:t>
      </w:r>
      <w:r>
        <w:rPr>
          <w:color w:val="231F20"/>
          <w:spacing w:val="-5"/>
        </w:rPr>
        <w:t> </w:t>
      </w:r>
      <w:r>
        <w:rPr>
          <w:color w:val="231F20"/>
        </w:rPr>
        <w:t>primero</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considerar</w:t>
      </w:r>
      <w:r>
        <w:rPr>
          <w:color w:val="231F20"/>
          <w:spacing w:val="-6"/>
        </w:rPr>
        <w:t> </w:t>
      </w:r>
      <w:r>
        <w:rPr>
          <w:color w:val="231F20"/>
        </w:rPr>
        <w:t>como</w:t>
      </w:r>
      <w:r>
        <w:rPr>
          <w:color w:val="231F20"/>
          <w:spacing w:val="-5"/>
        </w:rPr>
        <w:t> </w:t>
      </w:r>
      <w:r>
        <w:rPr>
          <w:color w:val="231F20"/>
        </w:rPr>
        <w:t>el</w:t>
      </w:r>
      <w:r>
        <w:rPr>
          <w:color w:val="231F20"/>
          <w:spacing w:val="-5"/>
        </w:rPr>
        <w:t> </w:t>
      </w:r>
      <w:r>
        <w:rPr>
          <w:i/>
          <w:color w:val="231F20"/>
        </w:rPr>
        <w:t>tradicional</w:t>
      </w:r>
      <w:r>
        <w:rPr>
          <w:color w:val="231F20"/>
        </w:rPr>
        <w:t>,</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recalca</w:t>
      </w:r>
      <w:r>
        <w:rPr>
          <w:color w:val="231F20"/>
          <w:spacing w:val="-5"/>
        </w:rPr>
        <w:t> </w:t>
      </w:r>
      <w:r>
        <w:rPr>
          <w:color w:val="231F20"/>
        </w:rPr>
        <w:t>la debilidad de la mujer frente al hombre, la obediencia, la pasividad, esos atributos</w:t>
      </w:r>
      <w:r>
        <w:rPr>
          <w:color w:val="231F20"/>
          <w:spacing w:val="-7"/>
        </w:rPr>
        <w:t> </w:t>
      </w:r>
      <w:r>
        <w:rPr>
          <w:color w:val="231F20"/>
        </w:rPr>
        <w:t>que</w:t>
      </w:r>
      <w:r>
        <w:rPr>
          <w:color w:val="231F20"/>
          <w:spacing w:val="-6"/>
        </w:rPr>
        <w:t> </w:t>
      </w:r>
      <w:r>
        <w:rPr>
          <w:color w:val="231F20"/>
        </w:rPr>
        <w:t>Marcuse</w:t>
      </w:r>
      <w:r>
        <w:rPr>
          <w:color w:val="231F20"/>
          <w:spacing w:val="-6"/>
        </w:rPr>
        <w:t> </w:t>
      </w:r>
      <w:r>
        <w:rPr>
          <w:color w:val="231F20"/>
        </w:rPr>
        <w:t>daba</w:t>
      </w:r>
      <w:r>
        <w:rPr>
          <w:color w:val="231F20"/>
          <w:spacing w:val="-6"/>
        </w:rPr>
        <w:t> </w:t>
      </w:r>
      <w:r>
        <w:rPr>
          <w:color w:val="231F20"/>
        </w:rPr>
        <w:t>a</w:t>
      </w:r>
      <w:r>
        <w:rPr>
          <w:color w:val="231F20"/>
          <w:spacing w:val="-6"/>
        </w:rPr>
        <w:t> </w:t>
      </w:r>
      <w:r>
        <w:rPr>
          <w:color w:val="231F20"/>
        </w:rPr>
        <w:t>lo</w:t>
      </w:r>
      <w:r>
        <w:rPr>
          <w:color w:val="231F20"/>
          <w:spacing w:val="-7"/>
        </w:rPr>
        <w:t> </w:t>
      </w:r>
      <w:r>
        <w:rPr>
          <w:color w:val="231F20"/>
        </w:rPr>
        <w:t>femenino</w:t>
      </w:r>
      <w:r>
        <w:rPr>
          <w:color w:val="231F20"/>
          <w:spacing w:val="-7"/>
        </w:rPr>
        <w:t> </w:t>
      </w:r>
      <w:r>
        <w:rPr>
          <w:color w:val="231F20"/>
        </w:rPr>
        <w:t>y</w:t>
      </w:r>
      <w:r>
        <w:rPr>
          <w:color w:val="231F20"/>
          <w:spacing w:val="-6"/>
        </w:rPr>
        <w:t> </w:t>
      </w:r>
      <w:r>
        <w:rPr>
          <w:color w:val="231F20"/>
        </w:rPr>
        <w:t>que</w:t>
      </w:r>
      <w:r>
        <w:rPr>
          <w:color w:val="231F20"/>
          <w:spacing w:val="-6"/>
        </w:rPr>
        <w:t> </w:t>
      </w:r>
      <w:r>
        <w:rPr>
          <w:color w:val="231F20"/>
        </w:rPr>
        <w:t>resaltaba</w:t>
      </w:r>
      <w:r>
        <w:rPr>
          <w:color w:val="231F20"/>
          <w:spacing w:val="-6"/>
        </w:rPr>
        <w:t> </w:t>
      </w:r>
      <w:r>
        <w:rPr>
          <w:color w:val="231F20"/>
        </w:rPr>
        <w:t>no</w:t>
      </w:r>
      <w:r>
        <w:rPr>
          <w:color w:val="231F20"/>
          <w:spacing w:val="-6"/>
        </w:rPr>
        <w:t> </w:t>
      </w:r>
      <w:r>
        <w:rPr>
          <w:color w:val="231F20"/>
        </w:rPr>
        <w:t>como</w:t>
      </w:r>
      <w:r>
        <w:rPr>
          <w:color w:val="231F20"/>
          <w:spacing w:val="-7"/>
        </w:rPr>
        <w:t> </w:t>
      </w:r>
      <w:r>
        <w:rPr>
          <w:color w:val="231F20"/>
        </w:rPr>
        <w:t>nega- tivos sino por el contrario, como condiciones positivas, sin embargo, en este mito tradicional que menciona De Riz no se aprecian así. El segun- do, al que podemos denominar </w:t>
      </w:r>
      <w:r>
        <w:rPr>
          <w:i/>
          <w:color w:val="231F20"/>
        </w:rPr>
        <w:t>moderno</w:t>
      </w:r>
      <w:r>
        <w:rPr>
          <w:color w:val="231F20"/>
        </w:rPr>
        <w:t>, insiste en la mujer segura de sí misma,</w:t>
      </w:r>
      <w:r>
        <w:rPr>
          <w:color w:val="231F20"/>
          <w:spacing w:val="-7"/>
        </w:rPr>
        <w:t> </w:t>
      </w:r>
      <w:r>
        <w:rPr>
          <w:color w:val="231F20"/>
        </w:rPr>
        <w:t>activa</w:t>
      </w:r>
      <w:r>
        <w:rPr>
          <w:color w:val="231F20"/>
          <w:spacing w:val="-7"/>
        </w:rPr>
        <w:t> </w:t>
      </w:r>
      <w:r>
        <w:rPr>
          <w:color w:val="231F20"/>
        </w:rPr>
        <w:t>e</w:t>
      </w:r>
      <w:r>
        <w:rPr>
          <w:color w:val="231F20"/>
          <w:spacing w:val="-7"/>
        </w:rPr>
        <w:t> </w:t>
      </w:r>
      <w:r>
        <w:rPr>
          <w:color w:val="231F20"/>
        </w:rPr>
        <w:t>independiente.</w:t>
      </w:r>
      <w:r>
        <w:rPr>
          <w:color w:val="231F20"/>
          <w:spacing w:val="-8"/>
        </w:rPr>
        <w:t> </w:t>
      </w:r>
      <w:r>
        <w:rPr>
          <w:color w:val="231F20"/>
        </w:rPr>
        <w:t>Si</w:t>
      </w:r>
      <w:r>
        <w:rPr>
          <w:color w:val="231F20"/>
          <w:spacing w:val="-7"/>
        </w:rPr>
        <w:t> </w:t>
      </w:r>
      <w:r>
        <w:rPr>
          <w:color w:val="231F20"/>
        </w:rPr>
        <w:t>bien</w:t>
      </w:r>
      <w:r>
        <w:rPr>
          <w:color w:val="231F20"/>
          <w:spacing w:val="-7"/>
        </w:rPr>
        <w:t> </w:t>
      </w:r>
      <w:r>
        <w:rPr>
          <w:color w:val="231F20"/>
        </w:rPr>
        <w:t>ambos</w:t>
      </w:r>
      <w:r>
        <w:rPr>
          <w:color w:val="231F20"/>
          <w:spacing w:val="-7"/>
        </w:rPr>
        <w:t> </w:t>
      </w:r>
      <w:r>
        <w:rPr>
          <w:color w:val="231F20"/>
        </w:rPr>
        <w:t>“mitos”,</w:t>
      </w:r>
      <w:r>
        <w:rPr>
          <w:color w:val="231F20"/>
          <w:spacing w:val="-7"/>
        </w:rPr>
        <w:t> </w:t>
      </w:r>
      <w:r>
        <w:rPr>
          <w:color w:val="231F20"/>
        </w:rPr>
        <w:t>como</w:t>
      </w:r>
      <w:r>
        <w:rPr>
          <w:color w:val="231F20"/>
          <w:spacing w:val="-7"/>
        </w:rPr>
        <w:t> </w:t>
      </w:r>
      <w:r>
        <w:rPr>
          <w:color w:val="231F20"/>
        </w:rPr>
        <w:t>los</w:t>
      </w:r>
      <w:r>
        <w:rPr>
          <w:color w:val="231F20"/>
          <w:spacing w:val="-7"/>
        </w:rPr>
        <w:t> </w:t>
      </w:r>
      <w:r>
        <w:rPr>
          <w:color w:val="231F20"/>
        </w:rPr>
        <w:t>llama</w:t>
      </w:r>
      <w:r>
        <w:rPr>
          <w:color w:val="231F20"/>
          <w:spacing w:val="-7"/>
        </w:rPr>
        <w:t> </w:t>
      </w:r>
      <w:r>
        <w:rPr>
          <w:color w:val="231F20"/>
        </w:rPr>
        <w:t>la autora son vigentes, se han construido en diferentes épocas y contextos socioculturales,</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observan</w:t>
      </w:r>
      <w:r>
        <w:rPr>
          <w:color w:val="231F20"/>
          <w:spacing w:val="-10"/>
        </w:rPr>
        <w:t> </w:t>
      </w:r>
      <w:r>
        <w:rPr>
          <w:color w:val="231F20"/>
        </w:rPr>
        <w:t>en</w:t>
      </w:r>
      <w:r>
        <w:rPr>
          <w:color w:val="231F20"/>
          <w:spacing w:val="-11"/>
        </w:rPr>
        <w:t> </w:t>
      </w:r>
      <w:r>
        <w:rPr>
          <w:color w:val="231F20"/>
        </w:rPr>
        <w:t>los</w:t>
      </w:r>
      <w:r>
        <w:rPr>
          <w:color w:val="231F20"/>
          <w:spacing w:val="-11"/>
        </w:rPr>
        <w:t> </w:t>
      </w:r>
      <w:r>
        <w:rPr>
          <w:color w:val="231F20"/>
        </w:rPr>
        <w:t>dos</w:t>
      </w:r>
      <w:r>
        <w:rPr>
          <w:color w:val="231F20"/>
          <w:spacing w:val="-11"/>
        </w:rPr>
        <w:t> </w:t>
      </w:r>
      <w:r>
        <w:rPr>
          <w:color w:val="231F20"/>
        </w:rPr>
        <w:t>grupos</w:t>
      </w:r>
      <w:r>
        <w:rPr>
          <w:color w:val="231F20"/>
          <w:spacing w:val="-11"/>
        </w:rPr>
        <w:t> </w:t>
      </w:r>
      <w:r>
        <w:rPr>
          <w:color w:val="231F20"/>
        </w:rPr>
        <w:t>de</w:t>
      </w:r>
      <w:r>
        <w:rPr>
          <w:color w:val="231F20"/>
          <w:spacing w:val="-10"/>
        </w:rPr>
        <w:t> </w:t>
      </w:r>
      <w:r>
        <w:rPr>
          <w:color w:val="231F20"/>
        </w:rPr>
        <w:t>mujeres</w:t>
      </w:r>
      <w:r>
        <w:rPr>
          <w:color w:val="231F20"/>
          <w:spacing w:val="-11"/>
        </w:rPr>
        <w:t> </w:t>
      </w:r>
      <w:r>
        <w:rPr>
          <w:color w:val="231F20"/>
        </w:rPr>
        <w:t>ambos</w:t>
      </w:r>
      <w:r>
        <w:rPr>
          <w:color w:val="231F20"/>
          <w:spacing w:val="-11"/>
        </w:rPr>
        <w:t> </w:t>
      </w:r>
      <w:r>
        <w:rPr>
          <w:color w:val="231F20"/>
        </w:rPr>
        <w:t>mitos, de manera que estas construcciones teóricas ya eran evidentes</w:t>
      </w:r>
      <w:r>
        <w:rPr>
          <w:color w:val="231F20"/>
          <w:spacing w:val="6"/>
        </w:rPr>
        <w:t> </w:t>
      </w:r>
      <w:r>
        <w:rPr>
          <w:color w:val="231F20"/>
        </w:rPr>
        <w:t>empírica-</w:t>
      </w:r>
    </w:p>
    <w:p>
      <w:pPr>
        <w:spacing w:after="0" w:line="249" w:lineRule="auto"/>
        <w:jc w:val="both"/>
        <w:sectPr>
          <w:footerReference w:type="default" r:id="rId281"/>
          <w:pgSz w:w="7770" w:h="11740"/>
          <w:pgMar w:footer="474" w:header="0" w:top="840" w:bottom="660" w:left="1020" w:right="740"/>
          <w:pgNumType w:start="271"/>
        </w:sectPr>
      </w:pPr>
    </w:p>
    <w:p>
      <w:pPr>
        <w:pStyle w:val="BodyText"/>
        <w:spacing w:line="249" w:lineRule="auto" w:before="60"/>
        <w:ind w:left="110"/>
      </w:pPr>
      <w:r>
        <w:rPr>
          <w:color w:val="231F20"/>
        </w:rPr>
        <w:t>mente con las mujeres trabajadoras de las décadas de 1960 y 1970 cam- biaban la historia de la mujer en México en esos momentos.</w:t>
      </w:r>
    </w:p>
    <w:p>
      <w:pPr>
        <w:pStyle w:val="BodyText"/>
        <w:spacing w:line="249" w:lineRule="auto" w:before="1"/>
        <w:ind w:left="110" w:right="111" w:firstLine="283"/>
        <w:jc w:val="both"/>
      </w:pPr>
      <w:r>
        <w:rPr>
          <w:color w:val="231F20"/>
        </w:rPr>
        <w:t>Se</w:t>
      </w:r>
      <w:r>
        <w:rPr>
          <w:color w:val="231F20"/>
          <w:spacing w:val="-4"/>
        </w:rPr>
        <w:t> </w:t>
      </w:r>
      <w:r>
        <w:rPr>
          <w:color w:val="231F20"/>
        </w:rPr>
        <w:t>puede</w:t>
      </w:r>
      <w:r>
        <w:rPr>
          <w:color w:val="231F20"/>
          <w:spacing w:val="-4"/>
        </w:rPr>
        <w:t> </w:t>
      </w:r>
      <w:r>
        <w:rPr>
          <w:color w:val="231F20"/>
        </w:rPr>
        <w:t>afirmar</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trayectoria</w:t>
      </w:r>
      <w:r>
        <w:rPr>
          <w:color w:val="231F20"/>
          <w:spacing w:val="-4"/>
        </w:rPr>
        <w:t> </w:t>
      </w:r>
      <w:r>
        <w:rPr>
          <w:color w:val="231F20"/>
        </w:rPr>
        <w:t>laboral</w:t>
      </w:r>
      <w:r>
        <w:rPr>
          <w:color w:val="231F20"/>
          <w:spacing w:val="-4"/>
        </w:rPr>
        <w:t> </w:t>
      </w:r>
      <w:r>
        <w:rPr>
          <w:color w:val="231F20"/>
        </w:rPr>
        <w:t>se</w:t>
      </w:r>
      <w:r>
        <w:rPr>
          <w:color w:val="231F20"/>
          <w:spacing w:val="-4"/>
        </w:rPr>
        <w:t> </w:t>
      </w:r>
      <w:r>
        <w:rPr>
          <w:color w:val="231F20"/>
        </w:rPr>
        <w:t>presenta</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mujeres como un elemento determinante en el proceso de envejecimiento sobre todo en estas mujeres que pudieron insertarse en el sistema de la</w:t>
      </w:r>
      <w:r>
        <w:rPr>
          <w:color w:val="231F20"/>
          <w:spacing w:val="-23"/>
        </w:rPr>
        <w:t> </w:t>
      </w:r>
      <w:r>
        <w:rPr>
          <w:color w:val="231F20"/>
        </w:rPr>
        <w:t>Seguri- dad Social, donde les aseguró un ingreso, por mínimo que fuera,</w:t>
      </w:r>
      <w:r>
        <w:rPr>
          <w:color w:val="231F20"/>
          <w:spacing w:val="-28"/>
        </w:rPr>
        <w:t> </w:t>
      </w:r>
      <w:r>
        <w:rPr>
          <w:color w:val="231F20"/>
        </w:rPr>
        <w:t>durante su etapa de vejez, sin embargo es importante mencionar a aquellas que no</w:t>
      </w:r>
      <w:r>
        <w:rPr>
          <w:color w:val="231F20"/>
          <w:spacing w:val="-5"/>
        </w:rPr>
        <w:t> </w:t>
      </w:r>
      <w:r>
        <w:rPr>
          <w:color w:val="231F20"/>
        </w:rPr>
        <w:t>obtuvieron</w:t>
      </w:r>
      <w:r>
        <w:rPr>
          <w:color w:val="231F20"/>
          <w:spacing w:val="-5"/>
        </w:rPr>
        <w:t> </w:t>
      </w:r>
      <w:r>
        <w:rPr>
          <w:color w:val="231F20"/>
        </w:rPr>
        <w:t>el</w:t>
      </w:r>
      <w:r>
        <w:rPr>
          <w:color w:val="231F20"/>
          <w:spacing w:val="-5"/>
        </w:rPr>
        <w:t> </w:t>
      </w:r>
      <w:r>
        <w:rPr>
          <w:color w:val="231F20"/>
        </w:rPr>
        <w:t>beneficio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pensión</w:t>
      </w:r>
      <w:r>
        <w:rPr>
          <w:color w:val="231F20"/>
          <w:spacing w:val="-5"/>
        </w:rPr>
        <w:t> </w:t>
      </w:r>
      <w:r>
        <w:rPr>
          <w:color w:val="231F20"/>
        </w:rPr>
        <w:t>por</w:t>
      </w:r>
      <w:r>
        <w:rPr>
          <w:color w:val="231F20"/>
          <w:spacing w:val="-5"/>
        </w:rPr>
        <w:t> </w:t>
      </w:r>
      <w:r>
        <w:rPr>
          <w:color w:val="231F20"/>
        </w:rPr>
        <w:t>méritos</w:t>
      </w:r>
      <w:r>
        <w:rPr>
          <w:color w:val="231F20"/>
          <w:spacing w:val="-5"/>
        </w:rPr>
        <w:t> </w:t>
      </w:r>
      <w:r>
        <w:rPr>
          <w:color w:val="231F20"/>
        </w:rPr>
        <w:t>propios,</w:t>
      </w:r>
      <w:r>
        <w:rPr>
          <w:color w:val="231F20"/>
          <w:spacing w:val="-5"/>
        </w:rPr>
        <w:t> </w:t>
      </w:r>
      <w:r>
        <w:rPr>
          <w:color w:val="231F20"/>
        </w:rPr>
        <w:t>pero</w:t>
      </w:r>
      <w:r>
        <w:rPr>
          <w:color w:val="231F20"/>
          <w:spacing w:val="-5"/>
        </w:rPr>
        <w:t> </w:t>
      </w:r>
      <w:r>
        <w:rPr>
          <w:color w:val="231F20"/>
        </w:rPr>
        <w:t>que</w:t>
      </w:r>
      <w:r>
        <w:rPr>
          <w:color w:val="231F20"/>
          <w:spacing w:val="-5"/>
        </w:rPr>
        <w:t> </w:t>
      </w:r>
      <w:r>
        <w:rPr>
          <w:color w:val="231F20"/>
        </w:rPr>
        <w:t>es sobresaliente como, tanto las pensionadas como las que no lo están pero que trabajaron remuneradamente por más de 15 años, construyen una vejez</w:t>
      </w:r>
      <w:r>
        <w:rPr>
          <w:color w:val="231F20"/>
          <w:spacing w:val="-8"/>
        </w:rPr>
        <w:t> </w:t>
      </w:r>
      <w:r>
        <w:rPr>
          <w:color w:val="231F20"/>
        </w:rPr>
        <w:t>diferente</w:t>
      </w:r>
      <w:r>
        <w:rPr>
          <w:color w:val="231F20"/>
          <w:spacing w:val="-8"/>
        </w:rPr>
        <w:t> </w:t>
      </w:r>
      <w:r>
        <w:rPr>
          <w:color w:val="231F20"/>
        </w:rPr>
        <w:t>al</w:t>
      </w:r>
      <w:r>
        <w:rPr>
          <w:color w:val="231F20"/>
          <w:spacing w:val="-8"/>
        </w:rPr>
        <w:t> </w:t>
      </w:r>
      <w:r>
        <w:rPr>
          <w:color w:val="231F20"/>
        </w:rPr>
        <w:t>invertir</w:t>
      </w:r>
      <w:r>
        <w:rPr>
          <w:color w:val="231F20"/>
          <w:spacing w:val="-8"/>
        </w:rPr>
        <w:t> </w:t>
      </w:r>
      <w:r>
        <w:rPr>
          <w:color w:val="231F20"/>
        </w:rPr>
        <w:t>su</w:t>
      </w:r>
      <w:r>
        <w:rPr>
          <w:color w:val="231F20"/>
          <w:spacing w:val="-8"/>
        </w:rPr>
        <w:t> </w:t>
      </w:r>
      <w:r>
        <w:rPr>
          <w:color w:val="231F20"/>
        </w:rPr>
        <w:t>dinero</w:t>
      </w:r>
      <w:r>
        <w:rPr>
          <w:color w:val="231F20"/>
          <w:spacing w:val="-8"/>
        </w:rPr>
        <w:t> </w:t>
      </w:r>
      <w:r>
        <w:rPr>
          <w:color w:val="231F20"/>
        </w:rPr>
        <w:t>en</w:t>
      </w:r>
      <w:r>
        <w:rPr>
          <w:color w:val="231F20"/>
          <w:spacing w:val="-8"/>
        </w:rPr>
        <w:t> </w:t>
      </w:r>
      <w:r>
        <w:rPr>
          <w:color w:val="231F20"/>
        </w:rPr>
        <w:t>edad</w:t>
      </w:r>
      <w:r>
        <w:rPr>
          <w:color w:val="231F20"/>
          <w:spacing w:val="-8"/>
        </w:rPr>
        <w:t> </w:t>
      </w:r>
      <w:r>
        <w:rPr>
          <w:color w:val="231F20"/>
        </w:rPr>
        <w:t>temprana,</w:t>
      </w:r>
      <w:r>
        <w:rPr>
          <w:color w:val="231F20"/>
          <w:spacing w:val="-8"/>
        </w:rPr>
        <w:t> </w:t>
      </w:r>
      <w:r>
        <w:rPr>
          <w:color w:val="231F20"/>
        </w:rPr>
        <w:t>como</w:t>
      </w:r>
      <w:r>
        <w:rPr>
          <w:color w:val="231F20"/>
          <w:spacing w:val="-8"/>
        </w:rPr>
        <w:t> </w:t>
      </w:r>
      <w:r>
        <w:rPr>
          <w:color w:val="231F20"/>
        </w:rPr>
        <w:t>puede</w:t>
      </w:r>
      <w:r>
        <w:rPr>
          <w:color w:val="231F20"/>
          <w:spacing w:val="-8"/>
        </w:rPr>
        <w:t> </w:t>
      </w:r>
      <w:r>
        <w:rPr>
          <w:color w:val="231F20"/>
        </w:rPr>
        <w:t>ser</w:t>
      </w:r>
      <w:r>
        <w:rPr>
          <w:color w:val="231F20"/>
          <w:spacing w:val="-8"/>
        </w:rPr>
        <w:t> </w:t>
      </w:r>
      <w:r>
        <w:rPr>
          <w:color w:val="231F20"/>
        </w:rPr>
        <w:t>en bienes raíces, y así obtener fuentes de ingreso para la</w:t>
      </w:r>
      <w:r>
        <w:rPr>
          <w:color w:val="231F20"/>
          <w:spacing w:val="-3"/>
        </w:rPr>
        <w:t> </w:t>
      </w:r>
      <w:r>
        <w:rPr>
          <w:color w:val="231F20"/>
        </w:rPr>
        <w:t>vejez.</w:t>
      </w:r>
    </w:p>
    <w:p>
      <w:pPr>
        <w:pStyle w:val="BodyText"/>
        <w:spacing w:line="249" w:lineRule="auto" w:before="1"/>
        <w:ind w:left="110" w:right="111" w:firstLine="283"/>
        <w:jc w:val="both"/>
      </w:pPr>
      <w:r>
        <w:rPr>
          <w:color w:val="231F20"/>
        </w:rPr>
        <w:t>El</w:t>
      </w:r>
      <w:r>
        <w:rPr>
          <w:color w:val="231F20"/>
          <w:spacing w:val="-6"/>
        </w:rPr>
        <w:t> </w:t>
      </w:r>
      <w:r>
        <w:rPr>
          <w:color w:val="231F20"/>
        </w:rPr>
        <w:t>grupo</w:t>
      </w:r>
      <w:r>
        <w:rPr>
          <w:color w:val="231F20"/>
          <w:spacing w:val="-6"/>
        </w:rPr>
        <w:t> </w:t>
      </w:r>
      <w:r>
        <w:rPr>
          <w:color w:val="231F20"/>
        </w:rPr>
        <w:t>testigo</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caso</w:t>
      </w:r>
      <w:r>
        <w:rPr>
          <w:color w:val="231F20"/>
          <w:spacing w:val="-6"/>
        </w:rPr>
        <w:t> </w:t>
      </w:r>
      <w:r>
        <w:rPr>
          <w:color w:val="231F20"/>
        </w:rPr>
        <w:t>muestra</w:t>
      </w:r>
      <w:r>
        <w:rPr>
          <w:color w:val="231F20"/>
          <w:spacing w:val="-6"/>
        </w:rPr>
        <w:t> </w:t>
      </w:r>
      <w:r>
        <w:rPr>
          <w:color w:val="231F20"/>
        </w:rPr>
        <w:t>la</w:t>
      </w:r>
      <w:r>
        <w:rPr>
          <w:color w:val="231F20"/>
          <w:spacing w:val="-6"/>
        </w:rPr>
        <w:t> </w:t>
      </w:r>
      <w:r>
        <w:rPr>
          <w:color w:val="231F20"/>
        </w:rPr>
        <w:t>manera</w:t>
      </w:r>
      <w:r>
        <w:rPr>
          <w:color w:val="231F20"/>
          <w:spacing w:val="-6"/>
        </w:rPr>
        <w:t> </w:t>
      </w:r>
      <w:r>
        <w:rPr>
          <w:color w:val="231F20"/>
        </w:rPr>
        <w:t>limitada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recur- sos</w:t>
      </w:r>
      <w:r>
        <w:rPr>
          <w:color w:val="231F20"/>
          <w:spacing w:val="-4"/>
        </w:rPr>
        <w:t> </w:t>
      </w:r>
      <w:r>
        <w:rPr>
          <w:color w:val="231F20"/>
        </w:rPr>
        <w:t>donde</w:t>
      </w:r>
      <w:r>
        <w:rPr>
          <w:color w:val="231F20"/>
          <w:spacing w:val="-4"/>
        </w:rPr>
        <w:t> </w:t>
      </w:r>
      <w:r>
        <w:rPr>
          <w:color w:val="231F20"/>
        </w:rPr>
        <w:t>la</w:t>
      </w:r>
      <w:r>
        <w:rPr>
          <w:color w:val="231F20"/>
          <w:spacing w:val="-4"/>
        </w:rPr>
        <w:t> </w:t>
      </w:r>
      <w:r>
        <w:rPr>
          <w:color w:val="231F20"/>
        </w:rPr>
        <w:t>vejez</w:t>
      </w:r>
      <w:r>
        <w:rPr>
          <w:color w:val="231F20"/>
          <w:spacing w:val="-4"/>
        </w:rPr>
        <w:t> </w:t>
      </w:r>
      <w:r>
        <w:rPr>
          <w:color w:val="231F20"/>
        </w:rPr>
        <w:t>sustentable</w:t>
      </w:r>
      <w:r>
        <w:rPr>
          <w:color w:val="231F20"/>
          <w:spacing w:val="-4"/>
        </w:rPr>
        <w:t> </w:t>
      </w:r>
      <w:r>
        <w:rPr>
          <w:color w:val="231F20"/>
        </w:rPr>
        <w:t>resulta</w:t>
      </w:r>
      <w:r>
        <w:rPr>
          <w:color w:val="231F20"/>
          <w:spacing w:val="-4"/>
        </w:rPr>
        <w:t> </w:t>
      </w:r>
      <w:r>
        <w:rPr>
          <w:color w:val="231F20"/>
        </w:rPr>
        <w:t>difícil</w:t>
      </w:r>
      <w:r>
        <w:rPr>
          <w:color w:val="231F20"/>
          <w:spacing w:val="-4"/>
        </w:rPr>
        <w:t> </w:t>
      </w:r>
      <w:r>
        <w:rPr>
          <w:color w:val="231F20"/>
        </w:rPr>
        <w:t>a</w:t>
      </w:r>
      <w:r>
        <w:rPr>
          <w:color w:val="231F20"/>
          <w:spacing w:val="-4"/>
        </w:rPr>
        <w:t> </w:t>
      </w:r>
      <w:r>
        <w:rPr>
          <w:color w:val="231F20"/>
        </w:rPr>
        <w:t>no</w:t>
      </w:r>
      <w:r>
        <w:rPr>
          <w:color w:val="231F20"/>
          <w:spacing w:val="-4"/>
        </w:rPr>
        <w:t> </w:t>
      </w:r>
      <w:r>
        <w:rPr>
          <w:color w:val="231F20"/>
        </w:rPr>
        <w:t>ser</w:t>
      </w:r>
      <w:r>
        <w:rPr>
          <w:color w:val="231F20"/>
          <w:spacing w:val="-4"/>
        </w:rPr>
        <w:t> </w:t>
      </w:r>
      <w:r>
        <w:rPr>
          <w:color w:val="231F20"/>
        </w:rPr>
        <w:t>de</w:t>
      </w:r>
      <w:r>
        <w:rPr>
          <w:color w:val="231F20"/>
          <w:spacing w:val="-4"/>
        </w:rPr>
        <w:t> </w:t>
      </w:r>
      <w:r>
        <w:rPr>
          <w:color w:val="231F20"/>
        </w:rPr>
        <w:t>cumplir</w:t>
      </w:r>
      <w:r>
        <w:rPr>
          <w:color w:val="231F20"/>
          <w:spacing w:val="-4"/>
        </w:rPr>
        <w:t> </w:t>
      </w:r>
      <w:r>
        <w:rPr>
          <w:color w:val="231F20"/>
        </w:rPr>
        <w:t>los</w:t>
      </w:r>
      <w:r>
        <w:rPr>
          <w:color w:val="231F20"/>
          <w:spacing w:val="-4"/>
        </w:rPr>
        <w:t> </w:t>
      </w:r>
      <w:r>
        <w:rPr>
          <w:color w:val="231F20"/>
        </w:rPr>
        <w:t>roles que socialmente se consideran como tradicionales, es decir, ser</w:t>
      </w:r>
      <w:r>
        <w:rPr>
          <w:color w:val="231F20"/>
          <w:spacing w:val="-30"/>
        </w:rPr>
        <w:t> </w:t>
      </w:r>
      <w:r>
        <w:rPr>
          <w:color w:val="231F20"/>
        </w:rPr>
        <w:t>cuidado- ra de nietos, postergando de esta manera el retiro, ya que las actividades cotidianas que realizaron durante toda su vida se prolongan a pesar de que esas mujeres buscan que en su seno familiar se les reconozca como envejecidas,</w:t>
      </w:r>
      <w:r>
        <w:rPr>
          <w:color w:val="231F20"/>
          <w:spacing w:val="-13"/>
        </w:rPr>
        <w:t> </w:t>
      </w:r>
      <w:r>
        <w:rPr>
          <w:color w:val="231F20"/>
        </w:rPr>
        <w:t>obteniendo</w:t>
      </w:r>
      <w:r>
        <w:rPr>
          <w:color w:val="231F20"/>
          <w:spacing w:val="-13"/>
        </w:rPr>
        <w:t> </w:t>
      </w:r>
      <w:r>
        <w:rPr>
          <w:color w:val="231F20"/>
        </w:rPr>
        <w:t>de</w:t>
      </w:r>
      <w:r>
        <w:rPr>
          <w:color w:val="231F20"/>
          <w:spacing w:val="-13"/>
        </w:rPr>
        <w:t> </w:t>
      </w:r>
      <w:r>
        <w:rPr>
          <w:color w:val="231F20"/>
        </w:rPr>
        <w:t>esa</w:t>
      </w:r>
      <w:r>
        <w:rPr>
          <w:color w:val="231F20"/>
          <w:spacing w:val="-13"/>
        </w:rPr>
        <w:t> </w:t>
      </w:r>
      <w:r>
        <w:rPr>
          <w:color w:val="231F20"/>
        </w:rPr>
        <w:t>manera</w:t>
      </w:r>
      <w:r>
        <w:rPr>
          <w:color w:val="231F20"/>
          <w:spacing w:val="-13"/>
        </w:rPr>
        <w:t> </w:t>
      </w:r>
      <w:r>
        <w:rPr>
          <w:color w:val="231F20"/>
        </w:rPr>
        <w:t>un</w:t>
      </w:r>
      <w:r>
        <w:rPr>
          <w:color w:val="231F20"/>
          <w:spacing w:val="-13"/>
        </w:rPr>
        <w:t> </w:t>
      </w:r>
      <w:r>
        <w:rPr>
          <w:color w:val="231F20"/>
        </w:rPr>
        <w:t>rol</w:t>
      </w:r>
      <w:r>
        <w:rPr>
          <w:color w:val="231F20"/>
          <w:spacing w:val="-13"/>
        </w:rPr>
        <w:t> </w:t>
      </w:r>
      <w:r>
        <w:rPr>
          <w:color w:val="231F20"/>
        </w:rPr>
        <w:t>diferente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hogar,</w:t>
      </w:r>
      <w:r>
        <w:rPr>
          <w:color w:val="231F20"/>
          <w:spacing w:val="-13"/>
        </w:rPr>
        <w:t> </w:t>
      </w:r>
      <w:r>
        <w:rPr>
          <w:color w:val="231F20"/>
        </w:rPr>
        <w:t>donde reciba ayudas (materiales e inmateriales) de los miembros de su</w:t>
      </w:r>
      <w:r>
        <w:rPr>
          <w:color w:val="231F20"/>
          <w:spacing w:val="-5"/>
        </w:rPr>
        <w:t> </w:t>
      </w:r>
      <w:r>
        <w:rPr>
          <w:color w:val="231F20"/>
        </w:rPr>
        <w:t>grupo.</w:t>
      </w:r>
    </w:p>
    <w:p>
      <w:pPr>
        <w:pStyle w:val="BodyText"/>
        <w:spacing w:line="249" w:lineRule="auto" w:before="1"/>
        <w:ind w:left="110" w:right="111" w:firstLine="283"/>
        <w:jc w:val="both"/>
      </w:pPr>
      <w:r>
        <w:rPr>
          <w:color w:val="231F20"/>
        </w:rPr>
        <w:t>Es así que este trabajo no habla de disolución de la familia, habla de cambios estructurales en las nuevas formas de hacer familia y que ade- más no son recientes, no son de los años setenta o los ochenta, como se ha</w:t>
      </w:r>
      <w:r>
        <w:rPr>
          <w:color w:val="231F20"/>
          <w:spacing w:val="-11"/>
        </w:rPr>
        <w:t> </w:t>
      </w:r>
      <w:r>
        <w:rPr>
          <w:color w:val="231F20"/>
        </w:rPr>
        <w:t>planteado</w:t>
      </w:r>
      <w:r>
        <w:rPr>
          <w:color w:val="231F20"/>
          <w:spacing w:val="-11"/>
        </w:rPr>
        <w:t> </w:t>
      </w:r>
      <w:r>
        <w:rPr>
          <w:color w:val="231F20"/>
        </w:rPr>
        <w:t>en</w:t>
      </w:r>
      <w:r>
        <w:rPr>
          <w:color w:val="231F20"/>
          <w:spacing w:val="-11"/>
        </w:rPr>
        <w:t> </w:t>
      </w:r>
      <w:r>
        <w:rPr>
          <w:color w:val="231F20"/>
        </w:rPr>
        <w:t>algunos</w:t>
      </w:r>
      <w:r>
        <w:rPr>
          <w:color w:val="231F20"/>
          <w:spacing w:val="-11"/>
        </w:rPr>
        <w:t> </w:t>
      </w:r>
      <w:r>
        <w:rPr>
          <w:color w:val="231F20"/>
        </w:rPr>
        <w:t>textos,</w:t>
      </w:r>
      <w:r>
        <w:rPr>
          <w:color w:val="231F20"/>
          <w:spacing w:val="-11"/>
        </w:rPr>
        <w:t> </w:t>
      </w:r>
      <w:r>
        <w:rPr>
          <w:color w:val="231F20"/>
        </w:rPr>
        <w:t>sino</w:t>
      </w:r>
      <w:r>
        <w:rPr>
          <w:color w:val="231F20"/>
          <w:spacing w:val="-11"/>
        </w:rPr>
        <w:t> </w:t>
      </w:r>
      <w:r>
        <w:rPr>
          <w:color w:val="231F20"/>
        </w:rPr>
        <w:t>que</w:t>
      </w:r>
      <w:r>
        <w:rPr>
          <w:color w:val="231F20"/>
          <w:spacing w:val="-11"/>
        </w:rPr>
        <w:t> </w:t>
      </w:r>
      <w:r>
        <w:rPr>
          <w:color w:val="231F20"/>
        </w:rPr>
        <w:t>proviene</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proceso</w:t>
      </w:r>
      <w:r>
        <w:rPr>
          <w:color w:val="231F20"/>
          <w:spacing w:val="-11"/>
        </w:rPr>
        <w:t> </w:t>
      </w:r>
      <w:r>
        <w:rPr>
          <w:color w:val="231F20"/>
        </w:rPr>
        <w:t>histórico de por lo menos tres décadas antes. Las mujeres mexicanas envejecidas marcaron</w:t>
      </w:r>
      <w:r>
        <w:rPr>
          <w:color w:val="231F20"/>
          <w:spacing w:val="-6"/>
        </w:rPr>
        <w:t> </w:t>
      </w:r>
      <w:r>
        <w:rPr>
          <w:color w:val="231F20"/>
        </w:rPr>
        <w:t>la</w:t>
      </w:r>
      <w:r>
        <w:rPr>
          <w:color w:val="231F20"/>
          <w:spacing w:val="-6"/>
        </w:rPr>
        <w:t> </w:t>
      </w:r>
      <w:r>
        <w:rPr>
          <w:color w:val="231F20"/>
        </w:rPr>
        <w:t>pauta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posibilidad</w:t>
      </w:r>
      <w:r>
        <w:rPr>
          <w:color w:val="231F20"/>
          <w:spacing w:val="-6"/>
        </w:rPr>
        <w:t> </w:t>
      </w:r>
      <w:r>
        <w:rPr>
          <w:color w:val="231F20"/>
        </w:rPr>
        <w:t>de</w:t>
      </w:r>
      <w:r>
        <w:rPr>
          <w:color w:val="231F20"/>
          <w:spacing w:val="-6"/>
        </w:rPr>
        <w:t> </w:t>
      </w:r>
      <w:r>
        <w:rPr>
          <w:color w:val="231F20"/>
        </w:rPr>
        <w:t>criar</w:t>
      </w:r>
      <w:r>
        <w:rPr>
          <w:color w:val="231F20"/>
          <w:spacing w:val="-6"/>
        </w:rPr>
        <w:t> </w:t>
      </w:r>
      <w:r>
        <w:rPr>
          <w:color w:val="231F20"/>
        </w:rPr>
        <w:t>hijos</w:t>
      </w:r>
      <w:r>
        <w:rPr>
          <w:color w:val="231F20"/>
          <w:spacing w:val="-6"/>
        </w:rPr>
        <w:t> </w:t>
      </w:r>
      <w:r>
        <w:rPr>
          <w:color w:val="231F20"/>
        </w:rPr>
        <w:t>o</w:t>
      </w:r>
      <w:r>
        <w:rPr>
          <w:color w:val="231F20"/>
          <w:spacing w:val="-6"/>
        </w:rPr>
        <w:t> </w:t>
      </w:r>
      <w:r>
        <w:rPr>
          <w:color w:val="231F20"/>
        </w:rPr>
        <w:t>no,</w:t>
      </w:r>
      <w:r>
        <w:rPr>
          <w:color w:val="231F20"/>
          <w:spacing w:val="-6"/>
        </w:rPr>
        <w:t> </w:t>
      </w:r>
      <w:r>
        <w:rPr>
          <w:color w:val="231F20"/>
        </w:rPr>
        <w:t>tener</w:t>
      </w:r>
      <w:r>
        <w:rPr>
          <w:color w:val="231F20"/>
          <w:spacing w:val="-6"/>
        </w:rPr>
        <w:t> </w:t>
      </w:r>
      <w:r>
        <w:rPr>
          <w:color w:val="231F20"/>
        </w:rPr>
        <w:t>esposo</w:t>
      </w:r>
      <w:r>
        <w:rPr>
          <w:color w:val="231F20"/>
          <w:spacing w:val="-6"/>
        </w:rPr>
        <w:t> </w:t>
      </w:r>
      <w:r>
        <w:rPr>
          <w:color w:val="231F20"/>
        </w:rPr>
        <w:t>o</w:t>
      </w:r>
      <w:r>
        <w:rPr>
          <w:color w:val="231F20"/>
          <w:spacing w:val="-6"/>
        </w:rPr>
        <w:t> </w:t>
      </w:r>
      <w:r>
        <w:rPr>
          <w:color w:val="231F20"/>
        </w:rPr>
        <w:t>no, y trabajar remuneradamente. Sin que eso implicara ser una mala madre, una mala esposa o una mala mujer. </w:t>
      </w:r>
      <w:r>
        <w:rPr>
          <w:color w:val="231F20"/>
          <w:spacing w:val="-4"/>
        </w:rPr>
        <w:t>Todo </w:t>
      </w:r>
      <w:r>
        <w:rPr>
          <w:color w:val="231F20"/>
        </w:rPr>
        <w:t>esto las ha llevado a vivir de igual manera, una vejez distinta, asumir el papel de cuidadoras de nietos o de otros miembros de su familia no es una decisión que se toma con  el cumplimiento de los 60 años de edad y socialmente concebirse como vieja o anciana, sino que es un rol que ellas han construido, igualmente, en un proceso. Esa decisión se tomó hace ya varios años,</w:t>
      </w:r>
      <w:r>
        <w:rPr>
          <w:color w:val="231F20"/>
          <w:spacing w:val="-15"/>
        </w:rPr>
        <w:t> </w:t>
      </w:r>
      <w:r>
        <w:rPr>
          <w:color w:val="231F20"/>
        </w:rPr>
        <w:t>probablemente cuando decidieron dejar de ser amas de casa solamente y salir a buscar trabajo por su</w:t>
      </w:r>
      <w:r>
        <w:rPr>
          <w:color w:val="231F20"/>
          <w:spacing w:val="-2"/>
        </w:rPr>
        <w:t> </w:t>
      </w:r>
      <w:r>
        <w:rPr>
          <w:color w:val="231F20"/>
        </w:rPr>
        <w:t>cuenta.</w:t>
      </w:r>
    </w:p>
    <w:p>
      <w:pPr>
        <w:pStyle w:val="BodyText"/>
        <w:spacing w:line="249" w:lineRule="auto" w:before="1"/>
        <w:ind w:left="110" w:right="111" w:firstLine="283"/>
        <w:jc w:val="both"/>
      </w:pPr>
      <w:r>
        <w:rPr>
          <w:color w:val="231F20"/>
        </w:rPr>
        <w:t>Doña Esperanza dice “todos somos como los dedos de las manos, todos distintos pero todos indispensables”.</w:t>
      </w:r>
    </w:p>
    <w:p>
      <w:pPr>
        <w:spacing w:after="0" w:line="249" w:lineRule="auto"/>
        <w:jc w:val="both"/>
        <w:sectPr>
          <w:pgSz w:w="7770" w:h="11740"/>
          <w:pgMar w:header="0" w:footer="474" w:top="840" w:bottom="740" w:left="740" w:right="1020"/>
        </w:sectPr>
      </w:pPr>
    </w:p>
    <w:p>
      <w:pPr>
        <w:pStyle w:val="Heading4"/>
        <w:spacing w:before="47"/>
      </w:pPr>
      <w:r>
        <w:rPr>
          <w:w w:val="85"/>
        </w:rPr>
        <w:t>Bibliografía</w:t>
      </w:r>
    </w:p>
    <w:p>
      <w:pPr>
        <w:pStyle w:val="BodyText"/>
        <w:spacing w:before="11"/>
        <w:rPr>
          <w:b/>
          <w:sz w:val="21"/>
        </w:rPr>
      </w:pPr>
    </w:p>
    <w:p>
      <w:pPr>
        <w:spacing w:line="254" w:lineRule="auto" w:before="0"/>
        <w:ind w:left="113" w:right="108" w:firstLine="0"/>
        <w:jc w:val="both"/>
        <w:rPr>
          <w:sz w:val="18"/>
        </w:rPr>
      </w:pPr>
      <w:r>
        <w:rPr>
          <w:color w:val="231F20"/>
          <w:sz w:val="18"/>
        </w:rPr>
        <w:t>Bazán,</w:t>
      </w:r>
      <w:r>
        <w:rPr>
          <w:color w:val="231F20"/>
          <w:spacing w:val="-4"/>
          <w:sz w:val="18"/>
        </w:rPr>
        <w:t> </w:t>
      </w:r>
      <w:r>
        <w:rPr>
          <w:color w:val="231F20"/>
          <w:sz w:val="18"/>
        </w:rPr>
        <w:t>Lucía</w:t>
      </w:r>
      <w:r>
        <w:rPr>
          <w:color w:val="231F20"/>
          <w:spacing w:val="-4"/>
          <w:sz w:val="18"/>
        </w:rPr>
        <w:t> </w:t>
      </w:r>
      <w:r>
        <w:rPr>
          <w:color w:val="231F20"/>
          <w:sz w:val="18"/>
        </w:rPr>
        <w:t>(1999)</w:t>
      </w:r>
      <w:r>
        <w:rPr>
          <w:color w:val="231F20"/>
          <w:spacing w:val="-4"/>
          <w:sz w:val="18"/>
        </w:rPr>
        <w:t> </w:t>
      </w:r>
      <w:r>
        <w:rPr>
          <w:i/>
          <w:color w:val="231F20"/>
          <w:sz w:val="18"/>
        </w:rPr>
        <w:t>Cuando</w:t>
      </w:r>
      <w:r>
        <w:rPr>
          <w:i/>
          <w:color w:val="231F20"/>
          <w:spacing w:val="-4"/>
          <w:sz w:val="18"/>
        </w:rPr>
        <w:t> </w:t>
      </w:r>
      <w:r>
        <w:rPr>
          <w:i/>
          <w:color w:val="231F20"/>
          <w:sz w:val="18"/>
        </w:rPr>
        <w:t>una</w:t>
      </w:r>
      <w:r>
        <w:rPr>
          <w:i/>
          <w:color w:val="231F20"/>
          <w:spacing w:val="-4"/>
          <w:sz w:val="18"/>
        </w:rPr>
        <w:t> </w:t>
      </w:r>
      <w:r>
        <w:rPr>
          <w:i/>
          <w:color w:val="231F20"/>
          <w:sz w:val="18"/>
        </w:rPr>
        <w:t>puerta</w:t>
      </w:r>
      <w:r>
        <w:rPr>
          <w:i/>
          <w:color w:val="231F20"/>
          <w:spacing w:val="-4"/>
          <w:sz w:val="18"/>
        </w:rPr>
        <w:t> </w:t>
      </w:r>
      <w:r>
        <w:rPr>
          <w:i/>
          <w:color w:val="231F20"/>
          <w:sz w:val="18"/>
        </w:rPr>
        <w:t>se</w:t>
      </w:r>
      <w:r>
        <w:rPr>
          <w:i/>
          <w:color w:val="231F20"/>
          <w:spacing w:val="-4"/>
          <w:sz w:val="18"/>
        </w:rPr>
        <w:t> </w:t>
      </w:r>
      <w:r>
        <w:rPr>
          <w:i/>
          <w:color w:val="231F20"/>
          <w:sz w:val="18"/>
        </w:rPr>
        <w:t>cierra</w:t>
      </w:r>
      <w:r>
        <w:rPr>
          <w:i/>
          <w:color w:val="231F20"/>
          <w:spacing w:val="-4"/>
          <w:sz w:val="18"/>
        </w:rPr>
        <w:t> </w:t>
      </w:r>
      <w:r>
        <w:rPr>
          <w:i/>
          <w:color w:val="231F20"/>
          <w:sz w:val="18"/>
        </w:rPr>
        <w:t>cientos</w:t>
      </w:r>
      <w:r>
        <w:rPr>
          <w:i/>
          <w:color w:val="231F20"/>
          <w:spacing w:val="-4"/>
          <w:sz w:val="18"/>
        </w:rPr>
        <w:t> </w:t>
      </w:r>
      <w:r>
        <w:rPr>
          <w:i/>
          <w:color w:val="231F20"/>
          <w:sz w:val="18"/>
        </w:rPr>
        <w:t>se</w:t>
      </w:r>
      <w:r>
        <w:rPr>
          <w:i/>
          <w:color w:val="231F20"/>
          <w:spacing w:val="-4"/>
          <w:sz w:val="18"/>
        </w:rPr>
        <w:t> </w:t>
      </w:r>
      <w:r>
        <w:rPr>
          <w:i/>
          <w:color w:val="231F20"/>
          <w:sz w:val="18"/>
        </w:rPr>
        <w:t>abren.</w:t>
      </w:r>
      <w:r>
        <w:rPr>
          <w:i/>
          <w:color w:val="231F20"/>
          <w:spacing w:val="-4"/>
          <w:sz w:val="18"/>
        </w:rPr>
        <w:t> </w:t>
      </w:r>
      <w:r>
        <w:rPr>
          <w:i/>
          <w:color w:val="231F20"/>
          <w:sz w:val="18"/>
        </w:rPr>
        <w:t>Casa</w:t>
      </w:r>
      <w:r>
        <w:rPr>
          <w:i/>
          <w:color w:val="231F20"/>
          <w:spacing w:val="-4"/>
          <w:sz w:val="18"/>
        </w:rPr>
        <w:t> </w:t>
      </w:r>
      <w:r>
        <w:rPr>
          <w:i/>
          <w:color w:val="231F20"/>
          <w:sz w:val="18"/>
        </w:rPr>
        <w:t>y</w:t>
      </w:r>
      <w:r>
        <w:rPr>
          <w:i/>
          <w:color w:val="231F20"/>
          <w:spacing w:val="-4"/>
          <w:sz w:val="18"/>
        </w:rPr>
        <w:t> </w:t>
      </w:r>
      <w:r>
        <w:rPr>
          <w:i/>
          <w:color w:val="231F20"/>
          <w:sz w:val="18"/>
        </w:rPr>
        <w:t>fami- </w:t>
      </w:r>
      <w:r>
        <w:rPr>
          <w:i/>
          <w:color w:val="231F20"/>
          <w:sz w:val="18"/>
        </w:rPr>
        <w:t>lia:</w:t>
      </w:r>
      <w:r>
        <w:rPr>
          <w:i/>
          <w:color w:val="231F20"/>
          <w:spacing w:val="-10"/>
          <w:sz w:val="18"/>
        </w:rPr>
        <w:t> </w:t>
      </w:r>
      <w:r>
        <w:rPr>
          <w:i/>
          <w:color w:val="231F20"/>
          <w:sz w:val="18"/>
        </w:rPr>
        <w:t>los</w:t>
      </w:r>
      <w:r>
        <w:rPr>
          <w:i/>
          <w:color w:val="231F20"/>
          <w:spacing w:val="-9"/>
          <w:sz w:val="18"/>
        </w:rPr>
        <w:t> </w:t>
      </w:r>
      <w:r>
        <w:rPr>
          <w:i/>
          <w:color w:val="231F20"/>
          <w:sz w:val="18"/>
        </w:rPr>
        <w:t>recursos</w:t>
      </w:r>
      <w:r>
        <w:rPr>
          <w:i/>
          <w:color w:val="231F20"/>
          <w:spacing w:val="-9"/>
          <w:sz w:val="18"/>
        </w:rPr>
        <w:t> </w:t>
      </w:r>
      <w:r>
        <w:rPr>
          <w:i/>
          <w:color w:val="231F20"/>
          <w:sz w:val="18"/>
        </w:rPr>
        <w:t>de</w:t>
      </w:r>
      <w:r>
        <w:rPr>
          <w:i/>
          <w:color w:val="231F20"/>
          <w:spacing w:val="-10"/>
          <w:sz w:val="18"/>
        </w:rPr>
        <w:t> </w:t>
      </w:r>
      <w:r>
        <w:rPr>
          <w:i/>
          <w:color w:val="231F20"/>
          <w:sz w:val="18"/>
        </w:rPr>
        <w:t>los</w:t>
      </w:r>
      <w:r>
        <w:rPr>
          <w:i/>
          <w:color w:val="231F20"/>
          <w:spacing w:val="-10"/>
          <w:sz w:val="18"/>
        </w:rPr>
        <w:t> </w:t>
      </w:r>
      <w:r>
        <w:rPr>
          <w:i/>
          <w:color w:val="231F20"/>
          <w:sz w:val="18"/>
        </w:rPr>
        <w:t>empleados</w:t>
      </w:r>
      <w:r>
        <w:rPr>
          <w:i/>
          <w:color w:val="231F20"/>
          <w:spacing w:val="-10"/>
          <w:sz w:val="18"/>
        </w:rPr>
        <w:t> </w:t>
      </w:r>
      <w:r>
        <w:rPr>
          <w:i/>
          <w:color w:val="231F20"/>
          <w:sz w:val="18"/>
        </w:rPr>
        <w:t>de</w:t>
      </w:r>
      <w:r>
        <w:rPr>
          <w:i/>
          <w:color w:val="231F20"/>
          <w:spacing w:val="-10"/>
          <w:sz w:val="18"/>
        </w:rPr>
        <w:t> </w:t>
      </w:r>
      <w:r>
        <w:rPr>
          <w:i/>
          <w:color w:val="231F20"/>
          <w:sz w:val="18"/>
        </w:rPr>
        <w:t>la</w:t>
      </w:r>
      <w:r>
        <w:rPr>
          <w:i/>
          <w:color w:val="231F20"/>
          <w:spacing w:val="-10"/>
          <w:sz w:val="18"/>
        </w:rPr>
        <w:t> </w:t>
      </w:r>
      <w:r>
        <w:rPr>
          <w:i/>
          <w:color w:val="231F20"/>
          <w:sz w:val="18"/>
        </w:rPr>
        <w:t>refinería</w:t>
      </w:r>
      <w:r>
        <w:rPr>
          <w:i/>
          <w:color w:val="231F20"/>
          <w:spacing w:val="-10"/>
          <w:sz w:val="18"/>
        </w:rPr>
        <w:t> </w:t>
      </w:r>
      <w:r>
        <w:rPr>
          <w:i/>
          <w:color w:val="231F20"/>
          <w:sz w:val="18"/>
        </w:rPr>
        <w:t>18</w:t>
      </w:r>
      <w:r>
        <w:rPr>
          <w:i/>
          <w:color w:val="231F20"/>
          <w:spacing w:val="-10"/>
          <w:sz w:val="18"/>
        </w:rPr>
        <w:t> </w:t>
      </w:r>
      <w:r>
        <w:rPr>
          <w:i/>
          <w:color w:val="231F20"/>
          <w:sz w:val="18"/>
        </w:rPr>
        <w:t>de</w:t>
      </w:r>
      <w:r>
        <w:rPr>
          <w:i/>
          <w:color w:val="231F20"/>
          <w:spacing w:val="-10"/>
          <w:sz w:val="18"/>
        </w:rPr>
        <w:t> </w:t>
      </w:r>
      <w:r>
        <w:rPr>
          <w:i/>
          <w:color w:val="231F20"/>
          <w:sz w:val="18"/>
        </w:rPr>
        <w:t>Marzo</w:t>
      </w:r>
      <w:r>
        <w:rPr>
          <w:color w:val="231F20"/>
          <w:sz w:val="18"/>
        </w:rPr>
        <w:t>,</w:t>
      </w:r>
      <w:r>
        <w:rPr>
          <w:color w:val="231F20"/>
          <w:spacing w:val="-10"/>
          <w:sz w:val="18"/>
        </w:rPr>
        <w:t> </w:t>
      </w:r>
      <w:r>
        <w:rPr>
          <w:color w:val="231F20"/>
          <w:sz w:val="18"/>
        </w:rPr>
        <w:t>México:</w:t>
      </w:r>
      <w:r>
        <w:rPr>
          <w:color w:val="231F20"/>
          <w:spacing w:val="-9"/>
          <w:sz w:val="18"/>
        </w:rPr>
        <w:t> </w:t>
      </w:r>
      <w:r>
        <w:rPr>
          <w:color w:val="231F20"/>
          <w:sz w:val="18"/>
        </w:rPr>
        <w:t>CIESAS, Antropologías.</w:t>
      </w:r>
    </w:p>
    <w:p>
      <w:pPr>
        <w:spacing w:line="254" w:lineRule="auto" w:before="57"/>
        <w:ind w:left="113" w:right="108" w:firstLine="0"/>
        <w:jc w:val="both"/>
        <w:rPr>
          <w:sz w:val="18"/>
        </w:rPr>
      </w:pPr>
      <w:r>
        <w:rPr>
          <w:color w:val="231F20"/>
          <w:sz w:val="18"/>
        </w:rPr>
        <w:t>Blanco, Mercedes (2002) “Trabajo y familia: entrelazamiento de trayectorias</w:t>
      </w:r>
      <w:r>
        <w:rPr>
          <w:color w:val="231F20"/>
          <w:spacing w:val="-16"/>
          <w:sz w:val="18"/>
        </w:rPr>
        <w:t> </w:t>
      </w:r>
      <w:r>
        <w:rPr>
          <w:color w:val="231F20"/>
          <w:sz w:val="18"/>
        </w:rPr>
        <w:t>vi- tales”,</w:t>
      </w:r>
      <w:r>
        <w:rPr>
          <w:color w:val="231F20"/>
          <w:spacing w:val="-10"/>
          <w:sz w:val="18"/>
        </w:rPr>
        <w:t> </w:t>
      </w:r>
      <w:r>
        <w:rPr>
          <w:color w:val="231F20"/>
          <w:sz w:val="18"/>
        </w:rPr>
        <w:t>en</w:t>
      </w:r>
      <w:r>
        <w:rPr>
          <w:color w:val="231F20"/>
          <w:spacing w:val="-10"/>
          <w:sz w:val="18"/>
        </w:rPr>
        <w:t> </w:t>
      </w:r>
      <w:r>
        <w:rPr>
          <w:i/>
          <w:color w:val="231F20"/>
          <w:sz w:val="18"/>
        </w:rPr>
        <w:t>Estudios</w:t>
      </w:r>
      <w:r>
        <w:rPr>
          <w:i/>
          <w:color w:val="231F20"/>
          <w:spacing w:val="-10"/>
          <w:sz w:val="18"/>
        </w:rPr>
        <w:t> </w:t>
      </w:r>
      <w:r>
        <w:rPr>
          <w:i/>
          <w:color w:val="231F20"/>
          <w:sz w:val="18"/>
        </w:rPr>
        <w:t>Demográficos</w:t>
      </w:r>
      <w:r>
        <w:rPr>
          <w:i/>
          <w:color w:val="231F20"/>
          <w:spacing w:val="-10"/>
          <w:sz w:val="18"/>
        </w:rPr>
        <w:t> </w:t>
      </w:r>
      <w:r>
        <w:rPr>
          <w:i/>
          <w:color w:val="231F20"/>
          <w:sz w:val="18"/>
        </w:rPr>
        <w:t>y</w:t>
      </w:r>
      <w:r>
        <w:rPr>
          <w:i/>
          <w:color w:val="231F20"/>
          <w:spacing w:val="-10"/>
          <w:sz w:val="18"/>
        </w:rPr>
        <w:t> </w:t>
      </w:r>
      <w:r>
        <w:rPr>
          <w:i/>
          <w:color w:val="231F20"/>
          <w:sz w:val="18"/>
        </w:rPr>
        <w:t>Urbanos</w:t>
      </w:r>
      <w:r>
        <w:rPr>
          <w:color w:val="231F20"/>
          <w:sz w:val="18"/>
        </w:rPr>
        <w:t>,</w:t>
      </w:r>
      <w:r>
        <w:rPr>
          <w:color w:val="231F20"/>
          <w:spacing w:val="-10"/>
          <w:sz w:val="18"/>
        </w:rPr>
        <w:t> </w:t>
      </w:r>
      <w:r>
        <w:rPr>
          <w:color w:val="231F20"/>
          <w:sz w:val="18"/>
        </w:rPr>
        <w:t>vol.</w:t>
      </w:r>
      <w:r>
        <w:rPr>
          <w:color w:val="231F20"/>
          <w:spacing w:val="-10"/>
          <w:sz w:val="18"/>
        </w:rPr>
        <w:t> </w:t>
      </w:r>
      <w:r>
        <w:rPr>
          <w:color w:val="231F20"/>
          <w:sz w:val="18"/>
        </w:rPr>
        <w:t>17,</w:t>
      </w:r>
      <w:r>
        <w:rPr>
          <w:color w:val="231F20"/>
          <w:spacing w:val="-10"/>
          <w:sz w:val="18"/>
        </w:rPr>
        <w:t> </w:t>
      </w:r>
      <w:r>
        <w:rPr>
          <w:color w:val="231F20"/>
          <w:sz w:val="18"/>
        </w:rPr>
        <w:t>núm.</w:t>
      </w:r>
      <w:r>
        <w:rPr>
          <w:color w:val="231F20"/>
          <w:spacing w:val="-10"/>
          <w:sz w:val="18"/>
        </w:rPr>
        <w:t> </w:t>
      </w:r>
      <w:r>
        <w:rPr>
          <w:color w:val="231F20"/>
          <w:sz w:val="18"/>
        </w:rPr>
        <w:t>3,</w:t>
      </w:r>
      <w:r>
        <w:rPr>
          <w:color w:val="231F20"/>
          <w:spacing w:val="-10"/>
          <w:sz w:val="18"/>
        </w:rPr>
        <w:t> </w:t>
      </w:r>
      <w:r>
        <w:rPr>
          <w:color w:val="231F20"/>
          <w:sz w:val="18"/>
        </w:rPr>
        <w:t>septiembre-diciem- bre, México: El Colegio de</w:t>
      </w:r>
      <w:r>
        <w:rPr>
          <w:color w:val="231F20"/>
          <w:spacing w:val="-13"/>
          <w:sz w:val="18"/>
        </w:rPr>
        <w:t> </w:t>
      </w:r>
      <w:r>
        <w:rPr>
          <w:color w:val="231F20"/>
          <w:sz w:val="18"/>
        </w:rPr>
        <w:t>México.</w:t>
      </w:r>
    </w:p>
    <w:p>
      <w:pPr>
        <w:spacing w:before="57"/>
        <w:ind w:left="113" w:right="0" w:firstLine="0"/>
        <w:jc w:val="both"/>
        <w:rPr>
          <w:sz w:val="18"/>
        </w:rPr>
      </w:pPr>
      <w:r>
        <w:rPr>
          <w:color w:val="231F20"/>
          <w:sz w:val="18"/>
        </w:rPr>
        <w:t>Bott, Elizabeth, (1990) </w:t>
      </w:r>
      <w:r>
        <w:rPr>
          <w:i/>
          <w:color w:val="231F20"/>
          <w:sz w:val="18"/>
        </w:rPr>
        <w:t>Familia y red social</w:t>
      </w:r>
      <w:r>
        <w:rPr>
          <w:color w:val="231F20"/>
          <w:sz w:val="18"/>
        </w:rPr>
        <w:t>, Madrid: Taurus Humanidades.</w:t>
      </w:r>
    </w:p>
    <w:p>
      <w:pPr>
        <w:spacing w:line="254" w:lineRule="auto" w:before="69"/>
        <w:ind w:left="113" w:right="108" w:firstLine="0"/>
        <w:jc w:val="both"/>
        <w:rPr>
          <w:sz w:val="18"/>
        </w:rPr>
      </w:pPr>
      <w:r>
        <w:rPr>
          <w:color w:val="231F20"/>
          <w:sz w:val="18"/>
        </w:rPr>
        <w:t>Enciso</w:t>
      </w:r>
      <w:r>
        <w:rPr>
          <w:color w:val="231F20"/>
          <w:spacing w:val="-9"/>
          <w:sz w:val="18"/>
        </w:rPr>
        <w:t> </w:t>
      </w:r>
      <w:r>
        <w:rPr>
          <w:color w:val="231F20"/>
          <w:sz w:val="18"/>
        </w:rPr>
        <w:t>Huerta,</w:t>
      </w:r>
      <w:r>
        <w:rPr>
          <w:color w:val="231F20"/>
          <w:spacing w:val="-12"/>
          <w:sz w:val="18"/>
        </w:rPr>
        <w:t> </w:t>
      </w:r>
      <w:r>
        <w:rPr>
          <w:color w:val="231F20"/>
          <w:sz w:val="18"/>
        </w:rPr>
        <w:t>Virginia</w:t>
      </w:r>
      <w:r>
        <w:rPr>
          <w:color w:val="231F20"/>
          <w:spacing w:val="-9"/>
          <w:sz w:val="18"/>
        </w:rPr>
        <w:t> </w:t>
      </w:r>
      <w:r>
        <w:rPr>
          <w:color w:val="231F20"/>
          <w:sz w:val="18"/>
        </w:rPr>
        <w:t>(1999)</w:t>
      </w:r>
      <w:r>
        <w:rPr>
          <w:color w:val="231F20"/>
          <w:spacing w:val="-9"/>
          <w:sz w:val="18"/>
        </w:rPr>
        <w:t> </w:t>
      </w:r>
      <w:r>
        <w:rPr>
          <w:color w:val="231F20"/>
          <w:sz w:val="18"/>
        </w:rPr>
        <w:t>“Trabajo</w:t>
      </w:r>
      <w:r>
        <w:rPr>
          <w:color w:val="231F20"/>
          <w:spacing w:val="-9"/>
          <w:sz w:val="18"/>
        </w:rPr>
        <w:t> </w:t>
      </w:r>
      <w:r>
        <w:rPr>
          <w:color w:val="231F20"/>
          <w:sz w:val="18"/>
        </w:rPr>
        <w:t>femenino</w:t>
      </w:r>
      <w:r>
        <w:rPr>
          <w:color w:val="231F20"/>
          <w:spacing w:val="-9"/>
          <w:sz w:val="18"/>
        </w:rPr>
        <w:t> </w:t>
      </w:r>
      <w:r>
        <w:rPr>
          <w:color w:val="231F20"/>
          <w:sz w:val="18"/>
        </w:rPr>
        <w:t>y</w:t>
      </w:r>
      <w:r>
        <w:rPr>
          <w:color w:val="231F20"/>
          <w:spacing w:val="-9"/>
          <w:sz w:val="18"/>
        </w:rPr>
        <w:t> </w:t>
      </w:r>
      <w:r>
        <w:rPr>
          <w:color w:val="231F20"/>
          <w:sz w:val="18"/>
        </w:rPr>
        <w:t>tiempo</w:t>
      </w:r>
      <w:r>
        <w:rPr>
          <w:color w:val="231F20"/>
          <w:spacing w:val="-9"/>
          <w:sz w:val="18"/>
        </w:rPr>
        <w:t> </w:t>
      </w:r>
      <w:r>
        <w:rPr>
          <w:color w:val="231F20"/>
          <w:sz w:val="18"/>
        </w:rPr>
        <w:t>libre,</w:t>
      </w:r>
      <w:r>
        <w:rPr>
          <w:color w:val="231F20"/>
          <w:spacing w:val="-9"/>
          <w:sz w:val="18"/>
        </w:rPr>
        <w:t> </w:t>
      </w:r>
      <w:r>
        <w:rPr>
          <w:color w:val="231F20"/>
          <w:sz w:val="18"/>
        </w:rPr>
        <w:t>en</w:t>
      </w:r>
      <w:r>
        <w:rPr>
          <w:color w:val="231F20"/>
          <w:spacing w:val="-9"/>
          <w:sz w:val="18"/>
        </w:rPr>
        <w:t> </w:t>
      </w:r>
      <w:r>
        <w:rPr>
          <w:i/>
          <w:color w:val="231F20"/>
          <w:sz w:val="18"/>
        </w:rPr>
        <w:t>La</w:t>
      </w:r>
      <w:r>
        <w:rPr>
          <w:i/>
          <w:color w:val="231F20"/>
          <w:spacing w:val="-9"/>
          <w:sz w:val="18"/>
        </w:rPr>
        <w:t> </w:t>
      </w:r>
      <w:r>
        <w:rPr>
          <w:i/>
          <w:color w:val="231F20"/>
          <w:spacing w:val="-3"/>
          <w:sz w:val="18"/>
        </w:rPr>
        <w:t>Ventana</w:t>
      </w:r>
      <w:r>
        <w:rPr>
          <w:color w:val="231F20"/>
          <w:spacing w:val="-3"/>
          <w:sz w:val="18"/>
        </w:rPr>
        <w:t>, </w:t>
      </w:r>
      <w:r>
        <w:rPr>
          <w:color w:val="231F20"/>
          <w:sz w:val="18"/>
        </w:rPr>
        <w:t>núm. 9, México: Universidad de</w:t>
      </w:r>
      <w:r>
        <w:rPr>
          <w:color w:val="231F20"/>
          <w:spacing w:val="-28"/>
          <w:sz w:val="18"/>
        </w:rPr>
        <w:t> </w:t>
      </w:r>
      <w:r>
        <w:rPr>
          <w:color w:val="231F20"/>
          <w:sz w:val="18"/>
        </w:rPr>
        <w:t>Guadalajara.</w:t>
      </w:r>
    </w:p>
    <w:p>
      <w:pPr>
        <w:spacing w:line="254" w:lineRule="auto" w:before="57"/>
        <w:ind w:left="113" w:right="108" w:firstLine="0"/>
        <w:jc w:val="both"/>
        <w:rPr>
          <w:sz w:val="18"/>
        </w:rPr>
      </w:pPr>
      <w:r>
        <w:rPr>
          <w:color w:val="231F20"/>
          <w:sz w:val="18"/>
        </w:rPr>
        <w:t>De Barbieri, Ma. Teresita (1984) </w:t>
      </w:r>
      <w:r>
        <w:rPr>
          <w:i/>
          <w:color w:val="231F20"/>
          <w:sz w:val="18"/>
        </w:rPr>
        <w:t>Mujeres y vida cotidiana</w:t>
      </w:r>
      <w:r>
        <w:rPr>
          <w:color w:val="231F20"/>
          <w:sz w:val="18"/>
        </w:rPr>
        <w:t>, México: FCE/SEP/ CONAFE.</w:t>
      </w:r>
    </w:p>
    <w:p>
      <w:pPr>
        <w:spacing w:line="254" w:lineRule="auto" w:before="57"/>
        <w:ind w:left="113" w:right="108" w:firstLine="0"/>
        <w:jc w:val="both"/>
        <w:rPr>
          <w:sz w:val="18"/>
        </w:rPr>
      </w:pPr>
      <w:r>
        <w:rPr>
          <w:color w:val="231F20"/>
          <w:sz w:val="18"/>
        </w:rPr>
        <w:t>De Riz, Liliana (1986) “El problema de la condición femenina en América Lati- na: la participación de la mujer en los mercados de trabajo. El caso de México”, en </w:t>
      </w:r>
      <w:r>
        <w:rPr>
          <w:i/>
          <w:color w:val="231F20"/>
          <w:sz w:val="18"/>
        </w:rPr>
        <w:t>La mujer y el trabajo en México </w:t>
      </w:r>
      <w:r>
        <w:rPr>
          <w:color w:val="231F20"/>
          <w:sz w:val="18"/>
        </w:rPr>
        <w:t>(antología), México: Secretaría del Trabajo y Previsión</w:t>
      </w:r>
      <w:r>
        <w:rPr>
          <w:color w:val="231F20"/>
          <w:spacing w:val="-15"/>
          <w:sz w:val="18"/>
        </w:rPr>
        <w:t> </w:t>
      </w:r>
      <w:r>
        <w:rPr>
          <w:color w:val="231F20"/>
          <w:sz w:val="18"/>
        </w:rPr>
        <w:t>Social.</w:t>
      </w:r>
    </w:p>
    <w:p>
      <w:pPr>
        <w:spacing w:before="57"/>
        <w:ind w:left="113" w:right="0" w:firstLine="0"/>
        <w:jc w:val="both"/>
        <w:rPr>
          <w:i/>
          <w:sz w:val="18"/>
        </w:rPr>
      </w:pPr>
      <w:r>
        <w:rPr>
          <w:color w:val="231F20"/>
          <w:sz w:val="18"/>
        </w:rPr>
        <w:t>Duby, George y Michelle Perrot (dirs.) (1993) </w:t>
      </w:r>
      <w:r>
        <w:rPr>
          <w:i/>
          <w:color w:val="231F20"/>
          <w:sz w:val="18"/>
        </w:rPr>
        <w:t>Historia de las Mujeres. el  siglo</w:t>
      </w:r>
    </w:p>
    <w:p>
      <w:pPr>
        <w:spacing w:before="13"/>
        <w:ind w:left="113" w:right="0" w:firstLine="0"/>
        <w:jc w:val="both"/>
        <w:rPr>
          <w:sz w:val="18"/>
        </w:rPr>
      </w:pPr>
      <w:r>
        <w:rPr>
          <w:i/>
          <w:color w:val="231F20"/>
          <w:sz w:val="18"/>
        </w:rPr>
        <w:t>XIX. Actividades y reinvindicaciones</w:t>
      </w:r>
      <w:r>
        <w:rPr>
          <w:color w:val="231F20"/>
          <w:sz w:val="18"/>
        </w:rPr>
        <w:t>, Tomo 8, México: Taurus/Santillana.</w:t>
      </w:r>
    </w:p>
    <w:p>
      <w:pPr>
        <w:spacing w:line="254" w:lineRule="auto" w:before="69"/>
        <w:ind w:left="113" w:right="108" w:firstLine="0"/>
        <w:jc w:val="both"/>
        <w:rPr>
          <w:sz w:val="18"/>
        </w:rPr>
      </w:pPr>
      <w:r>
        <w:rPr>
          <w:color w:val="231F20"/>
          <w:sz w:val="18"/>
        </w:rPr>
        <w:t>Duby, George y Michelle Perrot (dirs.) (s/f) </w:t>
      </w:r>
      <w:r>
        <w:rPr>
          <w:i/>
          <w:color w:val="231F20"/>
          <w:sz w:val="18"/>
        </w:rPr>
        <w:t>El siglo XIX. Actividades y reinvin- </w:t>
      </w:r>
      <w:r>
        <w:rPr>
          <w:i/>
          <w:color w:val="231F20"/>
          <w:sz w:val="18"/>
        </w:rPr>
        <w:t>dicaciones</w:t>
      </w:r>
      <w:r>
        <w:rPr>
          <w:color w:val="231F20"/>
          <w:sz w:val="18"/>
        </w:rPr>
        <w:t>, Tomo 8, México: Taurus.</w:t>
      </w:r>
    </w:p>
    <w:p>
      <w:pPr>
        <w:spacing w:line="254" w:lineRule="auto" w:before="57"/>
        <w:ind w:left="113" w:right="108" w:firstLine="0"/>
        <w:jc w:val="both"/>
        <w:rPr>
          <w:sz w:val="18"/>
        </w:rPr>
      </w:pPr>
      <w:r>
        <w:rPr>
          <w:color w:val="231F20"/>
          <w:sz w:val="18"/>
        </w:rPr>
        <w:t>Duphin,</w:t>
      </w:r>
      <w:r>
        <w:rPr>
          <w:color w:val="231F20"/>
          <w:spacing w:val="-12"/>
          <w:sz w:val="18"/>
        </w:rPr>
        <w:t> </w:t>
      </w:r>
      <w:r>
        <w:rPr>
          <w:color w:val="231F20"/>
          <w:sz w:val="18"/>
        </w:rPr>
        <w:t>Cécile</w:t>
      </w:r>
      <w:r>
        <w:rPr>
          <w:color w:val="231F20"/>
          <w:spacing w:val="-12"/>
          <w:sz w:val="18"/>
        </w:rPr>
        <w:t> </w:t>
      </w:r>
      <w:r>
        <w:rPr>
          <w:color w:val="231F20"/>
          <w:sz w:val="18"/>
        </w:rPr>
        <w:t>(1993)</w:t>
      </w:r>
      <w:r>
        <w:rPr>
          <w:color w:val="231F20"/>
          <w:spacing w:val="-12"/>
          <w:sz w:val="18"/>
        </w:rPr>
        <w:t> </w:t>
      </w:r>
      <w:r>
        <w:rPr>
          <w:color w:val="231F20"/>
          <w:sz w:val="18"/>
        </w:rPr>
        <w:t>“Mujeres</w:t>
      </w:r>
      <w:r>
        <w:rPr>
          <w:color w:val="231F20"/>
          <w:spacing w:val="-12"/>
          <w:sz w:val="18"/>
        </w:rPr>
        <w:t> </w:t>
      </w:r>
      <w:r>
        <w:rPr>
          <w:color w:val="231F20"/>
          <w:sz w:val="18"/>
        </w:rPr>
        <w:t>solas”,</w:t>
      </w:r>
      <w:r>
        <w:rPr>
          <w:color w:val="231F20"/>
          <w:spacing w:val="-12"/>
          <w:sz w:val="18"/>
        </w:rPr>
        <w:t> </w:t>
      </w:r>
      <w:r>
        <w:rPr>
          <w:color w:val="231F20"/>
          <w:sz w:val="18"/>
        </w:rPr>
        <w:t>en</w:t>
      </w:r>
      <w:r>
        <w:rPr>
          <w:color w:val="231F20"/>
          <w:spacing w:val="-12"/>
          <w:sz w:val="18"/>
        </w:rPr>
        <w:t> </w:t>
      </w:r>
      <w:r>
        <w:rPr>
          <w:color w:val="231F20"/>
          <w:sz w:val="18"/>
        </w:rPr>
        <w:t>George</w:t>
      </w:r>
      <w:r>
        <w:rPr>
          <w:color w:val="231F20"/>
          <w:spacing w:val="-12"/>
          <w:sz w:val="18"/>
        </w:rPr>
        <w:t> </w:t>
      </w:r>
      <w:r>
        <w:rPr>
          <w:color w:val="231F20"/>
          <w:sz w:val="18"/>
        </w:rPr>
        <w:t>Duby</w:t>
      </w:r>
      <w:r>
        <w:rPr>
          <w:color w:val="231F20"/>
          <w:spacing w:val="-12"/>
          <w:sz w:val="18"/>
        </w:rPr>
        <w:t> </w:t>
      </w:r>
      <w:r>
        <w:rPr>
          <w:color w:val="231F20"/>
          <w:sz w:val="18"/>
        </w:rPr>
        <w:t>y</w:t>
      </w:r>
      <w:r>
        <w:rPr>
          <w:color w:val="231F20"/>
          <w:spacing w:val="-12"/>
          <w:sz w:val="18"/>
        </w:rPr>
        <w:t> </w:t>
      </w:r>
      <w:r>
        <w:rPr>
          <w:color w:val="231F20"/>
          <w:sz w:val="18"/>
        </w:rPr>
        <w:t>Michelle</w:t>
      </w:r>
      <w:r>
        <w:rPr>
          <w:color w:val="231F20"/>
          <w:spacing w:val="-12"/>
          <w:sz w:val="18"/>
        </w:rPr>
        <w:t> </w:t>
      </w:r>
      <w:r>
        <w:rPr>
          <w:color w:val="231F20"/>
          <w:sz w:val="18"/>
        </w:rPr>
        <w:t>Perrot</w:t>
      </w:r>
      <w:r>
        <w:rPr>
          <w:color w:val="231F20"/>
          <w:spacing w:val="-12"/>
          <w:sz w:val="18"/>
        </w:rPr>
        <w:t> </w:t>
      </w:r>
      <w:r>
        <w:rPr>
          <w:color w:val="231F20"/>
          <w:sz w:val="18"/>
        </w:rPr>
        <w:t>(dirs.) </w:t>
      </w:r>
      <w:r>
        <w:rPr>
          <w:i/>
          <w:color w:val="231F20"/>
          <w:sz w:val="18"/>
        </w:rPr>
        <w:t>Historia de las Mujeres</w:t>
      </w:r>
      <w:r>
        <w:rPr>
          <w:color w:val="231F20"/>
          <w:sz w:val="18"/>
        </w:rPr>
        <w:t>. </w:t>
      </w:r>
      <w:r>
        <w:rPr>
          <w:i/>
          <w:color w:val="231F20"/>
          <w:sz w:val="18"/>
        </w:rPr>
        <w:t>El siglo XIX</w:t>
      </w:r>
      <w:r>
        <w:rPr>
          <w:color w:val="231F20"/>
          <w:sz w:val="18"/>
        </w:rPr>
        <w:t>. </w:t>
      </w:r>
      <w:r>
        <w:rPr>
          <w:i/>
          <w:color w:val="231F20"/>
          <w:sz w:val="18"/>
        </w:rPr>
        <w:t>Actividades y reinvindicaciones</w:t>
      </w:r>
      <w:r>
        <w:rPr>
          <w:color w:val="231F20"/>
          <w:sz w:val="18"/>
        </w:rPr>
        <w:t>, </w:t>
      </w:r>
      <w:r>
        <w:rPr>
          <w:color w:val="231F20"/>
          <w:spacing w:val="-4"/>
          <w:sz w:val="18"/>
        </w:rPr>
        <w:t>Tomo </w:t>
      </w:r>
      <w:r>
        <w:rPr>
          <w:color w:val="231F20"/>
          <w:sz w:val="18"/>
        </w:rPr>
        <w:t>8, México:</w:t>
      </w:r>
      <w:r>
        <w:rPr>
          <w:color w:val="231F20"/>
          <w:spacing w:val="-22"/>
          <w:sz w:val="18"/>
        </w:rPr>
        <w:t> </w:t>
      </w:r>
      <w:r>
        <w:rPr>
          <w:color w:val="231F20"/>
          <w:sz w:val="18"/>
        </w:rPr>
        <w:t>Taurus/Santillana.</w:t>
      </w:r>
    </w:p>
    <w:p>
      <w:pPr>
        <w:spacing w:line="254" w:lineRule="auto" w:before="57"/>
        <w:ind w:left="113" w:right="108" w:firstLine="0"/>
        <w:jc w:val="both"/>
        <w:rPr>
          <w:sz w:val="18"/>
        </w:rPr>
      </w:pPr>
      <w:r>
        <w:rPr>
          <w:color w:val="231F20"/>
          <w:sz w:val="18"/>
        </w:rPr>
        <w:t>Elder, G. (1991) “ Livesand social change”, en </w:t>
      </w:r>
      <w:r>
        <w:rPr>
          <w:color w:val="231F20"/>
          <w:spacing w:val="-3"/>
          <w:sz w:val="18"/>
        </w:rPr>
        <w:t>Walter </w:t>
      </w:r>
      <w:r>
        <w:rPr>
          <w:color w:val="231F20"/>
          <w:sz w:val="18"/>
        </w:rPr>
        <w:t>Heinz, </w:t>
      </w:r>
      <w:r>
        <w:rPr>
          <w:i/>
          <w:color w:val="231F20"/>
          <w:sz w:val="18"/>
        </w:rPr>
        <w:t>Theoretical in Life </w:t>
      </w:r>
      <w:r>
        <w:rPr>
          <w:i/>
          <w:color w:val="231F20"/>
          <w:sz w:val="18"/>
        </w:rPr>
        <w:t>Course Research</w:t>
      </w:r>
      <w:r>
        <w:rPr>
          <w:color w:val="231F20"/>
          <w:sz w:val="18"/>
        </w:rPr>
        <w:t>, Alemania Deutscher Studien </w:t>
      </w:r>
      <w:r>
        <w:rPr>
          <w:color w:val="231F20"/>
          <w:spacing w:val="-3"/>
          <w:sz w:val="18"/>
        </w:rPr>
        <w:t>Verlag.</w:t>
      </w:r>
    </w:p>
    <w:p>
      <w:pPr>
        <w:spacing w:line="254" w:lineRule="auto" w:before="57"/>
        <w:ind w:left="113" w:right="108" w:firstLine="0"/>
        <w:jc w:val="both"/>
        <w:rPr>
          <w:sz w:val="18"/>
        </w:rPr>
      </w:pPr>
      <w:r>
        <w:rPr>
          <w:color w:val="231F20"/>
          <w:sz w:val="18"/>
        </w:rPr>
        <w:t>Elder Jr., Glen H. (1994) “Time, human agency, and social change: perspectives on the life course”, en </w:t>
      </w:r>
      <w:r>
        <w:rPr>
          <w:i/>
          <w:color w:val="231F20"/>
          <w:sz w:val="18"/>
        </w:rPr>
        <w:t>Social Psychology Quarterly</w:t>
      </w:r>
      <w:r>
        <w:rPr>
          <w:color w:val="231F20"/>
          <w:sz w:val="18"/>
        </w:rPr>
        <w:t>, vol. 57, núm. 1, 4-15, Uni- versity of North Carolina at Chapel Hill.</w:t>
      </w:r>
    </w:p>
    <w:p>
      <w:pPr>
        <w:spacing w:line="254" w:lineRule="auto" w:before="57"/>
        <w:ind w:left="113" w:right="108" w:firstLine="0"/>
        <w:jc w:val="both"/>
        <w:rPr>
          <w:sz w:val="18"/>
        </w:rPr>
      </w:pPr>
      <w:r>
        <w:rPr>
          <w:color w:val="231F20"/>
          <w:sz w:val="18"/>
        </w:rPr>
        <w:t>Enciso Huerta, Virginia (1999) “Trabajo femenino y tiempo libre”, en La Ven- tana, núm. 9, México: Universidad de Guadalajara.</w:t>
      </w:r>
    </w:p>
    <w:p>
      <w:pPr>
        <w:spacing w:line="254" w:lineRule="auto" w:before="57"/>
        <w:ind w:left="113" w:right="108" w:firstLine="0"/>
        <w:jc w:val="both"/>
        <w:rPr>
          <w:sz w:val="18"/>
        </w:rPr>
      </w:pPr>
      <w:r>
        <w:rPr>
          <w:color w:val="231F20"/>
          <w:sz w:val="18"/>
        </w:rPr>
        <w:t>García, Brígida </w:t>
      </w:r>
      <w:r>
        <w:rPr>
          <w:b/>
          <w:color w:val="231F20"/>
          <w:sz w:val="18"/>
        </w:rPr>
        <w:t>(</w:t>
      </w:r>
      <w:r>
        <w:rPr>
          <w:color w:val="231F20"/>
          <w:sz w:val="18"/>
        </w:rPr>
        <w:t>1988) </w:t>
      </w:r>
      <w:r>
        <w:rPr>
          <w:i/>
          <w:color w:val="231F20"/>
          <w:sz w:val="18"/>
        </w:rPr>
        <w:t>Desarrollo económico y absorción de fuerza de trabajo </w:t>
      </w:r>
      <w:r>
        <w:rPr>
          <w:i/>
          <w:color w:val="231F20"/>
          <w:sz w:val="18"/>
        </w:rPr>
        <w:t>en México</w:t>
      </w:r>
      <w:r>
        <w:rPr>
          <w:color w:val="231F20"/>
          <w:sz w:val="18"/>
        </w:rPr>
        <w:t>, México: El Colegio de México.</w:t>
      </w:r>
    </w:p>
    <w:p>
      <w:pPr>
        <w:spacing w:line="254" w:lineRule="auto" w:before="57"/>
        <w:ind w:left="113" w:right="108" w:firstLine="0"/>
        <w:jc w:val="both"/>
        <w:rPr>
          <w:sz w:val="18"/>
        </w:rPr>
      </w:pPr>
      <w:r>
        <w:rPr>
          <w:color w:val="231F20"/>
          <w:sz w:val="18"/>
        </w:rPr>
        <w:t>García,</w:t>
      </w:r>
      <w:r>
        <w:rPr>
          <w:color w:val="231F20"/>
          <w:spacing w:val="-10"/>
          <w:sz w:val="18"/>
        </w:rPr>
        <w:t> </w:t>
      </w:r>
      <w:r>
        <w:rPr>
          <w:color w:val="231F20"/>
          <w:sz w:val="18"/>
        </w:rPr>
        <w:t>Brígida</w:t>
      </w:r>
      <w:r>
        <w:rPr>
          <w:color w:val="231F20"/>
          <w:spacing w:val="-11"/>
          <w:sz w:val="18"/>
        </w:rPr>
        <w:t> </w:t>
      </w:r>
      <w:r>
        <w:rPr>
          <w:b/>
          <w:color w:val="231F20"/>
          <w:sz w:val="18"/>
        </w:rPr>
        <w:t>(</w:t>
      </w:r>
      <w:r>
        <w:rPr>
          <w:color w:val="231F20"/>
          <w:sz w:val="18"/>
        </w:rPr>
        <w:t>1999)</w:t>
      </w:r>
      <w:r>
        <w:rPr>
          <w:color w:val="231F20"/>
          <w:spacing w:val="-11"/>
          <w:sz w:val="18"/>
        </w:rPr>
        <w:t> </w:t>
      </w:r>
      <w:r>
        <w:rPr>
          <w:i/>
          <w:color w:val="231F20"/>
          <w:spacing w:val="-4"/>
          <w:sz w:val="18"/>
        </w:rPr>
        <w:t>Mujer,</w:t>
      </w:r>
      <w:r>
        <w:rPr>
          <w:i/>
          <w:color w:val="231F20"/>
          <w:spacing w:val="-11"/>
          <w:sz w:val="18"/>
        </w:rPr>
        <w:t> </w:t>
      </w:r>
      <w:r>
        <w:rPr>
          <w:i/>
          <w:color w:val="231F20"/>
          <w:sz w:val="18"/>
        </w:rPr>
        <w:t>género</w:t>
      </w:r>
      <w:r>
        <w:rPr>
          <w:i/>
          <w:color w:val="231F20"/>
          <w:spacing w:val="-11"/>
          <w:sz w:val="18"/>
        </w:rPr>
        <w:t> </w:t>
      </w:r>
      <w:r>
        <w:rPr>
          <w:i/>
          <w:color w:val="231F20"/>
          <w:sz w:val="18"/>
        </w:rPr>
        <w:t>y</w:t>
      </w:r>
      <w:r>
        <w:rPr>
          <w:i/>
          <w:color w:val="231F20"/>
          <w:spacing w:val="-11"/>
          <w:sz w:val="18"/>
        </w:rPr>
        <w:t> </w:t>
      </w:r>
      <w:r>
        <w:rPr>
          <w:i/>
          <w:color w:val="231F20"/>
          <w:sz w:val="18"/>
        </w:rPr>
        <w:t>población</w:t>
      </w:r>
      <w:r>
        <w:rPr>
          <w:i/>
          <w:color w:val="231F20"/>
          <w:spacing w:val="-10"/>
          <w:sz w:val="18"/>
        </w:rPr>
        <w:t> </w:t>
      </w:r>
      <w:r>
        <w:rPr>
          <w:i/>
          <w:color w:val="231F20"/>
          <w:sz w:val="18"/>
        </w:rPr>
        <w:t>en</w:t>
      </w:r>
      <w:r>
        <w:rPr>
          <w:i/>
          <w:color w:val="231F20"/>
          <w:spacing w:val="-11"/>
          <w:sz w:val="18"/>
        </w:rPr>
        <w:t> </w:t>
      </w:r>
      <w:r>
        <w:rPr>
          <w:i/>
          <w:color w:val="231F20"/>
          <w:sz w:val="18"/>
        </w:rPr>
        <w:t>México</w:t>
      </w:r>
      <w:r>
        <w:rPr>
          <w:color w:val="231F20"/>
          <w:sz w:val="18"/>
        </w:rPr>
        <w:t>,</w:t>
      </w:r>
      <w:r>
        <w:rPr>
          <w:color w:val="231F20"/>
          <w:spacing w:val="-11"/>
          <w:sz w:val="18"/>
        </w:rPr>
        <w:t> </w:t>
      </w:r>
      <w:r>
        <w:rPr>
          <w:color w:val="231F20"/>
          <w:sz w:val="18"/>
        </w:rPr>
        <w:t>México:</w:t>
      </w:r>
      <w:r>
        <w:rPr>
          <w:color w:val="231F20"/>
          <w:spacing w:val="-10"/>
          <w:sz w:val="18"/>
        </w:rPr>
        <w:t> </w:t>
      </w:r>
      <w:r>
        <w:rPr>
          <w:color w:val="231F20"/>
          <w:sz w:val="18"/>
        </w:rPr>
        <w:t>El</w:t>
      </w:r>
      <w:r>
        <w:rPr>
          <w:color w:val="231F20"/>
          <w:spacing w:val="-11"/>
          <w:sz w:val="18"/>
        </w:rPr>
        <w:t> </w:t>
      </w:r>
      <w:r>
        <w:rPr>
          <w:color w:val="231F20"/>
          <w:sz w:val="18"/>
        </w:rPr>
        <w:t>Colegio de México/Sociedad Mexicana de</w:t>
      </w:r>
      <w:r>
        <w:rPr>
          <w:color w:val="231F20"/>
          <w:spacing w:val="-32"/>
          <w:sz w:val="18"/>
        </w:rPr>
        <w:t> </w:t>
      </w:r>
      <w:r>
        <w:rPr>
          <w:color w:val="231F20"/>
          <w:sz w:val="18"/>
        </w:rPr>
        <w:t>Demografía.</w:t>
      </w:r>
    </w:p>
    <w:p>
      <w:pPr>
        <w:spacing w:line="254" w:lineRule="auto" w:before="57"/>
        <w:ind w:left="113" w:right="107" w:firstLine="0"/>
        <w:jc w:val="both"/>
        <w:rPr>
          <w:sz w:val="18"/>
        </w:rPr>
      </w:pPr>
      <w:r>
        <w:rPr>
          <w:color w:val="231F20"/>
          <w:sz w:val="18"/>
        </w:rPr>
        <w:t>García,</w:t>
      </w:r>
      <w:r>
        <w:rPr>
          <w:color w:val="231F20"/>
          <w:spacing w:val="-11"/>
          <w:sz w:val="18"/>
        </w:rPr>
        <w:t> </w:t>
      </w:r>
      <w:r>
        <w:rPr>
          <w:color w:val="231F20"/>
          <w:sz w:val="18"/>
        </w:rPr>
        <w:t>Brígida,</w:t>
      </w:r>
      <w:r>
        <w:rPr>
          <w:color w:val="231F20"/>
          <w:spacing w:val="-11"/>
          <w:sz w:val="18"/>
        </w:rPr>
        <w:t> </w:t>
      </w:r>
      <w:r>
        <w:rPr>
          <w:color w:val="231F20"/>
          <w:sz w:val="18"/>
        </w:rPr>
        <w:t>Humberto</w:t>
      </w:r>
      <w:r>
        <w:rPr>
          <w:color w:val="231F20"/>
          <w:spacing w:val="-11"/>
          <w:sz w:val="18"/>
        </w:rPr>
        <w:t> </w:t>
      </w:r>
      <w:r>
        <w:rPr>
          <w:color w:val="231F20"/>
          <w:sz w:val="18"/>
        </w:rPr>
        <w:t>Muñoz</w:t>
      </w:r>
      <w:r>
        <w:rPr>
          <w:color w:val="231F20"/>
          <w:spacing w:val="-11"/>
          <w:sz w:val="18"/>
        </w:rPr>
        <w:t> </w:t>
      </w:r>
      <w:r>
        <w:rPr>
          <w:color w:val="231F20"/>
          <w:sz w:val="18"/>
        </w:rPr>
        <w:t>y</w:t>
      </w:r>
      <w:r>
        <w:rPr>
          <w:color w:val="231F20"/>
          <w:spacing w:val="-11"/>
          <w:sz w:val="18"/>
        </w:rPr>
        <w:t> </w:t>
      </w:r>
      <w:r>
        <w:rPr>
          <w:color w:val="231F20"/>
          <w:sz w:val="18"/>
        </w:rPr>
        <w:t>Orlandina</w:t>
      </w:r>
      <w:r>
        <w:rPr>
          <w:color w:val="231F20"/>
          <w:spacing w:val="-11"/>
          <w:sz w:val="18"/>
        </w:rPr>
        <w:t> </w:t>
      </w:r>
      <w:r>
        <w:rPr>
          <w:color w:val="231F20"/>
          <w:sz w:val="18"/>
        </w:rPr>
        <w:t>de</w:t>
      </w:r>
      <w:r>
        <w:rPr>
          <w:color w:val="231F20"/>
          <w:spacing w:val="-11"/>
          <w:sz w:val="18"/>
        </w:rPr>
        <w:t> </w:t>
      </w:r>
      <w:r>
        <w:rPr>
          <w:color w:val="231F20"/>
          <w:sz w:val="18"/>
        </w:rPr>
        <w:t>Oliveira</w:t>
      </w:r>
      <w:r>
        <w:rPr>
          <w:color w:val="231F20"/>
          <w:spacing w:val="-11"/>
          <w:sz w:val="18"/>
        </w:rPr>
        <w:t> </w:t>
      </w:r>
      <w:r>
        <w:rPr>
          <w:color w:val="231F20"/>
          <w:sz w:val="18"/>
        </w:rPr>
        <w:t>(1988)</w:t>
      </w:r>
      <w:r>
        <w:rPr>
          <w:color w:val="231F20"/>
          <w:spacing w:val="-11"/>
          <w:sz w:val="18"/>
        </w:rPr>
        <w:t> </w:t>
      </w:r>
      <w:r>
        <w:rPr>
          <w:i/>
          <w:color w:val="231F20"/>
          <w:sz w:val="18"/>
        </w:rPr>
        <w:t>Hogares</w:t>
      </w:r>
      <w:r>
        <w:rPr>
          <w:i/>
          <w:color w:val="231F20"/>
          <w:spacing w:val="-11"/>
          <w:sz w:val="18"/>
        </w:rPr>
        <w:t> </w:t>
      </w:r>
      <w:r>
        <w:rPr>
          <w:i/>
          <w:color w:val="231F20"/>
          <w:sz w:val="18"/>
        </w:rPr>
        <w:t>y</w:t>
      </w:r>
      <w:r>
        <w:rPr>
          <w:i/>
          <w:color w:val="231F20"/>
          <w:spacing w:val="-11"/>
          <w:sz w:val="18"/>
        </w:rPr>
        <w:t> </w:t>
      </w:r>
      <w:r>
        <w:rPr>
          <w:i/>
          <w:color w:val="231F20"/>
          <w:sz w:val="18"/>
        </w:rPr>
        <w:t>tra- </w:t>
      </w:r>
      <w:r>
        <w:rPr>
          <w:i/>
          <w:color w:val="231F20"/>
          <w:sz w:val="18"/>
        </w:rPr>
        <w:t>bajadores</w:t>
      </w:r>
      <w:r>
        <w:rPr>
          <w:i/>
          <w:color w:val="231F20"/>
          <w:spacing w:val="-4"/>
          <w:sz w:val="18"/>
        </w:rPr>
        <w:t> </w:t>
      </w:r>
      <w:r>
        <w:rPr>
          <w:i/>
          <w:color w:val="231F20"/>
          <w:sz w:val="18"/>
        </w:rPr>
        <w:t>en</w:t>
      </w:r>
      <w:r>
        <w:rPr>
          <w:i/>
          <w:color w:val="231F20"/>
          <w:spacing w:val="-4"/>
          <w:sz w:val="18"/>
        </w:rPr>
        <w:t> </w:t>
      </w:r>
      <w:r>
        <w:rPr>
          <w:i/>
          <w:color w:val="231F20"/>
          <w:sz w:val="18"/>
        </w:rPr>
        <w:t>la</w:t>
      </w:r>
      <w:r>
        <w:rPr>
          <w:i/>
          <w:color w:val="231F20"/>
          <w:spacing w:val="-4"/>
          <w:sz w:val="18"/>
        </w:rPr>
        <w:t> </w:t>
      </w:r>
      <w:r>
        <w:rPr>
          <w:i/>
          <w:color w:val="231F20"/>
          <w:sz w:val="18"/>
        </w:rPr>
        <w:t>Ciudad</w:t>
      </w:r>
      <w:r>
        <w:rPr>
          <w:i/>
          <w:color w:val="231F20"/>
          <w:spacing w:val="-3"/>
          <w:sz w:val="18"/>
        </w:rPr>
        <w:t> </w:t>
      </w:r>
      <w:r>
        <w:rPr>
          <w:i/>
          <w:color w:val="231F20"/>
          <w:sz w:val="18"/>
        </w:rPr>
        <w:t>de</w:t>
      </w:r>
      <w:r>
        <w:rPr>
          <w:i/>
          <w:color w:val="231F20"/>
          <w:spacing w:val="-3"/>
          <w:sz w:val="18"/>
        </w:rPr>
        <w:t> </w:t>
      </w:r>
      <w:r>
        <w:rPr>
          <w:i/>
          <w:color w:val="231F20"/>
          <w:sz w:val="18"/>
        </w:rPr>
        <w:t>México</w:t>
      </w:r>
      <w:r>
        <w:rPr>
          <w:color w:val="231F20"/>
          <w:sz w:val="18"/>
        </w:rPr>
        <w:t>,</w:t>
      </w:r>
      <w:r>
        <w:rPr>
          <w:color w:val="231F20"/>
          <w:spacing w:val="-3"/>
          <w:sz w:val="18"/>
        </w:rPr>
        <w:t> </w:t>
      </w:r>
      <w:r>
        <w:rPr>
          <w:color w:val="231F20"/>
          <w:sz w:val="18"/>
        </w:rPr>
        <w:t>México:</w:t>
      </w:r>
      <w:r>
        <w:rPr>
          <w:color w:val="231F20"/>
          <w:spacing w:val="-3"/>
          <w:sz w:val="18"/>
        </w:rPr>
        <w:t> </w:t>
      </w:r>
      <w:r>
        <w:rPr>
          <w:color w:val="231F20"/>
          <w:sz w:val="18"/>
        </w:rPr>
        <w:t>El</w:t>
      </w:r>
      <w:r>
        <w:rPr>
          <w:color w:val="231F20"/>
          <w:spacing w:val="-3"/>
          <w:sz w:val="18"/>
        </w:rPr>
        <w:t> </w:t>
      </w:r>
      <w:r>
        <w:rPr>
          <w:color w:val="231F20"/>
          <w:sz w:val="18"/>
        </w:rPr>
        <w:t>Colegio</w:t>
      </w:r>
      <w:r>
        <w:rPr>
          <w:color w:val="231F20"/>
          <w:spacing w:val="-3"/>
          <w:sz w:val="18"/>
        </w:rPr>
        <w:t> </w:t>
      </w:r>
      <w:r>
        <w:rPr>
          <w:color w:val="231F20"/>
          <w:sz w:val="18"/>
        </w:rPr>
        <w:t>de</w:t>
      </w:r>
      <w:r>
        <w:rPr>
          <w:color w:val="231F20"/>
          <w:spacing w:val="-3"/>
          <w:sz w:val="18"/>
        </w:rPr>
        <w:t> </w:t>
      </w:r>
      <w:r>
        <w:rPr>
          <w:color w:val="231F20"/>
          <w:sz w:val="18"/>
        </w:rPr>
        <w:t>México/IIS-UNAM.</w:t>
      </w:r>
    </w:p>
    <w:p>
      <w:pPr>
        <w:spacing w:line="254" w:lineRule="auto" w:before="57"/>
        <w:ind w:left="113" w:right="107" w:firstLine="0"/>
        <w:jc w:val="both"/>
        <w:rPr>
          <w:sz w:val="18"/>
        </w:rPr>
      </w:pPr>
      <w:r>
        <w:rPr>
          <w:color w:val="231F20"/>
          <w:sz w:val="18"/>
        </w:rPr>
        <w:t>García,</w:t>
      </w:r>
      <w:r>
        <w:rPr>
          <w:color w:val="231F20"/>
          <w:spacing w:val="-5"/>
          <w:sz w:val="18"/>
        </w:rPr>
        <w:t> </w:t>
      </w:r>
      <w:r>
        <w:rPr>
          <w:color w:val="231F20"/>
          <w:sz w:val="18"/>
        </w:rPr>
        <w:t>Brígida</w:t>
      </w:r>
      <w:r>
        <w:rPr>
          <w:color w:val="231F20"/>
          <w:spacing w:val="-5"/>
          <w:sz w:val="18"/>
        </w:rPr>
        <w:t> </w:t>
      </w:r>
      <w:r>
        <w:rPr>
          <w:color w:val="231F20"/>
          <w:sz w:val="18"/>
        </w:rPr>
        <w:t>y</w:t>
      </w:r>
      <w:r>
        <w:rPr>
          <w:color w:val="231F20"/>
          <w:spacing w:val="-5"/>
          <w:sz w:val="18"/>
        </w:rPr>
        <w:t> </w:t>
      </w:r>
      <w:r>
        <w:rPr>
          <w:color w:val="231F20"/>
          <w:sz w:val="18"/>
        </w:rPr>
        <w:t>Orlandina</w:t>
      </w:r>
      <w:r>
        <w:rPr>
          <w:color w:val="231F20"/>
          <w:spacing w:val="-4"/>
          <w:sz w:val="18"/>
        </w:rPr>
        <w:t> </w:t>
      </w:r>
      <w:r>
        <w:rPr>
          <w:color w:val="231F20"/>
          <w:sz w:val="18"/>
        </w:rPr>
        <w:t>de</w:t>
      </w:r>
      <w:r>
        <w:rPr>
          <w:color w:val="231F20"/>
          <w:spacing w:val="-5"/>
          <w:sz w:val="18"/>
        </w:rPr>
        <w:t> </w:t>
      </w:r>
      <w:r>
        <w:rPr>
          <w:color w:val="231F20"/>
          <w:sz w:val="18"/>
        </w:rPr>
        <w:t>Oliveira</w:t>
      </w:r>
      <w:r>
        <w:rPr>
          <w:color w:val="231F20"/>
          <w:spacing w:val="-4"/>
          <w:sz w:val="18"/>
        </w:rPr>
        <w:t> </w:t>
      </w:r>
      <w:r>
        <w:rPr>
          <w:color w:val="231F20"/>
          <w:sz w:val="18"/>
        </w:rPr>
        <w:t>(1995)</w:t>
      </w:r>
      <w:r>
        <w:rPr>
          <w:color w:val="231F20"/>
          <w:spacing w:val="-5"/>
          <w:sz w:val="18"/>
        </w:rPr>
        <w:t> </w:t>
      </w:r>
      <w:r>
        <w:rPr>
          <w:i/>
          <w:color w:val="231F20"/>
          <w:spacing w:val="-3"/>
          <w:sz w:val="18"/>
        </w:rPr>
        <w:t>Trabajo</w:t>
      </w:r>
      <w:r>
        <w:rPr>
          <w:i/>
          <w:color w:val="231F20"/>
          <w:spacing w:val="-5"/>
          <w:sz w:val="18"/>
        </w:rPr>
        <w:t> </w:t>
      </w:r>
      <w:r>
        <w:rPr>
          <w:i/>
          <w:color w:val="231F20"/>
          <w:sz w:val="18"/>
        </w:rPr>
        <w:t>femenino</w:t>
      </w:r>
      <w:r>
        <w:rPr>
          <w:i/>
          <w:color w:val="231F20"/>
          <w:spacing w:val="-5"/>
          <w:sz w:val="18"/>
        </w:rPr>
        <w:t> </w:t>
      </w:r>
      <w:r>
        <w:rPr>
          <w:i/>
          <w:color w:val="231F20"/>
          <w:sz w:val="18"/>
        </w:rPr>
        <w:t>y</w:t>
      </w:r>
      <w:r>
        <w:rPr>
          <w:i/>
          <w:color w:val="231F20"/>
          <w:spacing w:val="-5"/>
          <w:sz w:val="18"/>
        </w:rPr>
        <w:t> </w:t>
      </w:r>
      <w:r>
        <w:rPr>
          <w:i/>
          <w:color w:val="231F20"/>
          <w:sz w:val="18"/>
        </w:rPr>
        <w:t>vida</w:t>
      </w:r>
      <w:r>
        <w:rPr>
          <w:i/>
          <w:color w:val="231F20"/>
          <w:spacing w:val="-5"/>
          <w:sz w:val="18"/>
        </w:rPr>
        <w:t> </w:t>
      </w:r>
      <w:r>
        <w:rPr>
          <w:i/>
          <w:color w:val="231F20"/>
          <w:sz w:val="18"/>
        </w:rPr>
        <w:t>familiar </w:t>
      </w:r>
      <w:r>
        <w:rPr>
          <w:i/>
          <w:color w:val="231F20"/>
          <w:sz w:val="18"/>
        </w:rPr>
        <w:t>en México</w:t>
      </w:r>
      <w:r>
        <w:rPr>
          <w:color w:val="231F20"/>
          <w:sz w:val="18"/>
        </w:rPr>
        <w:t>: México: El Colegio de</w:t>
      </w:r>
      <w:r>
        <w:rPr>
          <w:color w:val="231F20"/>
          <w:spacing w:val="-15"/>
          <w:sz w:val="18"/>
        </w:rPr>
        <w:t> </w:t>
      </w:r>
      <w:r>
        <w:rPr>
          <w:color w:val="231F20"/>
          <w:sz w:val="18"/>
        </w:rPr>
        <w:t>México.</w:t>
      </w:r>
    </w:p>
    <w:p>
      <w:pPr>
        <w:spacing w:after="0" w:line="254" w:lineRule="auto"/>
        <w:jc w:val="both"/>
        <w:rPr>
          <w:sz w:val="18"/>
        </w:rPr>
        <w:sectPr>
          <w:footerReference w:type="default" r:id="rId282"/>
          <w:pgSz w:w="7770" w:h="11740"/>
          <w:pgMar w:footer="474" w:header="0" w:top="840" w:bottom="660" w:left="1020" w:right="740"/>
          <w:pgNumType w:start="273"/>
        </w:sectPr>
      </w:pPr>
    </w:p>
    <w:p>
      <w:pPr>
        <w:spacing w:line="254" w:lineRule="auto" w:before="55"/>
        <w:ind w:left="110" w:right="111" w:firstLine="0"/>
        <w:jc w:val="both"/>
        <w:rPr>
          <w:sz w:val="18"/>
        </w:rPr>
      </w:pPr>
      <w:r>
        <w:rPr>
          <w:color w:val="231F20"/>
          <w:sz w:val="18"/>
        </w:rPr>
        <w:t>González de la Rocha, Mercedes (1986) </w:t>
      </w:r>
      <w:r>
        <w:rPr>
          <w:i/>
          <w:color w:val="231F20"/>
          <w:sz w:val="18"/>
        </w:rPr>
        <w:t>Los recursos de la pobreza. Familias </w:t>
      </w:r>
      <w:r>
        <w:rPr>
          <w:i/>
          <w:color w:val="231F20"/>
          <w:sz w:val="18"/>
        </w:rPr>
        <w:t>de</w:t>
      </w:r>
      <w:r>
        <w:rPr>
          <w:i/>
          <w:color w:val="231F20"/>
          <w:spacing w:val="-5"/>
          <w:sz w:val="18"/>
        </w:rPr>
        <w:t> </w:t>
      </w:r>
      <w:r>
        <w:rPr>
          <w:i/>
          <w:color w:val="231F20"/>
          <w:sz w:val="18"/>
        </w:rPr>
        <w:t>bajos</w:t>
      </w:r>
      <w:r>
        <w:rPr>
          <w:i/>
          <w:color w:val="231F20"/>
          <w:spacing w:val="-5"/>
          <w:sz w:val="18"/>
        </w:rPr>
        <w:t> </w:t>
      </w:r>
      <w:r>
        <w:rPr>
          <w:i/>
          <w:color w:val="231F20"/>
          <w:sz w:val="18"/>
        </w:rPr>
        <w:t>ingresos</w:t>
      </w:r>
      <w:r>
        <w:rPr>
          <w:i/>
          <w:color w:val="231F20"/>
          <w:spacing w:val="-6"/>
          <w:sz w:val="18"/>
        </w:rPr>
        <w:t> </w:t>
      </w:r>
      <w:r>
        <w:rPr>
          <w:i/>
          <w:color w:val="231F20"/>
          <w:sz w:val="18"/>
        </w:rPr>
        <w:t>de</w:t>
      </w:r>
      <w:r>
        <w:rPr>
          <w:i/>
          <w:color w:val="231F20"/>
          <w:spacing w:val="-5"/>
          <w:sz w:val="18"/>
        </w:rPr>
        <w:t> </w:t>
      </w:r>
      <w:r>
        <w:rPr>
          <w:i/>
          <w:color w:val="231F20"/>
          <w:sz w:val="18"/>
        </w:rPr>
        <w:t>Guadalajara,</w:t>
      </w:r>
      <w:r>
        <w:rPr>
          <w:i/>
          <w:color w:val="231F20"/>
          <w:spacing w:val="-5"/>
          <w:sz w:val="18"/>
        </w:rPr>
        <w:t> </w:t>
      </w:r>
      <w:r>
        <w:rPr>
          <w:color w:val="231F20"/>
          <w:sz w:val="18"/>
        </w:rPr>
        <w:t>Guadalajara:</w:t>
      </w:r>
      <w:r>
        <w:rPr>
          <w:color w:val="231F20"/>
          <w:spacing w:val="-5"/>
          <w:sz w:val="18"/>
        </w:rPr>
        <w:t> </w:t>
      </w:r>
      <w:r>
        <w:rPr>
          <w:color w:val="231F20"/>
          <w:sz w:val="18"/>
        </w:rPr>
        <w:t>El</w:t>
      </w:r>
      <w:r>
        <w:rPr>
          <w:color w:val="231F20"/>
          <w:spacing w:val="-5"/>
          <w:sz w:val="18"/>
        </w:rPr>
        <w:t> </w:t>
      </w:r>
      <w:r>
        <w:rPr>
          <w:color w:val="231F20"/>
          <w:sz w:val="18"/>
        </w:rPr>
        <w:t>Colegio</w:t>
      </w:r>
      <w:r>
        <w:rPr>
          <w:color w:val="231F20"/>
          <w:spacing w:val="-5"/>
          <w:sz w:val="18"/>
        </w:rPr>
        <w:t> </w:t>
      </w:r>
      <w:r>
        <w:rPr>
          <w:color w:val="231F20"/>
          <w:sz w:val="18"/>
        </w:rPr>
        <w:t>de</w:t>
      </w:r>
      <w:r>
        <w:rPr>
          <w:color w:val="231F20"/>
          <w:spacing w:val="-5"/>
          <w:sz w:val="18"/>
        </w:rPr>
        <w:t> </w:t>
      </w:r>
      <w:r>
        <w:rPr>
          <w:color w:val="231F20"/>
          <w:sz w:val="18"/>
        </w:rPr>
        <w:t>Jalisco/CIESAS.</w:t>
      </w:r>
    </w:p>
    <w:p>
      <w:pPr>
        <w:spacing w:line="254" w:lineRule="auto" w:before="57"/>
        <w:ind w:left="110" w:right="111" w:firstLine="0"/>
        <w:jc w:val="both"/>
        <w:rPr>
          <w:sz w:val="18"/>
        </w:rPr>
      </w:pPr>
      <w:r>
        <w:rPr>
          <w:color w:val="231F20"/>
          <w:sz w:val="18"/>
        </w:rPr>
        <w:t>Habermas,</w:t>
      </w:r>
      <w:r>
        <w:rPr>
          <w:color w:val="231F20"/>
          <w:spacing w:val="-9"/>
          <w:sz w:val="18"/>
        </w:rPr>
        <w:t> </w:t>
      </w:r>
      <w:r>
        <w:rPr>
          <w:color w:val="231F20"/>
          <w:sz w:val="18"/>
        </w:rPr>
        <w:t>Jürgen</w:t>
      </w:r>
      <w:r>
        <w:rPr>
          <w:color w:val="231F20"/>
          <w:spacing w:val="-10"/>
          <w:sz w:val="18"/>
        </w:rPr>
        <w:t> </w:t>
      </w:r>
      <w:r>
        <w:rPr>
          <w:color w:val="231F20"/>
          <w:sz w:val="18"/>
        </w:rPr>
        <w:t>(1980)</w:t>
      </w:r>
      <w:r>
        <w:rPr>
          <w:color w:val="231F20"/>
          <w:spacing w:val="-9"/>
          <w:sz w:val="18"/>
        </w:rPr>
        <w:t> </w:t>
      </w:r>
      <w:r>
        <w:rPr>
          <w:i/>
          <w:color w:val="231F20"/>
          <w:sz w:val="18"/>
        </w:rPr>
        <w:t>Prefacio</w:t>
      </w:r>
      <w:r>
        <w:rPr>
          <w:i/>
          <w:color w:val="231F20"/>
          <w:spacing w:val="-10"/>
          <w:sz w:val="18"/>
        </w:rPr>
        <w:t> </w:t>
      </w:r>
      <w:r>
        <w:rPr>
          <w:i/>
          <w:color w:val="231F20"/>
          <w:sz w:val="18"/>
        </w:rPr>
        <w:t>en</w:t>
      </w:r>
      <w:r>
        <w:rPr>
          <w:i/>
          <w:color w:val="231F20"/>
          <w:spacing w:val="-10"/>
          <w:sz w:val="18"/>
        </w:rPr>
        <w:t> </w:t>
      </w:r>
      <w:r>
        <w:rPr>
          <w:i/>
          <w:color w:val="231F20"/>
          <w:sz w:val="18"/>
        </w:rPr>
        <w:t>“Entrevista”</w:t>
      </w:r>
      <w:r>
        <w:rPr>
          <w:i/>
          <w:color w:val="231F20"/>
          <w:spacing w:val="-10"/>
          <w:sz w:val="18"/>
        </w:rPr>
        <w:t> </w:t>
      </w:r>
      <w:r>
        <w:rPr>
          <w:i/>
          <w:color w:val="231F20"/>
          <w:sz w:val="18"/>
        </w:rPr>
        <w:t>Herbert</w:t>
      </w:r>
      <w:r>
        <w:rPr>
          <w:i/>
          <w:color w:val="231F20"/>
          <w:spacing w:val="-9"/>
          <w:sz w:val="18"/>
        </w:rPr>
        <w:t> </w:t>
      </w:r>
      <w:r>
        <w:rPr>
          <w:i/>
          <w:color w:val="231F20"/>
          <w:sz w:val="18"/>
        </w:rPr>
        <w:t>Marcuse</w:t>
      </w:r>
      <w:r>
        <w:rPr>
          <w:color w:val="231F20"/>
          <w:sz w:val="18"/>
        </w:rPr>
        <w:t>,</w:t>
      </w:r>
      <w:r>
        <w:rPr>
          <w:color w:val="231F20"/>
          <w:spacing w:val="-10"/>
          <w:sz w:val="18"/>
        </w:rPr>
        <w:t> </w:t>
      </w:r>
      <w:r>
        <w:rPr>
          <w:color w:val="231F20"/>
          <w:sz w:val="18"/>
        </w:rPr>
        <w:t>Serie</w:t>
      </w:r>
      <w:r>
        <w:rPr>
          <w:color w:val="231F20"/>
          <w:spacing w:val="-10"/>
          <w:sz w:val="18"/>
        </w:rPr>
        <w:t> </w:t>
      </w:r>
      <w:r>
        <w:rPr>
          <w:color w:val="231F20"/>
          <w:sz w:val="18"/>
        </w:rPr>
        <w:t>Con- versaciones, Barcelona.</w:t>
      </w:r>
    </w:p>
    <w:p>
      <w:pPr>
        <w:spacing w:line="254" w:lineRule="auto" w:before="57"/>
        <w:ind w:left="110" w:right="111" w:firstLine="0"/>
        <w:jc w:val="both"/>
        <w:rPr>
          <w:sz w:val="18"/>
        </w:rPr>
      </w:pPr>
      <w:r>
        <w:rPr>
          <w:color w:val="231F20"/>
          <w:sz w:val="18"/>
        </w:rPr>
        <w:t>Harvey, David (1990) “Between space and time: reflections on the geographical imagination”, en </w:t>
      </w:r>
      <w:r>
        <w:rPr>
          <w:i/>
          <w:color w:val="231F20"/>
          <w:sz w:val="18"/>
        </w:rPr>
        <w:t>Annals of the Association of American Geographers</w:t>
      </w:r>
      <w:r>
        <w:rPr>
          <w:color w:val="231F20"/>
          <w:sz w:val="18"/>
        </w:rPr>
        <w:t>, vol. 80, núm. 3, sep.</w:t>
      </w:r>
    </w:p>
    <w:p>
      <w:pPr>
        <w:spacing w:before="57"/>
        <w:ind w:left="110" w:right="0" w:firstLine="0"/>
        <w:jc w:val="both"/>
        <w:rPr>
          <w:sz w:val="18"/>
        </w:rPr>
      </w:pPr>
      <w:r>
        <w:rPr>
          <w:color w:val="231F20"/>
          <w:sz w:val="18"/>
        </w:rPr>
        <w:t>Heinz, Walter, </w:t>
      </w:r>
      <w:r>
        <w:rPr>
          <w:i/>
          <w:color w:val="231F20"/>
          <w:sz w:val="18"/>
        </w:rPr>
        <w:t>Theoretical in Life Course Research, </w:t>
      </w:r>
      <w:r>
        <w:rPr>
          <w:color w:val="231F20"/>
          <w:sz w:val="18"/>
        </w:rPr>
        <w:t>Deutscher Studien Verlag.</w:t>
      </w:r>
    </w:p>
    <w:p>
      <w:pPr>
        <w:spacing w:line="254" w:lineRule="auto" w:before="69"/>
        <w:ind w:left="110" w:right="111" w:firstLine="0"/>
        <w:jc w:val="both"/>
        <w:rPr>
          <w:sz w:val="18"/>
        </w:rPr>
      </w:pPr>
      <w:r>
        <w:rPr>
          <w:color w:val="231F20"/>
          <w:sz w:val="18"/>
        </w:rPr>
        <w:t>Héritier (1991) “La sangre de los guerreros y la sangre de las mujeres”, en Alte- ridades, traducción de María Eugenia Olavaría, México: UAM.</w:t>
      </w:r>
    </w:p>
    <w:p>
      <w:pPr>
        <w:spacing w:line="254" w:lineRule="auto" w:before="57"/>
        <w:ind w:left="110" w:right="111" w:firstLine="0"/>
        <w:jc w:val="both"/>
        <w:rPr>
          <w:sz w:val="18"/>
        </w:rPr>
      </w:pPr>
      <w:r>
        <w:rPr>
          <w:color w:val="231F20"/>
          <w:sz w:val="18"/>
        </w:rPr>
        <w:t>INEGI (Instituto Nacional de Geografía y Estadística) (2010), Censo de Pobla- ción y Vivienda, Aguascalientes: INEGI.</w:t>
      </w:r>
    </w:p>
    <w:p>
      <w:pPr>
        <w:spacing w:line="254" w:lineRule="auto" w:before="57"/>
        <w:ind w:left="110" w:right="111" w:firstLine="0"/>
        <w:jc w:val="both"/>
        <w:rPr>
          <w:sz w:val="18"/>
        </w:rPr>
      </w:pPr>
      <w:r>
        <w:rPr>
          <w:color w:val="231F20"/>
          <w:sz w:val="18"/>
        </w:rPr>
        <w:t>Lamas,</w:t>
      </w:r>
      <w:r>
        <w:rPr>
          <w:color w:val="231F20"/>
          <w:spacing w:val="-12"/>
          <w:sz w:val="18"/>
        </w:rPr>
        <w:t> </w:t>
      </w:r>
      <w:r>
        <w:rPr>
          <w:color w:val="231F20"/>
          <w:sz w:val="18"/>
        </w:rPr>
        <w:t>Marta</w:t>
      </w:r>
      <w:r>
        <w:rPr>
          <w:color w:val="231F20"/>
          <w:spacing w:val="-11"/>
          <w:sz w:val="18"/>
        </w:rPr>
        <w:t> </w:t>
      </w:r>
      <w:r>
        <w:rPr>
          <w:color w:val="231F20"/>
          <w:sz w:val="18"/>
        </w:rPr>
        <w:t>(comp.)</w:t>
      </w:r>
      <w:r>
        <w:rPr>
          <w:color w:val="231F20"/>
          <w:spacing w:val="-11"/>
          <w:sz w:val="18"/>
        </w:rPr>
        <w:t> </w:t>
      </w:r>
      <w:r>
        <w:rPr>
          <w:color w:val="231F20"/>
          <w:sz w:val="18"/>
        </w:rPr>
        <w:t>(1997)</w:t>
      </w:r>
      <w:r>
        <w:rPr>
          <w:color w:val="231F20"/>
          <w:spacing w:val="-11"/>
          <w:sz w:val="18"/>
        </w:rPr>
        <w:t> </w:t>
      </w:r>
      <w:r>
        <w:rPr>
          <w:i/>
          <w:color w:val="231F20"/>
          <w:sz w:val="18"/>
        </w:rPr>
        <w:t>El</w:t>
      </w:r>
      <w:r>
        <w:rPr>
          <w:i/>
          <w:color w:val="231F20"/>
          <w:spacing w:val="-11"/>
          <w:sz w:val="18"/>
        </w:rPr>
        <w:t> </w:t>
      </w:r>
      <w:r>
        <w:rPr>
          <w:i/>
          <w:color w:val="231F20"/>
          <w:sz w:val="18"/>
        </w:rPr>
        <w:t>género:</w:t>
      </w:r>
      <w:r>
        <w:rPr>
          <w:i/>
          <w:color w:val="231F20"/>
          <w:spacing w:val="-11"/>
          <w:sz w:val="18"/>
        </w:rPr>
        <w:t> </w:t>
      </w:r>
      <w:r>
        <w:rPr>
          <w:i/>
          <w:color w:val="231F20"/>
          <w:sz w:val="18"/>
        </w:rPr>
        <w:t>la</w:t>
      </w:r>
      <w:r>
        <w:rPr>
          <w:i/>
          <w:color w:val="231F20"/>
          <w:spacing w:val="-11"/>
          <w:sz w:val="18"/>
        </w:rPr>
        <w:t> </w:t>
      </w:r>
      <w:r>
        <w:rPr>
          <w:i/>
          <w:color w:val="231F20"/>
          <w:sz w:val="18"/>
        </w:rPr>
        <w:t>construcción</w:t>
      </w:r>
      <w:r>
        <w:rPr>
          <w:i/>
          <w:color w:val="231F20"/>
          <w:spacing w:val="-12"/>
          <w:sz w:val="18"/>
        </w:rPr>
        <w:t> </w:t>
      </w:r>
      <w:r>
        <w:rPr>
          <w:i/>
          <w:color w:val="231F20"/>
          <w:sz w:val="18"/>
        </w:rPr>
        <w:t>cultural</w:t>
      </w:r>
      <w:r>
        <w:rPr>
          <w:i/>
          <w:color w:val="231F20"/>
          <w:spacing w:val="-12"/>
          <w:sz w:val="18"/>
        </w:rPr>
        <w:t> </w:t>
      </w:r>
      <w:r>
        <w:rPr>
          <w:i/>
          <w:color w:val="231F20"/>
          <w:sz w:val="18"/>
        </w:rPr>
        <w:t>de</w:t>
      </w:r>
      <w:r>
        <w:rPr>
          <w:i/>
          <w:color w:val="231F20"/>
          <w:spacing w:val="-11"/>
          <w:sz w:val="18"/>
        </w:rPr>
        <w:t> </w:t>
      </w:r>
      <w:r>
        <w:rPr>
          <w:i/>
          <w:color w:val="231F20"/>
          <w:sz w:val="18"/>
        </w:rPr>
        <w:t>la</w:t>
      </w:r>
      <w:r>
        <w:rPr>
          <w:i/>
          <w:color w:val="231F20"/>
          <w:spacing w:val="-11"/>
          <w:sz w:val="18"/>
        </w:rPr>
        <w:t> </w:t>
      </w:r>
      <w:r>
        <w:rPr>
          <w:i/>
          <w:color w:val="231F20"/>
          <w:sz w:val="18"/>
        </w:rPr>
        <w:t>diferencia </w:t>
      </w:r>
      <w:r>
        <w:rPr>
          <w:i/>
          <w:color w:val="231F20"/>
          <w:sz w:val="18"/>
        </w:rPr>
        <w:t>sexual</w:t>
      </w:r>
      <w:r>
        <w:rPr>
          <w:color w:val="231F20"/>
          <w:sz w:val="18"/>
        </w:rPr>
        <w:t>, Programa Universitario de Estudios de Género, México: Miguel Angel Porrúa.</w:t>
      </w:r>
    </w:p>
    <w:p>
      <w:pPr>
        <w:spacing w:line="254" w:lineRule="auto" w:before="57"/>
        <w:ind w:left="110" w:right="111" w:firstLine="0"/>
        <w:jc w:val="both"/>
        <w:rPr>
          <w:sz w:val="18"/>
        </w:rPr>
      </w:pPr>
      <w:r>
        <w:rPr>
          <w:color w:val="231F20"/>
          <w:sz w:val="18"/>
        </w:rPr>
        <w:t>Marcuse,</w:t>
      </w:r>
      <w:r>
        <w:rPr>
          <w:color w:val="231F20"/>
          <w:spacing w:val="-8"/>
          <w:sz w:val="18"/>
        </w:rPr>
        <w:t> </w:t>
      </w:r>
      <w:r>
        <w:rPr>
          <w:color w:val="231F20"/>
          <w:sz w:val="18"/>
        </w:rPr>
        <w:t>Herbert</w:t>
      </w:r>
      <w:r>
        <w:rPr>
          <w:color w:val="231F20"/>
          <w:spacing w:val="-8"/>
          <w:sz w:val="18"/>
        </w:rPr>
        <w:t> </w:t>
      </w:r>
      <w:r>
        <w:rPr>
          <w:color w:val="231F20"/>
          <w:sz w:val="18"/>
        </w:rPr>
        <w:t>(1978)</w:t>
      </w:r>
      <w:r>
        <w:rPr>
          <w:color w:val="231F20"/>
          <w:spacing w:val="-9"/>
          <w:sz w:val="18"/>
        </w:rPr>
        <w:t> </w:t>
      </w:r>
      <w:r>
        <w:rPr>
          <w:i/>
          <w:color w:val="231F20"/>
          <w:sz w:val="18"/>
        </w:rPr>
        <w:t>Entrevista</w:t>
      </w:r>
      <w:r>
        <w:rPr>
          <w:color w:val="231F20"/>
          <w:sz w:val="18"/>
        </w:rPr>
        <w:t>,</w:t>
      </w:r>
      <w:r>
        <w:rPr>
          <w:color w:val="231F20"/>
          <w:spacing w:val="-9"/>
          <w:sz w:val="18"/>
        </w:rPr>
        <w:t> </w:t>
      </w:r>
      <w:r>
        <w:rPr>
          <w:color w:val="231F20"/>
          <w:sz w:val="18"/>
        </w:rPr>
        <w:t>en</w:t>
      </w:r>
      <w:r>
        <w:rPr>
          <w:color w:val="231F20"/>
          <w:spacing w:val="-9"/>
          <w:sz w:val="18"/>
        </w:rPr>
        <w:t> </w:t>
      </w:r>
      <w:r>
        <w:rPr>
          <w:color w:val="231F20"/>
          <w:sz w:val="18"/>
        </w:rPr>
        <w:t>Serie</w:t>
      </w:r>
      <w:r>
        <w:rPr>
          <w:color w:val="231F20"/>
          <w:spacing w:val="-8"/>
          <w:sz w:val="18"/>
        </w:rPr>
        <w:t> </w:t>
      </w:r>
      <w:r>
        <w:rPr>
          <w:color w:val="231F20"/>
          <w:sz w:val="18"/>
        </w:rPr>
        <w:t>Conversaciones,</w:t>
      </w:r>
      <w:r>
        <w:rPr>
          <w:color w:val="231F20"/>
          <w:spacing w:val="-9"/>
          <w:sz w:val="18"/>
        </w:rPr>
        <w:t> </w:t>
      </w:r>
      <w:r>
        <w:rPr>
          <w:color w:val="231F20"/>
          <w:sz w:val="18"/>
        </w:rPr>
        <w:t>Habermas,</w:t>
      </w:r>
      <w:r>
        <w:rPr>
          <w:color w:val="231F20"/>
          <w:spacing w:val="-8"/>
          <w:sz w:val="18"/>
        </w:rPr>
        <w:t> </w:t>
      </w:r>
      <w:r>
        <w:rPr>
          <w:color w:val="231F20"/>
          <w:sz w:val="18"/>
        </w:rPr>
        <w:t>Jürgen y otros, Barcelona:</w:t>
      </w:r>
      <w:r>
        <w:rPr>
          <w:color w:val="231F20"/>
          <w:spacing w:val="-7"/>
          <w:sz w:val="18"/>
        </w:rPr>
        <w:t> </w:t>
      </w:r>
      <w:r>
        <w:rPr>
          <w:color w:val="231F20"/>
          <w:sz w:val="18"/>
        </w:rPr>
        <w:t>Gedisa.</w:t>
      </w:r>
    </w:p>
    <w:p>
      <w:pPr>
        <w:spacing w:line="254" w:lineRule="auto" w:before="57"/>
        <w:ind w:left="110" w:right="111" w:firstLine="0"/>
        <w:jc w:val="both"/>
        <w:rPr>
          <w:sz w:val="18"/>
        </w:rPr>
      </w:pPr>
      <w:r>
        <w:rPr>
          <w:color w:val="231F20"/>
          <w:sz w:val="18"/>
        </w:rPr>
        <w:t>Martínez de la Peña, Mónica (2006) </w:t>
      </w:r>
      <w:r>
        <w:rPr>
          <w:i/>
          <w:color w:val="231F20"/>
          <w:sz w:val="18"/>
        </w:rPr>
        <w:t>Mercado de trabajo y participación econó- </w:t>
      </w:r>
      <w:r>
        <w:rPr>
          <w:i/>
          <w:color w:val="231F20"/>
          <w:sz w:val="18"/>
        </w:rPr>
        <w:t>mica familiar en Monterrey, 1990-2003</w:t>
      </w:r>
      <w:r>
        <w:rPr>
          <w:color w:val="231F20"/>
          <w:sz w:val="18"/>
        </w:rPr>
        <w:t>, tesis doctoral, México: El Colegio de México.</w:t>
      </w:r>
    </w:p>
    <w:p>
      <w:pPr>
        <w:spacing w:line="254" w:lineRule="auto" w:before="57"/>
        <w:ind w:left="110" w:right="111" w:firstLine="0"/>
        <w:jc w:val="both"/>
        <w:rPr>
          <w:sz w:val="18"/>
        </w:rPr>
      </w:pPr>
      <w:r>
        <w:rPr>
          <w:color w:val="231F20"/>
          <w:sz w:val="18"/>
        </w:rPr>
        <w:t>Montes de Oca, </w:t>
      </w:r>
      <w:r>
        <w:rPr>
          <w:color w:val="231F20"/>
          <w:spacing w:val="-3"/>
          <w:sz w:val="18"/>
        </w:rPr>
        <w:t>Verónica </w:t>
      </w:r>
      <w:r>
        <w:rPr>
          <w:color w:val="231F20"/>
          <w:sz w:val="18"/>
        </w:rPr>
        <w:t>(1995) </w:t>
      </w:r>
      <w:r>
        <w:rPr>
          <w:i/>
          <w:color w:val="231F20"/>
          <w:sz w:val="18"/>
        </w:rPr>
        <w:t>Envejecimiento en México. Condición social   </w:t>
      </w:r>
      <w:r>
        <w:rPr>
          <w:i/>
          <w:color w:val="231F20"/>
          <w:sz w:val="18"/>
        </w:rPr>
        <w:t>y participación económica de la población con 65 años y más en la ciudad de México, </w:t>
      </w:r>
      <w:r>
        <w:rPr>
          <w:color w:val="231F20"/>
          <w:sz w:val="18"/>
        </w:rPr>
        <w:t>El Colegio de México, </w:t>
      </w:r>
      <w:r>
        <w:rPr>
          <w:color w:val="231F20"/>
          <w:spacing w:val="-3"/>
          <w:sz w:val="18"/>
        </w:rPr>
        <w:t>Tesis </w:t>
      </w:r>
      <w:r>
        <w:rPr>
          <w:color w:val="231F20"/>
          <w:sz w:val="18"/>
        </w:rPr>
        <w:t>de Maestría en Demografía,</w:t>
      </w:r>
      <w:r>
        <w:rPr>
          <w:color w:val="231F20"/>
          <w:spacing w:val="-30"/>
          <w:sz w:val="18"/>
        </w:rPr>
        <w:t> </w:t>
      </w:r>
      <w:r>
        <w:rPr>
          <w:color w:val="231F20"/>
          <w:sz w:val="18"/>
        </w:rPr>
        <w:t>México.</w:t>
      </w:r>
    </w:p>
    <w:p>
      <w:pPr>
        <w:spacing w:line="254" w:lineRule="auto" w:before="57"/>
        <w:ind w:left="110" w:right="111" w:firstLine="0"/>
        <w:jc w:val="both"/>
        <w:rPr>
          <w:sz w:val="18"/>
        </w:rPr>
      </w:pPr>
      <w:r>
        <w:rPr>
          <w:color w:val="231F20"/>
          <w:sz w:val="18"/>
        </w:rPr>
        <w:t>Montes</w:t>
      </w:r>
      <w:r>
        <w:rPr>
          <w:color w:val="231F20"/>
          <w:spacing w:val="-4"/>
          <w:sz w:val="18"/>
        </w:rPr>
        <w:t> </w:t>
      </w:r>
      <w:r>
        <w:rPr>
          <w:color w:val="231F20"/>
          <w:sz w:val="18"/>
        </w:rPr>
        <w:t>de</w:t>
      </w:r>
      <w:r>
        <w:rPr>
          <w:color w:val="231F20"/>
          <w:spacing w:val="-4"/>
          <w:sz w:val="18"/>
        </w:rPr>
        <w:t> </w:t>
      </w:r>
      <w:r>
        <w:rPr>
          <w:color w:val="231F20"/>
          <w:sz w:val="18"/>
        </w:rPr>
        <w:t>Oca,</w:t>
      </w:r>
      <w:r>
        <w:rPr>
          <w:color w:val="231F20"/>
          <w:spacing w:val="-7"/>
          <w:sz w:val="18"/>
        </w:rPr>
        <w:t> </w:t>
      </w:r>
      <w:r>
        <w:rPr>
          <w:color w:val="231F20"/>
          <w:spacing w:val="-3"/>
          <w:sz w:val="18"/>
        </w:rPr>
        <w:t>Verónica</w:t>
      </w:r>
      <w:r>
        <w:rPr>
          <w:color w:val="231F20"/>
          <w:spacing w:val="-4"/>
          <w:sz w:val="18"/>
        </w:rPr>
        <w:t> </w:t>
      </w:r>
      <w:r>
        <w:rPr>
          <w:color w:val="231F20"/>
          <w:sz w:val="18"/>
        </w:rPr>
        <w:t>(1997)</w:t>
      </w:r>
      <w:r>
        <w:rPr>
          <w:color w:val="231F20"/>
          <w:spacing w:val="-4"/>
          <w:sz w:val="18"/>
        </w:rPr>
        <w:t> </w:t>
      </w:r>
      <w:r>
        <w:rPr>
          <w:i/>
          <w:color w:val="231F20"/>
          <w:sz w:val="18"/>
        </w:rPr>
        <w:t>La</w:t>
      </w:r>
      <w:r>
        <w:rPr>
          <w:i/>
          <w:color w:val="231F20"/>
          <w:spacing w:val="-4"/>
          <w:sz w:val="18"/>
        </w:rPr>
        <w:t> </w:t>
      </w:r>
      <w:r>
        <w:rPr>
          <w:i/>
          <w:color w:val="231F20"/>
          <w:sz w:val="18"/>
        </w:rPr>
        <w:t>actividad</w:t>
      </w:r>
      <w:r>
        <w:rPr>
          <w:i/>
          <w:color w:val="231F20"/>
          <w:spacing w:val="-4"/>
          <w:sz w:val="18"/>
        </w:rPr>
        <w:t> </w:t>
      </w:r>
      <w:r>
        <w:rPr>
          <w:i/>
          <w:color w:val="231F20"/>
          <w:sz w:val="18"/>
        </w:rPr>
        <w:t>económica</w:t>
      </w:r>
      <w:r>
        <w:rPr>
          <w:i/>
          <w:color w:val="231F20"/>
          <w:spacing w:val="-5"/>
          <w:sz w:val="18"/>
        </w:rPr>
        <w:t> </w:t>
      </w:r>
      <w:r>
        <w:rPr>
          <w:i/>
          <w:color w:val="231F20"/>
          <w:sz w:val="18"/>
        </w:rPr>
        <w:t>de</w:t>
      </w:r>
      <w:r>
        <w:rPr>
          <w:i/>
          <w:color w:val="231F20"/>
          <w:spacing w:val="-4"/>
          <w:sz w:val="18"/>
        </w:rPr>
        <w:t> </w:t>
      </w:r>
      <w:r>
        <w:rPr>
          <w:i/>
          <w:color w:val="231F20"/>
          <w:sz w:val="18"/>
        </w:rPr>
        <w:t>las</w:t>
      </w:r>
      <w:r>
        <w:rPr>
          <w:i/>
          <w:color w:val="231F20"/>
          <w:spacing w:val="-4"/>
          <w:sz w:val="18"/>
        </w:rPr>
        <w:t> </w:t>
      </w:r>
      <w:r>
        <w:rPr>
          <w:i/>
          <w:color w:val="231F20"/>
          <w:sz w:val="18"/>
        </w:rPr>
        <w:t>mujeres</w:t>
      </w:r>
      <w:r>
        <w:rPr>
          <w:i/>
          <w:color w:val="231F20"/>
          <w:spacing w:val="-4"/>
          <w:sz w:val="18"/>
        </w:rPr>
        <w:t> </w:t>
      </w:r>
      <w:r>
        <w:rPr>
          <w:i/>
          <w:color w:val="231F20"/>
          <w:sz w:val="18"/>
        </w:rPr>
        <w:t>en</w:t>
      </w:r>
      <w:r>
        <w:rPr>
          <w:i/>
          <w:color w:val="231F20"/>
          <w:spacing w:val="-4"/>
          <w:sz w:val="18"/>
        </w:rPr>
        <w:t> </w:t>
      </w:r>
      <w:r>
        <w:rPr>
          <w:i/>
          <w:color w:val="231F20"/>
          <w:sz w:val="18"/>
        </w:rPr>
        <w:t>edad </w:t>
      </w:r>
      <w:r>
        <w:rPr>
          <w:i/>
          <w:color w:val="231F20"/>
          <w:sz w:val="18"/>
        </w:rPr>
        <w:t>avanzada en México: entre la sobrevivencia y la reproducción cotidiana</w:t>
      </w:r>
      <w:r>
        <w:rPr>
          <w:color w:val="231F20"/>
          <w:sz w:val="18"/>
        </w:rPr>
        <w:t>, do- cumento presentado en el Latinoamerican Studies Asociation XX International Congress,</w:t>
      </w:r>
      <w:r>
        <w:rPr>
          <w:color w:val="231F20"/>
          <w:spacing w:val="-1"/>
          <w:sz w:val="18"/>
        </w:rPr>
        <w:t> </w:t>
      </w:r>
      <w:r>
        <w:rPr>
          <w:color w:val="231F20"/>
          <w:sz w:val="18"/>
        </w:rPr>
        <w:t>abril.</w:t>
      </w:r>
    </w:p>
    <w:p>
      <w:pPr>
        <w:spacing w:line="254" w:lineRule="auto" w:before="57"/>
        <w:ind w:left="110" w:right="111" w:firstLine="0"/>
        <w:jc w:val="both"/>
        <w:rPr>
          <w:sz w:val="18"/>
        </w:rPr>
      </w:pPr>
      <w:r>
        <w:rPr>
          <w:color w:val="231F20"/>
          <w:sz w:val="18"/>
        </w:rPr>
        <w:t>Montes de Oca, Verónica (1999) “Diferencias de género en el sistema de apoyo a la población envejecida en México”, en </w:t>
      </w:r>
      <w:r>
        <w:rPr>
          <w:i/>
          <w:color w:val="231F20"/>
          <w:sz w:val="18"/>
        </w:rPr>
        <w:t>Papeles de población</w:t>
      </w:r>
      <w:r>
        <w:rPr>
          <w:color w:val="231F20"/>
          <w:sz w:val="18"/>
        </w:rPr>
        <w:t>, Nueva Época, año 5, núm. 19, Toluca.</w:t>
      </w:r>
    </w:p>
    <w:p>
      <w:pPr>
        <w:spacing w:line="254" w:lineRule="auto" w:before="57"/>
        <w:ind w:left="110" w:right="111" w:firstLine="0"/>
        <w:jc w:val="both"/>
        <w:rPr>
          <w:sz w:val="18"/>
        </w:rPr>
      </w:pPr>
      <w:r>
        <w:rPr>
          <w:color w:val="231F20"/>
          <w:sz w:val="18"/>
        </w:rPr>
        <w:t>Oliveira, Orlandina de (1988) “Empleo femenino en tiempos de recesión econó- mica: tendencias recientes”, en Jennifer Cooper y otros (coords.), </w:t>
      </w:r>
      <w:r>
        <w:rPr>
          <w:i/>
          <w:color w:val="231F20"/>
          <w:sz w:val="18"/>
        </w:rPr>
        <w:t>Fuerza de tra- </w:t>
      </w:r>
      <w:r>
        <w:rPr>
          <w:i/>
          <w:color w:val="231F20"/>
          <w:sz w:val="18"/>
        </w:rPr>
        <w:t>bajo femenina urbana en México</w:t>
      </w:r>
      <w:r>
        <w:rPr>
          <w:color w:val="231F20"/>
          <w:sz w:val="18"/>
        </w:rPr>
        <w:t>. </w:t>
      </w:r>
      <w:r>
        <w:rPr>
          <w:i/>
          <w:color w:val="231F20"/>
          <w:sz w:val="18"/>
        </w:rPr>
        <w:t>Características y tendencias</w:t>
      </w:r>
      <w:r>
        <w:rPr>
          <w:color w:val="231F20"/>
          <w:sz w:val="18"/>
        </w:rPr>
        <w:t>, vol. I, México: UNAM.</w:t>
      </w:r>
    </w:p>
    <w:p>
      <w:pPr>
        <w:spacing w:line="254" w:lineRule="auto" w:before="57"/>
        <w:ind w:left="110" w:right="111" w:firstLine="0"/>
        <w:jc w:val="both"/>
        <w:rPr>
          <w:sz w:val="18"/>
        </w:rPr>
      </w:pPr>
      <w:r>
        <w:rPr>
          <w:color w:val="231F20"/>
          <w:sz w:val="18"/>
        </w:rPr>
        <w:t>Oliveira, Orlandina de (1999) “Familia y género en el análisis sociodemográfi- co”, en </w:t>
      </w:r>
      <w:r>
        <w:rPr>
          <w:i/>
          <w:color w:val="231F20"/>
          <w:sz w:val="18"/>
        </w:rPr>
        <w:t>Mujer, género y Población en México</w:t>
      </w:r>
      <w:r>
        <w:rPr>
          <w:color w:val="231F20"/>
          <w:sz w:val="18"/>
        </w:rPr>
        <w:t>, México: El Colegio de México/ Sociedad Mexicana de Demografía.</w:t>
      </w:r>
    </w:p>
    <w:p>
      <w:pPr>
        <w:spacing w:after="0" w:line="254" w:lineRule="auto"/>
        <w:jc w:val="both"/>
        <w:rPr>
          <w:sz w:val="18"/>
        </w:rPr>
        <w:sectPr>
          <w:pgSz w:w="7770" w:h="11740"/>
          <w:pgMar w:header="0" w:footer="474" w:top="860" w:bottom="740" w:left="740" w:right="1020"/>
        </w:sectPr>
      </w:pPr>
    </w:p>
    <w:p>
      <w:pPr>
        <w:spacing w:line="254" w:lineRule="auto" w:before="65"/>
        <w:ind w:left="113" w:right="107" w:firstLine="0"/>
        <w:jc w:val="both"/>
        <w:rPr>
          <w:sz w:val="18"/>
        </w:rPr>
      </w:pPr>
      <w:r>
        <w:rPr>
          <w:color w:val="231F20"/>
          <w:sz w:val="18"/>
        </w:rPr>
        <w:t>Oliveira, Orlandina de (2001) “Transiciones familiares y trayectorias laborales femeninas</w:t>
      </w:r>
      <w:r>
        <w:rPr>
          <w:color w:val="231F20"/>
          <w:spacing w:val="-5"/>
          <w:sz w:val="18"/>
        </w:rPr>
        <w:t> </w:t>
      </w:r>
      <w:r>
        <w:rPr>
          <w:color w:val="231F20"/>
          <w:sz w:val="18"/>
        </w:rPr>
        <w:t>en</w:t>
      </w:r>
      <w:r>
        <w:rPr>
          <w:color w:val="231F20"/>
          <w:spacing w:val="-5"/>
          <w:sz w:val="18"/>
        </w:rPr>
        <w:t> </w:t>
      </w:r>
      <w:r>
        <w:rPr>
          <w:color w:val="231F20"/>
          <w:sz w:val="18"/>
        </w:rPr>
        <w:t>el</w:t>
      </w:r>
      <w:r>
        <w:rPr>
          <w:color w:val="231F20"/>
          <w:spacing w:val="-5"/>
          <w:sz w:val="18"/>
        </w:rPr>
        <w:t> </w:t>
      </w:r>
      <w:r>
        <w:rPr>
          <w:color w:val="231F20"/>
          <w:sz w:val="18"/>
        </w:rPr>
        <w:t>México</w:t>
      </w:r>
      <w:r>
        <w:rPr>
          <w:color w:val="231F20"/>
          <w:spacing w:val="-5"/>
          <w:sz w:val="18"/>
        </w:rPr>
        <w:t> </w:t>
      </w:r>
      <w:r>
        <w:rPr>
          <w:color w:val="231F20"/>
          <w:sz w:val="18"/>
        </w:rPr>
        <w:t>urbano”,</w:t>
      </w:r>
      <w:r>
        <w:rPr>
          <w:color w:val="231F20"/>
          <w:spacing w:val="-5"/>
          <w:sz w:val="18"/>
        </w:rPr>
        <w:t> </w:t>
      </w:r>
      <w:r>
        <w:rPr>
          <w:color w:val="231F20"/>
          <w:sz w:val="18"/>
        </w:rPr>
        <w:t>en</w:t>
      </w:r>
      <w:r>
        <w:rPr>
          <w:color w:val="231F20"/>
          <w:spacing w:val="-5"/>
          <w:sz w:val="18"/>
        </w:rPr>
        <w:t> </w:t>
      </w:r>
      <w:r>
        <w:rPr>
          <w:color w:val="231F20"/>
          <w:sz w:val="18"/>
        </w:rPr>
        <w:t>Cristina</w:t>
      </w:r>
      <w:r>
        <w:rPr>
          <w:color w:val="231F20"/>
          <w:spacing w:val="-5"/>
          <w:sz w:val="18"/>
        </w:rPr>
        <w:t> </w:t>
      </w:r>
      <w:r>
        <w:rPr>
          <w:color w:val="231F20"/>
          <w:sz w:val="18"/>
        </w:rPr>
        <w:t>Gomes</w:t>
      </w:r>
      <w:r>
        <w:rPr>
          <w:color w:val="231F20"/>
          <w:spacing w:val="-5"/>
          <w:sz w:val="18"/>
        </w:rPr>
        <w:t> </w:t>
      </w:r>
      <w:r>
        <w:rPr>
          <w:color w:val="231F20"/>
          <w:sz w:val="18"/>
        </w:rPr>
        <w:t>(comp.),</w:t>
      </w:r>
      <w:r>
        <w:rPr>
          <w:color w:val="231F20"/>
          <w:spacing w:val="-5"/>
          <w:sz w:val="18"/>
        </w:rPr>
        <w:t> </w:t>
      </w:r>
      <w:r>
        <w:rPr>
          <w:i/>
          <w:color w:val="231F20"/>
          <w:sz w:val="18"/>
        </w:rPr>
        <w:t>Procesos</w:t>
      </w:r>
      <w:r>
        <w:rPr>
          <w:i/>
          <w:color w:val="231F20"/>
          <w:spacing w:val="-5"/>
          <w:sz w:val="18"/>
        </w:rPr>
        <w:t> </w:t>
      </w:r>
      <w:r>
        <w:rPr>
          <w:i/>
          <w:color w:val="231F20"/>
          <w:sz w:val="18"/>
        </w:rPr>
        <w:t>sociales, </w:t>
      </w:r>
      <w:r>
        <w:rPr>
          <w:i/>
          <w:color w:val="231F20"/>
          <w:sz w:val="18"/>
        </w:rPr>
        <w:t>población y familia. Alternativas teóricas y empíricas en las investigaciones so- </w:t>
      </w:r>
      <w:r>
        <w:rPr>
          <w:i/>
          <w:color w:val="231F20"/>
          <w:spacing w:val="-3"/>
          <w:sz w:val="18"/>
        </w:rPr>
        <w:t>bre </w:t>
      </w:r>
      <w:r>
        <w:rPr>
          <w:i/>
          <w:color w:val="231F20"/>
          <w:sz w:val="18"/>
        </w:rPr>
        <w:t>vida doméstica</w:t>
      </w:r>
      <w:r>
        <w:rPr>
          <w:color w:val="231F20"/>
          <w:sz w:val="18"/>
        </w:rPr>
        <w:t>, México: FLACSO/Miguel Ángel</w:t>
      </w:r>
      <w:r>
        <w:rPr>
          <w:color w:val="231F20"/>
          <w:spacing w:val="-26"/>
          <w:sz w:val="18"/>
        </w:rPr>
        <w:t> </w:t>
      </w:r>
      <w:r>
        <w:rPr>
          <w:color w:val="231F20"/>
          <w:sz w:val="18"/>
        </w:rPr>
        <w:t>Porrúa.</w:t>
      </w:r>
    </w:p>
    <w:p>
      <w:pPr>
        <w:spacing w:line="254" w:lineRule="auto" w:before="57"/>
        <w:ind w:left="113" w:right="108" w:firstLine="0"/>
        <w:jc w:val="both"/>
        <w:rPr>
          <w:sz w:val="18"/>
        </w:rPr>
      </w:pPr>
      <w:r>
        <w:rPr>
          <w:color w:val="231F20"/>
          <w:sz w:val="18"/>
        </w:rPr>
        <w:t>Ronzón Hernández, Zoraida (2014) “El lugar de la vejez en el discurso inter- generacional”, en Verónica Montes de Oca (coorda.) </w:t>
      </w:r>
      <w:r>
        <w:rPr>
          <w:i/>
          <w:color w:val="231F20"/>
          <w:sz w:val="18"/>
        </w:rPr>
        <w:t>Vejez, salud y sociedad en </w:t>
      </w:r>
      <w:r>
        <w:rPr>
          <w:i/>
          <w:color w:val="231F20"/>
          <w:sz w:val="18"/>
        </w:rPr>
        <w:t>México. Aproximaciones disciplinarias desde perspectivas cuantitativas y cuali- tativas</w:t>
      </w:r>
      <w:r>
        <w:rPr>
          <w:color w:val="231F20"/>
          <w:sz w:val="18"/>
        </w:rPr>
        <w:t>, México: UNAM.</w:t>
      </w:r>
    </w:p>
    <w:p>
      <w:pPr>
        <w:spacing w:line="254" w:lineRule="auto" w:before="57"/>
        <w:ind w:left="113" w:right="108" w:firstLine="0"/>
        <w:jc w:val="both"/>
        <w:rPr>
          <w:sz w:val="18"/>
        </w:rPr>
      </w:pPr>
      <w:r>
        <w:rPr>
          <w:color w:val="231F20"/>
          <w:sz w:val="18"/>
        </w:rPr>
        <w:t>Salazar Cruz, Clara Eugenia (1999) Espacio y vida cotidiana en la Ciudad de México, México: El Colegio de México.</w:t>
      </w:r>
    </w:p>
    <w:p>
      <w:pPr>
        <w:spacing w:line="254" w:lineRule="auto" w:before="57"/>
        <w:ind w:left="113" w:right="108" w:firstLine="0"/>
        <w:jc w:val="both"/>
        <w:rPr>
          <w:sz w:val="18"/>
        </w:rPr>
      </w:pPr>
      <w:r>
        <w:rPr>
          <w:color w:val="231F20"/>
          <w:sz w:val="18"/>
        </w:rPr>
        <w:t>Scott, Joan </w:t>
      </w:r>
      <w:r>
        <w:rPr>
          <w:color w:val="231F20"/>
          <w:spacing w:val="-9"/>
          <w:sz w:val="18"/>
        </w:rPr>
        <w:t>W. </w:t>
      </w:r>
      <w:r>
        <w:rPr>
          <w:color w:val="231F20"/>
          <w:sz w:val="18"/>
        </w:rPr>
        <w:t>(1993) “La mujer trabajadora en el siglo XIX”, en </w:t>
      </w:r>
      <w:r>
        <w:rPr>
          <w:i/>
          <w:color w:val="231F20"/>
          <w:sz w:val="18"/>
        </w:rPr>
        <w:t>Historia de las </w:t>
      </w:r>
      <w:r>
        <w:rPr>
          <w:i/>
          <w:color w:val="231F20"/>
          <w:sz w:val="18"/>
        </w:rPr>
        <w:t>Mujeres</w:t>
      </w:r>
      <w:r>
        <w:rPr>
          <w:color w:val="231F20"/>
          <w:sz w:val="18"/>
        </w:rPr>
        <w:t>.</w:t>
      </w:r>
    </w:p>
    <w:p>
      <w:pPr>
        <w:spacing w:line="254" w:lineRule="auto" w:before="57"/>
        <w:ind w:left="113" w:right="108" w:firstLine="0"/>
        <w:jc w:val="both"/>
        <w:rPr>
          <w:sz w:val="18"/>
        </w:rPr>
      </w:pPr>
      <w:r>
        <w:rPr>
          <w:color w:val="231F20"/>
          <w:sz w:val="18"/>
        </w:rPr>
        <w:t>Serna, Guadalupe (2003) “Propuestas y hallazgos preliminares para un análisis sobre mujeres ejecutivas en la Ciudad de México”, en </w:t>
      </w:r>
      <w:r>
        <w:rPr>
          <w:i/>
          <w:color w:val="231F20"/>
          <w:sz w:val="18"/>
        </w:rPr>
        <w:t>Desacatos. Revista de </w:t>
      </w:r>
      <w:r>
        <w:rPr>
          <w:i/>
          <w:color w:val="231F20"/>
          <w:sz w:val="18"/>
        </w:rPr>
        <w:t>Atropología Social</w:t>
      </w:r>
      <w:r>
        <w:rPr>
          <w:color w:val="231F20"/>
          <w:sz w:val="18"/>
        </w:rPr>
        <w:t>, núm. 11, México: CIESAS.</w:t>
      </w:r>
    </w:p>
    <w:p>
      <w:pPr>
        <w:spacing w:line="254" w:lineRule="auto" w:before="57"/>
        <w:ind w:left="113" w:right="108" w:firstLine="0"/>
        <w:jc w:val="both"/>
        <w:rPr>
          <w:sz w:val="18"/>
        </w:rPr>
      </w:pPr>
      <w:r>
        <w:rPr>
          <w:color w:val="231F20"/>
          <w:sz w:val="18"/>
        </w:rPr>
        <w:t>Sheridan Prieto, Cecilia (1991) </w:t>
      </w:r>
      <w:r>
        <w:rPr>
          <w:i/>
          <w:color w:val="231F20"/>
          <w:sz w:val="18"/>
        </w:rPr>
        <w:t>Espacios domésticos. Los trabajos de la repro- </w:t>
      </w:r>
      <w:r>
        <w:rPr>
          <w:i/>
          <w:color w:val="231F20"/>
          <w:sz w:val="18"/>
        </w:rPr>
        <w:t>ducción</w:t>
      </w:r>
      <w:r>
        <w:rPr>
          <w:color w:val="231F20"/>
          <w:sz w:val="18"/>
        </w:rPr>
        <w:t>, México: CIESAS.</w:t>
      </w:r>
    </w:p>
    <w:p>
      <w:pPr>
        <w:spacing w:line="254" w:lineRule="auto" w:before="57"/>
        <w:ind w:left="113" w:right="108" w:firstLine="0"/>
        <w:jc w:val="both"/>
        <w:rPr>
          <w:sz w:val="18"/>
        </w:rPr>
      </w:pPr>
      <w:r>
        <w:rPr>
          <w:color w:val="231F20"/>
          <w:sz w:val="18"/>
        </w:rPr>
        <w:t>Thompson,</w:t>
      </w:r>
      <w:r>
        <w:rPr>
          <w:color w:val="231F20"/>
          <w:spacing w:val="-10"/>
          <w:sz w:val="18"/>
        </w:rPr>
        <w:t> </w:t>
      </w:r>
      <w:r>
        <w:rPr>
          <w:color w:val="231F20"/>
          <w:sz w:val="18"/>
        </w:rPr>
        <w:t>Edward</w:t>
      </w:r>
      <w:r>
        <w:rPr>
          <w:color w:val="231F20"/>
          <w:spacing w:val="-10"/>
          <w:sz w:val="18"/>
        </w:rPr>
        <w:t> </w:t>
      </w:r>
      <w:r>
        <w:rPr>
          <w:color w:val="231F20"/>
          <w:sz w:val="18"/>
        </w:rPr>
        <w:t>(1997)</w:t>
      </w:r>
      <w:r>
        <w:rPr>
          <w:color w:val="231F20"/>
          <w:spacing w:val="-10"/>
          <w:sz w:val="18"/>
        </w:rPr>
        <w:t> </w:t>
      </w:r>
      <w:r>
        <w:rPr>
          <w:i/>
          <w:color w:val="231F20"/>
          <w:sz w:val="18"/>
        </w:rPr>
        <w:t>La</w:t>
      </w:r>
      <w:r>
        <w:rPr>
          <w:i/>
          <w:color w:val="231F20"/>
          <w:spacing w:val="-10"/>
          <w:sz w:val="18"/>
        </w:rPr>
        <w:t> </w:t>
      </w:r>
      <w:r>
        <w:rPr>
          <w:i/>
          <w:color w:val="231F20"/>
          <w:sz w:val="18"/>
        </w:rPr>
        <w:t>formación</w:t>
      </w:r>
      <w:r>
        <w:rPr>
          <w:i/>
          <w:color w:val="231F20"/>
          <w:spacing w:val="-10"/>
          <w:sz w:val="18"/>
        </w:rPr>
        <w:t> </w:t>
      </w:r>
      <w:r>
        <w:rPr>
          <w:i/>
          <w:color w:val="231F20"/>
          <w:sz w:val="18"/>
        </w:rPr>
        <w:t>histórica</w:t>
      </w:r>
      <w:r>
        <w:rPr>
          <w:i/>
          <w:color w:val="231F20"/>
          <w:spacing w:val="-10"/>
          <w:sz w:val="18"/>
        </w:rPr>
        <w:t> </w:t>
      </w:r>
      <w:r>
        <w:rPr>
          <w:i/>
          <w:color w:val="231F20"/>
          <w:sz w:val="18"/>
        </w:rPr>
        <w:t>de</w:t>
      </w:r>
      <w:r>
        <w:rPr>
          <w:i/>
          <w:color w:val="231F20"/>
          <w:spacing w:val="-10"/>
          <w:sz w:val="18"/>
        </w:rPr>
        <w:t> </w:t>
      </w:r>
      <w:r>
        <w:rPr>
          <w:i/>
          <w:color w:val="231F20"/>
          <w:sz w:val="18"/>
        </w:rPr>
        <w:t>la</w:t>
      </w:r>
      <w:r>
        <w:rPr>
          <w:i/>
          <w:color w:val="231F20"/>
          <w:spacing w:val="-10"/>
          <w:sz w:val="18"/>
        </w:rPr>
        <w:t> </w:t>
      </w:r>
      <w:r>
        <w:rPr>
          <w:i/>
          <w:color w:val="231F20"/>
          <w:sz w:val="18"/>
        </w:rPr>
        <w:t>clase</w:t>
      </w:r>
      <w:r>
        <w:rPr>
          <w:i/>
          <w:color w:val="231F20"/>
          <w:spacing w:val="-10"/>
          <w:sz w:val="18"/>
        </w:rPr>
        <w:t> </w:t>
      </w:r>
      <w:r>
        <w:rPr>
          <w:i/>
          <w:color w:val="231F20"/>
          <w:sz w:val="18"/>
        </w:rPr>
        <w:t>obrera.</w:t>
      </w:r>
      <w:r>
        <w:rPr>
          <w:i/>
          <w:color w:val="231F20"/>
          <w:spacing w:val="-10"/>
          <w:sz w:val="18"/>
        </w:rPr>
        <w:t> </w:t>
      </w:r>
      <w:r>
        <w:rPr>
          <w:i/>
          <w:color w:val="231F20"/>
          <w:sz w:val="18"/>
        </w:rPr>
        <w:t>Inglaterra, </w:t>
      </w:r>
      <w:r>
        <w:rPr>
          <w:i/>
          <w:color w:val="231F20"/>
          <w:sz w:val="18"/>
        </w:rPr>
        <w:t>1780-1832</w:t>
      </w:r>
      <w:r>
        <w:rPr>
          <w:color w:val="231F20"/>
          <w:sz w:val="18"/>
        </w:rPr>
        <w:t>, Barcelona: Laia, ediciones de</w:t>
      </w:r>
      <w:r>
        <w:rPr>
          <w:color w:val="231F20"/>
          <w:spacing w:val="-2"/>
          <w:sz w:val="18"/>
        </w:rPr>
        <w:t> </w:t>
      </w:r>
      <w:r>
        <w:rPr>
          <w:color w:val="231F20"/>
          <w:sz w:val="18"/>
        </w:rPr>
        <w:t>bolsillo.</w:t>
      </w:r>
    </w:p>
    <w:p>
      <w:pPr>
        <w:spacing w:line="254" w:lineRule="auto" w:before="57"/>
        <w:ind w:left="113" w:right="108" w:firstLine="0"/>
        <w:jc w:val="both"/>
        <w:rPr>
          <w:sz w:val="18"/>
        </w:rPr>
      </w:pPr>
      <w:r>
        <w:rPr>
          <w:color w:val="231F20"/>
          <w:sz w:val="18"/>
        </w:rPr>
        <w:t>Varley, Ann y Maribel Blasco (2001) “¿Cosechan lo que siembran? Mujeres ancianas. Vivienda y relaciones familiares en el México urbano”, en Cristina Gomes (comp.), </w:t>
      </w:r>
      <w:r>
        <w:rPr>
          <w:i/>
          <w:color w:val="231F20"/>
          <w:sz w:val="18"/>
        </w:rPr>
        <w:t>Procesos sociales, población y familia. Alternativas teóricas y </w:t>
      </w:r>
      <w:r>
        <w:rPr>
          <w:i/>
          <w:color w:val="231F20"/>
          <w:sz w:val="18"/>
        </w:rPr>
        <w:t>empíricas en las investigaciones sobre vida doméstica</w:t>
      </w:r>
      <w:r>
        <w:rPr>
          <w:color w:val="231F20"/>
          <w:sz w:val="18"/>
        </w:rPr>
        <w:t>, , México: Miguel Ángel Porrúa.</w:t>
      </w:r>
    </w:p>
    <w:p>
      <w:pPr>
        <w:spacing w:after="0" w:line="254" w:lineRule="auto"/>
        <w:jc w:val="both"/>
        <w:rPr>
          <w:sz w:val="18"/>
        </w:rPr>
        <w:sectPr>
          <w:footerReference w:type="default" r:id="rId283"/>
          <w:pgSz w:w="7770" w:h="11740"/>
          <w:pgMar w:footer="474" w:header="0" w:top="840" w:bottom="660" w:left="1020" w:right="740"/>
        </w:sectPr>
      </w:pPr>
    </w:p>
    <w:p>
      <w:pPr>
        <w:pStyle w:val="BodyText"/>
      </w:pPr>
      <w:r>
        <w:rPr/>
        <w:pict>
          <v:shape style="position:absolute;margin-left:9.07pt;margin-top:543.210999pt;width:325.45pt;height:30.45pt;mso-position-horizontal-relative:page;mso-position-vertical-relative:page;z-index:-329464" type="#_x0000_t202" filled="false" stroked="false">
            <v:textbox inset="0,0,0,0">
              <w:txbxContent>
                <w:p>
                  <w:pPr>
                    <w:pStyle w:val="BodyText"/>
                    <w:spacing w:before="86"/>
                    <w:ind w:left="2839" w:right="2230"/>
                    <w:jc w:val="center"/>
                  </w:pPr>
                  <w:r>
                    <w:rPr>
                      <w:color w:val="231F20"/>
                    </w:rPr>
                    <w:t>276</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9"/>
        </w:rPr>
      </w:pPr>
    </w:p>
    <w:p>
      <w:pPr>
        <w:pStyle w:val="BodyText"/>
        <w:ind w:left="101"/>
      </w:pPr>
      <w:r>
        <w:rPr/>
        <w:pict>
          <v:group style="width:325.45pt;height:30.45pt;mso-position-horizontal-relative:char;mso-position-vertical-relative:line" coordorigin="0,0" coordsize="6509,609">
            <v:rect style="position:absolute;left:0;top:0;width:6508;height:609" filled="true" fillcolor="#ffffff" stroked="false">
              <v:fill type="solid"/>
            </v:rect>
          </v:group>
        </w:pict>
      </w:r>
      <w:r>
        <w:rPr/>
      </w:r>
    </w:p>
    <w:p>
      <w:pPr>
        <w:spacing w:after="0"/>
        <w:sectPr>
          <w:footerReference w:type="default" r:id="rId284"/>
          <w:pgSz w:w="7770" w:h="11740"/>
          <w:pgMar w:footer="0" w:header="0" w:top="1080" w:bottom="0" w:left="80" w:right="960"/>
        </w:sectPr>
      </w:pPr>
    </w:p>
    <w:p>
      <w:pPr>
        <w:pStyle w:val="Heading1"/>
        <w:ind w:left="1059" w:firstLine="1090"/>
      </w:pPr>
      <w:r>
        <w:rPr>
          <w:color w:val="231F20"/>
          <w:w w:val="70"/>
        </w:rPr>
        <w:t>Trabajo infantil en México. Perfil sociodemográfico de los niños trabajadores</w:t>
      </w:r>
    </w:p>
    <w:p>
      <w:pPr>
        <w:spacing w:line="407" w:lineRule="exact" w:before="0"/>
        <w:ind w:left="3543" w:right="0" w:firstLine="0"/>
        <w:jc w:val="left"/>
        <w:rPr>
          <w:sz w:val="40"/>
        </w:rPr>
      </w:pPr>
      <w:r>
        <w:rPr>
          <w:color w:val="231F20"/>
          <w:w w:val="75"/>
          <w:sz w:val="40"/>
        </w:rPr>
        <w:t>de</w:t>
      </w:r>
      <w:r>
        <w:rPr>
          <w:color w:val="231F20"/>
          <w:spacing w:val="-43"/>
          <w:w w:val="75"/>
          <w:sz w:val="40"/>
        </w:rPr>
        <w:t> </w:t>
      </w:r>
      <w:r>
        <w:rPr>
          <w:color w:val="231F20"/>
          <w:spacing w:val="-3"/>
          <w:w w:val="75"/>
          <w:sz w:val="40"/>
        </w:rPr>
        <w:t>5-11</w:t>
      </w:r>
      <w:r>
        <w:rPr>
          <w:color w:val="231F20"/>
          <w:spacing w:val="-43"/>
          <w:w w:val="75"/>
          <w:sz w:val="40"/>
        </w:rPr>
        <w:t> </w:t>
      </w:r>
      <w:r>
        <w:rPr>
          <w:color w:val="231F20"/>
          <w:w w:val="75"/>
          <w:sz w:val="40"/>
        </w:rPr>
        <w:t>años</w:t>
      </w:r>
      <w:r>
        <w:rPr>
          <w:color w:val="231F20"/>
          <w:spacing w:val="-43"/>
          <w:w w:val="75"/>
          <w:sz w:val="40"/>
        </w:rPr>
        <w:t> </w:t>
      </w:r>
      <w:r>
        <w:rPr>
          <w:color w:val="231F20"/>
          <w:w w:val="75"/>
          <w:sz w:val="40"/>
        </w:rPr>
        <w:t>de</w:t>
      </w:r>
      <w:r>
        <w:rPr>
          <w:color w:val="231F20"/>
          <w:spacing w:val="-43"/>
          <w:w w:val="75"/>
          <w:sz w:val="40"/>
        </w:rPr>
        <w:t> </w:t>
      </w:r>
      <w:r>
        <w:rPr>
          <w:color w:val="231F20"/>
          <w:w w:val="75"/>
          <w:sz w:val="40"/>
        </w:rPr>
        <w:t>edad</w:t>
      </w:r>
    </w:p>
    <w:p>
      <w:pPr>
        <w:pStyle w:val="BodyText"/>
        <w:spacing w:before="3"/>
        <w:rPr>
          <w:sz w:val="41"/>
        </w:rPr>
      </w:pPr>
    </w:p>
    <w:p>
      <w:pPr>
        <w:pStyle w:val="Heading3"/>
        <w:ind w:left="3053"/>
        <w:rPr>
          <w:sz w:val="15"/>
        </w:rPr>
      </w:pPr>
      <w:r>
        <w:rPr>
          <w:color w:val="231F20"/>
        </w:rPr>
        <w:t>Argelia Gallegos Martínez</w:t>
      </w:r>
      <w:r>
        <w:rPr>
          <w:color w:val="231F20"/>
          <w:position w:val="9"/>
          <w:sz w:val="15"/>
        </w:rPr>
        <w:t>*</w:t>
      </w:r>
    </w:p>
    <w:p>
      <w:pPr>
        <w:pStyle w:val="BodyText"/>
      </w:pPr>
    </w:p>
    <w:p>
      <w:pPr>
        <w:pStyle w:val="BodyText"/>
      </w:pPr>
    </w:p>
    <w:p>
      <w:pPr>
        <w:pStyle w:val="BodyText"/>
        <w:spacing w:before="7"/>
        <w:rPr>
          <w:sz w:val="26"/>
        </w:rPr>
      </w:pPr>
    </w:p>
    <w:p>
      <w:pPr>
        <w:pStyle w:val="Heading4"/>
        <w:spacing w:before="70"/>
      </w:pPr>
      <w:r>
        <w:rPr>
          <w:w w:val="85"/>
        </w:rPr>
        <w:t>Introducción</w:t>
      </w:r>
    </w:p>
    <w:p>
      <w:pPr>
        <w:pStyle w:val="BodyText"/>
        <w:rPr>
          <w:b/>
          <w:sz w:val="24"/>
        </w:rPr>
      </w:pPr>
    </w:p>
    <w:p>
      <w:pPr>
        <w:pStyle w:val="BodyText"/>
        <w:spacing w:before="1"/>
        <w:rPr>
          <w:b/>
          <w:sz w:val="27"/>
        </w:rPr>
      </w:pPr>
    </w:p>
    <w:p>
      <w:pPr>
        <w:pStyle w:val="BodyText"/>
        <w:spacing w:line="249" w:lineRule="auto"/>
        <w:ind w:left="113" w:right="107"/>
        <w:jc w:val="both"/>
      </w:pPr>
      <w:r>
        <w:rPr>
          <w:color w:val="231F20"/>
        </w:rPr>
        <w:t>El</w:t>
      </w:r>
      <w:r>
        <w:rPr>
          <w:color w:val="231F20"/>
          <w:spacing w:val="-14"/>
        </w:rPr>
        <w:t> </w:t>
      </w:r>
      <w:r>
        <w:rPr>
          <w:color w:val="231F20"/>
        </w:rPr>
        <w:t>presente</w:t>
      </w:r>
      <w:r>
        <w:rPr>
          <w:color w:val="231F20"/>
          <w:spacing w:val="-14"/>
        </w:rPr>
        <w:t> </w:t>
      </w:r>
      <w:r>
        <w:rPr>
          <w:color w:val="231F20"/>
        </w:rPr>
        <w:t>documento</w:t>
      </w:r>
      <w:r>
        <w:rPr>
          <w:color w:val="231F20"/>
          <w:spacing w:val="-15"/>
        </w:rPr>
        <w:t> </w:t>
      </w:r>
      <w:r>
        <w:rPr>
          <w:color w:val="231F20"/>
        </w:rPr>
        <w:t>abordará</w:t>
      </w:r>
      <w:r>
        <w:rPr>
          <w:color w:val="231F20"/>
          <w:spacing w:val="-15"/>
        </w:rPr>
        <w:t> </w:t>
      </w:r>
      <w:r>
        <w:rPr>
          <w:color w:val="231F20"/>
        </w:rPr>
        <w:t>el</w:t>
      </w:r>
      <w:r>
        <w:rPr>
          <w:color w:val="231F20"/>
          <w:spacing w:val="-14"/>
        </w:rPr>
        <w:t> </w:t>
      </w:r>
      <w:r>
        <w:rPr>
          <w:color w:val="231F20"/>
        </w:rPr>
        <w:t>número</w:t>
      </w:r>
      <w:r>
        <w:rPr>
          <w:color w:val="231F20"/>
          <w:spacing w:val="-14"/>
        </w:rPr>
        <w:t> </w:t>
      </w:r>
      <w:r>
        <w:rPr>
          <w:color w:val="231F20"/>
        </w:rPr>
        <w:t>y</w:t>
      </w:r>
      <w:r>
        <w:rPr>
          <w:color w:val="231F20"/>
          <w:spacing w:val="-14"/>
        </w:rPr>
        <w:t> </w:t>
      </w:r>
      <w:r>
        <w:rPr>
          <w:color w:val="231F20"/>
        </w:rPr>
        <w:t>las</w:t>
      </w:r>
      <w:r>
        <w:rPr>
          <w:color w:val="231F20"/>
          <w:spacing w:val="-15"/>
        </w:rPr>
        <w:t> </w:t>
      </w:r>
      <w:r>
        <w:rPr>
          <w:color w:val="231F20"/>
        </w:rPr>
        <w:t>características</w:t>
      </w:r>
      <w:r>
        <w:rPr>
          <w:color w:val="231F20"/>
          <w:spacing w:val="-15"/>
        </w:rPr>
        <w:t> </w:t>
      </w:r>
      <w:r>
        <w:rPr>
          <w:color w:val="231F20"/>
        </w:rPr>
        <w:t>de</w:t>
      </w:r>
      <w:r>
        <w:rPr>
          <w:color w:val="231F20"/>
          <w:spacing w:val="-14"/>
        </w:rPr>
        <w:t> </w:t>
      </w:r>
      <w:r>
        <w:rPr>
          <w:color w:val="231F20"/>
        </w:rPr>
        <w:t>los</w:t>
      </w:r>
      <w:r>
        <w:rPr>
          <w:color w:val="231F20"/>
          <w:spacing w:val="-15"/>
        </w:rPr>
        <w:t> </w:t>
      </w:r>
      <w:r>
        <w:rPr>
          <w:color w:val="231F20"/>
        </w:rPr>
        <w:t>me- nores trabajadores, las preguntas centrales de este trabajo son: ¿cuántos son los menores trabajadores? ¿Cuántos son niños y cuántas son </w:t>
      </w:r>
      <w:r>
        <w:rPr>
          <w:color w:val="231F20"/>
          <w:spacing w:val="21"/>
        </w:rPr>
        <w:t> </w:t>
      </w:r>
      <w:r>
        <w:rPr>
          <w:color w:val="231F20"/>
        </w:rPr>
        <w:t>niñas?</w:t>
      </w:r>
    </w:p>
    <w:p>
      <w:pPr>
        <w:pStyle w:val="BodyText"/>
        <w:spacing w:line="249" w:lineRule="auto" w:before="1"/>
        <w:ind w:left="113" w:right="107"/>
        <w:jc w:val="both"/>
      </w:pPr>
      <w:r>
        <w:rPr>
          <w:color w:val="231F20"/>
        </w:rPr>
        <w:t>¿Cuál es su nivel educativo? ¿Cuál es la edad que concentra un mayor número de menores trabajadores? ¿En qué se desempeñan? ¿Cuál es el monto de su ingreso? ¿Cuál es su nivel educativo? y ¿Cuál es su</w:t>
      </w:r>
      <w:r>
        <w:rPr>
          <w:color w:val="231F20"/>
          <w:spacing w:val="-19"/>
        </w:rPr>
        <w:t> </w:t>
      </w:r>
      <w:r>
        <w:rPr>
          <w:color w:val="231F20"/>
        </w:rPr>
        <w:t>jornada laboral? Con la finalidad de dar respuesta a las preguntas anteriormente planteadas, este trabajo está dividido en tres apartados; en la primera sección se presenta un panorama general de la niñez mexicana, el se- gundo apartado dará cuenta del tipo de actividades que desempeñan los menores de cinco a once años, se determinará sí realizan actividades ex- tradomésticas, domésticas o una combinación de las mismas. Y el tercer aparatado estará enfocado a hablar de las características y condiciones laborales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menores</w:t>
      </w:r>
      <w:r>
        <w:rPr>
          <w:color w:val="231F20"/>
          <w:spacing w:val="-11"/>
        </w:rPr>
        <w:t> </w:t>
      </w:r>
      <w:r>
        <w:rPr>
          <w:color w:val="231F20"/>
        </w:rPr>
        <w:t>trabajadores;</w:t>
      </w:r>
      <w:r>
        <w:rPr>
          <w:color w:val="231F20"/>
          <w:spacing w:val="-11"/>
        </w:rPr>
        <w:t> </w:t>
      </w:r>
      <w:r>
        <w:rPr>
          <w:color w:val="231F20"/>
        </w:rPr>
        <w:t>este</w:t>
      </w:r>
      <w:r>
        <w:rPr>
          <w:color w:val="231F20"/>
          <w:spacing w:val="-11"/>
        </w:rPr>
        <w:t> </w:t>
      </w:r>
      <w:r>
        <w:rPr>
          <w:color w:val="231F20"/>
        </w:rPr>
        <w:t>apartado</w:t>
      </w:r>
      <w:r>
        <w:rPr>
          <w:color w:val="231F20"/>
          <w:spacing w:val="-11"/>
        </w:rPr>
        <w:t> </w:t>
      </w:r>
      <w:r>
        <w:rPr>
          <w:color w:val="231F20"/>
        </w:rPr>
        <w:t>cuenta</w:t>
      </w:r>
      <w:r>
        <w:rPr>
          <w:color w:val="231F20"/>
          <w:spacing w:val="-11"/>
        </w:rPr>
        <w:t> </w:t>
      </w:r>
      <w:r>
        <w:rPr>
          <w:color w:val="231F20"/>
        </w:rPr>
        <w:t>con</w:t>
      </w:r>
      <w:r>
        <w:rPr>
          <w:color w:val="231F20"/>
          <w:spacing w:val="-11"/>
        </w:rPr>
        <w:t> </w:t>
      </w:r>
      <w:r>
        <w:rPr>
          <w:color w:val="231F20"/>
        </w:rPr>
        <w:t>dos</w:t>
      </w:r>
      <w:r>
        <w:rPr>
          <w:color w:val="231F20"/>
          <w:spacing w:val="-11"/>
        </w:rPr>
        <w:t> </w:t>
      </w:r>
      <w:r>
        <w:rPr>
          <w:color w:val="231F20"/>
        </w:rPr>
        <w:t>suba- partados: el primero abordará las características laborales y el segundo retomará las condiciones</w:t>
      </w:r>
      <w:r>
        <w:rPr>
          <w:color w:val="231F20"/>
          <w:spacing w:val="-2"/>
        </w:rPr>
        <w:t> </w:t>
      </w:r>
      <w:r>
        <w:rPr>
          <w:color w:val="231F20"/>
        </w:rPr>
        <w:t>laborales.</w:t>
      </w:r>
    </w:p>
    <w:p>
      <w:pPr>
        <w:pStyle w:val="Heading4"/>
      </w:pPr>
      <w:r>
        <w:rPr>
          <w:w w:val="75"/>
        </w:rPr>
        <w:t>El contexto mundial y América Latina del trabajo infantil</w:t>
      </w:r>
    </w:p>
    <w:p>
      <w:pPr>
        <w:pStyle w:val="BodyText"/>
        <w:spacing w:line="249" w:lineRule="auto" w:before="171"/>
        <w:ind w:left="113" w:right="107"/>
        <w:jc w:val="both"/>
        <w:rPr>
          <w:sz w:val="11"/>
        </w:rPr>
      </w:pPr>
      <w:r>
        <w:rPr>
          <w:color w:val="231F20"/>
        </w:rPr>
        <w:t>A pesar de que los organismos internacionales señalan una reducción en la incidencia del trabajo infantil a nivel mundial, en 2012 se estimó que a</w:t>
      </w:r>
      <w:r>
        <w:rPr>
          <w:color w:val="231F20"/>
          <w:spacing w:val="-3"/>
        </w:rPr>
        <w:t> </w:t>
      </w:r>
      <w:r>
        <w:rPr>
          <w:color w:val="231F20"/>
        </w:rPr>
        <w:t>nivel</w:t>
      </w:r>
      <w:r>
        <w:rPr>
          <w:color w:val="231F20"/>
          <w:spacing w:val="-3"/>
        </w:rPr>
        <w:t> </w:t>
      </w:r>
      <w:r>
        <w:rPr>
          <w:color w:val="231F20"/>
        </w:rPr>
        <w:t>mundial</w:t>
      </w:r>
      <w:r>
        <w:rPr>
          <w:color w:val="231F20"/>
          <w:spacing w:val="-4"/>
        </w:rPr>
        <w:t> </w:t>
      </w:r>
      <w:r>
        <w:rPr>
          <w:color w:val="231F20"/>
        </w:rPr>
        <w:t>trabajaron</w:t>
      </w:r>
      <w:r>
        <w:rPr>
          <w:color w:val="231F20"/>
          <w:spacing w:val="-4"/>
        </w:rPr>
        <w:t> </w:t>
      </w:r>
      <w:r>
        <w:rPr>
          <w:color w:val="231F20"/>
        </w:rPr>
        <w:t>168</w:t>
      </w:r>
      <w:r>
        <w:rPr>
          <w:color w:val="231F20"/>
          <w:spacing w:val="-3"/>
        </w:rPr>
        <w:t> </w:t>
      </w:r>
      <w:r>
        <w:rPr>
          <w:color w:val="231F20"/>
        </w:rPr>
        <w:t>mil</w:t>
      </w:r>
      <w:r>
        <w:rPr>
          <w:color w:val="231F20"/>
          <w:spacing w:val="-4"/>
        </w:rPr>
        <w:t> </w:t>
      </w:r>
      <w:r>
        <w:rPr>
          <w:color w:val="231F20"/>
        </w:rPr>
        <w:t>menores</w:t>
      </w:r>
      <w:r>
        <w:rPr>
          <w:color w:val="231F20"/>
          <w:spacing w:val="-4"/>
        </w:rPr>
        <w:t> </w:t>
      </w:r>
      <w:r>
        <w:rPr>
          <w:color w:val="231F20"/>
        </w:rPr>
        <w:t>entre</w:t>
      </w:r>
      <w:r>
        <w:rPr>
          <w:color w:val="231F20"/>
          <w:spacing w:val="-4"/>
        </w:rPr>
        <w:t> </w:t>
      </w:r>
      <w:r>
        <w:rPr>
          <w:color w:val="231F20"/>
        </w:rPr>
        <w:t>los</w:t>
      </w:r>
      <w:r>
        <w:rPr>
          <w:color w:val="231F20"/>
          <w:spacing w:val="-4"/>
        </w:rPr>
        <w:t> </w:t>
      </w:r>
      <w:r>
        <w:rPr>
          <w:color w:val="231F20"/>
        </w:rPr>
        <w:t>cinco</w:t>
      </w:r>
      <w:r>
        <w:rPr>
          <w:color w:val="231F20"/>
          <w:spacing w:val="-4"/>
        </w:rPr>
        <w:t> </w:t>
      </w:r>
      <w:r>
        <w:rPr>
          <w:color w:val="231F20"/>
        </w:rPr>
        <w:t>y</w:t>
      </w:r>
      <w:r>
        <w:rPr>
          <w:color w:val="231F20"/>
          <w:spacing w:val="-3"/>
        </w:rPr>
        <w:t> </w:t>
      </w:r>
      <w:r>
        <w:rPr>
          <w:color w:val="231F20"/>
        </w:rPr>
        <w:t>17</w:t>
      </w:r>
      <w:r>
        <w:rPr>
          <w:color w:val="231F20"/>
          <w:spacing w:val="-3"/>
        </w:rPr>
        <w:t> </w:t>
      </w:r>
      <w:r>
        <w:rPr>
          <w:color w:val="231F20"/>
        </w:rPr>
        <w:t>años,</w:t>
      </w:r>
      <w:r>
        <w:rPr>
          <w:color w:val="231F20"/>
          <w:spacing w:val="-4"/>
        </w:rPr>
        <w:t> </w:t>
      </w:r>
      <w:r>
        <w:rPr>
          <w:color w:val="231F20"/>
        </w:rPr>
        <w:t>de los</w:t>
      </w:r>
      <w:r>
        <w:rPr>
          <w:color w:val="231F20"/>
          <w:spacing w:val="-6"/>
        </w:rPr>
        <w:t> </w:t>
      </w:r>
      <w:r>
        <w:rPr>
          <w:color w:val="231F20"/>
        </w:rPr>
        <w:t>cuales</w:t>
      </w:r>
      <w:r>
        <w:rPr>
          <w:color w:val="231F20"/>
          <w:spacing w:val="-6"/>
        </w:rPr>
        <w:t> </w:t>
      </w:r>
      <w:r>
        <w:rPr>
          <w:color w:val="231F20"/>
        </w:rPr>
        <w:t>85</w:t>
      </w:r>
      <w:r>
        <w:rPr>
          <w:color w:val="231F20"/>
          <w:spacing w:val="-6"/>
        </w:rPr>
        <w:t> </w:t>
      </w:r>
      <w:r>
        <w:rPr>
          <w:color w:val="231F20"/>
        </w:rPr>
        <w:t>mil</w:t>
      </w:r>
      <w:r>
        <w:rPr>
          <w:color w:val="231F20"/>
          <w:spacing w:val="-7"/>
        </w:rPr>
        <w:t> </w:t>
      </w:r>
      <w:r>
        <w:rPr>
          <w:color w:val="231F20"/>
        </w:rPr>
        <w:t>corresponden</w:t>
      </w:r>
      <w:r>
        <w:rPr>
          <w:color w:val="231F20"/>
          <w:spacing w:val="-7"/>
        </w:rPr>
        <w:t> </w:t>
      </w:r>
      <w:r>
        <w:rPr>
          <w:color w:val="231F20"/>
        </w:rPr>
        <w:t>a</w:t>
      </w:r>
      <w:r>
        <w:rPr>
          <w:color w:val="231F20"/>
          <w:spacing w:val="-6"/>
        </w:rPr>
        <w:t> </w:t>
      </w:r>
      <w:r>
        <w:rPr>
          <w:color w:val="231F20"/>
        </w:rPr>
        <w:t>menores</w:t>
      </w:r>
      <w:r>
        <w:rPr>
          <w:color w:val="231F20"/>
          <w:spacing w:val="-7"/>
        </w:rPr>
        <w:t> </w:t>
      </w:r>
      <w:r>
        <w:rPr>
          <w:color w:val="231F20"/>
        </w:rPr>
        <w:t>que</w:t>
      </w:r>
      <w:r>
        <w:rPr>
          <w:color w:val="231F20"/>
          <w:spacing w:val="-6"/>
        </w:rPr>
        <w:t> </w:t>
      </w:r>
      <w:r>
        <w:rPr>
          <w:color w:val="231F20"/>
        </w:rPr>
        <w:t>realizan</w:t>
      </w:r>
      <w:r>
        <w:rPr>
          <w:color w:val="231F20"/>
          <w:spacing w:val="-6"/>
        </w:rPr>
        <w:t> </w:t>
      </w:r>
      <w:r>
        <w:rPr>
          <w:color w:val="231F20"/>
        </w:rPr>
        <w:t>trabajos</w:t>
      </w:r>
      <w:r>
        <w:rPr>
          <w:color w:val="231F20"/>
          <w:spacing w:val="-7"/>
        </w:rPr>
        <w:t> </w:t>
      </w:r>
      <w:r>
        <w:rPr>
          <w:color w:val="231F20"/>
        </w:rPr>
        <w:t>cataloga- dos como peligrosos.</w:t>
      </w:r>
      <w:r>
        <w:rPr>
          <w:color w:val="231F20"/>
          <w:position w:val="7"/>
          <w:sz w:val="11"/>
        </w:rPr>
        <w:t>1</w:t>
      </w:r>
    </w:p>
    <w:p>
      <w:pPr>
        <w:spacing w:line="157" w:lineRule="exact" w:before="109"/>
        <w:ind w:left="113" w:right="0" w:firstLine="0"/>
        <w:jc w:val="both"/>
        <w:rPr>
          <w:sz w:val="14"/>
        </w:rPr>
      </w:pPr>
      <w:r>
        <w:rPr>
          <w:color w:val="231F20"/>
          <w:position w:val="5"/>
          <w:sz w:val="8"/>
        </w:rPr>
        <w:t>1  </w:t>
      </w:r>
      <w:r>
        <w:rPr>
          <w:sz w:val="14"/>
        </w:rPr>
        <w:t>El trabajo infantil peligroso constituye la categoría más importante de las peores formas de trabajo</w:t>
      </w:r>
    </w:p>
    <w:p>
      <w:pPr>
        <w:spacing w:line="157" w:lineRule="exact" w:before="0"/>
        <w:ind w:left="113" w:right="0" w:firstLine="0"/>
        <w:jc w:val="both"/>
        <w:rPr>
          <w:sz w:val="14"/>
        </w:rPr>
      </w:pPr>
      <w:r>
        <w:rPr>
          <w:color w:val="231F20"/>
          <w:sz w:val="14"/>
        </w:rPr>
        <w:t>* Maestra en Demografía por El Colegio de México.</w:t>
      </w:r>
    </w:p>
    <w:p>
      <w:pPr>
        <w:spacing w:after="0" w:line="157" w:lineRule="exact"/>
        <w:jc w:val="both"/>
        <w:rPr>
          <w:sz w:val="14"/>
        </w:rPr>
        <w:sectPr>
          <w:footerReference w:type="default" r:id="rId285"/>
          <w:pgSz w:w="7770" w:h="11740"/>
          <w:pgMar w:footer="474" w:header="0" w:top="820" w:bottom="660" w:left="1020" w:right="740"/>
          <w:pgNumType w:start="277"/>
        </w:sectPr>
      </w:pPr>
    </w:p>
    <w:p>
      <w:pPr>
        <w:pStyle w:val="BodyText"/>
        <w:spacing w:line="249" w:lineRule="auto" w:before="59"/>
        <w:ind w:left="110" w:right="108" w:firstLine="283"/>
        <w:jc w:val="both"/>
      </w:pPr>
      <w:r>
        <w:rPr>
          <w:color w:val="231F20"/>
        </w:rPr>
        <w:t>El panorama global presentado por la Organización Internacional</w:t>
      </w:r>
      <w:r>
        <w:rPr>
          <w:color w:val="231F20"/>
          <w:spacing w:val="-29"/>
        </w:rPr>
        <w:t> </w:t>
      </w:r>
      <w:r>
        <w:rPr>
          <w:color w:val="231F20"/>
        </w:rPr>
        <w:t>del Trabajo (OIT) en 2012 señala que las tendencias de trabajo infantil</w:t>
      </w:r>
      <w:r>
        <w:rPr>
          <w:color w:val="231F20"/>
          <w:spacing w:val="-33"/>
        </w:rPr>
        <w:t> </w:t>
      </w:r>
      <w:r>
        <w:rPr>
          <w:color w:val="231F20"/>
        </w:rPr>
        <w:t>entre el año 2008-2012 registra una disminución considerable, es decir la OIT cuantificó que el trabajo infantil a nivel mundial se redujo en un tercio entre el periodo 2008-2012,</w:t>
      </w:r>
      <w:r>
        <w:rPr>
          <w:color w:val="231F20"/>
          <w:position w:val="7"/>
          <w:sz w:val="11"/>
        </w:rPr>
        <w:t>2 </w:t>
      </w:r>
      <w:r>
        <w:rPr>
          <w:color w:val="231F20"/>
        </w:rPr>
        <w:t>el mayor porcentaje de reducción de meno- res trabajadores se registró en la</w:t>
      </w:r>
      <w:r>
        <w:rPr>
          <w:color w:val="231F20"/>
          <w:spacing w:val="-3"/>
        </w:rPr>
        <w:t> </w:t>
      </w:r>
      <w:r>
        <w:rPr>
          <w:color w:val="231F20"/>
        </w:rPr>
        <w:t>niñas.</w:t>
      </w:r>
    </w:p>
    <w:p>
      <w:pPr>
        <w:pStyle w:val="BodyText"/>
        <w:spacing w:line="249" w:lineRule="auto" w:before="1"/>
        <w:ind w:left="110" w:right="111" w:firstLine="283"/>
        <w:jc w:val="both"/>
      </w:pPr>
      <w:r>
        <w:rPr>
          <w:color w:val="231F20"/>
        </w:rPr>
        <w:t>Respecto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áreas</w:t>
      </w:r>
      <w:r>
        <w:rPr>
          <w:color w:val="231F20"/>
          <w:spacing w:val="-7"/>
        </w:rPr>
        <w:t> </w:t>
      </w:r>
      <w:r>
        <w:rPr>
          <w:color w:val="231F20"/>
        </w:rPr>
        <w:t>geográficas</w:t>
      </w:r>
      <w:r>
        <w:rPr>
          <w:color w:val="231F20"/>
          <w:spacing w:val="-7"/>
        </w:rPr>
        <w:t> </w:t>
      </w:r>
      <w:r>
        <w:rPr>
          <w:color w:val="231F20"/>
        </w:rPr>
        <w:t>la</w:t>
      </w:r>
      <w:r>
        <w:rPr>
          <w:color w:val="231F20"/>
          <w:spacing w:val="-7"/>
        </w:rPr>
        <w:t> </w:t>
      </w:r>
      <w:r>
        <w:rPr>
          <w:color w:val="231F20"/>
        </w:rPr>
        <w:t>OIT</w:t>
      </w:r>
      <w:r>
        <w:rPr>
          <w:color w:val="231F20"/>
          <w:spacing w:val="-10"/>
        </w:rPr>
        <w:t> </w:t>
      </w:r>
      <w:r>
        <w:rPr>
          <w:color w:val="231F20"/>
        </w:rPr>
        <w:t>señal</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región</w:t>
      </w:r>
      <w:r>
        <w:rPr>
          <w:color w:val="231F20"/>
          <w:spacing w:val="-18"/>
        </w:rPr>
        <w:t> </w:t>
      </w:r>
      <w:r>
        <w:rPr>
          <w:color w:val="231F20"/>
        </w:rPr>
        <w:t>Asia</w:t>
      </w:r>
      <w:r>
        <w:rPr>
          <w:color w:val="231F20"/>
          <w:spacing w:val="-7"/>
        </w:rPr>
        <w:t> </w:t>
      </w:r>
      <w:r>
        <w:rPr>
          <w:color w:val="231F20"/>
        </w:rPr>
        <w:t>Pací- fico</w:t>
      </w:r>
      <w:r>
        <w:rPr>
          <w:color w:val="231F20"/>
          <w:spacing w:val="-13"/>
        </w:rPr>
        <w:t> </w:t>
      </w:r>
      <w:r>
        <w:rPr>
          <w:color w:val="231F20"/>
        </w:rPr>
        <w:t>contabilizó</w:t>
      </w:r>
      <w:r>
        <w:rPr>
          <w:color w:val="231F20"/>
          <w:spacing w:val="-14"/>
        </w:rPr>
        <w:t> </w:t>
      </w:r>
      <w:r>
        <w:rPr>
          <w:color w:val="231F20"/>
        </w:rPr>
        <w:t>un</w:t>
      </w:r>
      <w:r>
        <w:rPr>
          <w:color w:val="231F20"/>
          <w:spacing w:val="-13"/>
        </w:rPr>
        <w:t> </w:t>
      </w:r>
      <w:r>
        <w:rPr>
          <w:color w:val="231F20"/>
        </w:rPr>
        <w:t>total</w:t>
      </w:r>
      <w:r>
        <w:rPr>
          <w:color w:val="231F20"/>
          <w:spacing w:val="-13"/>
        </w:rPr>
        <w:t> </w:t>
      </w:r>
      <w:r>
        <w:rPr>
          <w:color w:val="231F20"/>
        </w:rPr>
        <w:t>de</w:t>
      </w:r>
      <w:r>
        <w:rPr>
          <w:color w:val="231F20"/>
          <w:spacing w:val="-13"/>
        </w:rPr>
        <w:t> </w:t>
      </w:r>
      <w:r>
        <w:rPr>
          <w:color w:val="231F20"/>
        </w:rPr>
        <w:t>129</w:t>
      </w:r>
      <w:r>
        <w:rPr>
          <w:color w:val="231F20"/>
          <w:spacing w:val="-13"/>
        </w:rPr>
        <w:t> </w:t>
      </w:r>
      <w:r>
        <w:rPr>
          <w:color w:val="231F20"/>
        </w:rPr>
        <w:t>mil</w:t>
      </w:r>
      <w:r>
        <w:rPr>
          <w:color w:val="231F20"/>
          <w:spacing w:val="-13"/>
        </w:rPr>
        <w:t> </w:t>
      </w:r>
      <w:r>
        <w:rPr>
          <w:color w:val="231F20"/>
        </w:rPr>
        <w:t>menores</w:t>
      </w:r>
      <w:r>
        <w:rPr>
          <w:color w:val="231F20"/>
          <w:spacing w:val="-13"/>
        </w:rPr>
        <w:t> </w:t>
      </w:r>
      <w:r>
        <w:rPr>
          <w:color w:val="231F20"/>
        </w:rPr>
        <w:t>trabajadores</w:t>
      </w:r>
      <w:r>
        <w:rPr>
          <w:color w:val="231F20"/>
          <w:spacing w:val="-14"/>
        </w:rPr>
        <w:t> </w:t>
      </w:r>
      <w:r>
        <w:rPr>
          <w:color w:val="231F20"/>
        </w:rPr>
        <w:t>de</w:t>
      </w:r>
      <w:r>
        <w:rPr>
          <w:color w:val="231F20"/>
          <w:spacing w:val="-13"/>
        </w:rPr>
        <w:t> </w:t>
      </w:r>
      <w:r>
        <w:rPr>
          <w:color w:val="231F20"/>
        </w:rPr>
        <w:t>los</w:t>
      </w:r>
      <w:r>
        <w:rPr>
          <w:color w:val="231F20"/>
          <w:spacing w:val="-13"/>
        </w:rPr>
        <w:t> </w:t>
      </w:r>
      <w:r>
        <w:rPr>
          <w:color w:val="231F20"/>
        </w:rPr>
        <w:t>cuales</w:t>
      </w:r>
      <w:r>
        <w:rPr>
          <w:color w:val="231F20"/>
          <w:spacing w:val="-13"/>
        </w:rPr>
        <w:t> </w:t>
      </w:r>
      <w:r>
        <w:rPr>
          <w:color w:val="231F20"/>
        </w:rPr>
        <w:t>4.1 por</w:t>
      </w:r>
      <w:r>
        <w:rPr>
          <w:color w:val="231F20"/>
          <w:spacing w:val="-19"/>
        </w:rPr>
        <w:t> </w:t>
      </w:r>
      <w:r>
        <w:rPr>
          <w:color w:val="231F20"/>
        </w:rPr>
        <w:t>ciento</w:t>
      </w:r>
      <w:r>
        <w:rPr>
          <w:color w:val="231F20"/>
          <w:spacing w:val="-19"/>
        </w:rPr>
        <w:t> </w:t>
      </w:r>
      <w:r>
        <w:rPr>
          <w:color w:val="231F20"/>
        </w:rPr>
        <w:t>son</w:t>
      </w:r>
      <w:r>
        <w:rPr>
          <w:color w:val="231F20"/>
          <w:spacing w:val="-19"/>
        </w:rPr>
        <w:t> </w:t>
      </w:r>
      <w:r>
        <w:rPr>
          <w:color w:val="231F20"/>
        </w:rPr>
        <w:t>menores</w:t>
      </w:r>
      <w:r>
        <w:rPr>
          <w:color w:val="231F20"/>
          <w:spacing w:val="-20"/>
        </w:rPr>
        <w:t> </w:t>
      </w:r>
      <w:r>
        <w:rPr>
          <w:color w:val="231F20"/>
        </w:rPr>
        <w:t>que</w:t>
      </w:r>
      <w:r>
        <w:rPr>
          <w:color w:val="231F20"/>
          <w:spacing w:val="-19"/>
        </w:rPr>
        <w:t> </w:t>
      </w:r>
      <w:r>
        <w:rPr>
          <w:color w:val="231F20"/>
        </w:rPr>
        <w:t>desempeñan</w:t>
      </w:r>
      <w:r>
        <w:rPr>
          <w:color w:val="231F20"/>
          <w:spacing w:val="-19"/>
        </w:rPr>
        <w:t> </w:t>
      </w:r>
      <w:r>
        <w:rPr>
          <w:color w:val="231F20"/>
        </w:rPr>
        <w:t>trabajos</w:t>
      </w:r>
      <w:r>
        <w:rPr>
          <w:color w:val="231F20"/>
          <w:spacing w:val="-20"/>
        </w:rPr>
        <w:t> </w:t>
      </w:r>
      <w:r>
        <w:rPr>
          <w:color w:val="231F20"/>
        </w:rPr>
        <w:t>peligrosos,</w:t>
      </w:r>
      <w:r>
        <w:rPr>
          <w:color w:val="231F20"/>
          <w:spacing w:val="-19"/>
        </w:rPr>
        <w:t> </w:t>
      </w:r>
      <w:r>
        <w:rPr>
          <w:color w:val="231F20"/>
        </w:rPr>
        <w:t>en</w:t>
      </w:r>
      <w:r>
        <w:rPr>
          <w:color w:val="231F20"/>
          <w:spacing w:val="-19"/>
        </w:rPr>
        <w:t> </w:t>
      </w:r>
      <w:r>
        <w:rPr>
          <w:color w:val="231F20"/>
        </w:rPr>
        <w:t>seguida</w:t>
      </w:r>
      <w:r>
        <w:rPr>
          <w:color w:val="231F20"/>
          <w:spacing w:val="-19"/>
        </w:rPr>
        <w:t> </w:t>
      </w:r>
      <w:r>
        <w:rPr>
          <w:color w:val="231F20"/>
        </w:rPr>
        <w:t>se encuentra</w:t>
      </w:r>
      <w:r>
        <w:rPr>
          <w:color w:val="231F20"/>
          <w:spacing w:val="-17"/>
        </w:rPr>
        <w:t> </w:t>
      </w:r>
      <w:r>
        <w:rPr>
          <w:color w:val="231F20"/>
        </w:rPr>
        <w:t>la</w:t>
      </w:r>
      <w:r>
        <w:rPr>
          <w:color w:val="231F20"/>
          <w:spacing w:val="-17"/>
        </w:rPr>
        <w:t> </w:t>
      </w:r>
      <w:r>
        <w:rPr>
          <w:color w:val="231F20"/>
        </w:rPr>
        <w:t>región</w:t>
      </w:r>
      <w:r>
        <w:rPr>
          <w:color w:val="231F20"/>
          <w:spacing w:val="-17"/>
        </w:rPr>
        <w:t> </w:t>
      </w:r>
      <w:r>
        <w:rPr>
          <w:color w:val="231F20"/>
        </w:rPr>
        <w:t>África</w:t>
      </w:r>
      <w:r>
        <w:rPr>
          <w:color w:val="231F20"/>
          <w:spacing w:val="-17"/>
        </w:rPr>
        <w:t> </w:t>
      </w:r>
      <w:r>
        <w:rPr>
          <w:color w:val="231F20"/>
        </w:rPr>
        <w:t>Subsahariana</w:t>
      </w:r>
      <w:r>
        <w:rPr>
          <w:color w:val="231F20"/>
          <w:spacing w:val="-16"/>
        </w:rPr>
        <w:t> </w:t>
      </w:r>
      <w:r>
        <w:rPr>
          <w:color w:val="231F20"/>
        </w:rPr>
        <w:t>la</w:t>
      </w:r>
      <w:r>
        <w:rPr>
          <w:color w:val="231F20"/>
          <w:spacing w:val="-17"/>
        </w:rPr>
        <w:t> </w:t>
      </w:r>
      <w:r>
        <w:rPr>
          <w:color w:val="231F20"/>
        </w:rPr>
        <w:t>cual</w:t>
      </w:r>
      <w:r>
        <w:rPr>
          <w:color w:val="231F20"/>
          <w:spacing w:val="-17"/>
        </w:rPr>
        <w:t> </w:t>
      </w:r>
      <w:r>
        <w:rPr>
          <w:color w:val="231F20"/>
        </w:rPr>
        <w:t>registró</w:t>
      </w:r>
      <w:r>
        <w:rPr>
          <w:color w:val="231F20"/>
          <w:spacing w:val="-17"/>
        </w:rPr>
        <w:t> </w:t>
      </w:r>
      <w:r>
        <w:rPr>
          <w:color w:val="231F20"/>
        </w:rPr>
        <w:t>un</w:t>
      </w:r>
      <w:r>
        <w:rPr>
          <w:color w:val="231F20"/>
          <w:spacing w:val="-17"/>
        </w:rPr>
        <w:t> </w:t>
      </w:r>
      <w:r>
        <w:rPr>
          <w:color w:val="231F20"/>
        </w:rPr>
        <w:t>total</w:t>
      </w:r>
      <w:r>
        <w:rPr>
          <w:color w:val="231F20"/>
          <w:spacing w:val="-17"/>
        </w:rPr>
        <w:t> </w:t>
      </w:r>
      <w:r>
        <w:rPr>
          <w:color w:val="231F20"/>
        </w:rPr>
        <w:t>de</w:t>
      </w:r>
      <w:r>
        <w:rPr>
          <w:color w:val="231F20"/>
          <w:spacing w:val="-17"/>
        </w:rPr>
        <w:t> </w:t>
      </w:r>
      <w:r>
        <w:rPr>
          <w:color w:val="231F20"/>
        </w:rPr>
        <w:t>83,570 menores</w:t>
      </w:r>
      <w:r>
        <w:rPr>
          <w:color w:val="231F20"/>
          <w:spacing w:val="-18"/>
        </w:rPr>
        <w:t> </w:t>
      </w:r>
      <w:r>
        <w:rPr>
          <w:color w:val="231F20"/>
        </w:rPr>
        <w:t>trabajadores,</w:t>
      </w:r>
      <w:r>
        <w:rPr>
          <w:color w:val="231F20"/>
          <w:spacing w:val="-18"/>
        </w:rPr>
        <w:t> </w:t>
      </w:r>
      <w:r>
        <w:rPr>
          <w:color w:val="231F20"/>
        </w:rPr>
        <w:t>de</w:t>
      </w:r>
      <w:r>
        <w:rPr>
          <w:color w:val="231F20"/>
          <w:spacing w:val="-18"/>
        </w:rPr>
        <w:t> </w:t>
      </w:r>
      <w:r>
        <w:rPr>
          <w:color w:val="231F20"/>
        </w:rPr>
        <w:t>ellos</w:t>
      </w:r>
      <w:r>
        <w:rPr>
          <w:color w:val="231F20"/>
          <w:spacing w:val="-18"/>
        </w:rPr>
        <w:t> </w:t>
      </w:r>
      <w:r>
        <w:rPr>
          <w:color w:val="231F20"/>
        </w:rPr>
        <w:t>diez</w:t>
      </w:r>
      <w:r>
        <w:rPr>
          <w:color w:val="231F20"/>
          <w:spacing w:val="-18"/>
        </w:rPr>
        <w:t> </w:t>
      </w:r>
      <w:r>
        <w:rPr>
          <w:color w:val="231F20"/>
        </w:rPr>
        <w:t>por</w:t>
      </w:r>
      <w:r>
        <w:rPr>
          <w:color w:val="231F20"/>
          <w:spacing w:val="-18"/>
        </w:rPr>
        <w:t> </w:t>
      </w:r>
      <w:r>
        <w:rPr>
          <w:color w:val="231F20"/>
        </w:rPr>
        <w:t>ciento</w:t>
      </w:r>
      <w:r>
        <w:rPr>
          <w:color w:val="231F20"/>
          <w:spacing w:val="-18"/>
        </w:rPr>
        <w:t> </w:t>
      </w:r>
      <w:r>
        <w:rPr>
          <w:color w:val="231F20"/>
        </w:rPr>
        <w:t>se</w:t>
      </w:r>
      <w:r>
        <w:rPr>
          <w:color w:val="231F20"/>
          <w:spacing w:val="-18"/>
        </w:rPr>
        <w:t> </w:t>
      </w:r>
      <w:r>
        <w:rPr>
          <w:color w:val="231F20"/>
        </w:rPr>
        <w:t>encuentra</w:t>
      </w:r>
      <w:r>
        <w:rPr>
          <w:color w:val="231F20"/>
          <w:spacing w:val="-18"/>
        </w:rPr>
        <w:t> </w:t>
      </w:r>
      <w:r>
        <w:rPr>
          <w:color w:val="231F20"/>
        </w:rPr>
        <w:t>en</w:t>
      </w:r>
      <w:r>
        <w:rPr>
          <w:color w:val="231F20"/>
          <w:spacing w:val="-18"/>
        </w:rPr>
        <w:t> </w:t>
      </w:r>
      <w:r>
        <w:rPr>
          <w:color w:val="231F20"/>
        </w:rPr>
        <w:t>condiciones de</w:t>
      </w:r>
      <w:r>
        <w:rPr>
          <w:color w:val="231F20"/>
          <w:spacing w:val="-15"/>
        </w:rPr>
        <w:t> </w:t>
      </w:r>
      <w:r>
        <w:rPr>
          <w:color w:val="231F20"/>
        </w:rPr>
        <w:t>trabajos</w:t>
      </w:r>
      <w:r>
        <w:rPr>
          <w:color w:val="231F20"/>
          <w:spacing w:val="-15"/>
        </w:rPr>
        <w:t> </w:t>
      </w:r>
      <w:r>
        <w:rPr>
          <w:color w:val="231F20"/>
        </w:rPr>
        <w:t>peligroso.</w:t>
      </w:r>
      <w:r>
        <w:rPr>
          <w:color w:val="231F20"/>
          <w:spacing w:val="-15"/>
        </w:rPr>
        <w:t> </w:t>
      </w:r>
      <w:r>
        <w:rPr>
          <w:color w:val="231F20"/>
        </w:rPr>
        <w:t>La</w:t>
      </w:r>
      <w:r>
        <w:rPr>
          <w:color w:val="231F20"/>
          <w:spacing w:val="-15"/>
        </w:rPr>
        <w:t> </w:t>
      </w:r>
      <w:r>
        <w:rPr>
          <w:color w:val="231F20"/>
        </w:rPr>
        <w:t>región</w:t>
      </w:r>
      <w:r>
        <w:rPr>
          <w:color w:val="231F20"/>
          <w:spacing w:val="-15"/>
        </w:rPr>
        <w:t> </w:t>
      </w:r>
      <w:r>
        <w:rPr>
          <w:color w:val="231F20"/>
        </w:rPr>
        <w:t>de</w:t>
      </w:r>
      <w:r>
        <w:rPr>
          <w:color w:val="231F20"/>
          <w:spacing w:val="-26"/>
        </w:rPr>
        <w:t> </w:t>
      </w:r>
      <w:r>
        <w:rPr>
          <w:color w:val="231F20"/>
        </w:rPr>
        <w:t>América</w:t>
      </w:r>
      <w:r>
        <w:rPr>
          <w:color w:val="231F20"/>
          <w:spacing w:val="-15"/>
        </w:rPr>
        <w:t> </w:t>
      </w:r>
      <w:r>
        <w:rPr>
          <w:color w:val="231F20"/>
        </w:rPr>
        <w:t>Latina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Caribe</w:t>
      </w:r>
      <w:r>
        <w:rPr>
          <w:color w:val="231F20"/>
          <w:spacing w:val="-15"/>
        </w:rPr>
        <w:t> </w:t>
      </w:r>
      <w:r>
        <w:rPr>
          <w:color w:val="231F20"/>
        </w:rPr>
        <w:t>contabilizó un</w:t>
      </w:r>
      <w:r>
        <w:rPr>
          <w:color w:val="231F20"/>
          <w:spacing w:val="-10"/>
        </w:rPr>
        <w:t> </w:t>
      </w:r>
      <w:r>
        <w:rPr>
          <w:color w:val="231F20"/>
        </w:rPr>
        <w:t>total</w:t>
      </w:r>
      <w:r>
        <w:rPr>
          <w:color w:val="231F20"/>
          <w:spacing w:val="-10"/>
        </w:rPr>
        <w:t> </w:t>
      </w:r>
      <w:r>
        <w:rPr>
          <w:color w:val="231F20"/>
        </w:rPr>
        <w:t>de</w:t>
      </w:r>
      <w:r>
        <w:rPr>
          <w:color w:val="231F20"/>
          <w:spacing w:val="-10"/>
        </w:rPr>
        <w:t> </w:t>
      </w:r>
      <w:r>
        <w:rPr>
          <w:color w:val="231F20"/>
        </w:rPr>
        <w:t>17,843</w:t>
      </w:r>
      <w:r>
        <w:rPr>
          <w:color w:val="231F20"/>
          <w:spacing w:val="-10"/>
        </w:rPr>
        <w:t> </w:t>
      </w:r>
      <w:r>
        <w:rPr>
          <w:color w:val="231F20"/>
        </w:rPr>
        <w:t>menores</w:t>
      </w:r>
      <w:r>
        <w:rPr>
          <w:color w:val="231F20"/>
          <w:spacing w:val="-10"/>
        </w:rPr>
        <w:t> </w:t>
      </w:r>
      <w:r>
        <w:rPr>
          <w:color w:val="231F20"/>
        </w:rPr>
        <w:t>realizando</w:t>
      </w:r>
      <w:r>
        <w:rPr>
          <w:color w:val="231F20"/>
          <w:spacing w:val="-10"/>
        </w:rPr>
        <w:t> </w:t>
      </w:r>
      <w:r>
        <w:rPr>
          <w:color w:val="231F20"/>
        </w:rPr>
        <w:t>trabajo</w:t>
      </w:r>
      <w:r>
        <w:rPr>
          <w:color w:val="231F20"/>
          <w:spacing w:val="-10"/>
        </w:rPr>
        <w:t> </w:t>
      </w:r>
      <w:r>
        <w:rPr>
          <w:color w:val="231F20"/>
        </w:rPr>
        <w:t>infantil</w:t>
      </w:r>
      <w:r>
        <w:rPr>
          <w:color w:val="231F20"/>
          <w:spacing w:val="-10"/>
        </w:rPr>
        <w:t> </w:t>
      </w:r>
      <w:r>
        <w:rPr>
          <w:color w:val="231F20"/>
        </w:rPr>
        <w:t>remunerado,</w:t>
      </w:r>
      <w:r>
        <w:rPr>
          <w:color w:val="231F20"/>
          <w:spacing w:val="-10"/>
        </w:rPr>
        <w:t> </w:t>
      </w:r>
      <w:r>
        <w:rPr>
          <w:color w:val="231F20"/>
        </w:rPr>
        <w:t>de</w:t>
      </w:r>
      <w:r>
        <w:rPr>
          <w:color w:val="231F20"/>
          <w:spacing w:val="-10"/>
        </w:rPr>
        <w:t> </w:t>
      </w:r>
      <w:r>
        <w:rPr>
          <w:color w:val="231F20"/>
        </w:rPr>
        <w:t>los cuales 6.8 por ciento de los menores realizan trabajos peligrosos, final- mente la región de Oriente Medio y África del Norte registró un total de 13,307 menores trabajando. Si bien en términos absolutos fue la región de</w:t>
      </w:r>
      <w:r>
        <w:rPr>
          <w:color w:val="231F20"/>
          <w:spacing w:val="-14"/>
        </w:rPr>
        <w:t> </w:t>
      </w:r>
      <w:r>
        <w:rPr>
          <w:color w:val="231F20"/>
        </w:rPr>
        <w:t>Asía</w:t>
      </w:r>
      <w:r>
        <w:rPr>
          <w:color w:val="231F20"/>
          <w:spacing w:val="-3"/>
        </w:rPr>
        <w:t> </w:t>
      </w:r>
      <w:r>
        <w:rPr>
          <w:color w:val="231F20"/>
        </w:rPr>
        <w:t>Pacifico</w:t>
      </w:r>
      <w:r>
        <w:rPr>
          <w:color w:val="231F20"/>
          <w:spacing w:val="-3"/>
        </w:rPr>
        <w:t> </w:t>
      </w:r>
      <w:r>
        <w:rPr>
          <w:color w:val="231F20"/>
        </w:rPr>
        <w:t>la</w:t>
      </w:r>
      <w:r>
        <w:rPr>
          <w:color w:val="231F20"/>
          <w:spacing w:val="-3"/>
        </w:rPr>
        <w:t> </w:t>
      </w:r>
      <w:r>
        <w:rPr>
          <w:color w:val="231F20"/>
        </w:rPr>
        <w:t>que</w:t>
      </w:r>
      <w:r>
        <w:rPr>
          <w:color w:val="231F20"/>
          <w:spacing w:val="-3"/>
        </w:rPr>
        <w:t> </w:t>
      </w:r>
      <w:r>
        <w:rPr>
          <w:color w:val="231F20"/>
        </w:rPr>
        <w:t>contabilizó</w:t>
      </w:r>
      <w:r>
        <w:rPr>
          <w:color w:val="231F20"/>
          <w:spacing w:val="-4"/>
        </w:rPr>
        <w:t> </w:t>
      </w:r>
      <w:r>
        <w:rPr>
          <w:color w:val="231F20"/>
        </w:rPr>
        <w:t>el</w:t>
      </w:r>
      <w:r>
        <w:rPr>
          <w:color w:val="231F20"/>
          <w:spacing w:val="-3"/>
        </w:rPr>
        <w:t> </w:t>
      </w:r>
      <w:r>
        <w:rPr>
          <w:color w:val="231F20"/>
        </w:rPr>
        <w:t>mayor</w:t>
      </w:r>
      <w:r>
        <w:rPr>
          <w:color w:val="231F20"/>
          <w:spacing w:val="-3"/>
        </w:rPr>
        <w:t> </w:t>
      </w:r>
      <w:r>
        <w:rPr>
          <w:color w:val="231F20"/>
        </w:rPr>
        <w:t>número</w:t>
      </w:r>
      <w:r>
        <w:rPr>
          <w:color w:val="231F20"/>
          <w:spacing w:val="-3"/>
        </w:rPr>
        <w:t> </w:t>
      </w:r>
      <w:r>
        <w:rPr>
          <w:color w:val="231F20"/>
        </w:rPr>
        <w:t>de</w:t>
      </w:r>
      <w:r>
        <w:rPr>
          <w:color w:val="231F20"/>
          <w:spacing w:val="-3"/>
        </w:rPr>
        <w:t> </w:t>
      </w:r>
      <w:r>
        <w:rPr>
          <w:color w:val="231F20"/>
        </w:rPr>
        <w:t>menores</w:t>
      </w:r>
      <w:r>
        <w:rPr>
          <w:color w:val="231F20"/>
          <w:spacing w:val="-3"/>
        </w:rPr>
        <w:t> </w:t>
      </w:r>
      <w:r>
        <w:rPr>
          <w:color w:val="231F20"/>
        </w:rPr>
        <w:t>trabaja- dores, África Subsahariana es la región que registra el mayor porcentaje de menores trabajadores en trabajos</w:t>
      </w:r>
      <w:r>
        <w:rPr>
          <w:color w:val="231F20"/>
          <w:spacing w:val="-4"/>
        </w:rPr>
        <w:t> </w:t>
      </w:r>
      <w:r>
        <w:rPr>
          <w:color w:val="231F20"/>
        </w:rPr>
        <w:t>peligrosos.</w:t>
      </w:r>
    </w:p>
    <w:p>
      <w:pPr>
        <w:pStyle w:val="BodyText"/>
        <w:spacing w:line="249" w:lineRule="auto" w:before="1"/>
        <w:ind w:left="110" w:right="108" w:firstLine="283"/>
        <w:jc w:val="both"/>
      </w:pPr>
      <w:r>
        <w:rPr>
          <w:color w:val="231F20"/>
        </w:rPr>
        <w:t>Un</w:t>
      </w:r>
      <w:r>
        <w:rPr>
          <w:color w:val="231F20"/>
          <w:spacing w:val="-7"/>
        </w:rPr>
        <w:t> </w:t>
      </w:r>
      <w:r>
        <w:rPr>
          <w:color w:val="231F20"/>
        </w:rPr>
        <w:t>hallazgo</w:t>
      </w:r>
      <w:r>
        <w:rPr>
          <w:color w:val="231F20"/>
          <w:spacing w:val="-7"/>
        </w:rPr>
        <w:t> </w:t>
      </w:r>
      <w:r>
        <w:rPr>
          <w:color w:val="231F20"/>
        </w:rPr>
        <w:t>importante</w:t>
      </w:r>
      <w:r>
        <w:rPr>
          <w:color w:val="231F20"/>
          <w:spacing w:val="-7"/>
        </w:rPr>
        <w:t> </w:t>
      </w:r>
      <w:r>
        <w:rPr>
          <w:color w:val="231F20"/>
        </w:rPr>
        <w:t>presentado</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últimos</w:t>
      </w:r>
      <w:r>
        <w:rPr>
          <w:color w:val="231F20"/>
          <w:spacing w:val="-7"/>
        </w:rPr>
        <w:t> </w:t>
      </w:r>
      <w:r>
        <w:rPr>
          <w:color w:val="231F20"/>
        </w:rPr>
        <w:t>informes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OIT (2012), señala que son los países de ingreso medio los que albergan el mayor número de menores en situación de trabajo infantil, es decir la cifra asciende a 93.6 millones de menores, de los cuales poco más de 50 por ciento son varones que realizan trabajos</w:t>
      </w:r>
      <w:r>
        <w:rPr>
          <w:color w:val="231F20"/>
          <w:spacing w:val="-4"/>
        </w:rPr>
        <w:t> </w:t>
      </w:r>
      <w:r>
        <w:rPr>
          <w:color w:val="231F20"/>
        </w:rPr>
        <w:t>peligrosos.</w:t>
      </w:r>
    </w:p>
    <w:p>
      <w:pPr>
        <w:pStyle w:val="BodyText"/>
        <w:spacing w:line="249" w:lineRule="auto" w:before="1"/>
        <w:ind w:left="110" w:right="111" w:firstLine="283"/>
        <w:jc w:val="both"/>
      </w:pPr>
      <w:r>
        <w:rPr>
          <w:color w:val="231F20"/>
        </w:rPr>
        <w:t>Los datos presentados con anterioridad permiten observar que el problema del trabajo infantil está lejos de ser erradicado, por lo que a continuación se presenta un análisis del trabajo infantil en México, pero principalmente de menores de cinco a once años, ya que existen pocos estudios con respecto a este grupo de edad.</w:t>
      </w:r>
    </w:p>
    <w:p>
      <w:pPr>
        <w:pStyle w:val="Heading4"/>
        <w:ind w:left="110"/>
      </w:pPr>
      <w:r>
        <w:rPr>
          <w:w w:val="75"/>
        </w:rPr>
        <w:t>Metodología y fuente de datos</w:t>
      </w:r>
    </w:p>
    <w:p>
      <w:pPr>
        <w:pStyle w:val="BodyText"/>
        <w:spacing w:line="249" w:lineRule="auto" w:before="171"/>
        <w:ind w:left="110" w:right="111"/>
        <w:jc w:val="both"/>
      </w:pPr>
      <w:r>
        <w:rPr/>
        <w:pict>
          <v:line style="position:absolute;mso-position-horizontal-relative:page;mso-position-vertical-relative:paragraph;z-index:8464;mso-wrap-distance-left:0;mso-wrap-distance-right:0" from="42.519699pt,83.898239pt" to="330.519699pt,83.898239pt" stroked="true" strokeweight="1pt" strokecolor="#231f20">
            <w10:wrap type="topAndBottom"/>
          </v:line>
        </w:pict>
      </w:r>
      <w:r>
        <w:rPr>
          <w:color w:val="231F20"/>
        </w:rPr>
        <w:t>El</w:t>
      </w:r>
      <w:r>
        <w:rPr>
          <w:color w:val="231F20"/>
          <w:spacing w:val="-4"/>
        </w:rPr>
        <w:t> </w:t>
      </w:r>
      <w:r>
        <w:rPr>
          <w:color w:val="231F20"/>
        </w:rPr>
        <w:t>trabajo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elabora</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documento</w:t>
      </w:r>
      <w:r>
        <w:rPr>
          <w:color w:val="231F20"/>
          <w:spacing w:val="-4"/>
        </w:rPr>
        <w:t> </w:t>
      </w:r>
      <w:r>
        <w:rPr>
          <w:color w:val="231F20"/>
        </w:rPr>
        <w:t>es</w:t>
      </w:r>
      <w:r>
        <w:rPr>
          <w:color w:val="231F20"/>
          <w:spacing w:val="-4"/>
        </w:rPr>
        <w:t> </w:t>
      </w:r>
      <w:r>
        <w:rPr>
          <w:color w:val="231F20"/>
        </w:rPr>
        <w:t>de</w:t>
      </w:r>
      <w:r>
        <w:rPr>
          <w:color w:val="231F20"/>
          <w:spacing w:val="-4"/>
        </w:rPr>
        <w:t> </w:t>
      </w:r>
      <w:r>
        <w:rPr>
          <w:color w:val="231F20"/>
        </w:rPr>
        <w:t>tipo</w:t>
      </w:r>
      <w:r>
        <w:rPr>
          <w:color w:val="231F20"/>
          <w:spacing w:val="-4"/>
        </w:rPr>
        <w:t> </w:t>
      </w:r>
      <w:r>
        <w:rPr>
          <w:color w:val="231F20"/>
        </w:rPr>
        <w:t>exploratorio</w:t>
      </w:r>
      <w:r>
        <w:rPr>
          <w:color w:val="231F20"/>
          <w:spacing w:val="-4"/>
        </w:rPr>
        <w:t> </w:t>
      </w:r>
      <w:r>
        <w:rPr>
          <w:color w:val="231F20"/>
        </w:rPr>
        <w:t>(des- criptivo). Los estudios exploratorios sirven para aumentar el grado de familiaridad con fenómenos relativamente desconocidos (Hernández </w:t>
      </w:r>
      <w:r>
        <w:rPr>
          <w:i/>
          <w:color w:val="231F20"/>
        </w:rPr>
        <w:t>et. </w:t>
      </w:r>
      <w:r>
        <w:rPr>
          <w:i/>
          <w:color w:val="231F20"/>
        </w:rPr>
        <w:t>al.</w:t>
      </w:r>
      <w:r>
        <w:rPr>
          <w:color w:val="231F20"/>
        </w:rPr>
        <w:t>, 2008; 128). En este caso, se sabe que existen poco estudios de corte sociodemográfico que hayan abordado el tema del trabajo infantil entre los menores de cinco a once años de edad, sin embargo se conocen  </w:t>
      </w:r>
      <w:r>
        <w:rPr>
          <w:color w:val="231F20"/>
          <w:spacing w:val="20"/>
        </w:rPr>
        <w:t> </w:t>
      </w:r>
      <w:r>
        <w:rPr>
          <w:color w:val="231F20"/>
        </w:rPr>
        <w:t>va-</w:t>
      </w:r>
    </w:p>
    <w:p>
      <w:pPr>
        <w:spacing w:before="0"/>
        <w:ind w:left="110" w:right="111" w:firstLine="0"/>
        <w:jc w:val="both"/>
        <w:rPr>
          <w:sz w:val="14"/>
        </w:rPr>
      </w:pPr>
      <w:r>
        <w:rPr>
          <w:sz w:val="14"/>
        </w:rPr>
        <w:t>infantil.</w:t>
      </w:r>
      <w:r>
        <w:rPr>
          <w:spacing w:val="-5"/>
          <w:sz w:val="14"/>
        </w:rPr>
        <w:t> </w:t>
      </w:r>
      <w:r>
        <w:rPr>
          <w:sz w:val="14"/>
        </w:rPr>
        <w:t>El</w:t>
      </w:r>
      <w:r>
        <w:rPr>
          <w:spacing w:val="-5"/>
          <w:sz w:val="14"/>
        </w:rPr>
        <w:t> </w:t>
      </w:r>
      <w:r>
        <w:rPr>
          <w:sz w:val="14"/>
        </w:rPr>
        <w:t>trabajo</w:t>
      </w:r>
      <w:r>
        <w:rPr>
          <w:spacing w:val="-5"/>
          <w:sz w:val="14"/>
        </w:rPr>
        <w:t> </w:t>
      </w:r>
      <w:r>
        <w:rPr>
          <w:sz w:val="14"/>
        </w:rPr>
        <w:t>peligroso</w:t>
      </w:r>
      <w:r>
        <w:rPr>
          <w:spacing w:val="-5"/>
          <w:sz w:val="14"/>
        </w:rPr>
        <w:t> </w:t>
      </w:r>
      <w:r>
        <w:rPr>
          <w:sz w:val="14"/>
        </w:rPr>
        <w:t>es</w:t>
      </w:r>
      <w:r>
        <w:rPr>
          <w:spacing w:val="-5"/>
          <w:sz w:val="14"/>
        </w:rPr>
        <w:t> </w:t>
      </w:r>
      <w:r>
        <w:rPr>
          <w:sz w:val="14"/>
        </w:rPr>
        <w:t>aquel</w:t>
      </w:r>
      <w:r>
        <w:rPr>
          <w:spacing w:val="-5"/>
          <w:sz w:val="14"/>
        </w:rPr>
        <w:t> </w:t>
      </w:r>
      <w:r>
        <w:rPr>
          <w:sz w:val="14"/>
        </w:rPr>
        <w:t>que,</w:t>
      </w:r>
      <w:r>
        <w:rPr>
          <w:spacing w:val="-5"/>
          <w:sz w:val="14"/>
        </w:rPr>
        <w:t> </w:t>
      </w:r>
      <w:r>
        <w:rPr>
          <w:sz w:val="14"/>
        </w:rPr>
        <w:t>por</w:t>
      </w:r>
      <w:r>
        <w:rPr>
          <w:spacing w:val="-5"/>
          <w:sz w:val="14"/>
        </w:rPr>
        <w:t> </w:t>
      </w:r>
      <w:r>
        <w:rPr>
          <w:sz w:val="14"/>
        </w:rPr>
        <w:t>su</w:t>
      </w:r>
      <w:r>
        <w:rPr>
          <w:spacing w:val="-5"/>
          <w:sz w:val="14"/>
        </w:rPr>
        <w:t> </w:t>
      </w:r>
      <w:r>
        <w:rPr>
          <w:sz w:val="14"/>
        </w:rPr>
        <w:t>naturaleza</w:t>
      </w:r>
      <w:r>
        <w:rPr>
          <w:spacing w:val="-5"/>
          <w:sz w:val="14"/>
        </w:rPr>
        <w:t> </w:t>
      </w:r>
      <w:r>
        <w:rPr>
          <w:sz w:val="14"/>
        </w:rPr>
        <w:t>o</w:t>
      </w:r>
      <w:r>
        <w:rPr>
          <w:spacing w:val="-5"/>
          <w:sz w:val="14"/>
        </w:rPr>
        <w:t> </w:t>
      </w:r>
      <w:r>
        <w:rPr>
          <w:sz w:val="14"/>
        </w:rPr>
        <w:t>por</w:t>
      </w:r>
      <w:r>
        <w:rPr>
          <w:spacing w:val="-5"/>
          <w:sz w:val="14"/>
        </w:rPr>
        <w:t> </w:t>
      </w:r>
      <w:r>
        <w:rPr>
          <w:sz w:val="14"/>
        </w:rPr>
        <w:t>las</w:t>
      </w:r>
      <w:r>
        <w:rPr>
          <w:spacing w:val="-5"/>
          <w:sz w:val="14"/>
        </w:rPr>
        <w:t> </w:t>
      </w:r>
      <w:r>
        <w:rPr>
          <w:sz w:val="14"/>
        </w:rPr>
        <w:t>condiciones</w:t>
      </w:r>
      <w:r>
        <w:rPr>
          <w:spacing w:val="-5"/>
          <w:sz w:val="14"/>
        </w:rPr>
        <w:t> </w:t>
      </w:r>
      <w:r>
        <w:rPr>
          <w:sz w:val="14"/>
        </w:rPr>
        <w:t>en</w:t>
      </w:r>
      <w:r>
        <w:rPr>
          <w:spacing w:val="-5"/>
          <w:sz w:val="14"/>
        </w:rPr>
        <w:t> </w:t>
      </w:r>
      <w:r>
        <w:rPr>
          <w:sz w:val="14"/>
        </w:rPr>
        <w:t>que</w:t>
      </w:r>
      <w:r>
        <w:rPr>
          <w:spacing w:val="-5"/>
          <w:sz w:val="14"/>
        </w:rPr>
        <w:t> </w:t>
      </w:r>
      <w:r>
        <w:rPr>
          <w:sz w:val="14"/>
        </w:rPr>
        <w:t>se</w:t>
      </w:r>
      <w:r>
        <w:rPr>
          <w:spacing w:val="-5"/>
          <w:sz w:val="14"/>
        </w:rPr>
        <w:t> </w:t>
      </w:r>
      <w:r>
        <w:rPr>
          <w:sz w:val="14"/>
        </w:rPr>
        <w:t>lleva</w:t>
      </w:r>
      <w:r>
        <w:rPr>
          <w:spacing w:val="-5"/>
          <w:sz w:val="14"/>
        </w:rPr>
        <w:t> </w:t>
      </w:r>
      <w:r>
        <w:rPr>
          <w:sz w:val="14"/>
        </w:rPr>
        <w:t>a</w:t>
      </w:r>
      <w:r>
        <w:rPr>
          <w:spacing w:val="-5"/>
          <w:sz w:val="14"/>
        </w:rPr>
        <w:t> </w:t>
      </w:r>
      <w:r>
        <w:rPr>
          <w:sz w:val="14"/>
        </w:rPr>
        <w:t>cabo, es probable que dañe la salud, la seguridad o la moralidad de los</w:t>
      </w:r>
      <w:r>
        <w:rPr>
          <w:spacing w:val="-16"/>
          <w:sz w:val="14"/>
        </w:rPr>
        <w:t> </w:t>
      </w:r>
      <w:r>
        <w:rPr>
          <w:sz w:val="14"/>
        </w:rPr>
        <w:t>niños.</w:t>
      </w:r>
    </w:p>
    <w:p>
      <w:pPr>
        <w:spacing w:before="0"/>
        <w:ind w:left="110" w:right="111" w:firstLine="0"/>
        <w:jc w:val="both"/>
        <w:rPr>
          <w:sz w:val="14"/>
        </w:rPr>
      </w:pPr>
      <w:r>
        <w:rPr>
          <w:color w:val="231F20"/>
          <w:position w:val="5"/>
          <w:sz w:val="8"/>
        </w:rPr>
        <w:t>2</w:t>
      </w:r>
      <w:r>
        <w:rPr>
          <w:color w:val="231F20"/>
          <w:spacing w:val="9"/>
          <w:position w:val="5"/>
          <w:sz w:val="8"/>
        </w:rPr>
        <w:t> </w:t>
      </w:r>
      <w:r>
        <w:rPr>
          <w:color w:val="231F20"/>
          <w:sz w:val="14"/>
        </w:rPr>
        <w:t>Se</w:t>
      </w:r>
      <w:r>
        <w:rPr>
          <w:color w:val="231F20"/>
          <w:spacing w:val="-6"/>
          <w:sz w:val="14"/>
        </w:rPr>
        <w:t> </w:t>
      </w:r>
      <w:r>
        <w:rPr>
          <w:color w:val="231F20"/>
          <w:sz w:val="14"/>
        </w:rPr>
        <w:t>debe</w:t>
      </w:r>
      <w:r>
        <w:rPr>
          <w:color w:val="231F20"/>
          <w:spacing w:val="-6"/>
          <w:sz w:val="14"/>
        </w:rPr>
        <w:t> </w:t>
      </w:r>
      <w:r>
        <w:rPr>
          <w:color w:val="231F20"/>
          <w:sz w:val="14"/>
        </w:rPr>
        <w:t>realizar</w:t>
      </w:r>
      <w:r>
        <w:rPr>
          <w:color w:val="231F20"/>
          <w:spacing w:val="-6"/>
          <w:sz w:val="14"/>
        </w:rPr>
        <w:t> </w:t>
      </w:r>
      <w:r>
        <w:rPr>
          <w:color w:val="231F20"/>
          <w:sz w:val="14"/>
        </w:rPr>
        <w:t>un</w:t>
      </w:r>
      <w:r>
        <w:rPr>
          <w:color w:val="231F20"/>
          <w:spacing w:val="-6"/>
          <w:sz w:val="14"/>
        </w:rPr>
        <w:t> </w:t>
      </w:r>
      <w:r>
        <w:rPr>
          <w:color w:val="231F20"/>
          <w:sz w:val="14"/>
        </w:rPr>
        <w:t>trabajo</w:t>
      </w:r>
      <w:r>
        <w:rPr>
          <w:color w:val="231F20"/>
          <w:spacing w:val="-6"/>
          <w:sz w:val="14"/>
        </w:rPr>
        <w:t> </w:t>
      </w:r>
      <w:r>
        <w:rPr>
          <w:color w:val="231F20"/>
          <w:sz w:val="14"/>
        </w:rPr>
        <w:t>más</w:t>
      </w:r>
      <w:r>
        <w:rPr>
          <w:color w:val="231F20"/>
          <w:spacing w:val="-6"/>
          <w:sz w:val="14"/>
        </w:rPr>
        <w:t> </w:t>
      </w:r>
      <w:r>
        <w:rPr>
          <w:color w:val="231F20"/>
          <w:sz w:val="14"/>
        </w:rPr>
        <w:t>detallado</w:t>
      </w:r>
      <w:r>
        <w:rPr>
          <w:color w:val="231F20"/>
          <w:spacing w:val="-6"/>
          <w:sz w:val="14"/>
        </w:rPr>
        <w:t> </w:t>
      </w:r>
      <w:r>
        <w:rPr>
          <w:color w:val="231F20"/>
          <w:sz w:val="14"/>
        </w:rPr>
        <w:t>en</w:t>
      </w:r>
      <w:r>
        <w:rPr>
          <w:color w:val="231F20"/>
          <w:spacing w:val="-6"/>
          <w:sz w:val="14"/>
        </w:rPr>
        <w:t> </w:t>
      </w:r>
      <w:r>
        <w:rPr>
          <w:color w:val="231F20"/>
          <w:sz w:val="14"/>
        </w:rPr>
        <w:t>el</w:t>
      </w:r>
      <w:r>
        <w:rPr>
          <w:color w:val="231F20"/>
          <w:spacing w:val="-6"/>
          <w:sz w:val="14"/>
        </w:rPr>
        <w:t> </w:t>
      </w:r>
      <w:r>
        <w:rPr>
          <w:color w:val="231F20"/>
          <w:sz w:val="14"/>
        </w:rPr>
        <w:t>cual</w:t>
      </w:r>
      <w:r>
        <w:rPr>
          <w:color w:val="231F20"/>
          <w:spacing w:val="-6"/>
          <w:sz w:val="14"/>
        </w:rPr>
        <w:t> </w:t>
      </w:r>
      <w:r>
        <w:rPr>
          <w:color w:val="231F20"/>
          <w:sz w:val="14"/>
        </w:rPr>
        <w:t>se</w:t>
      </w:r>
      <w:r>
        <w:rPr>
          <w:color w:val="231F20"/>
          <w:spacing w:val="-6"/>
          <w:sz w:val="14"/>
        </w:rPr>
        <w:t> </w:t>
      </w:r>
      <w:r>
        <w:rPr>
          <w:color w:val="231F20"/>
          <w:sz w:val="14"/>
        </w:rPr>
        <w:t>verifique</w:t>
      </w:r>
      <w:r>
        <w:rPr>
          <w:color w:val="231F20"/>
          <w:spacing w:val="-6"/>
          <w:sz w:val="14"/>
        </w:rPr>
        <w:t> </w:t>
      </w:r>
      <w:r>
        <w:rPr>
          <w:color w:val="231F20"/>
          <w:sz w:val="14"/>
        </w:rPr>
        <w:t>que</w:t>
      </w:r>
      <w:r>
        <w:rPr>
          <w:color w:val="231F20"/>
          <w:spacing w:val="-6"/>
          <w:sz w:val="14"/>
        </w:rPr>
        <w:t> </w:t>
      </w:r>
      <w:r>
        <w:rPr>
          <w:color w:val="231F20"/>
          <w:sz w:val="14"/>
        </w:rPr>
        <w:t>las</w:t>
      </w:r>
      <w:r>
        <w:rPr>
          <w:color w:val="231F20"/>
          <w:spacing w:val="-6"/>
          <w:sz w:val="14"/>
        </w:rPr>
        <w:t> </w:t>
      </w:r>
      <w:r>
        <w:rPr>
          <w:color w:val="231F20"/>
          <w:sz w:val="14"/>
        </w:rPr>
        <w:t>reducciones</w:t>
      </w:r>
      <w:r>
        <w:rPr>
          <w:color w:val="231F20"/>
          <w:spacing w:val="-6"/>
          <w:sz w:val="14"/>
        </w:rPr>
        <w:t> </w:t>
      </w:r>
      <w:r>
        <w:rPr>
          <w:color w:val="231F20"/>
          <w:sz w:val="14"/>
        </w:rPr>
        <w:t>de</w:t>
      </w:r>
      <w:r>
        <w:rPr>
          <w:color w:val="231F20"/>
          <w:spacing w:val="-6"/>
          <w:sz w:val="14"/>
        </w:rPr>
        <w:t> </w:t>
      </w:r>
      <w:r>
        <w:rPr>
          <w:color w:val="231F20"/>
          <w:sz w:val="14"/>
        </w:rPr>
        <w:t>trabajado</w:t>
      </w:r>
      <w:r>
        <w:rPr>
          <w:color w:val="231F20"/>
          <w:spacing w:val="-6"/>
          <w:sz w:val="14"/>
        </w:rPr>
        <w:t> </w:t>
      </w:r>
      <w:r>
        <w:rPr>
          <w:color w:val="231F20"/>
          <w:sz w:val="14"/>
        </w:rPr>
        <w:t>infan- til no se deben a los eventos demográficos que se presentan en cada</w:t>
      </w:r>
      <w:r>
        <w:rPr>
          <w:color w:val="231F20"/>
          <w:spacing w:val="-8"/>
          <w:sz w:val="14"/>
        </w:rPr>
        <w:t> </w:t>
      </w:r>
      <w:r>
        <w:rPr>
          <w:color w:val="231F20"/>
          <w:sz w:val="14"/>
        </w:rPr>
        <w:t>país.</w:t>
      </w:r>
    </w:p>
    <w:p>
      <w:pPr>
        <w:spacing w:after="0"/>
        <w:jc w:val="both"/>
        <w:rPr>
          <w:sz w:val="14"/>
        </w:rPr>
        <w:sectPr>
          <w:pgSz w:w="7770" w:h="11740"/>
          <w:pgMar w:header="0" w:footer="474" w:top="840" w:bottom="740" w:left="740" w:right="1020"/>
        </w:sectPr>
      </w:pPr>
    </w:p>
    <w:p>
      <w:pPr>
        <w:pStyle w:val="BodyText"/>
        <w:spacing w:line="249" w:lineRule="auto" w:before="60"/>
        <w:ind w:left="113" w:right="107"/>
        <w:jc w:val="both"/>
      </w:pPr>
      <w:r>
        <w:rPr>
          <w:color w:val="231F20"/>
        </w:rPr>
        <w:t>rios estudios que abordan los aspectos sociodemográficos de menores con mayor edad principalmente se han elaborado trabajos de menores trabajadores de 12 a 17 años entre los que se encuentra: Psacharopoulos (1997);</w:t>
      </w:r>
      <w:r>
        <w:rPr>
          <w:color w:val="231F20"/>
          <w:spacing w:val="-11"/>
        </w:rPr>
        <w:t> </w:t>
      </w:r>
      <w:r>
        <w:rPr>
          <w:color w:val="231F20"/>
        </w:rPr>
        <w:t>Levison</w:t>
      </w:r>
      <w:r>
        <w:rPr>
          <w:color w:val="231F20"/>
          <w:spacing w:val="-12"/>
        </w:rPr>
        <w:t> </w:t>
      </w:r>
      <w:r>
        <w:rPr>
          <w:i/>
          <w:color w:val="231F20"/>
        </w:rPr>
        <w:t>et</w:t>
      </w:r>
      <w:r>
        <w:rPr>
          <w:i/>
          <w:color w:val="231F20"/>
          <w:spacing w:val="-11"/>
        </w:rPr>
        <w:t> </w:t>
      </w:r>
      <w:r>
        <w:rPr>
          <w:i/>
          <w:color w:val="231F20"/>
        </w:rPr>
        <w:t>al</w:t>
      </w:r>
      <w:r>
        <w:rPr>
          <w:color w:val="231F20"/>
        </w:rPr>
        <w:t>.</w:t>
      </w:r>
      <w:r>
        <w:rPr>
          <w:color w:val="231F20"/>
          <w:spacing w:val="-11"/>
        </w:rPr>
        <w:t> </w:t>
      </w:r>
      <w:r>
        <w:rPr>
          <w:color w:val="231F20"/>
        </w:rPr>
        <w:t>(2007);</w:t>
      </w:r>
      <w:r>
        <w:rPr>
          <w:color w:val="231F20"/>
          <w:spacing w:val="-11"/>
        </w:rPr>
        <w:t> </w:t>
      </w:r>
      <w:r>
        <w:rPr>
          <w:color w:val="231F20"/>
        </w:rPr>
        <w:t>Post</w:t>
      </w:r>
      <w:r>
        <w:rPr>
          <w:color w:val="231F20"/>
          <w:spacing w:val="-11"/>
        </w:rPr>
        <w:t> </w:t>
      </w:r>
      <w:r>
        <w:rPr>
          <w:color w:val="231F20"/>
        </w:rPr>
        <w:t>(2003);</w:t>
      </w:r>
      <w:r>
        <w:rPr>
          <w:color w:val="231F20"/>
          <w:spacing w:val="-11"/>
        </w:rPr>
        <w:t> </w:t>
      </w:r>
      <w:r>
        <w:rPr>
          <w:color w:val="231F20"/>
        </w:rPr>
        <w:t>Estrada</w:t>
      </w:r>
      <w:r>
        <w:rPr>
          <w:color w:val="231F20"/>
          <w:spacing w:val="-12"/>
        </w:rPr>
        <w:t> </w:t>
      </w:r>
      <w:r>
        <w:rPr>
          <w:color w:val="231F20"/>
        </w:rPr>
        <w:t>(2005);</w:t>
      </w:r>
      <w:r>
        <w:rPr>
          <w:color w:val="231F20"/>
          <w:spacing w:val="-11"/>
        </w:rPr>
        <w:t> </w:t>
      </w:r>
      <w:r>
        <w:rPr>
          <w:color w:val="231F20"/>
        </w:rPr>
        <w:t>López</w:t>
      </w:r>
      <w:r>
        <w:rPr>
          <w:color w:val="231F20"/>
          <w:spacing w:val="-12"/>
        </w:rPr>
        <w:t> </w:t>
      </w:r>
      <w:r>
        <w:rPr>
          <w:color w:val="231F20"/>
        </w:rPr>
        <w:t>(2006); Edmond y Pavcnik (2005); Edmond (2008), entre</w:t>
      </w:r>
      <w:r>
        <w:rPr>
          <w:color w:val="231F20"/>
          <w:spacing w:val="-9"/>
        </w:rPr>
        <w:t> </w:t>
      </w:r>
      <w:r>
        <w:rPr>
          <w:color w:val="231F20"/>
        </w:rPr>
        <w:t>otros.</w:t>
      </w:r>
    </w:p>
    <w:p>
      <w:pPr>
        <w:pStyle w:val="BodyText"/>
        <w:spacing w:line="249" w:lineRule="auto" w:before="1"/>
        <w:ind w:left="113" w:right="108" w:firstLine="283"/>
        <w:jc w:val="both"/>
      </w:pPr>
      <w:r>
        <w:rPr>
          <w:color w:val="231F20"/>
        </w:rPr>
        <w:t>Para realizar el calculo de los menores trabajadores de cinco a once años en México (2013) se retomó la información estadística de la En- cuesta</w:t>
      </w:r>
      <w:r>
        <w:rPr>
          <w:color w:val="231F20"/>
          <w:spacing w:val="-5"/>
        </w:rPr>
        <w:t> </w:t>
      </w:r>
      <w:r>
        <w:rPr>
          <w:color w:val="231F20"/>
        </w:rPr>
        <w:t>Nacional</w:t>
      </w:r>
      <w:r>
        <w:rPr>
          <w:color w:val="231F20"/>
          <w:spacing w:val="-5"/>
        </w:rPr>
        <w:t> </w:t>
      </w:r>
      <w:r>
        <w:rPr>
          <w:color w:val="231F20"/>
        </w:rPr>
        <w:t>de</w:t>
      </w:r>
      <w:r>
        <w:rPr>
          <w:color w:val="231F20"/>
          <w:spacing w:val="-5"/>
        </w:rPr>
        <w:t> </w:t>
      </w:r>
      <w:r>
        <w:rPr>
          <w:color w:val="231F20"/>
        </w:rPr>
        <w:t>Ocupación</w:t>
      </w:r>
      <w:r>
        <w:rPr>
          <w:color w:val="231F20"/>
          <w:spacing w:val="-4"/>
        </w:rPr>
        <w:t> </w:t>
      </w:r>
      <w:r>
        <w:rPr>
          <w:color w:val="231F20"/>
        </w:rPr>
        <w:t>y</w:t>
      </w:r>
      <w:r>
        <w:rPr>
          <w:color w:val="231F20"/>
          <w:spacing w:val="-5"/>
        </w:rPr>
        <w:t> </w:t>
      </w:r>
      <w:r>
        <w:rPr>
          <w:color w:val="231F20"/>
        </w:rPr>
        <w:t>Empleo</w:t>
      </w:r>
      <w:r>
        <w:rPr>
          <w:color w:val="231F20"/>
          <w:spacing w:val="-5"/>
        </w:rPr>
        <w:t> </w:t>
      </w:r>
      <w:r>
        <w:rPr>
          <w:color w:val="231F20"/>
        </w:rPr>
        <w:t>(ENOE)</w:t>
      </w:r>
      <w:r>
        <w:rPr>
          <w:color w:val="231F20"/>
          <w:spacing w:val="-5"/>
        </w:rPr>
        <w:t> </w:t>
      </w:r>
      <w:r>
        <w:rPr>
          <w:color w:val="231F20"/>
        </w:rPr>
        <w:t>2013</w:t>
      </w:r>
      <w:r>
        <w:rPr>
          <w:color w:val="231F20"/>
          <w:spacing w:val="-5"/>
        </w:rPr>
        <w:t> </w:t>
      </w:r>
      <w:r>
        <w:rPr>
          <w:color w:val="231F20"/>
        </w:rPr>
        <w:t>en</w:t>
      </w:r>
      <w:r>
        <w:rPr>
          <w:color w:val="231F20"/>
          <w:spacing w:val="-5"/>
        </w:rPr>
        <w:t> </w:t>
      </w:r>
      <w:r>
        <w:rPr>
          <w:color w:val="231F20"/>
        </w:rPr>
        <w:t>específico</w:t>
      </w:r>
      <w:r>
        <w:rPr>
          <w:color w:val="231F20"/>
          <w:spacing w:val="-5"/>
        </w:rPr>
        <w:t> </w:t>
      </w:r>
      <w:r>
        <w:rPr>
          <w:color w:val="231F20"/>
        </w:rPr>
        <w:t>del Módulo</w:t>
      </w:r>
      <w:r>
        <w:rPr>
          <w:color w:val="231F20"/>
          <w:spacing w:val="-8"/>
        </w:rPr>
        <w:t> </w:t>
      </w:r>
      <w:r>
        <w:rPr>
          <w:color w:val="231F20"/>
        </w:rPr>
        <w:t>de</w:t>
      </w:r>
      <w:r>
        <w:rPr>
          <w:color w:val="231F20"/>
          <w:spacing w:val="-11"/>
        </w:rPr>
        <w:t> </w:t>
      </w:r>
      <w:r>
        <w:rPr>
          <w:color w:val="231F20"/>
        </w:rPr>
        <w:t>Trabajo</w:t>
      </w:r>
      <w:r>
        <w:rPr>
          <w:color w:val="231F20"/>
          <w:spacing w:val="-8"/>
        </w:rPr>
        <w:t> </w:t>
      </w:r>
      <w:r>
        <w:rPr>
          <w:color w:val="231F20"/>
        </w:rPr>
        <w:t>Infantil.</w:t>
      </w:r>
      <w:r>
        <w:rPr>
          <w:color w:val="231F20"/>
          <w:spacing w:val="-8"/>
        </w:rPr>
        <w:t> </w:t>
      </w:r>
      <w:r>
        <w:rPr>
          <w:color w:val="231F20"/>
        </w:rPr>
        <w:t>La</w:t>
      </w:r>
      <w:r>
        <w:rPr>
          <w:color w:val="231F20"/>
          <w:spacing w:val="-8"/>
        </w:rPr>
        <w:t> </w:t>
      </w:r>
      <w:r>
        <w:rPr>
          <w:color w:val="231F20"/>
        </w:rPr>
        <w:t>información</w:t>
      </w:r>
      <w:r>
        <w:rPr>
          <w:color w:val="231F20"/>
          <w:spacing w:val="-9"/>
        </w:rPr>
        <w:t> </w:t>
      </w:r>
      <w:r>
        <w:rPr>
          <w:color w:val="231F20"/>
        </w:rPr>
        <w:t>que</w:t>
      </w:r>
      <w:r>
        <w:rPr>
          <w:color w:val="231F20"/>
          <w:spacing w:val="-8"/>
        </w:rPr>
        <w:t> </w:t>
      </w:r>
      <w:r>
        <w:rPr>
          <w:color w:val="231F20"/>
        </w:rPr>
        <w:t>se</w:t>
      </w:r>
      <w:r>
        <w:rPr>
          <w:color w:val="231F20"/>
          <w:spacing w:val="-8"/>
        </w:rPr>
        <w:t> </w:t>
      </w:r>
      <w:r>
        <w:rPr>
          <w:color w:val="231F20"/>
        </w:rPr>
        <w:t>analizará</w:t>
      </w:r>
      <w:r>
        <w:rPr>
          <w:color w:val="231F20"/>
          <w:spacing w:val="-8"/>
        </w:rPr>
        <w:t> </w:t>
      </w:r>
      <w:r>
        <w:rPr>
          <w:color w:val="231F20"/>
        </w:rPr>
        <w:t>se</w:t>
      </w:r>
      <w:r>
        <w:rPr>
          <w:color w:val="231F20"/>
          <w:spacing w:val="-8"/>
        </w:rPr>
        <w:t> </w:t>
      </w:r>
      <w:r>
        <w:rPr>
          <w:color w:val="231F20"/>
        </w:rPr>
        <w:t>relaciona con las características generales de los menores trabajadores y las carac- terísticas</w:t>
      </w:r>
      <w:r>
        <w:rPr>
          <w:color w:val="231F20"/>
          <w:spacing w:val="-9"/>
        </w:rPr>
        <w:t> </w:t>
      </w:r>
      <w:r>
        <w:rPr>
          <w:color w:val="231F20"/>
        </w:rPr>
        <w:t>del</w:t>
      </w:r>
      <w:r>
        <w:rPr>
          <w:color w:val="231F20"/>
          <w:spacing w:val="-9"/>
        </w:rPr>
        <w:t> </w:t>
      </w:r>
      <w:r>
        <w:rPr>
          <w:color w:val="231F20"/>
        </w:rPr>
        <w:t>empleo,</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revisión</w:t>
      </w:r>
      <w:r>
        <w:rPr>
          <w:color w:val="231F20"/>
          <w:spacing w:val="-9"/>
        </w:rPr>
        <w:t> </w:t>
      </w:r>
      <w:r>
        <w:rPr>
          <w:color w:val="231F20"/>
        </w:rPr>
        <w:t>y</w:t>
      </w:r>
      <w:r>
        <w:rPr>
          <w:color w:val="231F20"/>
          <w:spacing w:val="-9"/>
        </w:rPr>
        <w:t> </w:t>
      </w:r>
      <w:r>
        <w:rPr>
          <w:color w:val="231F20"/>
        </w:rPr>
        <w:t>análisis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datos</w:t>
      </w:r>
      <w:r>
        <w:rPr>
          <w:color w:val="231F20"/>
          <w:spacing w:val="-9"/>
        </w:rPr>
        <w:t> </w:t>
      </w:r>
      <w:r>
        <w:rPr>
          <w:color w:val="231F20"/>
        </w:rPr>
        <w:t>se</w:t>
      </w:r>
      <w:r>
        <w:rPr>
          <w:color w:val="231F20"/>
          <w:spacing w:val="-9"/>
        </w:rPr>
        <w:t> </w:t>
      </w:r>
      <w:r>
        <w:rPr>
          <w:color w:val="231F20"/>
        </w:rPr>
        <w:t>utiliza</w:t>
      </w:r>
      <w:r>
        <w:rPr>
          <w:color w:val="231F20"/>
          <w:spacing w:val="-9"/>
        </w:rPr>
        <w:t> </w:t>
      </w:r>
      <w:r>
        <w:rPr>
          <w:color w:val="231F20"/>
        </w:rPr>
        <w:t>una estadística</w:t>
      </w:r>
      <w:r>
        <w:rPr>
          <w:color w:val="231F20"/>
          <w:spacing w:val="-1"/>
        </w:rPr>
        <w:t> </w:t>
      </w:r>
      <w:r>
        <w:rPr>
          <w:color w:val="231F20"/>
        </w:rPr>
        <w:t>descriptiva.</w:t>
      </w:r>
    </w:p>
    <w:p>
      <w:pPr>
        <w:pStyle w:val="BodyText"/>
        <w:spacing w:line="249" w:lineRule="auto" w:before="1"/>
        <w:ind w:left="113" w:right="108" w:firstLine="283"/>
        <w:jc w:val="both"/>
      </w:pPr>
      <w:r>
        <w:rPr>
          <w:color w:val="231F20"/>
        </w:rPr>
        <w:t>Las</w:t>
      </w:r>
      <w:r>
        <w:rPr>
          <w:color w:val="231F20"/>
          <w:spacing w:val="-9"/>
        </w:rPr>
        <w:t> </w:t>
      </w:r>
      <w:r>
        <w:rPr>
          <w:color w:val="231F20"/>
        </w:rPr>
        <w:t>variables</w:t>
      </w:r>
      <w:r>
        <w:rPr>
          <w:color w:val="231F20"/>
          <w:spacing w:val="-9"/>
        </w:rPr>
        <w:t> </w:t>
      </w:r>
      <w:r>
        <w:rPr>
          <w:color w:val="231F20"/>
        </w:rPr>
        <w:t>individuales</w:t>
      </w:r>
      <w:r>
        <w:rPr>
          <w:color w:val="231F20"/>
          <w:spacing w:val="-10"/>
        </w:rPr>
        <w:t> </w:t>
      </w:r>
      <w:r>
        <w:rPr>
          <w:color w:val="231F20"/>
        </w:rPr>
        <w:t>que</w:t>
      </w:r>
      <w:r>
        <w:rPr>
          <w:color w:val="231F20"/>
          <w:spacing w:val="-9"/>
        </w:rPr>
        <w:t> </w:t>
      </w:r>
      <w:r>
        <w:rPr>
          <w:color w:val="231F20"/>
        </w:rPr>
        <w:t>se</w:t>
      </w:r>
      <w:r>
        <w:rPr>
          <w:color w:val="231F20"/>
          <w:spacing w:val="-9"/>
        </w:rPr>
        <w:t> </w:t>
      </w:r>
      <w:r>
        <w:rPr>
          <w:color w:val="231F20"/>
        </w:rPr>
        <w:t>consideran</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elaboración</w:t>
      </w:r>
      <w:r>
        <w:rPr>
          <w:color w:val="231F20"/>
          <w:spacing w:val="-10"/>
        </w:rPr>
        <w:t> </w:t>
      </w:r>
      <w:r>
        <w:rPr>
          <w:color w:val="231F20"/>
        </w:rPr>
        <w:t>de</w:t>
      </w:r>
      <w:r>
        <w:rPr>
          <w:color w:val="231F20"/>
          <w:spacing w:val="-9"/>
        </w:rPr>
        <w:t> </w:t>
      </w:r>
      <w:r>
        <w:rPr>
          <w:color w:val="231F20"/>
        </w:rPr>
        <w:t>este trabajo</w:t>
      </w:r>
      <w:r>
        <w:rPr>
          <w:color w:val="231F20"/>
          <w:spacing w:val="-5"/>
        </w:rPr>
        <w:t> </w:t>
      </w:r>
      <w:r>
        <w:rPr>
          <w:color w:val="231F20"/>
        </w:rPr>
        <w:t>son:</w:t>
      </w:r>
    </w:p>
    <w:p>
      <w:pPr>
        <w:pStyle w:val="ListParagraph"/>
        <w:numPr>
          <w:ilvl w:val="0"/>
          <w:numId w:val="10"/>
        </w:numPr>
        <w:tabs>
          <w:tab w:pos="474" w:val="left" w:leader="none"/>
        </w:tabs>
        <w:spacing w:line="240" w:lineRule="auto" w:before="114" w:after="0"/>
        <w:ind w:left="473" w:right="0" w:hanging="360"/>
        <w:jc w:val="both"/>
        <w:rPr>
          <w:sz w:val="20"/>
        </w:rPr>
      </w:pPr>
      <w:r>
        <w:rPr>
          <w:color w:val="231F20"/>
          <w:sz w:val="20"/>
        </w:rPr>
        <w:t>Características generales: Sexo y</w:t>
      </w:r>
      <w:r>
        <w:rPr>
          <w:color w:val="231F20"/>
          <w:spacing w:val="-3"/>
          <w:sz w:val="20"/>
        </w:rPr>
        <w:t> </w:t>
      </w:r>
      <w:r>
        <w:rPr>
          <w:color w:val="231F20"/>
          <w:sz w:val="20"/>
        </w:rPr>
        <w:t>edad.</w:t>
      </w:r>
    </w:p>
    <w:p>
      <w:pPr>
        <w:pStyle w:val="ListParagraph"/>
        <w:numPr>
          <w:ilvl w:val="0"/>
          <w:numId w:val="10"/>
        </w:numPr>
        <w:tabs>
          <w:tab w:pos="473" w:val="left" w:leader="none"/>
          <w:tab w:pos="474" w:val="left" w:leader="none"/>
        </w:tabs>
        <w:spacing w:line="249" w:lineRule="auto" w:before="10" w:after="0"/>
        <w:ind w:left="473" w:right="108" w:hanging="360"/>
        <w:jc w:val="left"/>
        <w:rPr>
          <w:sz w:val="20"/>
        </w:rPr>
      </w:pPr>
      <w:r>
        <w:rPr>
          <w:color w:val="231F20"/>
          <w:sz w:val="20"/>
        </w:rPr>
        <w:t>Condición de asistencia escolar: Asistencia escolar y nivel de ins- trucción</w:t>
      </w:r>
      <w:r>
        <w:rPr>
          <w:color w:val="231F20"/>
          <w:spacing w:val="-13"/>
          <w:sz w:val="20"/>
        </w:rPr>
        <w:t> </w:t>
      </w:r>
      <w:r>
        <w:rPr>
          <w:color w:val="231F20"/>
          <w:sz w:val="20"/>
        </w:rPr>
        <w:t>escolar.</w:t>
      </w:r>
    </w:p>
    <w:p>
      <w:pPr>
        <w:pStyle w:val="ListParagraph"/>
        <w:numPr>
          <w:ilvl w:val="0"/>
          <w:numId w:val="10"/>
        </w:numPr>
        <w:tabs>
          <w:tab w:pos="474" w:val="left" w:leader="none"/>
        </w:tabs>
        <w:spacing w:line="249" w:lineRule="auto" w:before="1" w:after="0"/>
        <w:ind w:left="473" w:right="107" w:hanging="360"/>
        <w:jc w:val="both"/>
        <w:rPr>
          <w:sz w:val="20"/>
        </w:rPr>
      </w:pPr>
      <w:r>
        <w:rPr>
          <w:color w:val="231F20"/>
          <w:sz w:val="20"/>
        </w:rPr>
        <w:t>Tipos de actividades realizadas: Ocupados, ocupados y estudian, ocupados y quehaceres domésticos, ocupados, estudian y quehace- res domésticos, estudian, quehaceres domésticos, quehaceres do- mésticos y estudian, otras</w:t>
      </w:r>
      <w:r>
        <w:rPr>
          <w:color w:val="231F20"/>
          <w:spacing w:val="-2"/>
          <w:sz w:val="20"/>
        </w:rPr>
        <w:t> </w:t>
      </w:r>
      <w:r>
        <w:rPr>
          <w:color w:val="231F20"/>
          <w:sz w:val="20"/>
        </w:rPr>
        <w:t>actividades.</w:t>
      </w:r>
    </w:p>
    <w:p>
      <w:pPr>
        <w:pStyle w:val="ListParagraph"/>
        <w:numPr>
          <w:ilvl w:val="0"/>
          <w:numId w:val="10"/>
        </w:numPr>
        <w:tabs>
          <w:tab w:pos="474" w:val="left" w:leader="none"/>
        </w:tabs>
        <w:spacing w:line="240" w:lineRule="auto" w:before="1" w:after="0"/>
        <w:ind w:left="473" w:right="0" w:hanging="360"/>
        <w:jc w:val="both"/>
        <w:rPr>
          <w:sz w:val="20"/>
        </w:rPr>
      </w:pPr>
      <w:r>
        <w:rPr>
          <w:color w:val="231F20"/>
          <w:sz w:val="20"/>
        </w:rPr>
        <w:t>Condición de ocupación.</w:t>
      </w:r>
    </w:p>
    <w:p>
      <w:pPr>
        <w:pStyle w:val="ListParagraph"/>
        <w:numPr>
          <w:ilvl w:val="0"/>
          <w:numId w:val="10"/>
        </w:numPr>
        <w:tabs>
          <w:tab w:pos="474" w:val="left" w:leader="none"/>
        </w:tabs>
        <w:spacing w:line="240" w:lineRule="auto" w:before="10" w:after="0"/>
        <w:ind w:left="473" w:right="0" w:hanging="360"/>
        <w:jc w:val="both"/>
        <w:rPr>
          <w:sz w:val="20"/>
        </w:rPr>
      </w:pPr>
      <w:r>
        <w:rPr>
          <w:color w:val="231F20"/>
          <w:spacing w:val="-4"/>
          <w:sz w:val="20"/>
        </w:rPr>
        <w:t>Tasa </w:t>
      </w:r>
      <w:r>
        <w:rPr>
          <w:color w:val="231F20"/>
          <w:sz w:val="20"/>
        </w:rPr>
        <w:t>de participación</w:t>
      </w:r>
      <w:r>
        <w:rPr>
          <w:color w:val="231F20"/>
          <w:spacing w:val="5"/>
          <w:sz w:val="20"/>
        </w:rPr>
        <w:t> </w:t>
      </w:r>
      <w:r>
        <w:rPr>
          <w:color w:val="231F20"/>
          <w:sz w:val="20"/>
        </w:rPr>
        <w:t>laboral.</w:t>
      </w:r>
    </w:p>
    <w:p>
      <w:pPr>
        <w:pStyle w:val="ListParagraph"/>
        <w:numPr>
          <w:ilvl w:val="0"/>
          <w:numId w:val="10"/>
        </w:numPr>
        <w:tabs>
          <w:tab w:pos="474" w:val="left" w:leader="none"/>
        </w:tabs>
        <w:spacing w:line="240" w:lineRule="auto" w:before="10" w:after="0"/>
        <w:ind w:left="473" w:right="0" w:hanging="360"/>
        <w:jc w:val="both"/>
        <w:rPr>
          <w:sz w:val="20"/>
        </w:rPr>
      </w:pPr>
      <w:r>
        <w:rPr>
          <w:color w:val="231F20"/>
          <w:sz w:val="20"/>
        </w:rPr>
        <w:t>Sector de</w:t>
      </w:r>
      <w:r>
        <w:rPr>
          <w:color w:val="231F20"/>
          <w:spacing w:val="-5"/>
          <w:sz w:val="20"/>
        </w:rPr>
        <w:t> </w:t>
      </w:r>
      <w:r>
        <w:rPr>
          <w:color w:val="231F20"/>
          <w:sz w:val="20"/>
        </w:rPr>
        <w:t>ocupación.</w:t>
      </w:r>
    </w:p>
    <w:p>
      <w:pPr>
        <w:pStyle w:val="ListParagraph"/>
        <w:numPr>
          <w:ilvl w:val="0"/>
          <w:numId w:val="10"/>
        </w:numPr>
        <w:tabs>
          <w:tab w:pos="474" w:val="left" w:leader="none"/>
        </w:tabs>
        <w:spacing w:line="240" w:lineRule="auto" w:before="10" w:after="0"/>
        <w:ind w:left="473" w:right="0" w:hanging="360"/>
        <w:jc w:val="both"/>
        <w:rPr>
          <w:sz w:val="20"/>
        </w:rPr>
      </w:pPr>
      <w:r>
        <w:rPr>
          <w:color w:val="231F20"/>
          <w:sz w:val="20"/>
        </w:rPr>
        <w:t>Posición de</w:t>
      </w:r>
      <w:r>
        <w:rPr>
          <w:color w:val="231F20"/>
          <w:spacing w:val="-7"/>
          <w:sz w:val="20"/>
        </w:rPr>
        <w:t> </w:t>
      </w:r>
      <w:r>
        <w:rPr>
          <w:color w:val="231F20"/>
          <w:sz w:val="20"/>
        </w:rPr>
        <w:t>ocupación.</w:t>
      </w:r>
    </w:p>
    <w:p>
      <w:pPr>
        <w:pStyle w:val="ListParagraph"/>
        <w:numPr>
          <w:ilvl w:val="0"/>
          <w:numId w:val="10"/>
        </w:numPr>
        <w:tabs>
          <w:tab w:pos="474" w:val="left" w:leader="none"/>
        </w:tabs>
        <w:spacing w:line="240" w:lineRule="auto" w:before="10" w:after="0"/>
        <w:ind w:left="473" w:right="0" w:hanging="360"/>
        <w:jc w:val="both"/>
        <w:rPr>
          <w:sz w:val="20"/>
        </w:rPr>
      </w:pPr>
      <w:r>
        <w:rPr>
          <w:color w:val="231F20"/>
          <w:spacing w:val="-3"/>
          <w:sz w:val="20"/>
        </w:rPr>
        <w:t>Tamaño </w:t>
      </w:r>
      <w:r>
        <w:rPr>
          <w:color w:val="231F20"/>
          <w:sz w:val="20"/>
        </w:rPr>
        <w:t>de la unidad</w:t>
      </w:r>
      <w:r>
        <w:rPr>
          <w:color w:val="231F20"/>
          <w:spacing w:val="6"/>
          <w:sz w:val="20"/>
        </w:rPr>
        <w:t> </w:t>
      </w:r>
      <w:r>
        <w:rPr>
          <w:color w:val="231F20"/>
          <w:sz w:val="20"/>
        </w:rPr>
        <w:t>económica.</w:t>
      </w:r>
    </w:p>
    <w:p>
      <w:pPr>
        <w:pStyle w:val="ListParagraph"/>
        <w:numPr>
          <w:ilvl w:val="0"/>
          <w:numId w:val="10"/>
        </w:numPr>
        <w:tabs>
          <w:tab w:pos="474" w:val="left" w:leader="none"/>
        </w:tabs>
        <w:spacing w:line="240" w:lineRule="auto" w:before="10" w:after="0"/>
        <w:ind w:left="473" w:right="0" w:hanging="360"/>
        <w:jc w:val="both"/>
        <w:rPr>
          <w:sz w:val="20"/>
        </w:rPr>
      </w:pPr>
      <w:r>
        <w:rPr>
          <w:color w:val="231F20"/>
          <w:sz w:val="20"/>
        </w:rPr>
        <w:t>Nivel de</w:t>
      </w:r>
      <w:r>
        <w:rPr>
          <w:color w:val="231F20"/>
          <w:spacing w:val="-4"/>
          <w:sz w:val="20"/>
        </w:rPr>
        <w:t> </w:t>
      </w:r>
      <w:r>
        <w:rPr>
          <w:color w:val="231F20"/>
          <w:sz w:val="20"/>
        </w:rPr>
        <w:t>ingresos.</w:t>
      </w:r>
    </w:p>
    <w:p>
      <w:pPr>
        <w:pStyle w:val="ListParagraph"/>
        <w:numPr>
          <w:ilvl w:val="0"/>
          <w:numId w:val="10"/>
        </w:numPr>
        <w:tabs>
          <w:tab w:pos="474" w:val="left" w:leader="none"/>
        </w:tabs>
        <w:spacing w:line="240" w:lineRule="auto" w:before="10" w:after="0"/>
        <w:ind w:left="473" w:right="0" w:hanging="360"/>
        <w:jc w:val="both"/>
        <w:rPr>
          <w:sz w:val="20"/>
        </w:rPr>
      </w:pPr>
      <w:r>
        <w:rPr>
          <w:color w:val="231F20"/>
          <w:sz w:val="20"/>
        </w:rPr>
        <w:t>Duración de la jornada</w:t>
      </w:r>
      <w:r>
        <w:rPr>
          <w:color w:val="231F20"/>
          <w:spacing w:val="-8"/>
          <w:sz w:val="20"/>
        </w:rPr>
        <w:t> </w:t>
      </w:r>
      <w:r>
        <w:rPr>
          <w:color w:val="231F20"/>
          <w:sz w:val="20"/>
        </w:rPr>
        <w:t>laboral.</w:t>
      </w:r>
    </w:p>
    <w:p>
      <w:pPr>
        <w:pStyle w:val="ListParagraph"/>
        <w:numPr>
          <w:ilvl w:val="0"/>
          <w:numId w:val="10"/>
        </w:numPr>
        <w:tabs>
          <w:tab w:pos="474" w:val="left" w:leader="none"/>
        </w:tabs>
        <w:spacing w:line="240" w:lineRule="auto" w:before="10" w:after="0"/>
        <w:ind w:left="473" w:right="0" w:hanging="360"/>
        <w:jc w:val="both"/>
        <w:rPr>
          <w:sz w:val="20"/>
        </w:rPr>
      </w:pPr>
      <w:r>
        <w:rPr>
          <w:color w:val="231F20"/>
          <w:sz w:val="20"/>
        </w:rPr>
        <w:t>Edad de inicio</w:t>
      </w:r>
      <w:r>
        <w:rPr>
          <w:color w:val="231F20"/>
          <w:spacing w:val="-2"/>
          <w:sz w:val="20"/>
        </w:rPr>
        <w:t> </w:t>
      </w:r>
      <w:r>
        <w:rPr>
          <w:color w:val="231F20"/>
          <w:sz w:val="20"/>
        </w:rPr>
        <w:t>laboral.</w:t>
      </w:r>
    </w:p>
    <w:p>
      <w:pPr>
        <w:pStyle w:val="ListParagraph"/>
        <w:numPr>
          <w:ilvl w:val="0"/>
          <w:numId w:val="10"/>
        </w:numPr>
        <w:tabs>
          <w:tab w:pos="474" w:val="left" w:leader="none"/>
        </w:tabs>
        <w:spacing w:line="240" w:lineRule="auto" w:before="10" w:after="0"/>
        <w:ind w:left="473" w:right="0" w:hanging="360"/>
        <w:jc w:val="both"/>
        <w:rPr>
          <w:sz w:val="20"/>
        </w:rPr>
      </w:pPr>
      <w:r>
        <w:rPr>
          <w:color w:val="231F20"/>
          <w:sz w:val="20"/>
        </w:rPr>
        <w:t>Tipo de actividades</w:t>
      </w:r>
      <w:r>
        <w:rPr>
          <w:color w:val="231F20"/>
          <w:spacing w:val="-9"/>
          <w:sz w:val="20"/>
        </w:rPr>
        <w:t> </w:t>
      </w:r>
      <w:r>
        <w:rPr>
          <w:color w:val="231F20"/>
          <w:sz w:val="20"/>
        </w:rPr>
        <w:t>domésticas.</w:t>
      </w:r>
    </w:p>
    <w:p>
      <w:pPr>
        <w:pStyle w:val="ListParagraph"/>
        <w:numPr>
          <w:ilvl w:val="0"/>
          <w:numId w:val="10"/>
        </w:numPr>
        <w:tabs>
          <w:tab w:pos="474" w:val="left" w:leader="none"/>
        </w:tabs>
        <w:spacing w:line="240" w:lineRule="auto" w:before="10" w:after="0"/>
        <w:ind w:left="473" w:right="0" w:hanging="360"/>
        <w:jc w:val="both"/>
        <w:rPr>
          <w:sz w:val="20"/>
        </w:rPr>
      </w:pPr>
      <w:r>
        <w:rPr>
          <w:color w:val="231F20"/>
          <w:sz w:val="20"/>
        </w:rPr>
        <w:t>Horas dedicadas a los quehaceres</w:t>
      </w:r>
      <w:r>
        <w:rPr>
          <w:color w:val="231F20"/>
          <w:spacing w:val="-5"/>
          <w:sz w:val="20"/>
        </w:rPr>
        <w:t> </w:t>
      </w:r>
      <w:r>
        <w:rPr>
          <w:color w:val="231F20"/>
          <w:sz w:val="20"/>
        </w:rPr>
        <w:t>domésticos.</w:t>
      </w:r>
    </w:p>
    <w:p>
      <w:pPr>
        <w:pStyle w:val="BodyText"/>
        <w:spacing w:before="3"/>
        <w:rPr>
          <w:sz w:val="22"/>
        </w:rPr>
      </w:pPr>
    </w:p>
    <w:p>
      <w:pPr>
        <w:pStyle w:val="Heading4"/>
        <w:spacing w:before="0"/>
      </w:pPr>
      <w:r>
        <w:rPr>
          <w:w w:val="75"/>
        </w:rPr>
        <w:t>Características individuales de los niños trabajadores, 2013</w:t>
      </w:r>
    </w:p>
    <w:p>
      <w:pPr>
        <w:pStyle w:val="Heading5"/>
        <w:rPr>
          <w:i/>
        </w:rPr>
      </w:pPr>
      <w:r>
        <w:rPr>
          <w:i/>
          <w:w w:val="80"/>
        </w:rPr>
        <w:t>Los niños y niñas de 5 a 11 años de edad en México</w:t>
      </w:r>
    </w:p>
    <w:p>
      <w:pPr>
        <w:pStyle w:val="BodyText"/>
        <w:spacing w:line="249" w:lineRule="auto" w:before="171"/>
        <w:ind w:left="113" w:right="107"/>
        <w:jc w:val="both"/>
      </w:pPr>
      <w:r>
        <w:rPr>
          <w:color w:val="231F20"/>
        </w:rPr>
        <w:t>Los procesos demográficos que ha experimentado México</w:t>
      </w:r>
      <w:r>
        <w:rPr>
          <w:color w:val="231F20"/>
          <w:position w:val="7"/>
          <w:sz w:val="11"/>
        </w:rPr>
        <w:t>3 </w:t>
      </w:r>
      <w:r>
        <w:rPr>
          <w:color w:val="231F20"/>
        </w:rPr>
        <w:t>han afectado tanto a la población total</w:t>
      </w:r>
      <w:r>
        <w:rPr>
          <w:color w:val="231F20"/>
          <w:position w:val="7"/>
          <w:sz w:val="11"/>
        </w:rPr>
        <w:t>4 </w:t>
      </w:r>
      <w:r>
        <w:rPr>
          <w:color w:val="231F20"/>
        </w:rPr>
        <w:t>como a la población infantil, por lo que la tasa de crecimiento de esta última ha disminuido.</w:t>
      </w:r>
    </w:p>
    <w:p>
      <w:pPr>
        <w:spacing w:before="124"/>
        <w:ind w:left="113" w:right="0" w:firstLine="0"/>
        <w:jc w:val="left"/>
        <w:rPr>
          <w:sz w:val="14"/>
        </w:rPr>
      </w:pPr>
      <w:r>
        <w:rPr>
          <w:color w:val="231F20"/>
          <w:position w:val="5"/>
          <w:sz w:val="8"/>
        </w:rPr>
        <w:t>3 </w:t>
      </w:r>
      <w:r>
        <w:rPr>
          <w:color w:val="231F20"/>
          <w:sz w:val="14"/>
        </w:rPr>
        <w:t>Como son la reducción de la mortalidad, la mortalidad infantil y el rápido descenso de la fecundidad, elementos que afectaron directamente la transición demográfica en México.</w:t>
      </w:r>
    </w:p>
    <w:p>
      <w:pPr>
        <w:spacing w:before="0"/>
        <w:ind w:left="113" w:right="107" w:firstLine="0"/>
        <w:jc w:val="left"/>
        <w:rPr>
          <w:sz w:val="14"/>
        </w:rPr>
      </w:pPr>
      <w:r>
        <w:rPr>
          <w:color w:val="231F20"/>
          <w:position w:val="5"/>
          <w:sz w:val="8"/>
        </w:rPr>
        <w:t>4</w:t>
      </w:r>
      <w:r>
        <w:rPr>
          <w:color w:val="231F20"/>
          <w:spacing w:val="9"/>
          <w:position w:val="5"/>
          <w:sz w:val="8"/>
        </w:rPr>
        <w:t> </w:t>
      </w:r>
      <w:r>
        <w:rPr>
          <w:color w:val="231F20"/>
          <w:sz w:val="14"/>
        </w:rPr>
        <w:t>Se</w:t>
      </w:r>
      <w:r>
        <w:rPr>
          <w:color w:val="231F20"/>
          <w:spacing w:val="-6"/>
          <w:sz w:val="14"/>
        </w:rPr>
        <w:t> </w:t>
      </w:r>
      <w:r>
        <w:rPr>
          <w:color w:val="231F20"/>
          <w:sz w:val="14"/>
        </w:rPr>
        <w:t>refiere</w:t>
      </w:r>
      <w:r>
        <w:rPr>
          <w:color w:val="231F20"/>
          <w:spacing w:val="-6"/>
          <w:sz w:val="14"/>
        </w:rPr>
        <w:t> </w:t>
      </w:r>
      <w:r>
        <w:rPr>
          <w:color w:val="231F20"/>
          <w:sz w:val="14"/>
        </w:rPr>
        <w:t>a</w:t>
      </w:r>
      <w:r>
        <w:rPr>
          <w:color w:val="231F20"/>
          <w:spacing w:val="-6"/>
          <w:sz w:val="14"/>
        </w:rPr>
        <w:t> </w:t>
      </w:r>
      <w:r>
        <w:rPr>
          <w:color w:val="231F20"/>
          <w:sz w:val="14"/>
        </w:rPr>
        <w:t>población</w:t>
      </w:r>
      <w:r>
        <w:rPr>
          <w:color w:val="231F20"/>
          <w:spacing w:val="-6"/>
          <w:sz w:val="14"/>
        </w:rPr>
        <w:t> </w:t>
      </w:r>
      <w:r>
        <w:rPr>
          <w:color w:val="231F20"/>
          <w:sz w:val="14"/>
        </w:rPr>
        <w:t>de</w:t>
      </w:r>
      <w:r>
        <w:rPr>
          <w:color w:val="231F20"/>
          <w:spacing w:val="-6"/>
          <w:sz w:val="14"/>
        </w:rPr>
        <w:t> </w:t>
      </w:r>
      <w:r>
        <w:rPr>
          <w:color w:val="231F20"/>
          <w:sz w:val="14"/>
        </w:rPr>
        <w:t>0</w:t>
      </w:r>
      <w:r>
        <w:rPr>
          <w:color w:val="231F20"/>
          <w:spacing w:val="-6"/>
          <w:sz w:val="14"/>
        </w:rPr>
        <w:t> </w:t>
      </w:r>
      <w:r>
        <w:rPr>
          <w:color w:val="231F20"/>
          <w:sz w:val="14"/>
        </w:rPr>
        <w:t>a</w:t>
      </w:r>
      <w:r>
        <w:rPr>
          <w:color w:val="231F20"/>
          <w:spacing w:val="-6"/>
          <w:sz w:val="14"/>
        </w:rPr>
        <w:t> </w:t>
      </w:r>
      <w:r>
        <w:rPr>
          <w:color w:val="231F20"/>
          <w:sz w:val="14"/>
        </w:rPr>
        <w:t>17</w:t>
      </w:r>
      <w:r>
        <w:rPr>
          <w:color w:val="231F20"/>
          <w:spacing w:val="-6"/>
          <w:sz w:val="14"/>
        </w:rPr>
        <w:t> </w:t>
      </w:r>
      <w:r>
        <w:rPr>
          <w:color w:val="231F20"/>
          <w:sz w:val="14"/>
        </w:rPr>
        <w:t>años,</w:t>
      </w:r>
      <w:r>
        <w:rPr>
          <w:color w:val="231F20"/>
          <w:spacing w:val="-6"/>
          <w:sz w:val="14"/>
        </w:rPr>
        <w:t> </w:t>
      </w:r>
      <w:r>
        <w:rPr>
          <w:color w:val="231F20"/>
          <w:sz w:val="14"/>
        </w:rPr>
        <w:t>ya</w:t>
      </w:r>
      <w:r>
        <w:rPr>
          <w:color w:val="231F20"/>
          <w:spacing w:val="-6"/>
          <w:sz w:val="14"/>
        </w:rPr>
        <w:t> </w:t>
      </w:r>
      <w:r>
        <w:rPr>
          <w:color w:val="231F20"/>
          <w:sz w:val="14"/>
        </w:rPr>
        <w:t>que</w:t>
      </w:r>
      <w:r>
        <w:rPr>
          <w:color w:val="231F20"/>
          <w:spacing w:val="-6"/>
          <w:sz w:val="14"/>
        </w:rPr>
        <w:t> </w:t>
      </w:r>
      <w:r>
        <w:rPr>
          <w:color w:val="231F20"/>
          <w:sz w:val="14"/>
        </w:rPr>
        <w:t>según</w:t>
      </w:r>
      <w:r>
        <w:rPr>
          <w:color w:val="231F20"/>
          <w:spacing w:val="-6"/>
          <w:sz w:val="14"/>
        </w:rPr>
        <w:t> </w:t>
      </w:r>
      <w:r>
        <w:rPr>
          <w:color w:val="231F20"/>
          <w:sz w:val="14"/>
        </w:rPr>
        <w:t>la</w:t>
      </w:r>
      <w:r>
        <w:rPr>
          <w:color w:val="231F20"/>
          <w:spacing w:val="-6"/>
          <w:sz w:val="14"/>
        </w:rPr>
        <w:t> </w:t>
      </w:r>
      <w:r>
        <w:rPr>
          <w:color w:val="231F20"/>
          <w:sz w:val="14"/>
        </w:rPr>
        <w:t>UNICEF</w:t>
      </w:r>
      <w:r>
        <w:rPr>
          <w:color w:val="231F20"/>
          <w:spacing w:val="-6"/>
          <w:sz w:val="14"/>
        </w:rPr>
        <w:t> </w:t>
      </w:r>
      <w:r>
        <w:rPr>
          <w:color w:val="231F20"/>
          <w:sz w:val="14"/>
        </w:rPr>
        <w:t>un</w:t>
      </w:r>
      <w:r>
        <w:rPr>
          <w:color w:val="231F20"/>
          <w:spacing w:val="-6"/>
          <w:sz w:val="14"/>
        </w:rPr>
        <w:t> </w:t>
      </w:r>
      <w:r>
        <w:rPr>
          <w:color w:val="231F20"/>
          <w:sz w:val="14"/>
        </w:rPr>
        <w:t>niño</w:t>
      </w:r>
      <w:r>
        <w:rPr>
          <w:color w:val="231F20"/>
          <w:spacing w:val="-6"/>
          <w:sz w:val="14"/>
        </w:rPr>
        <w:t> </w:t>
      </w:r>
      <w:r>
        <w:rPr>
          <w:color w:val="231F20"/>
          <w:sz w:val="14"/>
        </w:rPr>
        <w:t>o</w:t>
      </w:r>
      <w:r>
        <w:rPr>
          <w:color w:val="231F20"/>
          <w:spacing w:val="-6"/>
          <w:sz w:val="14"/>
        </w:rPr>
        <w:t> </w:t>
      </w:r>
      <w:r>
        <w:rPr>
          <w:color w:val="231F20"/>
          <w:sz w:val="14"/>
        </w:rPr>
        <w:t>infante</w:t>
      </w:r>
      <w:r>
        <w:rPr>
          <w:color w:val="231F20"/>
          <w:spacing w:val="-6"/>
          <w:sz w:val="14"/>
        </w:rPr>
        <w:t> </w:t>
      </w:r>
      <w:r>
        <w:rPr>
          <w:color w:val="231F20"/>
          <w:sz w:val="14"/>
        </w:rPr>
        <w:t>es</w:t>
      </w:r>
      <w:r>
        <w:rPr>
          <w:color w:val="231F20"/>
          <w:spacing w:val="-6"/>
          <w:sz w:val="14"/>
        </w:rPr>
        <w:t> </w:t>
      </w:r>
      <w:r>
        <w:rPr>
          <w:color w:val="231F20"/>
          <w:sz w:val="14"/>
        </w:rPr>
        <w:t>toda</w:t>
      </w:r>
      <w:r>
        <w:rPr>
          <w:color w:val="231F20"/>
          <w:spacing w:val="-6"/>
          <w:sz w:val="14"/>
        </w:rPr>
        <w:t> </w:t>
      </w:r>
      <w:r>
        <w:rPr>
          <w:color w:val="231F20"/>
          <w:sz w:val="14"/>
        </w:rPr>
        <w:t>persona</w:t>
      </w:r>
      <w:r>
        <w:rPr>
          <w:color w:val="231F20"/>
          <w:spacing w:val="-6"/>
          <w:sz w:val="14"/>
        </w:rPr>
        <w:t> </w:t>
      </w:r>
      <w:r>
        <w:rPr>
          <w:color w:val="231F20"/>
          <w:sz w:val="14"/>
        </w:rPr>
        <w:t>menor de 18 años de</w:t>
      </w:r>
      <w:r>
        <w:rPr>
          <w:color w:val="231F20"/>
          <w:spacing w:val="-1"/>
          <w:sz w:val="14"/>
        </w:rPr>
        <w:t> </w:t>
      </w:r>
      <w:r>
        <w:rPr>
          <w:color w:val="231F20"/>
          <w:sz w:val="14"/>
        </w:rPr>
        <w:t>edad.</w:t>
      </w:r>
    </w:p>
    <w:p>
      <w:pPr>
        <w:spacing w:after="0"/>
        <w:jc w:val="left"/>
        <w:rPr>
          <w:sz w:val="14"/>
        </w:rPr>
        <w:sectPr>
          <w:footerReference w:type="default" r:id="rId286"/>
          <w:pgSz w:w="7770" w:h="11740"/>
          <w:pgMar w:footer="421" w:header="0" w:top="840" w:bottom="620" w:left="1020" w:right="740"/>
          <w:pgNumType w:start="279"/>
        </w:sectPr>
      </w:pPr>
    </w:p>
    <w:p>
      <w:pPr>
        <w:pStyle w:val="BodyText"/>
        <w:spacing w:before="45"/>
        <w:ind w:left="41" w:right="111"/>
        <w:jc w:val="right"/>
      </w:pPr>
      <w:r>
        <w:rPr>
          <w:color w:val="231F20"/>
        </w:rPr>
        <w:t>En 1990 la población infantil ascendía a 37.1 millones y representaba</w:t>
      </w:r>
    </w:p>
    <w:p>
      <w:pPr>
        <w:pStyle w:val="BodyText"/>
        <w:spacing w:before="10"/>
        <w:ind w:left="110"/>
        <w:jc w:val="both"/>
      </w:pPr>
      <w:r>
        <w:rPr>
          <w:color w:val="231F20"/>
        </w:rPr>
        <w:t>45.7    por ciento de la población, en el año 2000 dicha población fue de</w:t>
      </w:r>
    </w:p>
    <w:p>
      <w:pPr>
        <w:pStyle w:val="BodyText"/>
        <w:spacing w:line="249" w:lineRule="auto" w:before="10"/>
        <w:ind w:left="110" w:right="111"/>
        <w:jc w:val="both"/>
      </w:pPr>
      <w:r>
        <w:rPr>
          <w:color w:val="231F20"/>
        </w:rPr>
        <w:t>38.7 millones de habitantes y representaba 30 por ciento de la población total, el Censo de Población y Vivienda de 2010 contabilizó un total  de</w:t>
      </w:r>
    </w:p>
    <w:p>
      <w:pPr>
        <w:pStyle w:val="BodyText"/>
        <w:spacing w:line="249" w:lineRule="auto" w:before="1"/>
        <w:ind w:left="110" w:right="111"/>
        <w:jc w:val="both"/>
      </w:pPr>
      <w:r>
        <w:rPr>
          <w:color w:val="231F20"/>
        </w:rPr>
        <w:t>30.2 millones de menores, lo que representó 27 por ciento de la pobla- ción total. La población de este grupo de edad creció a una tasa media anual de 0.42 por ciento en el último periodo (INEGI, 2010).</w:t>
      </w:r>
    </w:p>
    <w:p>
      <w:pPr>
        <w:pStyle w:val="BodyText"/>
        <w:spacing w:line="249" w:lineRule="auto" w:before="1"/>
        <w:ind w:left="93" w:right="111" w:firstLine="283"/>
        <w:jc w:val="right"/>
      </w:pPr>
      <w:r>
        <w:rPr>
          <w:color w:val="231F20"/>
        </w:rPr>
        <w:t>A pesar de que en México se ha registrado una disminución de la población infantil, aún se presentan problemas referentes a este grupo de edad, como son mortalidad infantil,</w:t>
      </w:r>
      <w:r>
        <w:rPr>
          <w:color w:val="231F20"/>
          <w:position w:val="7"/>
          <w:sz w:val="11"/>
        </w:rPr>
        <w:t>5 </w:t>
      </w:r>
      <w:r>
        <w:rPr>
          <w:color w:val="231F20"/>
        </w:rPr>
        <w:t>inasistencia escolar, migración infantil, desnutrición, obesidad, trabajo infantil,</w:t>
      </w:r>
      <w:r>
        <w:rPr>
          <w:color w:val="231F20"/>
          <w:position w:val="7"/>
          <w:sz w:val="11"/>
        </w:rPr>
        <w:t>6 </w:t>
      </w:r>
      <w:r>
        <w:rPr>
          <w:color w:val="231F20"/>
        </w:rPr>
        <w:t>y en los últimos años se registra una incursión considerable de menores en actividades ilícitas. Durante 2013, el Módulo de Trabajo Infantil de la encuesta ENOE reportó un total de 15,655,688 menores entre los cinco y once años de edad, de los cuales 52 por ciento de los menores son del sexo masculino</w:t>
      </w:r>
    </w:p>
    <w:p>
      <w:pPr>
        <w:pStyle w:val="BodyText"/>
        <w:spacing w:before="1"/>
        <w:ind w:left="110"/>
        <w:jc w:val="both"/>
      </w:pPr>
      <w:r>
        <w:rPr>
          <w:color w:val="231F20"/>
        </w:rPr>
        <w:t>y 48 por ciento del sexo femenino (Cuadro 1).</w:t>
      </w:r>
    </w:p>
    <w:p>
      <w:pPr>
        <w:pStyle w:val="BodyText"/>
        <w:spacing w:before="10"/>
        <w:rPr>
          <w:sz w:val="8"/>
        </w:rPr>
      </w:pPr>
    </w:p>
    <w:p>
      <w:pPr>
        <w:spacing w:before="81"/>
        <w:ind w:left="188" w:right="0" w:firstLine="0"/>
        <w:jc w:val="left"/>
        <w:rPr>
          <w:sz w:val="19"/>
        </w:rPr>
      </w:pPr>
      <w:r>
        <w:rPr>
          <w:w w:val="105"/>
          <w:sz w:val="19"/>
        </w:rPr>
        <w:t>Cuadro 1. Distribución porcentual de la población de 5 a 11 años</w:t>
      </w:r>
    </w:p>
    <w:p>
      <w:pPr>
        <w:pStyle w:val="BodyText"/>
        <w:spacing w:before="5"/>
        <w:rPr>
          <w:sz w:val="6"/>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52"/>
        <w:gridCol w:w="2895"/>
      </w:tblGrid>
      <w:tr>
        <w:trPr>
          <w:trHeight w:val="336" w:hRule="exact"/>
        </w:trPr>
        <w:tc>
          <w:tcPr>
            <w:tcW w:w="2852" w:type="dxa"/>
            <w:tcBorders>
              <w:left w:val="nil"/>
              <w:right w:val="nil"/>
            </w:tcBorders>
          </w:tcPr>
          <w:p>
            <w:pPr>
              <w:pStyle w:val="TableParagraph"/>
              <w:spacing w:before="53"/>
              <w:ind w:left="77"/>
              <w:jc w:val="left"/>
              <w:rPr>
                <w:sz w:val="19"/>
              </w:rPr>
            </w:pPr>
            <w:r>
              <w:rPr>
                <w:w w:val="105"/>
                <w:sz w:val="19"/>
              </w:rPr>
              <w:t>Edad</w:t>
            </w:r>
          </w:p>
        </w:tc>
        <w:tc>
          <w:tcPr>
            <w:tcW w:w="2895" w:type="dxa"/>
            <w:tcBorders>
              <w:left w:val="nil"/>
              <w:right w:val="nil"/>
            </w:tcBorders>
          </w:tcPr>
          <w:p>
            <w:pPr>
              <w:pStyle w:val="TableParagraph"/>
              <w:spacing w:before="53"/>
              <w:ind w:right="103"/>
              <w:rPr>
                <w:sz w:val="19"/>
              </w:rPr>
            </w:pPr>
            <w:r>
              <w:rPr>
                <w:sz w:val="19"/>
              </w:rPr>
              <w:t>Porcentaje</w:t>
            </w:r>
          </w:p>
        </w:tc>
      </w:tr>
      <w:tr>
        <w:trPr>
          <w:trHeight w:val="314" w:hRule="exact"/>
        </w:trPr>
        <w:tc>
          <w:tcPr>
            <w:tcW w:w="2852" w:type="dxa"/>
            <w:tcBorders>
              <w:left w:val="nil"/>
              <w:bottom w:val="nil"/>
              <w:right w:val="nil"/>
            </w:tcBorders>
          </w:tcPr>
          <w:p>
            <w:pPr>
              <w:pStyle w:val="TableParagraph"/>
              <w:spacing w:before="43"/>
              <w:ind w:left="77"/>
              <w:jc w:val="left"/>
              <w:rPr>
                <w:sz w:val="19"/>
              </w:rPr>
            </w:pPr>
            <w:r>
              <w:rPr>
                <w:w w:val="105"/>
                <w:sz w:val="19"/>
              </w:rPr>
              <w:t>5 años</w:t>
            </w:r>
          </w:p>
        </w:tc>
        <w:tc>
          <w:tcPr>
            <w:tcW w:w="2895" w:type="dxa"/>
            <w:tcBorders>
              <w:left w:val="nil"/>
              <w:bottom w:val="nil"/>
              <w:right w:val="nil"/>
            </w:tcBorders>
          </w:tcPr>
          <w:p>
            <w:pPr>
              <w:pStyle w:val="TableParagraph"/>
              <w:spacing w:before="43"/>
              <w:ind w:right="101"/>
              <w:rPr>
                <w:sz w:val="19"/>
              </w:rPr>
            </w:pPr>
            <w:r>
              <w:rPr>
                <w:sz w:val="19"/>
              </w:rPr>
              <w:t>14.09</w:t>
            </w:r>
          </w:p>
        </w:tc>
      </w:tr>
      <w:tr>
        <w:trPr>
          <w:trHeight w:val="300" w:hRule="exact"/>
        </w:trPr>
        <w:tc>
          <w:tcPr>
            <w:tcW w:w="2852" w:type="dxa"/>
            <w:tcBorders>
              <w:top w:val="nil"/>
              <w:left w:val="nil"/>
              <w:bottom w:val="nil"/>
              <w:right w:val="nil"/>
            </w:tcBorders>
          </w:tcPr>
          <w:p>
            <w:pPr>
              <w:pStyle w:val="TableParagraph"/>
              <w:spacing w:before="31"/>
              <w:ind w:left="77"/>
              <w:jc w:val="left"/>
              <w:rPr>
                <w:sz w:val="19"/>
              </w:rPr>
            </w:pPr>
            <w:r>
              <w:rPr>
                <w:w w:val="105"/>
                <w:sz w:val="19"/>
              </w:rPr>
              <w:t>6-7 años</w:t>
            </w:r>
          </w:p>
        </w:tc>
        <w:tc>
          <w:tcPr>
            <w:tcW w:w="2895" w:type="dxa"/>
            <w:tcBorders>
              <w:top w:val="nil"/>
              <w:left w:val="nil"/>
              <w:bottom w:val="nil"/>
              <w:right w:val="nil"/>
            </w:tcBorders>
          </w:tcPr>
          <w:p>
            <w:pPr>
              <w:pStyle w:val="TableParagraph"/>
              <w:spacing w:before="31"/>
              <w:ind w:right="102"/>
              <w:rPr>
                <w:sz w:val="19"/>
              </w:rPr>
            </w:pPr>
            <w:r>
              <w:rPr>
                <w:sz w:val="19"/>
              </w:rPr>
              <w:t>27.44</w:t>
            </w:r>
          </w:p>
        </w:tc>
      </w:tr>
      <w:tr>
        <w:trPr>
          <w:trHeight w:val="312" w:hRule="exact"/>
        </w:trPr>
        <w:tc>
          <w:tcPr>
            <w:tcW w:w="2852" w:type="dxa"/>
            <w:tcBorders>
              <w:top w:val="nil"/>
              <w:left w:val="nil"/>
              <w:bottom w:val="nil"/>
              <w:right w:val="nil"/>
            </w:tcBorders>
          </w:tcPr>
          <w:p>
            <w:pPr>
              <w:pStyle w:val="TableParagraph"/>
              <w:spacing w:before="34"/>
              <w:ind w:left="77"/>
              <w:jc w:val="left"/>
              <w:rPr>
                <w:sz w:val="19"/>
              </w:rPr>
            </w:pPr>
            <w:r>
              <w:rPr>
                <w:w w:val="105"/>
                <w:sz w:val="19"/>
              </w:rPr>
              <w:t>8-9 años</w:t>
            </w:r>
          </w:p>
        </w:tc>
        <w:tc>
          <w:tcPr>
            <w:tcW w:w="2895" w:type="dxa"/>
            <w:tcBorders>
              <w:top w:val="nil"/>
              <w:left w:val="nil"/>
              <w:bottom w:val="nil"/>
              <w:right w:val="nil"/>
            </w:tcBorders>
          </w:tcPr>
          <w:p>
            <w:pPr>
              <w:pStyle w:val="TableParagraph"/>
              <w:spacing w:before="34"/>
              <w:ind w:right="102"/>
              <w:rPr>
                <w:sz w:val="19"/>
              </w:rPr>
            </w:pPr>
            <w:r>
              <w:rPr>
                <w:sz w:val="19"/>
              </w:rPr>
              <w:t>29.18</w:t>
            </w:r>
          </w:p>
        </w:tc>
      </w:tr>
      <w:tr>
        <w:trPr>
          <w:trHeight w:val="319" w:hRule="exact"/>
        </w:trPr>
        <w:tc>
          <w:tcPr>
            <w:tcW w:w="2852" w:type="dxa"/>
            <w:tcBorders>
              <w:top w:val="nil"/>
              <w:left w:val="nil"/>
              <w:bottom w:val="nil"/>
              <w:right w:val="nil"/>
            </w:tcBorders>
          </w:tcPr>
          <w:p>
            <w:pPr>
              <w:pStyle w:val="TableParagraph"/>
              <w:spacing w:before="43"/>
              <w:ind w:left="77"/>
              <w:jc w:val="left"/>
              <w:rPr>
                <w:sz w:val="19"/>
              </w:rPr>
            </w:pPr>
            <w:r>
              <w:rPr>
                <w:w w:val="105"/>
                <w:sz w:val="19"/>
              </w:rPr>
              <w:t>10-11 años</w:t>
            </w:r>
          </w:p>
        </w:tc>
        <w:tc>
          <w:tcPr>
            <w:tcW w:w="2895" w:type="dxa"/>
            <w:tcBorders>
              <w:top w:val="nil"/>
              <w:left w:val="nil"/>
              <w:bottom w:val="nil"/>
              <w:right w:val="nil"/>
            </w:tcBorders>
          </w:tcPr>
          <w:p>
            <w:pPr>
              <w:pStyle w:val="TableParagraph"/>
              <w:spacing w:before="43"/>
              <w:ind w:right="102"/>
              <w:rPr>
                <w:sz w:val="19"/>
              </w:rPr>
            </w:pPr>
            <w:r>
              <w:rPr>
                <w:sz w:val="19"/>
              </w:rPr>
              <w:t>29.30</w:t>
            </w:r>
          </w:p>
        </w:tc>
      </w:tr>
      <w:tr>
        <w:trPr>
          <w:trHeight w:val="309" w:hRule="exact"/>
        </w:trPr>
        <w:tc>
          <w:tcPr>
            <w:tcW w:w="2852" w:type="dxa"/>
            <w:tcBorders>
              <w:top w:val="nil"/>
              <w:left w:val="nil"/>
              <w:right w:val="nil"/>
            </w:tcBorders>
          </w:tcPr>
          <w:p>
            <w:pPr>
              <w:pStyle w:val="TableParagraph"/>
              <w:spacing w:before="41"/>
              <w:ind w:left="77"/>
              <w:jc w:val="left"/>
              <w:rPr>
                <w:sz w:val="19"/>
              </w:rPr>
            </w:pPr>
            <w:r>
              <w:rPr>
                <w:w w:val="105"/>
                <w:sz w:val="19"/>
              </w:rPr>
              <w:t>Total</w:t>
            </w:r>
          </w:p>
        </w:tc>
        <w:tc>
          <w:tcPr>
            <w:tcW w:w="2895" w:type="dxa"/>
            <w:tcBorders>
              <w:top w:val="nil"/>
              <w:left w:val="nil"/>
              <w:right w:val="nil"/>
            </w:tcBorders>
          </w:tcPr>
          <w:p>
            <w:pPr>
              <w:pStyle w:val="TableParagraph"/>
              <w:spacing w:before="41"/>
              <w:ind w:right="102"/>
              <w:rPr>
                <w:sz w:val="19"/>
              </w:rPr>
            </w:pPr>
            <w:r>
              <w:rPr>
                <w:w w:val="105"/>
                <w:sz w:val="19"/>
              </w:rPr>
              <w:t>15 655 688</w:t>
            </w:r>
          </w:p>
        </w:tc>
      </w:tr>
    </w:tbl>
    <w:p>
      <w:pPr>
        <w:spacing w:line="237" w:lineRule="auto" w:before="0"/>
        <w:ind w:left="188" w:right="485" w:hanging="1"/>
        <w:jc w:val="left"/>
        <w:rPr>
          <w:sz w:val="16"/>
        </w:rPr>
      </w:pPr>
      <w:r>
        <w:rPr>
          <w:sz w:val="16"/>
        </w:rPr>
        <w:t>Fuente: elaboración propia con base en Encuesta Nacional de Ocupación y Empleo 2013, Módulo de Trabajo Infantil, INEGI.</w:t>
      </w:r>
    </w:p>
    <w:p>
      <w:pPr>
        <w:pStyle w:val="BodyText"/>
        <w:spacing w:before="2"/>
        <w:rPr>
          <w:sz w:val="13"/>
        </w:rPr>
      </w:pPr>
    </w:p>
    <w:p>
      <w:pPr>
        <w:pStyle w:val="BodyText"/>
        <w:spacing w:line="249" w:lineRule="auto"/>
        <w:ind w:left="110" w:right="111" w:firstLine="283"/>
        <w:jc w:val="both"/>
      </w:pPr>
      <w:r>
        <w:rPr>
          <w:color w:val="231F20"/>
        </w:rPr>
        <w:t>La</w:t>
      </w:r>
      <w:r>
        <w:rPr>
          <w:color w:val="231F20"/>
          <w:spacing w:val="-9"/>
        </w:rPr>
        <w:t> </w:t>
      </w:r>
      <w:r>
        <w:rPr>
          <w:color w:val="231F20"/>
        </w:rPr>
        <w:t>distribución</w:t>
      </w:r>
      <w:r>
        <w:rPr>
          <w:color w:val="231F20"/>
          <w:spacing w:val="-9"/>
        </w:rPr>
        <w:t> </w:t>
      </w:r>
      <w:r>
        <w:rPr>
          <w:color w:val="231F20"/>
        </w:rPr>
        <w:t>por</w:t>
      </w:r>
      <w:r>
        <w:rPr>
          <w:color w:val="231F20"/>
          <w:spacing w:val="-9"/>
        </w:rPr>
        <w:t> </w:t>
      </w:r>
      <w:r>
        <w:rPr>
          <w:color w:val="231F20"/>
        </w:rPr>
        <w:t>grupo</w:t>
      </w:r>
      <w:r>
        <w:rPr>
          <w:color w:val="231F20"/>
          <w:spacing w:val="-9"/>
        </w:rPr>
        <w:t> </w:t>
      </w:r>
      <w:r>
        <w:rPr>
          <w:color w:val="231F20"/>
        </w:rPr>
        <w:t>de</w:t>
      </w:r>
      <w:r>
        <w:rPr>
          <w:color w:val="231F20"/>
          <w:spacing w:val="-9"/>
        </w:rPr>
        <w:t> </w:t>
      </w:r>
      <w:r>
        <w:rPr>
          <w:color w:val="231F20"/>
        </w:rPr>
        <w:t>edad</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siguiente</w:t>
      </w:r>
      <w:r>
        <w:rPr>
          <w:color w:val="231F20"/>
          <w:spacing w:val="-8"/>
        </w:rPr>
        <w:t> </w:t>
      </w:r>
      <w:r>
        <w:rPr>
          <w:color w:val="231F20"/>
        </w:rPr>
        <w:t>manera:</w:t>
      </w:r>
      <w:r>
        <w:rPr>
          <w:color w:val="231F20"/>
          <w:spacing w:val="-9"/>
        </w:rPr>
        <w:t> </w:t>
      </w:r>
      <w:r>
        <w:rPr>
          <w:color w:val="231F20"/>
        </w:rPr>
        <w:t>el</w:t>
      </w:r>
      <w:r>
        <w:rPr>
          <w:color w:val="231F20"/>
          <w:spacing w:val="-9"/>
        </w:rPr>
        <w:t> </w:t>
      </w:r>
      <w:r>
        <w:rPr>
          <w:color w:val="231F20"/>
        </w:rPr>
        <w:t>mayor porcentaje</w:t>
      </w:r>
      <w:r>
        <w:rPr>
          <w:color w:val="231F20"/>
          <w:spacing w:val="-10"/>
        </w:rPr>
        <w:t> </w:t>
      </w:r>
      <w:r>
        <w:rPr>
          <w:color w:val="231F20"/>
        </w:rPr>
        <w:t>de</w:t>
      </w:r>
      <w:r>
        <w:rPr>
          <w:color w:val="231F20"/>
          <w:spacing w:val="-10"/>
        </w:rPr>
        <w:t> </w:t>
      </w:r>
      <w:r>
        <w:rPr>
          <w:color w:val="231F20"/>
        </w:rPr>
        <w:t>menores</w:t>
      </w:r>
      <w:r>
        <w:rPr>
          <w:color w:val="231F20"/>
          <w:spacing w:val="-10"/>
        </w:rPr>
        <w:t> </w:t>
      </w:r>
      <w:r>
        <w:rPr>
          <w:color w:val="231F20"/>
        </w:rPr>
        <w:t>trabajadores</w:t>
      </w:r>
      <w:r>
        <w:rPr>
          <w:color w:val="231F20"/>
          <w:spacing w:val="-10"/>
        </w:rPr>
        <w:t> </w:t>
      </w:r>
      <w:r>
        <w:rPr>
          <w:color w:val="231F20"/>
        </w:rPr>
        <w:t>se</w:t>
      </w:r>
      <w:r>
        <w:rPr>
          <w:color w:val="231F20"/>
          <w:spacing w:val="-10"/>
        </w:rPr>
        <w:t> </w:t>
      </w:r>
      <w:r>
        <w:rPr>
          <w:color w:val="231F20"/>
        </w:rPr>
        <w:t>hace</w:t>
      </w:r>
      <w:r>
        <w:rPr>
          <w:color w:val="231F20"/>
          <w:spacing w:val="-10"/>
        </w:rPr>
        <w:t> </w:t>
      </w:r>
      <w:r>
        <w:rPr>
          <w:color w:val="231F20"/>
        </w:rPr>
        <w:t>presente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grupo</w:t>
      </w:r>
      <w:r>
        <w:rPr>
          <w:color w:val="231F20"/>
          <w:spacing w:val="-10"/>
        </w:rPr>
        <w:t> </w:t>
      </w:r>
      <w:r>
        <w:rPr>
          <w:color w:val="231F20"/>
        </w:rPr>
        <w:t>de</w:t>
      </w:r>
      <w:r>
        <w:rPr>
          <w:color w:val="231F20"/>
          <w:spacing w:val="-10"/>
        </w:rPr>
        <w:t> </w:t>
      </w:r>
      <w:r>
        <w:rPr>
          <w:color w:val="231F20"/>
        </w:rPr>
        <w:t>10-11 años, el cual es de 29.3 por ciento, seguido del grupo de edad de ocho</w:t>
      </w:r>
      <w:r>
        <w:rPr>
          <w:color w:val="231F20"/>
          <w:spacing w:val="49"/>
        </w:rPr>
        <w:t> </w:t>
      </w:r>
      <w:r>
        <w:rPr>
          <w:color w:val="231F20"/>
        </w:rPr>
        <w:t>a</w:t>
      </w:r>
    </w:p>
    <w:p>
      <w:pPr>
        <w:pStyle w:val="BodyText"/>
        <w:spacing w:before="6"/>
        <w:rPr>
          <w:sz w:val="23"/>
        </w:rPr>
      </w:pPr>
    </w:p>
    <w:p>
      <w:pPr>
        <w:spacing w:before="0"/>
        <w:ind w:left="110" w:right="111" w:firstLine="0"/>
        <w:jc w:val="both"/>
        <w:rPr>
          <w:sz w:val="14"/>
        </w:rPr>
      </w:pPr>
      <w:r>
        <w:rPr>
          <w:color w:val="231F20"/>
          <w:position w:val="5"/>
          <w:sz w:val="8"/>
        </w:rPr>
        <w:t>5 </w:t>
      </w:r>
      <w:r>
        <w:rPr>
          <w:color w:val="231F20"/>
          <w:sz w:val="14"/>
        </w:rPr>
        <w:t>Si bien es cierto que muchos problemas se han reducido significativamente, todavía están presentes  en la población infantil; por ejemplo, la tasa de mortalidad infantil entre 1980 y 2005 descendió de 39  a 13 defunciones de menores de un año por cada mil nacidos vivos. Sobre el tema de la escolaridad, a pesar</w:t>
      </w:r>
      <w:r>
        <w:rPr>
          <w:color w:val="231F20"/>
          <w:spacing w:val="-2"/>
          <w:sz w:val="14"/>
        </w:rPr>
        <w:t> </w:t>
      </w:r>
      <w:r>
        <w:rPr>
          <w:color w:val="231F20"/>
          <w:sz w:val="14"/>
        </w:rPr>
        <w:t>de</w:t>
      </w:r>
      <w:r>
        <w:rPr>
          <w:color w:val="231F20"/>
          <w:spacing w:val="-2"/>
          <w:sz w:val="14"/>
        </w:rPr>
        <w:t> </w:t>
      </w:r>
      <w:r>
        <w:rPr>
          <w:color w:val="231F20"/>
          <w:sz w:val="14"/>
        </w:rPr>
        <w:t>que</w:t>
      </w:r>
      <w:r>
        <w:rPr>
          <w:color w:val="231F20"/>
          <w:spacing w:val="-2"/>
          <w:sz w:val="14"/>
        </w:rPr>
        <w:t> </w:t>
      </w:r>
      <w:r>
        <w:rPr>
          <w:color w:val="231F20"/>
          <w:sz w:val="14"/>
        </w:rPr>
        <w:t>la</w:t>
      </w:r>
      <w:r>
        <w:rPr>
          <w:color w:val="231F20"/>
          <w:spacing w:val="-2"/>
          <w:sz w:val="14"/>
        </w:rPr>
        <w:t> </w:t>
      </w:r>
      <w:r>
        <w:rPr>
          <w:color w:val="231F20"/>
          <w:sz w:val="14"/>
        </w:rPr>
        <w:t>matricula</w:t>
      </w:r>
      <w:r>
        <w:rPr>
          <w:color w:val="231F20"/>
          <w:spacing w:val="-3"/>
          <w:sz w:val="14"/>
        </w:rPr>
        <w:t> </w:t>
      </w:r>
      <w:r>
        <w:rPr>
          <w:color w:val="231F20"/>
          <w:sz w:val="14"/>
        </w:rPr>
        <w:t>en</w:t>
      </w:r>
      <w:r>
        <w:rPr>
          <w:color w:val="231F20"/>
          <w:spacing w:val="-2"/>
          <w:sz w:val="14"/>
        </w:rPr>
        <w:t> </w:t>
      </w:r>
      <w:r>
        <w:rPr>
          <w:color w:val="231F20"/>
          <w:sz w:val="14"/>
        </w:rPr>
        <w:t>educación</w:t>
      </w:r>
      <w:r>
        <w:rPr>
          <w:color w:val="231F20"/>
          <w:spacing w:val="-3"/>
          <w:sz w:val="14"/>
        </w:rPr>
        <w:t> </w:t>
      </w:r>
      <w:r>
        <w:rPr>
          <w:color w:val="231F20"/>
          <w:sz w:val="14"/>
        </w:rPr>
        <w:t>básica</w:t>
      </w:r>
      <w:r>
        <w:rPr>
          <w:color w:val="231F20"/>
          <w:spacing w:val="-2"/>
          <w:sz w:val="14"/>
        </w:rPr>
        <w:t> </w:t>
      </w:r>
      <w:r>
        <w:rPr>
          <w:color w:val="231F20"/>
          <w:sz w:val="14"/>
        </w:rPr>
        <w:t>se</w:t>
      </w:r>
      <w:r>
        <w:rPr>
          <w:color w:val="231F20"/>
          <w:spacing w:val="-2"/>
          <w:sz w:val="14"/>
        </w:rPr>
        <w:t> </w:t>
      </w:r>
      <w:r>
        <w:rPr>
          <w:color w:val="231F20"/>
          <w:sz w:val="14"/>
        </w:rPr>
        <w:t>ha</w:t>
      </w:r>
      <w:r>
        <w:rPr>
          <w:color w:val="231F20"/>
          <w:spacing w:val="-2"/>
          <w:sz w:val="14"/>
        </w:rPr>
        <w:t> </w:t>
      </w:r>
      <w:r>
        <w:rPr>
          <w:color w:val="231F20"/>
          <w:sz w:val="14"/>
        </w:rPr>
        <w:t>cubierto</w:t>
      </w:r>
      <w:r>
        <w:rPr>
          <w:color w:val="231F20"/>
          <w:spacing w:val="-3"/>
          <w:sz w:val="14"/>
        </w:rPr>
        <w:t> </w:t>
      </w:r>
      <w:r>
        <w:rPr>
          <w:color w:val="231F20"/>
          <w:sz w:val="14"/>
        </w:rPr>
        <w:t>en</w:t>
      </w:r>
      <w:r>
        <w:rPr>
          <w:color w:val="231F20"/>
          <w:spacing w:val="-2"/>
          <w:sz w:val="14"/>
        </w:rPr>
        <w:t> </w:t>
      </w:r>
      <w:r>
        <w:rPr>
          <w:color w:val="231F20"/>
          <w:sz w:val="14"/>
        </w:rPr>
        <w:t>su</w:t>
      </w:r>
      <w:r>
        <w:rPr>
          <w:color w:val="231F20"/>
          <w:spacing w:val="-2"/>
          <w:sz w:val="14"/>
        </w:rPr>
        <w:t> </w:t>
      </w:r>
      <w:r>
        <w:rPr>
          <w:color w:val="231F20"/>
          <w:sz w:val="14"/>
        </w:rPr>
        <w:t>totalidad</w:t>
      </w:r>
      <w:r>
        <w:rPr>
          <w:color w:val="231F20"/>
          <w:spacing w:val="-3"/>
          <w:sz w:val="14"/>
        </w:rPr>
        <w:t> </w:t>
      </w:r>
      <w:r>
        <w:rPr>
          <w:color w:val="231F20"/>
          <w:sz w:val="14"/>
        </w:rPr>
        <w:t>(primaria</w:t>
      </w:r>
      <w:r>
        <w:rPr>
          <w:color w:val="231F20"/>
          <w:spacing w:val="-2"/>
          <w:sz w:val="14"/>
        </w:rPr>
        <w:t> </w:t>
      </w:r>
      <w:r>
        <w:rPr>
          <w:color w:val="231F20"/>
          <w:sz w:val="14"/>
        </w:rPr>
        <w:t>y</w:t>
      </w:r>
      <w:r>
        <w:rPr>
          <w:color w:val="231F20"/>
          <w:spacing w:val="-2"/>
          <w:sz w:val="14"/>
        </w:rPr>
        <w:t> </w:t>
      </w:r>
      <w:r>
        <w:rPr>
          <w:color w:val="231F20"/>
          <w:sz w:val="14"/>
        </w:rPr>
        <w:t>secundaria)</w:t>
      </w:r>
      <w:r>
        <w:rPr>
          <w:color w:val="231F20"/>
          <w:spacing w:val="-2"/>
          <w:sz w:val="14"/>
        </w:rPr>
        <w:t> </w:t>
      </w:r>
      <w:r>
        <w:rPr>
          <w:color w:val="231F20"/>
          <w:sz w:val="14"/>
        </w:rPr>
        <w:t>aún se presentan altos niveles de regazo educativo, principalmente en las zonas rurales (CONAPO,</w:t>
      </w:r>
      <w:r>
        <w:rPr>
          <w:color w:val="231F20"/>
          <w:spacing w:val="-7"/>
          <w:sz w:val="14"/>
        </w:rPr>
        <w:t> </w:t>
      </w:r>
      <w:r>
        <w:rPr>
          <w:color w:val="231F20"/>
          <w:sz w:val="14"/>
        </w:rPr>
        <w:t>2005).</w:t>
      </w:r>
    </w:p>
    <w:p>
      <w:pPr>
        <w:spacing w:before="0"/>
        <w:ind w:left="110" w:right="111" w:firstLine="0"/>
        <w:jc w:val="both"/>
        <w:rPr>
          <w:sz w:val="14"/>
        </w:rPr>
      </w:pPr>
      <w:r>
        <w:rPr>
          <w:color w:val="231F20"/>
          <w:position w:val="5"/>
          <w:sz w:val="8"/>
        </w:rPr>
        <w:t>6</w:t>
      </w:r>
      <w:r>
        <w:rPr>
          <w:color w:val="231F20"/>
          <w:spacing w:val="10"/>
          <w:position w:val="5"/>
          <w:sz w:val="8"/>
        </w:rPr>
        <w:t> </w:t>
      </w:r>
      <w:r>
        <w:rPr>
          <w:color w:val="231F20"/>
          <w:sz w:val="14"/>
        </w:rPr>
        <w:t>Dentro</w:t>
      </w:r>
      <w:r>
        <w:rPr>
          <w:color w:val="231F20"/>
          <w:spacing w:val="-4"/>
          <w:sz w:val="14"/>
        </w:rPr>
        <w:t> </w:t>
      </w:r>
      <w:r>
        <w:rPr>
          <w:color w:val="231F20"/>
          <w:sz w:val="14"/>
        </w:rPr>
        <w:t>de</w:t>
      </w:r>
      <w:r>
        <w:rPr>
          <w:color w:val="231F20"/>
          <w:spacing w:val="-5"/>
          <w:sz w:val="14"/>
        </w:rPr>
        <w:t> </w:t>
      </w:r>
      <w:r>
        <w:rPr>
          <w:color w:val="231F20"/>
          <w:sz w:val="14"/>
        </w:rPr>
        <w:t>los</w:t>
      </w:r>
      <w:r>
        <w:rPr>
          <w:color w:val="231F20"/>
          <w:spacing w:val="-5"/>
          <w:sz w:val="14"/>
        </w:rPr>
        <w:t> </w:t>
      </w:r>
      <w:r>
        <w:rPr>
          <w:color w:val="231F20"/>
          <w:sz w:val="14"/>
        </w:rPr>
        <w:t>programas</w:t>
      </w:r>
      <w:r>
        <w:rPr>
          <w:color w:val="231F20"/>
          <w:spacing w:val="-5"/>
          <w:sz w:val="14"/>
        </w:rPr>
        <w:t> </w:t>
      </w:r>
      <w:r>
        <w:rPr>
          <w:color w:val="231F20"/>
          <w:sz w:val="14"/>
        </w:rPr>
        <w:t>para</w:t>
      </w:r>
      <w:r>
        <w:rPr>
          <w:color w:val="231F20"/>
          <w:spacing w:val="-5"/>
          <w:sz w:val="14"/>
        </w:rPr>
        <w:t> </w:t>
      </w:r>
      <w:r>
        <w:rPr>
          <w:color w:val="231F20"/>
          <w:sz w:val="14"/>
        </w:rPr>
        <w:t>la</w:t>
      </w:r>
      <w:r>
        <w:rPr>
          <w:color w:val="231F20"/>
          <w:spacing w:val="-5"/>
          <w:sz w:val="14"/>
        </w:rPr>
        <w:t> </w:t>
      </w:r>
      <w:r>
        <w:rPr>
          <w:color w:val="231F20"/>
          <w:sz w:val="14"/>
        </w:rPr>
        <w:t>erradicación</w:t>
      </w:r>
      <w:r>
        <w:rPr>
          <w:color w:val="231F20"/>
          <w:spacing w:val="-5"/>
          <w:sz w:val="14"/>
        </w:rPr>
        <w:t> </w:t>
      </w:r>
      <w:r>
        <w:rPr>
          <w:color w:val="231F20"/>
          <w:sz w:val="14"/>
        </w:rPr>
        <w:t>del</w:t>
      </w:r>
      <w:r>
        <w:rPr>
          <w:color w:val="231F20"/>
          <w:spacing w:val="-5"/>
          <w:sz w:val="14"/>
        </w:rPr>
        <w:t> </w:t>
      </w:r>
      <w:r>
        <w:rPr>
          <w:color w:val="231F20"/>
          <w:sz w:val="14"/>
        </w:rPr>
        <w:t>trabajo</w:t>
      </w:r>
      <w:r>
        <w:rPr>
          <w:color w:val="231F20"/>
          <w:spacing w:val="-5"/>
          <w:sz w:val="14"/>
        </w:rPr>
        <w:t> </w:t>
      </w:r>
      <w:r>
        <w:rPr>
          <w:color w:val="231F20"/>
          <w:sz w:val="14"/>
        </w:rPr>
        <w:t>infantil</w:t>
      </w:r>
      <w:r>
        <w:rPr>
          <w:color w:val="231F20"/>
          <w:spacing w:val="-5"/>
          <w:sz w:val="14"/>
        </w:rPr>
        <w:t> </w:t>
      </w:r>
      <w:r>
        <w:rPr>
          <w:color w:val="231F20"/>
          <w:sz w:val="14"/>
        </w:rPr>
        <w:t>se</w:t>
      </w:r>
      <w:r>
        <w:rPr>
          <w:color w:val="231F20"/>
          <w:spacing w:val="-5"/>
          <w:sz w:val="14"/>
        </w:rPr>
        <w:t> </w:t>
      </w:r>
      <w:r>
        <w:rPr>
          <w:color w:val="231F20"/>
          <w:sz w:val="14"/>
        </w:rPr>
        <w:t>encuentran:</w:t>
      </w:r>
      <w:r>
        <w:rPr>
          <w:color w:val="231F20"/>
          <w:spacing w:val="-5"/>
          <w:sz w:val="14"/>
        </w:rPr>
        <w:t> </w:t>
      </w:r>
      <w:r>
        <w:rPr>
          <w:color w:val="231F20"/>
          <w:sz w:val="14"/>
        </w:rPr>
        <w:t>el</w:t>
      </w:r>
      <w:r>
        <w:rPr>
          <w:color w:val="231F20"/>
          <w:spacing w:val="-5"/>
          <w:sz w:val="14"/>
        </w:rPr>
        <w:t> </w:t>
      </w:r>
      <w:r>
        <w:rPr>
          <w:color w:val="231F20"/>
          <w:sz w:val="14"/>
        </w:rPr>
        <w:t>Programa</w:t>
      </w:r>
      <w:r>
        <w:rPr>
          <w:color w:val="231F20"/>
          <w:spacing w:val="-4"/>
          <w:sz w:val="14"/>
        </w:rPr>
        <w:t> </w:t>
      </w:r>
      <w:r>
        <w:rPr>
          <w:color w:val="231F20"/>
          <w:sz w:val="14"/>
        </w:rPr>
        <w:t>del</w:t>
      </w:r>
      <w:r>
        <w:rPr>
          <w:color w:val="231F20"/>
          <w:spacing w:val="-5"/>
          <w:sz w:val="14"/>
        </w:rPr>
        <w:t> </w:t>
      </w:r>
      <w:r>
        <w:rPr>
          <w:color w:val="231F20"/>
          <w:sz w:val="14"/>
        </w:rPr>
        <w:t>Menor en situación extraordinaria, el cual se aplicó en tres etapas: el Programa de Menores en Circunstan- cias Especialmente Difíciles y el </w:t>
      </w:r>
      <w:r>
        <w:rPr>
          <w:sz w:val="14"/>
        </w:rPr>
        <w:t>Programa Nacional de Acción a favor de la Infancia, el Programa de Atención a menores y Adolescentes en Riesgo, y el Programa para la Prevención, Atención, Desaliento y Erradicación del Trabajo Infantil Urbano Marginal. En diciembre de 2014 se publicó la Ley de Pro- tección de Niñas, Niños y Adolescentes, instrumento que en uno de sus apartados penaliza el trabajo infantil.</w:t>
      </w:r>
    </w:p>
    <w:p>
      <w:pPr>
        <w:spacing w:after="0"/>
        <w:jc w:val="both"/>
        <w:rPr>
          <w:sz w:val="14"/>
        </w:rPr>
        <w:sectPr>
          <w:pgSz w:w="7770" w:h="11740"/>
          <w:pgMar w:header="0" w:footer="421" w:top="940" w:bottom="740" w:left="740" w:right="1020"/>
        </w:sectPr>
      </w:pPr>
    </w:p>
    <w:p>
      <w:pPr>
        <w:pStyle w:val="BodyText"/>
        <w:spacing w:line="249" w:lineRule="auto" w:before="60"/>
        <w:ind w:left="44" w:right="148"/>
        <w:jc w:val="right"/>
      </w:pPr>
      <w:r>
        <w:rPr>
          <w:color w:val="231F20"/>
        </w:rPr>
        <w:t>nueve</w:t>
      </w:r>
      <w:r>
        <w:rPr>
          <w:color w:val="231F20"/>
          <w:spacing w:val="-9"/>
        </w:rPr>
        <w:t> </w:t>
      </w:r>
      <w:r>
        <w:rPr>
          <w:color w:val="231F20"/>
        </w:rPr>
        <w:t>con</w:t>
      </w:r>
      <w:r>
        <w:rPr>
          <w:color w:val="231F20"/>
          <w:spacing w:val="-10"/>
        </w:rPr>
        <w:t> </w:t>
      </w:r>
      <w:r>
        <w:rPr>
          <w:color w:val="231F20"/>
        </w:rPr>
        <w:t>29.18</w:t>
      </w:r>
      <w:r>
        <w:rPr>
          <w:color w:val="231F20"/>
          <w:spacing w:val="-9"/>
        </w:rPr>
        <w:t> </w:t>
      </w:r>
      <w:r>
        <w:rPr>
          <w:color w:val="231F20"/>
        </w:rPr>
        <w:t>por</w:t>
      </w:r>
      <w:r>
        <w:rPr>
          <w:color w:val="231F20"/>
          <w:spacing w:val="-9"/>
        </w:rPr>
        <w:t> </w:t>
      </w:r>
      <w:r>
        <w:rPr>
          <w:color w:val="231F20"/>
        </w:rPr>
        <w:t>ciento,</w:t>
      </w:r>
      <w:r>
        <w:rPr>
          <w:color w:val="231F20"/>
          <w:spacing w:val="-10"/>
        </w:rPr>
        <w:t> </w:t>
      </w:r>
      <w:r>
        <w:rPr>
          <w:color w:val="231F20"/>
        </w:rPr>
        <w:t>el</w:t>
      </w:r>
      <w:r>
        <w:rPr>
          <w:color w:val="231F20"/>
          <w:spacing w:val="-9"/>
        </w:rPr>
        <w:t> </w:t>
      </w:r>
      <w:r>
        <w:rPr>
          <w:color w:val="231F20"/>
        </w:rPr>
        <w:t>menor</w:t>
      </w:r>
      <w:r>
        <w:rPr>
          <w:color w:val="231F20"/>
          <w:spacing w:val="-10"/>
        </w:rPr>
        <w:t> </w:t>
      </w:r>
      <w:r>
        <w:rPr>
          <w:color w:val="231F20"/>
        </w:rPr>
        <w:t>porcentaje</w:t>
      </w:r>
      <w:r>
        <w:rPr>
          <w:color w:val="231F20"/>
          <w:spacing w:val="-9"/>
        </w:rPr>
        <w:t> </w:t>
      </w:r>
      <w:r>
        <w:rPr>
          <w:color w:val="231F20"/>
        </w:rPr>
        <w:t>de</w:t>
      </w:r>
      <w:r>
        <w:rPr>
          <w:color w:val="231F20"/>
          <w:spacing w:val="-9"/>
        </w:rPr>
        <w:t> </w:t>
      </w:r>
      <w:r>
        <w:rPr>
          <w:color w:val="231F20"/>
        </w:rPr>
        <w:t>menores</w:t>
      </w:r>
      <w:r>
        <w:rPr>
          <w:color w:val="231F20"/>
          <w:spacing w:val="-10"/>
        </w:rPr>
        <w:t> </w:t>
      </w:r>
      <w:r>
        <w:rPr>
          <w:color w:val="231F20"/>
        </w:rPr>
        <w:t>se</w:t>
      </w:r>
      <w:r>
        <w:rPr>
          <w:color w:val="231F20"/>
          <w:spacing w:val="-9"/>
        </w:rPr>
        <w:t> </w:t>
      </w:r>
      <w:r>
        <w:rPr>
          <w:color w:val="231F20"/>
        </w:rPr>
        <w:t>encuentra en la edad de cinco años y representa un porcentaje de 14.09</w:t>
      </w:r>
      <w:r>
        <w:rPr>
          <w:color w:val="231F20"/>
          <w:spacing w:val="-23"/>
        </w:rPr>
        <w:t> </w:t>
      </w:r>
      <w:r>
        <w:rPr>
          <w:color w:val="231F20"/>
        </w:rPr>
        <w:t>por</w:t>
      </w:r>
      <w:r>
        <w:rPr>
          <w:color w:val="231F20"/>
          <w:spacing w:val="-2"/>
        </w:rPr>
        <w:t> </w:t>
      </w:r>
      <w:r>
        <w:rPr>
          <w:color w:val="231F20"/>
        </w:rPr>
        <w:t>ciento.</w:t>
      </w:r>
      <w:r>
        <w:rPr>
          <w:color w:val="231F20"/>
          <w:position w:val="7"/>
          <w:sz w:val="11"/>
        </w:rPr>
        <w:t>7</w:t>
      </w:r>
      <w:r>
        <w:rPr>
          <w:color w:val="231F20"/>
          <w:w w:val="105"/>
          <w:position w:val="7"/>
          <w:sz w:val="11"/>
        </w:rPr>
        <w:t> </w:t>
      </w:r>
      <w:r>
        <w:rPr>
          <w:color w:val="231F20"/>
        </w:rPr>
        <w:t>La Gráfica 1 permite observar la distribución porcentual de</w:t>
      </w:r>
      <w:r>
        <w:rPr>
          <w:color w:val="231F20"/>
          <w:spacing w:val="48"/>
        </w:rPr>
        <w:t> </w:t>
      </w:r>
      <w:r>
        <w:rPr>
          <w:color w:val="231F20"/>
        </w:rPr>
        <w:t>los</w:t>
      </w:r>
      <w:r>
        <w:rPr>
          <w:color w:val="231F20"/>
          <w:spacing w:val="10"/>
        </w:rPr>
        <w:t> </w:t>
      </w:r>
      <w:r>
        <w:rPr>
          <w:color w:val="231F20"/>
        </w:rPr>
        <w:t>me- nores</w:t>
      </w:r>
      <w:r>
        <w:rPr>
          <w:color w:val="231F20"/>
          <w:spacing w:val="-7"/>
        </w:rPr>
        <w:t> </w:t>
      </w:r>
      <w:r>
        <w:rPr>
          <w:color w:val="231F20"/>
        </w:rPr>
        <w:t>por</w:t>
      </w:r>
      <w:r>
        <w:rPr>
          <w:color w:val="231F20"/>
          <w:spacing w:val="-7"/>
        </w:rPr>
        <w:t> </w:t>
      </w:r>
      <w:r>
        <w:rPr>
          <w:color w:val="231F20"/>
        </w:rPr>
        <w:t>edad</w:t>
      </w:r>
      <w:r>
        <w:rPr>
          <w:color w:val="231F20"/>
          <w:spacing w:val="-8"/>
        </w:rPr>
        <w:t> </w:t>
      </w:r>
      <w:r>
        <w:rPr>
          <w:color w:val="231F20"/>
        </w:rPr>
        <w:t>y</w:t>
      </w:r>
      <w:r>
        <w:rPr>
          <w:color w:val="231F20"/>
          <w:spacing w:val="-7"/>
        </w:rPr>
        <w:t> </w:t>
      </w:r>
      <w:r>
        <w:rPr>
          <w:color w:val="231F20"/>
        </w:rPr>
        <w:t>sexo.</w:t>
      </w:r>
      <w:r>
        <w:rPr>
          <w:color w:val="231F20"/>
          <w:spacing w:val="-7"/>
        </w:rPr>
        <w:t> </w:t>
      </w:r>
      <w:r>
        <w:rPr>
          <w:color w:val="231F20"/>
        </w:rPr>
        <w:t>El</w:t>
      </w:r>
      <w:r>
        <w:rPr>
          <w:color w:val="231F20"/>
          <w:spacing w:val="-7"/>
        </w:rPr>
        <w:t> </w:t>
      </w:r>
      <w:r>
        <w:rPr>
          <w:color w:val="231F20"/>
        </w:rPr>
        <w:t>grupo</w:t>
      </w:r>
      <w:r>
        <w:rPr>
          <w:color w:val="231F20"/>
          <w:spacing w:val="-7"/>
        </w:rPr>
        <w:t> </w:t>
      </w:r>
      <w:r>
        <w:rPr>
          <w:color w:val="231F20"/>
        </w:rPr>
        <w:t>de</w:t>
      </w:r>
      <w:r>
        <w:rPr>
          <w:color w:val="231F20"/>
          <w:spacing w:val="-7"/>
        </w:rPr>
        <w:t> </w:t>
      </w:r>
      <w:r>
        <w:rPr>
          <w:color w:val="231F20"/>
        </w:rPr>
        <w:t>cinco</w:t>
      </w:r>
      <w:r>
        <w:rPr>
          <w:color w:val="231F20"/>
          <w:spacing w:val="-7"/>
        </w:rPr>
        <w:t> </w:t>
      </w:r>
      <w:r>
        <w:rPr>
          <w:color w:val="231F20"/>
        </w:rPr>
        <w:t>años</w:t>
      </w:r>
      <w:r>
        <w:rPr>
          <w:color w:val="231F20"/>
          <w:spacing w:val="-8"/>
        </w:rPr>
        <w:t> </w:t>
      </w:r>
      <w:r>
        <w:rPr>
          <w:color w:val="231F20"/>
        </w:rPr>
        <w:t>concentra</w:t>
      </w:r>
      <w:r>
        <w:rPr>
          <w:color w:val="231F20"/>
          <w:spacing w:val="-8"/>
        </w:rPr>
        <w:t> </w:t>
      </w:r>
      <w:r>
        <w:rPr>
          <w:color w:val="231F20"/>
        </w:rPr>
        <w:t>13.93</w:t>
      </w:r>
      <w:r>
        <w:rPr>
          <w:color w:val="231F20"/>
          <w:spacing w:val="-7"/>
        </w:rPr>
        <w:t> </w:t>
      </w:r>
      <w:r>
        <w:rPr>
          <w:color w:val="231F20"/>
        </w:rPr>
        <w:t>por</w:t>
      </w:r>
      <w:r>
        <w:rPr>
          <w:color w:val="231F20"/>
          <w:spacing w:val="-7"/>
        </w:rPr>
        <w:t> </w:t>
      </w:r>
      <w:r>
        <w:rPr>
          <w:color w:val="231F20"/>
        </w:rPr>
        <w:t>ciento de</w:t>
      </w:r>
      <w:r>
        <w:rPr>
          <w:color w:val="231F20"/>
          <w:spacing w:val="17"/>
        </w:rPr>
        <w:t> </w:t>
      </w:r>
      <w:r>
        <w:rPr>
          <w:color w:val="231F20"/>
        </w:rPr>
        <w:t>niños</w:t>
      </w:r>
      <w:r>
        <w:rPr>
          <w:color w:val="231F20"/>
          <w:spacing w:val="18"/>
        </w:rPr>
        <w:t> </w:t>
      </w:r>
      <w:r>
        <w:rPr>
          <w:color w:val="231F20"/>
        </w:rPr>
        <w:t>y</w:t>
      </w:r>
      <w:r>
        <w:rPr>
          <w:color w:val="231F20"/>
          <w:spacing w:val="18"/>
        </w:rPr>
        <w:t> </w:t>
      </w:r>
      <w:r>
        <w:rPr>
          <w:color w:val="231F20"/>
        </w:rPr>
        <w:t>14.26</w:t>
      </w:r>
      <w:r>
        <w:rPr>
          <w:color w:val="231F20"/>
          <w:spacing w:val="18"/>
        </w:rPr>
        <w:t> </w:t>
      </w:r>
      <w:r>
        <w:rPr>
          <w:color w:val="231F20"/>
        </w:rPr>
        <w:t>por</w:t>
      </w:r>
      <w:r>
        <w:rPr>
          <w:color w:val="231F20"/>
          <w:spacing w:val="18"/>
        </w:rPr>
        <w:t> </w:t>
      </w:r>
      <w:r>
        <w:rPr>
          <w:color w:val="231F20"/>
        </w:rPr>
        <w:t>ciento</w:t>
      </w:r>
      <w:r>
        <w:rPr>
          <w:color w:val="231F20"/>
          <w:spacing w:val="17"/>
        </w:rPr>
        <w:t> </w:t>
      </w:r>
      <w:r>
        <w:rPr>
          <w:color w:val="231F20"/>
        </w:rPr>
        <w:t>de</w:t>
      </w:r>
      <w:r>
        <w:rPr>
          <w:color w:val="231F20"/>
          <w:spacing w:val="17"/>
        </w:rPr>
        <w:t> </w:t>
      </w:r>
      <w:r>
        <w:rPr>
          <w:color w:val="231F20"/>
        </w:rPr>
        <w:t>niñas.</w:t>
      </w:r>
      <w:r>
        <w:rPr>
          <w:color w:val="231F20"/>
          <w:spacing w:val="17"/>
        </w:rPr>
        <w:t> </w:t>
      </w:r>
      <w:r>
        <w:rPr>
          <w:color w:val="231F20"/>
        </w:rPr>
        <w:t>El</w:t>
      </w:r>
      <w:r>
        <w:rPr>
          <w:color w:val="231F20"/>
          <w:spacing w:val="17"/>
        </w:rPr>
        <w:t> </w:t>
      </w:r>
      <w:r>
        <w:rPr>
          <w:color w:val="231F20"/>
        </w:rPr>
        <w:t>grupo</w:t>
      </w:r>
      <w:r>
        <w:rPr>
          <w:color w:val="231F20"/>
          <w:spacing w:val="18"/>
        </w:rPr>
        <w:t> </w:t>
      </w:r>
      <w:r>
        <w:rPr>
          <w:color w:val="231F20"/>
        </w:rPr>
        <w:t>de</w:t>
      </w:r>
      <w:r>
        <w:rPr>
          <w:color w:val="231F20"/>
          <w:spacing w:val="17"/>
        </w:rPr>
        <w:t> </w:t>
      </w:r>
      <w:r>
        <w:rPr>
          <w:color w:val="231F20"/>
        </w:rPr>
        <w:t>edad</w:t>
      </w:r>
      <w:r>
        <w:rPr>
          <w:color w:val="231F20"/>
          <w:spacing w:val="17"/>
        </w:rPr>
        <w:t> </w:t>
      </w:r>
      <w:r>
        <w:rPr>
          <w:color w:val="231F20"/>
        </w:rPr>
        <w:t>que</w:t>
      </w:r>
      <w:r>
        <w:rPr>
          <w:color w:val="231F20"/>
          <w:spacing w:val="17"/>
        </w:rPr>
        <w:t> </w:t>
      </w:r>
      <w:r>
        <w:rPr>
          <w:color w:val="231F20"/>
        </w:rPr>
        <w:t>registra</w:t>
      </w:r>
      <w:r>
        <w:rPr>
          <w:color w:val="231F20"/>
          <w:spacing w:val="17"/>
        </w:rPr>
        <w:t> </w:t>
      </w:r>
      <w:r>
        <w:rPr>
          <w:color w:val="231F20"/>
        </w:rPr>
        <w:t>el mayor porcentaje de niñas y niños es el de 10-11 años con 29.53</w:t>
      </w:r>
      <w:r>
        <w:rPr>
          <w:color w:val="231F20"/>
          <w:spacing w:val="-34"/>
        </w:rPr>
        <w:t> </w:t>
      </w:r>
      <w:r>
        <w:rPr>
          <w:color w:val="231F20"/>
        </w:rPr>
        <w:t>y</w:t>
      </w:r>
      <w:r>
        <w:rPr>
          <w:color w:val="231F20"/>
          <w:spacing w:val="-3"/>
        </w:rPr>
        <w:t> </w:t>
      </w:r>
      <w:r>
        <w:rPr>
          <w:color w:val="231F20"/>
        </w:rPr>
        <w:t>29.05 por</w:t>
      </w:r>
      <w:r>
        <w:rPr>
          <w:color w:val="231F20"/>
          <w:spacing w:val="-6"/>
        </w:rPr>
        <w:t> </w:t>
      </w:r>
      <w:r>
        <w:rPr>
          <w:color w:val="231F20"/>
        </w:rPr>
        <w:t>ciento,</w:t>
      </w:r>
      <w:r>
        <w:rPr>
          <w:color w:val="231F20"/>
          <w:spacing w:val="-6"/>
        </w:rPr>
        <w:t> </w:t>
      </w:r>
      <w:r>
        <w:rPr>
          <w:color w:val="231F20"/>
        </w:rPr>
        <w:t>respectivamente.</w:t>
      </w:r>
      <w:r>
        <w:rPr>
          <w:color w:val="231F20"/>
          <w:spacing w:val="-6"/>
        </w:rPr>
        <w:t> </w:t>
      </w:r>
      <w:r>
        <w:rPr>
          <w:color w:val="231F20"/>
        </w:rPr>
        <w:t>Los</w:t>
      </w:r>
      <w:r>
        <w:rPr>
          <w:color w:val="231F20"/>
          <w:spacing w:val="-6"/>
        </w:rPr>
        <w:t> </w:t>
      </w:r>
      <w:r>
        <w:rPr>
          <w:color w:val="231F20"/>
        </w:rPr>
        <w:t>grupos</w:t>
      </w:r>
      <w:r>
        <w:rPr>
          <w:color w:val="231F20"/>
          <w:spacing w:val="-6"/>
        </w:rPr>
        <w:t> </w:t>
      </w:r>
      <w:r>
        <w:rPr>
          <w:color w:val="231F20"/>
        </w:rPr>
        <w:t>de</w:t>
      </w:r>
      <w:r>
        <w:rPr>
          <w:color w:val="231F20"/>
          <w:spacing w:val="-6"/>
        </w:rPr>
        <w:t> </w:t>
      </w:r>
      <w:r>
        <w:rPr>
          <w:color w:val="231F20"/>
        </w:rPr>
        <w:t>seis</w:t>
      </w:r>
      <w:r>
        <w:rPr>
          <w:color w:val="231F20"/>
          <w:spacing w:val="-5"/>
        </w:rPr>
        <w:t> </w:t>
      </w:r>
      <w:r>
        <w:rPr>
          <w:color w:val="231F20"/>
        </w:rPr>
        <w:t>a</w:t>
      </w:r>
      <w:r>
        <w:rPr>
          <w:color w:val="231F20"/>
          <w:spacing w:val="-6"/>
        </w:rPr>
        <w:t> </w:t>
      </w:r>
      <w:r>
        <w:rPr>
          <w:color w:val="231F20"/>
        </w:rPr>
        <w:t>siete</w:t>
      </w:r>
      <w:r>
        <w:rPr>
          <w:color w:val="231F20"/>
          <w:spacing w:val="-5"/>
        </w:rPr>
        <w:t> </w:t>
      </w:r>
      <w:r>
        <w:rPr>
          <w:color w:val="231F20"/>
        </w:rPr>
        <w:t>y</w:t>
      </w:r>
      <w:r>
        <w:rPr>
          <w:color w:val="231F20"/>
          <w:spacing w:val="-6"/>
        </w:rPr>
        <w:t> </w:t>
      </w:r>
      <w:r>
        <w:rPr>
          <w:color w:val="231F20"/>
        </w:rPr>
        <w:t>de</w:t>
      </w:r>
      <w:r>
        <w:rPr>
          <w:color w:val="231F20"/>
          <w:spacing w:val="-6"/>
        </w:rPr>
        <w:t> </w:t>
      </w:r>
      <w:r>
        <w:rPr>
          <w:color w:val="231F20"/>
        </w:rPr>
        <w:t>ocho</w:t>
      </w:r>
      <w:r>
        <w:rPr>
          <w:color w:val="231F20"/>
          <w:spacing w:val="-6"/>
        </w:rPr>
        <w:t> </w:t>
      </w:r>
      <w:r>
        <w:rPr>
          <w:color w:val="231F20"/>
        </w:rPr>
        <w:t>a</w:t>
      </w:r>
      <w:r>
        <w:rPr>
          <w:color w:val="231F20"/>
          <w:spacing w:val="-6"/>
        </w:rPr>
        <w:t> </w:t>
      </w:r>
      <w:r>
        <w:rPr>
          <w:color w:val="231F20"/>
        </w:rPr>
        <w:t>nueve años presentan distribución similar la cual se sitúa en un 29 por   </w:t>
      </w:r>
      <w:r>
        <w:rPr>
          <w:color w:val="231F20"/>
          <w:spacing w:val="6"/>
        </w:rPr>
        <w:t> </w:t>
      </w:r>
      <w:r>
        <w:rPr>
          <w:color w:val="231F20"/>
        </w:rPr>
        <w:t>ciento</w:t>
      </w:r>
    </w:p>
    <w:p>
      <w:pPr>
        <w:pStyle w:val="BodyText"/>
        <w:spacing w:before="1"/>
        <w:ind w:left="113" w:right="314"/>
      </w:pPr>
      <w:r>
        <w:rPr>
          <w:color w:val="231F20"/>
        </w:rPr>
        <w:t>aproximadamente.</w:t>
      </w:r>
    </w:p>
    <w:p>
      <w:pPr>
        <w:pStyle w:val="BodyText"/>
        <w:spacing w:before="7"/>
        <w:rPr>
          <w:sz w:val="9"/>
        </w:rPr>
      </w:pPr>
    </w:p>
    <w:p>
      <w:pPr>
        <w:spacing w:before="81"/>
        <w:ind w:left="128" w:right="314" w:firstLine="0"/>
        <w:jc w:val="left"/>
        <w:rPr>
          <w:sz w:val="18"/>
        </w:rPr>
      </w:pPr>
      <w:r>
        <w:rPr/>
        <w:pict>
          <v:group style="position:absolute;margin-left:57.18187pt;margin-top:17.206091pt;width:290.25pt;height:302.350pt;mso-position-horizontal-relative:page;mso-position-vertical-relative:paragraph;z-index:-329392" coordorigin="1144,344" coordsize="5805,6047">
            <v:rect style="position:absolute;left:3192;top:4805;width:855;height:528" filled="true" fillcolor="#bebebe" stroked="false">
              <v:fill type="solid"/>
            </v:rect>
            <v:rect style="position:absolute;left:4047;top:4277;width:873;height:528" filled="true" fillcolor="#585858" stroked="false">
              <v:fill type="solid"/>
            </v:rect>
            <v:rect style="position:absolute;left:2385;top:3605;width:1662;height:528" filled="true" fillcolor="#bebebe" stroked="false">
              <v:fill type="solid"/>
            </v:rect>
            <v:rect style="position:absolute;left:4047;top:3077;width:1706;height:528" filled="true" fillcolor="#585858" stroked="false">
              <v:fill type="solid"/>
            </v:rect>
            <v:rect style="position:absolute;left:2235;top:2400;width:1812;height:528" filled="true" fillcolor="#bebebe" stroked="false">
              <v:fill type="solid"/>
            </v:rect>
            <v:rect style="position:absolute;left:4047;top:1872;width:1768;height:528" filled="true" fillcolor="#585858" stroked="false">
              <v:fill type="solid"/>
            </v:rect>
            <v:rect style="position:absolute;left:2235;top:1195;width:1812;height:528" filled="true" fillcolor="#bebebe" stroked="false">
              <v:fill type="solid"/>
            </v:rect>
            <v:rect style="position:absolute;left:4047;top:672;width:1781;height:523" filled="true" fillcolor="#585858" stroked="false">
              <v:fill type="solid"/>
            </v:rect>
            <v:shape style="position:absolute;left:0;top:9838;width:61;height:2559" coordorigin="0,9838" coordsize="61,2559" path="m3990,4205l4046,4205m3990,3000l4046,3000m3990,1800l4046,1800e" filled="false" stroked="true" strokeweight=".697002pt" strokecolor="#858585">
              <v:path arrowok="t"/>
            </v:shape>
            <v:line style="position:absolute" from="3280,6008" to="3280,6102" stroked="true" strokeweight="4.576361pt" strokecolor="#585858"/>
            <v:line style="position:absolute" from="4175,6008" to="4175,6102" stroked="true" strokeweight="4.576361pt" strokecolor="#bebebe"/>
            <v:rect style="position:absolute;left:1151;top:351;width:5791;height:6033" filled="false" stroked="true" strokeweight=".696672pt" strokecolor="#858585"/>
            <v:shape style="position:absolute;left:1144;top:344;width:5805;height:6047"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9"/>
                      </w:rPr>
                    </w:pPr>
                  </w:p>
                  <w:p>
                    <w:pPr>
                      <w:tabs>
                        <w:tab w:pos="854" w:val="left" w:leader="none"/>
                        <w:tab w:pos="1468" w:val="left" w:leader="none"/>
                        <w:tab w:pos="2081" w:val="left" w:leader="none"/>
                        <w:tab w:pos="2741" w:val="left" w:leader="none"/>
                        <w:tab w:pos="3309" w:val="left" w:leader="none"/>
                        <w:tab w:pos="3922" w:val="left" w:leader="none"/>
                        <w:tab w:pos="4536" w:val="left" w:leader="none"/>
                        <w:tab w:pos="5150" w:val="left" w:leader="none"/>
                      </w:tabs>
                      <w:spacing w:before="0"/>
                      <w:ind w:left="241" w:right="0" w:firstLine="0"/>
                      <w:jc w:val="left"/>
                      <w:rPr>
                        <w:sz w:val="19"/>
                      </w:rPr>
                    </w:pPr>
                    <w:r>
                      <w:rPr>
                        <w:sz w:val="19"/>
                      </w:rPr>
                      <w:t>40.00</w:t>
                      <w:tab/>
                      <w:t>30.00</w:t>
                      <w:tab/>
                      <w:t>20.00</w:t>
                      <w:tab/>
                      <w:t>10.00</w:t>
                      <w:tab/>
                      <w:t>0.00</w:t>
                      <w:tab/>
                      <w:t>10.00</w:t>
                      <w:tab/>
                      <w:t>20.00</w:t>
                      <w:tab/>
                      <w:t>30.00</w:t>
                      <w:tab/>
                      <w:t>40.00</w:t>
                    </w:r>
                  </w:p>
                  <w:p>
                    <w:pPr>
                      <w:spacing w:line="240" w:lineRule="auto" w:before="5"/>
                      <w:rPr>
                        <w:sz w:val="18"/>
                      </w:rPr>
                    </w:pPr>
                  </w:p>
                  <w:p>
                    <w:pPr>
                      <w:tabs>
                        <w:tab w:pos="1095" w:val="left" w:leader="none"/>
                      </w:tabs>
                      <w:spacing w:before="1"/>
                      <w:ind w:left="200" w:right="0" w:firstLine="0"/>
                      <w:jc w:val="center"/>
                      <w:rPr>
                        <w:sz w:val="19"/>
                      </w:rPr>
                    </w:pPr>
                    <w:r>
                      <w:rPr>
                        <w:sz w:val="19"/>
                      </w:rPr>
                      <w:t>Mujeres</w:t>
                      <w:tab/>
                      <w:t>Hombres</w:t>
                    </w:r>
                  </w:p>
                </w:txbxContent>
              </v:textbox>
              <w10:wrap type="none"/>
            </v:shape>
            <w10:wrap type="none"/>
          </v:group>
        </w:pict>
      </w:r>
      <w:r>
        <w:rPr>
          <w:sz w:val="18"/>
        </w:rPr>
        <w:t>Gráfica 1. Distribución porcentual de la población por edad y  sexo</w:t>
      </w:r>
    </w:p>
    <w:p>
      <w:pPr>
        <w:pStyle w:val="BodyText"/>
        <w:spacing w:before="8"/>
        <w:rPr>
          <w:sz w:val="26"/>
        </w:rPr>
      </w:pPr>
    </w:p>
    <w:tbl>
      <w:tblPr>
        <w:tblW w:w="0" w:type="auto"/>
        <w:jc w:val="left"/>
        <w:tblInd w:w="53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8"/>
        <w:gridCol w:w="812"/>
        <w:gridCol w:w="781"/>
        <w:gridCol w:w="1627"/>
        <w:gridCol w:w="833"/>
      </w:tblGrid>
      <w:tr>
        <w:trPr>
          <w:trHeight w:val="488" w:hRule="exact"/>
        </w:trPr>
        <w:tc>
          <w:tcPr>
            <w:tcW w:w="868" w:type="dxa"/>
          </w:tcPr>
          <w:p>
            <w:pPr/>
          </w:p>
        </w:tc>
        <w:tc>
          <w:tcPr>
            <w:tcW w:w="812" w:type="dxa"/>
          </w:tcPr>
          <w:p>
            <w:pPr/>
          </w:p>
        </w:tc>
        <w:tc>
          <w:tcPr>
            <w:tcW w:w="781" w:type="dxa"/>
            <w:tcBorders>
              <w:right w:val="single" w:sz="6" w:space="0" w:color="858585"/>
            </w:tcBorders>
          </w:tcPr>
          <w:p>
            <w:pPr/>
          </w:p>
        </w:tc>
        <w:tc>
          <w:tcPr>
            <w:tcW w:w="1627" w:type="dxa"/>
            <w:tcBorders>
              <w:left w:val="single" w:sz="6" w:space="0" w:color="858585"/>
            </w:tcBorders>
          </w:tcPr>
          <w:p>
            <w:pPr/>
          </w:p>
        </w:tc>
        <w:tc>
          <w:tcPr>
            <w:tcW w:w="833" w:type="dxa"/>
          </w:tcPr>
          <w:p>
            <w:pPr>
              <w:pStyle w:val="TableParagraph"/>
              <w:spacing w:before="5"/>
              <w:jc w:val="left"/>
              <w:rPr>
                <w:sz w:val="20"/>
              </w:rPr>
            </w:pPr>
          </w:p>
          <w:p>
            <w:pPr>
              <w:pStyle w:val="TableParagraph"/>
              <w:ind w:right="133"/>
              <w:rPr>
                <w:sz w:val="19"/>
              </w:rPr>
            </w:pPr>
            <w:r>
              <w:rPr>
                <w:w w:val="95"/>
                <w:sz w:val="19"/>
              </w:rPr>
              <w:t>29.05</w:t>
            </w:r>
          </w:p>
        </w:tc>
      </w:tr>
      <w:tr>
        <w:trPr>
          <w:trHeight w:val="264" w:hRule="exact"/>
        </w:trPr>
        <w:tc>
          <w:tcPr>
            <w:tcW w:w="868" w:type="dxa"/>
          </w:tcPr>
          <w:p>
            <w:pPr/>
          </w:p>
        </w:tc>
        <w:tc>
          <w:tcPr>
            <w:tcW w:w="812" w:type="dxa"/>
          </w:tcPr>
          <w:p>
            <w:pPr/>
          </w:p>
        </w:tc>
        <w:tc>
          <w:tcPr>
            <w:tcW w:w="781" w:type="dxa"/>
            <w:tcBorders>
              <w:right w:val="single" w:sz="6" w:space="0" w:color="858585"/>
            </w:tcBorders>
          </w:tcPr>
          <w:p>
            <w:pPr>
              <w:pStyle w:val="TableParagraph"/>
              <w:spacing w:before="12"/>
              <w:ind w:right="147"/>
              <w:rPr>
                <w:sz w:val="19"/>
              </w:rPr>
            </w:pPr>
            <w:r>
              <w:rPr>
                <w:w w:val="95"/>
                <w:sz w:val="19"/>
              </w:rPr>
              <w:t>10-11</w:t>
            </w:r>
          </w:p>
        </w:tc>
        <w:tc>
          <w:tcPr>
            <w:tcW w:w="1627" w:type="dxa"/>
            <w:tcBorders>
              <w:left w:val="single" w:sz="6" w:space="0" w:color="858585"/>
            </w:tcBorders>
          </w:tcPr>
          <w:p>
            <w:pPr/>
          </w:p>
        </w:tc>
        <w:tc>
          <w:tcPr>
            <w:tcW w:w="833" w:type="dxa"/>
          </w:tcPr>
          <w:p>
            <w:pPr/>
          </w:p>
        </w:tc>
      </w:tr>
      <w:tr>
        <w:trPr>
          <w:trHeight w:val="470" w:hRule="exact"/>
        </w:trPr>
        <w:tc>
          <w:tcPr>
            <w:tcW w:w="868" w:type="dxa"/>
          </w:tcPr>
          <w:p>
            <w:pPr>
              <w:pStyle w:val="TableParagraph"/>
              <w:spacing w:before="12"/>
              <w:ind w:left="107"/>
              <w:jc w:val="left"/>
              <w:rPr>
                <w:sz w:val="19"/>
              </w:rPr>
            </w:pPr>
            <w:r>
              <w:rPr>
                <w:sz w:val="19"/>
              </w:rPr>
              <w:t>29.53</w:t>
            </w:r>
          </w:p>
        </w:tc>
        <w:tc>
          <w:tcPr>
            <w:tcW w:w="812" w:type="dxa"/>
          </w:tcPr>
          <w:p>
            <w:pPr/>
          </w:p>
        </w:tc>
        <w:tc>
          <w:tcPr>
            <w:tcW w:w="781" w:type="dxa"/>
            <w:tcBorders>
              <w:right w:val="single" w:sz="6" w:space="0" w:color="858585"/>
            </w:tcBorders>
          </w:tcPr>
          <w:p>
            <w:pPr/>
          </w:p>
        </w:tc>
        <w:tc>
          <w:tcPr>
            <w:tcW w:w="1627" w:type="dxa"/>
            <w:tcBorders>
              <w:left w:val="single" w:sz="6" w:space="0" w:color="858585"/>
            </w:tcBorders>
          </w:tcPr>
          <w:p>
            <w:pPr/>
          </w:p>
        </w:tc>
        <w:tc>
          <w:tcPr>
            <w:tcW w:w="833" w:type="dxa"/>
          </w:tcPr>
          <w:p>
            <w:pPr/>
          </w:p>
        </w:tc>
      </w:tr>
      <w:tr>
        <w:trPr>
          <w:trHeight w:val="470" w:hRule="exact"/>
        </w:trPr>
        <w:tc>
          <w:tcPr>
            <w:tcW w:w="868" w:type="dxa"/>
          </w:tcPr>
          <w:p>
            <w:pPr/>
          </w:p>
        </w:tc>
        <w:tc>
          <w:tcPr>
            <w:tcW w:w="812" w:type="dxa"/>
          </w:tcPr>
          <w:p>
            <w:pPr/>
          </w:p>
        </w:tc>
        <w:tc>
          <w:tcPr>
            <w:tcW w:w="781" w:type="dxa"/>
            <w:tcBorders>
              <w:right w:val="single" w:sz="6" w:space="0" w:color="858585"/>
            </w:tcBorders>
          </w:tcPr>
          <w:p>
            <w:pPr/>
          </w:p>
        </w:tc>
        <w:tc>
          <w:tcPr>
            <w:tcW w:w="1627" w:type="dxa"/>
            <w:tcBorders>
              <w:left w:val="single" w:sz="6" w:space="0" w:color="858585"/>
            </w:tcBorders>
          </w:tcPr>
          <w:p>
            <w:pPr/>
          </w:p>
        </w:tc>
        <w:tc>
          <w:tcPr>
            <w:tcW w:w="833" w:type="dxa"/>
          </w:tcPr>
          <w:p>
            <w:pPr>
              <w:pStyle w:val="TableParagraph"/>
              <w:spacing w:before="10"/>
              <w:jc w:val="left"/>
              <w:rPr>
                <w:sz w:val="18"/>
              </w:rPr>
            </w:pPr>
          </w:p>
          <w:p>
            <w:pPr>
              <w:pStyle w:val="TableParagraph"/>
              <w:ind w:right="145"/>
              <w:rPr>
                <w:sz w:val="19"/>
              </w:rPr>
            </w:pPr>
            <w:r>
              <w:rPr>
                <w:w w:val="95"/>
                <w:sz w:val="19"/>
              </w:rPr>
              <w:t>28.86</w:t>
            </w:r>
          </w:p>
        </w:tc>
      </w:tr>
      <w:tr>
        <w:trPr>
          <w:trHeight w:val="264" w:hRule="exact"/>
        </w:trPr>
        <w:tc>
          <w:tcPr>
            <w:tcW w:w="868" w:type="dxa"/>
          </w:tcPr>
          <w:p>
            <w:pPr/>
          </w:p>
        </w:tc>
        <w:tc>
          <w:tcPr>
            <w:tcW w:w="812" w:type="dxa"/>
          </w:tcPr>
          <w:p>
            <w:pPr/>
          </w:p>
        </w:tc>
        <w:tc>
          <w:tcPr>
            <w:tcW w:w="781" w:type="dxa"/>
            <w:tcBorders>
              <w:right w:val="single" w:sz="6" w:space="0" w:color="858585"/>
            </w:tcBorders>
          </w:tcPr>
          <w:p>
            <w:pPr>
              <w:pStyle w:val="TableParagraph"/>
              <w:spacing w:before="12"/>
              <w:ind w:right="147"/>
              <w:rPr>
                <w:sz w:val="19"/>
              </w:rPr>
            </w:pPr>
            <w:r>
              <w:rPr>
                <w:w w:val="95"/>
                <w:sz w:val="19"/>
              </w:rPr>
              <w:t>8-9</w:t>
            </w:r>
          </w:p>
        </w:tc>
        <w:tc>
          <w:tcPr>
            <w:tcW w:w="1627" w:type="dxa"/>
            <w:tcBorders>
              <w:left w:val="single" w:sz="6" w:space="0" w:color="858585"/>
            </w:tcBorders>
          </w:tcPr>
          <w:p>
            <w:pPr/>
          </w:p>
        </w:tc>
        <w:tc>
          <w:tcPr>
            <w:tcW w:w="833" w:type="dxa"/>
          </w:tcPr>
          <w:p>
            <w:pPr/>
          </w:p>
        </w:tc>
      </w:tr>
      <w:tr>
        <w:trPr>
          <w:trHeight w:val="470" w:hRule="exact"/>
        </w:trPr>
        <w:tc>
          <w:tcPr>
            <w:tcW w:w="868" w:type="dxa"/>
          </w:tcPr>
          <w:p>
            <w:pPr>
              <w:pStyle w:val="TableParagraph"/>
              <w:spacing w:before="12"/>
              <w:ind w:left="110"/>
              <w:jc w:val="left"/>
              <w:rPr>
                <w:sz w:val="19"/>
              </w:rPr>
            </w:pPr>
            <w:r>
              <w:rPr>
                <w:sz w:val="19"/>
              </w:rPr>
              <w:t>29.48</w:t>
            </w:r>
          </w:p>
        </w:tc>
        <w:tc>
          <w:tcPr>
            <w:tcW w:w="812" w:type="dxa"/>
          </w:tcPr>
          <w:p>
            <w:pPr/>
          </w:p>
        </w:tc>
        <w:tc>
          <w:tcPr>
            <w:tcW w:w="781" w:type="dxa"/>
            <w:tcBorders>
              <w:right w:val="single" w:sz="6" w:space="0" w:color="858585"/>
            </w:tcBorders>
          </w:tcPr>
          <w:p>
            <w:pPr/>
          </w:p>
        </w:tc>
        <w:tc>
          <w:tcPr>
            <w:tcW w:w="1627" w:type="dxa"/>
            <w:tcBorders>
              <w:left w:val="single" w:sz="6" w:space="0" w:color="858585"/>
            </w:tcBorders>
          </w:tcPr>
          <w:p>
            <w:pPr/>
          </w:p>
        </w:tc>
        <w:tc>
          <w:tcPr>
            <w:tcW w:w="833" w:type="dxa"/>
          </w:tcPr>
          <w:p>
            <w:pPr/>
          </w:p>
        </w:tc>
      </w:tr>
      <w:tr>
        <w:trPr>
          <w:trHeight w:val="470" w:hRule="exact"/>
        </w:trPr>
        <w:tc>
          <w:tcPr>
            <w:tcW w:w="868" w:type="dxa"/>
          </w:tcPr>
          <w:p>
            <w:pPr/>
          </w:p>
        </w:tc>
        <w:tc>
          <w:tcPr>
            <w:tcW w:w="812" w:type="dxa"/>
          </w:tcPr>
          <w:p>
            <w:pPr/>
          </w:p>
        </w:tc>
        <w:tc>
          <w:tcPr>
            <w:tcW w:w="781" w:type="dxa"/>
            <w:tcBorders>
              <w:right w:val="single" w:sz="6" w:space="0" w:color="858585"/>
            </w:tcBorders>
          </w:tcPr>
          <w:p>
            <w:pPr/>
          </w:p>
        </w:tc>
        <w:tc>
          <w:tcPr>
            <w:tcW w:w="1627" w:type="dxa"/>
            <w:tcBorders>
              <w:left w:val="single" w:sz="6" w:space="0" w:color="858585"/>
            </w:tcBorders>
          </w:tcPr>
          <w:p>
            <w:pPr/>
          </w:p>
        </w:tc>
        <w:tc>
          <w:tcPr>
            <w:tcW w:w="833" w:type="dxa"/>
          </w:tcPr>
          <w:p>
            <w:pPr>
              <w:pStyle w:val="TableParagraph"/>
              <w:spacing w:before="10"/>
              <w:jc w:val="left"/>
              <w:rPr>
                <w:sz w:val="18"/>
              </w:rPr>
            </w:pPr>
          </w:p>
          <w:p>
            <w:pPr>
              <w:pStyle w:val="TableParagraph"/>
              <w:ind w:right="207"/>
              <w:rPr>
                <w:sz w:val="19"/>
              </w:rPr>
            </w:pPr>
            <w:r>
              <w:rPr>
                <w:w w:val="95"/>
                <w:sz w:val="19"/>
              </w:rPr>
              <w:t>27.84</w:t>
            </w:r>
          </w:p>
        </w:tc>
      </w:tr>
      <w:tr>
        <w:trPr>
          <w:trHeight w:val="264" w:hRule="exact"/>
        </w:trPr>
        <w:tc>
          <w:tcPr>
            <w:tcW w:w="868" w:type="dxa"/>
          </w:tcPr>
          <w:p>
            <w:pPr/>
          </w:p>
        </w:tc>
        <w:tc>
          <w:tcPr>
            <w:tcW w:w="812" w:type="dxa"/>
          </w:tcPr>
          <w:p>
            <w:pPr/>
          </w:p>
        </w:tc>
        <w:tc>
          <w:tcPr>
            <w:tcW w:w="781" w:type="dxa"/>
            <w:tcBorders>
              <w:right w:val="single" w:sz="6" w:space="0" w:color="858585"/>
            </w:tcBorders>
          </w:tcPr>
          <w:p>
            <w:pPr>
              <w:pStyle w:val="TableParagraph"/>
              <w:spacing w:before="12"/>
              <w:ind w:right="152"/>
              <w:rPr>
                <w:sz w:val="19"/>
              </w:rPr>
            </w:pPr>
            <w:r>
              <w:rPr>
                <w:w w:val="95"/>
                <w:sz w:val="19"/>
              </w:rPr>
              <w:t>6-7</w:t>
            </w:r>
          </w:p>
        </w:tc>
        <w:tc>
          <w:tcPr>
            <w:tcW w:w="1627" w:type="dxa"/>
            <w:tcBorders>
              <w:left w:val="single" w:sz="6" w:space="0" w:color="858585"/>
            </w:tcBorders>
          </w:tcPr>
          <w:p>
            <w:pPr/>
          </w:p>
        </w:tc>
        <w:tc>
          <w:tcPr>
            <w:tcW w:w="833" w:type="dxa"/>
          </w:tcPr>
          <w:p>
            <w:pPr/>
          </w:p>
        </w:tc>
      </w:tr>
      <w:tr>
        <w:trPr>
          <w:trHeight w:val="470" w:hRule="exact"/>
        </w:trPr>
        <w:tc>
          <w:tcPr>
            <w:tcW w:w="868" w:type="dxa"/>
          </w:tcPr>
          <w:p>
            <w:pPr>
              <w:pStyle w:val="TableParagraph"/>
              <w:spacing w:before="12"/>
              <w:ind w:left="259"/>
              <w:jc w:val="left"/>
              <w:rPr>
                <w:sz w:val="19"/>
              </w:rPr>
            </w:pPr>
            <w:r>
              <w:rPr>
                <w:sz w:val="19"/>
              </w:rPr>
              <w:t>27.06</w:t>
            </w:r>
          </w:p>
        </w:tc>
        <w:tc>
          <w:tcPr>
            <w:tcW w:w="812" w:type="dxa"/>
          </w:tcPr>
          <w:p>
            <w:pPr/>
          </w:p>
        </w:tc>
        <w:tc>
          <w:tcPr>
            <w:tcW w:w="781" w:type="dxa"/>
            <w:tcBorders>
              <w:right w:val="single" w:sz="6" w:space="0" w:color="858585"/>
            </w:tcBorders>
          </w:tcPr>
          <w:p>
            <w:pPr/>
          </w:p>
        </w:tc>
        <w:tc>
          <w:tcPr>
            <w:tcW w:w="1627" w:type="dxa"/>
            <w:tcBorders>
              <w:left w:val="single" w:sz="6" w:space="0" w:color="858585"/>
            </w:tcBorders>
          </w:tcPr>
          <w:p>
            <w:pPr/>
          </w:p>
        </w:tc>
        <w:tc>
          <w:tcPr>
            <w:tcW w:w="833" w:type="dxa"/>
          </w:tcPr>
          <w:p>
            <w:pPr/>
          </w:p>
        </w:tc>
      </w:tr>
      <w:tr>
        <w:trPr>
          <w:trHeight w:val="470" w:hRule="exact"/>
        </w:trPr>
        <w:tc>
          <w:tcPr>
            <w:tcW w:w="868" w:type="dxa"/>
          </w:tcPr>
          <w:p>
            <w:pPr/>
          </w:p>
        </w:tc>
        <w:tc>
          <w:tcPr>
            <w:tcW w:w="812" w:type="dxa"/>
          </w:tcPr>
          <w:p>
            <w:pPr/>
          </w:p>
        </w:tc>
        <w:tc>
          <w:tcPr>
            <w:tcW w:w="781" w:type="dxa"/>
            <w:tcBorders>
              <w:right w:val="single" w:sz="6" w:space="0" w:color="858585"/>
            </w:tcBorders>
          </w:tcPr>
          <w:p>
            <w:pPr/>
          </w:p>
        </w:tc>
        <w:tc>
          <w:tcPr>
            <w:tcW w:w="1627" w:type="dxa"/>
            <w:tcBorders>
              <w:left w:val="single" w:sz="6" w:space="0" w:color="858585"/>
            </w:tcBorders>
          </w:tcPr>
          <w:p>
            <w:pPr>
              <w:pStyle w:val="TableParagraph"/>
              <w:spacing w:before="10"/>
              <w:jc w:val="left"/>
              <w:rPr>
                <w:sz w:val="18"/>
              </w:rPr>
            </w:pPr>
          </w:p>
          <w:p>
            <w:pPr>
              <w:pStyle w:val="TableParagraph"/>
              <w:ind w:left="996"/>
              <w:jc w:val="left"/>
              <w:rPr>
                <w:sz w:val="19"/>
              </w:rPr>
            </w:pPr>
            <w:r>
              <w:rPr>
                <w:sz w:val="19"/>
              </w:rPr>
              <w:t>14.26</w:t>
            </w:r>
          </w:p>
        </w:tc>
        <w:tc>
          <w:tcPr>
            <w:tcW w:w="833" w:type="dxa"/>
          </w:tcPr>
          <w:p>
            <w:pPr/>
          </w:p>
        </w:tc>
      </w:tr>
      <w:tr>
        <w:trPr>
          <w:trHeight w:val="264" w:hRule="exact"/>
        </w:trPr>
        <w:tc>
          <w:tcPr>
            <w:tcW w:w="868" w:type="dxa"/>
          </w:tcPr>
          <w:p>
            <w:pPr/>
          </w:p>
        </w:tc>
        <w:tc>
          <w:tcPr>
            <w:tcW w:w="812" w:type="dxa"/>
          </w:tcPr>
          <w:p>
            <w:pPr/>
          </w:p>
        </w:tc>
        <w:tc>
          <w:tcPr>
            <w:tcW w:w="781" w:type="dxa"/>
            <w:tcBorders>
              <w:right w:val="single" w:sz="6" w:space="0" w:color="858585"/>
            </w:tcBorders>
          </w:tcPr>
          <w:p>
            <w:pPr>
              <w:pStyle w:val="TableParagraph"/>
              <w:spacing w:before="12"/>
              <w:ind w:right="147"/>
              <w:rPr>
                <w:sz w:val="19"/>
              </w:rPr>
            </w:pPr>
            <w:r>
              <w:rPr>
                <w:w w:val="96"/>
                <w:sz w:val="19"/>
              </w:rPr>
              <w:t>5</w:t>
            </w:r>
          </w:p>
        </w:tc>
        <w:tc>
          <w:tcPr>
            <w:tcW w:w="1627" w:type="dxa"/>
            <w:tcBorders>
              <w:left w:val="single" w:sz="6" w:space="0" w:color="858585"/>
            </w:tcBorders>
          </w:tcPr>
          <w:p>
            <w:pPr/>
          </w:p>
        </w:tc>
        <w:tc>
          <w:tcPr>
            <w:tcW w:w="833" w:type="dxa"/>
          </w:tcPr>
          <w:p>
            <w:pPr/>
          </w:p>
        </w:tc>
      </w:tr>
      <w:tr>
        <w:trPr>
          <w:trHeight w:val="452" w:hRule="exact"/>
        </w:trPr>
        <w:tc>
          <w:tcPr>
            <w:tcW w:w="868" w:type="dxa"/>
            <w:tcBorders>
              <w:bottom w:val="single" w:sz="22" w:space="0" w:color="858585"/>
            </w:tcBorders>
          </w:tcPr>
          <w:p>
            <w:pPr/>
          </w:p>
        </w:tc>
        <w:tc>
          <w:tcPr>
            <w:tcW w:w="812" w:type="dxa"/>
            <w:tcBorders>
              <w:bottom w:val="single" w:sz="22" w:space="0" w:color="858585"/>
            </w:tcBorders>
          </w:tcPr>
          <w:p>
            <w:pPr>
              <w:pStyle w:val="TableParagraph"/>
              <w:spacing w:before="12"/>
              <w:ind w:left="195"/>
              <w:jc w:val="left"/>
              <w:rPr>
                <w:sz w:val="19"/>
              </w:rPr>
            </w:pPr>
            <w:r>
              <w:rPr>
                <w:sz w:val="19"/>
              </w:rPr>
              <w:t>13.93</w:t>
            </w:r>
          </w:p>
        </w:tc>
        <w:tc>
          <w:tcPr>
            <w:tcW w:w="781" w:type="dxa"/>
            <w:tcBorders>
              <w:bottom w:val="single" w:sz="22" w:space="0" w:color="858585"/>
              <w:right w:val="single" w:sz="6" w:space="0" w:color="858585"/>
            </w:tcBorders>
          </w:tcPr>
          <w:p>
            <w:pPr/>
          </w:p>
        </w:tc>
        <w:tc>
          <w:tcPr>
            <w:tcW w:w="1627" w:type="dxa"/>
            <w:tcBorders>
              <w:left w:val="single" w:sz="6" w:space="0" w:color="858585"/>
              <w:bottom w:val="single" w:sz="22" w:space="0" w:color="858585"/>
            </w:tcBorders>
          </w:tcPr>
          <w:p>
            <w:pPr/>
          </w:p>
        </w:tc>
        <w:tc>
          <w:tcPr>
            <w:tcW w:w="833" w:type="dxa"/>
            <w:tcBorders>
              <w:bottom w:val="single" w:sz="22" w:space="0" w:color="858585"/>
            </w:tcBorders>
          </w:tcPr>
          <w:p>
            <w:pPr/>
          </w:p>
        </w:tc>
      </w:tr>
    </w:tbl>
    <w:p>
      <w:pPr>
        <w:pStyle w:val="BodyText"/>
        <w:rPr>
          <w:sz w:val="18"/>
        </w:rPr>
      </w:pPr>
    </w:p>
    <w:p>
      <w:pPr>
        <w:pStyle w:val="BodyText"/>
        <w:rPr>
          <w:sz w:val="18"/>
        </w:rPr>
      </w:pPr>
    </w:p>
    <w:p>
      <w:pPr>
        <w:pStyle w:val="BodyText"/>
        <w:rPr>
          <w:sz w:val="18"/>
        </w:rPr>
      </w:pPr>
    </w:p>
    <w:p>
      <w:pPr>
        <w:pStyle w:val="BodyText"/>
        <w:rPr>
          <w:sz w:val="18"/>
        </w:rPr>
      </w:pPr>
    </w:p>
    <w:p>
      <w:pPr>
        <w:spacing w:line="244" w:lineRule="auto" w:before="141"/>
        <w:ind w:left="129" w:right="74" w:hanging="1"/>
        <w:jc w:val="left"/>
        <w:rPr>
          <w:sz w:val="15"/>
        </w:rPr>
      </w:pPr>
      <w:r>
        <w:rPr>
          <w:sz w:val="15"/>
        </w:rPr>
        <w:t>Fuente:</w:t>
      </w:r>
      <w:r>
        <w:rPr>
          <w:spacing w:val="-12"/>
          <w:sz w:val="15"/>
        </w:rPr>
        <w:t> </w:t>
      </w:r>
      <w:r>
        <w:rPr>
          <w:sz w:val="15"/>
        </w:rPr>
        <w:t>elaboración</w:t>
      </w:r>
      <w:r>
        <w:rPr>
          <w:spacing w:val="-11"/>
          <w:sz w:val="15"/>
        </w:rPr>
        <w:t> </w:t>
      </w:r>
      <w:r>
        <w:rPr>
          <w:sz w:val="15"/>
        </w:rPr>
        <w:t>propia</w:t>
      </w:r>
      <w:r>
        <w:rPr>
          <w:spacing w:val="-11"/>
          <w:sz w:val="15"/>
        </w:rPr>
        <w:t> </w:t>
      </w:r>
      <w:r>
        <w:rPr>
          <w:sz w:val="15"/>
        </w:rPr>
        <w:t>con</w:t>
      </w:r>
      <w:r>
        <w:rPr>
          <w:spacing w:val="-11"/>
          <w:sz w:val="15"/>
        </w:rPr>
        <w:t> </w:t>
      </w:r>
      <w:r>
        <w:rPr>
          <w:sz w:val="15"/>
        </w:rPr>
        <w:t>base</w:t>
      </w:r>
      <w:r>
        <w:rPr>
          <w:spacing w:val="-12"/>
          <w:sz w:val="15"/>
        </w:rPr>
        <w:t> </w:t>
      </w:r>
      <w:r>
        <w:rPr>
          <w:sz w:val="15"/>
        </w:rPr>
        <w:t>en</w:t>
      </w:r>
      <w:r>
        <w:rPr>
          <w:spacing w:val="-11"/>
          <w:sz w:val="15"/>
        </w:rPr>
        <w:t> </w:t>
      </w:r>
      <w:r>
        <w:rPr>
          <w:sz w:val="15"/>
        </w:rPr>
        <w:t>Encuesta</w:t>
      </w:r>
      <w:r>
        <w:rPr>
          <w:spacing w:val="-11"/>
          <w:sz w:val="15"/>
        </w:rPr>
        <w:t> </w:t>
      </w:r>
      <w:r>
        <w:rPr>
          <w:sz w:val="15"/>
        </w:rPr>
        <w:t>Nacional</w:t>
      </w:r>
      <w:r>
        <w:rPr>
          <w:spacing w:val="-12"/>
          <w:sz w:val="15"/>
        </w:rPr>
        <w:t> </w:t>
      </w:r>
      <w:r>
        <w:rPr>
          <w:sz w:val="15"/>
        </w:rPr>
        <w:t>de</w:t>
      </w:r>
      <w:r>
        <w:rPr>
          <w:spacing w:val="-11"/>
          <w:sz w:val="15"/>
        </w:rPr>
        <w:t> </w:t>
      </w:r>
      <w:r>
        <w:rPr>
          <w:sz w:val="15"/>
        </w:rPr>
        <w:t>Ocupación</w:t>
      </w:r>
      <w:r>
        <w:rPr>
          <w:spacing w:val="-11"/>
          <w:sz w:val="15"/>
        </w:rPr>
        <w:t> </w:t>
      </w:r>
      <w:r>
        <w:rPr>
          <w:sz w:val="15"/>
        </w:rPr>
        <w:t>y</w:t>
      </w:r>
      <w:r>
        <w:rPr>
          <w:spacing w:val="-11"/>
          <w:sz w:val="15"/>
        </w:rPr>
        <w:t> </w:t>
      </w:r>
      <w:r>
        <w:rPr>
          <w:sz w:val="15"/>
        </w:rPr>
        <w:t>Empleo</w:t>
      </w:r>
      <w:r>
        <w:rPr>
          <w:spacing w:val="-11"/>
          <w:sz w:val="15"/>
        </w:rPr>
        <w:t> </w:t>
      </w:r>
      <w:r>
        <w:rPr>
          <w:sz w:val="15"/>
        </w:rPr>
        <w:t>2013,</w:t>
      </w:r>
      <w:r>
        <w:rPr>
          <w:spacing w:val="-12"/>
          <w:sz w:val="15"/>
        </w:rPr>
        <w:t> </w:t>
      </w:r>
      <w:r>
        <w:rPr>
          <w:sz w:val="15"/>
        </w:rPr>
        <w:t>Módulo de</w:t>
      </w:r>
      <w:r>
        <w:rPr>
          <w:spacing w:val="-15"/>
          <w:sz w:val="15"/>
        </w:rPr>
        <w:t> </w:t>
      </w:r>
      <w:r>
        <w:rPr>
          <w:sz w:val="15"/>
        </w:rPr>
        <w:t>Trabajo</w:t>
      </w:r>
      <w:r>
        <w:rPr>
          <w:spacing w:val="-15"/>
          <w:sz w:val="15"/>
        </w:rPr>
        <w:t> </w:t>
      </w:r>
      <w:r>
        <w:rPr>
          <w:sz w:val="15"/>
        </w:rPr>
        <w:t>Infantil,</w:t>
      </w:r>
      <w:r>
        <w:rPr>
          <w:spacing w:val="-15"/>
          <w:sz w:val="15"/>
        </w:rPr>
        <w:t> </w:t>
      </w:r>
      <w:r>
        <w:rPr>
          <w:sz w:val="15"/>
        </w:rPr>
        <w:t>INEGI,</w:t>
      </w:r>
      <w:r>
        <w:rPr>
          <w:spacing w:val="-15"/>
          <w:sz w:val="15"/>
        </w:rPr>
        <w:t> </w:t>
      </w:r>
      <w:r>
        <w:rPr>
          <w:sz w:val="15"/>
        </w:rPr>
        <w:t>2013.</w:t>
      </w:r>
    </w:p>
    <w:p>
      <w:pPr>
        <w:pStyle w:val="BodyText"/>
        <w:spacing w:before="9"/>
        <w:rPr>
          <w:sz w:val="11"/>
        </w:rPr>
      </w:pPr>
    </w:p>
    <w:p>
      <w:pPr>
        <w:spacing w:before="83"/>
        <w:ind w:left="113" w:right="148" w:firstLine="0"/>
        <w:jc w:val="both"/>
        <w:rPr>
          <w:sz w:val="14"/>
        </w:rPr>
      </w:pPr>
      <w:r>
        <w:rPr>
          <w:color w:val="231F20"/>
          <w:position w:val="5"/>
          <w:sz w:val="8"/>
        </w:rPr>
        <w:t>7 </w:t>
      </w:r>
      <w:r>
        <w:rPr>
          <w:sz w:val="14"/>
        </w:rPr>
        <w:t>Se deja fuera a los menores de cinco años de la clasificación de los grupos de edad, debido a que para los menores de cinco años la asistencia escolar no es obligatoria la asistencia escolar obligatoria </w:t>
      </w:r>
      <w:r>
        <w:rPr>
          <w:color w:val="231F20"/>
          <w:sz w:val="14"/>
        </w:rPr>
        <w:t>en México es a partir de los seis años (Primaria).</w:t>
      </w:r>
    </w:p>
    <w:p>
      <w:pPr>
        <w:spacing w:after="0"/>
        <w:jc w:val="both"/>
        <w:rPr>
          <w:sz w:val="14"/>
        </w:rPr>
        <w:sectPr>
          <w:footerReference w:type="default" r:id="rId287"/>
          <w:pgSz w:w="7770" w:h="11740"/>
          <w:pgMar w:footer="474" w:header="0" w:top="840" w:bottom="660" w:left="1020" w:right="700"/>
          <w:pgNumType w:start="281"/>
        </w:sectPr>
      </w:pPr>
    </w:p>
    <w:p>
      <w:pPr>
        <w:pStyle w:val="Heading4"/>
        <w:spacing w:line="240" w:lineRule="exact" w:before="79"/>
        <w:ind w:left="110" w:right="2050"/>
        <w:jc w:val="left"/>
      </w:pPr>
      <w:r>
        <w:rPr>
          <w:w w:val="75"/>
        </w:rPr>
        <w:t>¿Qué tipo de actividades desempeñan los menores </w:t>
      </w:r>
      <w:r>
        <w:rPr>
          <w:w w:val="80"/>
        </w:rPr>
        <w:t>de cinco a once años de edad?</w:t>
      </w:r>
    </w:p>
    <w:p>
      <w:pPr>
        <w:pStyle w:val="BodyText"/>
        <w:spacing w:line="249" w:lineRule="auto" w:before="175"/>
        <w:ind w:left="110" w:right="111"/>
        <w:jc w:val="both"/>
      </w:pPr>
      <w:r>
        <w:rPr>
          <w:color w:val="231F20"/>
        </w:rPr>
        <w:t>Las actividades más importantes que realizan los niños y niñas de Mé- xico son: asistir a la escuela, realizar quehaceres domésticos y en un re- ducido número de menores realizan algunas actividades</w:t>
      </w:r>
      <w:r>
        <w:rPr>
          <w:color w:val="231F20"/>
          <w:spacing w:val="-27"/>
        </w:rPr>
        <w:t> </w:t>
      </w:r>
      <w:r>
        <w:rPr>
          <w:color w:val="231F20"/>
        </w:rPr>
        <w:t>extradomésticas que generan ingresos,</w:t>
      </w:r>
      <w:r>
        <w:rPr>
          <w:color w:val="231F20"/>
          <w:position w:val="7"/>
          <w:sz w:val="11"/>
        </w:rPr>
        <w:t>8  </w:t>
      </w:r>
      <w:r>
        <w:rPr>
          <w:color w:val="231F20"/>
        </w:rPr>
        <w:t>es decir son</w:t>
      </w:r>
      <w:r>
        <w:rPr>
          <w:color w:val="231F20"/>
          <w:spacing w:val="-6"/>
        </w:rPr>
        <w:t> </w:t>
      </w:r>
      <w:r>
        <w:rPr>
          <w:color w:val="231F20"/>
        </w:rPr>
        <w:t>ocupados.</w:t>
      </w:r>
    </w:p>
    <w:p>
      <w:pPr>
        <w:pStyle w:val="BodyText"/>
        <w:spacing w:line="249" w:lineRule="auto" w:before="1"/>
        <w:ind w:left="110" w:right="111" w:firstLine="283"/>
        <w:jc w:val="both"/>
      </w:pPr>
      <w:r>
        <w:rPr>
          <w:color w:val="231F20"/>
        </w:rPr>
        <w:t>La Encuesta Nacional de Ocupación y  Empleo  2013  en  el  Módulo de Trabajo Infantil estimó que en México aproximadamente 8,872,378 realizaron actividades domésticas y extradomésticas.</w:t>
      </w:r>
      <w:r>
        <w:rPr>
          <w:color w:val="231F20"/>
          <w:position w:val="7"/>
          <w:sz w:val="11"/>
        </w:rPr>
        <w:t>9 </w:t>
      </w:r>
      <w:r>
        <w:rPr>
          <w:color w:val="231F20"/>
        </w:rPr>
        <w:t>De los niños entre los cinco y once años de edad 8,489,813 (97.56 por ciento) realiza alguna actividades en la esfera de la reproducción familiar y un número mucho menor 382,565 menores (2.44 por ciento)</w:t>
      </w:r>
      <w:r>
        <w:rPr>
          <w:color w:val="231F20"/>
          <w:spacing w:val="-9"/>
        </w:rPr>
        <w:t> </w:t>
      </w:r>
      <w:r>
        <w:rPr>
          <w:color w:val="231F20"/>
        </w:rPr>
        <w:t>desempeñaron actividades</w:t>
      </w:r>
      <w:r>
        <w:rPr>
          <w:color w:val="231F20"/>
          <w:spacing w:val="-1"/>
        </w:rPr>
        <w:t> </w:t>
      </w:r>
      <w:r>
        <w:rPr>
          <w:color w:val="231F20"/>
        </w:rPr>
        <w:t>económicas.</w:t>
      </w:r>
    </w:p>
    <w:p>
      <w:pPr>
        <w:pStyle w:val="BodyText"/>
        <w:spacing w:line="249" w:lineRule="auto" w:before="1"/>
        <w:ind w:left="110" w:right="111" w:firstLine="283"/>
        <w:jc w:val="both"/>
      </w:pPr>
      <w:r>
        <w:rPr>
          <w:color w:val="231F20"/>
        </w:rPr>
        <w:t>El siguiente diagrama de </w:t>
      </w:r>
      <w:r>
        <w:rPr>
          <w:color w:val="231F20"/>
          <w:spacing w:val="-6"/>
        </w:rPr>
        <w:t>Venn </w:t>
      </w:r>
      <w:r>
        <w:rPr>
          <w:color w:val="231F20"/>
        </w:rPr>
        <w:t>muestra la clasificación de las activi- dades</w:t>
      </w:r>
      <w:r>
        <w:rPr>
          <w:color w:val="231F20"/>
          <w:spacing w:val="-6"/>
        </w:rPr>
        <w:t> </w:t>
      </w:r>
      <w:r>
        <w:rPr>
          <w:color w:val="231F20"/>
        </w:rPr>
        <w:t>que</w:t>
      </w:r>
      <w:r>
        <w:rPr>
          <w:color w:val="231F20"/>
          <w:spacing w:val="-6"/>
        </w:rPr>
        <w:t> </w:t>
      </w:r>
      <w:r>
        <w:rPr>
          <w:color w:val="231F20"/>
        </w:rPr>
        <w:t>desempeñan</w:t>
      </w:r>
      <w:r>
        <w:rPr>
          <w:color w:val="231F20"/>
          <w:spacing w:val="-6"/>
        </w:rPr>
        <w:t> </w:t>
      </w:r>
      <w:r>
        <w:rPr>
          <w:color w:val="231F20"/>
        </w:rPr>
        <w:t>los</w:t>
      </w:r>
      <w:r>
        <w:rPr>
          <w:color w:val="231F20"/>
          <w:spacing w:val="-7"/>
        </w:rPr>
        <w:t> </w:t>
      </w:r>
      <w:r>
        <w:rPr>
          <w:color w:val="231F20"/>
        </w:rPr>
        <w:t>menores</w:t>
      </w:r>
      <w:r>
        <w:rPr>
          <w:color w:val="231F20"/>
          <w:spacing w:val="-7"/>
        </w:rPr>
        <w:t> </w:t>
      </w:r>
      <w:r>
        <w:rPr>
          <w:color w:val="231F20"/>
        </w:rPr>
        <w:t>de</w:t>
      </w:r>
      <w:r>
        <w:rPr>
          <w:color w:val="231F20"/>
          <w:spacing w:val="-6"/>
        </w:rPr>
        <w:t> </w:t>
      </w:r>
      <w:r>
        <w:rPr>
          <w:color w:val="231F20"/>
        </w:rPr>
        <w:t>cinco</w:t>
      </w:r>
      <w:r>
        <w:rPr>
          <w:color w:val="231F20"/>
          <w:spacing w:val="-7"/>
        </w:rPr>
        <w:t> </w:t>
      </w:r>
      <w:r>
        <w:rPr>
          <w:color w:val="231F20"/>
        </w:rPr>
        <w:t>a</w:t>
      </w:r>
      <w:r>
        <w:rPr>
          <w:color w:val="231F20"/>
          <w:spacing w:val="-6"/>
        </w:rPr>
        <w:t> </w:t>
      </w:r>
      <w:r>
        <w:rPr>
          <w:color w:val="231F20"/>
        </w:rPr>
        <w:t>once</w:t>
      </w:r>
      <w:r>
        <w:rPr>
          <w:color w:val="231F20"/>
          <w:spacing w:val="-6"/>
        </w:rPr>
        <w:t> </w:t>
      </w:r>
      <w:r>
        <w:rPr>
          <w:color w:val="231F20"/>
        </w:rPr>
        <w:t>años</w:t>
      </w:r>
      <w:r>
        <w:rPr>
          <w:color w:val="231F20"/>
          <w:spacing w:val="-6"/>
        </w:rPr>
        <w:t> </w:t>
      </w:r>
      <w:r>
        <w:rPr>
          <w:color w:val="231F20"/>
        </w:rPr>
        <w:t>de</w:t>
      </w:r>
      <w:r>
        <w:rPr>
          <w:color w:val="231F20"/>
          <w:spacing w:val="-6"/>
        </w:rPr>
        <w:t> </w:t>
      </w:r>
      <w:r>
        <w:rPr>
          <w:color w:val="231F20"/>
        </w:rPr>
        <w:t>edad</w:t>
      </w:r>
      <w:r>
        <w:rPr>
          <w:color w:val="231F20"/>
          <w:spacing w:val="-6"/>
        </w:rPr>
        <w:t> </w:t>
      </w:r>
      <w:r>
        <w:rPr>
          <w:color w:val="231F20"/>
        </w:rPr>
        <w:t>(Figura 1). El 43.32 por ciento de los menores sólo estudia; 53.03 por ciento de los menores estudia y realiza quehaceres domésticos; 1.79 por ciento de los niños y niñas estudia, realiza quehaceres domésticos y trabaja; 0.05 por</w:t>
      </w:r>
      <w:r>
        <w:rPr>
          <w:color w:val="231F20"/>
          <w:spacing w:val="-6"/>
        </w:rPr>
        <w:t> </w:t>
      </w:r>
      <w:r>
        <w:rPr>
          <w:color w:val="231F20"/>
        </w:rPr>
        <w:t>ciento</w:t>
      </w:r>
      <w:r>
        <w:rPr>
          <w:color w:val="231F20"/>
          <w:spacing w:val="-6"/>
        </w:rPr>
        <w:t> </w:t>
      </w:r>
      <w:r>
        <w:rPr>
          <w:color w:val="231F20"/>
        </w:rPr>
        <w:t>sólo</w:t>
      </w:r>
      <w:r>
        <w:rPr>
          <w:color w:val="231F20"/>
          <w:spacing w:val="-6"/>
        </w:rPr>
        <w:t> </w:t>
      </w:r>
      <w:r>
        <w:rPr>
          <w:color w:val="231F20"/>
        </w:rPr>
        <w:t>realizan</w:t>
      </w:r>
      <w:r>
        <w:rPr>
          <w:color w:val="231F20"/>
          <w:spacing w:val="-6"/>
        </w:rPr>
        <w:t> </w:t>
      </w:r>
      <w:r>
        <w:rPr>
          <w:color w:val="231F20"/>
        </w:rPr>
        <w:t>quehaceres</w:t>
      </w:r>
      <w:r>
        <w:rPr>
          <w:color w:val="231F20"/>
          <w:spacing w:val="-6"/>
        </w:rPr>
        <w:t> </w:t>
      </w:r>
      <w:r>
        <w:rPr>
          <w:color w:val="231F20"/>
        </w:rPr>
        <w:t>domésticos,</w:t>
      </w:r>
      <w:r>
        <w:rPr>
          <w:color w:val="231F20"/>
          <w:spacing w:val="-6"/>
        </w:rPr>
        <w:t> </w:t>
      </w:r>
      <w:r>
        <w:rPr>
          <w:color w:val="231F20"/>
        </w:rPr>
        <w:t>0.55</w:t>
      </w:r>
      <w:r>
        <w:rPr>
          <w:color w:val="231F20"/>
          <w:spacing w:val="-6"/>
        </w:rPr>
        <w:t> </w:t>
      </w:r>
      <w:r>
        <w:rPr>
          <w:color w:val="231F20"/>
        </w:rPr>
        <w:t>por</w:t>
      </w:r>
      <w:r>
        <w:rPr>
          <w:color w:val="231F20"/>
          <w:spacing w:val="-6"/>
        </w:rPr>
        <w:t> </w:t>
      </w:r>
      <w:r>
        <w:rPr>
          <w:color w:val="231F20"/>
        </w:rPr>
        <w:t>ciento</w:t>
      </w:r>
      <w:r>
        <w:rPr>
          <w:color w:val="231F20"/>
          <w:spacing w:val="-7"/>
        </w:rPr>
        <w:t> </w:t>
      </w:r>
      <w:r>
        <w:rPr>
          <w:color w:val="231F20"/>
        </w:rPr>
        <w:t>estudia</w:t>
      </w:r>
      <w:r>
        <w:rPr>
          <w:color w:val="231F20"/>
          <w:spacing w:val="-7"/>
        </w:rPr>
        <w:t> </w:t>
      </w:r>
      <w:r>
        <w:rPr>
          <w:color w:val="231F20"/>
        </w:rPr>
        <w:t>y trabaja; y sólo 0.02 por ciento trabaja de manera</w:t>
      </w:r>
      <w:r>
        <w:rPr>
          <w:color w:val="231F20"/>
          <w:spacing w:val="-7"/>
        </w:rPr>
        <w:t> </w:t>
      </w:r>
      <w:r>
        <w:rPr>
          <w:color w:val="231F20"/>
        </w:rPr>
        <w:t>exclusiva.</w:t>
      </w:r>
    </w:p>
    <w:p>
      <w:pPr>
        <w:pStyle w:val="BodyText"/>
        <w:spacing w:line="249" w:lineRule="auto" w:before="1"/>
        <w:ind w:left="110" w:right="111" w:firstLine="283"/>
        <w:jc w:val="both"/>
      </w:pPr>
      <w:r>
        <w:rPr>
          <w:color w:val="231F20"/>
        </w:rPr>
        <w:t>Con la finalidad de realizar una exposición más clara de las diferen- tes</w:t>
      </w:r>
      <w:r>
        <w:rPr>
          <w:color w:val="231F20"/>
          <w:spacing w:val="-5"/>
        </w:rPr>
        <w:t> </w:t>
      </w:r>
      <w:r>
        <w:rPr>
          <w:color w:val="231F20"/>
        </w:rPr>
        <w:t>actividades</w:t>
      </w:r>
      <w:r>
        <w:rPr>
          <w:color w:val="231F20"/>
          <w:spacing w:val="-5"/>
        </w:rPr>
        <w:t> </w:t>
      </w:r>
      <w:r>
        <w:rPr>
          <w:color w:val="231F20"/>
        </w:rPr>
        <w:t>que</w:t>
      </w:r>
      <w:r>
        <w:rPr>
          <w:color w:val="231F20"/>
          <w:spacing w:val="-5"/>
        </w:rPr>
        <w:t> </w:t>
      </w:r>
      <w:r>
        <w:rPr>
          <w:color w:val="231F20"/>
        </w:rPr>
        <w:t>desempeñan</w:t>
      </w:r>
      <w:r>
        <w:rPr>
          <w:color w:val="231F20"/>
          <w:spacing w:val="-5"/>
        </w:rPr>
        <w:t> </w:t>
      </w:r>
      <w:r>
        <w:rPr>
          <w:color w:val="231F20"/>
        </w:rPr>
        <w:t>los</w:t>
      </w:r>
      <w:r>
        <w:rPr>
          <w:color w:val="231F20"/>
          <w:spacing w:val="-5"/>
        </w:rPr>
        <w:t> </w:t>
      </w:r>
      <w:r>
        <w:rPr>
          <w:color w:val="231F20"/>
        </w:rPr>
        <w:t>menores,</w:t>
      </w:r>
      <w:r>
        <w:rPr>
          <w:color w:val="231F20"/>
          <w:spacing w:val="-5"/>
        </w:rPr>
        <w:t> </w:t>
      </w:r>
      <w:r>
        <w:rPr>
          <w:color w:val="231F20"/>
        </w:rPr>
        <w:t>se</w:t>
      </w:r>
      <w:r>
        <w:rPr>
          <w:color w:val="231F20"/>
          <w:spacing w:val="-5"/>
        </w:rPr>
        <w:t> </w:t>
      </w:r>
      <w:r>
        <w:rPr>
          <w:color w:val="231F20"/>
        </w:rPr>
        <w:t>realizó</w:t>
      </w:r>
      <w:r>
        <w:rPr>
          <w:color w:val="231F20"/>
          <w:spacing w:val="-5"/>
        </w:rPr>
        <w:t> </w:t>
      </w:r>
      <w:r>
        <w:rPr>
          <w:color w:val="231F20"/>
        </w:rPr>
        <w:t>una</w:t>
      </w:r>
      <w:r>
        <w:rPr>
          <w:color w:val="231F20"/>
          <w:spacing w:val="-5"/>
        </w:rPr>
        <w:t> </w:t>
      </w:r>
      <w:r>
        <w:rPr>
          <w:color w:val="231F20"/>
        </w:rPr>
        <w:t>clasificación de las actividades mencionadas con anterioridad agrupándolas en cuatro grupos de</w:t>
      </w:r>
      <w:r>
        <w:rPr>
          <w:color w:val="231F20"/>
          <w:spacing w:val="-1"/>
        </w:rPr>
        <w:t> </w:t>
      </w:r>
      <w:r>
        <w:rPr>
          <w:color w:val="231F20"/>
        </w:rPr>
        <w:t>actividades.</w:t>
      </w:r>
    </w:p>
    <w:p>
      <w:pPr>
        <w:pStyle w:val="BodyText"/>
        <w:spacing w:line="249" w:lineRule="auto" w:before="1"/>
        <w:ind w:left="110" w:right="111" w:firstLine="283"/>
        <w:jc w:val="both"/>
      </w:pPr>
      <w:r>
        <w:rPr>
          <w:color w:val="231F20"/>
        </w:rPr>
        <w:t>El Cuadro 2 expone que del total de menores, 2.44 por ciento son ocupados; 43.33 por ciento sólo estudian; 53.04 por ciento realizan que- haceres</w:t>
      </w:r>
      <w:r>
        <w:rPr>
          <w:color w:val="231F20"/>
          <w:spacing w:val="-11"/>
        </w:rPr>
        <w:t> </w:t>
      </w:r>
      <w:r>
        <w:rPr>
          <w:color w:val="231F20"/>
        </w:rPr>
        <w:t>domésticos</w:t>
      </w:r>
      <w:r>
        <w:rPr>
          <w:color w:val="231F20"/>
          <w:spacing w:val="-11"/>
        </w:rPr>
        <w:t> </w:t>
      </w:r>
      <w:r>
        <w:rPr>
          <w:color w:val="231F20"/>
        </w:rPr>
        <w:t>y</w:t>
      </w:r>
      <w:r>
        <w:rPr>
          <w:color w:val="231F20"/>
          <w:spacing w:val="-11"/>
        </w:rPr>
        <w:t> </w:t>
      </w:r>
      <w:r>
        <w:rPr>
          <w:color w:val="231F20"/>
        </w:rPr>
        <w:t>estudian;</w:t>
      </w:r>
      <w:r>
        <w:rPr>
          <w:color w:val="231F20"/>
          <w:spacing w:val="-12"/>
        </w:rPr>
        <w:t> </w:t>
      </w:r>
      <w:r>
        <w:rPr>
          <w:color w:val="231F20"/>
        </w:rPr>
        <w:t>y</w:t>
      </w:r>
      <w:r>
        <w:rPr>
          <w:color w:val="231F20"/>
          <w:spacing w:val="-11"/>
        </w:rPr>
        <w:t> </w:t>
      </w:r>
      <w:r>
        <w:rPr>
          <w:color w:val="231F20"/>
        </w:rPr>
        <w:t>1.19</w:t>
      </w:r>
      <w:r>
        <w:rPr>
          <w:color w:val="231F20"/>
          <w:spacing w:val="-11"/>
        </w:rPr>
        <w:t> </w:t>
      </w:r>
      <w:r>
        <w:rPr>
          <w:color w:val="231F20"/>
        </w:rPr>
        <w:t>por</w:t>
      </w:r>
      <w:r>
        <w:rPr>
          <w:color w:val="231F20"/>
          <w:spacing w:val="-11"/>
        </w:rPr>
        <w:t> </w:t>
      </w:r>
      <w:r>
        <w:rPr>
          <w:color w:val="231F20"/>
        </w:rPr>
        <w:t>ciento</w:t>
      </w:r>
      <w:r>
        <w:rPr>
          <w:color w:val="231F20"/>
          <w:spacing w:val="-12"/>
        </w:rPr>
        <w:t> </w:t>
      </w:r>
      <w:r>
        <w:rPr>
          <w:color w:val="231F20"/>
        </w:rPr>
        <w:t>sólo</w:t>
      </w:r>
      <w:r>
        <w:rPr>
          <w:color w:val="231F20"/>
          <w:spacing w:val="-11"/>
        </w:rPr>
        <w:t> </w:t>
      </w:r>
      <w:r>
        <w:rPr>
          <w:color w:val="231F20"/>
        </w:rPr>
        <w:t>realizan</w:t>
      </w:r>
      <w:r>
        <w:rPr>
          <w:color w:val="231F20"/>
          <w:spacing w:val="-12"/>
        </w:rPr>
        <w:t> </w:t>
      </w:r>
      <w:r>
        <w:rPr>
          <w:color w:val="231F20"/>
        </w:rPr>
        <w:t>quehaceres domésticos.</w:t>
      </w:r>
    </w:p>
    <w:p>
      <w:pPr>
        <w:pStyle w:val="BodyText"/>
        <w:spacing w:line="249" w:lineRule="auto" w:before="1"/>
        <w:ind w:left="110" w:right="111" w:firstLine="283"/>
        <w:jc w:val="both"/>
      </w:pPr>
      <w:r>
        <w:rPr>
          <w:color w:val="231F20"/>
        </w:rPr>
        <w:t>Las actividades que realizan los menores están diferenciadas por edad y sexo. Cartwrigth (2006), López (2006) y Siaens y </w:t>
      </w:r>
      <w:r>
        <w:rPr>
          <w:color w:val="231F20"/>
          <w:spacing w:val="-4"/>
        </w:rPr>
        <w:t>Wodon </w:t>
      </w:r>
      <w:r>
        <w:rPr>
          <w:color w:val="231F20"/>
        </w:rPr>
        <w:t>(2006) señalan que el incremento de actividades laborales remuneradas se con- centra en los grupos de mayor edad, debido a que se tiene un mayor de- sarrollo físico, por lo que estos pueden realizar actividades laborales</w:t>
      </w:r>
      <w:r>
        <w:rPr>
          <w:color w:val="231F20"/>
          <w:spacing w:val="-34"/>
        </w:rPr>
        <w:t> </w:t>
      </w:r>
      <w:r>
        <w:rPr>
          <w:color w:val="231F20"/>
        </w:rPr>
        <w:t>que requieran más desgaste</w:t>
      </w:r>
      <w:r>
        <w:rPr>
          <w:color w:val="231F20"/>
          <w:spacing w:val="-1"/>
        </w:rPr>
        <w:t> </w:t>
      </w:r>
      <w:r>
        <w:rPr>
          <w:color w:val="231F20"/>
        </w:rPr>
        <w:t>físico.</w:t>
      </w:r>
    </w:p>
    <w:p>
      <w:pPr>
        <w:pStyle w:val="BodyText"/>
        <w:rPr>
          <w:sz w:val="21"/>
        </w:rPr>
      </w:pPr>
    </w:p>
    <w:p>
      <w:pPr>
        <w:spacing w:before="1"/>
        <w:ind w:left="110" w:right="111" w:firstLine="0"/>
        <w:jc w:val="both"/>
        <w:rPr>
          <w:sz w:val="14"/>
        </w:rPr>
      </w:pPr>
      <w:r>
        <w:rPr>
          <w:color w:val="231F20"/>
          <w:position w:val="5"/>
          <w:sz w:val="8"/>
        </w:rPr>
        <w:t>8 </w:t>
      </w:r>
      <w:r>
        <w:rPr>
          <w:color w:val="231F20"/>
          <w:sz w:val="14"/>
        </w:rPr>
        <w:t>Entre las actividades extradomésticas se encuentran: </w:t>
      </w:r>
      <w:r>
        <w:rPr>
          <w:sz w:val="14"/>
        </w:rPr>
        <w:t>venta de productos, limpia calzado, mozo o sir- viente, trabajos a destajo, las actividades agrícolas, los quehaceres del hogar y/o cuidado de ancianos o menores que generan ingresos.</w:t>
      </w:r>
    </w:p>
    <w:p>
      <w:pPr>
        <w:spacing w:before="0"/>
        <w:ind w:left="110" w:right="111" w:firstLine="0"/>
        <w:jc w:val="both"/>
        <w:rPr>
          <w:sz w:val="14"/>
        </w:rPr>
      </w:pPr>
      <w:r>
        <w:rPr>
          <w:color w:val="231F20"/>
          <w:position w:val="5"/>
          <w:sz w:val="8"/>
        </w:rPr>
        <w:t>9 </w:t>
      </w:r>
      <w:r>
        <w:rPr>
          <w:color w:val="231F20"/>
          <w:sz w:val="14"/>
        </w:rPr>
        <w:t>Tradicionalmente el concepto “trabajo” se refiere al trabajo en la esfera de la producción económica (actividades extradomésticas), sin embargo, hay discusiones que plantean que en la esfera de la re- producción se realiza otro tipo de trabajo (actividades domésticas) el cual debería de ser considerado también como trabajo renumerado (Pedrero, 2004).</w:t>
      </w:r>
    </w:p>
    <w:p>
      <w:pPr>
        <w:spacing w:after="0"/>
        <w:jc w:val="both"/>
        <w:rPr>
          <w:sz w:val="14"/>
        </w:rPr>
        <w:sectPr>
          <w:pgSz w:w="7770" w:h="11740"/>
          <w:pgMar w:header="0" w:footer="474" w:top="840" w:bottom="740" w:left="740" w:right="1020"/>
        </w:sectPr>
      </w:pPr>
    </w:p>
    <w:p>
      <w:pPr>
        <w:pStyle w:val="BodyText"/>
        <w:spacing w:line="249" w:lineRule="auto" w:before="60"/>
        <w:ind w:left="160" w:right="1047"/>
      </w:pPr>
      <w:r>
        <w:rPr/>
        <w:pict>
          <v:group style="position:absolute;margin-left:75.684601pt;margin-top:25.811523pt;width:201.05pt;height:215.7pt;mso-position-horizontal-relative:page;mso-position-vertical-relative:paragraph;z-index:-329368" coordorigin="1514,516" coordsize="4021,4314">
            <v:shape style="position:absolute;left:2332;top:526;width:2758;height:2758" type="#_x0000_t75" stroked="false">
              <v:imagedata r:id="rId289" o:title=""/>
            </v:shape>
            <v:shape style="position:absolute;left:2332;top:526;width:2758;height:2758" coordorigin="2332,526" coordsize="2758,2758" path="m3711,3284l3786,3282,3861,3276,3934,3266,4006,3252,4077,3235,4146,3214,4214,3189,4280,3161,4344,3130,4407,3096,4467,3059,4525,3018,4581,2975,4634,2929,4686,2880,4734,2829,4780,2776,4823,2720,4864,2661,4901,2601,4936,2539,4967,2475,4995,2409,5019,2341,5040,2272,5058,2201,5071,2129,5081,2055,5087,1981,5090,1905,5087,1830,5081,1755,5071,1682,5058,1609,5040,1539,5019,1469,4995,1402,4967,1336,4936,1271,4901,1209,4864,1149,4823,1091,4780,1035,4734,981,4686,930,4634,881,4581,836,4525,792,4467,752,4407,714,4344,680,4280,649,4214,621,4146,597,4077,575,4006,558,3934,544,3861,534,3786,528,3711,526,3635,528,3560,534,3487,544,3415,558,3344,575,3275,597,3207,621,3141,649,3077,680,3015,714,2954,752,2896,792,2840,836,2787,881,2735,930,2687,981,2641,1035,2598,1091,2557,1149,2520,1209,2485,1271,2454,1336,2426,1402,2402,1469,2381,1539,2363,1609,2350,1682,2340,1755,2334,1830,2332,1905,2334,1981,2340,2055,2350,2129,2363,2201,2381,2272,2402,2341,2426,2409,2454,2475,2485,2539,2520,2601,2557,2661,2598,2720,2641,2776,2687,2829,2735,2880,2787,2929,2840,2975,2896,3018,2954,3059,3015,3096,3077,3130,3141,3161,3207,3189,3275,3214,3344,3235,3415,3252,3487,3266,3560,3276,3635,3282,3711,3284xe" filled="false" stroked="true" strokeweight="1pt" strokecolor="#231f20">
              <v:path arrowok="t"/>
            </v:shape>
            <v:shape style="position:absolute;left:2474;top:1769;width:3051;height:3051" coordorigin="2474,1769" coordsize="3051,3051" path="m2603,4690l2673,4746,2755,4786,2848,4810,2952,4820,3007,4819,3124,4807,3185,4795,3248,4780,3313,4762,3379,4741,3446,4716,3515,4688,3585,4656,3656,4622,3728,4584,3801,4543,3874,4500,3948,4453,4022,4404,4096,4351,4171,4296,4245,4238,4320,4177,4394,4114,4467,4048,4541,3980,4613,3908,4684,3836,4753,3763,4819,3689,4882,3615,4943,3540,5001,3466,5056,3391,5108,3317,5158,3243,5205,3169,5248,3096,5289,3023,5327,2951,5361,2880,5392,2810,5421,2741,5445,2674,5467,2608,5485,2543,5500,2480,5511,2419,5524,2302,5524,2247,5522,2194,5505,2096,5473,2008,5425,1932,5362,1868,5285,1821,5198,1789,5099,1772,5046,1769,4991,1770,4874,1782,4813,1793,4750,1808,4686,1826,4619,1848,4552,1873,4483,1901,4413,1932,4342,1967,4270,2004,4198,2045,4124,2089,4051,2135,3976,2185,3902,2237,3827,2292,3753,2350,3679,2411,3604,2474,3531,2540,3457,2609,3385,2680,3314,2753,3245,2826,3179,2900,3116,2974,3055,3048,2997,3123,2942,3197,2890,3272,2840,3346,2793,3419,2750,3493,2709,3565,2672,3637,2637,3708,2606,3778,2578,3847,2553,3914,2531,3981,2513,4045,2498,4108,2487,4170,2474,4286,2474,4341,2477,4394,2493,4493,2526,4581,2573,4657,2603,4690xe" filled="false" stroked="true" strokeweight="1.0pt" strokecolor="#231f20">
              <v:path arrowok="t"/>
            </v:shape>
            <v:shape style="position:absolute;left:1524;top:1450;width:2532;height:2532" coordorigin="1524,1450" coordsize="2532,2532" path="m2789,3981l2866,3979,2942,3972,3017,3961,3090,3946,3161,3926,3231,3902,3299,3875,3364,3844,3428,3809,3489,3770,3548,3729,3605,3684,3658,3636,3709,3585,3757,3531,3802,3475,3844,3416,3882,3355,3917,3291,3948,3225,3976,3158,3999,3088,4019,3016,4035,2943,4046,2869,4053,2793,4055,2716,4053,2639,4046,2563,4035,2488,4019,2415,3999,2344,3976,2274,3948,2207,3917,2141,3882,2077,3844,2016,3802,1957,3757,1900,3709,1847,3658,1796,3605,1748,3548,1703,3489,1661,3428,1623,3364,1588,3299,1557,3231,1529,3161,1506,3090,1486,3017,1471,2942,1459,2866,1453,2789,1450,2712,1453,2636,1459,2562,1471,2489,1486,2417,1506,2348,1529,2280,1557,2214,1588,2151,1623,2089,1661,2030,1703,1974,1748,1920,1796,1869,1847,1821,1900,1776,1957,1735,2016,1696,2077,1662,2141,1630,2207,1603,2274,1579,2344,1560,2415,1544,2488,1533,2563,1526,2639,1524,2716,1526,2793,1533,2869,1544,2943,1560,3016,1579,3088,1603,3158,1630,3225,1662,3291,1696,3355,1735,3416,1776,3475,1821,3531,1869,3585,1920,3636,1974,3684,2030,3729,2089,3770,2151,3809,2214,3844,2280,3875,2348,3902,2417,3926,2489,3946,2562,3961,2636,3972,2712,3979,2789,3981xe" filled="false" stroked="true" strokeweight="1pt" strokecolor="#231f20">
              <v:path arrowok="t"/>
            </v:shape>
            <v:line style="position:absolute" from="4592,2216" to="5353,1468" stroked="true" strokeweight="1pt" strokecolor="#231f20"/>
            <v:shape style="position:absolute;left:4514;top:2158;width:136;height:135" coordorigin="4514,2158" coordsize="136,135" path="m4578,2158l4514,2293,4650,2231,4592,2216,4578,2158xe" filled="true" fillcolor="#231f20" stroked="false">
              <v:path arrowok="t"/>
              <v:fill type="solid"/>
            </v:shape>
            <v:line style="position:absolute" from="3976,2935" to="5265,3255" stroked="true" strokeweight="1pt" strokecolor="#231f20"/>
            <v:shape style="position:absolute;left:3870;top:2893;width:149;height:100" coordorigin="3870,2893" coordsize="149,100" path="m4018,2893l3870,2909,3994,2992,3976,2935,4018,2893xe" filled="true" fillcolor="#231f20" stroked="false">
              <v:path arrowok="t"/>
              <v:fill type="solid"/>
            </v:shape>
            <v:line style="position:absolute" from="5451,4580" to="4107,4024" stroked="true" strokeweight="1pt" strokecolor="#231f20"/>
            <v:line style="position:absolute" from="3803,3874" to="3104,3606" stroked="true" strokeweight="1.0pt" strokecolor="#231f20"/>
            <v:shape style="position:absolute;left:3002;top:3566;width:150;height:98" coordorigin="3002,3566" coordsize="150,98" path="m3002,3566l3114,3664,3104,3606,3151,3569,3002,3566xe" filled="true" fillcolor="#231f20" stroked="false">
              <v:path arrowok="t"/>
              <v:fill type="solid"/>
            </v:shape>
            <w10:wrap type="none"/>
          </v:group>
        </w:pict>
      </w:r>
      <w:r>
        <w:rPr>
          <w:color w:val="231F20"/>
        </w:rPr>
        <w:t>Figura 1. Distribución porcentual de la población de cinco a once años por tipo de actividades</w:t>
      </w:r>
    </w:p>
    <w:p>
      <w:pPr>
        <w:pStyle w:val="BodyText"/>
        <w:spacing w:before="3"/>
        <w:rPr>
          <w:sz w:val="28"/>
        </w:rPr>
      </w:pPr>
    </w:p>
    <w:p>
      <w:pPr>
        <w:spacing w:after="0"/>
        <w:rPr>
          <w:sz w:val="28"/>
        </w:rPr>
        <w:sectPr>
          <w:footerReference w:type="default" r:id="rId288"/>
          <w:pgSz w:w="7770" w:h="11740"/>
          <w:pgMar w:footer="474" w:header="0" w:top="840" w:bottom="660" w:left="900" w:right="0"/>
          <w:pgNumType w:start="283"/>
        </w:sectPr>
      </w:pPr>
    </w:p>
    <w:p>
      <w:pPr>
        <w:pStyle w:val="BodyText"/>
        <w:spacing w:before="75"/>
        <w:ind w:left="2186" w:right="-19"/>
      </w:pPr>
      <w:r>
        <w:rPr>
          <w:color w:val="231F20"/>
          <w:w w:val="70"/>
        </w:rPr>
        <w:t>Sólo estudian 43.32%</w:t>
      </w:r>
    </w:p>
    <w:p>
      <w:pPr>
        <w:pStyle w:val="BodyText"/>
      </w:pPr>
    </w:p>
    <w:p>
      <w:pPr>
        <w:pStyle w:val="BodyText"/>
      </w:pPr>
    </w:p>
    <w:p>
      <w:pPr>
        <w:pStyle w:val="BodyText"/>
        <w:spacing w:before="4"/>
        <w:rPr>
          <w:sz w:val="17"/>
        </w:rPr>
      </w:pPr>
    </w:p>
    <w:p>
      <w:pPr>
        <w:pStyle w:val="BodyText"/>
        <w:spacing w:line="249" w:lineRule="auto"/>
        <w:ind w:left="1931" w:right="422" w:hanging="280"/>
      </w:pPr>
      <w:r>
        <w:rPr>
          <w:color w:val="231F20"/>
          <w:w w:val="70"/>
        </w:rPr>
        <w:t>Quehaceres domésticos y estudian 53.03%</w:t>
      </w:r>
    </w:p>
    <w:p>
      <w:pPr>
        <w:pStyle w:val="BodyText"/>
      </w:pPr>
    </w:p>
    <w:p>
      <w:pPr>
        <w:pStyle w:val="BodyText"/>
        <w:rPr>
          <w:sz w:val="22"/>
        </w:rPr>
      </w:pPr>
    </w:p>
    <w:p>
      <w:pPr>
        <w:pStyle w:val="BodyText"/>
        <w:spacing w:line="249" w:lineRule="auto"/>
        <w:ind w:left="885" w:right="1480" w:firstLine="113"/>
      </w:pPr>
      <w:r>
        <w:rPr>
          <w:color w:val="231F20"/>
          <w:w w:val="70"/>
        </w:rPr>
        <w:t>Sólo quehaceres domésticos 0.50%</w:t>
      </w:r>
    </w:p>
    <w:p>
      <w:pPr>
        <w:pStyle w:val="BodyText"/>
      </w:pPr>
      <w:r>
        <w:rPr/>
        <w:br w:type="column"/>
      </w:r>
      <w:r>
        <w:rPr/>
      </w:r>
    </w:p>
    <w:p>
      <w:pPr>
        <w:pStyle w:val="BodyText"/>
        <w:spacing w:before="156"/>
        <w:ind w:left="1259" w:hanging="312"/>
      </w:pPr>
      <w:r>
        <w:rPr>
          <w:color w:val="231F20"/>
          <w:w w:val="70"/>
        </w:rPr>
        <w:t>Ocupados y estudian 0.55%</w:t>
      </w:r>
    </w:p>
    <w:p>
      <w:pPr>
        <w:pStyle w:val="BodyText"/>
      </w:pPr>
    </w:p>
    <w:p>
      <w:pPr>
        <w:pStyle w:val="BodyText"/>
      </w:pPr>
    </w:p>
    <w:p>
      <w:pPr>
        <w:pStyle w:val="BodyText"/>
      </w:pPr>
    </w:p>
    <w:p>
      <w:pPr>
        <w:pStyle w:val="BodyText"/>
      </w:pPr>
    </w:p>
    <w:p>
      <w:pPr>
        <w:pStyle w:val="BodyText"/>
      </w:pPr>
    </w:p>
    <w:p>
      <w:pPr>
        <w:pStyle w:val="BodyText"/>
        <w:spacing w:before="2"/>
        <w:rPr>
          <w:sz w:val="24"/>
        </w:rPr>
      </w:pPr>
    </w:p>
    <w:p>
      <w:pPr>
        <w:pStyle w:val="BodyText"/>
        <w:spacing w:line="249" w:lineRule="auto"/>
        <w:ind w:left="885" w:right="717" w:firstLine="373"/>
      </w:pPr>
      <w:r>
        <w:rPr/>
        <w:pict>
          <v:shape style="position:absolute;margin-left:178.194962pt;margin-top:33.260498pt;width:60.9pt;height:10pt;mso-position-horizontal-relative:page;mso-position-vertical-relative:paragraph;z-index:8560;rotation:315" type="#_x0000_t136" fillcolor="#231f20" stroked="f">
            <o:extrusion v:ext="view" autorotationcenter="t"/>
            <v:textpath style="font-family:&amp;quot;Times New Roman&amp;quot;;font-size:10pt;v-text-kern:t;mso-text-shadow:auto" string="Sólo ocupados 0.02%"/>
            <w10:wrap type="none"/>
          </v:shape>
        </w:pict>
      </w:r>
      <w:r>
        <w:rPr>
          <w:color w:val="231F20"/>
          <w:w w:val="70"/>
        </w:rPr>
        <w:t>Ocupados, quehaceres domésticos y ocupados 1.7%</w:t>
      </w:r>
    </w:p>
    <w:p>
      <w:pPr>
        <w:pStyle w:val="BodyText"/>
      </w:pPr>
    </w:p>
    <w:p>
      <w:pPr>
        <w:pStyle w:val="BodyText"/>
      </w:pPr>
    </w:p>
    <w:p>
      <w:pPr>
        <w:pStyle w:val="BodyText"/>
      </w:pPr>
    </w:p>
    <w:p>
      <w:pPr>
        <w:pStyle w:val="BodyText"/>
        <w:spacing w:before="9"/>
        <w:rPr>
          <w:sz w:val="17"/>
        </w:rPr>
      </w:pPr>
    </w:p>
    <w:p>
      <w:pPr>
        <w:pStyle w:val="BodyText"/>
        <w:spacing w:line="249" w:lineRule="auto"/>
        <w:ind w:left="1417" w:right="780" w:hanging="288"/>
      </w:pPr>
      <w:r>
        <w:rPr>
          <w:color w:val="231F20"/>
          <w:w w:val="70"/>
        </w:rPr>
        <w:t>Quehaceres domésticos y ocupados 0.06%</w:t>
      </w:r>
    </w:p>
    <w:p>
      <w:pPr>
        <w:spacing w:after="0" w:line="249" w:lineRule="auto"/>
        <w:sectPr>
          <w:type w:val="continuous"/>
          <w:pgSz w:w="7770" w:h="11740"/>
          <w:pgMar w:top="0" w:bottom="0" w:left="900" w:right="0"/>
          <w:cols w:num="2" w:equalWidth="0">
            <w:col w:w="3412" w:space="210"/>
            <w:col w:w="3248"/>
          </w:cols>
        </w:sectPr>
      </w:pPr>
    </w:p>
    <w:p>
      <w:pPr>
        <w:pStyle w:val="BodyText"/>
        <w:spacing w:before="1"/>
      </w:pPr>
    </w:p>
    <w:p>
      <w:pPr>
        <w:spacing w:line="180" w:lineRule="exact" w:before="85"/>
        <w:ind w:left="117" w:right="1015" w:firstLine="0"/>
        <w:jc w:val="left"/>
        <w:rPr>
          <w:sz w:val="16"/>
        </w:rPr>
      </w:pPr>
      <w:r>
        <w:rPr>
          <w:color w:val="231F20"/>
          <w:sz w:val="16"/>
        </w:rPr>
        <w:t>Fuente: elaboración propia con base en Encuesta Nacional de Ocupación y Empleo 2013. Modulo de Trabajo Infantil, 2013.</w:t>
      </w:r>
    </w:p>
    <w:p>
      <w:pPr>
        <w:pStyle w:val="BodyText"/>
        <w:spacing w:before="8"/>
        <w:rPr>
          <w:sz w:val="25"/>
        </w:rPr>
      </w:pPr>
    </w:p>
    <w:p>
      <w:pPr>
        <w:spacing w:line="252" w:lineRule="auto" w:before="81"/>
        <w:ind w:left="263" w:right="1994" w:firstLine="0"/>
        <w:jc w:val="left"/>
        <w:rPr>
          <w:sz w:val="19"/>
        </w:rPr>
      </w:pPr>
      <w:r>
        <w:rPr>
          <w:w w:val="105"/>
          <w:sz w:val="19"/>
        </w:rPr>
        <w:t>Cuadro 2. Clasificación de las actividades de los menores de 5 a 11 años de edad (%)</w:t>
      </w:r>
    </w:p>
    <w:p>
      <w:pPr>
        <w:pStyle w:val="BodyText"/>
        <w:spacing w:before="6"/>
        <w:rPr>
          <w:sz w:val="5"/>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3"/>
        <w:gridCol w:w="1107"/>
        <w:gridCol w:w="872"/>
        <w:gridCol w:w="1280"/>
        <w:gridCol w:w="1167"/>
        <w:gridCol w:w="755"/>
      </w:tblGrid>
      <w:tr>
        <w:trPr>
          <w:trHeight w:val="696" w:hRule="exact"/>
        </w:trPr>
        <w:tc>
          <w:tcPr>
            <w:tcW w:w="743" w:type="dxa"/>
            <w:tcBorders>
              <w:left w:val="nil"/>
              <w:right w:val="nil"/>
            </w:tcBorders>
          </w:tcPr>
          <w:p>
            <w:pPr>
              <w:pStyle w:val="TableParagraph"/>
              <w:jc w:val="left"/>
              <w:rPr>
                <w:sz w:val="20"/>
              </w:rPr>
            </w:pPr>
          </w:p>
          <w:p>
            <w:pPr>
              <w:pStyle w:val="TableParagraph"/>
              <w:spacing w:before="1"/>
              <w:jc w:val="left"/>
              <w:rPr>
                <w:sz w:val="20"/>
              </w:rPr>
            </w:pPr>
          </w:p>
          <w:p>
            <w:pPr>
              <w:pStyle w:val="TableParagraph"/>
              <w:ind w:left="62"/>
              <w:jc w:val="left"/>
              <w:rPr>
                <w:sz w:val="19"/>
              </w:rPr>
            </w:pPr>
            <w:r>
              <w:rPr>
                <w:w w:val="105"/>
                <w:sz w:val="19"/>
              </w:rPr>
              <w:t>Edad</w:t>
            </w:r>
          </w:p>
        </w:tc>
        <w:tc>
          <w:tcPr>
            <w:tcW w:w="1107" w:type="dxa"/>
            <w:tcBorders>
              <w:left w:val="nil"/>
              <w:right w:val="nil"/>
            </w:tcBorders>
          </w:tcPr>
          <w:p>
            <w:pPr>
              <w:pStyle w:val="TableParagraph"/>
              <w:jc w:val="left"/>
              <w:rPr>
                <w:sz w:val="20"/>
              </w:rPr>
            </w:pPr>
          </w:p>
          <w:p>
            <w:pPr>
              <w:pStyle w:val="TableParagraph"/>
              <w:spacing w:before="1"/>
              <w:jc w:val="left"/>
              <w:rPr>
                <w:sz w:val="20"/>
              </w:rPr>
            </w:pPr>
          </w:p>
          <w:p>
            <w:pPr>
              <w:pStyle w:val="TableParagraph"/>
              <w:ind w:right="90"/>
              <w:rPr>
                <w:sz w:val="19"/>
              </w:rPr>
            </w:pPr>
            <w:r>
              <w:rPr>
                <w:sz w:val="19"/>
              </w:rPr>
              <w:t>Ocupados</w:t>
            </w:r>
          </w:p>
        </w:tc>
        <w:tc>
          <w:tcPr>
            <w:tcW w:w="872" w:type="dxa"/>
            <w:tcBorders>
              <w:left w:val="nil"/>
              <w:right w:val="nil"/>
            </w:tcBorders>
          </w:tcPr>
          <w:p>
            <w:pPr>
              <w:pStyle w:val="TableParagraph"/>
              <w:spacing w:before="5"/>
              <w:jc w:val="left"/>
              <w:rPr>
                <w:sz w:val="20"/>
              </w:rPr>
            </w:pPr>
          </w:p>
          <w:p>
            <w:pPr>
              <w:pStyle w:val="TableParagraph"/>
              <w:spacing w:line="247" w:lineRule="auto"/>
              <w:ind w:left="92" w:right="94" w:firstLine="299"/>
              <w:jc w:val="left"/>
              <w:rPr>
                <w:sz w:val="19"/>
              </w:rPr>
            </w:pPr>
            <w:r>
              <w:rPr>
                <w:w w:val="105"/>
                <w:sz w:val="19"/>
              </w:rPr>
              <w:t>Sólo estudian</w:t>
            </w:r>
          </w:p>
        </w:tc>
        <w:tc>
          <w:tcPr>
            <w:tcW w:w="1280" w:type="dxa"/>
            <w:tcBorders>
              <w:left w:val="nil"/>
              <w:right w:val="nil"/>
            </w:tcBorders>
          </w:tcPr>
          <w:p>
            <w:pPr>
              <w:pStyle w:val="TableParagraph"/>
              <w:spacing w:line="252" w:lineRule="auto" w:before="5"/>
              <w:ind w:left="112" w:right="100" w:firstLine="117"/>
              <w:jc w:val="left"/>
              <w:rPr>
                <w:sz w:val="19"/>
              </w:rPr>
            </w:pPr>
            <w:r>
              <w:rPr>
                <w:w w:val="105"/>
                <w:sz w:val="19"/>
              </w:rPr>
              <w:t>Quehaceres domésticos y</w:t>
            </w:r>
          </w:p>
          <w:p>
            <w:pPr>
              <w:pStyle w:val="TableParagraph"/>
              <w:spacing w:line="215" w:lineRule="exact"/>
              <w:ind w:left="495"/>
              <w:jc w:val="left"/>
              <w:rPr>
                <w:sz w:val="19"/>
              </w:rPr>
            </w:pPr>
            <w:r>
              <w:rPr>
                <w:w w:val="105"/>
                <w:sz w:val="19"/>
              </w:rPr>
              <w:t>estudian</w:t>
            </w:r>
          </w:p>
        </w:tc>
        <w:tc>
          <w:tcPr>
            <w:tcW w:w="1167" w:type="dxa"/>
            <w:tcBorders>
              <w:left w:val="nil"/>
              <w:right w:val="nil"/>
            </w:tcBorders>
          </w:tcPr>
          <w:p>
            <w:pPr>
              <w:pStyle w:val="TableParagraph"/>
              <w:spacing w:line="249" w:lineRule="auto" w:before="5"/>
              <w:ind w:left="117" w:right="147" w:firstLine="533"/>
              <w:jc w:val="both"/>
              <w:rPr>
                <w:sz w:val="19"/>
              </w:rPr>
            </w:pPr>
            <w:r>
              <w:rPr>
                <w:w w:val="105"/>
                <w:sz w:val="19"/>
              </w:rPr>
              <w:t>Sólo quehaceres domésticos</w:t>
            </w:r>
          </w:p>
        </w:tc>
        <w:tc>
          <w:tcPr>
            <w:tcW w:w="755" w:type="dxa"/>
            <w:tcBorders>
              <w:left w:val="nil"/>
              <w:right w:val="nil"/>
            </w:tcBorders>
          </w:tcPr>
          <w:p>
            <w:pPr>
              <w:pStyle w:val="TableParagraph"/>
              <w:jc w:val="left"/>
              <w:rPr>
                <w:sz w:val="20"/>
              </w:rPr>
            </w:pPr>
          </w:p>
          <w:p>
            <w:pPr>
              <w:pStyle w:val="TableParagraph"/>
              <w:spacing w:before="1"/>
              <w:jc w:val="left"/>
              <w:rPr>
                <w:sz w:val="20"/>
              </w:rPr>
            </w:pPr>
          </w:p>
          <w:p>
            <w:pPr>
              <w:pStyle w:val="TableParagraph"/>
              <w:ind w:right="54"/>
              <w:rPr>
                <w:sz w:val="19"/>
              </w:rPr>
            </w:pPr>
            <w:r>
              <w:rPr>
                <w:sz w:val="19"/>
              </w:rPr>
              <w:t>Total</w:t>
            </w:r>
          </w:p>
        </w:tc>
      </w:tr>
      <w:tr>
        <w:trPr>
          <w:trHeight w:val="278" w:hRule="exact"/>
        </w:trPr>
        <w:tc>
          <w:tcPr>
            <w:tcW w:w="743" w:type="dxa"/>
            <w:tcBorders>
              <w:left w:val="nil"/>
              <w:bottom w:val="nil"/>
              <w:right w:val="nil"/>
            </w:tcBorders>
          </w:tcPr>
          <w:p>
            <w:pPr>
              <w:pStyle w:val="TableParagraph"/>
              <w:spacing w:before="5"/>
              <w:ind w:left="62"/>
              <w:jc w:val="left"/>
              <w:rPr>
                <w:sz w:val="19"/>
              </w:rPr>
            </w:pPr>
            <w:r>
              <w:rPr>
                <w:w w:val="103"/>
                <w:sz w:val="19"/>
              </w:rPr>
              <w:t>5</w:t>
            </w:r>
          </w:p>
        </w:tc>
        <w:tc>
          <w:tcPr>
            <w:tcW w:w="1107" w:type="dxa"/>
            <w:tcBorders>
              <w:left w:val="nil"/>
              <w:bottom w:val="nil"/>
              <w:right w:val="nil"/>
            </w:tcBorders>
          </w:tcPr>
          <w:p>
            <w:pPr>
              <w:pStyle w:val="TableParagraph"/>
              <w:spacing w:before="5"/>
              <w:ind w:right="91"/>
              <w:rPr>
                <w:sz w:val="19"/>
              </w:rPr>
            </w:pPr>
            <w:r>
              <w:rPr>
                <w:sz w:val="19"/>
              </w:rPr>
              <w:t>0.26</w:t>
            </w:r>
          </w:p>
        </w:tc>
        <w:tc>
          <w:tcPr>
            <w:tcW w:w="872" w:type="dxa"/>
            <w:tcBorders>
              <w:left w:val="nil"/>
              <w:bottom w:val="nil"/>
              <w:right w:val="nil"/>
            </w:tcBorders>
          </w:tcPr>
          <w:p>
            <w:pPr>
              <w:pStyle w:val="TableParagraph"/>
              <w:spacing w:before="5"/>
              <w:ind w:right="110"/>
              <w:rPr>
                <w:sz w:val="19"/>
              </w:rPr>
            </w:pPr>
            <w:r>
              <w:rPr>
                <w:sz w:val="19"/>
              </w:rPr>
              <w:t>68.84</w:t>
            </w:r>
          </w:p>
        </w:tc>
        <w:tc>
          <w:tcPr>
            <w:tcW w:w="1280" w:type="dxa"/>
            <w:tcBorders>
              <w:left w:val="nil"/>
              <w:bottom w:val="nil"/>
              <w:right w:val="nil"/>
            </w:tcBorders>
          </w:tcPr>
          <w:p>
            <w:pPr>
              <w:pStyle w:val="TableParagraph"/>
              <w:spacing w:before="5"/>
              <w:ind w:right="115"/>
              <w:rPr>
                <w:sz w:val="19"/>
              </w:rPr>
            </w:pPr>
            <w:r>
              <w:rPr>
                <w:sz w:val="19"/>
              </w:rPr>
              <w:t>27.68</w:t>
            </w:r>
          </w:p>
        </w:tc>
        <w:tc>
          <w:tcPr>
            <w:tcW w:w="1167" w:type="dxa"/>
            <w:tcBorders>
              <w:left w:val="nil"/>
              <w:bottom w:val="nil"/>
              <w:right w:val="nil"/>
            </w:tcBorders>
          </w:tcPr>
          <w:p>
            <w:pPr>
              <w:pStyle w:val="TableParagraph"/>
              <w:spacing w:before="5"/>
              <w:ind w:right="147"/>
              <w:rPr>
                <w:sz w:val="19"/>
              </w:rPr>
            </w:pPr>
            <w:r>
              <w:rPr>
                <w:sz w:val="19"/>
              </w:rPr>
              <w:t>3.22</w:t>
            </w:r>
          </w:p>
        </w:tc>
        <w:tc>
          <w:tcPr>
            <w:tcW w:w="755" w:type="dxa"/>
            <w:tcBorders>
              <w:left w:val="nil"/>
              <w:bottom w:val="nil"/>
              <w:right w:val="nil"/>
            </w:tcBorders>
          </w:tcPr>
          <w:p>
            <w:pPr>
              <w:pStyle w:val="TableParagraph"/>
              <w:spacing w:before="5"/>
              <w:ind w:right="55"/>
              <w:rPr>
                <w:sz w:val="19"/>
              </w:rPr>
            </w:pPr>
            <w:r>
              <w:rPr>
                <w:sz w:val="19"/>
              </w:rPr>
              <w:t>100.00</w:t>
            </w:r>
          </w:p>
        </w:tc>
      </w:tr>
      <w:tr>
        <w:trPr>
          <w:trHeight w:val="300" w:hRule="exact"/>
        </w:trPr>
        <w:tc>
          <w:tcPr>
            <w:tcW w:w="743" w:type="dxa"/>
            <w:tcBorders>
              <w:top w:val="nil"/>
              <w:left w:val="nil"/>
              <w:bottom w:val="nil"/>
              <w:right w:val="nil"/>
            </w:tcBorders>
          </w:tcPr>
          <w:p>
            <w:pPr>
              <w:pStyle w:val="TableParagraph"/>
              <w:spacing w:before="33"/>
              <w:ind w:left="62"/>
              <w:jc w:val="left"/>
              <w:rPr>
                <w:sz w:val="19"/>
              </w:rPr>
            </w:pPr>
            <w:r>
              <w:rPr>
                <w:w w:val="105"/>
                <w:sz w:val="19"/>
              </w:rPr>
              <w:t>6-7</w:t>
            </w:r>
          </w:p>
        </w:tc>
        <w:tc>
          <w:tcPr>
            <w:tcW w:w="1107" w:type="dxa"/>
            <w:tcBorders>
              <w:top w:val="nil"/>
              <w:left w:val="nil"/>
              <w:bottom w:val="nil"/>
              <w:right w:val="nil"/>
            </w:tcBorders>
          </w:tcPr>
          <w:p>
            <w:pPr>
              <w:pStyle w:val="TableParagraph"/>
              <w:spacing w:before="33"/>
              <w:ind w:right="91"/>
              <w:rPr>
                <w:sz w:val="19"/>
              </w:rPr>
            </w:pPr>
            <w:r>
              <w:rPr>
                <w:sz w:val="19"/>
              </w:rPr>
              <w:t>0.79</w:t>
            </w:r>
          </w:p>
        </w:tc>
        <w:tc>
          <w:tcPr>
            <w:tcW w:w="872" w:type="dxa"/>
            <w:tcBorders>
              <w:top w:val="nil"/>
              <w:left w:val="nil"/>
              <w:bottom w:val="nil"/>
              <w:right w:val="nil"/>
            </w:tcBorders>
          </w:tcPr>
          <w:p>
            <w:pPr>
              <w:pStyle w:val="TableParagraph"/>
              <w:spacing w:before="33"/>
              <w:ind w:right="110"/>
              <w:rPr>
                <w:sz w:val="19"/>
              </w:rPr>
            </w:pPr>
            <w:r>
              <w:rPr>
                <w:sz w:val="19"/>
              </w:rPr>
              <w:t>52.54</w:t>
            </w:r>
          </w:p>
        </w:tc>
        <w:tc>
          <w:tcPr>
            <w:tcW w:w="1280" w:type="dxa"/>
            <w:tcBorders>
              <w:top w:val="nil"/>
              <w:left w:val="nil"/>
              <w:bottom w:val="nil"/>
              <w:right w:val="nil"/>
            </w:tcBorders>
          </w:tcPr>
          <w:p>
            <w:pPr>
              <w:pStyle w:val="TableParagraph"/>
              <w:spacing w:before="33"/>
              <w:ind w:right="115"/>
              <w:rPr>
                <w:sz w:val="19"/>
              </w:rPr>
            </w:pPr>
            <w:r>
              <w:rPr>
                <w:sz w:val="19"/>
              </w:rPr>
              <w:t>45.62</w:t>
            </w:r>
          </w:p>
        </w:tc>
        <w:tc>
          <w:tcPr>
            <w:tcW w:w="1167" w:type="dxa"/>
            <w:tcBorders>
              <w:top w:val="nil"/>
              <w:left w:val="nil"/>
              <w:bottom w:val="nil"/>
              <w:right w:val="nil"/>
            </w:tcBorders>
          </w:tcPr>
          <w:p>
            <w:pPr>
              <w:pStyle w:val="TableParagraph"/>
              <w:spacing w:before="33"/>
              <w:ind w:right="147"/>
              <w:rPr>
                <w:sz w:val="19"/>
              </w:rPr>
            </w:pPr>
            <w:r>
              <w:rPr>
                <w:sz w:val="19"/>
              </w:rPr>
              <w:t>1.04</w:t>
            </w:r>
          </w:p>
        </w:tc>
        <w:tc>
          <w:tcPr>
            <w:tcW w:w="755" w:type="dxa"/>
            <w:tcBorders>
              <w:top w:val="nil"/>
              <w:left w:val="nil"/>
              <w:bottom w:val="nil"/>
              <w:right w:val="nil"/>
            </w:tcBorders>
          </w:tcPr>
          <w:p>
            <w:pPr>
              <w:pStyle w:val="TableParagraph"/>
              <w:spacing w:before="33"/>
              <w:ind w:right="55"/>
              <w:rPr>
                <w:sz w:val="19"/>
              </w:rPr>
            </w:pPr>
            <w:r>
              <w:rPr>
                <w:sz w:val="19"/>
              </w:rPr>
              <w:t>100.00</w:t>
            </w:r>
          </w:p>
        </w:tc>
      </w:tr>
      <w:tr>
        <w:trPr>
          <w:trHeight w:val="300" w:hRule="exact"/>
        </w:trPr>
        <w:tc>
          <w:tcPr>
            <w:tcW w:w="743" w:type="dxa"/>
            <w:tcBorders>
              <w:top w:val="nil"/>
              <w:left w:val="nil"/>
              <w:bottom w:val="nil"/>
              <w:right w:val="nil"/>
            </w:tcBorders>
          </w:tcPr>
          <w:p>
            <w:pPr>
              <w:pStyle w:val="TableParagraph"/>
              <w:spacing w:before="31"/>
              <w:ind w:left="62"/>
              <w:jc w:val="left"/>
              <w:rPr>
                <w:sz w:val="19"/>
              </w:rPr>
            </w:pPr>
            <w:r>
              <w:rPr>
                <w:w w:val="105"/>
                <w:sz w:val="19"/>
              </w:rPr>
              <w:t>8-9</w:t>
            </w:r>
          </w:p>
        </w:tc>
        <w:tc>
          <w:tcPr>
            <w:tcW w:w="1107" w:type="dxa"/>
            <w:tcBorders>
              <w:top w:val="nil"/>
              <w:left w:val="nil"/>
              <w:bottom w:val="nil"/>
              <w:right w:val="nil"/>
            </w:tcBorders>
          </w:tcPr>
          <w:p>
            <w:pPr>
              <w:pStyle w:val="TableParagraph"/>
              <w:spacing w:before="31"/>
              <w:ind w:right="91"/>
              <w:rPr>
                <w:sz w:val="19"/>
              </w:rPr>
            </w:pPr>
            <w:r>
              <w:rPr>
                <w:sz w:val="19"/>
              </w:rPr>
              <w:t>2.53</w:t>
            </w:r>
          </w:p>
        </w:tc>
        <w:tc>
          <w:tcPr>
            <w:tcW w:w="872" w:type="dxa"/>
            <w:tcBorders>
              <w:top w:val="nil"/>
              <w:left w:val="nil"/>
              <w:bottom w:val="nil"/>
              <w:right w:val="nil"/>
            </w:tcBorders>
          </w:tcPr>
          <w:p>
            <w:pPr>
              <w:pStyle w:val="TableParagraph"/>
              <w:spacing w:before="31"/>
              <w:ind w:right="110"/>
              <w:rPr>
                <w:sz w:val="19"/>
              </w:rPr>
            </w:pPr>
            <w:r>
              <w:rPr>
                <w:sz w:val="19"/>
              </w:rPr>
              <w:t>38.13</w:t>
            </w:r>
          </w:p>
        </w:tc>
        <w:tc>
          <w:tcPr>
            <w:tcW w:w="1280" w:type="dxa"/>
            <w:tcBorders>
              <w:top w:val="nil"/>
              <w:left w:val="nil"/>
              <w:bottom w:val="nil"/>
              <w:right w:val="nil"/>
            </w:tcBorders>
          </w:tcPr>
          <w:p>
            <w:pPr>
              <w:pStyle w:val="TableParagraph"/>
              <w:spacing w:before="31"/>
              <w:ind w:right="115"/>
              <w:rPr>
                <w:sz w:val="19"/>
              </w:rPr>
            </w:pPr>
            <w:r>
              <w:rPr>
                <w:sz w:val="19"/>
              </w:rPr>
              <w:t>58.55</w:t>
            </w:r>
          </w:p>
        </w:tc>
        <w:tc>
          <w:tcPr>
            <w:tcW w:w="1167" w:type="dxa"/>
            <w:tcBorders>
              <w:top w:val="nil"/>
              <w:left w:val="nil"/>
              <w:bottom w:val="nil"/>
              <w:right w:val="nil"/>
            </w:tcBorders>
          </w:tcPr>
          <w:p>
            <w:pPr>
              <w:pStyle w:val="TableParagraph"/>
              <w:spacing w:before="31"/>
              <w:ind w:right="147"/>
              <w:rPr>
                <w:sz w:val="19"/>
              </w:rPr>
            </w:pPr>
            <w:r>
              <w:rPr>
                <w:sz w:val="19"/>
              </w:rPr>
              <w:t>0.79</w:t>
            </w:r>
          </w:p>
        </w:tc>
        <w:tc>
          <w:tcPr>
            <w:tcW w:w="755" w:type="dxa"/>
            <w:tcBorders>
              <w:top w:val="nil"/>
              <w:left w:val="nil"/>
              <w:bottom w:val="nil"/>
              <w:right w:val="nil"/>
            </w:tcBorders>
          </w:tcPr>
          <w:p>
            <w:pPr>
              <w:pStyle w:val="TableParagraph"/>
              <w:spacing w:before="31"/>
              <w:ind w:right="55"/>
              <w:rPr>
                <w:sz w:val="19"/>
              </w:rPr>
            </w:pPr>
            <w:r>
              <w:rPr>
                <w:sz w:val="19"/>
              </w:rPr>
              <w:t>100.00</w:t>
            </w:r>
          </w:p>
        </w:tc>
      </w:tr>
      <w:tr>
        <w:trPr>
          <w:trHeight w:val="300" w:hRule="exact"/>
        </w:trPr>
        <w:tc>
          <w:tcPr>
            <w:tcW w:w="743" w:type="dxa"/>
            <w:tcBorders>
              <w:top w:val="nil"/>
              <w:left w:val="nil"/>
              <w:bottom w:val="nil"/>
              <w:right w:val="nil"/>
            </w:tcBorders>
          </w:tcPr>
          <w:p>
            <w:pPr>
              <w:pStyle w:val="TableParagraph"/>
              <w:spacing w:before="33"/>
              <w:ind w:left="62"/>
              <w:jc w:val="left"/>
              <w:rPr>
                <w:sz w:val="19"/>
              </w:rPr>
            </w:pPr>
            <w:r>
              <w:rPr>
                <w:w w:val="105"/>
                <w:sz w:val="19"/>
              </w:rPr>
              <w:t>10-11</w:t>
            </w:r>
          </w:p>
        </w:tc>
        <w:tc>
          <w:tcPr>
            <w:tcW w:w="1107" w:type="dxa"/>
            <w:tcBorders>
              <w:top w:val="nil"/>
              <w:left w:val="nil"/>
              <w:bottom w:val="nil"/>
              <w:right w:val="nil"/>
            </w:tcBorders>
          </w:tcPr>
          <w:p>
            <w:pPr>
              <w:pStyle w:val="TableParagraph"/>
              <w:spacing w:before="33"/>
              <w:ind w:right="91"/>
              <w:rPr>
                <w:sz w:val="19"/>
              </w:rPr>
            </w:pPr>
            <w:r>
              <w:rPr>
                <w:sz w:val="19"/>
              </w:rPr>
              <w:t>4.95</w:t>
            </w:r>
          </w:p>
        </w:tc>
        <w:tc>
          <w:tcPr>
            <w:tcW w:w="872" w:type="dxa"/>
            <w:tcBorders>
              <w:top w:val="nil"/>
              <w:left w:val="nil"/>
              <w:bottom w:val="nil"/>
              <w:right w:val="nil"/>
            </w:tcBorders>
          </w:tcPr>
          <w:p>
            <w:pPr>
              <w:pStyle w:val="TableParagraph"/>
              <w:spacing w:before="33"/>
              <w:ind w:right="110"/>
              <w:rPr>
                <w:sz w:val="19"/>
              </w:rPr>
            </w:pPr>
            <w:r>
              <w:rPr>
                <w:sz w:val="19"/>
              </w:rPr>
              <w:t>27.59</w:t>
            </w:r>
          </w:p>
        </w:tc>
        <w:tc>
          <w:tcPr>
            <w:tcW w:w="1280" w:type="dxa"/>
            <w:tcBorders>
              <w:top w:val="nil"/>
              <w:left w:val="nil"/>
              <w:bottom w:val="nil"/>
              <w:right w:val="nil"/>
            </w:tcBorders>
          </w:tcPr>
          <w:p>
            <w:pPr>
              <w:pStyle w:val="TableParagraph"/>
              <w:spacing w:before="33"/>
              <w:ind w:right="115"/>
              <w:rPr>
                <w:sz w:val="19"/>
              </w:rPr>
            </w:pPr>
            <w:r>
              <w:rPr>
                <w:sz w:val="19"/>
              </w:rPr>
              <w:t>66.70</w:t>
            </w:r>
          </w:p>
        </w:tc>
        <w:tc>
          <w:tcPr>
            <w:tcW w:w="1167" w:type="dxa"/>
            <w:tcBorders>
              <w:top w:val="nil"/>
              <w:left w:val="nil"/>
              <w:bottom w:val="nil"/>
              <w:right w:val="nil"/>
            </w:tcBorders>
          </w:tcPr>
          <w:p>
            <w:pPr>
              <w:pStyle w:val="TableParagraph"/>
              <w:spacing w:before="33"/>
              <w:ind w:right="147"/>
              <w:rPr>
                <w:sz w:val="19"/>
              </w:rPr>
            </w:pPr>
            <w:r>
              <w:rPr>
                <w:sz w:val="19"/>
              </w:rPr>
              <w:t>0.75</w:t>
            </w:r>
          </w:p>
        </w:tc>
        <w:tc>
          <w:tcPr>
            <w:tcW w:w="755" w:type="dxa"/>
            <w:tcBorders>
              <w:top w:val="nil"/>
              <w:left w:val="nil"/>
              <w:bottom w:val="nil"/>
              <w:right w:val="nil"/>
            </w:tcBorders>
          </w:tcPr>
          <w:p>
            <w:pPr>
              <w:pStyle w:val="TableParagraph"/>
              <w:spacing w:before="33"/>
              <w:ind w:right="55"/>
              <w:rPr>
                <w:sz w:val="19"/>
              </w:rPr>
            </w:pPr>
            <w:r>
              <w:rPr>
                <w:sz w:val="19"/>
              </w:rPr>
              <w:t>100.00</w:t>
            </w:r>
          </w:p>
        </w:tc>
      </w:tr>
      <w:tr>
        <w:trPr>
          <w:trHeight w:val="334" w:hRule="exact"/>
        </w:trPr>
        <w:tc>
          <w:tcPr>
            <w:tcW w:w="743" w:type="dxa"/>
            <w:tcBorders>
              <w:top w:val="nil"/>
              <w:left w:val="nil"/>
              <w:right w:val="nil"/>
            </w:tcBorders>
          </w:tcPr>
          <w:p>
            <w:pPr>
              <w:pStyle w:val="TableParagraph"/>
              <w:spacing w:before="31"/>
              <w:ind w:left="62"/>
              <w:jc w:val="left"/>
              <w:rPr>
                <w:sz w:val="19"/>
              </w:rPr>
            </w:pPr>
            <w:r>
              <w:rPr>
                <w:w w:val="105"/>
                <w:sz w:val="19"/>
              </w:rPr>
              <w:t>5-11</w:t>
            </w:r>
          </w:p>
        </w:tc>
        <w:tc>
          <w:tcPr>
            <w:tcW w:w="1107" w:type="dxa"/>
            <w:tcBorders>
              <w:top w:val="nil"/>
              <w:left w:val="nil"/>
              <w:right w:val="nil"/>
            </w:tcBorders>
          </w:tcPr>
          <w:p>
            <w:pPr>
              <w:pStyle w:val="TableParagraph"/>
              <w:spacing w:before="31"/>
              <w:ind w:right="91"/>
              <w:rPr>
                <w:sz w:val="19"/>
              </w:rPr>
            </w:pPr>
            <w:r>
              <w:rPr>
                <w:sz w:val="19"/>
              </w:rPr>
              <w:t>2.44</w:t>
            </w:r>
          </w:p>
        </w:tc>
        <w:tc>
          <w:tcPr>
            <w:tcW w:w="872" w:type="dxa"/>
            <w:tcBorders>
              <w:top w:val="nil"/>
              <w:left w:val="nil"/>
              <w:right w:val="nil"/>
            </w:tcBorders>
          </w:tcPr>
          <w:p>
            <w:pPr>
              <w:pStyle w:val="TableParagraph"/>
              <w:spacing w:before="31"/>
              <w:ind w:right="110"/>
              <w:rPr>
                <w:sz w:val="19"/>
              </w:rPr>
            </w:pPr>
            <w:r>
              <w:rPr>
                <w:sz w:val="19"/>
              </w:rPr>
              <w:t>43.33</w:t>
            </w:r>
          </w:p>
        </w:tc>
        <w:tc>
          <w:tcPr>
            <w:tcW w:w="1280" w:type="dxa"/>
            <w:tcBorders>
              <w:top w:val="nil"/>
              <w:left w:val="nil"/>
              <w:right w:val="nil"/>
            </w:tcBorders>
          </w:tcPr>
          <w:p>
            <w:pPr>
              <w:pStyle w:val="TableParagraph"/>
              <w:spacing w:before="31"/>
              <w:ind w:right="115"/>
              <w:rPr>
                <w:sz w:val="19"/>
              </w:rPr>
            </w:pPr>
            <w:r>
              <w:rPr>
                <w:sz w:val="19"/>
              </w:rPr>
              <w:t>53.04</w:t>
            </w:r>
          </w:p>
        </w:tc>
        <w:tc>
          <w:tcPr>
            <w:tcW w:w="1167" w:type="dxa"/>
            <w:tcBorders>
              <w:top w:val="nil"/>
              <w:left w:val="nil"/>
              <w:right w:val="nil"/>
            </w:tcBorders>
          </w:tcPr>
          <w:p>
            <w:pPr>
              <w:pStyle w:val="TableParagraph"/>
              <w:spacing w:before="31"/>
              <w:ind w:right="147"/>
              <w:rPr>
                <w:sz w:val="19"/>
              </w:rPr>
            </w:pPr>
            <w:r>
              <w:rPr>
                <w:sz w:val="19"/>
              </w:rPr>
              <w:t>1.19</w:t>
            </w:r>
          </w:p>
        </w:tc>
        <w:tc>
          <w:tcPr>
            <w:tcW w:w="755" w:type="dxa"/>
            <w:tcBorders>
              <w:top w:val="nil"/>
              <w:left w:val="nil"/>
              <w:right w:val="nil"/>
            </w:tcBorders>
          </w:tcPr>
          <w:p>
            <w:pPr>
              <w:pStyle w:val="TableParagraph"/>
              <w:spacing w:before="31"/>
              <w:ind w:right="55"/>
              <w:rPr>
                <w:sz w:val="19"/>
              </w:rPr>
            </w:pPr>
            <w:r>
              <w:rPr>
                <w:sz w:val="19"/>
              </w:rPr>
              <w:t>100.00</w:t>
            </w:r>
          </w:p>
        </w:tc>
      </w:tr>
    </w:tbl>
    <w:p>
      <w:pPr>
        <w:spacing w:line="237" w:lineRule="auto" w:before="0"/>
        <w:ind w:left="263" w:right="1270" w:hanging="1"/>
        <w:jc w:val="left"/>
        <w:rPr>
          <w:sz w:val="16"/>
        </w:rPr>
      </w:pPr>
      <w:r>
        <w:rPr>
          <w:sz w:val="16"/>
        </w:rPr>
        <w:t>Fuente: elaboración propia con base en Encuesta Nacional de Ocupación y Empleo 2013, Módulo de  Trabajo Infantil, INEGI, 2013.</w:t>
      </w:r>
    </w:p>
    <w:p>
      <w:pPr>
        <w:spacing w:after="0" w:line="237" w:lineRule="auto"/>
        <w:jc w:val="left"/>
        <w:rPr>
          <w:sz w:val="16"/>
        </w:rPr>
        <w:sectPr>
          <w:type w:val="continuous"/>
          <w:pgSz w:w="7770" w:h="11740"/>
          <w:pgMar w:top="0" w:bottom="0" w:left="900" w:right="0"/>
        </w:sectPr>
      </w:pPr>
    </w:p>
    <w:p>
      <w:pPr>
        <w:pStyle w:val="BodyText"/>
        <w:spacing w:line="249" w:lineRule="auto" w:before="60"/>
        <w:ind w:left="110" w:right="111" w:firstLine="283"/>
        <w:jc w:val="both"/>
      </w:pPr>
      <w:r>
        <w:rPr>
          <w:color w:val="231F20"/>
        </w:rPr>
        <w:t>El argumento anterior es corroborado por los siguientes números: la mayor</w:t>
      </w:r>
      <w:r>
        <w:rPr>
          <w:color w:val="231F20"/>
          <w:spacing w:val="-9"/>
        </w:rPr>
        <w:t> </w:t>
      </w:r>
      <w:r>
        <w:rPr>
          <w:color w:val="231F20"/>
        </w:rPr>
        <w:t>tasa</w:t>
      </w:r>
      <w:r>
        <w:rPr>
          <w:color w:val="231F20"/>
          <w:spacing w:val="-9"/>
        </w:rPr>
        <w:t> </w:t>
      </w:r>
      <w:r>
        <w:rPr>
          <w:color w:val="231F20"/>
        </w:rPr>
        <w:t>de</w:t>
      </w:r>
      <w:r>
        <w:rPr>
          <w:color w:val="231F20"/>
          <w:spacing w:val="-9"/>
        </w:rPr>
        <w:t> </w:t>
      </w:r>
      <w:r>
        <w:rPr>
          <w:color w:val="231F20"/>
        </w:rPr>
        <w:t>participación</w:t>
      </w:r>
      <w:r>
        <w:rPr>
          <w:color w:val="231F20"/>
          <w:spacing w:val="-9"/>
        </w:rPr>
        <w:t> </w:t>
      </w:r>
      <w:r>
        <w:rPr>
          <w:color w:val="231F20"/>
        </w:rPr>
        <w:t>laboral</w:t>
      </w:r>
      <w:r>
        <w:rPr>
          <w:color w:val="231F20"/>
          <w:spacing w:val="-9"/>
        </w:rPr>
        <w:t> </w:t>
      </w:r>
      <w:r>
        <w:rPr>
          <w:color w:val="231F20"/>
        </w:rPr>
        <w:t>corresponde</w:t>
      </w:r>
      <w:r>
        <w:rPr>
          <w:color w:val="231F20"/>
          <w:spacing w:val="-10"/>
        </w:rPr>
        <w:t> </w:t>
      </w:r>
      <w:r>
        <w:rPr>
          <w:color w:val="231F20"/>
        </w:rPr>
        <w:t>al</w:t>
      </w:r>
      <w:r>
        <w:rPr>
          <w:color w:val="231F20"/>
          <w:spacing w:val="-9"/>
        </w:rPr>
        <w:t> </w:t>
      </w:r>
      <w:r>
        <w:rPr>
          <w:color w:val="231F20"/>
        </w:rPr>
        <w:t>grupo</w:t>
      </w:r>
      <w:r>
        <w:rPr>
          <w:color w:val="231F20"/>
          <w:spacing w:val="-9"/>
        </w:rPr>
        <w:t> </w:t>
      </w:r>
      <w:r>
        <w:rPr>
          <w:color w:val="231F20"/>
        </w:rPr>
        <w:t>de</w:t>
      </w:r>
      <w:r>
        <w:rPr>
          <w:color w:val="231F20"/>
          <w:spacing w:val="-9"/>
        </w:rPr>
        <w:t> </w:t>
      </w:r>
      <w:r>
        <w:rPr>
          <w:color w:val="231F20"/>
        </w:rPr>
        <w:t>10</w:t>
      </w:r>
      <w:r>
        <w:rPr>
          <w:color w:val="231F20"/>
          <w:spacing w:val="-9"/>
        </w:rPr>
        <w:t> </w:t>
      </w:r>
      <w:r>
        <w:rPr>
          <w:color w:val="231F20"/>
        </w:rPr>
        <w:t>a</w:t>
      </w:r>
      <w:r>
        <w:rPr>
          <w:color w:val="231F20"/>
          <w:spacing w:val="-9"/>
        </w:rPr>
        <w:t> </w:t>
      </w:r>
      <w:r>
        <w:rPr>
          <w:color w:val="231F20"/>
          <w:spacing w:val="-4"/>
        </w:rPr>
        <w:t>11</w:t>
      </w:r>
      <w:r>
        <w:rPr>
          <w:color w:val="231F20"/>
          <w:spacing w:val="-9"/>
        </w:rPr>
        <w:t> </w:t>
      </w:r>
      <w:r>
        <w:rPr>
          <w:color w:val="231F20"/>
        </w:rPr>
        <w:t>años, la cual asciende a 4.95 por ciento, la menor tasa corresponde al grupo</w:t>
      </w:r>
      <w:r>
        <w:rPr>
          <w:color w:val="231F20"/>
          <w:spacing w:val="-29"/>
        </w:rPr>
        <w:t> </w:t>
      </w:r>
      <w:r>
        <w:rPr>
          <w:color w:val="231F20"/>
        </w:rPr>
        <w:t>de cinco años con 0.26 por</w:t>
      </w:r>
      <w:r>
        <w:rPr>
          <w:color w:val="231F20"/>
          <w:spacing w:val="-3"/>
        </w:rPr>
        <w:t> </w:t>
      </w:r>
      <w:r>
        <w:rPr>
          <w:color w:val="231F20"/>
        </w:rPr>
        <w:t>ciento.</w:t>
      </w:r>
    </w:p>
    <w:p>
      <w:pPr>
        <w:pStyle w:val="BodyText"/>
        <w:spacing w:line="249" w:lineRule="auto" w:before="1"/>
        <w:ind w:left="110" w:right="111" w:firstLine="283"/>
        <w:jc w:val="both"/>
      </w:pPr>
      <w:r>
        <w:rPr>
          <w:color w:val="231F20"/>
        </w:rPr>
        <w:t>Los datos señalan que el porcentaje de menores que sólo estudian se concentra en el grupo de cinco años (68.84 por ciento) y el menor por- centaje de menores que sólo estudian se concentra en el grupo de 10-11 años, el cual es de 27.5 por ciento (Cuadro 2).</w:t>
      </w:r>
    </w:p>
    <w:p>
      <w:pPr>
        <w:pStyle w:val="BodyText"/>
        <w:spacing w:line="249" w:lineRule="auto" w:before="1"/>
        <w:ind w:left="110" w:right="111" w:firstLine="283"/>
        <w:jc w:val="both"/>
      </w:pPr>
      <w:r>
        <w:rPr>
          <w:color w:val="231F20"/>
        </w:rPr>
        <w:t>Para la categoría de “quehaceres domésticos y estudio”, las cifras señalan que el mayor porcentaje se concentra en la edad de 10 a </w:t>
      </w:r>
      <w:r>
        <w:rPr>
          <w:color w:val="231F20"/>
          <w:spacing w:val="-4"/>
        </w:rPr>
        <w:t>11 </w:t>
      </w:r>
      <w:r>
        <w:rPr>
          <w:color w:val="231F20"/>
        </w:rPr>
        <w:t>años con 66.7 por ciento, y el menor porcentaje en el grupo de niños de cinco años de edad con 27.68 por ciento. La condición de “sólo quehaceres domésticos” señala que el mayor porcentaje corresponde a los menores de cinco años con un porcentaje total de 3.22 por ciento seguido de los menores</w:t>
      </w:r>
      <w:r>
        <w:rPr>
          <w:color w:val="231F20"/>
          <w:spacing w:val="-10"/>
        </w:rPr>
        <w:t> </w:t>
      </w:r>
      <w:r>
        <w:rPr>
          <w:color w:val="231F20"/>
        </w:rPr>
        <w:t>de</w:t>
      </w:r>
      <w:r>
        <w:rPr>
          <w:color w:val="231F20"/>
          <w:spacing w:val="-10"/>
        </w:rPr>
        <w:t> </w:t>
      </w:r>
      <w:r>
        <w:rPr>
          <w:color w:val="231F20"/>
        </w:rPr>
        <w:t>seis</w:t>
      </w:r>
      <w:r>
        <w:rPr>
          <w:color w:val="231F20"/>
          <w:spacing w:val="-10"/>
        </w:rPr>
        <w:t> </w:t>
      </w:r>
      <w:r>
        <w:rPr>
          <w:color w:val="231F20"/>
        </w:rPr>
        <w:t>a</w:t>
      </w:r>
      <w:r>
        <w:rPr>
          <w:color w:val="231F20"/>
          <w:spacing w:val="-10"/>
        </w:rPr>
        <w:t> </w:t>
      </w:r>
      <w:r>
        <w:rPr>
          <w:color w:val="231F20"/>
        </w:rPr>
        <w:t>siete</w:t>
      </w:r>
      <w:r>
        <w:rPr>
          <w:color w:val="231F20"/>
          <w:spacing w:val="-10"/>
        </w:rPr>
        <w:t> </w:t>
      </w:r>
      <w:r>
        <w:rPr>
          <w:color w:val="231F20"/>
        </w:rPr>
        <w:t>años</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total</w:t>
      </w:r>
      <w:r>
        <w:rPr>
          <w:color w:val="231F20"/>
          <w:spacing w:val="-10"/>
        </w:rPr>
        <w:t> </w:t>
      </w:r>
      <w:r>
        <w:rPr>
          <w:color w:val="231F20"/>
        </w:rPr>
        <w:t>de</w:t>
      </w:r>
      <w:r>
        <w:rPr>
          <w:color w:val="231F20"/>
          <w:spacing w:val="-10"/>
        </w:rPr>
        <w:t> </w:t>
      </w:r>
      <w:r>
        <w:rPr>
          <w:color w:val="231F20"/>
        </w:rPr>
        <w:t>1.19</w:t>
      </w:r>
      <w:r>
        <w:rPr>
          <w:color w:val="231F20"/>
          <w:spacing w:val="-10"/>
        </w:rPr>
        <w:t> </w:t>
      </w:r>
      <w:r>
        <w:rPr>
          <w:color w:val="231F20"/>
        </w:rPr>
        <w:t>por</w:t>
      </w:r>
      <w:r>
        <w:rPr>
          <w:color w:val="231F20"/>
          <w:spacing w:val="-10"/>
        </w:rPr>
        <w:t> </w:t>
      </w:r>
      <w:r>
        <w:rPr>
          <w:color w:val="231F20"/>
        </w:rPr>
        <w:t>ciento,</w:t>
      </w:r>
      <w:r>
        <w:rPr>
          <w:color w:val="231F20"/>
          <w:spacing w:val="-10"/>
        </w:rPr>
        <w:t> </w:t>
      </w:r>
      <w:r>
        <w:rPr>
          <w:color w:val="231F20"/>
        </w:rPr>
        <w:t>el</w:t>
      </w:r>
      <w:r>
        <w:rPr>
          <w:color w:val="231F20"/>
          <w:spacing w:val="-10"/>
        </w:rPr>
        <w:t> </w:t>
      </w:r>
      <w:r>
        <w:rPr>
          <w:color w:val="231F20"/>
        </w:rPr>
        <w:t>menor</w:t>
      </w:r>
      <w:r>
        <w:rPr>
          <w:color w:val="231F20"/>
          <w:spacing w:val="-10"/>
        </w:rPr>
        <w:t> </w:t>
      </w:r>
      <w:r>
        <w:rPr>
          <w:color w:val="231F20"/>
        </w:rPr>
        <w:t>por- centaje</w:t>
      </w:r>
      <w:r>
        <w:rPr>
          <w:color w:val="231F20"/>
          <w:spacing w:val="-11"/>
        </w:rPr>
        <w:t> </w:t>
      </w:r>
      <w:r>
        <w:rPr>
          <w:color w:val="231F20"/>
        </w:rPr>
        <w:t>de</w:t>
      </w:r>
      <w:r>
        <w:rPr>
          <w:color w:val="231F20"/>
          <w:spacing w:val="-10"/>
        </w:rPr>
        <w:t> </w:t>
      </w:r>
      <w:r>
        <w:rPr>
          <w:color w:val="231F20"/>
        </w:rPr>
        <w:t>menores</w:t>
      </w:r>
      <w:r>
        <w:rPr>
          <w:color w:val="231F20"/>
          <w:spacing w:val="-11"/>
        </w:rPr>
        <w:t> </w:t>
      </w:r>
      <w:r>
        <w:rPr>
          <w:color w:val="231F20"/>
        </w:rPr>
        <w:t>dentro</w:t>
      </w:r>
      <w:r>
        <w:rPr>
          <w:color w:val="231F20"/>
          <w:spacing w:val="-10"/>
        </w:rPr>
        <w:t> </w:t>
      </w:r>
      <w:r>
        <w:rPr>
          <w:color w:val="231F20"/>
        </w:rPr>
        <w:t>de</w:t>
      </w:r>
      <w:r>
        <w:rPr>
          <w:color w:val="231F20"/>
          <w:spacing w:val="-10"/>
        </w:rPr>
        <w:t> </w:t>
      </w:r>
      <w:r>
        <w:rPr>
          <w:color w:val="231F20"/>
        </w:rPr>
        <w:t>esta</w:t>
      </w:r>
      <w:r>
        <w:rPr>
          <w:color w:val="231F20"/>
          <w:spacing w:val="-11"/>
        </w:rPr>
        <w:t> </w:t>
      </w:r>
      <w:r>
        <w:rPr>
          <w:color w:val="231F20"/>
        </w:rPr>
        <w:t>categoría</w:t>
      </w:r>
      <w:r>
        <w:rPr>
          <w:color w:val="231F20"/>
          <w:spacing w:val="-11"/>
        </w:rPr>
        <w:t> </w:t>
      </w:r>
      <w:r>
        <w:rPr>
          <w:color w:val="231F20"/>
        </w:rPr>
        <w:t>corresponde</w:t>
      </w:r>
      <w:r>
        <w:rPr>
          <w:color w:val="231F20"/>
          <w:spacing w:val="-11"/>
        </w:rPr>
        <w:t> </w:t>
      </w:r>
      <w:r>
        <w:rPr>
          <w:color w:val="231F20"/>
        </w:rPr>
        <w:t>a</w:t>
      </w:r>
      <w:r>
        <w:rPr>
          <w:color w:val="231F20"/>
          <w:spacing w:val="-10"/>
        </w:rPr>
        <w:t> </w:t>
      </w:r>
      <w:r>
        <w:rPr>
          <w:color w:val="231F20"/>
        </w:rPr>
        <w:t>los</w:t>
      </w:r>
      <w:r>
        <w:rPr>
          <w:color w:val="231F20"/>
          <w:spacing w:val="-11"/>
        </w:rPr>
        <w:t> </w:t>
      </w:r>
      <w:r>
        <w:rPr>
          <w:color w:val="231F20"/>
        </w:rPr>
        <w:t>menores</w:t>
      </w:r>
      <w:r>
        <w:rPr>
          <w:color w:val="231F20"/>
          <w:spacing w:val="-11"/>
        </w:rPr>
        <w:t> </w:t>
      </w:r>
      <w:r>
        <w:rPr>
          <w:color w:val="231F20"/>
        </w:rPr>
        <w:t>de 10 a </w:t>
      </w:r>
      <w:r>
        <w:rPr>
          <w:color w:val="231F20"/>
          <w:spacing w:val="-4"/>
        </w:rPr>
        <w:t>11 </w:t>
      </w:r>
      <w:r>
        <w:rPr>
          <w:color w:val="231F20"/>
        </w:rPr>
        <w:t>años con 0.75 por</w:t>
      </w:r>
      <w:r>
        <w:rPr>
          <w:color w:val="231F20"/>
          <w:spacing w:val="2"/>
        </w:rPr>
        <w:t> </w:t>
      </w:r>
      <w:r>
        <w:rPr>
          <w:color w:val="231F20"/>
        </w:rPr>
        <w:t>ciento.</w:t>
      </w:r>
    </w:p>
    <w:p>
      <w:pPr>
        <w:pStyle w:val="BodyText"/>
        <w:spacing w:line="249" w:lineRule="auto" w:before="1"/>
        <w:ind w:left="110" w:right="111" w:firstLine="283"/>
        <w:jc w:val="both"/>
      </w:pPr>
      <w:r>
        <w:rPr>
          <w:color w:val="231F20"/>
        </w:rPr>
        <w:t>Las cifras presentadas en la Figura 1 permiten corroborar que a una mayor edad de los menores, los indicadores de actividades de todo  tipo</w:t>
      </w:r>
    </w:p>
    <w:p>
      <w:pPr>
        <w:pStyle w:val="BodyText"/>
        <w:spacing w:line="249" w:lineRule="auto" w:before="1"/>
        <w:ind w:left="110" w:right="111"/>
        <w:jc w:val="both"/>
      </w:pPr>
      <w:r>
        <w:rPr>
          <w:color w:val="231F20"/>
        </w:rPr>
        <w:t>—económicas y de reproducción— de los que desempeñan los</w:t>
      </w:r>
      <w:r>
        <w:rPr>
          <w:color w:val="231F20"/>
          <w:spacing w:val="-18"/>
        </w:rPr>
        <w:t> </w:t>
      </w:r>
      <w:r>
        <w:rPr>
          <w:color w:val="231F20"/>
        </w:rPr>
        <w:t>menores, van también en aumento, sin embargo el Cuadro 2 permite corroborar que si existe una distinción de actividades que los menores realizan de acuerdo con su edad. Por ejemplo, los menores que realizan actividades laborales</w:t>
      </w:r>
      <w:r>
        <w:rPr>
          <w:color w:val="231F20"/>
          <w:spacing w:val="-8"/>
        </w:rPr>
        <w:t> </w:t>
      </w:r>
      <w:r>
        <w:rPr>
          <w:color w:val="231F20"/>
        </w:rPr>
        <w:t>son</w:t>
      </w:r>
      <w:r>
        <w:rPr>
          <w:color w:val="231F20"/>
          <w:spacing w:val="-7"/>
        </w:rPr>
        <w:t> </w:t>
      </w:r>
      <w:r>
        <w:rPr>
          <w:color w:val="231F20"/>
        </w:rPr>
        <w:t>los</w:t>
      </w:r>
      <w:r>
        <w:rPr>
          <w:color w:val="231F20"/>
          <w:spacing w:val="-8"/>
        </w:rPr>
        <w:t> </w:t>
      </w:r>
      <w:r>
        <w:rPr>
          <w:color w:val="231F20"/>
        </w:rPr>
        <w:t>de</w:t>
      </w:r>
      <w:r>
        <w:rPr>
          <w:color w:val="231F20"/>
          <w:spacing w:val="-7"/>
        </w:rPr>
        <w:t> </w:t>
      </w:r>
      <w:r>
        <w:rPr>
          <w:color w:val="231F20"/>
        </w:rPr>
        <w:t>mayor</w:t>
      </w:r>
      <w:r>
        <w:rPr>
          <w:color w:val="231F20"/>
          <w:spacing w:val="-8"/>
        </w:rPr>
        <w:t> </w:t>
      </w:r>
      <w:r>
        <w:rPr>
          <w:color w:val="231F20"/>
        </w:rPr>
        <w:t>edad</w:t>
      </w:r>
      <w:r>
        <w:rPr>
          <w:color w:val="231F20"/>
          <w:spacing w:val="-8"/>
        </w:rPr>
        <w:t> </w:t>
      </w:r>
      <w:r>
        <w:rPr>
          <w:color w:val="231F20"/>
        </w:rPr>
        <w:t>pero</w:t>
      </w:r>
      <w:r>
        <w:rPr>
          <w:color w:val="231F20"/>
          <w:spacing w:val="-7"/>
        </w:rPr>
        <w:t> </w:t>
      </w:r>
      <w:r>
        <w:rPr>
          <w:color w:val="231F20"/>
        </w:rPr>
        <w:t>los</w:t>
      </w:r>
      <w:r>
        <w:rPr>
          <w:color w:val="231F20"/>
          <w:spacing w:val="-8"/>
        </w:rPr>
        <w:t> </w:t>
      </w:r>
      <w:r>
        <w:rPr>
          <w:color w:val="231F20"/>
        </w:rPr>
        <w:t>que</w:t>
      </w:r>
      <w:r>
        <w:rPr>
          <w:color w:val="231F20"/>
          <w:spacing w:val="-7"/>
        </w:rPr>
        <w:t> </w:t>
      </w:r>
      <w:r>
        <w:rPr>
          <w:color w:val="231F20"/>
        </w:rPr>
        <w:t>realizan</w:t>
      </w:r>
      <w:r>
        <w:rPr>
          <w:color w:val="231F20"/>
          <w:spacing w:val="-7"/>
        </w:rPr>
        <w:t> </w:t>
      </w:r>
      <w:r>
        <w:rPr>
          <w:color w:val="231F20"/>
        </w:rPr>
        <w:t>quehaceres</w:t>
      </w:r>
      <w:r>
        <w:rPr>
          <w:color w:val="231F20"/>
          <w:spacing w:val="-7"/>
        </w:rPr>
        <w:t> </w:t>
      </w:r>
      <w:r>
        <w:rPr>
          <w:color w:val="231F20"/>
        </w:rPr>
        <w:t>domés- ticos</w:t>
      </w:r>
      <w:r>
        <w:rPr>
          <w:color w:val="231F20"/>
          <w:spacing w:val="-12"/>
        </w:rPr>
        <w:t> </w:t>
      </w:r>
      <w:r>
        <w:rPr>
          <w:color w:val="231F20"/>
        </w:rPr>
        <w:t>son</w:t>
      </w:r>
      <w:r>
        <w:rPr>
          <w:color w:val="231F20"/>
          <w:spacing w:val="-11"/>
        </w:rPr>
        <w:t> </w:t>
      </w:r>
      <w:r>
        <w:rPr>
          <w:color w:val="231F20"/>
        </w:rPr>
        <w:t>los</w:t>
      </w:r>
      <w:r>
        <w:rPr>
          <w:color w:val="231F20"/>
          <w:spacing w:val="-11"/>
        </w:rPr>
        <w:t> </w:t>
      </w:r>
      <w:r>
        <w:rPr>
          <w:color w:val="231F20"/>
        </w:rPr>
        <w:t>niños</w:t>
      </w:r>
      <w:r>
        <w:rPr>
          <w:color w:val="231F20"/>
          <w:spacing w:val="-11"/>
        </w:rPr>
        <w:t> </w:t>
      </w:r>
      <w:r>
        <w:rPr>
          <w:color w:val="231F20"/>
        </w:rPr>
        <w:t>de</w:t>
      </w:r>
      <w:r>
        <w:rPr>
          <w:color w:val="231F20"/>
          <w:spacing w:val="-11"/>
        </w:rPr>
        <w:t> </w:t>
      </w:r>
      <w:r>
        <w:rPr>
          <w:color w:val="231F20"/>
        </w:rPr>
        <w:t>cinco</w:t>
      </w:r>
      <w:r>
        <w:rPr>
          <w:color w:val="231F20"/>
          <w:spacing w:val="-11"/>
        </w:rPr>
        <w:t> </w:t>
      </w:r>
      <w:r>
        <w:rPr>
          <w:color w:val="231F20"/>
        </w:rPr>
        <w:t>años</w:t>
      </w:r>
      <w:r>
        <w:rPr>
          <w:color w:val="231F20"/>
          <w:spacing w:val="-11"/>
        </w:rPr>
        <w:t> </w:t>
      </w:r>
      <w:r>
        <w:rPr>
          <w:color w:val="231F20"/>
        </w:rPr>
        <w:t>y</w:t>
      </w:r>
      <w:r>
        <w:rPr>
          <w:color w:val="231F20"/>
          <w:spacing w:val="-11"/>
        </w:rPr>
        <w:t> </w:t>
      </w:r>
      <w:r>
        <w:rPr>
          <w:color w:val="231F20"/>
        </w:rPr>
        <w:t>esto</w:t>
      </w:r>
      <w:r>
        <w:rPr>
          <w:color w:val="231F20"/>
          <w:spacing w:val="-12"/>
        </w:rPr>
        <w:t> </w:t>
      </w:r>
      <w:r>
        <w:rPr>
          <w:color w:val="231F20"/>
        </w:rPr>
        <w:t>podría</w:t>
      </w:r>
      <w:r>
        <w:rPr>
          <w:color w:val="231F20"/>
          <w:spacing w:val="-11"/>
        </w:rPr>
        <w:t> </w:t>
      </w:r>
      <w:r>
        <w:rPr>
          <w:color w:val="231F20"/>
        </w:rPr>
        <w:t>deberse</w:t>
      </w:r>
      <w:r>
        <w:rPr>
          <w:color w:val="231F20"/>
          <w:spacing w:val="-11"/>
        </w:rPr>
        <w:t> </w:t>
      </w:r>
      <w:r>
        <w:rPr>
          <w:color w:val="231F20"/>
        </w:rPr>
        <w:t>a</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pequeños de cinco años pasan más tiempo en el</w:t>
      </w:r>
      <w:r>
        <w:rPr>
          <w:color w:val="231F20"/>
          <w:spacing w:val="-17"/>
        </w:rPr>
        <w:t> </w:t>
      </w:r>
      <w:r>
        <w:rPr>
          <w:color w:val="231F20"/>
        </w:rPr>
        <w:t>hogar.</w:t>
      </w:r>
    </w:p>
    <w:p>
      <w:pPr>
        <w:pStyle w:val="BodyText"/>
        <w:spacing w:line="249" w:lineRule="auto" w:before="1"/>
        <w:ind w:left="110" w:right="111" w:firstLine="283"/>
        <w:jc w:val="both"/>
      </w:pPr>
      <w:r>
        <w:rPr>
          <w:color w:val="231F20"/>
        </w:rPr>
        <w:t>Psacharopoulos (1997); Estada (2002); Post (2003); López (2006) y Parker (2006), entre otros autores, señalan que las actividades que efec- túan los menores, también se diferencian por sexo. Por lo que, son las niñas las que realizan en su mayoría quehaceres domésticos y los varo- nes desempeñan actividades principalmente laborales que generan</w:t>
      </w:r>
      <w:r>
        <w:rPr>
          <w:color w:val="231F20"/>
          <w:spacing w:val="-15"/>
        </w:rPr>
        <w:t> </w:t>
      </w:r>
      <w:r>
        <w:rPr>
          <w:color w:val="231F20"/>
        </w:rPr>
        <w:t>algún ingreso.</w:t>
      </w:r>
    </w:p>
    <w:p>
      <w:pPr>
        <w:pStyle w:val="BodyText"/>
        <w:spacing w:line="249" w:lineRule="auto" w:before="1"/>
        <w:ind w:left="110" w:right="111" w:firstLine="283"/>
        <w:jc w:val="both"/>
      </w:pPr>
      <w:r>
        <w:rPr>
          <w:color w:val="231F20"/>
        </w:rPr>
        <w:t>La</w:t>
      </w:r>
      <w:r>
        <w:rPr>
          <w:color w:val="231F20"/>
          <w:spacing w:val="-10"/>
        </w:rPr>
        <w:t> </w:t>
      </w:r>
      <w:r>
        <w:rPr>
          <w:color w:val="231F20"/>
        </w:rPr>
        <w:t>Gráfica</w:t>
      </w:r>
      <w:r>
        <w:rPr>
          <w:color w:val="231F20"/>
          <w:spacing w:val="-10"/>
        </w:rPr>
        <w:t> </w:t>
      </w:r>
      <w:r>
        <w:rPr>
          <w:color w:val="231F20"/>
        </w:rPr>
        <w:t>2</w:t>
      </w:r>
      <w:r>
        <w:rPr>
          <w:color w:val="231F20"/>
          <w:spacing w:val="-10"/>
        </w:rPr>
        <w:t> </w:t>
      </w:r>
      <w:r>
        <w:rPr>
          <w:color w:val="231F20"/>
        </w:rPr>
        <w:t>permite</w:t>
      </w:r>
      <w:r>
        <w:rPr>
          <w:color w:val="231F20"/>
          <w:spacing w:val="-10"/>
        </w:rPr>
        <w:t> </w:t>
      </w:r>
      <w:r>
        <w:rPr>
          <w:color w:val="231F20"/>
        </w:rPr>
        <w:t>confirmar</w:t>
      </w:r>
      <w:r>
        <w:rPr>
          <w:color w:val="231F20"/>
          <w:spacing w:val="-10"/>
        </w:rPr>
        <w:t> </w:t>
      </w:r>
      <w:r>
        <w:rPr>
          <w:color w:val="231F20"/>
        </w:rPr>
        <w:t>el</w:t>
      </w:r>
      <w:r>
        <w:rPr>
          <w:color w:val="231F20"/>
          <w:spacing w:val="-10"/>
        </w:rPr>
        <w:t> </w:t>
      </w:r>
      <w:r>
        <w:rPr>
          <w:color w:val="231F20"/>
        </w:rPr>
        <w:t>argumento</w:t>
      </w:r>
      <w:r>
        <w:rPr>
          <w:color w:val="231F20"/>
          <w:spacing w:val="-10"/>
        </w:rPr>
        <w:t> </w:t>
      </w:r>
      <w:r>
        <w:rPr>
          <w:color w:val="231F20"/>
        </w:rPr>
        <w:t>anterior,</w:t>
      </w:r>
      <w:r>
        <w:rPr>
          <w:color w:val="231F20"/>
          <w:spacing w:val="-10"/>
        </w:rPr>
        <w:t> </w:t>
      </w:r>
      <w:r>
        <w:rPr>
          <w:color w:val="231F20"/>
        </w:rPr>
        <w:t>de</w:t>
      </w:r>
      <w:r>
        <w:rPr>
          <w:color w:val="231F20"/>
          <w:spacing w:val="-10"/>
        </w:rPr>
        <w:t> </w:t>
      </w:r>
      <w:r>
        <w:rPr>
          <w:color w:val="231F20"/>
        </w:rPr>
        <w:t>acuerdo</w:t>
      </w:r>
      <w:r>
        <w:rPr>
          <w:color w:val="231F20"/>
          <w:spacing w:val="-10"/>
        </w:rPr>
        <w:t> </w:t>
      </w:r>
      <w:r>
        <w:rPr>
          <w:color w:val="231F20"/>
        </w:rPr>
        <w:t>con los datos del Módulo de Trabajo Infantil 2013, las principales activida- des que desarrollan los varones son laborales (ocupados de los cuales  67 por ciento son varones) y estudian con 67 y 56 por ciento, mientras que la clasificación de las niñas señala que las principales actividades que desempeñan son quehaceres domésticos y quehaceres domésticos y estudian con 71 y 53 por ciento, respectivamente. Un dato relevante que reflejan</w:t>
      </w:r>
      <w:r>
        <w:rPr>
          <w:color w:val="231F20"/>
          <w:spacing w:val="-7"/>
        </w:rPr>
        <w:t> </w:t>
      </w:r>
      <w:r>
        <w:rPr>
          <w:color w:val="231F20"/>
        </w:rPr>
        <w:t>los</w:t>
      </w:r>
      <w:r>
        <w:rPr>
          <w:color w:val="231F20"/>
          <w:spacing w:val="-7"/>
        </w:rPr>
        <w:t> </w:t>
      </w:r>
      <w:r>
        <w:rPr>
          <w:color w:val="231F20"/>
        </w:rPr>
        <w:t>datos</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porcentaje</w:t>
      </w:r>
      <w:r>
        <w:rPr>
          <w:color w:val="231F20"/>
          <w:spacing w:val="-8"/>
        </w:rPr>
        <w:t> </w:t>
      </w:r>
      <w:r>
        <w:rPr>
          <w:color w:val="231F20"/>
        </w:rPr>
        <w:t>reducido</w:t>
      </w:r>
      <w:r>
        <w:rPr>
          <w:color w:val="231F20"/>
          <w:spacing w:val="-7"/>
        </w:rPr>
        <w:t> </w:t>
      </w:r>
      <w:r>
        <w:rPr>
          <w:color w:val="231F20"/>
        </w:rPr>
        <w:t>de</w:t>
      </w:r>
      <w:r>
        <w:rPr>
          <w:color w:val="231F20"/>
          <w:spacing w:val="-7"/>
        </w:rPr>
        <w:t> </w:t>
      </w:r>
      <w:r>
        <w:rPr>
          <w:color w:val="231F20"/>
        </w:rPr>
        <w:t>niñas</w:t>
      </w:r>
      <w:r>
        <w:rPr>
          <w:color w:val="231F20"/>
          <w:spacing w:val="-7"/>
        </w:rPr>
        <w:t> </w:t>
      </w:r>
      <w:r>
        <w:rPr>
          <w:color w:val="231F20"/>
        </w:rPr>
        <w:t>que</w:t>
      </w:r>
      <w:r>
        <w:rPr>
          <w:color w:val="231F20"/>
          <w:spacing w:val="-7"/>
        </w:rPr>
        <w:t> </w:t>
      </w:r>
      <w:r>
        <w:rPr>
          <w:color w:val="231F20"/>
        </w:rPr>
        <w:t>sólo</w:t>
      </w:r>
      <w:r>
        <w:rPr>
          <w:color w:val="231F20"/>
          <w:spacing w:val="-7"/>
        </w:rPr>
        <w:t> </w:t>
      </w:r>
      <w:r>
        <w:rPr>
          <w:color w:val="231F20"/>
        </w:rPr>
        <w:t>estudian:</w:t>
      </w:r>
      <w:r>
        <w:rPr>
          <w:color w:val="231F20"/>
          <w:spacing w:val="-7"/>
        </w:rPr>
        <w:t> </w:t>
      </w:r>
      <w:r>
        <w:rPr>
          <w:color w:val="231F20"/>
        </w:rPr>
        <w:t>44</w:t>
      </w:r>
    </w:p>
    <w:p>
      <w:pPr>
        <w:spacing w:after="0" w:line="249" w:lineRule="auto"/>
        <w:jc w:val="both"/>
        <w:sectPr>
          <w:pgSz w:w="7770" w:h="11740"/>
          <w:pgMar w:header="0" w:footer="474" w:top="840" w:bottom="740" w:left="740" w:right="1020"/>
        </w:sectPr>
      </w:pPr>
    </w:p>
    <w:p>
      <w:pPr>
        <w:pStyle w:val="BodyText"/>
        <w:spacing w:line="249" w:lineRule="auto" w:before="60"/>
        <w:ind w:left="113" w:right="148"/>
        <w:jc w:val="both"/>
      </w:pPr>
      <w:r>
        <w:rPr>
          <w:color w:val="231F20"/>
        </w:rPr>
        <w:t>por</w:t>
      </w:r>
      <w:r>
        <w:rPr>
          <w:color w:val="231F20"/>
          <w:spacing w:val="-3"/>
        </w:rPr>
        <w:t> </w:t>
      </w:r>
      <w:r>
        <w:rPr>
          <w:color w:val="231F20"/>
        </w:rPr>
        <w:t>ciento.</w:t>
      </w:r>
      <w:r>
        <w:rPr>
          <w:color w:val="231F20"/>
          <w:spacing w:val="-4"/>
        </w:rPr>
        <w:t> </w:t>
      </w:r>
      <w:r>
        <w:rPr>
          <w:color w:val="231F20"/>
        </w:rPr>
        <w:t>Este</w:t>
      </w:r>
      <w:r>
        <w:rPr>
          <w:color w:val="231F20"/>
          <w:spacing w:val="-3"/>
        </w:rPr>
        <w:t> </w:t>
      </w:r>
      <w:r>
        <w:rPr>
          <w:color w:val="231F20"/>
        </w:rPr>
        <w:t>indicador</w:t>
      </w:r>
      <w:r>
        <w:rPr>
          <w:color w:val="231F20"/>
          <w:spacing w:val="-4"/>
        </w:rPr>
        <w:t> </w:t>
      </w:r>
      <w:r>
        <w:rPr>
          <w:color w:val="231F20"/>
        </w:rPr>
        <w:t>indica</w:t>
      </w:r>
      <w:r>
        <w:rPr>
          <w:color w:val="231F20"/>
          <w:spacing w:val="-3"/>
        </w:rPr>
        <w:t> </w:t>
      </w:r>
      <w:r>
        <w:rPr>
          <w:color w:val="231F20"/>
        </w:rPr>
        <w:t>las</w:t>
      </w:r>
      <w:r>
        <w:rPr>
          <w:color w:val="231F20"/>
          <w:spacing w:val="-3"/>
        </w:rPr>
        <w:t> </w:t>
      </w:r>
      <w:r>
        <w:rPr>
          <w:color w:val="231F20"/>
        </w:rPr>
        <w:t>diferencias</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temas</w:t>
      </w:r>
      <w:r>
        <w:rPr>
          <w:color w:val="231F20"/>
          <w:spacing w:val="-3"/>
        </w:rPr>
        <w:t> </w:t>
      </w:r>
      <w:r>
        <w:rPr>
          <w:color w:val="231F20"/>
        </w:rPr>
        <w:t>de</w:t>
      </w:r>
      <w:r>
        <w:rPr>
          <w:color w:val="231F20"/>
          <w:spacing w:val="-3"/>
        </w:rPr>
        <w:t> </w:t>
      </w:r>
      <w:r>
        <w:rPr>
          <w:color w:val="231F20"/>
        </w:rPr>
        <w:t>género</w:t>
      </w:r>
      <w:r>
        <w:rPr>
          <w:color w:val="231F20"/>
          <w:spacing w:val="-3"/>
        </w:rPr>
        <w:t> </w:t>
      </w:r>
      <w:r>
        <w:rPr>
          <w:color w:val="231F20"/>
        </w:rPr>
        <w:t>y educación. La distribución porcentual de estas actividades es más</w:t>
      </w:r>
      <w:r>
        <w:rPr>
          <w:color w:val="231F20"/>
          <w:spacing w:val="-33"/>
        </w:rPr>
        <w:t> </w:t>
      </w:r>
      <w:r>
        <w:rPr>
          <w:color w:val="231F20"/>
        </w:rPr>
        <w:t>homo- génea en las actividades de quehaceres domésticos y estudian ya que 53 por ciento corresponde a mujeres y 47 por ciento a</w:t>
      </w:r>
      <w:r>
        <w:rPr>
          <w:color w:val="231F20"/>
          <w:spacing w:val="-4"/>
        </w:rPr>
        <w:t> </w:t>
      </w:r>
      <w:r>
        <w:rPr>
          <w:color w:val="231F20"/>
        </w:rPr>
        <w:t>varones.</w:t>
      </w:r>
    </w:p>
    <w:p>
      <w:pPr>
        <w:pStyle w:val="BodyText"/>
        <w:spacing w:before="1"/>
      </w:pPr>
    </w:p>
    <w:p>
      <w:pPr>
        <w:spacing w:before="0"/>
        <w:ind w:left="150" w:right="0" w:firstLine="0"/>
        <w:jc w:val="both"/>
        <w:rPr>
          <w:sz w:val="19"/>
        </w:rPr>
      </w:pPr>
      <w:r>
        <w:rPr/>
        <w:pict>
          <v:group style="position:absolute;margin-left:58.256546pt;margin-top:13.923222pt;width:289.4pt;height:321.6pt;mso-position-horizontal-relative:page;mso-position-vertical-relative:paragraph;z-index:8872;mso-wrap-distance-left:0;mso-wrap-distance-right:0" coordorigin="1165,278" coordsize="5788,6432">
            <v:rect style="position:absolute;left:5832;top:3838;width:490;height:1347" filled="true" fillcolor="#7e7e7e" stroked="false">
              <v:fill type="solid"/>
            </v:rect>
            <v:rect style="position:absolute;left:5832;top:545;width:490;height:3293" filled="true" fillcolor="#bebebe" stroked="false">
              <v:fill type="solid"/>
            </v:rect>
            <v:rect style="position:absolute;left:4600;top:2993;width:490;height:2192" filled="true" fillcolor="#7e7e7e" stroked="false">
              <v:fill type="solid"/>
            </v:rect>
            <v:rect style="position:absolute;left:4600;top:545;width:490;height:2448" filled="true" fillcolor="#bebebe" stroked="false">
              <v:fill type="solid"/>
            </v:rect>
            <v:rect style="position:absolute;left:3367;top:2576;width:495;height:2609" filled="true" fillcolor="#7e7e7e" stroked="false">
              <v:fill type="solid"/>
            </v:rect>
            <v:rect style="position:absolute;left:3367;top:545;width:495;height:2030" filled="true" fillcolor="#bebebe" stroked="false">
              <v:fill type="solid"/>
            </v:rect>
            <v:rect style="position:absolute;left:2134;top:2062;width:495;height:3123" filled="true" fillcolor="#7e7e7e" stroked="false">
              <v:fill type="solid"/>
            </v:rect>
            <v:rect style="position:absolute;left:2134;top:545;width:495;height:1517" filled="true" fillcolor="#bebebe" stroked="false">
              <v:fill type="solid"/>
            </v:rect>
            <v:line style="position:absolute" from="1766,5185" to="1766,546" stroked="true" strokeweight=".729504pt" strokecolor="#858585"/>
            <v:line style="position:absolute" from="1710,5185" to="1766,5185" stroked="true" strokeweight=".75pt" strokecolor="#858585"/>
            <v:line style="position:absolute" from="1710,4721" to="1766,4721" stroked="true" strokeweight=".75pt" strokecolor="#858585"/>
            <v:line style="position:absolute" from="1710,4256" to="1766,4256" stroked="true" strokeweight=".75pt" strokecolor="#858585"/>
            <v:line style="position:absolute" from="1710,3795" to="1766,3795" stroked="true" strokeweight=".75pt" strokecolor="#858585"/>
            <v:line style="position:absolute" from="1710,3329" to="1766,3329" stroked="true" strokeweight=".75pt" strokecolor="#858585"/>
            <v:line style="position:absolute" from="1710,2864" to="1766,2864" stroked="true" strokeweight=".75pt" strokecolor="#858585"/>
            <v:line style="position:absolute" from="1710,2403" to="1766,2403" stroked="true" strokeweight=".75pt" strokecolor="#858585"/>
            <v:line style="position:absolute" from="1710,1937" to="1766,1937" stroked="true" strokeweight=".75pt" strokecolor="#858585"/>
            <v:line style="position:absolute" from="1710,1472" to="1766,1472" stroked="true" strokeweight=".75pt" strokecolor="#858585"/>
            <v:line style="position:absolute" from="1710,1011" to="1766,1011" stroked="true" strokeweight=".75pt" strokecolor="#858585"/>
            <v:line style="position:absolute" from="1710,545" to="1766,545" stroked="true" strokeweight=".75pt" strokecolor="#858585"/>
            <v:line style="position:absolute" from="1766,5185" to="6693,5185" stroked="true" strokeweight=".75pt" strokecolor="#858585"/>
            <v:line style="position:absolute" from="1766,5187" to="1766,5244" stroked="true" strokeweight=".729504pt" strokecolor="#858585"/>
            <v:line style="position:absolute" from="2998,5187" to="2998,5244" stroked="true" strokeweight=".729504pt" strokecolor="#858585"/>
            <v:line style="position:absolute" from="4231,5187" to="4231,5244" stroked="true" strokeweight=".729504pt" strokecolor="#858585"/>
            <v:line style="position:absolute" from="5459,5187" to="5459,5244" stroked="true" strokeweight=".729504pt" strokecolor="#858585"/>
            <v:line style="position:absolute" from="6691,5187" to="6691,5244" stroked="true" strokeweight=".729504pt" strokecolor="#858585"/>
            <v:line style="position:absolute" from="2820,6304" to="2820,6403" stroked="true" strokeweight="4.845849pt" strokecolor="#7e7e7e"/>
            <v:line style="position:absolute" from="3843,6304" to="3843,6403" stroked="true" strokeweight="4.845849pt" strokecolor="#bebebe"/>
            <v:rect style="position:absolute;left:1173;top:286;width:5773;height:6417" filled="false" stroked="true" strokeweight=".738672pt" strokecolor="#858585"/>
            <v:shape style="position:absolute;left:1309;top:465;width:292;height:664" type="#_x0000_t202" filled="false" stroked="false">
              <v:textbox inset="0,0,0,0">
                <w:txbxContent>
                  <w:p>
                    <w:pPr>
                      <w:spacing w:line="204" w:lineRule="exact" w:before="0"/>
                      <w:ind w:left="0" w:right="-13" w:firstLine="0"/>
                      <w:jc w:val="left"/>
                      <w:rPr>
                        <w:sz w:val="20"/>
                      </w:rPr>
                    </w:pPr>
                    <w:r>
                      <w:rPr>
                        <w:w w:val="95"/>
                        <w:sz w:val="20"/>
                      </w:rPr>
                      <w:t>100</w:t>
                    </w:r>
                  </w:p>
                  <w:p>
                    <w:pPr>
                      <w:spacing w:line="240" w:lineRule="auto" w:before="3"/>
                      <w:rPr>
                        <w:sz w:val="20"/>
                      </w:rPr>
                    </w:pPr>
                  </w:p>
                  <w:p>
                    <w:pPr>
                      <w:spacing w:line="226" w:lineRule="exact" w:before="1"/>
                      <w:ind w:left="97" w:right="-15" w:firstLine="0"/>
                      <w:jc w:val="left"/>
                      <w:rPr>
                        <w:sz w:val="20"/>
                      </w:rPr>
                    </w:pPr>
                    <w:r>
                      <w:rPr>
                        <w:w w:val="95"/>
                        <w:sz w:val="20"/>
                      </w:rPr>
                      <w:t>90</w:t>
                    </w:r>
                  </w:p>
                </w:txbxContent>
              </v:textbox>
              <w10:wrap type="none"/>
            </v:shape>
            <v:shape style="position:absolute;left:2285;top:1222;width:195;height:200" type="#_x0000_t202" filled="false" stroked="false">
              <v:textbox inset="0,0,0,0">
                <w:txbxContent>
                  <w:p>
                    <w:pPr>
                      <w:spacing w:line="200" w:lineRule="exact" w:before="0"/>
                      <w:ind w:left="0" w:right="-15" w:firstLine="0"/>
                      <w:jc w:val="left"/>
                      <w:rPr>
                        <w:sz w:val="20"/>
                      </w:rPr>
                    </w:pPr>
                    <w:r>
                      <w:rPr>
                        <w:w w:val="95"/>
                        <w:sz w:val="20"/>
                      </w:rPr>
                      <w:t>33</w:t>
                    </w:r>
                  </w:p>
                </w:txbxContent>
              </v:textbox>
              <w10:wrap type="none"/>
            </v:shape>
            <v:shape style="position:absolute;left:1406;top:1393;width:195;height:200" type="#_x0000_t202" filled="false" stroked="false">
              <v:textbox inset="0,0,0,0">
                <w:txbxContent>
                  <w:p>
                    <w:pPr>
                      <w:spacing w:line="200" w:lineRule="exact" w:before="0"/>
                      <w:ind w:left="0" w:right="-15" w:firstLine="0"/>
                      <w:jc w:val="left"/>
                      <w:rPr>
                        <w:sz w:val="20"/>
                      </w:rPr>
                    </w:pPr>
                    <w:r>
                      <w:rPr>
                        <w:w w:val="95"/>
                        <w:sz w:val="20"/>
                      </w:rPr>
                      <w:t>80</w:t>
                    </w:r>
                  </w:p>
                </w:txbxContent>
              </v:textbox>
              <w10:wrap type="none"/>
            </v:shape>
            <v:shape style="position:absolute;left:3516;top:1479;width:195;height:200" type="#_x0000_t202" filled="false" stroked="false">
              <v:textbox inset="0,0,0,0">
                <w:txbxContent>
                  <w:p>
                    <w:pPr>
                      <w:spacing w:line="200" w:lineRule="exact" w:before="0"/>
                      <w:ind w:left="0" w:right="-15" w:firstLine="0"/>
                      <w:jc w:val="left"/>
                      <w:rPr>
                        <w:sz w:val="20"/>
                      </w:rPr>
                    </w:pPr>
                    <w:r>
                      <w:rPr>
                        <w:w w:val="95"/>
                        <w:sz w:val="20"/>
                      </w:rPr>
                      <w:t>44</w:t>
                    </w:r>
                  </w:p>
                </w:txbxContent>
              </v:textbox>
              <w10:wrap type="none"/>
            </v:shape>
            <v:shape style="position:absolute;left:4748;top:1689;width:195;height:200" type="#_x0000_t202" filled="false" stroked="false">
              <v:textbox inset="0,0,0,0">
                <w:txbxContent>
                  <w:p>
                    <w:pPr>
                      <w:spacing w:line="200" w:lineRule="exact" w:before="0"/>
                      <w:ind w:left="0" w:right="-15" w:firstLine="0"/>
                      <w:jc w:val="left"/>
                      <w:rPr>
                        <w:sz w:val="20"/>
                      </w:rPr>
                    </w:pPr>
                    <w:r>
                      <w:rPr>
                        <w:w w:val="95"/>
                        <w:sz w:val="20"/>
                      </w:rPr>
                      <w:t>53</w:t>
                    </w:r>
                  </w:p>
                </w:txbxContent>
              </v:textbox>
              <w10:wrap type="none"/>
            </v:shape>
            <v:shape style="position:absolute;left:1406;top:1857;width:195;height:200" type="#_x0000_t202" filled="false" stroked="false">
              <v:textbox inset="0,0,0,0">
                <w:txbxContent>
                  <w:p>
                    <w:pPr>
                      <w:spacing w:line="200" w:lineRule="exact" w:before="0"/>
                      <w:ind w:left="0" w:right="-15" w:firstLine="0"/>
                      <w:jc w:val="left"/>
                      <w:rPr>
                        <w:sz w:val="20"/>
                      </w:rPr>
                    </w:pPr>
                    <w:r>
                      <w:rPr>
                        <w:w w:val="95"/>
                        <w:sz w:val="20"/>
                      </w:rPr>
                      <w:t>70</w:t>
                    </w:r>
                  </w:p>
                </w:txbxContent>
              </v:textbox>
              <w10:wrap type="none"/>
            </v:shape>
            <v:shape style="position:absolute;left:5979;top:2110;width:195;height:200" type="#_x0000_t202" filled="false" stroked="false">
              <v:textbox inset="0,0,0,0">
                <w:txbxContent>
                  <w:p>
                    <w:pPr>
                      <w:spacing w:line="200" w:lineRule="exact" w:before="0"/>
                      <w:ind w:left="0" w:right="-15" w:firstLine="0"/>
                      <w:jc w:val="left"/>
                      <w:rPr>
                        <w:sz w:val="20"/>
                      </w:rPr>
                    </w:pPr>
                    <w:r>
                      <w:rPr>
                        <w:w w:val="95"/>
                        <w:sz w:val="20"/>
                      </w:rPr>
                      <w:t>71</w:t>
                    </w:r>
                  </w:p>
                </w:txbxContent>
              </v:textbox>
              <w10:wrap type="none"/>
            </v:shape>
            <v:shape style="position:absolute;left:1406;top:2321;width:195;height:2984" type="#_x0000_t202" filled="false" stroked="false">
              <v:textbox inset="0,0,0,0">
                <w:txbxContent>
                  <w:p>
                    <w:pPr>
                      <w:spacing w:line="204" w:lineRule="exact" w:before="0"/>
                      <w:ind w:left="0" w:right="-15" w:firstLine="0"/>
                      <w:jc w:val="left"/>
                      <w:rPr>
                        <w:sz w:val="20"/>
                      </w:rPr>
                    </w:pPr>
                    <w:r>
                      <w:rPr>
                        <w:w w:val="95"/>
                        <w:sz w:val="20"/>
                      </w:rPr>
                      <w:t>60</w:t>
                    </w:r>
                  </w:p>
                  <w:p>
                    <w:pPr>
                      <w:spacing w:line="240" w:lineRule="auto" w:before="3"/>
                      <w:rPr>
                        <w:sz w:val="20"/>
                      </w:rPr>
                    </w:pPr>
                  </w:p>
                  <w:p>
                    <w:pPr>
                      <w:spacing w:before="1"/>
                      <w:ind w:left="0" w:right="-15" w:firstLine="0"/>
                      <w:jc w:val="left"/>
                      <w:rPr>
                        <w:sz w:val="20"/>
                      </w:rPr>
                    </w:pPr>
                    <w:r>
                      <w:rPr>
                        <w:w w:val="95"/>
                        <w:sz w:val="20"/>
                      </w:rPr>
                      <w:t>50</w:t>
                    </w:r>
                  </w:p>
                  <w:p>
                    <w:pPr>
                      <w:spacing w:line="240" w:lineRule="auto" w:before="3"/>
                      <w:rPr>
                        <w:sz w:val="20"/>
                      </w:rPr>
                    </w:pPr>
                  </w:p>
                  <w:p>
                    <w:pPr>
                      <w:spacing w:before="1"/>
                      <w:ind w:left="0" w:right="-15" w:firstLine="0"/>
                      <w:jc w:val="left"/>
                      <w:rPr>
                        <w:sz w:val="20"/>
                      </w:rPr>
                    </w:pPr>
                    <w:r>
                      <w:rPr>
                        <w:w w:val="95"/>
                        <w:sz w:val="20"/>
                      </w:rPr>
                      <w:t>40</w:t>
                    </w:r>
                  </w:p>
                  <w:p>
                    <w:pPr>
                      <w:spacing w:line="240" w:lineRule="auto" w:before="3"/>
                      <w:rPr>
                        <w:sz w:val="20"/>
                      </w:rPr>
                    </w:pPr>
                  </w:p>
                  <w:p>
                    <w:pPr>
                      <w:spacing w:before="1"/>
                      <w:ind w:left="0" w:right="-15" w:firstLine="0"/>
                      <w:jc w:val="left"/>
                      <w:rPr>
                        <w:sz w:val="20"/>
                      </w:rPr>
                    </w:pPr>
                    <w:r>
                      <w:rPr>
                        <w:w w:val="95"/>
                        <w:sz w:val="20"/>
                      </w:rPr>
                      <w:t>30</w:t>
                    </w:r>
                  </w:p>
                  <w:p>
                    <w:pPr>
                      <w:spacing w:line="240" w:lineRule="auto" w:before="3"/>
                      <w:rPr>
                        <w:sz w:val="20"/>
                      </w:rPr>
                    </w:pPr>
                  </w:p>
                  <w:p>
                    <w:pPr>
                      <w:spacing w:before="1"/>
                      <w:ind w:left="0" w:right="-15" w:firstLine="0"/>
                      <w:jc w:val="left"/>
                      <w:rPr>
                        <w:sz w:val="20"/>
                      </w:rPr>
                    </w:pPr>
                    <w:r>
                      <w:rPr>
                        <w:w w:val="95"/>
                        <w:sz w:val="20"/>
                      </w:rPr>
                      <w:t>20</w:t>
                    </w:r>
                  </w:p>
                  <w:p>
                    <w:pPr>
                      <w:spacing w:line="240" w:lineRule="auto" w:before="3"/>
                      <w:rPr>
                        <w:sz w:val="20"/>
                      </w:rPr>
                    </w:pPr>
                  </w:p>
                  <w:p>
                    <w:pPr>
                      <w:spacing w:before="1"/>
                      <w:ind w:left="0" w:right="-15" w:firstLine="0"/>
                      <w:jc w:val="left"/>
                      <w:rPr>
                        <w:sz w:val="20"/>
                      </w:rPr>
                    </w:pPr>
                    <w:r>
                      <w:rPr>
                        <w:w w:val="95"/>
                        <w:sz w:val="20"/>
                      </w:rPr>
                      <w:t>10</w:t>
                    </w:r>
                  </w:p>
                  <w:p>
                    <w:pPr>
                      <w:spacing w:line="240" w:lineRule="auto" w:before="3"/>
                      <w:rPr>
                        <w:sz w:val="20"/>
                      </w:rPr>
                    </w:pPr>
                  </w:p>
                  <w:p>
                    <w:pPr>
                      <w:spacing w:line="226" w:lineRule="exact" w:before="1"/>
                      <w:ind w:left="97" w:right="0" w:firstLine="0"/>
                      <w:jc w:val="left"/>
                      <w:rPr>
                        <w:sz w:val="20"/>
                      </w:rPr>
                    </w:pPr>
                    <w:r>
                      <w:rPr>
                        <w:w w:val="97"/>
                        <w:sz w:val="20"/>
                      </w:rPr>
                      <w:t>0</w:t>
                    </w:r>
                  </w:p>
                </w:txbxContent>
              </v:textbox>
              <w10:wrap type="none"/>
            </v:shape>
            <v:shape style="position:absolute;left:1969;top:5343;width:778;height:200" type="#_x0000_t202" filled="false" stroked="false">
              <v:textbox inset="0,0,0,0">
                <w:txbxContent>
                  <w:p>
                    <w:pPr>
                      <w:spacing w:line="200" w:lineRule="exact" w:before="0"/>
                      <w:ind w:left="0" w:right="-2" w:firstLine="0"/>
                      <w:jc w:val="left"/>
                      <w:rPr>
                        <w:sz w:val="20"/>
                      </w:rPr>
                    </w:pPr>
                    <w:r>
                      <w:rPr>
                        <w:w w:val="95"/>
                        <w:sz w:val="20"/>
                      </w:rPr>
                      <w:t>Ocupados</w:t>
                    </w:r>
                  </w:p>
                </w:txbxContent>
              </v:textbox>
              <w10:wrap type="none"/>
            </v:shape>
            <v:shape style="position:absolute;left:3249;top:5343;width:682;height:200" type="#_x0000_t202" filled="false" stroked="false">
              <v:textbox inset="0,0,0,0">
                <w:txbxContent>
                  <w:p>
                    <w:pPr>
                      <w:spacing w:line="200" w:lineRule="exact" w:before="0"/>
                      <w:ind w:left="0" w:right="-3" w:firstLine="0"/>
                      <w:jc w:val="left"/>
                      <w:rPr>
                        <w:sz w:val="20"/>
                      </w:rPr>
                    </w:pPr>
                    <w:r>
                      <w:rPr>
                        <w:w w:val="95"/>
                        <w:sz w:val="20"/>
                      </w:rPr>
                      <w:t>Estudian</w:t>
                    </w:r>
                  </w:p>
                </w:txbxContent>
              </v:textbox>
              <w10:wrap type="none"/>
            </v:shape>
            <v:shape style="position:absolute;left:4335;top:5343;width:2239;height:680" type="#_x0000_t202" filled="false" stroked="false">
              <v:textbox inset="0,0,0,0">
                <w:txbxContent>
                  <w:p>
                    <w:pPr>
                      <w:tabs>
                        <w:tab w:pos="1245" w:val="left" w:leader="none"/>
                      </w:tabs>
                      <w:spacing w:line="204" w:lineRule="exact" w:before="0"/>
                      <w:ind w:left="56" w:right="0" w:firstLine="0"/>
                      <w:jc w:val="left"/>
                      <w:rPr>
                        <w:sz w:val="20"/>
                      </w:rPr>
                    </w:pPr>
                    <w:r>
                      <w:rPr>
                        <w:sz w:val="20"/>
                      </w:rPr>
                      <w:t>Quehaceres</w:t>
                      <w:tab/>
                    </w:r>
                    <w:r>
                      <w:rPr>
                        <w:spacing w:val="-1"/>
                        <w:w w:val="95"/>
                        <w:sz w:val="20"/>
                      </w:rPr>
                      <w:t>Quehaceresa</w:t>
                    </w:r>
                  </w:p>
                  <w:p>
                    <w:pPr>
                      <w:tabs>
                        <w:tab w:pos="1304" w:val="left" w:leader="none"/>
                      </w:tabs>
                      <w:spacing w:line="249" w:lineRule="auto" w:before="10"/>
                      <w:ind w:left="186" w:right="56" w:hanging="187"/>
                      <w:jc w:val="left"/>
                      <w:rPr>
                        <w:sz w:val="20"/>
                      </w:rPr>
                    </w:pPr>
                    <w:r>
                      <w:rPr>
                        <w:sz w:val="20"/>
                      </w:rPr>
                      <w:t>domésticos</w:t>
                    </w:r>
                    <w:r>
                      <w:rPr>
                        <w:spacing w:val="-11"/>
                        <w:sz w:val="20"/>
                      </w:rPr>
                      <w:t> </w:t>
                    </w:r>
                    <w:r>
                      <w:rPr>
                        <w:sz w:val="20"/>
                      </w:rPr>
                      <w:t>y</w:t>
                      <w:tab/>
                    </w:r>
                    <w:r>
                      <w:rPr>
                        <w:w w:val="95"/>
                        <w:sz w:val="20"/>
                      </w:rPr>
                      <w:t>domésticos </w:t>
                    </w:r>
                    <w:r>
                      <w:rPr>
                        <w:sz w:val="20"/>
                      </w:rPr>
                      <w:t>estudian</w:t>
                    </w:r>
                  </w:p>
                </w:txbxContent>
              </v:textbox>
              <w10:wrap type="none"/>
            </v:shape>
            <v:shape style="position:absolute;left:2908;top:6282;width:1660;height:200" type="#_x0000_t202" filled="false" stroked="false">
              <v:textbox inset="0,0,0,0">
                <w:txbxContent>
                  <w:p>
                    <w:pPr>
                      <w:tabs>
                        <w:tab w:pos="1022" w:val="left" w:leader="none"/>
                      </w:tabs>
                      <w:spacing w:line="200" w:lineRule="exact" w:before="0"/>
                      <w:ind w:left="0" w:right="0" w:firstLine="0"/>
                      <w:jc w:val="left"/>
                      <w:rPr>
                        <w:sz w:val="20"/>
                      </w:rPr>
                    </w:pPr>
                    <w:r>
                      <w:rPr>
                        <w:sz w:val="20"/>
                      </w:rPr>
                      <w:t>Hombres</w:t>
                      <w:tab/>
                    </w:r>
                    <w:r>
                      <w:rPr>
                        <w:spacing w:val="-1"/>
                        <w:w w:val="95"/>
                        <w:sz w:val="20"/>
                      </w:rPr>
                      <w:t>Mujeres</w:t>
                    </w:r>
                  </w:p>
                </w:txbxContent>
              </v:textbox>
              <w10:wrap type="none"/>
            </v:shape>
            <w10:wrap type="topAndBottom"/>
          </v:group>
        </w:pict>
      </w:r>
      <w:r>
        <w:rPr>
          <w:sz w:val="19"/>
        </w:rPr>
        <w:t>Gráfica 2. Clasificación de las actividades por  sexo</w:t>
      </w:r>
    </w:p>
    <w:p>
      <w:pPr>
        <w:spacing w:line="244" w:lineRule="auto" w:before="0"/>
        <w:ind w:left="151" w:right="803" w:hanging="1"/>
        <w:jc w:val="left"/>
        <w:rPr>
          <w:sz w:val="16"/>
        </w:rPr>
      </w:pPr>
      <w:r>
        <w:rPr>
          <w:sz w:val="16"/>
        </w:rPr>
        <w:t>Fuente:</w:t>
      </w:r>
      <w:r>
        <w:rPr>
          <w:spacing w:val="-16"/>
          <w:sz w:val="16"/>
        </w:rPr>
        <w:t> </w:t>
      </w:r>
      <w:r>
        <w:rPr>
          <w:sz w:val="16"/>
        </w:rPr>
        <w:t>elaboración</w:t>
      </w:r>
      <w:r>
        <w:rPr>
          <w:spacing w:val="-16"/>
          <w:sz w:val="16"/>
        </w:rPr>
        <w:t> </w:t>
      </w:r>
      <w:r>
        <w:rPr>
          <w:sz w:val="16"/>
        </w:rPr>
        <w:t>propia</w:t>
      </w:r>
      <w:r>
        <w:rPr>
          <w:spacing w:val="-16"/>
          <w:sz w:val="16"/>
        </w:rPr>
        <w:t> </w:t>
      </w:r>
      <w:r>
        <w:rPr>
          <w:sz w:val="16"/>
        </w:rPr>
        <w:t>con</w:t>
      </w:r>
      <w:r>
        <w:rPr>
          <w:spacing w:val="-16"/>
          <w:sz w:val="16"/>
        </w:rPr>
        <w:t> </w:t>
      </w:r>
      <w:r>
        <w:rPr>
          <w:sz w:val="16"/>
        </w:rPr>
        <w:t>base</w:t>
      </w:r>
      <w:r>
        <w:rPr>
          <w:spacing w:val="-16"/>
          <w:sz w:val="16"/>
        </w:rPr>
        <w:t> </w:t>
      </w:r>
      <w:r>
        <w:rPr>
          <w:sz w:val="16"/>
        </w:rPr>
        <w:t>en</w:t>
      </w:r>
      <w:r>
        <w:rPr>
          <w:spacing w:val="-17"/>
          <w:sz w:val="16"/>
        </w:rPr>
        <w:t> </w:t>
      </w:r>
      <w:r>
        <w:rPr>
          <w:sz w:val="16"/>
        </w:rPr>
        <w:t>Encuesta</w:t>
      </w:r>
      <w:r>
        <w:rPr>
          <w:spacing w:val="-16"/>
          <w:sz w:val="16"/>
        </w:rPr>
        <w:t> </w:t>
      </w:r>
      <w:r>
        <w:rPr>
          <w:sz w:val="16"/>
        </w:rPr>
        <w:t>Nacional</w:t>
      </w:r>
      <w:r>
        <w:rPr>
          <w:spacing w:val="-16"/>
          <w:sz w:val="16"/>
        </w:rPr>
        <w:t> </w:t>
      </w:r>
      <w:r>
        <w:rPr>
          <w:sz w:val="16"/>
        </w:rPr>
        <w:t>de</w:t>
      </w:r>
      <w:r>
        <w:rPr>
          <w:spacing w:val="-16"/>
          <w:sz w:val="16"/>
        </w:rPr>
        <w:t> </w:t>
      </w:r>
      <w:r>
        <w:rPr>
          <w:sz w:val="16"/>
        </w:rPr>
        <w:t>Ocupación</w:t>
      </w:r>
      <w:r>
        <w:rPr>
          <w:spacing w:val="-16"/>
          <w:sz w:val="16"/>
        </w:rPr>
        <w:t> </w:t>
      </w:r>
      <w:r>
        <w:rPr>
          <w:sz w:val="16"/>
        </w:rPr>
        <w:t>y Empleo</w:t>
      </w:r>
      <w:r>
        <w:rPr>
          <w:spacing w:val="-16"/>
          <w:sz w:val="16"/>
        </w:rPr>
        <w:t> </w:t>
      </w:r>
      <w:r>
        <w:rPr>
          <w:sz w:val="16"/>
        </w:rPr>
        <w:t>2013,</w:t>
      </w:r>
      <w:r>
        <w:rPr>
          <w:spacing w:val="-16"/>
          <w:sz w:val="16"/>
        </w:rPr>
        <w:t> </w:t>
      </w:r>
      <w:r>
        <w:rPr>
          <w:sz w:val="16"/>
        </w:rPr>
        <w:t>Módulo</w:t>
      </w:r>
      <w:r>
        <w:rPr>
          <w:spacing w:val="-16"/>
          <w:sz w:val="16"/>
        </w:rPr>
        <w:t> </w:t>
      </w:r>
      <w:r>
        <w:rPr>
          <w:sz w:val="16"/>
        </w:rPr>
        <w:t>de</w:t>
      </w:r>
      <w:r>
        <w:rPr>
          <w:spacing w:val="8"/>
          <w:sz w:val="16"/>
        </w:rPr>
        <w:t> </w:t>
      </w:r>
      <w:r>
        <w:rPr>
          <w:sz w:val="16"/>
        </w:rPr>
        <w:t>Trabajo</w:t>
      </w:r>
      <w:r>
        <w:rPr>
          <w:spacing w:val="-16"/>
          <w:sz w:val="16"/>
        </w:rPr>
        <w:t> </w:t>
      </w:r>
      <w:r>
        <w:rPr>
          <w:sz w:val="16"/>
        </w:rPr>
        <w:t>Infantil,</w:t>
      </w:r>
      <w:r>
        <w:rPr>
          <w:spacing w:val="-16"/>
          <w:sz w:val="16"/>
        </w:rPr>
        <w:t> </w:t>
      </w:r>
      <w:r>
        <w:rPr>
          <w:sz w:val="16"/>
        </w:rPr>
        <w:t>INEGI,</w:t>
      </w:r>
      <w:r>
        <w:rPr>
          <w:spacing w:val="-16"/>
          <w:sz w:val="16"/>
        </w:rPr>
        <w:t> </w:t>
      </w:r>
      <w:r>
        <w:rPr>
          <w:sz w:val="16"/>
        </w:rPr>
        <w:t>2013</w:t>
      </w:r>
    </w:p>
    <w:p>
      <w:pPr>
        <w:pStyle w:val="BodyText"/>
        <w:spacing w:line="249" w:lineRule="auto" w:before="101"/>
        <w:ind w:left="113" w:right="148" w:firstLine="283"/>
        <w:jc w:val="both"/>
      </w:pPr>
      <w:r>
        <w:rPr>
          <w:color w:val="231F20"/>
        </w:rPr>
        <w:t>Autores como Estrada (2005), Cartwrigth (2006) y López (2006) mencionan que, en áreas rurales, los niveles de trabajo infantil son más altos, ya que los niños son introducidos a temprana edad a las activida- des laborales y actividades en la esfera de la reproducción. Esto sucede porque en las localidades rurales los menores son introducidos a dichas actividades como una forma de socialización y formación.</w:t>
      </w:r>
    </w:p>
    <w:p>
      <w:pPr>
        <w:spacing w:after="0" w:line="249" w:lineRule="auto"/>
        <w:jc w:val="both"/>
        <w:sectPr>
          <w:footerReference w:type="default" r:id="rId290"/>
          <w:pgSz w:w="7770" w:h="11740"/>
          <w:pgMar w:footer="474" w:header="0" w:top="840" w:bottom="660" w:left="1020" w:right="700"/>
          <w:pgNumType w:start="285"/>
        </w:sectPr>
      </w:pPr>
    </w:p>
    <w:p>
      <w:pPr>
        <w:pStyle w:val="BodyText"/>
        <w:spacing w:line="249" w:lineRule="auto" w:before="60"/>
        <w:ind w:left="110" w:right="111" w:firstLine="283"/>
        <w:jc w:val="both"/>
      </w:pPr>
      <w:r>
        <w:rPr>
          <w:color w:val="231F20"/>
        </w:rPr>
        <w:t>La clasificación muestra que de las actividades de los menores de cinco a once años y el tipo de localidad, los menores en áreas urbanas</w:t>
      </w:r>
      <w:r>
        <w:rPr>
          <w:color w:val="231F20"/>
          <w:position w:val="7"/>
          <w:sz w:val="11"/>
        </w:rPr>
        <w:t>10 </w:t>
      </w:r>
      <w:r>
        <w:rPr>
          <w:color w:val="231F20"/>
        </w:rPr>
        <w:t>desempeñan las siguientes actividades: 61.78 por ciento de los menores realizan</w:t>
      </w:r>
      <w:r>
        <w:rPr>
          <w:color w:val="231F20"/>
          <w:spacing w:val="-11"/>
        </w:rPr>
        <w:t> </w:t>
      </w:r>
      <w:r>
        <w:rPr>
          <w:color w:val="231F20"/>
        </w:rPr>
        <w:t>quehaceres</w:t>
      </w:r>
      <w:r>
        <w:rPr>
          <w:color w:val="231F20"/>
          <w:spacing w:val="-11"/>
        </w:rPr>
        <w:t> </w:t>
      </w:r>
      <w:r>
        <w:rPr>
          <w:color w:val="231F20"/>
        </w:rPr>
        <w:t>domésticos</w:t>
      </w:r>
      <w:r>
        <w:rPr>
          <w:color w:val="231F20"/>
          <w:spacing w:val="-11"/>
        </w:rPr>
        <w:t> </w:t>
      </w:r>
      <w:r>
        <w:rPr>
          <w:color w:val="231F20"/>
        </w:rPr>
        <w:t>y</w:t>
      </w:r>
      <w:r>
        <w:rPr>
          <w:color w:val="231F20"/>
          <w:spacing w:val="-11"/>
        </w:rPr>
        <w:t> </w:t>
      </w:r>
      <w:r>
        <w:rPr>
          <w:color w:val="231F20"/>
        </w:rPr>
        <w:t>estudian,</w:t>
      </w:r>
      <w:r>
        <w:rPr>
          <w:color w:val="231F20"/>
          <w:spacing w:val="-11"/>
        </w:rPr>
        <w:t> </w:t>
      </w:r>
      <w:r>
        <w:rPr>
          <w:color w:val="231F20"/>
        </w:rPr>
        <w:t>28.88</w:t>
      </w:r>
      <w:r>
        <w:rPr>
          <w:color w:val="231F20"/>
          <w:spacing w:val="-11"/>
        </w:rPr>
        <w:t> </w:t>
      </w:r>
      <w:r>
        <w:rPr>
          <w:color w:val="231F20"/>
        </w:rPr>
        <w:t>por</w:t>
      </w:r>
      <w:r>
        <w:rPr>
          <w:color w:val="231F20"/>
          <w:spacing w:val="-11"/>
        </w:rPr>
        <w:t> </w:t>
      </w:r>
      <w:r>
        <w:rPr>
          <w:color w:val="231F20"/>
        </w:rPr>
        <w:t>ciento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meno- res</w:t>
      </w:r>
      <w:r>
        <w:rPr>
          <w:color w:val="231F20"/>
          <w:spacing w:val="-7"/>
        </w:rPr>
        <w:t> </w:t>
      </w:r>
      <w:r>
        <w:rPr>
          <w:color w:val="231F20"/>
        </w:rPr>
        <w:t>sólo</w:t>
      </w:r>
      <w:r>
        <w:rPr>
          <w:color w:val="231F20"/>
          <w:spacing w:val="-7"/>
        </w:rPr>
        <w:t> </w:t>
      </w:r>
      <w:r>
        <w:rPr>
          <w:color w:val="231F20"/>
        </w:rPr>
        <w:t>estudian</w:t>
      </w:r>
      <w:r>
        <w:rPr>
          <w:color w:val="231F20"/>
          <w:spacing w:val="-7"/>
        </w:rPr>
        <w:t> </w:t>
      </w:r>
      <w:r>
        <w:rPr>
          <w:color w:val="231F20"/>
        </w:rPr>
        <w:t>2.48</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menores</w:t>
      </w:r>
      <w:r>
        <w:rPr>
          <w:color w:val="231F20"/>
          <w:spacing w:val="-7"/>
        </w:rPr>
        <w:t> </w:t>
      </w:r>
      <w:r>
        <w:rPr>
          <w:color w:val="231F20"/>
        </w:rPr>
        <w:t>realizan</w:t>
      </w:r>
      <w:r>
        <w:rPr>
          <w:color w:val="231F20"/>
          <w:spacing w:val="-7"/>
        </w:rPr>
        <w:t> </w:t>
      </w:r>
      <w:r>
        <w:rPr>
          <w:color w:val="231F20"/>
        </w:rPr>
        <w:t>sólo</w:t>
      </w:r>
      <w:r>
        <w:rPr>
          <w:color w:val="231F20"/>
          <w:spacing w:val="-7"/>
        </w:rPr>
        <w:t> </w:t>
      </w:r>
      <w:r>
        <w:rPr>
          <w:color w:val="231F20"/>
        </w:rPr>
        <w:t>quehaceres domésticos.</w:t>
      </w:r>
    </w:p>
    <w:p>
      <w:pPr>
        <w:pStyle w:val="BodyText"/>
        <w:spacing w:line="249" w:lineRule="auto" w:before="1"/>
        <w:ind w:left="110" w:right="111" w:firstLine="283"/>
        <w:jc w:val="both"/>
      </w:pPr>
      <w:r>
        <w:rPr>
          <w:color w:val="231F20"/>
        </w:rPr>
        <w:t>Mientras</w:t>
      </w:r>
      <w:r>
        <w:rPr>
          <w:color w:val="231F20"/>
          <w:spacing w:val="-8"/>
        </w:rPr>
        <w:t> </w:t>
      </w:r>
      <w:r>
        <w:rPr>
          <w:color w:val="231F20"/>
        </w:rPr>
        <w:t>que</w:t>
      </w:r>
      <w:r>
        <w:rPr>
          <w:color w:val="231F20"/>
          <w:spacing w:val="-8"/>
        </w:rPr>
        <w:t> </w:t>
      </w:r>
      <w:r>
        <w:rPr>
          <w:color w:val="231F20"/>
        </w:rPr>
        <w:t>en</w:t>
      </w:r>
      <w:r>
        <w:rPr>
          <w:color w:val="231F20"/>
          <w:spacing w:val="-9"/>
        </w:rPr>
        <w:t> </w:t>
      </w:r>
      <w:r>
        <w:rPr>
          <w:color w:val="231F20"/>
        </w:rPr>
        <w:t>zonas</w:t>
      </w:r>
      <w:r>
        <w:rPr>
          <w:color w:val="231F20"/>
          <w:spacing w:val="-9"/>
        </w:rPr>
        <w:t> </w:t>
      </w:r>
      <w:r>
        <w:rPr>
          <w:color w:val="231F20"/>
        </w:rPr>
        <w:t>rurales</w:t>
      </w:r>
      <w:r>
        <w:rPr>
          <w:color w:val="231F20"/>
          <w:spacing w:val="-8"/>
        </w:rPr>
        <w:t> </w:t>
      </w:r>
      <w:r>
        <w:rPr>
          <w:color w:val="231F20"/>
        </w:rPr>
        <w:t>56.45</w:t>
      </w:r>
      <w:r>
        <w:rPr>
          <w:color w:val="231F20"/>
          <w:spacing w:val="-8"/>
        </w:rPr>
        <w:t> </w:t>
      </w:r>
      <w:r>
        <w:rPr>
          <w:color w:val="231F20"/>
        </w:rPr>
        <w:t>por</w:t>
      </w:r>
      <w:r>
        <w:rPr>
          <w:color w:val="231F20"/>
          <w:spacing w:val="-8"/>
        </w:rPr>
        <w:t> </w:t>
      </w:r>
      <w:r>
        <w:rPr>
          <w:color w:val="231F20"/>
        </w:rPr>
        <w:t>ciento</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menores</w:t>
      </w:r>
      <w:r>
        <w:rPr>
          <w:color w:val="231F20"/>
          <w:spacing w:val="-9"/>
        </w:rPr>
        <w:t> </w:t>
      </w:r>
      <w:r>
        <w:rPr>
          <w:color w:val="231F20"/>
        </w:rPr>
        <w:t>realiza quehaceres</w:t>
      </w:r>
      <w:r>
        <w:rPr>
          <w:color w:val="231F20"/>
          <w:spacing w:val="-9"/>
        </w:rPr>
        <w:t> </w:t>
      </w:r>
      <w:r>
        <w:rPr>
          <w:color w:val="231F20"/>
        </w:rPr>
        <w:t>domésticos</w:t>
      </w:r>
      <w:r>
        <w:rPr>
          <w:color w:val="231F20"/>
          <w:spacing w:val="-9"/>
        </w:rPr>
        <w:t> </w:t>
      </w:r>
      <w:r>
        <w:rPr>
          <w:color w:val="231F20"/>
        </w:rPr>
        <w:t>y</w:t>
      </w:r>
      <w:r>
        <w:rPr>
          <w:color w:val="231F20"/>
          <w:spacing w:val="-9"/>
        </w:rPr>
        <w:t> </w:t>
      </w:r>
      <w:r>
        <w:rPr>
          <w:color w:val="231F20"/>
        </w:rPr>
        <w:t>estudia,</w:t>
      </w:r>
      <w:r>
        <w:rPr>
          <w:color w:val="231F20"/>
          <w:spacing w:val="-9"/>
        </w:rPr>
        <w:t> </w:t>
      </w:r>
      <w:r>
        <w:rPr>
          <w:color w:val="231F20"/>
        </w:rPr>
        <w:t>seguido</w:t>
      </w:r>
      <w:r>
        <w:rPr>
          <w:color w:val="231F20"/>
          <w:spacing w:val="-8"/>
        </w:rPr>
        <w:t> </w:t>
      </w:r>
      <w:r>
        <w:rPr>
          <w:color w:val="231F20"/>
        </w:rPr>
        <w:t>de</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sólo</w:t>
      </w:r>
      <w:r>
        <w:rPr>
          <w:color w:val="231F20"/>
          <w:spacing w:val="-8"/>
        </w:rPr>
        <w:t> </w:t>
      </w:r>
      <w:r>
        <w:rPr>
          <w:color w:val="231F20"/>
        </w:rPr>
        <w:t>estudian</w:t>
      </w:r>
      <w:r>
        <w:rPr>
          <w:color w:val="231F20"/>
          <w:spacing w:val="-9"/>
        </w:rPr>
        <w:t> </w:t>
      </w:r>
      <w:r>
        <w:rPr>
          <w:color w:val="231F20"/>
        </w:rPr>
        <w:t>(27.88 por ciento), el porcentaje de menores ocupados (11.13 por ciento) y los que sólo realizan quehaceres domésticos (4.55 por ciento) es mayor en los</w:t>
      </w:r>
      <w:r>
        <w:rPr>
          <w:color w:val="231F20"/>
          <w:spacing w:val="-6"/>
        </w:rPr>
        <w:t> </w:t>
      </w:r>
      <w:r>
        <w:rPr>
          <w:color w:val="231F20"/>
        </w:rPr>
        <w:t>zonas</w:t>
      </w:r>
      <w:r>
        <w:rPr>
          <w:color w:val="231F20"/>
          <w:spacing w:val="-6"/>
        </w:rPr>
        <w:t> </w:t>
      </w:r>
      <w:r>
        <w:rPr>
          <w:color w:val="231F20"/>
        </w:rPr>
        <w:t>rurales.</w:t>
      </w:r>
      <w:r>
        <w:rPr>
          <w:color w:val="231F20"/>
          <w:spacing w:val="-6"/>
        </w:rPr>
        <w:t> </w:t>
      </w:r>
      <w:r>
        <w:rPr>
          <w:color w:val="231F20"/>
        </w:rPr>
        <w:t>Un</w:t>
      </w:r>
      <w:r>
        <w:rPr>
          <w:color w:val="231F20"/>
          <w:spacing w:val="-6"/>
        </w:rPr>
        <w:t> </w:t>
      </w:r>
      <w:r>
        <w:rPr>
          <w:color w:val="231F20"/>
        </w:rPr>
        <w:t>dato</w:t>
      </w:r>
      <w:r>
        <w:rPr>
          <w:color w:val="231F20"/>
          <w:spacing w:val="-6"/>
        </w:rPr>
        <w:t> </w:t>
      </w:r>
      <w:r>
        <w:rPr>
          <w:color w:val="231F20"/>
        </w:rPr>
        <w:t>que</w:t>
      </w:r>
      <w:r>
        <w:rPr>
          <w:color w:val="231F20"/>
          <w:spacing w:val="-6"/>
        </w:rPr>
        <w:t> </w:t>
      </w:r>
      <w:r>
        <w:rPr>
          <w:color w:val="231F20"/>
        </w:rPr>
        <w:t>debe</w:t>
      </w:r>
      <w:r>
        <w:rPr>
          <w:color w:val="231F20"/>
          <w:spacing w:val="-6"/>
        </w:rPr>
        <w:t> </w:t>
      </w:r>
      <w:r>
        <w:rPr>
          <w:color w:val="231F20"/>
        </w:rPr>
        <w:t>resaltarse</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mayor</w:t>
      </w:r>
      <w:r>
        <w:rPr>
          <w:color w:val="231F20"/>
          <w:spacing w:val="-6"/>
        </w:rPr>
        <w:t> </w:t>
      </w:r>
      <w:r>
        <w:rPr>
          <w:color w:val="231F20"/>
        </w:rPr>
        <w:t>porcentaje de</w:t>
      </w:r>
      <w:r>
        <w:rPr>
          <w:color w:val="231F20"/>
          <w:spacing w:val="-5"/>
        </w:rPr>
        <w:t> </w:t>
      </w:r>
      <w:r>
        <w:rPr>
          <w:color w:val="231F20"/>
        </w:rPr>
        <w:t>menores</w:t>
      </w:r>
      <w:r>
        <w:rPr>
          <w:color w:val="231F20"/>
          <w:spacing w:val="-6"/>
        </w:rPr>
        <w:t> </w:t>
      </w:r>
      <w:r>
        <w:rPr>
          <w:color w:val="231F20"/>
        </w:rPr>
        <w:t>se</w:t>
      </w:r>
      <w:r>
        <w:rPr>
          <w:color w:val="231F20"/>
          <w:spacing w:val="-5"/>
        </w:rPr>
        <w:t> </w:t>
      </w:r>
      <w:r>
        <w:rPr>
          <w:color w:val="231F20"/>
        </w:rPr>
        <w:t>concentra</w:t>
      </w:r>
      <w:r>
        <w:rPr>
          <w:color w:val="231F20"/>
          <w:spacing w:val="-6"/>
        </w:rPr>
        <w:t> </w:t>
      </w:r>
      <w:r>
        <w:rPr>
          <w:color w:val="231F20"/>
        </w:rPr>
        <w:t>en</w:t>
      </w:r>
      <w:r>
        <w:rPr>
          <w:color w:val="231F20"/>
          <w:spacing w:val="-6"/>
        </w:rPr>
        <w:t> </w:t>
      </w:r>
      <w:r>
        <w:rPr>
          <w:color w:val="231F20"/>
        </w:rPr>
        <w:t>los</w:t>
      </w:r>
      <w:r>
        <w:rPr>
          <w:color w:val="231F20"/>
          <w:spacing w:val="-5"/>
        </w:rPr>
        <w:t> </w:t>
      </w:r>
      <w:r>
        <w:rPr>
          <w:color w:val="231F20"/>
        </w:rPr>
        <w:t>quehaceres</w:t>
      </w:r>
      <w:r>
        <w:rPr>
          <w:color w:val="231F20"/>
          <w:spacing w:val="-5"/>
        </w:rPr>
        <w:t> </w:t>
      </w:r>
      <w:r>
        <w:rPr>
          <w:color w:val="231F20"/>
        </w:rPr>
        <w:t>domésticos</w:t>
      </w:r>
      <w:r>
        <w:rPr>
          <w:color w:val="231F20"/>
          <w:spacing w:val="-5"/>
        </w:rPr>
        <w:t> </w:t>
      </w:r>
      <w:r>
        <w:rPr>
          <w:color w:val="231F20"/>
        </w:rPr>
        <w:t>para</w:t>
      </w:r>
      <w:r>
        <w:rPr>
          <w:color w:val="231F20"/>
          <w:spacing w:val="-5"/>
        </w:rPr>
        <w:t> </w:t>
      </w:r>
      <w:r>
        <w:rPr>
          <w:color w:val="231F20"/>
        </w:rPr>
        <w:t>las</w:t>
      </w:r>
      <w:r>
        <w:rPr>
          <w:color w:val="231F20"/>
          <w:spacing w:val="-6"/>
        </w:rPr>
        <w:t> </w:t>
      </w:r>
      <w:r>
        <w:rPr>
          <w:color w:val="231F20"/>
        </w:rPr>
        <w:t>dos</w:t>
      </w:r>
      <w:r>
        <w:rPr>
          <w:color w:val="231F20"/>
          <w:spacing w:val="-5"/>
        </w:rPr>
        <w:t> </w:t>
      </w:r>
      <w:r>
        <w:rPr>
          <w:color w:val="231F20"/>
        </w:rPr>
        <w:t>áreas geográficas. Las cifras presentadas con anterioridad permiten confirmar lo que han señalado los autores anteriores, por lo que dentro de las áreas rurales se registra el mayor número de menores trabajadores laborales (11.13 por ciento de ocupados) (Cuadro</w:t>
      </w:r>
      <w:r>
        <w:rPr>
          <w:color w:val="231F20"/>
          <w:spacing w:val="-9"/>
        </w:rPr>
        <w:t> </w:t>
      </w:r>
      <w:r>
        <w:rPr>
          <w:color w:val="231F20"/>
        </w:rPr>
        <w:t>3).</w:t>
      </w:r>
    </w:p>
    <w:p>
      <w:pPr>
        <w:pStyle w:val="BodyText"/>
        <w:spacing w:before="7"/>
        <w:rPr>
          <w:sz w:val="11"/>
        </w:rPr>
      </w:pPr>
    </w:p>
    <w:p>
      <w:pPr>
        <w:spacing w:before="81"/>
        <w:ind w:left="211" w:right="0" w:firstLine="0"/>
        <w:jc w:val="left"/>
        <w:rPr>
          <w:sz w:val="19"/>
        </w:rPr>
      </w:pPr>
      <w:r>
        <w:rPr>
          <w:sz w:val="19"/>
        </w:rPr>
        <w:t>Cuadro 3. Clasificación de las actividades por tipo de localidad   (%)</w:t>
      </w:r>
    </w:p>
    <w:p>
      <w:pPr>
        <w:pStyle w:val="BodyText"/>
        <w:spacing w:before="6"/>
        <w:rPr>
          <w:sz w:val="8"/>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3"/>
        <w:gridCol w:w="987"/>
        <w:gridCol w:w="852"/>
        <w:gridCol w:w="1251"/>
        <w:gridCol w:w="1069"/>
        <w:gridCol w:w="671"/>
      </w:tblGrid>
      <w:tr>
        <w:trPr>
          <w:trHeight w:val="715" w:hRule="exact"/>
        </w:trPr>
        <w:tc>
          <w:tcPr>
            <w:tcW w:w="953" w:type="dxa"/>
            <w:tcBorders>
              <w:left w:val="nil"/>
              <w:right w:val="nil"/>
            </w:tcBorders>
          </w:tcPr>
          <w:p>
            <w:pPr>
              <w:pStyle w:val="TableParagraph"/>
              <w:jc w:val="left"/>
              <w:rPr>
                <w:sz w:val="20"/>
              </w:rPr>
            </w:pPr>
          </w:p>
          <w:p>
            <w:pPr>
              <w:pStyle w:val="TableParagraph"/>
              <w:spacing w:before="8"/>
              <w:jc w:val="left"/>
              <w:rPr>
                <w:sz w:val="21"/>
              </w:rPr>
            </w:pPr>
          </w:p>
          <w:p>
            <w:pPr>
              <w:pStyle w:val="TableParagraph"/>
              <w:ind w:left="54"/>
              <w:jc w:val="left"/>
              <w:rPr>
                <w:sz w:val="19"/>
              </w:rPr>
            </w:pPr>
            <w:r>
              <w:rPr>
                <w:sz w:val="19"/>
              </w:rPr>
              <w:t>Localidad</w:t>
            </w:r>
          </w:p>
        </w:tc>
        <w:tc>
          <w:tcPr>
            <w:tcW w:w="987" w:type="dxa"/>
            <w:tcBorders>
              <w:left w:val="nil"/>
              <w:right w:val="nil"/>
            </w:tcBorders>
          </w:tcPr>
          <w:p>
            <w:pPr>
              <w:pStyle w:val="TableParagraph"/>
              <w:jc w:val="left"/>
              <w:rPr>
                <w:sz w:val="20"/>
              </w:rPr>
            </w:pPr>
          </w:p>
          <w:p>
            <w:pPr>
              <w:pStyle w:val="TableParagraph"/>
              <w:spacing w:before="8"/>
              <w:jc w:val="left"/>
              <w:rPr>
                <w:sz w:val="21"/>
              </w:rPr>
            </w:pPr>
          </w:p>
          <w:p>
            <w:pPr>
              <w:pStyle w:val="TableParagraph"/>
              <w:ind w:right="86"/>
              <w:rPr>
                <w:sz w:val="19"/>
              </w:rPr>
            </w:pPr>
            <w:r>
              <w:rPr>
                <w:sz w:val="19"/>
              </w:rPr>
              <w:t>Ocupados</w:t>
            </w:r>
          </w:p>
        </w:tc>
        <w:tc>
          <w:tcPr>
            <w:tcW w:w="852" w:type="dxa"/>
            <w:tcBorders>
              <w:left w:val="nil"/>
              <w:right w:val="nil"/>
            </w:tcBorders>
          </w:tcPr>
          <w:p>
            <w:pPr>
              <w:pStyle w:val="TableParagraph"/>
              <w:spacing w:before="8"/>
              <w:jc w:val="left"/>
              <w:rPr>
                <w:sz w:val="21"/>
              </w:rPr>
            </w:pPr>
          </w:p>
          <w:p>
            <w:pPr>
              <w:pStyle w:val="TableParagraph"/>
              <w:spacing w:line="252" w:lineRule="auto"/>
              <w:ind w:left="88" w:right="103" w:firstLine="292"/>
              <w:jc w:val="left"/>
              <w:rPr>
                <w:sz w:val="19"/>
              </w:rPr>
            </w:pPr>
            <w:r>
              <w:rPr>
                <w:sz w:val="19"/>
              </w:rPr>
              <w:t>Sólo estudian</w:t>
            </w:r>
          </w:p>
        </w:tc>
        <w:tc>
          <w:tcPr>
            <w:tcW w:w="1251" w:type="dxa"/>
            <w:tcBorders>
              <w:left w:val="nil"/>
              <w:right w:val="nil"/>
            </w:tcBorders>
          </w:tcPr>
          <w:p>
            <w:pPr>
              <w:pStyle w:val="TableParagraph"/>
              <w:spacing w:line="252" w:lineRule="auto" w:before="19"/>
              <w:ind w:left="111" w:firstLine="114"/>
              <w:jc w:val="left"/>
              <w:rPr>
                <w:sz w:val="19"/>
              </w:rPr>
            </w:pPr>
            <w:r>
              <w:rPr>
                <w:sz w:val="19"/>
              </w:rPr>
              <w:t>Quehaceres domésticos y</w:t>
            </w:r>
          </w:p>
          <w:p>
            <w:pPr>
              <w:pStyle w:val="TableParagraph"/>
              <w:spacing w:before="1"/>
              <w:ind w:left="486"/>
              <w:jc w:val="left"/>
              <w:rPr>
                <w:sz w:val="19"/>
              </w:rPr>
            </w:pPr>
            <w:r>
              <w:rPr>
                <w:sz w:val="19"/>
              </w:rPr>
              <w:t>estudian</w:t>
            </w:r>
          </w:p>
        </w:tc>
        <w:tc>
          <w:tcPr>
            <w:tcW w:w="1069" w:type="dxa"/>
            <w:tcBorders>
              <w:left w:val="nil"/>
              <w:right w:val="nil"/>
            </w:tcBorders>
          </w:tcPr>
          <w:p>
            <w:pPr>
              <w:pStyle w:val="TableParagraph"/>
              <w:spacing w:line="252" w:lineRule="auto" w:before="19"/>
              <w:ind w:left="112" w:right="75" w:firstLine="521"/>
              <w:jc w:val="both"/>
              <w:rPr>
                <w:sz w:val="19"/>
              </w:rPr>
            </w:pPr>
            <w:r>
              <w:rPr>
                <w:sz w:val="19"/>
              </w:rPr>
              <w:t>Sólo quehaceres domésticos</w:t>
            </w:r>
          </w:p>
        </w:tc>
        <w:tc>
          <w:tcPr>
            <w:tcW w:w="671" w:type="dxa"/>
            <w:tcBorders>
              <w:left w:val="nil"/>
              <w:right w:val="nil"/>
            </w:tcBorders>
          </w:tcPr>
          <w:p>
            <w:pPr>
              <w:pStyle w:val="TableParagraph"/>
              <w:jc w:val="left"/>
              <w:rPr>
                <w:sz w:val="20"/>
              </w:rPr>
            </w:pPr>
          </w:p>
          <w:p>
            <w:pPr>
              <w:pStyle w:val="TableParagraph"/>
              <w:spacing w:before="8"/>
              <w:jc w:val="left"/>
              <w:rPr>
                <w:sz w:val="21"/>
              </w:rPr>
            </w:pPr>
          </w:p>
          <w:p>
            <w:pPr>
              <w:pStyle w:val="TableParagraph"/>
              <w:ind w:right="55"/>
              <w:rPr>
                <w:sz w:val="19"/>
              </w:rPr>
            </w:pPr>
            <w:r>
              <w:rPr>
                <w:sz w:val="19"/>
              </w:rPr>
              <w:t>Total</w:t>
            </w:r>
          </w:p>
        </w:tc>
      </w:tr>
      <w:tr>
        <w:trPr>
          <w:trHeight w:val="341" w:hRule="exact"/>
        </w:trPr>
        <w:tc>
          <w:tcPr>
            <w:tcW w:w="953" w:type="dxa"/>
            <w:tcBorders>
              <w:left w:val="nil"/>
              <w:bottom w:val="nil"/>
              <w:right w:val="nil"/>
            </w:tcBorders>
          </w:tcPr>
          <w:p>
            <w:pPr>
              <w:pStyle w:val="TableParagraph"/>
              <w:spacing w:before="53"/>
              <w:ind w:left="54"/>
              <w:jc w:val="left"/>
              <w:rPr>
                <w:sz w:val="19"/>
              </w:rPr>
            </w:pPr>
            <w:r>
              <w:rPr>
                <w:sz w:val="19"/>
              </w:rPr>
              <w:t>Urbana</w:t>
            </w:r>
          </w:p>
        </w:tc>
        <w:tc>
          <w:tcPr>
            <w:tcW w:w="987" w:type="dxa"/>
            <w:tcBorders>
              <w:left w:val="nil"/>
              <w:bottom w:val="nil"/>
              <w:right w:val="nil"/>
            </w:tcBorders>
          </w:tcPr>
          <w:p>
            <w:pPr>
              <w:pStyle w:val="TableParagraph"/>
              <w:spacing w:before="53"/>
              <w:ind w:right="86"/>
              <w:rPr>
                <w:sz w:val="19"/>
              </w:rPr>
            </w:pPr>
            <w:r>
              <w:rPr>
                <w:sz w:val="19"/>
              </w:rPr>
              <w:t>6.86</w:t>
            </w:r>
          </w:p>
        </w:tc>
        <w:tc>
          <w:tcPr>
            <w:tcW w:w="852" w:type="dxa"/>
            <w:tcBorders>
              <w:left w:val="nil"/>
              <w:bottom w:val="nil"/>
              <w:right w:val="nil"/>
            </w:tcBorders>
          </w:tcPr>
          <w:p>
            <w:pPr>
              <w:pStyle w:val="TableParagraph"/>
              <w:spacing w:before="53"/>
              <w:ind w:right="109"/>
              <w:rPr>
                <w:sz w:val="19"/>
              </w:rPr>
            </w:pPr>
            <w:r>
              <w:rPr>
                <w:sz w:val="19"/>
              </w:rPr>
              <w:t>28.88</w:t>
            </w:r>
          </w:p>
        </w:tc>
        <w:tc>
          <w:tcPr>
            <w:tcW w:w="1251" w:type="dxa"/>
            <w:tcBorders>
              <w:left w:val="nil"/>
              <w:bottom w:val="nil"/>
              <w:right w:val="nil"/>
            </w:tcBorders>
          </w:tcPr>
          <w:p>
            <w:pPr>
              <w:pStyle w:val="TableParagraph"/>
              <w:spacing w:before="53"/>
              <w:ind w:right="111"/>
              <w:rPr>
                <w:sz w:val="19"/>
              </w:rPr>
            </w:pPr>
            <w:r>
              <w:rPr>
                <w:sz w:val="19"/>
              </w:rPr>
              <w:t>61.78</w:t>
            </w:r>
          </w:p>
        </w:tc>
        <w:tc>
          <w:tcPr>
            <w:tcW w:w="1069" w:type="dxa"/>
            <w:tcBorders>
              <w:left w:val="nil"/>
              <w:bottom w:val="nil"/>
              <w:right w:val="nil"/>
            </w:tcBorders>
          </w:tcPr>
          <w:p>
            <w:pPr>
              <w:pStyle w:val="TableParagraph"/>
              <w:spacing w:before="53"/>
              <w:ind w:right="75"/>
              <w:rPr>
                <w:sz w:val="19"/>
              </w:rPr>
            </w:pPr>
            <w:r>
              <w:rPr>
                <w:sz w:val="19"/>
              </w:rPr>
              <w:t>2.48</w:t>
            </w:r>
          </w:p>
        </w:tc>
        <w:tc>
          <w:tcPr>
            <w:tcW w:w="671" w:type="dxa"/>
            <w:tcBorders>
              <w:left w:val="nil"/>
              <w:bottom w:val="nil"/>
              <w:right w:val="nil"/>
            </w:tcBorders>
          </w:tcPr>
          <w:p>
            <w:pPr>
              <w:pStyle w:val="TableParagraph"/>
              <w:spacing w:before="53"/>
              <w:ind w:right="54"/>
              <w:rPr>
                <w:sz w:val="19"/>
              </w:rPr>
            </w:pPr>
            <w:r>
              <w:rPr>
                <w:sz w:val="19"/>
              </w:rPr>
              <w:t>100.00</w:t>
            </w:r>
          </w:p>
        </w:tc>
      </w:tr>
      <w:tr>
        <w:trPr>
          <w:trHeight w:val="331" w:hRule="exact"/>
        </w:trPr>
        <w:tc>
          <w:tcPr>
            <w:tcW w:w="953" w:type="dxa"/>
            <w:tcBorders>
              <w:top w:val="nil"/>
              <w:left w:val="nil"/>
              <w:bottom w:val="nil"/>
              <w:right w:val="nil"/>
            </w:tcBorders>
          </w:tcPr>
          <w:p>
            <w:pPr>
              <w:pStyle w:val="TableParagraph"/>
              <w:spacing w:before="48"/>
              <w:ind w:left="54"/>
              <w:jc w:val="left"/>
              <w:rPr>
                <w:sz w:val="19"/>
              </w:rPr>
            </w:pPr>
            <w:r>
              <w:rPr>
                <w:sz w:val="19"/>
              </w:rPr>
              <w:t>Rural</w:t>
            </w:r>
          </w:p>
        </w:tc>
        <w:tc>
          <w:tcPr>
            <w:tcW w:w="987" w:type="dxa"/>
            <w:tcBorders>
              <w:top w:val="nil"/>
              <w:left w:val="nil"/>
              <w:bottom w:val="nil"/>
              <w:right w:val="nil"/>
            </w:tcBorders>
          </w:tcPr>
          <w:p>
            <w:pPr>
              <w:pStyle w:val="TableParagraph"/>
              <w:spacing w:before="48"/>
              <w:ind w:right="86"/>
              <w:rPr>
                <w:sz w:val="19"/>
              </w:rPr>
            </w:pPr>
            <w:r>
              <w:rPr>
                <w:sz w:val="19"/>
              </w:rPr>
              <w:t>11.13</w:t>
            </w:r>
          </w:p>
        </w:tc>
        <w:tc>
          <w:tcPr>
            <w:tcW w:w="852" w:type="dxa"/>
            <w:tcBorders>
              <w:top w:val="nil"/>
              <w:left w:val="nil"/>
              <w:bottom w:val="nil"/>
              <w:right w:val="nil"/>
            </w:tcBorders>
          </w:tcPr>
          <w:p>
            <w:pPr>
              <w:pStyle w:val="TableParagraph"/>
              <w:spacing w:before="48"/>
              <w:ind w:right="109"/>
              <w:rPr>
                <w:sz w:val="19"/>
              </w:rPr>
            </w:pPr>
            <w:r>
              <w:rPr>
                <w:sz w:val="19"/>
              </w:rPr>
              <w:t>27.88</w:t>
            </w:r>
          </w:p>
        </w:tc>
        <w:tc>
          <w:tcPr>
            <w:tcW w:w="1251" w:type="dxa"/>
            <w:tcBorders>
              <w:top w:val="nil"/>
              <w:left w:val="nil"/>
              <w:bottom w:val="nil"/>
              <w:right w:val="nil"/>
            </w:tcBorders>
          </w:tcPr>
          <w:p>
            <w:pPr>
              <w:pStyle w:val="TableParagraph"/>
              <w:spacing w:before="48"/>
              <w:ind w:right="111"/>
              <w:rPr>
                <w:sz w:val="19"/>
              </w:rPr>
            </w:pPr>
            <w:r>
              <w:rPr>
                <w:sz w:val="19"/>
              </w:rPr>
              <w:t>56.45</w:t>
            </w:r>
          </w:p>
        </w:tc>
        <w:tc>
          <w:tcPr>
            <w:tcW w:w="1069" w:type="dxa"/>
            <w:tcBorders>
              <w:top w:val="nil"/>
              <w:left w:val="nil"/>
              <w:bottom w:val="nil"/>
              <w:right w:val="nil"/>
            </w:tcBorders>
          </w:tcPr>
          <w:p>
            <w:pPr>
              <w:pStyle w:val="TableParagraph"/>
              <w:spacing w:before="48"/>
              <w:ind w:right="75"/>
              <w:rPr>
                <w:sz w:val="19"/>
              </w:rPr>
            </w:pPr>
            <w:r>
              <w:rPr>
                <w:sz w:val="19"/>
              </w:rPr>
              <w:t>4.55</w:t>
            </w:r>
          </w:p>
        </w:tc>
        <w:tc>
          <w:tcPr>
            <w:tcW w:w="671" w:type="dxa"/>
            <w:tcBorders>
              <w:top w:val="nil"/>
              <w:left w:val="nil"/>
              <w:bottom w:val="nil"/>
              <w:right w:val="nil"/>
            </w:tcBorders>
          </w:tcPr>
          <w:p>
            <w:pPr>
              <w:pStyle w:val="TableParagraph"/>
              <w:spacing w:before="48"/>
              <w:ind w:right="54"/>
              <w:rPr>
                <w:sz w:val="19"/>
              </w:rPr>
            </w:pPr>
            <w:r>
              <w:rPr>
                <w:sz w:val="19"/>
              </w:rPr>
              <w:t>100.00</w:t>
            </w:r>
          </w:p>
        </w:tc>
      </w:tr>
      <w:tr>
        <w:trPr>
          <w:trHeight w:val="326" w:hRule="exact"/>
        </w:trPr>
        <w:tc>
          <w:tcPr>
            <w:tcW w:w="953" w:type="dxa"/>
            <w:tcBorders>
              <w:top w:val="nil"/>
              <w:left w:val="nil"/>
              <w:right w:val="nil"/>
            </w:tcBorders>
          </w:tcPr>
          <w:p>
            <w:pPr>
              <w:pStyle w:val="TableParagraph"/>
              <w:spacing w:before="48"/>
              <w:ind w:left="54"/>
              <w:jc w:val="left"/>
              <w:rPr>
                <w:sz w:val="19"/>
              </w:rPr>
            </w:pPr>
            <w:r>
              <w:rPr>
                <w:sz w:val="19"/>
              </w:rPr>
              <w:t>Total</w:t>
            </w:r>
          </w:p>
        </w:tc>
        <w:tc>
          <w:tcPr>
            <w:tcW w:w="987" w:type="dxa"/>
            <w:tcBorders>
              <w:top w:val="nil"/>
              <w:left w:val="nil"/>
              <w:right w:val="nil"/>
            </w:tcBorders>
          </w:tcPr>
          <w:p>
            <w:pPr>
              <w:pStyle w:val="TableParagraph"/>
              <w:spacing w:before="48"/>
              <w:ind w:right="86"/>
              <w:rPr>
                <w:sz w:val="19"/>
              </w:rPr>
            </w:pPr>
            <w:r>
              <w:rPr>
                <w:sz w:val="19"/>
              </w:rPr>
              <w:t>2.44</w:t>
            </w:r>
          </w:p>
        </w:tc>
        <w:tc>
          <w:tcPr>
            <w:tcW w:w="852" w:type="dxa"/>
            <w:tcBorders>
              <w:top w:val="nil"/>
              <w:left w:val="nil"/>
              <w:right w:val="nil"/>
            </w:tcBorders>
          </w:tcPr>
          <w:p>
            <w:pPr>
              <w:pStyle w:val="TableParagraph"/>
              <w:spacing w:before="48"/>
              <w:ind w:right="109"/>
              <w:rPr>
                <w:sz w:val="19"/>
              </w:rPr>
            </w:pPr>
            <w:r>
              <w:rPr>
                <w:sz w:val="19"/>
              </w:rPr>
              <w:t>43.33</w:t>
            </w:r>
          </w:p>
        </w:tc>
        <w:tc>
          <w:tcPr>
            <w:tcW w:w="1251" w:type="dxa"/>
            <w:tcBorders>
              <w:top w:val="nil"/>
              <w:left w:val="nil"/>
              <w:right w:val="nil"/>
            </w:tcBorders>
          </w:tcPr>
          <w:p>
            <w:pPr>
              <w:pStyle w:val="TableParagraph"/>
              <w:spacing w:before="48"/>
              <w:ind w:right="111"/>
              <w:rPr>
                <w:sz w:val="19"/>
              </w:rPr>
            </w:pPr>
            <w:r>
              <w:rPr>
                <w:sz w:val="19"/>
              </w:rPr>
              <w:t>53.04</w:t>
            </w:r>
          </w:p>
        </w:tc>
        <w:tc>
          <w:tcPr>
            <w:tcW w:w="1069" w:type="dxa"/>
            <w:tcBorders>
              <w:top w:val="nil"/>
              <w:left w:val="nil"/>
              <w:right w:val="nil"/>
            </w:tcBorders>
          </w:tcPr>
          <w:p>
            <w:pPr>
              <w:pStyle w:val="TableParagraph"/>
              <w:spacing w:before="48"/>
              <w:ind w:right="75"/>
              <w:rPr>
                <w:sz w:val="19"/>
              </w:rPr>
            </w:pPr>
            <w:r>
              <w:rPr>
                <w:sz w:val="19"/>
              </w:rPr>
              <w:t>1.19</w:t>
            </w:r>
          </w:p>
        </w:tc>
        <w:tc>
          <w:tcPr>
            <w:tcW w:w="671" w:type="dxa"/>
            <w:tcBorders>
              <w:top w:val="nil"/>
              <w:left w:val="nil"/>
              <w:right w:val="nil"/>
            </w:tcBorders>
          </w:tcPr>
          <w:p>
            <w:pPr>
              <w:pStyle w:val="TableParagraph"/>
              <w:spacing w:before="48"/>
              <w:ind w:right="55"/>
              <w:rPr>
                <w:sz w:val="19"/>
              </w:rPr>
            </w:pPr>
            <w:r>
              <w:rPr>
                <w:sz w:val="19"/>
              </w:rPr>
              <w:t>100.0</w:t>
            </w:r>
          </w:p>
        </w:tc>
      </w:tr>
    </w:tbl>
    <w:p>
      <w:pPr>
        <w:spacing w:line="244" w:lineRule="auto" w:before="0"/>
        <w:ind w:left="212" w:right="317" w:hanging="1"/>
        <w:jc w:val="left"/>
        <w:rPr>
          <w:sz w:val="16"/>
        </w:rPr>
      </w:pPr>
      <w:r>
        <w:rPr>
          <w:sz w:val="16"/>
        </w:rPr>
        <w:t>Fuente:</w:t>
      </w:r>
      <w:r>
        <w:rPr>
          <w:spacing w:val="-14"/>
          <w:sz w:val="16"/>
        </w:rPr>
        <w:t> </w:t>
      </w:r>
      <w:r>
        <w:rPr>
          <w:sz w:val="16"/>
        </w:rPr>
        <w:t>elaboración</w:t>
      </w:r>
      <w:r>
        <w:rPr>
          <w:spacing w:val="-14"/>
          <w:sz w:val="16"/>
        </w:rPr>
        <w:t> </w:t>
      </w:r>
      <w:r>
        <w:rPr>
          <w:sz w:val="16"/>
        </w:rPr>
        <w:t>propia</w:t>
      </w:r>
      <w:r>
        <w:rPr>
          <w:spacing w:val="-14"/>
          <w:sz w:val="16"/>
        </w:rPr>
        <w:t> </w:t>
      </w:r>
      <w:r>
        <w:rPr>
          <w:sz w:val="16"/>
        </w:rPr>
        <w:t>con</w:t>
      </w:r>
      <w:r>
        <w:rPr>
          <w:spacing w:val="-13"/>
          <w:sz w:val="16"/>
        </w:rPr>
        <w:t> </w:t>
      </w:r>
      <w:r>
        <w:rPr>
          <w:sz w:val="16"/>
        </w:rPr>
        <w:t>base</w:t>
      </w:r>
      <w:r>
        <w:rPr>
          <w:spacing w:val="-14"/>
          <w:sz w:val="16"/>
        </w:rPr>
        <w:t> </w:t>
      </w:r>
      <w:r>
        <w:rPr>
          <w:sz w:val="16"/>
        </w:rPr>
        <w:t>en</w:t>
      </w:r>
      <w:r>
        <w:rPr>
          <w:spacing w:val="-15"/>
          <w:sz w:val="16"/>
        </w:rPr>
        <w:t> </w:t>
      </w:r>
      <w:r>
        <w:rPr>
          <w:sz w:val="16"/>
        </w:rPr>
        <w:t>Encuesta</w:t>
      </w:r>
      <w:r>
        <w:rPr>
          <w:spacing w:val="-14"/>
          <w:sz w:val="16"/>
        </w:rPr>
        <w:t> </w:t>
      </w:r>
      <w:r>
        <w:rPr>
          <w:sz w:val="16"/>
        </w:rPr>
        <w:t>Nacional</w:t>
      </w:r>
      <w:r>
        <w:rPr>
          <w:spacing w:val="-14"/>
          <w:sz w:val="16"/>
        </w:rPr>
        <w:t> </w:t>
      </w:r>
      <w:r>
        <w:rPr>
          <w:sz w:val="16"/>
        </w:rPr>
        <w:t>de</w:t>
      </w:r>
      <w:r>
        <w:rPr>
          <w:spacing w:val="-14"/>
          <w:sz w:val="16"/>
        </w:rPr>
        <w:t> </w:t>
      </w:r>
      <w:r>
        <w:rPr>
          <w:sz w:val="16"/>
        </w:rPr>
        <w:t>Ocupación</w:t>
      </w:r>
      <w:r>
        <w:rPr>
          <w:spacing w:val="-14"/>
          <w:sz w:val="16"/>
        </w:rPr>
        <w:t> </w:t>
      </w:r>
      <w:r>
        <w:rPr>
          <w:sz w:val="16"/>
        </w:rPr>
        <w:t>y</w:t>
      </w:r>
      <w:r>
        <w:rPr>
          <w:spacing w:val="-14"/>
          <w:sz w:val="16"/>
        </w:rPr>
        <w:t> </w:t>
      </w:r>
      <w:r>
        <w:rPr>
          <w:sz w:val="16"/>
        </w:rPr>
        <w:t>Empleo 2013,</w:t>
      </w:r>
      <w:r>
        <w:rPr>
          <w:spacing w:val="-14"/>
          <w:sz w:val="16"/>
        </w:rPr>
        <w:t> </w:t>
      </w:r>
      <w:r>
        <w:rPr>
          <w:sz w:val="16"/>
        </w:rPr>
        <w:t>Módulo</w:t>
      </w:r>
      <w:r>
        <w:rPr>
          <w:spacing w:val="-14"/>
          <w:sz w:val="16"/>
        </w:rPr>
        <w:t> </w:t>
      </w:r>
      <w:r>
        <w:rPr>
          <w:sz w:val="16"/>
        </w:rPr>
        <w:t>de</w:t>
      </w:r>
      <w:r>
        <w:rPr>
          <w:spacing w:val="12"/>
          <w:sz w:val="16"/>
        </w:rPr>
        <w:t> </w:t>
      </w:r>
      <w:r>
        <w:rPr>
          <w:sz w:val="16"/>
        </w:rPr>
        <w:t>Trabajo</w:t>
      </w:r>
      <w:r>
        <w:rPr>
          <w:spacing w:val="-14"/>
          <w:sz w:val="16"/>
        </w:rPr>
        <w:t> </w:t>
      </w:r>
      <w:r>
        <w:rPr>
          <w:sz w:val="16"/>
        </w:rPr>
        <w:t>Infantil,</w:t>
      </w:r>
      <w:r>
        <w:rPr>
          <w:spacing w:val="-14"/>
          <w:sz w:val="16"/>
        </w:rPr>
        <w:t> </w:t>
      </w:r>
      <w:r>
        <w:rPr>
          <w:sz w:val="16"/>
        </w:rPr>
        <w:t>INEGI,</w:t>
      </w:r>
      <w:r>
        <w:rPr>
          <w:spacing w:val="-14"/>
          <w:sz w:val="16"/>
        </w:rPr>
        <w:t> </w:t>
      </w:r>
      <w:r>
        <w:rPr>
          <w:sz w:val="16"/>
        </w:rPr>
        <w:t>2013.</w:t>
      </w:r>
    </w:p>
    <w:p>
      <w:pPr>
        <w:pStyle w:val="BodyText"/>
        <w:spacing w:before="10"/>
        <w:rPr>
          <w:sz w:val="14"/>
        </w:rPr>
      </w:pPr>
    </w:p>
    <w:p>
      <w:pPr>
        <w:pStyle w:val="Heading5"/>
        <w:spacing w:before="70"/>
        <w:ind w:left="110"/>
        <w:rPr>
          <w:i/>
        </w:rPr>
      </w:pPr>
      <w:r>
        <w:rPr>
          <w:i/>
          <w:w w:val="75"/>
        </w:rPr>
        <w:t>Sólo estudian</w:t>
      </w:r>
    </w:p>
    <w:p>
      <w:pPr>
        <w:pStyle w:val="BodyText"/>
        <w:spacing w:line="249" w:lineRule="auto" w:before="171"/>
        <w:ind w:left="110" w:right="111"/>
        <w:jc w:val="both"/>
      </w:pPr>
      <w:r>
        <w:rPr>
          <w:color w:val="231F20"/>
        </w:rPr>
        <w:t>De acuerdo a las cifras presentadas en el Cuadro 3, 43.33 por ciento de la población infantil de cinco a once años de edad sólo estudia  mientras</w:t>
      </w:r>
    </w:p>
    <w:p>
      <w:pPr>
        <w:pStyle w:val="BodyText"/>
        <w:spacing w:line="249" w:lineRule="auto" w:before="1"/>
        <w:ind w:left="110" w:right="111"/>
        <w:jc w:val="both"/>
      </w:pPr>
      <w:r>
        <w:rPr>
          <w:color w:val="231F20"/>
        </w:rPr>
        <w:t>47.78 por ciento estudia y 53.04 por ciento realiza quehaceres domés- ticos, de los menores que sólo asisten a la escuela 79.06 por ciento son varones y 20.93 por ciento son niñas (Cuadro 4).</w:t>
      </w:r>
    </w:p>
    <w:p>
      <w:pPr>
        <w:pStyle w:val="BodyText"/>
        <w:spacing w:line="249" w:lineRule="auto" w:before="1"/>
        <w:ind w:left="110" w:right="111" w:firstLine="283"/>
        <w:jc w:val="both"/>
      </w:pPr>
      <w:r>
        <w:rPr>
          <w:color w:val="231F20"/>
        </w:rPr>
        <w:t>La tasa de asistencia escolar de los menores que estudian por edades individuales es mayor para los varones acentuándose los porcentajes a partir de la edad de ocho años poco más de 70 por ciento de los varones</w:t>
      </w:r>
    </w:p>
    <w:p>
      <w:pPr>
        <w:pStyle w:val="BodyText"/>
        <w:spacing w:before="10"/>
      </w:pPr>
    </w:p>
    <w:p>
      <w:pPr>
        <w:spacing w:before="0"/>
        <w:ind w:left="110" w:right="111" w:firstLine="0"/>
        <w:jc w:val="both"/>
        <w:rPr>
          <w:sz w:val="14"/>
        </w:rPr>
      </w:pPr>
      <w:r>
        <w:rPr>
          <w:color w:val="231F20"/>
          <w:position w:val="5"/>
          <w:sz w:val="8"/>
        </w:rPr>
        <w:t>10</w:t>
      </w:r>
      <w:r>
        <w:rPr>
          <w:color w:val="231F20"/>
          <w:spacing w:val="8"/>
          <w:position w:val="5"/>
          <w:sz w:val="8"/>
        </w:rPr>
        <w:t> </w:t>
      </w:r>
      <w:r>
        <w:rPr>
          <w:color w:val="231F20"/>
          <w:sz w:val="14"/>
        </w:rPr>
        <w:t>Se</w:t>
      </w:r>
      <w:r>
        <w:rPr>
          <w:color w:val="231F20"/>
          <w:spacing w:val="-6"/>
          <w:sz w:val="14"/>
        </w:rPr>
        <w:t> </w:t>
      </w:r>
      <w:r>
        <w:rPr>
          <w:color w:val="231F20"/>
          <w:sz w:val="14"/>
        </w:rPr>
        <w:t>entiende</w:t>
      </w:r>
      <w:r>
        <w:rPr>
          <w:color w:val="231F20"/>
          <w:spacing w:val="-7"/>
          <w:sz w:val="14"/>
        </w:rPr>
        <w:t> </w:t>
      </w:r>
      <w:r>
        <w:rPr>
          <w:color w:val="231F20"/>
          <w:sz w:val="14"/>
        </w:rPr>
        <w:t>por</w:t>
      </w:r>
      <w:r>
        <w:rPr>
          <w:color w:val="231F20"/>
          <w:spacing w:val="-7"/>
          <w:sz w:val="14"/>
        </w:rPr>
        <w:t> </w:t>
      </w:r>
      <w:r>
        <w:rPr>
          <w:color w:val="231F20"/>
          <w:sz w:val="14"/>
        </w:rPr>
        <w:t>localidad</w:t>
      </w:r>
      <w:r>
        <w:rPr>
          <w:color w:val="231F20"/>
          <w:spacing w:val="-7"/>
          <w:sz w:val="14"/>
        </w:rPr>
        <w:t> </w:t>
      </w:r>
      <w:r>
        <w:rPr>
          <w:color w:val="231F20"/>
          <w:sz w:val="14"/>
        </w:rPr>
        <w:t>urbana</w:t>
      </w:r>
      <w:r>
        <w:rPr>
          <w:color w:val="231F20"/>
          <w:spacing w:val="-6"/>
          <w:sz w:val="14"/>
        </w:rPr>
        <w:t> </w:t>
      </w:r>
      <w:r>
        <w:rPr>
          <w:sz w:val="14"/>
        </w:rPr>
        <w:t>la</w:t>
      </w:r>
      <w:r>
        <w:rPr>
          <w:spacing w:val="-7"/>
          <w:sz w:val="14"/>
        </w:rPr>
        <w:t> </w:t>
      </w:r>
      <w:r>
        <w:rPr>
          <w:sz w:val="14"/>
        </w:rPr>
        <w:t>población</w:t>
      </w:r>
      <w:r>
        <w:rPr>
          <w:spacing w:val="-6"/>
          <w:sz w:val="14"/>
        </w:rPr>
        <w:t> </w:t>
      </w:r>
      <w:r>
        <w:rPr>
          <w:sz w:val="14"/>
        </w:rPr>
        <w:t>que</w:t>
      </w:r>
      <w:r>
        <w:rPr>
          <w:spacing w:val="-6"/>
          <w:sz w:val="14"/>
        </w:rPr>
        <w:t> </w:t>
      </w:r>
      <w:r>
        <w:rPr>
          <w:sz w:val="14"/>
        </w:rPr>
        <w:t>habita</w:t>
      </w:r>
      <w:r>
        <w:rPr>
          <w:spacing w:val="-6"/>
          <w:sz w:val="14"/>
        </w:rPr>
        <w:t> </w:t>
      </w:r>
      <w:r>
        <w:rPr>
          <w:sz w:val="14"/>
        </w:rPr>
        <w:t>con</w:t>
      </w:r>
      <w:r>
        <w:rPr>
          <w:spacing w:val="-7"/>
          <w:sz w:val="14"/>
        </w:rPr>
        <w:t> </w:t>
      </w:r>
      <w:r>
        <w:rPr>
          <w:sz w:val="14"/>
        </w:rPr>
        <w:t>15</w:t>
      </w:r>
      <w:r>
        <w:rPr>
          <w:spacing w:val="-6"/>
          <w:sz w:val="14"/>
        </w:rPr>
        <w:t> </w:t>
      </w:r>
      <w:r>
        <w:rPr>
          <w:sz w:val="14"/>
        </w:rPr>
        <w:t>mil</w:t>
      </w:r>
      <w:r>
        <w:rPr>
          <w:spacing w:val="-7"/>
          <w:sz w:val="14"/>
        </w:rPr>
        <w:t> </w:t>
      </w:r>
      <w:r>
        <w:rPr>
          <w:sz w:val="14"/>
        </w:rPr>
        <w:t>y</w:t>
      </w:r>
      <w:r>
        <w:rPr>
          <w:spacing w:val="-7"/>
          <w:sz w:val="14"/>
        </w:rPr>
        <w:t> </w:t>
      </w:r>
      <w:r>
        <w:rPr>
          <w:sz w:val="14"/>
        </w:rPr>
        <w:t>más</w:t>
      </w:r>
      <w:r>
        <w:rPr>
          <w:spacing w:val="-7"/>
          <w:sz w:val="14"/>
        </w:rPr>
        <w:t> </w:t>
      </w:r>
      <w:r>
        <w:rPr>
          <w:sz w:val="14"/>
        </w:rPr>
        <w:t>habitantes</w:t>
      </w:r>
      <w:r>
        <w:rPr>
          <w:spacing w:val="-6"/>
          <w:sz w:val="14"/>
        </w:rPr>
        <w:t> </w:t>
      </w:r>
      <w:r>
        <w:rPr>
          <w:sz w:val="14"/>
        </w:rPr>
        <w:t>y</w:t>
      </w:r>
      <w:r>
        <w:rPr>
          <w:spacing w:val="-7"/>
          <w:sz w:val="14"/>
        </w:rPr>
        <w:t> </w:t>
      </w:r>
      <w:r>
        <w:rPr>
          <w:sz w:val="14"/>
        </w:rPr>
        <w:t>como</w:t>
      </w:r>
      <w:r>
        <w:rPr>
          <w:spacing w:val="-7"/>
          <w:sz w:val="14"/>
        </w:rPr>
        <w:t> </w:t>
      </w:r>
      <w:r>
        <w:rPr>
          <w:sz w:val="14"/>
        </w:rPr>
        <w:t>localidad rural la población que habita en localidades hasta 14,999</w:t>
      </w:r>
      <w:r>
        <w:rPr>
          <w:spacing w:val="-2"/>
          <w:sz w:val="14"/>
        </w:rPr>
        <w:t> </w:t>
      </w:r>
      <w:r>
        <w:rPr>
          <w:sz w:val="14"/>
        </w:rPr>
        <w:t>habitantes.</w:t>
      </w:r>
    </w:p>
    <w:p>
      <w:pPr>
        <w:spacing w:after="0"/>
        <w:jc w:val="both"/>
        <w:rPr>
          <w:sz w:val="14"/>
        </w:rPr>
        <w:sectPr>
          <w:pgSz w:w="7770" w:h="11740"/>
          <w:pgMar w:header="0" w:footer="474" w:top="840" w:bottom="740" w:left="740" w:right="1020"/>
        </w:sectPr>
      </w:pPr>
    </w:p>
    <w:p>
      <w:pPr>
        <w:pStyle w:val="BodyText"/>
        <w:spacing w:line="249" w:lineRule="auto" w:before="60"/>
        <w:ind w:left="113" w:right="99"/>
      </w:pPr>
      <w:r>
        <w:rPr>
          <w:color w:val="231F20"/>
        </w:rPr>
        <w:t>de</w:t>
      </w:r>
      <w:r>
        <w:rPr>
          <w:color w:val="231F20"/>
          <w:spacing w:val="-6"/>
        </w:rPr>
        <w:t> </w:t>
      </w:r>
      <w:r>
        <w:rPr>
          <w:color w:val="231F20"/>
        </w:rPr>
        <w:t>ocho</w:t>
      </w:r>
      <w:r>
        <w:rPr>
          <w:color w:val="231F20"/>
          <w:spacing w:val="-6"/>
        </w:rPr>
        <w:t> </w:t>
      </w:r>
      <w:r>
        <w:rPr>
          <w:color w:val="231F20"/>
        </w:rPr>
        <w:t>a</w:t>
      </w:r>
      <w:r>
        <w:rPr>
          <w:color w:val="231F20"/>
          <w:spacing w:val="-6"/>
        </w:rPr>
        <w:t> </w:t>
      </w:r>
      <w:r>
        <w:rPr>
          <w:color w:val="231F20"/>
        </w:rPr>
        <w:t>once</w:t>
      </w:r>
      <w:r>
        <w:rPr>
          <w:color w:val="231F20"/>
          <w:spacing w:val="-6"/>
        </w:rPr>
        <w:t> </w:t>
      </w:r>
      <w:r>
        <w:rPr>
          <w:color w:val="231F20"/>
        </w:rPr>
        <w:t>años</w:t>
      </w:r>
      <w:r>
        <w:rPr>
          <w:color w:val="231F20"/>
          <w:spacing w:val="-6"/>
        </w:rPr>
        <w:t> </w:t>
      </w:r>
      <w:r>
        <w:rPr>
          <w:color w:val="231F20"/>
        </w:rPr>
        <w:t>de</w:t>
      </w:r>
      <w:r>
        <w:rPr>
          <w:color w:val="231F20"/>
          <w:spacing w:val="-6"/>
        </w:rPr>
        <w:t> </w:t>
      </w:r>
      <w:r>
        <w:rPr>
          <w:color w:val="231F20"/>
        </w:rPr>
        <w:t>edad</w:t>
      </w:r>
      <w:r>
        <w:rPr>
          <w:color w:val="231F20"/>
          <w:spacing w:val="-6"/>
        </w:rPr>
        <w:t> </w:t>
      </w:r>
      <w:r>
        <w:rPr>
          <w:color w:val="231F20"/>
        </w:rPr>
        <w:t>asiste</w:t>
      </w:r>
      <w:r>
        <w:rPr>
          <w:color w:val="231F20"/>
          <w:spacing w:val="-7"/>
        </w:rPr>
        <w:t> </w:t>
      </w:r>
      <w:r>
        <w:rPr>
          <w:color w:val="231F20"/>
        </w:rPr>
        <w:t>a</w:t>
      </w:r>
      <w:r>
        <w:rPr>
          <w:color w:val="231F20"/>
          <w:spacing w:val="-6"/>
        </w:rPr>
        <w:t> </w:t>
      </w:r>
      <w:r>
        <w:rPr>
          <w:color w:val="231F20"/>
        </w:rPr>
        <w:t>las</w:t>
      </w:r>
      <w:r>
        <w:rPr>
          <w:color w:val="231F20"/>
          <w:spacing w:val="-6"/>
        </w:rPr>
        <w:t> </w:t>
      </w:r>
      <w:r>
        <w:rPr>
          <w:color w:val="231F20"/>
        </w:rPr>
        <w:t>cuela</w:t>
      </w:r>
      <w:r>
        <w:rPr>
          <w:color w:val="231F20"/>
          <w:spacing w:val="-7"/>
        </w:rPr>
        <w:t> </w:t>
      </w:r>
      <w:r>
        <w:rPr>
          <w:color w:val="231F20"/>
        </w:rPr>
        <w:t>en</w:t>
      </w:r>
      <w:r>
        <w:rPr>
          <w:color w:val="231F20"/>
          <w:spacing w:val="-6"/>
        </w:rPr>
        <w:t> </w:t>
      </w:r>
      <w:r>
        <w:rPr>
          <w:color w:val="231F20"/>
        </w:rPr>
        <w:t>contra</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niñas la asistencia escolar es menores a 30 por</w:t>
      </w:r>
      <w:r>
        <w:rPr>
          <w:color w:val="231F20"/>
          <w:spacing w:val="-5"/>
        </w:rPr>
        <w:t> </w:t>
      </w:r>
      <w:r>
        <w:rPr>
          <w:color w:val="231F20"/>
        </w:rPr>
        <w:t>ciento.</w:t>
      </w:r>
    </w:p>
    <w:p>
      <w:pPr>
        <w:pStyle w:val="BodyText"/>
        <w:spacing w:before="5"/>
        <w:rPr>
          <w:sz w:val="17"/>
        </w:rPr>
      </w:pPr>
    </w:p>
    <w:p>
      <w:pPr>
        <w:spacing w:line="252" w:lineRule="auto" w:before="1"/>
        <w:ind w:left="166" w:right="0" w:firstLine="0"/>
        <w:jc w:val="left"/>
        <w:rPr>
          <w:sz w:val="19"/>
        </w:rPr>
      </w:pPr>
      <w:r>
        <w:rPr>
          <w:sz w:val="19"/>
        </w:rPr>
        <w:t>Cuadro 4. Distribución porcentual de menores que estudian por edades individuales y sexo  (%)</w:t>
      </w:r>
    </w:p>
    <w:p>
      <w:pPr>
        <w:pStyle w:val="BodyText"/>
        <w:spacing w:before="6"/>
        <w:rPr>
          <w:sz w:val="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19"/>
        <w:gridCol w:w="1828"/>
        <w:gridCol w:w="1654"/>
        <w:gridCol w:w="1159"/>
      </w:tblGrid>
      <w:tr>
        <w:trPr>
          <w:trHeight w:val="245" w:hRule="exact"/>
        </w:trPr>
        <w:tc>
          <w:tcPr>
            <w:tcW w:w="1119" w:type="dxa"/>
            <w:tcBorders>
              <w:left w:val="nil"/>
              <w:right w:val="nil"/>
            </w:tcBorders>
          </w:tcPr>
          <w:p>
            <w:pPr>
              <w:pStyle w:val="TableParagraph"/>
              <w:spacing w:before="5"/>
              <w:ind w:left="52"/>
              <w:jc w:val="left"/>
              <w:rPr>
                <w:sz w:val="19"/>
              </w:rPr>
            </w:pPr>
            <w:r>
              <w:rPr>
                <w:sz w:val="19"/>
              </w:rPr>
              <w:t>Edad</w:t>
            </w:r>
          </w:p>
        </w:tc>
        <w:tc>
          <w:tcPr>
            <w:tcW w:w="1828" w:type="dxa"/>
            <w:tcBorders>
              <w:left w:val="nil"/>
              <w:right w:val="nil"/>
            </w:tcBorders>
          </w:tcPr>
          <w:p>
            <w:pPr>
              <w:pStyle w:val="TableParagraph"/>
              <w:spacing w:before="5"/>
              <w:ind w:right="442"/>
              <w:rPr>
                <w:sz w:val="19"/>
              </w:rPr>
            </w:pPr>
            <w:r>
              <w:rPr>
                <w:sz w:val="19"/>
              </w:rPr>
              <w:t>Hombres</w:t>
            </w:r>
          </w:p>
        </w:tc>
        <w:tc>
          <w:tcPr>
            <w:tcW w:w="1654" w:type="dxa"/>
            <w:tcBorders>
              <w:left w:val="nil"/>
              <w:right w:val="nil"/>
            </w:tcBorders>
          </w:tcPr>
          <w:p>
            <w:pPr>
              <w:pStyle w:val="TableParagraph"/>
              <w:spacing w:before="5"/>
              <w:ind w:right="563"/>
              <w:rPr>
                <w:sz w:val="19"/>
              </w:rPr>
            </w:pPr>
            <w:r>
              <w:rPr>
                <w:sz w:val="19"/>
              </w:rPr>
              <w:t>Mujeres</w:t>
            </w:r>
          </w:p>
        </w:tc>
        <w:tc>
          <w:tcPr>
            <w:tcW w:w="1159" w:type="dxa"/>
            <w:tcBorders>
              <w:left w:val="nil"/>
              <w:right w:val="nil"/>
            </w:tcBorders>
          </w:tcPr>
          <w:p>
            <w:pPr>
              <w:pStyle w:val="TableParagraph"/>
              <w:spacing w:before="5"/>
              <w:ind w:right="52"/>
              <w:rPr>
                <w:sz w:val="19"/>
              </w:rPr>
            </w:pPr>
            <w:r>
              <w:rPr>
                <w:sz w:val="19"/>
              </w:rPr>
              <w:t>Total</w:t>
            </w:r>
          </w:p>
        </w:tc>
      </w:tr>
      <w:tr>
        <w:trPr>
          <w:trHeight w:val="286" w:hRule="exact"/>
        </w:trPr>
        <w:tc>
          <w:tcPr>
            <w:tcW w:w="1119" w:type="dxa"/>
            <w:tcBorders>
              <w:left w:val="nil"/>
              <w:bottom w:val="nil"/>
              <w:right w:val="nil"/>
            </w:tcBorders>
          </w:tcPr>
          <w:p>
            <w:pPr>
              <w:pStyle w:val="TableParagraph"/>
              <w:spacing w:before="5"/>
              <w:ind w:left="52"/>
              <w:jc w:val="left"/>
              <w:rPr>
                <w:sz w:val="19"/>
              </w:rPr>
            </w:pPr>
            <w:r>
              <w:rPr>
                <w:sz w:val="19"/>
              </w:rPr>
              <w:t>05</w:t>
            </w:r>
          </w:p>
        </w:tc>
        <w:tc>
          <w:tcPr>
            <w:tcW w:w="1828" w:type="dxa"/>
            <w:tcBorders>
              <w:left w:val="nil"/>
              <w:bottom w:val="nil"/>
              <w:right w:val="nil"/>
            </w:tcBorders>
          </w:tcPr>
          <w:p>
            <w:pPr>
              <w:pStyle w:val="TableParagraph"/>
              <w:spacing w:before="5"/>
              <w:ind w:right="443"/>
              <w:rPr>
                <w:sz w:val="19"/>
              </w:rPr>
            </w:pPr>
            <w:r>
              <w:rPr>
                <w:sz w:val="19"/>
              </w:rPr>
              <w:t>50.83</w:t>
            </w:r>
          </w:p>
        </w:tc>
        <w:tc>
          <w:tcPr>
            <w:tcW w:w="1654" w:type="dxa"/>
            <w:tcBorders>
              <w:left w:val="nil"/>
              <w:bottom w:val="nil"/>
              <w:right w:val="nil"/>
            </w:tcBorders>
          </w:tcPr>
          <w:p>
            <w:pPr>
              <w:pStyle w:val="TableParagraph"/>
              <w:spacing w:before="5"/>
              <w:ind w:right="563"/>
              <w:rPr>
                <w:sz w:val="19"/>
              </w:rPr>
            </w:pPr>
            <w:r>
              <w:rPr>
                <w:sz w:val="19"/>
              </w:rPr>
              <w:t>49.17</w:t>
            </w:r>
          </w:p>
        </w:tc>
        <w:tc>
          <w:tcPr>
            <w:tcW w:w="1159" w:type="dxa"/>
            <w:tcBorders>
              <w:left w:val="nil"/>
              <w:bottom w:val="nil"/>
              <w:right w:val="nil"/>
            </w:tcBorders>
          </w:tcPr>
          <w:p>
            <w:pPr>
              <w:pStyle w:val="TableParagraph"/>
              <w:spacing w:before="5"/>
              <w:ind w:right="51"/>
              <w:rPr>
                <w:sz w:val="19"/>
              </w:rPr>
            </w:pPr>
            <w:r>
              <w:rPr>
                <w:sz w:val="19"/>
              </w:rPr>
              <w:t>100.00</w:t>
            </w:r>
          </w:p>
        </w:tc>
      </w:tr>
      <w:tr>
        <w:trPr>
          <w:trHeight w:val="314" w:hRule="exact"/>
        </w:trPr>
        <w:tc>
          <w:tcPr>
            <w:tcW w:w="1119" w:type="dxa"/>
            <w:tcBorders>
              <w:top w:val="nil"/>
              <w:left w:val="nil"/>
              <w:bottom w:val="nil"/>
              <w:right w:val="nil"/>
            </w:tcBorders>
          </w:tcPr>
          <w:p>
            <w:pPr>
              <w:pStyle w:val="TableParagraph"/>
              <w:spacing w:before="41"/>
              <w:ind w:left="52"/>
              <w:jc w:val="left"/>
              <w:rPr>
                <w:sz w:val="19"/>
              </w:rPr>
            </w:pPr>
            <w:r>
              <w:rPr>
                <w:sz w:val="19"/>
              </w:rPr>
              <w:t>06</w:t>
            </w:r>
          </w:p>
        </w:tc>
        <w:tc>
          <w:tcPr>
            <w:tcW w:w="1828" w:type="dxa"/>
            <w:tcBorders>
              <w:top w:val="nil"/>
              <w:left w:val="nil"/>
              <w:bottom w:val="nil"/>
              <w:right w:val="nil"/>
            </w:tcBorders>
          </w:tcPr>
          <w:p>
            <w:pPr>
              <w:pStyle w:val="TableParagraph"/>
              <w:spacing w:before="41"/>
              <w:ind w:right="443"/>
              <w:rPr>
                <w:sz w:val="19"/>
              </w:rPr>
            </w:pPr>
            <w:r>
              <w:rPr>
                <w:sz w:val="19"/>
              </w:rPr>
              <w:t>33.75</w:t>
            </w:r>
          </w:p>
        </w:tc>
        <w:tc>
          <w:tcPr>
            <w:tcW w:w="1654" w:type="dxa"/>
            <w:tcBorders>
              <w:top w:val="nil"/>
              <w:left w:val="nil"/>
              <w:bottom w:val="nil"/>
              <w:right w:val="nil"/>
            </w:tcBorders>
          </w:tcPr>
          <w:p>
            <w:pPr>
              <w:pStyle w:val="TableParagraph"/>
              <w:spacing w:before="41"/>
              <w:ind w:right="563"/>
              <w:rPr>
                <w:sz w:val="19"/>
              </w:rPr>
            </w:pPr>
            <w:r>
              <w:rPr>
                <w:sz w:val="19"/>
              </w:rPr>
              <w:t>66.25</w:t>
            </w:r>
          </w:p>
        </w:tc>
        <w:tc>
          <w:tcPr>
            <w:tcW w:w="1159" w:type="dxa"/>
            <w:tcBorders>
              <w:top w:val="nil"/>
              <w:left w:val="nil"/>
              <w:bottom w:val="nil"/>
              <w:right w:val="nil"/>
            </w:tcBorders>
          </w:tcPr>
          <w:p>
            <w:pPr>
              <w:pStyle w:val="TableParagraph"/>
              <w:spacing w:before="41"/>
              <w:ind w:right="51"/>
              <w:rPr>
                <w:sz w:val="19"/>
              </w:rPr>
            </w:pPr>
            <w:r>
              <w:rPr>
                <w:sz w:val="19"/>
              </w:rPr>
              <w:t>100.00</w:t>
            </w:r>
          </w:p>
        </w:tc>
      </w:tr>
      <w:tr>
        <w:trPr>
          <w:trHeight w:val="314" w:hRule="exact"/>
        </w:trPr>
        <w:tc>
          <w:tcPr>
            <w:tcW w:w="1119" w:type="dxa"/>
            <w:tcBorders>
              <w:top w:val="nil"/>
              <w:left w:val="nil"/>
              <w:bottom w:val="nil"/>
              <w:right w:val="nil"/>
            </w:tcBorders>
          </w:tcPr>
          <w:p>
            <w:pPr>
              <w:pStyle w:val="TableParagraph"/>
              <w:spacing w:before="38"/>
              <w:ind w:left="52"/>
              <w:jc w:val="left"/>
              <w:rPr>
                <w:sz w:val="19"/>
              </w:rPr>
            </w:pPr>
            <w:r>
              <w:rPr>
                <w:sz w:val="19"/>
              </w:rPr>
              <w:t>07</w:t>
            </w:r>
          </w:p>
        </w:tc>
        <w:tc>
          <w:tcPr>
            <w:tcW w:w="1828" w:type="dxa"/>
            <w:tcBorders>
              <w:top w:val="nil"/>
              <w:left w:val="nil"/>
              <w:bottom w:val="nil"/>
              <w:right w:val="nil"/>
            </w:tcBorders>
          </w:tcPr>
          <w:p>
            <w:pPr>
              <w:pStyle w:val="TableParagraph"/>
              <w:spacing w:before="38"/>
              <w:ind w:right="443"/>
              <w:rPr>
                <w:sz w:val="19"/>
              </w:rPr>
            </w:pPr>
            <w:r>
              <w:rPr>
                <w:sz w:val="19"/>
              </w:rPr>
              <w:t>64.39</w:t>
            </w:r>
          </w:p>
        </w:tc>
        <w:tc>
          <w:tcPr>
            <w:tcW w:w="1654" w:type="dxa"/>
            <w:tcBorders>
              <w:top w:val="nil"/>
              <w:left w:val="nil"/>
              <w:bottom w:val="nil"/>
              <w:right w:val="nil"/>
            </w:tcBorders>
          </w:tcPr>
          <w:p>
            <w:pPr>
              <w:pStyle w:val="TableParagraph"/>
              <w:spacing w:before="38"/>
              <w:ind w:right="563"/>
              <w:rPr>
                <w:sz w:val="19"/>
              </w:rPr>
            </w:pPr>
            <w:r>
              <w:rPr>
                <w:sz w:val="19"/>
              </w:rPr>
              <w:t>35.61</w:t>
            </w:r>
          </w:p>
        </w:tc>
        <w:tc>
          <w:tcPr>
            <w:tcW w:w="1159" w:type="dxa"/>
            <w:tcBorders>
              <w:top w:val="nil"/>
              <w:left w:val="nil"/>
              <w:bottom w:val="nil"/>
              <w:right w:val="nil"/>
            </w:tcBorders>
          </w:tcPr>
          <w:p>
            <w:pPr>
              <w:pStyle w:val="TableParagraph"/>
              <w:spacing w:before="38"/>
              <w:ind w:right="51"/>
              <w:rPr>
                <w:sz w:val="19"/>
              </w:rPr>
            </w:pPr>
            <w:r>
              <w:rPr>
                <w:sz w:val="19"/>
              </w:rPr>
              <w:t>100.00</w:t>
            </w:r>
          </w:p>
        </w:tc>
      </w:tr>
      <w:tr>
        <w:trPr>
          <w:trHeight w:val="317" w:hRule="exact"/>
        </w:trPr>
        <w:tc>
          <w:tcPr>
            <w:tcW w:w="1119" w:type="dxa"/>
            <w:tcBorders>
              <w:top w:val="nil"/>
              <w:left w:val="nil"/>
              <w:bottom w:val="nil"/>
              <w:right w:val="nil"/>
            </w:tcBorders>
          </w:tcPr>
          <w:p>
            <w:pPr>
              <w:pStyle w:val="TableParagraph"/>
              <w:spacing w:before="41"/>
              <w:ind w:left="52"/>
              <w:jc w:val="left"/>
              <w:rPr>
                <w:sz w:val="19"/>
              </w:rPr>
            </w:pPr>
            <w:r>
              <w:rPr>
                <w:sz w:val="19"/>
              </w:rPr>
              <w:t>08</w:t>
            </w:r>
          </w:p>
        </w:tc>
        <w:tc>
          <w:tcPr>
            <w:tcW w:w="1828" w:type="dxa"/>
            <w:tcBorders>
              <w:top w:val="nil"/>
              <w:left w:val="nil"/>
              <w:bottom w:val="nil"/>
              <w:right w:val="nil"/>
            </w:tcBorders>
          </w:tcPr>
          <w:p>
            <w:pPr>
              <w:pStyle w:val="TableParagraph"/>
              <w:spacing w:before="41"/>
              <w:ind w:right="443"/>
              <w:rPr>
                <w:sz w:val="19"/>
              </w:rPr>
            </w:pPr>
            <w:r>
              <w:rPr>
                <w:sz w:val="19"/>
              </w:rPr>
              <w:t>76.17</w:t>
            </w:r>
          </w:p>
        </w:tc>
        <w:tc>
          <w:tcPr>
            <w:tcW w:w="1654" w:type="dxa"/>
            <w:tcBorders>
              <w:top w:val="nil"/>
              <w:left w:val="nil"/>
              <w:bottom w:val="nil"/>
              <w:right w:val="nil"/>
            </w:tcBorders>
          </w:tcPr>
          <w:p>
            <w:pPr>
              <w:pStyle w:val="TableParagraph"/>
              <w:spacing w:before="41"/>
              <w:ind w:right="563"/>
              <w:rPr>
                <w:sz w:val="19"/>
              </w:rPr>
            </w:pPr>
            <w:r>
              <w:rPr>
                <w:sz w:val="19"/>
              </w:rPr>
              <w:t>23.83</w:t>
            </w:r>
          </w:p>
        </w:tc>
        <w:tc>
          <w:tcPr>
            <w:tcW w:w="1159" w:type="dxa"/>
            <w:tcBorders>
              <w:top w:val="nil"/>
              <w:left w:val="nil"/>
              <w:bottom w:val="nil"/>
              <w:right w:val="nil"/>
            </w:tcBorders>
          </w:tcPr>
          <w:p>
            <w:pPr>
              <w:pStyle w:val="TableParagraph"/>
              <w:spacing w:before="41"/>
              <w:ind w:right="51"/>
              <w:rPr>
                <w:sz w:val="19"/>
              </w:rPr>
            </w:pPr>
            <w:r>
              <w:rPr>
                <w:sz w:val="19"/>
              </w:rPr>
              <w:t>100.00</w:t>
            </w:r>
          </w:p>
        </w:tc>
      </w:tr>
      <w:tr>
        <w:trPr>
          <w:trHeight w:val="314" w:hRule="exact"/>
        </w:trPr>
        <w:tc>
          <w:tcPr>
            <w:tcW w:w="1119" w:type="dxa"/>
            <w:tcBorders>
              <w:top w:val="nil"/>
              <w:left w:val="nil"/>
              <w:bottom w:val="nil"/>
              <w:right w:val="nil"/>
            </w:tcBorders>
          </w:tcPr>
          <w:p>
            <w:pPr>
              <w:pStyle w:val="TableParagraph"/>
              <w:spacing w:before="41"/>
              <w:ind w:left="52"/>
              <w:jc w:val="left"/>
              <w:rPr>
                <w:sz w:val="19"/>
              </w:rPr>
            </w:pPr>
            <w:r>
              <w:rPr>
                <w:sz w:val="19"/>
              </w:rPr>
              <w:t>09</w:t>
            </w:r>
          </w:p>
        </w:tc>
        <w:tc>
          <w:tcPr>
            <w:tcW w:w="1828" w:type="dxa"/>
            <w:tcBorders>
              <w:top w:val="nil"/>
              <w:left w:val="nil"/>
              <w:bottom w:val="nil"/>
              <w:right w:val="nil"/>
            </w:tcBorders>
          </w:tcPr>
          <w:p>
            <w:pPr>
              <w:pStyle w:val="TableParagraph"/>
              <w:spacing w:before="41"/>
              <w:ind w:right="443"/>
              <w:rPr>
                <w:sz w:val="19"/>
              </w:rPr>
            </w:pPr>
            <w:r>
              <w:rPr>
                <w:sz w:val="19"/>
              </w:rPr>
              <w:t>78.97</w:t>
            </w:r>
          </w:p>
        </w:tc>
        <w:tc>
          <w:tcPr>
            <w:tcW w:w="1654" w:type="dxa"/>
            <w:tcBorders>
              <w:top w:val="nil"/>
              <w:left w:val="nil"/>
              <w:bottom w:val="nil"/>
              <w:right w:val="nil"/>
            </w:tcBorders>
          </w:tcPr>
          <w:p>
            <w:pPr>
              <w:pStyle w:val="TableParagraph"/>
              <w:spacing w:before="41"/>
              <w:ind w:right="563"/>
              <w:rPr>
                <w:sz w:val="19"/>
              </w:rPr>
            </w:pPr>
            <w:r>
              <w:rPr>
                <w:sz w:val="19"/>
              </w:rPr>
              <w:t>21.03</w:t>
            </w:r>
          </w:p>
        </w:tc>
        <w:tc>
          <w:tcPr>
            <w:tcW w:w="1159" w:type="dxa"/>
            <w:tcBorders>
              <w:top w:val="nil"/>
              <w:left w:val="nil"/>
              <w:bottom w:val="nil"/>
              <w:right w:val="nil"/>
            </w:tcBorders>
          </w:tcPr>
          <w:p>
            <w:pPr>
              <w:pStyle w:val="TableParagraph"/>
              <w:spacing w:before="41"/>
              <w:ind w:right="51"/>
              <w:rPr>
                <w:sz w:val="19"/>
              </w:rPr>
            </w:pPr>
            <w:r>
              <w:rPr>
                <w:sz w:val="19"/>
              </w:rPr>
              <w:t>100.00</w:t>
            </w:r>
          </w:p>
        </w:tc>
      </w:tr>
      <w:tr>
        <w:trPr>
          <w:trHeight w:val="314" w:hRule="exact"/>
        </w:trPr>
        <w:tc>
          <w:tcPr>
            <w:tcW w:w="1119" w:type="dxa"/>
            <w:tcBorders>
              <w:top w:val="nil"/>
              <w:left w:val="nil"/>
              <w:bottom w:val="nil"/>
              <w:right w:val="nil"/>
            </w:tcBorders>
          </w:tcPr>
          <w:p>
            <w:pPr>
              <w:pStyle w:val="TableParagraph"/>
              <w:spacing w:before="38"/>
              <w:ind w:left="52"/>
              <w:jc w:val="left"/>
              <w:rPr>
                <w:sz w:val="19"/>
              </w:rPr>
            </w:pPr>
            <w:r>
              <w:rPr>
                <w:sz w:val="19"/>
              </w:rPr>
              <w:t>10</w:t>
            </w:r>
          </w:p>
        </w:tc>
        <w:tc>
          <w:tcPr>
            <w:tcW w:w="1828" w:type="dxa"/>
            <w:tcBorders>
              <w:top w:val="nil"/>
              <w:left w:val="nil"/>
              <w:bottom w:val="nil"/>
              <w:right w:val="nil"/>
            </w:tcBorders>
          </w:tcPr>
          <w:p>
            <w:pPr>
              <w:pStyle w:val="TableParagraph"/>
              <w:spacing w:before="38"/>
              <w:ind w:right="443"/>
              <w:rPr>
                <w:sz w:val="19"/>
              </w:rPr>
            </w:pPr>
            <w:r>
              <w:rPr>
                <w:sz w:val="19"/>
              </w:rPr>
              <w:t>86.47</w:t>
            </w:r>
          </w:p>
        </w:tc>
        <w:tc>
          <w:tcPr>
            <w:tcW w:w="1654" w:type="dxa"/>
            <w:tcBorders>
              <w:top w:val="nil"/>
              <w:left w:val="nil"/>
              <w:bottom w:val="nil"/>
              <w:right w:val="nil"/>
            </w:tcBorders>
          </w:tcPr>
          <w:p>
            <w:pPr>
              <w:pStyle w:val="TableParagraph"/>
              <w:spacing w:before="38"/>
              <w:ind w:right="563"/>
              <w:rPr>
                <w:sz w:val="19"/>
              </w:rPr>
            </w:pPr>
            <w:r>
              <w:rPr>
                <w:sz w:val="19"/>
              </w:rPr>
              <w:t>13.53</w:t>
            </w:r>
          </w:p>
        </w:tc>
        <w:tc>
          <w:tcPr>
            <w:tcW w:w="1159" w:type="dxa"/>
            <w:tcBorders>
              <w:top w:val="nil"/>
              <w:left w:val="nil"/>
              <w:bottom w:val="nil"/>
              <w:right w:val="nil"/>
            </w:tcBorders>
          </w:tcPr>
          <w:p>
            <w:pPr>
              <w:pStyle w:val="TableParagraph"/>
              <w:spacing w:before="38"/>
              <w:ind w:right="51"/>
              <w:rPr>
                <w:sz w:val="19"/>
              </w:rPr>
            </w:pPr>
            <w:r>
              <w:rPr>
                <w:sz w:val="19"/>
              </w:rPr>
              <w:t>100.00</w:t>
            </w:r>
          </w:p>
        </w:tc>
      </w:tr>
      <w:tr>
        <w:trPr>
          <w:trHeight w:val="314" w:hRule="exact"/>
        </w:trPr>
        <w:tc>
          <w:tcPr>
            <w:tcW w:w="1119" w:type="dxa"/>
            <w:tcBorders>
              <w:top w:val="nil"/>
              <w:left w:val="nil"/>
              <w:bottom w:val="nil"/>
              <w:right w:val="nil"/>
            </w:tcBorders>
          </w:tcPr>
          <w:p>
            <w:pPr>
              <w:pStyle w:val="TableParagraph"/>
              <w:spacing w:before="41"/>
              <w:ind w:left="52"/>
              <w:jc w:val="left"/>
              <w:rPr>
                <w:sz w:val="19"/>
              </w:rPr>
            </w:pPr>
            <w:r>
              <w:rPr>
                <w:sz w:val="19"/>
              </w:rPr>
              <w:t>11</w:t>
            </w:r>
          </w:p>
        </w:tc>
        <w:tc>
          <w:tcPr>
            <w:tcW w:w="1828" w:type="dxa"/>
            <w:tcBorders>
              <w:top w:val="nil"/>
              <w:left w:val="nil"/>
              <w:bottom w:val="nil"/>
              <w:right w:val="nil"/>
            </w:tcBorders>
          </w:tcPr>
          <w:p>
            <w:pPr>
              <w:pStyle w:val="TableParagraph"/>
              <w:spacing w:before="41"/>
              <w:ind w:right="443"/>
              <w:rPr>
                <w:sz w:val="19"/>
              </w:rPr>
            </w:pPr>
            <w:r>
              <w:rPr>
                <w:sz w:val="19"/>
              </w:rPr>
              <w:t>81.19</w:t>
            </w:r>
          </w:p>
        </w:tc>
        <w:tc>
          <w:tcPr>
            <w:tcW w:w="1654" w:type="dxa"/>
            <w:tcBorders>
              <w:top w:val="nil"/>
              <w:left w:val="nil"/>
              <w:bottom w:val="nil"/>
              <w:right w:val="nil"/>
            </w:tcBorders>
          </w:tcPr>
          <w:p>
            <w:pPr>
              <w:pStyle w:val="TableParagraph"/>
              <w:spacing w:before="41"/>
              <w:ind w:right="563"/>
              <w:rPr>
                <w:sz w:val="19"/>
              </w:rPr>
            </w:pPr>
            <w:r>
              <w:rPr>
                <w:sz w:val="19"/>
              </w:rPr>
              <w:t>18.81</w:t>
            </w:r>
          </w:p>
        </w:tc>
        <w:tc>
          <w:tcPr>
            <w:tcW w:w="1159" w:type="dxa"/>
            <w:tcBorders>
              <w:top w:val="nil"/>
              <w:left w:val="nil"/>
              <w:bottom w:val="nil"/>
              <w:right w:val="nil"/>
            </w:tcBorders>
          </w:tcPr>
          <w:p>
            <w:pPr>
              <w:pStyle w:val="TableParagraph"/>
              <w:spacing w:before="41"/>
              <w:ind w:right="51"/>
              <w:rPr>
                <w:sz w:val="19"/>
              </w:rPr>
            </w:pPr>
            <w:r>
              <w:rPr>
                <w:sz w:val="19"/>
              </w:rPr>
              <w:t>100.00</w:t>
            </w:r>
          </w:p>
        </w:tc>
      </w:tr>
      <w:tr>
        <w:trPr>
          <w:trHeight w:val="355" w:hRule="exact"/>
        </w:trPr>
        <w:tc>
          <w:tcPr>
            <w:tcW w:w="1119" w:type="dxa"/>
            <w:tcBorders>
              <w:top w:val="nil"/>
              <w:left w:val="nil"/>
              <w:right w:val="nil"/>
            </w:tcBorders>
          </w:tcPr>
          <w:p>
            <w:pPr>
              <w:pStyle w:val="TableParagraph"/>
              <w:spacing w:before="38"/>
              <w:ind w:left="52"/>
              <w:jc w:val="left"/>
              <w:rPr>
                <w:sz w:val="19"/>
              </w:rPr>
            </w:pPr>
            <w:r>
              <w:rPr>
                <w:sz w:val="19"/>
              </w:rPr>
              <w:t>5-11</w:t>
            </w:r>
          </w:p>
        </w:tc>
        <w:tc>
          <w:tcPr>
            <w:tcW w:w="1828" w:type="dxa"/>
            <w:tcBorders>
              <w:top w:val="nil"/>
              <w:left w:val="nil"/>
              <w:right w:val="nil"/>
            </w:tcBorders>
          </w:tcPr>
          <w:p>
            <w:pPr>
              <w:pStyle w:val="TableParagraph"/>
              <w:spacing w:before="38"/>
              <w:ind w:right="443"/>
              <w:rPr>
                <w:sz w:val="19"/>
              </w:rPr>
            </w:pPr>
            <w:r>
              <w:rPr>
                <w:sz w:val="19"/>
              </w:rPr>
              <w:t>79.07</w:t>
            </w:r>
          </w:p>
        </w:tc>
        <w:tc>
          <w:tcPr>
            <w:tcW w:w="1654" w:type="dxa"/>
            <w:tcBorders>
              <w:top w:val="nil"/>
              <w:left w:val="nil"/>
              <w:right w:val="nil"/>
            </w:tcBorders>
          </w:tcPr>
          <w:p>
            <w:pPr>
              <w:pStyle w:val="TableParagraph"/>
              <w:spacing w:before="38"/>
              <w:ind w:right="563"/>
              <w:rPr>
                <w:sz w:val="19"/>
              </w:rPr>
            </w:pPr>
            <w:r>
              <w:rPr>
                <w:sz w:val="19"/>
              </w:rPr>
              <w:t>20.93</w:t>
            </w:r>
          </w:p>
        </w:tc>
        <w:tc>
          <w:tcPr>
            <w:tcW w:w="1159" w:type="dxa"/>
            <w:tcBorders>
              <w:top w:val="nil"/>
              <w:left w:val="nil"/>
              <w:right w:val="nil"/>
            </w:tcBorders>
          </w:tcPr>
          <w:p>
            <w:pPr>
              <w:pStyle w:val="TableParagraph"/>
              <w:spacing w:before="38"/>
              <w:ind w:right="51"/>
              <w:rPr>
                <w:sz w:val="19"/>
              </w:rPr>
            </w:pPr>
            <w:r>
              <w:rPr>
                <w:sz w:val="19"/>
              </w:rPr>
              <w:t>100.00</w:t>
            </w:r>
          </w:p>
        </w:tc>
      </w:tr>
    </w:tbl>
    <w:p>
      <w:pPr>
        <w:spacing w:line="237" w:lineRule="auto" w:before="0"/>
        <w:ind w:left="218" w:right="317" w:hanging="1"/>
        <w:jc w:val="left"/>
        <w:rPr>
          <w:sz w:val="16"/>
        </w:rPr>
      </w:pPr>
      <w:r>
        <w:rPr>
          <w:sz w:val="16"/>
        </w:rPr>
        <w:t>Fuente:</w:t>
      </w:r>
      <w:r>
        <w:rPr>
          <w:spacing w:val="-12"/>
          <w:sz w:val="16"/>
        </w:rPr>
        <w:t> </w:t>
      </w:r>
      <w:r>
        <w:rPr>
          <w:sz w:val="16"/>
        </w:rPr>
        <w:t>elaboración</w:t>
      </w:r>
      <w:r>
        <w:rPr>
          <w:spacing w:val="-11"/>
          <w:sz w:val="16"/>
        </w:rPr>
        <w:t> </w:t>
      </w:r>
      <w:r>
        <w:rPr>
          <w:sz w:val="16"/>
        </w:rPr>
        <w:t>propia</w:t>
      </w:r>
      <w:r>
        <w:rPr>
          <w:spacing w:val="-11"/>
          <w:sz w:val="16"/>
        </w:rPr>
        <w:t> </w:t>
      </w:r>
      <w:r>
        <w:rPr>
          <w:sz w:val="16"/>
        </w:rPr>
        <w:t>con</w:t>
      </w:r>
      <w:r>
        <w:rPr>
          <w:spacing w:val="-11"/>
          <w:sz w:val="16"/>
        </w:rPr>
        <w:t> </w:t>
      </w:r>
      <w:r>
        <w:rPr>
          <w:sz w:val="16"/>
        </w:rPr>
        <w:t>base</w:t>
      </w:r>
      <w:r>
        <w:rPr>
          <w:spacing w:val="-11"/>
          <w:sz w:val="16"/>
        </w:rPr>
        <w:t> </w:t>
      </w:r>
      <w:r>
        <w:rPr>
          <w:sz w:val="16"/>
        </w:rPr>
        <w:t>en</w:t>
      </w:r>
      <w:r>
        <w:rPr>
          <w:spacing w:val="-14"/>
          <w:sz w:val="16"/>
        </w:rPr>
        <w:t> </w:t>
      </w:r>
      <w:r>
        <w:rPr>
          <w:sz w:val="16"/>
        </w:rPr>
        <w:t>Encuesta</w:t>
      </w:r>
      <w:r>
        <w:rPr>
          <w:spacing w:val="-12"/>
          <w:sz w:val="16"/>
        </w:rPr>
        <w:t> </w:t>
      </w:r>
      <w:r>
        <w:rPr>
          <w:sz w:val="16"/>
        </w:rPr>
        <w:t>Nacional</w:t>
      </w:r>
      <w:r>
        <w:rPr>
          <w:spacing w:val="-12"/>
          <w:sz w:val="16"/>
        </w:rPr>
        <w:t> </w:t>
      </w:r>
      <w:r>
        <w:rPr>
          <w:sz w:val="16"/>
        </w:rPr>
        <w:t>de</w:t>
      </w:r>
      <w:r>
        <w:rPr>
          <w:spacing w:val="-12"/>
          <w:sz w:val="16"/>
        </w:rPr>
        <w:t> </w:t>
      </w:r>
      <w:r>
        <w:rPr>
          <w:sz w:val="16"/>
        </w:rPr>
        <w:t>Ocupación</w:t>
      </w:r>
      <w:r>
        <w:rPr>
          <w:spacing w:val="-12"/>
          <w:sz w:val="16"/>
        </w:rPr>
        <w:t> </w:t>
      </w:r>
      <w:r>
        <w:rPr>
          <w:sz w:val="16"/>
        </w:rPr>
        <w:t>y</w:t>
      </w:r>
      <w:r>
        <w:rPr>
          <w:spacing w:val="-11"/>
          <w:sz w:val="16"/>
        </w:rPr>
        <w:t> </w:t>
      </w:r>
      <w:r>
        <w:rPr>
          <w:sz w:val="16"/>
        </w:rPr>
        <w:t>Empleo 2013,</w:t>
      </w:r>
      <w:r>
        <w:rPr>
          <w:spacing w:val="-12"/>
          <w:sz w:val="16"/>
        </w:rPr>
        <w:t> </w:t>
      </w:r>
      <w:r>
        <w:rPr>
          <w:sz w:val="16"/>
        </w:rPr>
        <w:t>Módulo</w:t>
      </w:r>
      <w:r>
        <w:rPr>
          <w:spacing w:val="-12"/>
          <w:sz w:val="16"/>
        </w:rPr>
        <w:t> </w:t>
      </w:r>
      <w:r>
        <w:rPr>
          <w:sz w:val="16"/>
        </w:rPr>
        <w:t>de</w:t>
      </w:r>
      <w:r>
        <w:rPr>
          <w:spacing w:val="17"/>
          <w:sz w:val="16"/>
        </w:rPr>
        <w:t> </w:t>
      </w:r>
      <w:r>
        <w:rPr>
          <w:sz w:val="16"/>
        </w:rPr>
        <w:t>Trabajo</w:t>
      </w:r>
      <w:r>
        <w:rPr>
          <w:spacing w:val="-12"/>
          <w:sz w:val="16"/>
        </w:rPr>
        <w:t> </w:t>
      </w:r>
      <w:r>
        <w:rPr>
          <w:sz w:val="16"/>
        </w:rPr>
        <w:t>Infantil,</w:t>
      </w:r>
      <w:r>
        <w:rPr>
          <w:spacing w:val="-12"/>
          <w:sz w:val="16"/>
        </w:rPr>
        <w:t> </w:t>
      </w:r>
      <w:r>
        <w:rPr>
          <w:sz w:val="16"/>
        </w:rPr>
        <w:t>INEGI,</w:t>
      </w:r>
      <w:r>
        <w:rPr>
          <w:spacing w:val="-12"/>
          <w:sz w:val="16"/>
        </w:rPr>
        <w:t> </w:t>
      </w:r>
      <w:r>
        <w:rPr>
          <w:sz w:val="16"/>
        </w:rPr>
        <w:t>2013.</w:t>
      </w:r>
    </w:p>
    <w:p>
      <w:pPr>
        <w:pStyle w:val="BodyText"/>
        <w:spacing w:before="9"/>
        <w:rPr>
          <w:sz w:val="14"/>
        </w:rPr>
      </w:pPr>
    </w:p>
    <w:p>
      <w:pPr>
        <w:pStyle w:val="BodyText"/>
        <w:spacing w:line="249" w:lineRule="auto" w:before="74"/>
        <w:ind w:left="113" w:right="108" w:firstLine="283"/>
        <w:jc w:val="both"/>
      </w:pPr>
      <w:r>
        <w:rPr>
          <w:color w:val="231F20"/>
        </w:rPr>
        <w:t>El número de horas que los menores dedican a los estudios es de 29 horas a la semana, sin existir distinción entre varones y niñas, es decir tanto</w:t>
      </w:r>
      <w:r>
        <w:rPr>
          <w:color w:val="231F20"/>
          <w:spacing w:val="-10"/>
        </w:rPr>
        <w:t> </w:t>
      </w:r>
      <w:r>
        <w:rPr>
          <w:color w:val="231F20"/>
        </w:rPr>
        <w:t>niños</w:t>
      </w:r>
      <w:r>
        <w:rPr>
          <w:color w:val="231F20"/>
          <w:spacing w:val="-10"/>
        </w:rPr>
        <w:t> </w:t>
      </w:r>
      <w:r>
        <w:rPr>
          <w:color w:val="231F20"/>
        </w:rPr>
        <w:t>como</w:t>
      </w:r>
      <w:r>
        <w:rPr>
          <w:color w:val="231F20"/>
          <w:spacing w:val="-10"/>
        </w:rPr>
        <w:t> </w:t>
      </w:r>
      <w:r>
        <w:rPr>
          <w:color w:val="231F20"/>
        </w:rPr>
        <w:t>niñas</w:t>
      </w:r>
      <w:r>
        <w:rPr>
          <w:color w:val="231F20"/>
          <w:spacing w:val="-10"/>
        </w:rPr>
        <w:t> </w:t>
      </w:r>
      <w:r>
        <w:rPr>
          <w:color w:val="231F20"/>
        </w:rPr>
        <w:t>dedican</w:t>
      </w:r>
      <w:r>
        <w:rPr>
          <w:color w:val="231F20"/>
          <w:spacing w:val="-10"/>
        </w:rPr>
        <w:t> </w:t>
      </w:r>
      <w:r>
        <w:rPr>
          <w:color w:val="231F20"/>
        </w:rPr>
        <w:t>29</w:t>
      </w:r>
      <w:r>
        <w:rPr>
          <w:color w:val="231F20"/>
          <w:spacing w:val="-10"/>
        </w:rPr>
        <w:t> </w:t>
      </w:r>
      <w:r>
        <w:rPr>
          <w:color w:val="231F20"/>
        </w:rPr>
        <w:t>horas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semana</w:t>
      </w:r>
      <w:r>
        <w:rPr>
          <w:color w:val="231F20"/>
          <w:spacing w:val="-10"/>
        </w:rPr>
        <w:t> </w:t>
      </w:r>
      <w:r>
        <w:rPr>
          <w:color w:val="231F20"/>
        </w:rPr>
        <w:t>para</w:t>
      </w:r>
      <w:r>
        <w:rPr>
          <w:color w:val="231F20"/>
          <w:spacing w:val="-10"/>
        </w:rPr>
        <w:t> </w:t>
      </w:r>
      <w:r>
        <w:rPr>
          <w:color w:val="231F20"/>
        </w:rPr>
        <w:t>sus</w:t>
      </w:r>
      <w:r>
        <w:rPr>
          <w:color w:val="231F20"/>
          <w:spacing w:val="-10"/>
        </w:rPr>
        <w:t> </w:t>
      </w:r>
      <w:r>
        <w:rPr>
          <w:color w:val="231F20"/>
        </w:rPr>
        <w:t>actividades escolares.</w:t>
      </w:r>
    </w:p>
    <w:p>
      <w:pPr>
        <w:pStyle w:val="Heading5"/>
        <w:rPr>
          <w:i/>
        </w:rPr>
      </w:pPr>
      <w:r>
        <w:rPr>
          <w:i/>
          <w:w w:val="75"/>
        </w:rPr>
        <w:t>Quehaceres domésticos</w:t>
      </w:r>
    </w:p>
    <w:p>
      <w:pPr>
        <w:pStyle w:val="BodyText"/>
        <w:spacing w:line="249" w:lineRule="auto" w:before="171"/>
        <w:ind w:left="113" w:right="107"/>
        <w:jc w:val="both"/>
      </w:pPr>
      <w:r>
        <w:rPr>
          <w:color w:val="231F20"/>
        </w:rPr>
        <w:t>El tema de las actividades domésticas es de suma importancia para el análisis del trabajo infantil. Estudios anteriores señalan que existe un alto número de menores trabajadores que realizan labores del hogar. Al respecto Mier y </w:t>
      </w:r>
      <w:r>
        <w:rPr>
          <w:color w:val="231F20"/>
          <w:spacing w:val="-3"/>
        </w:rPr>
        <w:t>Teran </w:t>
      </w:r>
      <w:r>
        <w:rPr>
          <w:color w:val="231F20"/>
        </w:rPr>
        <w:t>y Rabell (2001) señalan que el trabajo infantil doméstico</w:t>
      </w:r>
      <w:r>
        <w:rPr>
          <w:color w:val="231F20"/>
          <w:spacing w:val="-7"/>
        </w:rPr>
        <w:t> </w:t>
      </w:r>
      <w:r>
        <w:rPr>
          <w:color w:val="231F20"/>
        </w:rPr>
        <w:t>está</w:t>
      </w:r>
      <w:r>
        <w:rPr>
          <w:color w:val="231F20"/>
          <w:spacing w:val="-7"/>
        </w:rPr>
        <w:t> </w:t>
      </w:r>
      <w:r>
        <w:rPr>
          <w:color w:val="231F20"/>
        </w:rPr>
        <w:t>vinculado</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organización</w:t>
      </w:r>
      <w:r>
        <w:rPr>
          <w:color w:val="231F20"/>
          <w:spacing w:val="-7"/>
        </w:rPr>
        <w:t> </w:t>
      </w:r>
      <w:r>
        <w:rPr>
          <w:color w:val="231F20"/>
        </w:rPr>
        <w:t>familiar</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de adultos mayores o infantes dentro del hogar; si en el hogar se tiene pre- sencia</w:t>
      </w:r>
      <w:r>
        <w:rPr>
          <w:color w:val="231F20"/>
          <w:spacing w:val="-7"/>
        </w:rPr>
        <w:t> </w:t>
      </w:r>
      <w:r>
        <w:rPr>
          <w:color w:val="231F20"/>
        </w:rPr>
        <w:t>de</w:t>
      </w:r>
      <w:r>
        <w:rPr>
          <w:color w:val="231F20"/>
          <w:spacing w:val="-8"/>
        </w:rPr>
        <w:t> </w:t>
      </w:r>
      <w:r>
        <w:rPr>
          <w:color w:val="231F20"/>
        </w:rPr>
        <w:t>menores</w:t>
      </w:r>
      <w:r>
        <w:rPr>
          <w:color w:val="231F20"/>
          <w:spacing w:val="-8"/>
        </w:rPr>
        <w:t> </w:t>
      </w:r>
      <w:r>
        <w:rPr>
          <w:color w:val="231F20"/>
        </w:rPr>
        <w:t>entre</w:t>
      </w:r>
      <w:r>
        <w:rPr>
          <w:color w:val="231F20"/>
          <w:spacing w:val="-8"/>
        </w:rPr>
        <w:t> </w:t>
      </w:r>
      <w:r>
        <w:rPr>
          <w:color w:val="231F20"/>
        </w:rPr>
        <w:t>cero</w:t>
      </w:r>
      <w:r>
        <w:rPr>
          <w:color w:val="231F20"/>
          <w:spacing w:val="-8"/>
        </w:rPr>
        <w:t> </w:t>
      </w:r>
      <w:r>
        <w:rPr>
          <w:color w:val="231F20"/>
        </w:rPr>
        <w:t>y</w:t>
      </w:r>
      <w:r>
        <w:rPr>
          <w:color w:val="231F20"/>
          <w:spacing w:val="-8"/>
        </w:rPr>
        <w:t> </w:t>
      </w:r>
      <w:r>
        <w:rPr>
          <w:color w:val="231F20"/>
        </w:rPr>
        <w:t>cinco</w:t>
      </w:r>
      <w:r>
        <w:rPr>
          <w:color w:val="231F20"/>
          <w:spacing w:val="-8"/>
        </w:rPr>
        <w:t> </w:t>
      </w:r>
      <w:r>
        <w:rPr>
          <w:color w:val="231F20"/>
        </w:rPr>
        <w:t>años</w:t>
      </w:r>
      <w:r>
        <w:rPr>
          <w:color w:val="231F20"/>
          <w:spacing w:val="-8"/>
        </w:rPr>
        <w:t> </w:t>
      </w:r>
      <w:r>
        <w:rPr>
          <w:color w:val="231F20"/>
        </w:rPr>
        <w:t>de</w:t>
      </w:r>
      <w:r>
        <w:rPr>
          <w:color w:val="231F20"/>
          <w:spacing w:val="-8"/>
        </w:rPr>
        <w:t> </w:t>
      </w:r>
      <w:r>
        <w:rPr>
          <w:color w:val="231F20"/>
        </w:rPr>
        <w:t>edad</w:t>
      </w:r>
      <w:r>
        <w:rPr>
          <w:color w:val="231F20"/>
          <w:spacing w:val="-8"/>
        </w:rPr>
        <w:t> </w:t>
      </w:r>
      <w:r>
        <w:rPr>
          <w:color w:val="231F20"/>
        </w:rPr>
        <w:t>o</w:t>
      </w:r>
      <w:r>
        <w:rPr>
          <w:color w:val="231F20"/>
          <w:spacing w:val="-8"/>
        </w:rPr>
        <w:t> </w:t>
      </w:r>
      <w:r>
        <w:rPr>
          <w:color w:val="231F20"/>
        </w:rPr>
        <w:t>adultos</w:t>
      </w:r>
      <w:r>
        <w:rPr>
          <w:color w:val="231F20"/>
          <w:spacing w:val="-8"/>
        </w:rPr>
        <w:t> </w:t>
      </w:r>
      <w:r>
        <w:rPr>
          <w:color w:val="231F20"/>
        </w:rPr>
        <w:t>mayores,</w:t>
      </w:r>
      <w:r>
        <w:rPr>
          <w:color w:val="231F20"/>
          <w:spacing w:val="-8"/>
        </w:rPr>
        <w:t> </w:t>
      </w:r>
      <w:r>
        <w:rPr>
          <w:color w:val="231F20"/>
        </w:rPr>
        <w:t>los hermanos mayores tendrán una alta probabilidad de encargarse de ellos, esto</w:t>
      </w:r>
      <w:r>
        <w:rPr>
          <w:color w:val="231F20"/>
          <w:spacing w:val="-5"/>
        </w:rPr>
        <w:t> </w:t>
      </w:r>
      <w:r>
        <w:rPr>
          <w:color w:val="231F20"/>
        </w:rPr>
        <w:t>demuestra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niños,</w:t>
      </w:r>
      <w:r>
        <w:rPr>
          <w:color w:val="231F20"/>
          <w:spacing w:val="-5"/>
        </w:rPr>
        <w:t> </w:t>
      </w:r>
      <w:r>
        <w:rPr>
          <w:color w:val="231F20"/>
        </w:rPr>
        <w:t>pero</w:t>
      </w:r>
      <w:r>
        <w:rPr>
          <w:color w:val="231F20"/>
          <w:spacing w:val="-5"/>
        </w:rPr>
        <w:t> </w:t>
      </w:r>
      <w:r>
        <w:rPr>
          <w:color w:val="231F20"/>
        </w:rPr>
        <w:t>principalmente</w:t>
      </w:r>
      <w:r>
        <w:rPr>
          <w:color w:val="231F20"/>
          <w:spacing w:val="-5"/>
        </w:rPr>
        <w:t> </w:t>
      </w:r>
      <w:r>
        <w:rPr>
          <w:color w:val="231F20"/>
        </w:rPr>
        <w:t>las</w:t>
      </w:r>
      <w:r>
        <w:rPr>
          <w:color w:val="231F20"/>
          <w:spacing w:val="-5"/>
        </w:rPr>
        <w:t> </w:t>
      </w:r>
      <w:r>
        <w:rPr>
          <w:color w:val="231F20"/>
        </w:rPr>
        <w:t>niñas</w:t>
      </w:r>
      <w:r>
        <w:rPr>
          <w:color w:val="231F20"/>
          <w:spacing w:val="-5"/>
        </w:rPr>
        <w:t> </w:t>
      </w:r>
      <w:r>
        <w:rPr>
          <w:color w:val="231F20"/>
        </w:rPr>
        <w:t>son</w:t>
      </w:r>
      <w:r>
        <w:rPr>
          <w:color w:val="231F20"/>
          <w:spacing w:val="-5"/>
        </w:rPr>
        <w:t> </w:t>
      </w:r>
      <w:r>
        <w:rPr>
          <w:color w:val="231F20"/>
        </w:rPr>
        <w:t>sustituto de la mano de obra de los</w:t>
      </w:r>
      <w:r>
        <w:rPr>
          <w:color w:val="231F20"/>
          <w:spacing w:val="-2"/>
        </w:rPr>
        <w:t> </w:t>
      </w:r>
      <w:r>
        <w:rPr>
          <w:color w:val="231F20"/>
        </w:rPr>
        <w:t>adultos.</w:t>
      </w:r>
    </w:p>
    <w:p>
      <w:pPr>
        <w:pStyle w:val="BodyText"/>
        <w:spacing w:line="249" w:lineRule="auto" w:before="1"/>
        <w:ind w:left="113" w:right="107" w:firstLine="283"/>
        <w:jc w:val="both"/>
      </w:pPr>
      <w:r>
        <w:rPr>
          <w:color w:val="231F20"/>
        </w:rPr>
        <w:t>Las actividades domésticas también están diferenciadas por edad y sexo.</w:t>
      </w:r>
      <w:r>
        <w:rPr>
          <w:color w:val="231F20"/>
          <w:spacing w:val="-9"/>
        </w:rPr>
        <w:t> </w:t>
      </w:r>
      <w:r>
        <w:rPr>
          <w:color w:val="231F20"/>
        </w:rPr>
        <w:t>Las</w:t>
      </w:r>
      <w:r>
        <w:rPr>
          <w:color w:val="231F20"/>
          <w:spacing w:val="-10"/>
        </w:rPr>
        <w:t> </w:t>
      </w:r>
      <w:r>
        <w:rPr>
          <w:color w:val="231F20"/>
        </w:rPr>
        <w:t>estadísticas</w:t>
      </w:r>
      <w:r>
        <w:rPr>
          <w:color w:val="231F20"/>
          <w:spacing w:val="-10"/>
        </w:rPr>
        <w:t> </w:t>
      </w:r>
      <w:r>
        <w:rPr>
          <w:color w:val="231F20"/>
        </w:rPr>
        <w:t>acerca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quehaceres</w:t>
      </w:r>
      <w:r>
        <w:rPr>
          <w:color w:val="231F20"/>
          <w:spacing w:val="-10"/>
        </w:rPr>
        <w:t> </w:t>
      </w:r>
      <w:r>
        <w:rPr>
          <w:color w:val="231F20"/>
        </w:rPr>
        <w:t>del</w:t>
      </w:r>
      <w:r>
        <w:rPr>
          <w:color w:val="231F20"/>
          <w:spacing w:val="-10"/>
        </w:rPr>
        <w:t> </w:t>
      </w:r>
      <w:r>
        <w:rPr>
          <w:color w:val="231F20"/>
        </w:rPr>
        <w:t>hogar</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grupo</w:t>
      </w:r>
      <w:r>
        <w:rPr>
          <w:color w:val="231F20"/>
          <w:spacing w:val="-10"/>
        </w:rPr>
        <w:t> </w:t>
      </w:r>
      <w:r>
        <w:rPr>
          <w:color w:val="231F20"/>
        </w:rPr>
        <w:t>de edad de cinco a once años de edad señalan lo siguiente: de los menores que</w:t>
      </w:r>
      <w:r>
        <w:rPr>
          <w:color w:val="231F20"/>
          <w:spacing w:val="-15"/>
        </w:rPr>
        <w:t> </w:t>
      </w:r>
      <w:r>
        <w:rPr>
          <w:color w:val="231F20"/>
        </w:rPr>
        <w:t>reportaron</w:t>
      </w:r>
      <w:r>
        <w:rPr>
          <w:color w:val="231F20"/>
          <w:spacing w:val="-15"/>
        </w:rPr>
        <w:t> </w:t>
      </w:r>
      <w:r>
        <w:rPr>
          <w:color w:val="231F20"/>
        </w:rPr>
        <w:t>realizar</w:t>
      </w:r>
      <w:r>
        <w:rPr>
          <w:color w:val="231F20"/>
          <w:spacing w:val="-15"/>
        </w:rPr>
        <w:t> </w:t>
      </w:r>
      <w:r>
        <w:rPr>
          <w:color w:val="231F20"/>
        </w:rPr>
        <w:t>quehaceres</w:t>
      </w:r>
      <w:r>
        <w:rPr>
          <w:color w:val="231F20"/>
          <w:spacing w:val="-15"/>
        </w:rPr>
        <w:t> </w:t>
      </w:r>
      <w:r>
        <w:rPr>
          <w:color w:val="231F20"/>
        </w:rPr>
        <w:t>domésticos</w:t>
      </w:r>
      <w:r>
        <w:rPr>
          <w:color w:val="231F20"/>
          <w:spacing w:val="-15"/>
        </w:rPr>
        <w:t> </w:t>
      </w:r>
      <w:r>
        <w:rPr>
          <w:color w:val="231F20"/>
        </w:rPr>
        <w:t>se</w:t>
      </w:r>
      <w:r>
        <w:rPr>
          <w:color w:val="231F20"/>
          <w:spacing w:val="-15"/>
        </w:rPr>
        <w:t> </w:t>
      </w:r>
      <w:r>
        <w:rPr>
          <w:color w:val="231F20"/>
        </w:rPr>
        <w:t>tiene</w:t>
      </w:r>
      <w:r>
        <w:rPr>
          <w:color w:val="231F20"/>
          <w:spacing w:val="-15"/>
        </w:rPr>
        <w:t> </w:t>
      </w:r>
      <w:r>
        <w:rPr>
          <w:color w:val="231F20"/>
        </w:rPr>
        <w:t>un</w:t>
      </w:r>
      <w:r>
        <w:rPr>
          <w:color w:val="231F20"/>
          <w:spacing w:val="-15"/>
        </w:rPr>
        <w:t> </w:t>
      </w:r>
      <w:r>
        <w:rPr>
          <w:color w:val="231F20"/>
        </w:rPr>
        <w:t>número</w:t>
      </w:r>
      <w:r>
        <w:rPr>
          <w:color w:val="231F20"/>
          <w:spacing w:val="-15"/>
        </w:rPr>
        <w:t> </w:t>
      </w:r>
      <w:r>
        <w:rPr>
          <w:color w:val="231F20"/>
        </w:rPr>
        <w:t>aproxi- mado de ocho, 39 y 107 menores. Sin embargo, la jornada doméstica</w:t>
      </w:r>
      <w:r>
        <w:rPr>
          <w:color w:val="231F20"/>
          <w:spacing w:val="3"/>
        </w:rPr>
        <w:t> </w:t>
      </w:r>
      <w:r>
        <w:rPr>
          <w:color w:val="231F20"/>
        </w:rPr>
        <w:t>no</w:t>
      </w:r>
    </w:p>
    <w:p>
      <w:pPr>
        <w:spacing w:after="0" w:line="249" w:lineRule="auto"/>
        <w:jc w:val="both"/>
        <w:sectPr>
          <w:footerReference w:type="default" r:id="rId291"/>
          <w:pgSz w:w="7770" w:h="11740"/>
          <w:pgMar w:footer="474" w:header="0" w:top="840" w:bottom="660" w:left="1020" w:right="740"/>
          <w:pgNumType w:start="287"/>
        </w:sectPr>
      </w:pPr>
    </w:p>
    <w:p>
      <w:pPr>
        <w:pStyle w:val="BodyText"/>
        <w:spacing w:line="249" w:lineRule="auto" w:before="60"/>
        <w:ind w:left="110" w:right="111"/>
        <w:jc w:val="both"/>
      </w:pPr>
      <w:r>
        <w:rPr>
          <w:color w:val="231F20"/>
        </w:rPr>
        <w:t>es tan elevada, ya que 92.44 por ciento de los menores desempeña una jornada doméstica de menos de 15 horas de quehaceres domésticos a la semana,</w:t>
      </w:r>
      <w:r>
        <w:rPr>
          <w:color w:val="231F20"/>
          <w:spacing w:val="-9"/>
        </w:rPr>
        <w:t> </w:t>
      </w:r>
      <w:r>
        <w:rPr>
          <w:color w:val="231F20"/>
        </w:rPr>
        <w:t>3.9</w:t>
      </w:r>
      <w:r>
        <w:rPr>
          <w:color w:val="231F20"/>
          <w:spacing w:val="-9"/>
        </w:rPr>
        <w:t> </w:t>
      </w:r>
      <w:r>
        <w:rPr>
          <w:color w:val="231F20"/>
        </w:rPr>
        <w:t>por</w:t>
      </w:r>
      <w:r>
        <w:rPr>
          <w:color w:val="231F20"/>
          <w:spacing w:val="-9"/>
        </w:rPr>
        <w:t> </w:t>
      </w:r>
      <w:r>
        <w:rPr>
          <w:color w:val="231F20"/>
        </w:rPr>
        <w:t>ciento</w:t>
      </w:r>
      <w:r>
        <w:rPr>
          <w:color w:val="231F20"/>
          <w:spacing w:val="-10"/>
        </w:rPr>
        <w:t> </w:t>
      </w:r>
      <w:r>
        <w:rPr>
          <w:color w:val="231F20"/>
        </w:rPr>
        <w:t>entre</w:t>
      </w:r>
      <w:r>
        <w:rPr>
          <w:color w:val="231F20"/>
          <w:spacing w:val="-10"/>
        </w:rPr>
        <w:t> </w:t>
      </w:r>
      <w:r>
        <w:rPr>
          <w:color w:val="231F20"/>
        </w:rPr>
        <w:t>15</w:t>
      </w:r>
      <w:r>
        <w:rPr>
          <w:color w:val="231F20"/>
          <w:spacing w:val="-9"/>
        </w:rPr>
        <w:t> </w:t>
      </w:r>
      <w:r>
        <w:rPr>
          <w:color w:val="231F20"/>
        </w:rPr>
        <w:t>y</w:t>
      </w:r>
      <w:r>
        <w:rPr>
          <w:color w:val="231F20"/>
          <w:spacing w:val="-9"/>
        </w:rPr>
        <w:t> </w:t>
      </w:r>
      <w:r>
        <w:rPr>
          <w:color w:val="231F20"/>
        </w:rPr>
        <w:t>24</w:t>
      </w:r>
      <w:r>
        <w:rPr>
          <w:color w:val="231F20"/>
          <w:spacing w:val="-9"/>
        </w:rPr>
        <w:t> </w:t>
      </w:r>
      <w:r>
        <w:rPr>
          <w:color w:val="231F20"/>
        </w:rPr>
        <w:t>horas</w:t>
      </w:r>
      <w:r>
        <w:rPr>
          <w:color w:val="231F20"/>
          <w:spacing w:val="-9"/>
        </w:rPr>
        <w:t> </w:t>
      </w:r>
      <w:r>
        <w:rPr>
          <w:color w:val="231F20"/>
        </w:rPr>
        <w:t>semanales</w:t>
      </w:r>
      <w:r>
        <w:rPr>
          <w:color w:val="231F20"/>
          <w:spacing w:val="-9"/>
        </w:rPr>
        <w:t> </w:t>
      </w:r>
      <w:r>
        <w:rPr>
          <w:color w:val="231F20"/>
        </w:rPr>
        <w:t>y</w:t>
      </w:r>
      <w:r>
        <w:rPr>
          <w:color w:val="231F20"/>
          <w:spacing w:val="-9"/>
        </w:rPr>
        <w:t> </w:t>
      </w:r>
      <w:r>
        <w:rPr>
          <w:color w:val="231F20"/>
        </w:rPr>
        <w:t>el</w:t>
      </w:r>
      <w:r>
        <w:rPr>
          <w:color w:val="231F20"/>
          <w:spacing w:val="-10"/>
        </w:rPr>
        <w:t> </w:t>
      </w:r>
      <w:r>
        <w:rPr>
          <w:color w:val="231F20"/>
        </w:rPr>
        <w:t>resto</w:t>
      </w:r>
      <w:r>
        <w:rPr>
          <w:color w:val="231F20"/>
          <w:spacing w:val="-10"/>
        </w:rPr>
        <w:t> </w:t>
      </w:r>
      <w:r>
        <w:rPr>
          <w:color w:val="231F20"/>
        </w:rPr>
        <w:t>más</w:t>
      </w:r>
      <w:r>
        <w:rPr>
          <w:color w:val="231F20"/>
          <w:spacing w:val="-10"/>
        </w:rPr>
        <w:t> </w:t>
      </w:r>
      <w:r>
        <w:rPr>
          <w:color w:val="231F20"/>
        </w:rPr>
        <w:t>de</w:t>
      </w:r>
      <w:r>
        <w:rPr>
          <w:color w:val="231F20"/>
          <w:spacing w:val="-10"/>
        </w:rPr>
        <w:t> </w:t>
      </w:r>
      <w:r>
        <w:rPr>
          <w:color w:val="231F20"/>
        </w:rPr>
        <w:t>25 horas de quehaceres domésticos a la semana (Cuadro</w:t>
      </w:r>
      <w:r>
        <w:rPr>
          <w:color w:val="231F20"/>
          <w:spacing w:val="-5"/>
        </w:rPr>
        <w:t> </w:t>
      </w:r>
      <w:r>
        <w:rPr>
          <w:color w:val="231F20"/>
        </w:rPr>
        <w:t>5).</w:t>
      </w:r>
    </w:p>
    <w:p>
      <w:pPr>
        <w:pStyle w:val="BodyText"/>
        <w:rPr>
          <w:sz w:val="18"/>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32"/>
        <w:gridCol w:w="2151"/>
      </w:tblGrid>
      <w:tr>
        <w:trPr>
          <w:trHeight w:val="374" w:hRule="exact"/>
        </w:trPr>
        <w:tc>
          <w:tcPr>
            <w:tcW w:w="3632" w:type="dxa"/>
            <w:tcBorders>
              <w:bottom w:val="single" w:sz="4" w:space="0" w:color="000000"/>
            </w:tcBorders>
          </w:tcPr>
          <w:p>
            <w:pPr>
              <w:pStyle w:val="TableParagraph"/>
              <w:spacing w:before="81"/>
              <w:ind w:left="89"/>
              <w:jc w:val="left"/>
              <w:rPr>
                <w:sz w:val="19"/>
              </w:rPr>
            </w:pPr>
            <w:r>
              <w:rPr>
                <w:sz w:val="19"/>
              </w:rPr>
              <w:t>Cuadro  5. Jornada doméstica</w:t>
            </w:r>
          </w:p>
        </w:tc>
        <w:tc>
          <w:tcPr>
            <w:tcW w:w="2151" w:type="dxa"/>
            <w:tcBorders>
              <w:bottom w:val="single" w:sz="4" w:space="0" w:color="000000"/>
            </w:tcBorders>
          </w:tcPr>
          <w:p>
            <w:pPr/>
          </w:p>
        </w:tc>
      </w:tr>
      <w:tr>
        <w:trPr>
          <w:trHeight w:val="322" w:hRule="exact"/>
        </w:trPr>
        <w:tc>
          <w:tcPr>
            <w:tcW w:w="3632" w:type="dxa"/>
            <w:tcBorders>
              <w:top w:val="single" w:sz="4" w:space="0" w:color="000000"/>
              <w:bottom w:val="single" w:sz="4" w:space="0" w:color="000000"/>
            </w:tcBorders>
          </w:tcPr>
          <w:p>
            <w:pPr>
              <w:pStyle w:val="TableParagraph"/>
              <w:spacing w:before="5"/>
              <w:ind w:left="89"/>
              <w:jc w:val="left"/>
              <w:rPr>
                <w:sz w:val="19"/>
              </w:rPr>
            </w:pPr>
            <w:r>
              <w:rPr>
                <w:sz w:val="19"/>
              </w:rPr>
              <w:t>Jornada</w:t>
            </w:r>
          </w:p>
        </w:tc>
        <w:tc>
          <w:tcPr>
            <w:tcW w:w="2151" w:type="dxa"/>
            <w:tcBorders>
              <w:top w:val="single" w:sz="4" w:space="0" w:color="000000"/>
              <w:bottom w:val="single" w:sz="4" w:space="0" w:color="000000"/>
            </w:tcBorders>
          </w:tcPr>
          <w:p>
            <w:pPr>
              <w:pStyle w:val="TableParagraph"/>
              <w:spacing w:before="5"/>
              <w:ind w:right="62"/>
              <w:rPr>
                <w:sz w:val="19"/>
              </w:rPr>
            </w:pPr>
            <w:r>
              <w:rPr>
                <w:sz w:val="19"/>
              </w:rPr>
              <w:t>Porcentaje</w:t>
            </w:r>
          </w:p>
        </w:tc>
      </w:tr>
      <w:tr>
        <w:trPr>
          <w:trHeight w:val="278" w:hRule="exact"/>
        </w:trPr>
        <w:tc>
          <w:tcPr>
            <w:tcW w:w="3632" w:type="dxa"/>
            <w:tcBorders>
              <w:top w:val="single" w:sz="4" w:space="0" w:color="000000"/>
            </w:tcBorders>
          </w:tcPr>
          <w:p>
            <w:pPr>
              <w:pStyle w:val="TableParagraph"/>
              <w:spacing w:before="5"/>
              <w:ind w:left="89"/>
              <w:jc w:val="left"/>
              <w:rPr>
                <w:sz w:val="19"/>
              </w:rPr>
            </w:pPr>
            <w:r>
              <w:rPr>
                <w:sz w:val="19"/>
              </w:rPr>
              <w:t>Menos de 15  horas</w:t>
            </w:r>
          </w:p>
        </w:tc>
        <w:tc>
          <w:tcPr>
            <w:tcW w:w="2151" w:type="dxa"/>
            <w:tcBorders>
              <w:top w:val="single" w:sz="4" w:space="0" w:color="000000"/>
            </w:tcBorders>
          </w:tcPr>
          <w:p>
            <w:pPr>
              <w:pStyle w:val="TableParagraph"/>
              <w:spacing w:before="5"/>
              <w:ind w:right="62"/>
              <w:rPr>
                <w:sz w:val="19"/>
              </w:rPr>
            </w:pPr>
            <w:r>
              <w:rPr>
                <w:sz w:val="19"/>
              </w:rPr>
              <w:t>92.4</w:t>
            </w:r>
          </w:p>
        </w:tc>
      </w:tr>
      <w:tr>
        <w:trPr>
          <w:trHeight w:val="300" w:hRule="exact"/>
        </w:trPr>
        <w:tc>
          <w:tcPr>
            <w:tcW w:w="3632" w:type="dxa"/>
          </w:tcPr>
          <w:p>
            <w:pPr>
              <w:pStyle w:val="TableParagraph"/>
              <w:spacing w:before="33"/>
              <w:ind w:left="89"/>
              <w:jc w:val="left"/>
              <w:rPr>
                <w:sz w:val="19"/>
              </w:rPr>
            </w:pPr>
            <w:r>
              <w:rPr>
                <w:sz w:val="19"/>
              </w:rPr>
              <w:t>De 15-24</w:t>
            </w:r>
          </w:p>
        </w:tc>
        <w:tc>
          <w:tcPr>
            <w:tcW w:w="2151" w:type="dxa"/>
          </w:tcPr>
          <w:p>
            <w:pPr>
              <w:pStyle w:val="TableParagraph"/>
              <w:spacing w:before="33"/>
              <w:ind w:right="63"/>
              <w:rPr>
                <w:sz w:val="19"/>
              </w:rPr>
            </w:pPr>
            <w:r>
              <w:rPr>
                <w:sz w:val="19"/>
              </w:rPr>
              <w:t>3.9</w:t>
            </w:r>
          </w:p>
        </w:tc>
      </w:tr>
      <w:tr>
        <w:trPr>
          <w:trHeight w:val="300" w:hRule="exact"/>
        </w:trPr>
        <w:tc>
          <w:tcPr>
            <w:tcW w:w="3632" w:type="dxa"/>
          </w:tcPr>
          <w:p>
            <w:pPr>
              <w:pStyle w:val="TableParagraph"/>
              <w:spacing w:before="31"/>
              <w:ind w:left="89"/>
              <w:jc w:val="left"/>
              <w:rPr>
                <w:sz w:val="19"/>
              </w:rPr>
            </w:pPr>
            <w:r>
              <w:rPr>
                <w:sz w:val="19"/>
              </w:rPr>
              <w:t>De 25 a 34 horas</w:t>
            </w:r>
          </w:p>
        </w:tc>
        <w:tc>
          <w:tcPr>
            <w:tcW w:w="2151" w:type="dxa"/>
          </w:tcPr>
          <w:p>
            <w:pPr>
              <w:pStyle w:val="TableParagraph"/>
              <w:spacing w:before="31"/>
              <w:ind w:right="63"/>
              <w:rPr>
                <w:sz w:val="19"/>
              </w:rPr>
            </w:pPr>
            <w:r>
              <w:rPr>
                <w:sz w:val="19"/>
              </w:rPr>
              <w:t>1.2</w:t>
            </w:r>
          </w:p>
        </w:tc>
      </w:tr>
      <w:tr>
        <w:trPr>
          <w:trHeight w:val="300" w:hRule="exact"/>
        </w:trPr>
        <w:tc>
          <w:tcPr>
            <w:tcW w:w="3632" w:type="dxa"/>
          </w:tcPr>
          <w:p>
            <w:pPr>
              <w:pStyle w:val="TableParagraph"/>
              <w:spacing w:before="33"/>
              <w:ind w:left="89"/>
              <w:jc w:val="left"/>
              <w:rPr>
                <w:sz w:val="19"/>
              </w:rPr>
            </w:pPr>
            <w:r>
              <w:rPr>
                <w:sz w:val="19"/>
              </w:rPr>
              <w:t>35 horas y más</w:t>
            </w:r>
          </w:p>
        </w:tc>
        <w:tc>
          <w:tcPr>
            <w:tcW w:w="2151" w:type="dxa"/>
          </w:tcPr>
          <w:p>
            <w:pPr>
              <w:pStyle w:val="TableParagraph"/>
              <w:spacing w:before="33"/>
              <w:ind w:right="63"/>
              <w:rPr>
                <w:sz w:val="19"/>
              </w:rPr>
            </w:pPr>
            <w:r>
              <w:rPr>
                <w:sz w:val="19"/>
              </w:rPr>
              <w:t>1.1</w:t>
            </w:r>
          </w:p>
        </w:tc>
      </w:tr>
      <w:tr>
        <w:trPr>
          <w:trHeight w:val="300" w:hRule="exact"/>
        </w:trPr>
        <w:tc>
          <w:tcPr>
            <w:tcW w:w="3632" w:type="dxa"/>
          </w:tcPr>
          <w:p>
            <w:pPr>
              <w:pStyle w:val="TableParagraph"/>
              <w:spacing w:before="31"/>
              <w:ind w:left="89"/>
              <w:jc w:val="left"/>
              <w:rPr>
                <w:sz w:val="19"/>
              </w:rPr>
            </w:pPr>
            <w:r>
              <w:rPr>
                <w:sz w:val="19"/>
              </w:rPr>
              <w:t>No especificado</w:t>
            </w:r>
          </w:p>
        </w:tc>
        <w:tc>
          <w:tcPr>
            <w:tcW w:w="2151" w:type="dxa"/>
          </w:tcPr>
          <w:p>
            <w:pPr>
              <w:pStyle w:val="TableParagraph"/>
              <w:spacing w:before="31"/>
              <w:ind w:right="63"/>
              <w:rPr>
                <w:sz w:val="19"/>
              </w:rPr>
            </w:pPr>
            <w:r>
              <w:rPr>
                <w:sz w:val="19"/>
              </w:rPr>
              <w:t>1.4</w:t>
            </w:r>
          </w:p>
        </w:tc>
      </w:tr>
      <w:tr>
        <w:trPr>
          <w:trHeight w:val="331" w:hRule="exact"/>
        </w:trPr>
        <w:tc>
          <w:tcPr>
            <w:tcW w:w="3632" w:type="dxa"/>
            <w:tcBorders>
              <w:bottom w:val="single" w:sz="4" w:space="0" w:color="000000"/>
            </w:tcBorders>
          </w:tcPr>
          <w:p>
            <w:pPr>
              <w:pStyle w:val="TableParagraph"/>
              <w:spacing w:before="33"/>
              <w:ind w:left="89"/>
              <w:jc w:val="left"/>
              <w:rPr>
                <w:sz w:val="19"/>
              </w:rPr>
            </w:pPr>
            <w:r>
              <w:rPr>
                <w:sz w:val="19"/>
              </w:rPr>
              <w:t>Total</w:t>
            </w:r>
          </w:p>
        </w:tc>
        <w:tc>
          <w:tcPr>
            <w:tcW w:w="2151" w:type="dxa"/>
            <w:tcBorders>
              <w:bottom w:val="single" w:sz="4" w:space="0" w:color="000000"/>
            </w:tcBorders>
          </w:tcPr>
          <w:p>
            <w:pPr>
              <w:pStyle w:val="TableParagraph"/>
              <w:spacing w:before="33"/>
              <w:ind w:right="62"/>
              <w:rPr>
                <w:sz w:val="19"/>
              </w:rPr>
            </w:pPr>
            <w:r>
              <w:rPr>
                <w:sz w:val="19"/>
              </w:rPr>
              <w:t>100.0</w:t>
            </w:r>
          </w:p>
        </w:tc>
      </w:tr>
    </w:tbl>
    <w:p>
      <w:pPr>
        <w:spacing w:line="244" w:lineRule="auto" w:before="0"/>
        <w:ind w:left="199" w:right="474" w:hanging="1"/>
        <w:jc w:val="left"/>
        <w:rPr>
          <w:sz w:val="16"/>
        </w:rPr>
      </w:pPr>
      <w:r>
        <w:rPr>
          <w:sz w:val="16"/>
        </w:rPr>
        <w:t>Fuente: elaboración propia con base en Encuesta Nacional de Ocupación y Empleo 2013, Módulo de Trabajo Infantil, INEGI, 2013.</w:t>
      </w:r>
    </w:p>
    <w:p>
      <w:pPr>
        <w:pStyle w:val="BodyText"/>
        <w:spacing w:before="6"/>
        <w:rPr>
          <w:sz w:val="13"/>
        </w:rPr>
      </w:pPr>
    </w:p>
    <w:p>
      <w:pPr>
        <w:pStyle w:val="BodyText"/>
        <w:spacing w:line="249" w:lineRule="auto" w:before="75"/>
        <w:ind w:left="110" w:right="111" w:firstLine="283"/>
        <w:jc w:val="both"/>
      </w:pP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5"/>
        </w:rPr>
        <w:t> </w:t>
      </w:r>
      <w:r>
        <w:rPr>
          <w:color w:val="231F20"/>
        </w:rPr>
        <w:t>el</w:t>
      </w:r>
      <w:r>
        <w:rPr>
          <w:color w:val="231F20"/>
          <w:spacing w:val="-4"/>
        </w:rPr>
        <w:t> </w:t>
      </w:r>
      <w:r>
        <w:rPr>
          <w:color w:val="231F20"/>
        </w:rPr>
        <w:t>sexo</w:t>
      </w:r>
      <w:r>
        <w:rPr>
          <w:color w:val="231F20"/>
          <w:spacing w:val="-4"/>
        </w:rPr>
        <w:t> </w:t>
      </w:r>
      <w:r>
        <w:rPr>
          <w:color w:val="231F20"/>
        </w:rPr>
        <w:t>de</w:t>
      </w:r>
      <w:r>
        <w:rPr>
          <w:color w:val="231F20"/>
          <w:spacing w:val="-4"/>
        </w:rPr>
        <w:t> </w:t>
      </w:r>
      <w:r>
        <w:rPr>
          <w:color w:val="231F20"/>
        </w:rPr>
        <w:t>los</w:t>
      </w:r>
      <w:r>
        <w:rPr>
          <w:color w:val="231F20"/>
          <w:spacing w:val="-5"/>
        </w:rPr>
        <w:t> </w:t>
      </w:r>
      <w:r>
        <w:rPr>
          <w:color w:val="231F20"/>
        </w:rPr>
        <w:t>menores</w:t>
      </w:r>
      <w:r>
        <w:rPr>
          <w:color w:val="231F20"/>
          <w:spacing w:val="-5"/>
        </w:rPr>
        <w:t> </w:t>
      </w:r>
      <w:r>
        <w:rPr>
          <w:color w:val="231F20"/>
        </w:rPr>
        <w:t>y</w:t>
      </w:r>
      <w:r>
        <w:rPr>
          <w:color w:val="231F20"/>
          <w:spacing w:val="-4"/>
        </w:rPr>
        <w:t> </w:t>
      </w:r>
      <w:r>
        <w:rPr>
          <w:color w:val="231F20"/>
        </w:rPr>
        <w:t>la</w:t>
      </w:r>
      <w:r>
        <w:rPr>
          <w:color w:val="231F20"/>
          <w:spacing w:val="-4"/>
        </w:rPr>
        <w:t> </w:t>
      </w:r>
      <w:r>
        <w:rPr>
          <w:color w:val="231F20"/>
        </w:rPr>
        <w:t>jornada</w:t>
      </w:r>
      <w:r>
        <w:rPr>
          <w:color w:val="231F20"/>
          <w:spacing w:val="-5"/>
        </w:rPr>
        <w:t> </w:t>
      </w:r>
      <w:r>
        <w:rPr>
          <w:color w:val="231F20"/>
        </w:rPr>
        <w:t>doméstica</w:t>
      </w:r>
      <w:r>
        <w:rPr>
          <w:color w:val="231F20"/>
          <w:spacing w:val="-4"/>
        </w:rPr>
        <w:t> </w:t>
      </w:r>
      <w:r>
        <w:rPr>
          <w:color w:val="231F20"/>
        </w:rPr>
        <w:t>se</w:t>
      </w:r>
      <w:r>
        <w:rPr>
          <w:color w:val="231F20"/>
          <w:spacing w:val="-4"/>
        </w:rPr>
        <w:t> </w:t>
      </w:r>
      <w:r>
        <w:rPr>
          <w:color w:val="231F20"/>
        </w:rPr>
        <w:t>cla- sifica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siguiente</w:t>
      </w:r>
      <w:r>
        <w:rPr>
          <w:color w:val="231F20"/>
          <w:spacing w:val="-10"/>
        </w:rPr>
        <w:t> </w:t>
      </w:r>
      <w:r>
        <w:rPr>
          <w:color w:val="231F20"/>
        </w:rPr>
        <w:t>forma:</w:t>
      </w:r>
      <w:r>
        <w:rPr>
          <w:color w:val="231F20"/>
          <w:spacing w:val="-10"/>
        </w:rPr>
        <w:t> </w:t>
      </w:r>
      <w:r>
        <w:rPr>
          <w:color w:val="231F20"/>
        </w:rPr>
        <w:t>5.34</w:t>
      </w:r>
      <w:r>
        <w:rPr>
          <w:color w:val="231F20"/>
          <w:spacing w:val="-10"/>
        </w:rPr>
        <w:t> </w:t>
      </w:r>
      <w:r>
        <w:rPr>
          <w:color w:val="231F20"/>
        </w:rPr>
        <w:t>horas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semana</w:t>
      </w:r>
      <w:r>
        <w:rPr>
          <w:color w:val="231F20"/>
          <w:spacing w:val="-10"/>
        </w:rPr>
        <w:t> </w:t>
      </w:r>
      <w:r>
        <w:rPr>
          <w:color w:val="231F20"/>
        </w:rPr>
        <w:t>los</w:t>
      </w:r>
      <w:r>
        <w:rPr>
          <w:color w:val="231F20"/>
          <w:spacing w:val="-10"/>
        </w:rPr>
        <w:t> </w:t>
      </w:r>
      <w:r>
        <w:rPr>
          <w:color w:val="231F20"/>
        </w:rPr>
        <w:t>niños</w:t>
      </w:r>
      <w:r>
        <w:rPr>
          <w:color w:val="231F20"/>
          <w:spacing w:val="-10"/>
        </w:rPr>
        <w:t> </w:t>
      </w:r>
      <w:r>
        <w:rPr>
          <w:color w:val="231F20"/>
        </w:rPr>
        <w:t>desempeñan en promedio 4.94 horas a la semana y las niñas 5.92 horas a la semana. No</w:t>
      </w:r>
      <w:r>
        <w:rPr>
          <w:color w:val="231F20"/>
          <w:spacing w:val="-9"/>
        </w:rPr>
        <w:t> </w:t>
      </w:r>
      <w:r>
        <w:rPr>
          <w:color w:val="231F20"/>
        </w:rPr>
        <w:t>obstante,</w:t>
      </w:r>
      <w:r>
        <w:rPr>
          <w:color w:val="231F20"/>
          <w:spacing w:val="-9"/>
        </w:rPr>
        <w:t> </w:t>
      </w:r>
      <w:r>
        <w:rPr>
          <w:color w:val="231F20"/>
        </w:rPr>
        <w:t>la</w:t>
      </w:r>
      <w:r>
        <w:rPr>
          <w:color w:val="231F20"/>
          <w:spacing w:val="-9"/>
        </w:rPr>
        <w:t> </w:t>
      </w:r>
      <w:r>
        <w:rPr>
          <w:color w:val="231F20"/>
        </w:rPr>
        <w:t>jornada</w:t>
      </w:r>
      <w:r>
        <w:rPr>
          <w:color w:val="231F20"/>
          <w:spacing w:val="-10"/>
        </w:rPr>
        <w:t> </w:t>
      </w:r>
      <w:r>
        <w:rPr>
          <w:color w:val="231F20"/>
        </w:rPr>
        <w:t>referente</w:t>
      </w:r>
      <w:r>
        <w:rPr>
          <w:color w:val="231F20"/>
          <w:spacing w:val="-9"/>
        </w:rPr>
        <w:t> </w:t>
      </w:r>
      <w:r>
        <w:rPr>
          <w:color w:val="231F20"/>
        </w:rPr>
        <w:t>al</w:t>
      </w:r>
      <w:r>
        <w:rPr>
          <w:color w:val="231F20"/>
          <w:spacing w:val="-9"/>
        </w:rPr>
        <w:t> </w:t>
      </w:r>
      <w:r>
        <w:rPr>
          <w:color w:val="231F20"/>
        </w:rPr>
        <w:t>cuidado</w:t>
      </w:r>
      <w:r>
        <w:rPr>
          <w:color w:val="231F20"/>
          <w:spacing w:val="-10"/>
        </w:rPr>
        <w:t> </w:t>
      </w:r>
      <w:r>
        <w:rPr>
          <w:color w:val="231F20"/>
        </w:rPr>
        <w:t>de</w:t>
      </w:r>
      <w:r>
        <w:rPr>
          <w:color w:val="231F20"/>
          <w:spacing w:val="-9"/>
        </w:rPr>
        <w:t> </w:t>
      </w:r>
      <w:r>
        <w:rPr>
          <w:color w:val="231F20"/>
        </w:rPr>
        <w:t>niños,</w:t>
      </w:r>
      <w:r>
        <w:rPr>
          <w:color w:val="231F20"/>
          <w:spacing w:val="-9"/>
        </w:rPr>
        <w:t> </w:t>
      </w:r>
      <w:r>
        <w:rPr>
          <w:color w:val="231F20"/>
        </w:rPr>
        <w:t>ancianos,</w:t>
      </w:r>
      <w:r>
        <w:rPr>
          <w:color w:val="231F20"/>
          <w:spacing w:val="-10"/>
        </w:rPr>
        <w:t> </w:t>
      </w:r>
      <w:r>
        <w:rPr>
          <w:color w:val="231F20"/>
        </w:rPr>
        <w:t>enfermos o</w:t>
      </w:r>
      <w:r>
        <w:rPr>
          <w:color w:val="231F20"/>
          <w:spacing w:val="-4"/>
        </w:rPr>
        <w:t> </w:t>
      </w:r>
      <w:r>
        <w:rPr>
          <w:color w:val="231F20"/>
        </w:rPr>
        <w:t>discapacitados</w:t>
      </w:r>
      <w:r>
        <w:rPr>
          <w:color w:val="231F20"/>
          <w:spacing w:val="-4"/>
        </w:rPr>
        <w:t> </w:t>
      </w:r>
      <w:r>
        <w:rPr>
          <w:color w:val="231F20"/>
        </w:rPr>
        <w:t>es</w:t>
      </w:r>
      <w:r>
        <w:rPr>
          <w:color w:val="231F20"/>
          <w:spacing w:val="-4"/>
        </w:rPr>
        <w:t> </w:t>
      </w:r>
      <w:r>
        <w:rPr>
          <w:color w:val="231F20"/>
        </w:rPr>
        <w:t>mayor:</w:t>
      </w:r>
      <w:r>
        <w:rPr>
          <w:color w:val="231F20"/>
          <w:spacing w:val="-5"/>
        </w:rPr>
        <w:t> </w:t>
      </w:r>
      <w:r>
        <w:rPr>
          <w:color w:val="231F20"/>
        </w:rPr>
        <w:t>en</w:t>
      </w:r>
      <w:r>
        <w:rPr>
          <w:color w:val="231F20"/>
          <w:spacing w:val="-4"/>
        </w:rPr>
        <w:t> </w:t>
      </w:r>
      <w:r>
        <w:rPr>
          <w:color w:val="231F20"/>
        </w:rPr>
        <w:t>promedio</w:t>
      </w:r>
      <w:r>
        <w:rPr>
          <w:color w:val="231F20"/>
          <w:spacing w:val="-4"/>
        </w:rPr>
        <w:t> </w:t>
      </w:r>
      <w:r>
        <w:rPr>
          <w:color w:val="231F20"/>
        </w:rPr>
        <w:t>se</w:t>
      </w:r>
      <w:r>
        <w:rPr>
          <w:color w:val="231F20"/>
          <w:spacing w:val="-4"/>
        </w:rPr>
        <w:t> </w:t>
      </w:r>
      <w:r>
        <w:rPr>
          <w:color w:val="231F20"/>
        </w:rPr>
        <w:t>utilizan</w:t>
      </w:r>
      <w:r>
        <w:rPr>
          <w:color w:val="231F20"/>
          <w:spacing w:val="-4"/>
        </w:rPr>
        <w:t> </w:t>
      </w:r>
      <w:r>
        <w:rPr>
          <w:color w:val="231F20"/>
        </w:rPr>
        <w:t>7.64</w:t>
      </w:r>
      <w:r>
        <w:rPr>
          <w:color w:val="231F20"/>
          <w:spacing w:val="-4"/>
        </w:rPr>
        <w:t> </w:t>
      </w:r>
      <w:r>
        <w:rPr>
          <w:color w:val="231F20"/>
        </w:rPr>
        <w:t>horas</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sema- na,</w:t>
      </w:r>
      <w:r>
        <w:rPr>
          <w:color w:val="231F20"/>
          <w:spacing w:val="-7"/>
        </w:rPr>
        <w:t> </w:t>
      </w:r>
      <w:r>
        <w:rPr>
          <w:color w:val="231F20"/>
        </w:rPr>
        <w:t>los</w:t>
      </w:r>
      <w:r>
        <w:rPr>
          <w:color w:val="231F20"/>
          <w:spacing w:val="-8"/>
        </w:rPr>
        <w:t> </w:t>
      </w:r>
      <w:r>
        <w:rPr>
          <w:color w:val="231F20"/>
        </w:rPr>
        <w:t>niños</w:t>
      </w:r>
      <w:r>
        <w:rPr>
          <w:color w:val="231F20"/>
          <w:spacing w:val="-7"/>
        </w:rPr>
        <w:t> </w:t>
      </w:r>
      <w:r>
        <w:rPr>
          <w:color w:val="231F20"/>
        </w:rPr>
        <w:t>desempeñan</w:t>
      </w:r>
      <w:r>
        <w:rPr>
          <w:color w:val="231F20"/>
          <w:spacing w:val="-7"/>
        </w:rPr>
        <w:t> </w:t>
      </w:r>
      <w:r>
        <w:rPr>
          <w:color w:val="231F20"/>
        </w:rPr>
        <w:t>en</w:t>
      </w:r>
      <w:r>
        <w:rPr>
          <w:color w:val="231F20"/>
          <w:spacing w:val="-8"/>
        </w:rPr>
        <w:t> </w:t>
      </w:r>
      <w:r>
        <w:rPr>
          <w:color w:val="231F20"/>
        </w:rPr>
        <w:t>promedio</w:t>
      </w:r>
      <w:r>
        <w:rPr>
          <w:color w:val="231F20"/>
          <w:spacing w:val="-7"/>
        </w:rPr>
        <w:t> </w:t>
      </w:r>
      <w:r>
        <w:rPr>
          <w:color w:val="231F20"/>
        </w:rPr>
        <w:t>7.01</w:t>
      </w:r>
      <w:r>
        <w:rPr>
          <w:color w:val="231F20"/>
          <w:spacing w:val="-7"/>
        </w:rPr>
        <w:t> </w:t>
      </w:r>
      <w:r>
        <w:rPr>
          <w:color w:val="231F20"/>
        </w:rPr>
        <w:t>horas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semana</w:t>
      </w:r>
      <w:r>
        <w:rPr>
          <w:color w:val="231F20"/>
          <w:spacing w:val="-7"/>
        </w:rPr>
        <w:t> </w:t>
      </w:r>
      <w:r>
        <w:rPr>
          <w:color w:val="231F20"/>
        </w:rPr>
        <w:t>y</w:t>
      </w:r>
      <w:r>
        <w:rPr>
          <w:color w:val="231F20"/>
          <w:spacing w:val="-7"/>
        </w:rPr>
        <w:t> </w:t>
      </w:r>
      <w:r>
        <w:rPr>
          <w:color w:val="231F20"/>
        </w:rPr>
        <w:t>las</w:t>
      </w:r>
      <w:r>
        <w:rPr>
          <w:color w:val="231F20"/>
          <w:spacing w:val="-8"/>
        </w:rPr>
        <w:t> </w:t>
      </w:r>
      <w:r>
        <w:rPr>
          <w:color w:val="231F20"/>
        </w:rPr>
        <w:t>niñas</w:t>
      </w:r>
    </w:p>
    <w:p>
      <w:pPr>
        <w:pStyle w:val="BodyText"/>
        <w:spacing w:before="1"/>
        <w:ind w:left="110" w:right="792"/>
      </w:pPr>
      <w:r>
        <w:rPr>
          <w:color w:val="231F20"/>
        </w:rPr>
        <w:t>8.09 horas a la semana para el cuidado de terceros.</w:t>
      </w:r>
    </w:p>
    <w:p>
      <w:pPr>
        <w:pStyle w:val="BodyText"/>
        <w:spacing w:line="249" w:lineRule="auto" w:before="10"/>
        <w:ind w:left="110" w:right="111" w:firstLine="283"/>
        <w:jc w:val="both"/>
      </w:pPr>
      <w:r>
        <w:rPr>
          <w:color w:val="231F20"/>
        </w:rPr>
        <w:t>La</w:t>
      </w:r>
      <w:r>
        <w:rPr>
          <w:color w:val="231F20"/>
          <w:spacing w:val="-10"/>
        </w:rPr>
        <w:t> </w:t>
      </w:r>
      <w:r>
        <w:rPr>
          <w:color w:val="231F20"/>
        </w:rPr>
        <w:t>jornada</w:t>
      </w:r>
      <w:r>
        <w:rPr>
          <w:color w:val="231F20"/>
          <w:spacing w:val="-10"/>
        </w:rPr>
        <w:t> </w:t>
      </w:r>
      <w:r>
        <w:rPr>
          <w:color w:val="231F20"/>
        </w:rPr>
        <w:t>de</w:t>
      </w:r>
      <w:r>
        <w:rPr>
          <w:color w:val="231F20"/>
          <w:spacing w:val="-10"/>
        </w:rPr>
        <w:t> </w:t>
      </w:r>
      <w:r>
        <w:rPr>
          <w:color w:val="231F20"/>
        </w:rPr>
        <w:t>quehaceres</w:t>
      </w:r>
      <w:r>
        <w:rPr>
          <w:color w:val="231F20"/>
          <w:spacing w:val="-10"/>
        </w:rPr>
        <w:t> </w:t>
      </w:r>
      <w:r>
        <w:rPr>
          <w:color w:val="231F20"/>
        </w:rPr>
        <w:t>domésticos</w:t>
      </w:r>
      <w:r>
        <w:rPr>
          <w:color w:val="231F20"/>
          <w:spacing w:val="-10"/>
        </w:rPr>
        <w:t> </w:t>
      </w:r>
      <w:r>
        <w:rPr>
          <w:color w:val="231F20"/>
        </w:rPr>
        <w:t>por</w:t>
      </w:r>
      <w:r>
        <w:rPr>
          <w:color w:val="231F20"/>
          <w:spacing w:val="-10"/>
        </w:rPr>
        <w:t> </w:t>
      </w:r>
      <w:r>
        <w:rPr>
          <w:color w:val="231F20"/>
        </w:rPr>
        <w:t>sexo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menores,</w:t>
      </w:r>
      <w:r>
        <w:rPr>
          <w:color w:val="231F20"/>
          <w:spacing w:val="-10"/>
        </w:rPr>
        <w:t> </w:t>
      </w:r>
      <w:r>
        <w:rPr>
          <w:color w:val="231F20"/>
        </w:rPr>
        <w:t>refiere que son las niñas las que tiene una mayor carga de quehaceres domésti- cos y su proporción va aumentando a medida que la edad es mayor y la cantidad</w:t>
      </w:r>
      <w:r>
        <w:rPr>
          <w:color w:val="231F20"/>
          <w:spacing w:val="-6"/>
        </w:rPr>
        <w:t> </w:t>
      </w:r>
      <w:r>
        <w:rPr>
          <w:color w:val="231F20"/>
        </w:rPr>
        <w:t>de</w:t>
      </w:r>
      <w:r>
        <w:rPr>
          <w:color w:val="231F20"/>
          <w:spacing w:val="-5"/>
        </w:rPr>
        <w:t> </w:t>
      </w:r>
      <w:r>
        <w:rPr>
          <w:color w:val="231F20"/>
        </w:rPr>
        <w:t>horas</w:t>
      </w:r>
      <w:r>
        <w:rPr>
          <w:color w:val="231F20"/>
          <w:spacing w:val="-5"/>
        </w:rPr>
        <w:t> </w:t>
      </w:r>
      <w:r>
        <w:rPr>
          <w:color w:val="231F20"/>
        </w:rPr>
        <w:t>que</w:t>
      </w:r>
      <w:r>
        <w:rPr>
          <w:color w:val="231F20"/>
          <w:spacing w:val="-5"/>
        </w:rPr>
        <w:t> </w:t>
      </w:r>
      <w:r>
        <w:rPr>
          <w:color w:val="231F20"/>
        </w:rPr>
        <w:t>dedican</w:t>
      </w:r>
      <w:r>
        <w:rPr>
          <w:color w:val="231F20"/>
          <w:spacing w:val="-5"/>
        </w:rPr>
        <w:t> </w:t>
      </w:r>
      <w:r>
        <w:rPr>
          <w:color w:val="231F20"/>
        </w:rPr>
        <w:t>a</w:t>
      </w:r>
      <w:r>
        <w:rPr>
          <w:color w:val="231F20"/>
          <w:spacing w:val="-5"/>
        </w:rPr>
        <w:t> </w:t>
      </w:r>
      <w:r>
        <w:rPr>
          <w:color w:val="231F20"/>
        </w:rPr>
        <w:t>esta</w:t>
      </w:r>
      <w:r>
        <w:rPr>
          <w:color w:val="231F20"/>
          <w:spacing w:val="-5"/>
        </w:rPr>
        <w:t> </w:t>
      </w:r>
      <w:r>
        <w:rPr>
          <w:color w:val="231F20"/>
        </w:rPr>
        <w:t>actividad,</w:t>
      </w:r>
      <w:r>
        <w:rPr>
          <w:color w:val="231F20"/>
          <w:spacing w:val="-6"/>
        </w:rPr>
        <w:t> </w:t>
      </w:r>
      <w:r>
        <w:rPr>
          <w:color w:val="231F20"/>
        </w:rPr>
        <w:t>es</w:t>
      </w:r>
      <w:r>
        <w:rPr>
          <w:color w:val="231F20"/>
          <w:spacing w:val="-5"/>
        </w:rPr>
        <w:t> </w:t>
      </w:r>
      <w:r>
        <w:rPr>
          <w:color w:val="231F20"/>
        </w:rPr>
        <w:t>decir</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mayor</w:t>
      </w:r>
      <w:r>
        <w:rPr>
          <w:color w:val="231F20"/>
          <w:spacing w:val="-5"/>
        </w:rPr>
        <w:t> </w:t>
      </w:r>
      <w:r>
        <w:rPr>
          <w:color w:val="231F20"/>
        </w:rPr>
        <w:t>can- tidad de horas de trabajo doméstico existe un mayor porcentaje de niñas realizando estas actividades. La información indica que 54 de cada 100 menores</w:t>
      </w:r>
      <w:r>
        <w:rPr>
          <w:color w:val="231F20"/>
          <w:spacing w:val="-10"/>
        </w:rPr>
        <w:t> </w:t>
      </w:r>
      <w:r>
        <w:rPr>
          <w:color w:val="231F20"/>
        </w:rPr>
        <w:t>varones</w:t>
      </w:r>
      <w:r>
        <w:rPr>
          <w:color w:val="231F20"/>
          <w:spacing w:val="-10"/>
        </w:rPr>
        <w:t> </w:t>
      </w:r>
      <w:r>
        <w:rPr>
          <w:color w:val="231F20"/>
        </w:rPr>
        <w:t>realizan</w:t>
      </w:r>
      <w:r>
        <w:rPr>
          <w:color w:val="231F20"/>
          <w:spacing w:val="-10"/>
        </w:rPr>
        <w:t> </w:t>
      </w:r>
      <w:r>
        <w:rPr>
          <w:color w:val="231F20"/>
        </w:rPr>
        <w:t>jornada</w:t>
      </w:r>
      <w:r>
        <w:rPr>
          <w:color w:val="231F20"/>
          <w:spacing w:val="-10"/>
        </w:rPr>
        <w:t> </w:t>
      </w:r>
      <w:r>
        <w:rPr>
          <w:color w:val="231F20"/>
        </w:rPr>
        <w:t>doméstica</w:t>
      </w:r>
      <w:r>
        <w:rPr>
          <w:color w:val="231F20"/>
          <w:spacing w:val="-10"/>
        </w:rPr>
        <w:t> </w:t>
      </w:r>
      <w:r>
        <w:rPr>
          <w:color w:val="231F20"/>
        </w:rPr>
        <w:t>de</w:t>
      </w:r>
      <w:r>
        <w:rPr>
          <w:color w:val="231F20"/>
          <w:spacing w:val="-10"/>
        </w:rPr>
        <w:t> </w:t>
      </w:r>
      <w:r>
        <w:rPr>
          <w:color w:val="231F20"/>
        </w:rPr>
        <w:t>menos</w:t>
      </w:r>
      <w:r>
        <w:rPr>
          <w:color w:val="231F20"/>
          <w:spacing w:val="-10"/>
        </w:rPr>
        <w:t> </w:t>
      </w:r>
      <w:r>
        <w:rPr>
          <w:color w:val="231F20"/>
        </w:rPr>
        <w:t>de</w:t>
      </w:r>
      <w:r>
        <w:rPr>
          <w:color w:val="231F20"/>
          <w:spacing w:val="-10"/>
        </w:rPr>
        <w:t> </w:t>
      </w:r>
      <w:r>
        <w:rPr>
          <w:color w:val="231F20"/>
        </w:rPr>
        <w:t>15</w:t>
      </w:r>
      <w:r>
        <w:rPr>
          <w:color w:val="231F20"/>
          <w:spacing w:val="-10"/>
        </w:rPr>
        <w:t> </w:t>
      </w:r>
      <w:r>
        <w:rPr>
          <w:color w:val="231F20"/>
        </w:rPr>
        <w:t>horas,</w:t>
      </w:r>
      <w:r>
        <w:rPr>
          <w:color w:val="231F20"/>
          <w:spacing w:val="-10"/>
        </w:rPr>
        <w:t> </w:t>
      </w:r>
      <w:r>
        <w:rPr>
          <w:color w:val="231F20"/>
        </w:rPr>
        <w:t>77.58 por ciento de las niñas realizan jornadas de entre 15-24 horas, 81.81 por ciento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niñas</w:t>
      </w:r>
      <w:r>
        <w:rPr>
          <w:color w:val="231F20"/>
          <w:spacing w:val="-11"/>
        </w:rPr>
        <w:t> </w:t>
      </w:r>
      <w:r>
        <w:rPr>
          <w:color w:val="231F20"/>
        </w:rPr>
        <w:t>mencionó</w:t>
      </w:r>
      <w:r>
        <w:rPr>
          <w:color w:val="231F20"/>
          <w:spacing w:val="-12"/>
        </w:rPr>
        <w:t> </w:t>
      </w:r>
      <w:r>
        <w:rPr>
          <w:color w:val="231F20"/>
        </w:rPr>
        <w:t>que</w:t>
      </w:r>
      <w:r>
        <w:rPr>
          <w:color w:val="231F20"/>
          <w:spacing w:val="-11"/>
        </w:rPr>
        <w:t> </w:t>
      </w:r>
      <w:r>
        <w:rPr>
          <w:color w:val="231F20"/>
        </w:rPr>
        <w:t>su</w:t>
      </w:r>
      <w:r>
        <w:rPr>
          <w:color w:val="231F20"/>
          <w:spacing w:val="-11"/>
        </w:rPr>
        <w:t> </w:t>
      </w:r>
      <w:r>
        <w:rPr>
          <w:color w:val="231F20"/>
        </w:rPr>
        <w:t>jornada</w:t>
      </w:r>
      <w:r>
        <w:rPr>
          <w:color w:val="231F20"/>
          <w:spacing w:val="-12"/>
        </w:rPr>
        <w:t> </w:t>
      </w:r>
      <w:r>
        <w:rPr>
          <w:color w:val="231F20"/>
        </w:rPr>
        <w:t>laboral</w:t>
      </w:r>
      <w:r>
        <w:rPr>
          <w:color w:val="231F20"/>
          <w:spacing w:val="-12"/>
        </w:rPr>
        <w:t> </w:t>
      </w:r>
      <w:r>
        <w:rPr>
          <w:color w:val="231F20"/>
        </w:rPr>
        <w:t>es</w:t>
      </w:r>
      <w:r>
        <w:rPr>
          <w:color w:val="231F20"/>
          <w:spacing w:val="-11"/>
        </w:rPr>
        <w:t> </w:t>
      </w:r>
      <w:r>
        <w:rPr>
          <w:color w:val="231F20"/>
        </w:rPr>
        <w:t>25-34</w:t>
      </w:r>
      <w:r>
        <w:rPr>
          <w:color w:val="231F20"/>
          <w:spacing w:val="-11"/>
        </w:rPr>
        <w:t> </w:t>
      </w:r>
      <w:r>
        <w:rPr>
          <w:color w:val="231F20"/>
        </w:rPr>
        <w:t>horas,</w:t>
      </w:r>
      <w:r>
        <w:rPr>
          <w:color w:val="231F20"/>
          <w:spacing w:val="-11"/>
        </w:rPr>
        <w:t> </w:t>
      </w:r>
      <w:r>
        <w:rPr>
          <w:color w:val="231F20"/>
        </w:rPr>
        <w:t>93.01 por</w:t>
      </w:r>
      <w:r>
        <w:rPr>
          <w:color w:val="231F20"/>
          <w:spacing w:val="-11"/>
        </w:rPr>
        <w:t> </w:t>
      </w:r>
      <w:r>
        <w:rPr>
          <w:color w:val="231F20"/>
        </w:rPr>
        <w:t>ciento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niñas</w:t>
      </w:r>
      <w:r>
        <w:rPr>
          <w:color w:val="231F20"/>
          <w:spacing w:val="-11"/>
        </w:rPr>
        <w:t> </w:t>
      </w:r>
      <w:r>
        <w:rPr>
          <w:color w:val="231F20"/>
        </w:rPr>
        <w:t>realizan</w:t>
      </w:r>
      <w:r>
        <w:rPr>
          <w:color w:val="231F20"/>
          <w:spacing w:val="-11"/>
        </w:rPr>
        <w:t> </w:t>
      </w:r>
      <w:r>
        <w:rPr>
          <w:color w:val="231F20"/>
        </w:rPr>
        <w:t>una</w:t>
      </w:r>
      <w:r>
        <w:rPr>
          <w:color w:val="231F20"/>
          <w:spacing w:val="-11"/>
        </w:rPr>
        <w:t> </w:t>
      </w:r>
      <w:r>
        <w:rPr>
          <w:color w:val="231F20"/>
        </w:rPr>
        <w:t>jornada</w:t>
      </w:r>
      <w:r>
        <w:rPr>
          <w:color w:val="231F20"/>
          <w:spacing w:val="-11"/>
        </w:rPr>
        <w:t> </w:t>
      </w:r>
      <w:r>
        <w:rPr>
          <w:color w:val="231F20"/>
        </w:rPr>
        <w:t>domestica</w:t>
      </w:r>
      <w:r>
        <w:rPr>
          <w:color w:val="231F20"/>
          <w:spacing w:val="-11"/>
        </w:rPr>
        <w:t> </w:t>
      </w:r>
      <w:r>
        <w:rPr>
          <w:color w:val="231F20"/>
        </w:rPr>
        <w:t>de</w:t>
      </w:r>
      <w:r>
        <w:rPr>
          <w:color w:val="231F20"/>
          <w:spacing w:val="-11"/>
        </w:rPr>
        <w:t> </w:t>
      </w:r>
      <w:r>
        <w:rPr>
          <w:color w:val="231F20"/>
        </w:rPr>
        <w:t>más</w:t>
      </w:r>
      <w:r>
        <w:rPr>
          <w:color w:val="231F20"/>
          <w:spacing w:val="-11"/>
        </w:rPr>
        <w:t> </w:t>
      </w:r>
      <w:r>
        <w:rPr>
          <w:color w:val="231F20"/>
        </w:rPr>
        <w:t>de</w:t>
      </w:r>
      <w:r>
        <w:rPr>
          <w:color w:val="231F20"/>
          <w:spacing w:val="-11"/>
        </w:rPr>
        <w:t> </w:t>
      </w:r>
      <w:r>
        <w:rPr>
          <w:color w:val="231F20"/>
        </w:rPr>
        <w:t>35</w:t>
      </w:r>
      <w:r>
        <w:rPr>
          <w:color w:val="231F20"/>
          <w:spacing w:val="-11"/>
        </w:rPr>
        <w:t> </w:t>
      </w:r>
      <w:r>
        <w:rPr>
          <w:color w:val="231F20"/>
        </w:rPr>
        <w:t>horas a la semana (Gráfica 3). Como bien se puede observar, los quehaceres domésticos en su mayoría son desempeñados por</w:t>
      </w:r>
      <w:r>
        <w:rPr>
          <w:color w:val="231F20"/>
          <w:spacing w:val="-5"/>
        </w:rPr>
        <w:t> </w:t>
      </w:r>
      <w:r>
        <w:rPr>
          <w:color w:val="231F20"/>
        </w:rPr>
        <w:t>niñas.</w:t>
      </w:r>
    </w:p>
    <w:p>
      <w:pPr>
        <w:pStyle w:val="BodyText"/>
        <w:spacing w:line="249" w:lineRule="auto" w:before="1"/>
        <w:ind w:left="110" w:right="111" w:firstLine="283"/>
        <w:jc w:val="both"/>
      </w:pPr>
      <w:r>
        <w:rPr>
          <w:color w:val="231F20"/>
        </w:rPr>
        <w:t>Las</w:t>
      </w:r>
      <w:r>
        <w:rPr>
          <w:color w:val="231F20"/>
          <w:spacing w:val="-7"/>
        </w:rPr>
        <w:t> </w:t>
      </w:r>
      <w:r>
        <w:rPr>
          <w:color w:val="231F20"/>
        </w:rPr>
        <w:t>proporciones</w:t>
      </w:r>
      <w:r>
        <w:rPr>
          <w:color w:val="231F20"/>
          <w:spacing w:val="-7"/>
        </w:rPr>
        <w:t> </w:t>
      </w:r>
      <w:r>
        <w:rPr>
          <w:color w:val="231F20"/>
        </w:rPr>
        <w:t>de</w:t>
      </w:r>
      <w:r>
        <w:rPr>
          <w:color w:val="231F20"/>
          <w:spacing w:val="-7"/>
        </w:rPr>
        <w:t> </w:t>
      </w:r>
      <w:r>
        <w:rPr>
          <w:color w:val="231F20"/>
        </w:rPr>
        <w:t>participación</w:t>
      </w:r>
      <w:r>
        <w:rPr>
          <w:color w:val="231F20"/>
          <w:spacing w:val="-7"/>
        </w:rPr>
        <w:t> </w:t>
      </w:r>
      <w:r>
        <w:rPr>
          <w:color w:val="231F20"/>
        </w:rPr>
        <w:t>de</w:t>
      </w:r>
      <w:r>
        <w:rPr>
          <w:color w:val="231F20"/>
          <w:spacing w:val="-7"/>
        </w:rPr>
        <w:t> </w:t>
      </w:r>
      <w:r>
        <w:rPr>
          <w:color w:val="231F20"/>
        </w:rPr>
        <w:t>quehaceres</w:t>
      </w:r>
      <w:r>
        <w:rPr>
          <w:color w:val="231F20"/>
          <w:spacing w:val="-7"/>
        </w:rPr>
        <w:t> </w:t>
      </w:r>
      <w:r>
        <w:rPr>
          <w:color w:val="231F20"/>
        </w:rPr>
        <w:t>domésticos</w:t>
      </w:r>
      <w:r>
        <w:rPr>
          <w:color w:val="231F20"/>
          <w:spacing w:val="-7"/>
        </w:rPr>
        <w:t> </w:t>
      </w:r>
      <w:r>
        <w:rPr>
          <w:color w:val="231F20"/>
        </w:rPr>
        <w:t>por</w:t>
      </w:r>
      <w:r>
        <w:rPr>
          <w:color w:val="231F20"/>
          <w:spacing w:val="-7"/>
        </w:rPr>
        <w:t> </w:t>
      </w:r>
      <w:r>
        <w:rPr>
          <w:color w:val="231F20"/>
        </w:rPr>
        <w:t>gru- po de edad señalan que más de 90 por ciento de los menores realiza una jornada de labores domésticos menor a 15 horas a la</w:t>
      </w:r>
      <w:r>
        <w:rPr>
          <w:color w:val="231F20"/>
          <w:spacing w:val="-10"/>
        </w:rPr>
        <w:t> </w:t>
      </w:r>
      <w:r>
        <w:rPr>
          <w:color w:val="231F20"/>
        </w:rPr>
        <w:t>semana.</w:t>
      </w:r>
    </w:p>
    <w:p>
      <w:pPr>
        <w:spacing w:after="0" w:line="249" w:lineRule="auto"/>
        <w:jc w:val="both"/>
        <w:sectPr>
          <w:pgSz w:w="7770" w:h="11740"/>
          <w:pgMar w:header="0" w:footer="474" w:top="840" w:bottom="740" w:left="740" w:right="1020"/>
        </w:sectPr>
      </w:pPr>
    </w:p>
    <w:p>
      <w:pPr>
        <w:spacing w:before="68"/>
        <w:ind w:left="117" w:right="792" w:firstLine="0"/>
        <w:jc w:val="left"/>
        <w:rPr>
          <w:sz w:val="19"/>
        </w:rPr>
      </w:pPr>
      <w:r>
        <w:rPr/>
        <w:pict>
          <v:group style="position:absolute;margin-left:56.602654pt;margin-top:17.323254pt;width:288.5pt;height:274.45pt;mso-position-horizontal-relative:page;mso-position-vertical-relative:paragraph;z-index:9160;mso-wrap-distance-left:0;mso-wrap-distance-right:0" coordorigin="1132,346" coordsize="5770,5489">
            <v:rect style="position:absolute;left:5812;top:4352;width:475;height:278" filled="true" fillcolor="#585858" stroked="false">
              <v:fill type="solid"/>
            </v:rect>
            <v:rect style="position:absolute;left:5812;top:613;width:475;height:3739" filled="true" fillcolor="#a6a6a6" stroked="false">
              <v:fill type="solid"/>
            </v:rect>
            <v:rect style="position:absolute;left:4630;top:3901;width:470;height:730" filled="true" fillcolor="#585858" stroked="false">
              <v:fill type="solid"/>
            </v:rect>
            <v:rect style="position:absolute;left:4630;top:613;width:470;height:3288" filled="true" fillcolor="#a6a6a6" stroked="false">
              <v:fill type="solid"/>
            </v:rect>
            <v:rect style="position:absolute;left:3443;top:3733;width:475;height:898" filled="true" fillcolor="#585858" stroked="false">
              <v:fill type="solid"/>
            </v:rect>
            <v:rect style="position:absolute;left:3443;top:613;width:475;height:3120" filled="true" fillcolor="#a6a6a6" stroked="false">
              <v:fill type="solid"/>
            </v:rect>
            <v:rect style="position:absolute;left:2261;top:2500;width:470;height:2131" filled="true" fillcolor="#585858" stroked="false">
              <v:fill type="solid"/>
            </v:rect>
            <v:rect style="position:absolute;left:2261;top:613;width:470;height:1886" filled="true" fillcolor="#a6a6a6" stroked="false">
              <v:fill type="solid"/>
            </v:rect>
            <v:line style="position:absolute" from="1904,4632" to="1904,614" stroked="true" strokeweight=".727192pt" strokecolor="#858585"/>
            <v:line style="position:absolute" from="1852,4631" to="1903,4631" stroked="true" strokeweight=".75pt" strokecolor="#858585"/>
            <v:line style="position:absolute" from="1852,4228" to="1903,4228" stroked="true" strokeweight=".75pt" strokecolor="#858585"/>
            <v:line style="position:absolute" from="1852,3829" to="1903,3829" stroked="true" strokeweight=".75pt" strokecolor="#858585"/>
            <v:line style="position:absolute" from="1852,3426" to="1903,3426" stroked="true" strokeweight=".75pt" strokecolor="#858585"/>
            <v:line style="position:absolute" from="1852,3023" to="1903,3023" stroked="true" strokeweight=".75pt" strokecolor="#858585"/>
            <v:line style="position:absolute" from="1852,2624" to="1903,2624" stroked="true" strokeweight=".75pt" strokecolor="#858585"/>
            <v:line style="position:absolute" from="1852,2221" to="1903,2221" stroked="true" strokeweight=".75pt" strokecolor="#858585"/>
            <v:line style="position:absolute" from="1852,1818" to="1903,1818" stroked="true" strokeweight=".75pt" strokecolor="#858585"/>
            <v:line style="position:absolute" from="1852,1420" to="1903,1420" stroked="true" strokeweight=".75pt" strokecolor="#858585"/>
            <v:line style="position:absolute" from="1852,1016" to="1903,1016" stroked="true" strokeweight=".75pt" strokecolor="#858585"/>
            <v:line style="position:absolute" from="1852,613" to="1903,613" stroked="true" strokeweight=".75pt" strokecolor="#858585"/>
            <v:line style="position:absolute" from="1904,4632" to="6642,4632" stroked="true" strokeweight=".75pt" strokecolor="#858585"/>
            <v:line style="position:absolute" from="1903,4631" to="1903,4684" stroked="true" strokeweight=".727192pt" strokecolor="#858585"/>
            <v:line style="position:absolute" from="3090,4631" to="3090,4684" stroked="true" strokeweight=".727192pt" strokecolor="#858585"/>
            <v:line style="position:absolute" from="4272,4631" to="4272,4684" stroked="true" strokeweight=".727192pt" strokecolor="#858585"/>
            <v:line style="position:absolute" from="5458,4631" to="5458,4684" stroked="true" strokeweight=".727192pt" strokecolor="#858585"/>
            <v:line style="position:absolute" from="6641,4631" to="6641,4684" stroked="true" strokeweight=".727192pt" strokecolor="#858585"/>
            <v:line style="position:absolute" from="3248,5489" to="3335,5489" stroked="true" strokeweight="4.484pt" strokecolor="#585858"/>
            <v:line style="position:absolute" from="4166,5489" to="4253,5489" stroked="true" strokeweight="4.484pt" strokecolor="#a6a6a6"/>
            <v:rect style="position:absolute;left:1140;top:354;width:5755;height:5474" filled="false" stroked="true" strokeweight=".739165pt" strokecolor="#858585"/>
            <v:shape style="position:absolute;left:1275;top:541;width:480;height:984" type="#_x0000_t202" filled="false" stroked="false">
              <v:textbox inset="0,0,0,0">
                <w:txbxContent>
                  <w:p>
                    <w:pPr>
                      <w:spacing w:line="184" w:lineRule="exact" w:before="0"/>
                      <w:ind w:left="0" w:right="-11" w:firstLine="0"/>
                      <w:jc w:val="left"/>
                      <w:rPr>
                        <w:sz w:val="18"/>
                      </w:rPr>
                    </w:pPr>
                    <w:r>
                      <w:rPr>
                        <w:w w:val="95"/>
                        <w:sz w:val="18"/>
                      </w:rPr>
                      <w:t>100.00</w:t>
                    </w:r>
                  </w:p>
                  <w:p>
                    <w:pPr>
                      <w:spacing w:line="240" w:lineRule="auto" w:before="10"/>
                      <w:rPr>
                        <w:sz w:val="16"/>
                      </w:rPr>
                    </w:pPr>
                  </w:p>
                  <w:p>
                    <w:pPr>
                      <w:spacing w:before="1"/>
                      <w:ind w:left="87" w:right="-12" w:firstLine="0"/>
                      <w:jc w:val="left"/>
                      <w:rPr>
                        <w:sz w:val="18"/>
                      </w:rPr>
                    </w:pPr>
                    <w:r>
                      <w:rPr>
                        <w:w w:val="95"/>
                        <w:sz w:val="18"/>
                      </w:rPr>
                      <w:t>90.00</w:t>
                    </w:r>
                  </w:p>
                  <w:p>
                    <w:pPr>
                      <w:spacing w:line="240" w:lineRule="auto" w:before="10"/>
                      <w:rPr>
                        <w:sz w:val="16"/>
                      </w:rPr>
                    </w:pPr>
                  </w:p>
                  <w:p>
                    <w:pPr>
                      <w:spacing w:line="203" w:lineRule="exact" w:before="1"/>
                      <w:ind w:left="87" w:right="-12" w:firstLine="0"/>
                      <w:jc w:val="left"/>
                      <w:rPr>
                        <w:sz w:val="18"/>
                      </w:rPr>
                    </w:pPr>
                    <w:r>
                      <w:rPr>
                        <w:w w:val="95"/>
                        <w:sz w:val="18"/>
                      </w:rPr>
                      <w:t>80.00</w:t>
                    </w:r>
                  </w:p>
                </w:txbxContent>
              </v:textbox>
              <w10:wrap type="none"/>
            </v:shape>
            <v:shape style="position:absolute;left:2300;top:1485;width:393;height:180" type="#_x0000_t202" filled="false" stroked="false">
              <v:textbox inset="0,0,0,0">
                <w:txbxContent>
                  <w:p>
                    <w:pPr>
                      <w:spacing w:line="180" w:lineRule="exact" w:before="0"/>
                      <w:ind w:left="0" w:right="-12" w:firstLine="0"/>
                      <w:jc w:val="left"/>
                      <w:rPr>
                        <w:sz w:val="18"/>
                      </w:rPr>
                    </w:pPr>
                    <w:r>
                      <w:rPr>
                        <w:w w:val="95"/>
                        <w:sz w:val="18"/>
                      </w:rPr>
                      <w:t>46.98</w:t>
                    </w:r>
                  </w:p>
                </w:txbxContent>
              </v:textbox>
              <w10:wrap type="none"/>
            </v:shape>
            <v:shape style="position:absolute;left:1363;top:1746;width:393;height:582" type="#_x0000_t202" filled="false" stroked="false">
              <v:textbox inset="0,0,0,0">
                <w:txbxContent>
                  <w:p>
                    <w:pPr>
                      <w:spacing w:line="184" w:lineRule="exact" w:before="0"/>
                      <w:ind w:left="0" w:right="-12" w:firstLine="0"/>
                      <w:jc w:val="left"/>
                      <w:rPr>
                        <w:sz w:val="18"/>
                      </w:rPr>
                    </w:pPr>
                    <w:r>
                      <w:rPr>
                        <w:w w:val="95"/>
                        <w:sz w:val="18"/>
                      </w:rPr>
                      <w:t>70.00</w:t>
                    </w:r>
                  </w:p>
                  <w:p>
                    <w:pPr>
                      <w:spacing w:line="240" w:lineRule="auto" w:before="10"/>
                      <w:rPr>
                        <w:sz w:val="16"/>
                      </w:rPr>
                    </w:pPr>
                  </w:p>
                  <w:p>
                    <w:pPr>
                      <w:spacing w:line="203" w:lineRule="exact" w:before="1"/>
                      <w:ind w:left="0" w:right="-12" w:firstLine="0"/>
                      <w:jc w:val="left"/>
                      <w:rPr>
                        <w:sz w:val="18"/>
                      </w:rPr>
                    </w:pPr>
                    <w:r>
                      <w:rPr>
                        <w:w w:val="95"/>
                        <w:sz w:val="18"/>
                      </w:rPr>
                      <w:t>60.00</w:t>
                    </w:r>
                  </w:p>
                </w:txbxContent>
              </v:textbox>
              <w10:wrap type="none"/>
            </v:shape>
            <v:shape style="position:absolute;left:3484;top:2100;width:393;height:180" type="#_x0000_t202" filled="false" stroked="false">
              <v:textbox inset="0,0,0,0">
                <w:txbxContent>
                  <w:p>
                    <w:pPr>
                      <w:spacing w:line="180" w:lineRule="exact" w:before="0"/>
                      <w:ind w:left="0" w:right="-12" w:firstLine="0"/>
                      <w:jc w:val="left"/>
                      <w:rPr>
                        <w:sz w:val="18"/>
                      </w:rPr>
                    </w:pPr>
                    <w:r>
                      <w:rPr>
                        <w:w w:val="95"/>
                        <w:sz w:val="18"/>
                      </w:rPr>
                      <w:t>77.58</w:t>
                    </w:r>
                  </w:p>
                </w:txbxContent>
              </v:textbox>
              <w10:wrap type="none"/>
            </v:shape>
            <v:shape style="position:absolute;left:4669;top:2185;width:393;height:180" type="#_x0000_t202" filled="false" stroked="false">
              <v:textbox inset="0,0,0,0">
                <w:txbxContent>
                  <w:p>
                    <w:pPr>
                      <w:spacing w:line="180" w:lineRule="exact" w:before="0"/>
                      <w:ind w:left="0" w:right="-12" w:firstLine="0"/>
                      <w:jc w:val="left"/>
                      <w:rPr>
                        <w:sz w:val="18"/>
                      </w:rPr>
                    </w:pPr>
                    <w:r>
                      <w:rPr>
                        <w:w w:val="95"/>
                        <w:sz w:val="18"/>
                      </w:rPr>
                      <w:t>81.81</w:t>
                    </w:r>
                  </w:p>
                </w:txbxContent>
              </v:textbox>
              <w10:wrap type="none"/>
            </v:shape>
            <v:shape style="position:absolute;left:5853;top:2410;width:393;height:180" type="#_x0000_t202" filled="false" stroked="false">
              <v:textbox inset="0,0,0,0">
                <w:txbxContent>
                  <w:p>
                    <w:pPr>
                      <w:spacing w:line="180" w:lineRule="exact" w:before="0"/>
                      <w:ind w:left="0" w:right="-12" w:firstLine="0"/>
                      <w:jc w:val="left"/>
                      <w:rPr>
                        <w:sz w:val="18"/>
                      </w:rPr>
                    </w:pPr>
                    <w:r>
                      <w:rPr>
                        <w:w w:val="95"/>
                        <w:sz w:val="18"/>
                      </w:rPr>
                      <w:t>93.01</w:t>
                    </w:r>
                  </w:p>
                </w:txbxContent>
              </v:textbox>
              <w10:wrap type="none"/>
            </v:shape>
            <v:shape style="position:absolute;left:1363;top:2550;width:393;height:2189" type="#_x0000_t202" filled="false" stroked="false">
              <v:textbox inset="0,0,0,0">
                <w:txbxContent>
                  <w:p>
                    <w:pPr>
                      <w:spacing w:line="184" w:lineRule="exact" w:before="0"/>
                      <w:ind w:left="0" w:right="-12" w:firstLine="0"/>
                      <w:jc w:val="left"/>
                      <w:rPr>
                        <w:sz w:val="18"/>
                      </w:rPr>
                    </w:pPr>
                    <w:r>
                      <w:rPr>
                        <w:w w:val="95"/>
                        <w:sz w:val="18"/>
                      </w:rPr>
                      <w:t>50.00</w:t>
                    </w:r>
                  </w:p>
                  <w:p>
                    <w:pPr>
                      <w:spacing w:line="240" w:lineRule="auto" w:before="10"/>
                      <w:rPr>
                        <w:sz w:val="16"/>
                      </w:rPr>
                    </w:pPr>
                  </w:p>
                  <w:p>
                    <w:pPr>
                      <w:spacing w:before="1"/>
                      <w:ind w:left="0" w:right="-12" w:firstLine="0"/>
                      <w:jc w:val="left"/>
                      <w:rPr>
                        <w:sz w:val="18"/>
                      </w:rPr>
                    </w:pPr>
                    <w:r>
                      <w:rPr>
                        <w:w w:val="95"/>
                        <w:sz w:val="18"/>
                      </w:rPr>
                      <w:t>40.00</w:t>
                    </w:r>
                  </w:p>
                  <w:p>
                    <w:pPr>
                      <w:spacing w:line="240" w:lineRule="auto" w:before="10"/>
                      <w:rPr>
                        <w:sz w:val="16"/>
                      </w:rPr>
                    </w:pPr>
                  </w:p>
                  <w:p>
                    <w:pPr>
                      <w:spacing w:before="1"/>
                      <w:ind w:left="0" w:right="-12" w:firstLine="0"/>
                      <w:jc w:val="left"/>
                      <w:rPr>
                        <w:sz w:val="18"/>
                      </w:rPr>
                    </w:pPr>
                    <w:r>
                      <w:rPr>
                        <w:w w:val="95"/>
                        <w:sz w:val="18"/>
                      </w:rPr>
                      <w:t>30.00</w:t>
                    </w:r>
                  </w:p>
                  <w:p>
                    <w:pPr>
                      <w:spacing w:line="240" w:lineRule="auto" w:before="10"/>
                      <w:rPr>
                        <w:sz w:val="16"/>
                      </w:rPr>
                    </w:pPr>
                  </w:p>
                  <w:p>
                    <w:pPr>
                      <w:spacing w:before="1"/>
                      <w:ind w:left="0" w:right="-12" w:firstLine="0"/>
                      <w:jc w:val="left"/>
                      <w:rPr>
                        <w:sz w:val="18"/>
                      </w:rPr>
                    </w:pPr>
                    <w:r>
                      <w:rPr>
                        <w:w w:val="95"/>
                        <w:sz w:val="18"/>
                      </w:rPr>
                      <w:t>20.00</w:t>
                    </w:r>
                  </w:p>
                  <w:p>
                    <w:pPr>
                      <w:spacing w:line="240" w:lineRule="auto" w:before="10"/>
                      <w:rPr>
                        <w:sz w:val="16"/>
                      </w:rPr>
                    </w:pPr>
                  </w:p>
                  <w:p>
                    <w:pPr>
                      <w:spacing w:before="1"/>
                      <w:ind w:left="0" w:right="-12" w:firstLine="0"/>
                      <w:jc w:val="left"/>
                      <w:rPr>
                        <w:sz w:val="18"/>
                      </w:rPr>
                    </w:pPr>
                    <w:r>
                      <w:rPr>
                        <w:w w:val="95"/>
                        <w:sz w:val="18"/>
                      </w:rPr>
                      <w:t>10.00</w:t>
                    </w:r>
                  </w:p>
                  <w:p>
                    <w:pPr>
                      <w:spacing w:line="240" w:lineRule="auto" w:before="10"/>
                      <w:rPr>
                        <w:sz w:val="16"/>
                      </w:rPr>
                    </w:pPr>
                  </w:p>
                  <w:p>
                    <w:pPr>
                      <w:spacing w:line="203" w:lineRule="exact" w:before="1"/>
                      <w:ind w:left="87" w:right="-14" w:firstLine="0"/>
                      <w:jc w:val="left"/>
                      <w:rPr>
                        <w:sz w:val="18"/>
                      </w:rPr>
                    </w:pPr>
                    <w:r>
                      <w:rPr>
                        <w:w w:val="95"/>
                        <w:sz w:val="18"/>
                      </w:rPr>
                      <w:t>0.00</w:t>
                    </w:r>
                  </w:p>
                </w:txbxContent>
              </v:textbox>
              <w10:wrap type="none"/>
            </v:shape>
            <v:shape style="position:absolute;left:2045;top:4774;width:902;height:380" type="#_x0000_t202" filled="false" stroked="false">
              <v:textbox inset="0,0,0,0">
                <w:txbxContent>
                  <w:p>
                    <w:pPr>
                      <w:spacing w:line="180" w:lineRule="exact" w:before="0"/>
                      <w:ind w:left="0" w:right="0" w:firstLine="0"/>
                      <w:jc w:val="center"/>
                      <w:rPr>
                        <w:sz w:val="18"/>
                      </w:rPr>
                    </w:pPr>
                    <w:r>
                      <w:rPr>
                        <w:sz w:val="18"/>
                      </w:rPr>
                      <w:t>Menos de</w:t>
                    </w:r>
                    <w:r>
                      <w:rPr>
                        <w:spacing w:val="-34"/>
                        <w:sz w:val="18"/>
                      </w:rPr>
                      <w:t> </w:t>
                    </w:r>
                    <w:r>
                      <w:rPr>
                        <w:sz w:val="18"/>
                      </w:rPr>
                      <w:t>15</w:t>
                    </w:r>
                  </w:p>
                  <w:p>
                    <w:pPr>
                      <w:spacing w:line="200" w:lineRule="exact" w:before="0"/>
                      <w:ind w:left="0" w:right="0" w:firstLine="0"/>
                      <w:jc w:val="center"/>
                      <w:rPr>
                        <w:sz w:val="18"/>
                      </w:rPr>
                    </w:pPr>
                    <w:r>
                      <w:rPr>
                        <w:sz w:val="18"/>
                      </w:rPr>
                      <w:t>horas</w:t>
                    </w:r>
                  </w:p>
                </w:txbxContent>
              </v:textbox>
              <w10:wrap type="none"/>
            </v:shape>
            <v:shape style="position:absolute;left:3266;top:4774;width:829;height:180" type="#_x0000_t202" filled="false" stroked="false">
              <v:textbox inset="0,0,0,0">
                <w:txbxContent>
                  <w:p>
                    <w:pPr>
                      <w:spacing w:line="180" w:lineRule="exact" w:before="0"/>
                      <w:ind w:left="0" w:right="-19" w:firstLine="0"/>
                      <w:jc w:val="left"/>
                      <w:rPr>
                        <w:sz w:val="18"/>
                      </w:rPr>
                    </w:pPr>
                    <w:r>
                      <w:rPr>
                        <w:sz w:val="18"/>
                      </w:rPr>
                      <w:t>15-14</w:t>
                    </w:r>
                    <w:r>
                      <w:rPr>
                        <w:spacing w:val="-27"/>
                        <w:sz w:val="18"/>
                      </w:rPr>
                      <w:t> </w:t>
                    </w:r>
                    <w:r>
                      <w:rPr>
                        <w:sz w:val="18"/>
                      </w:rPr>
                      <w:t>horas</w:t>
                    </w:r>
                  </w:p>
                </w:txbxContent>
              </v:textbox>
              <w10:wrap type="none"/>
            </v:shape>
            <v:shape style="position:absolute;left:4455;top:4774;width:2099;height:180" type="#_x0000_t202" filled="false" stroked="false">
              <v:textbox inset="0,0,0,0">
                <w:txbxContent>
                  <w:p>
                    <w:pPr>
                      <w:tabs>
                        <w:tab w:pos="1047" w:val="left" w:leader="none"/>
                      </w:tabs>
                      <w:spacing w:line="180" w:lineRule="exact" w:before="0"/>
                      <w:ind w:left="0" w:right="0" w:firstLine="0"/>
                      <w:jc w:val="left"/>
                      <w:rPr>
                        <w:sz w:val="18"/>
                      </w:rPr>
                    </w:pPr>
                    <w:r>
                      <w:rPr>
                        <w:sz w:val="18"/>
                      </w:rPr>
                      <w:t>25-34</w:t>
                    </w:r>
                    <w:r>
                      <w:rPr>
                        <w:spacing w:val="-10"/>
                        <w:sz w:val="18"/>
                      </w:rPr>
                      <w:t> </w:t>
                    </w:r>
                    <w:r>
                      <w:rPr>
                        <w:sz w:val="18"/>
                      </w:rPr>
                      <w:t>horas</w:t>
                      <w:tab/>
                      <w:t>35</w:t>
                    </w:r>
                    <w:r>
                      <w:rPr>
                        <w:spacing w:val="-12"/>
                        <w:sz w:val="18"/>
                      </w:rPr>
                      <w:t> </w:t>
                    </w:r>
                    <w:r>
                      <w:rPr>
                        <w:sz w:val="18"/>
                      </w:rPr>
                      <w:t>y</w:t>
                    </w:r>
                    <w:r>
                      <w:rPr>
                        <w:spacing w:val="-12"/>
                        <w:sz w:val="18"/>
                      </w:rPr>
                      <w:t> </w:t>
                    </w:r>
                    <w:r>
                      <w:rPr>
                        <w:sz w:val="18"/>
                      </w:rPr>
                      <w:t>más</w:t>
                    </w:r>
                    <w:r>
                      <w:rPr>
                        <w:spacing w:val="-12"/>
                        <w:sz w:val="18"/>
                      </w:rPr>
                      <w:t> </w:t>
                    </w:r>
                    <w:r>
                      <w:rPr>
                        <w:sz w:val="18"/>
                      </w:rPr>
                      <w:t>horas</w:t>
                    </w:r>
                  </w:p>
                </w:txbxContent>
              </v:textbox>
              <w10:wrap type="none"/>
            </v:shape>
            <v:shape style="position:absolute;left:3369;top:5425;width:1490;height:180" type="#_x0000_t202" filled="false" stroked="false">
              <v:textbox inset="0,0,0,0">
                <w:txbxContent>
                  <w:p>
                    <w:pPr>
                      <w:tabs>
                        <w:tab w:pos="917" w:val="left" w:leader="none"/>
                      </w:tabs>
                      <w:spacing w:line="180" w:lineRule="exact" w:before="0"/>
                      <w:ind w:left="0" w:right="0" w:firstLine="0"/>
                      <w:jc w:val="left"/>
                      <w:rPr>
                        <w:sz w:val="18"/>
                      </w:rPr>
                    </w:pPr>
                    <w:r>
                      <w:rPr>
                        <w:sz w:val="18"/>
                      </w:rPr>
                      <w:t>Hombres</w:t>
                      <w:tab/>
                    </w:r>
                    <w:r>
                      <w:rPr>
                        <w:spacing w:val="-1"/>
                        <w:w w:val="95"/>
                        <w:sz w:val="18"/>
                      </w:rPr>
                      <w:t>Mujeres</w:t>
                    </w:r>
                  </w:p>
                </w:txbxContent>
              </v:textbox>
              <w10:wrap type="none"/>
            </v:shape>
            <w10:wrap type="topAndBottom"/>
          </v:group>
        </w:pict>
      </w:r>
      <w:r>
        <w:rPr>
          <w:sz w:val="19"/>
        </w:rPr>
        <w:t>Gráfica 3. Jornada doméstica por sexo</w:t>
      </w:r>
    </w:p>
    <w:p>
      <w:pPr>
        <w:spacing w:before="10"/>
        <w:ind w:left="117" w:right="0" w:hanging="1"/>
        <w:jc w:val="left"/>
        <w:rPr>
          <w:sz w:val="16"/>
        </w:rPr>
      </w:pPr>
      <w:r>
        <w:rPr>
          <w:sz w:val="16"/>
        </w:rPr>
        <w:t>Fuente:</w:t>
      </w:r>
      <w:r>
        <w:rPr>
          <w:spacing w:val="-17"/>
          <w:sz w:val="16"/>
        </w:rPr>
        <w:t> </w:t>
      </w:r>
      <w:r>
        <w:rPr>
          <w:sz w:val="16"/>
        </w:rPr>
        <w:t>elaboración</w:t>
      </w:r>
      <w:r>
        <w:rPr>
          <w:spacing w:val="-17"/>
          <w:sz w:val="16"/>
        </w:rPr>
        <w:t> </w:t>
      </w:r>
      <w:r>
        <w:rPr>
          <w:sz w:val="16"/>
        </w:rPr>
        <w:t>propia</w:t>
      </w:r>
      <w:r>
        <w:rPr>
          <w:spacing w:val="-17"/>
          <w:sz w:val="16"/>
        </w:rPr>
        <w:t> </w:t>
      </w:r>
      <w:r>
        <w:rPr>
          <w:sz w:val="16"/>
        </w:rPr>
        <w:t>con</w:t>
      </w:r>
      <w:r>
        <w:rPr>
          <w:spacing w:val="-17"/>
          <w:sz w:val="16"/>
        </w:rPr>
        <w:t> </w:t>
      </w:r>
      <w:r>
        <w:rPr>
          <w:sz w:val="16"/>
        </w:rPr>
        <w:t>base</w:t>
      </w:r>
      <w:r>
        <w:rPr>
          <w:spacing w:val="-17"/>
          <w:sz w:val="16"/>
        </w:rPr>
        <w:t> </w:t>
      </w:r>
      <w:r>
        <w:rPr>
          <w:sz w:val="16"/>
        </w:rPr>
        <w:t>en</w:t>
      </w:r>
      <w:r>
        <w:rPr>
          <w:spacing w:val="-18"/>
          <w:sz w:val="16"/>
        </w:rPr>
        <w:t> </w:t>
      </w:r>
      <w:r>
        <w:rPr>
          <w:sz w:val="16"/>
        </w:rPr>
        <w:t>Encuesta</w:t>
      </w:r>
      <w:r>
        <w:rPr>
          <w:spacing w:val="-17"/>
          <w:sz w:val="16"/>
        </w:rPr>
        <w:t> </w:t>
      </w:r>
      <w:r>
        <w:rPr>
          <w:sz w:val="16"/>
        </w:rPr>
        <w:t>Nacional</w:t>
      </w:r>
      <w:r>
        <w:rPr>
          <w:spacing w:val="-17"/>
          <w:sz w:val="16"/>
        </w:rPr>
        <w:t> </w:t>
      </w:r>
      <w:r>
        <w:rPr>
          <w:sz w:val="16"/>
        </w:rPr>
        <w:t>de</w:t>
      </w:r>
      <w:r>
        <w:rPr>
          <w:spacing w:val="-17"/>
          <w:sz w:val="16"/>
        </w:rPr>
        <w:t> </w:t>
      </w:r>
      <w:r>
        <w:rPr>
          <w:sz w:val="16"/>
        </w:rPr>
        <w:t>Ocupación</w:t>
      </w:r>
      <w:r>
        <w:rPr>
          <w:spacing w:val="-17"/>
          <w:sz w:val="16"/>
        </w:rPr>
        <w:t> </w:t>
      </w:r>
      <w:r>
        <w:rPr>
          <w:sz w:val="16"/>
        </w:rPr>
        <w:t>y</w:t>
      </w:r>
      <w:r>
        <w:rPr>
          <w:spacing w:val="-17"/>
          <w:sz w:val="16"/>
        </w:rPr>
        <w:t> </w:t>
      </w:r>
      <w:r>
        <w:rPr>
          <w:sz w:val="16"/>
        </w:rPr>
        <w:t>Empleo</w:t>
      </w:r>
      <w:r>
        <w:rPr>
          <w:spacing w:val="-17"/>
          <w:sz w:val="16"/>
        </w:rPr>
        <w:t> </w:t>
      </w:r>
      <w:r>
        <w:rPr>
          <w:sz w:val="16"/>
        </w:rPr>
        <w:t>2013, Módulo</w:t>
      </w:r>
      <w:r>
        <w:rPr>
          <w:spacing w:val="-17"/>
          <w:sz w:val="16"/>
        </w:rPr>
        <w:t> </w:t>
      </w:r>
      <w:r>
        <w:rPr>
          <w:sz w:val="16"/>
        </w:rPr>
        <w:t>de</w:t>
      </w:r>
      <w:r>
        <w:rPr>
          <w:spacing w:val="6"/>
          <w:sz w:val="16"/>
        </w:rPr>
        <w:t> </w:t>
      </w:r>
      <w:r>
        <w:rPr>
          <w:sz w:val="16"/>
        </w:rPr>
        <w:t>Trabajo</w:t>
      </w:r>
      <w:r>
        <w:rPr>
          <w:spacing w:val="-17"/>
          <w:sz w:val="16"/>
        </w:rPr>
        <w:t> </w:t>
      </w:r>
      <w:r>
        <w:rPr>
          <w:sz w:val="16"/>
        </w:rPr>
        <w:t>Infantil,</w:t>
      </w:r>
      <w:r>
        <w:rPr>
          <w:spacing w:val="-17"/>
          <w:sz w:val="16"/>
        </w:rPr>
        <w:t> </w:t>
      </w:r>
      <w:r>
        <w:rPr>
          <w:sz w:val="16"/>
        </w:rPr>
        <w:t>INEGI,</w:t>
      </w:r>
      <w:r>
        <w:rPr>
          <w:spacing w:val="-17"/>
          <w:sz w:val="16"/>
        </w:rPr>
        <w:t> </w:t>
      </w:r>
      <w:r>
        <w:rPr>
          <w:sz w:val="16"/>
        </w:rPr>
        <w:t>2013</w:t>
      </w:r>
    </w:p>
    <w:p>
      <w:pPr>
        <w:pStyle w:val="BodyText"/>
        <w:rPr>
          <w:sz w:val="21"/>
        </w:rPr>
      </w:pPr>
    </w:p>
    <w:p>
      <w:pPr>
        <w:spacing w:before="82"/>
        <w:ind w:left="202" w:right="792" w:firstLine="0"/>
        <w:jc w:val="left"/>
        <w:rPr>
          <w:sz w:val="19"/>
        </w:rPr>
      </w:pPr>
      <w:r>
        <w:rPr>
          <w:sz w:val="19"/>
        </w:rPr>
        <w:t>Cuadro 6. Jornada doméstica por grupos de   edad</w:t>
      </w:r>
    </w:p>
    <w:p>
      <w:pPr>
        <w:pStyle w:val="BodyText"/>
        <w:spacing w:before="6"/>
        <w:rPr>
          <w:sz w:val="8"/>
        </w:rPr>
      </w:pPr>
    </w:p>
    <w:tbl>
      <w:tblPr>
        <w:tblW w:w="0" w:type="auto"/>
        <w:jc w:val="left"/>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8"/>
        <w:gridCol w:w="1355"/>
        <w:gridCol w:w="1398"/>
        <w:gridCol w:w="1327"/>
        <w:gridCol w:w="982"/>
      </w:tblGrid>
      <w:tr>
        <w:trPr>
          <w:trHeight w:val="470" w:hRule="exact"/>
        </w:trPr>
        <w:tc>
          <w:tcPr>
            <w:tcW w:w="698" w:type="dxa"/>
            <w:tcBorders>
              <w:left w:val="nil"/>
              <w:right w:val="nil"/>
            </w:tcBorders>
          </w:tcPr>
          <w:p>
            <w:pPr>
              <w:pStyle w:val="TableParagraph"/>
              <w:spacing w:before="5"/>
              <w:jc w:val="left"/>
              <w:rPr>
                <w:sz w:val="20"/>
              </w:rPr>
            </w:pPr>
          </w:p>
          <w:p>
            <w:pPr>
              <w:pStyle w:val="TableParagraph"/>
              <w:ind w:left="19"/>
              <w:jc w:val="left"/>
              <w:rPr>
                <w:sz w:val="19"/>
              </w:rPr>
            </w:pPr>
            <w:r>
              <w:rPr>
                <w:sz w:val="19"/>
              </w:rPr>
              <w:t>Edad</w:t>
            </w:r>
          </w:p>
        </w:tc>
        <w:tc>
          <w:tcPr>
            <w:tcW w:w="1355" w:type="dxa"/>
            <w:tcBorders>
              <w:left w:val="nil"/>
              <w:right w:val="nil"/>
            </w:tcBorders>
          </w:tcPr>
          <w:p>
            <w:pPr>
              <w:pStyle w:val="TableParagraph"/>
              <w:spacing w:line="252" w:lineRule="auto" w:before="5"/>
              <w:ind w:left="317" w:right="223" w:hanging="99"/>
              <w:jc w:val="left"/>
              <w:rPr>
                <w:sz w:val="19"/>
              </w:rPr>
            </w:pPr>
            <w:r>
              <w:rPr>
                <w:sz w:val="19"/>
              </w:rPr>
              <w:t>Menos de 15 horas</w:t>
            </w:r>
          </w:p>
        </w:tc>
        <w:tc>
          <w:tcPr>
            <w:tcW w:w="1398" w:type="dxa"/>
            <w:tcBorders>
              <w:left w:val="nil"/>
              <w:right w:val="nil"/>
            </w:tcBorders>
          </w:tcPr>
          <w:p>
            <w:pPr>
              <w:pStyle w:val="TableParagraph"/>
              <w:spacing w:before="5"/>
              <w:ind w:left="424"/>
              <w:jc w:val="left"/>
              <w:rPr>
                <w:sz w:val="19"/>
              </w:rPr>
            </w:pPr>
            <w:r>
              <w:rPr>
                <w:sz w:val="19"/>
              </w:rPr>
              <w:t>De 15 a</w:t>
            </w:r>
          </w:p>
          <w:p>
            <w:pPr>
              <w:pStyle w:val="TableParagraph"/>
              <w:spacing w:before="12"/>
              <w:ind w:left="363"/>
              <w:jc w:val="left"/>
              <w:rPr>
                <w:sz w:val="19"/>
              </w:rPr>
            </w:pPr>
            <w:r>
              <w:rPr>
                <w:sz w:val="19"/>
              </w:rPr>
              <w:t>24 horas</w:t>
            </w:r>
          </w:p>
        </w:tc>
        <w:tc>
          <w:tcPr>
            <w:tcW w:w="1327" w:type="dxa"/>
            <w:tcBorders>
              <w:left w:val="nil"/>
              <w:right w:val="nil"/>
            </w:tcBorders>
          </w:tcPr>
          <w:p>
            <w:pPr>
              <w:pStyle w:val="TableParagraph"/>
              <w:spacing w:before="5"/>
              <w:ind w:left="421"/>
              <w:jc w:val="left"/>
              <w:rPr>
                <w:sz w:val="19"/>
              </w:rPr>
            </w:pPr>
            <w:r>
              <w:rPr>
                <w:sz w:val="19"/>
              </w:rPr>
              <w:t>De 25 a</w:t>
            </w:r>
          </w:p>
          <w:p>
            <w:pPr>
              <w:pStyle w:val="TableParagraph"/>
              <w:spacing w:before="12"/>
              <w:ind w:left="361"/>
              <w:jc w:val="left"/>
              <w:rPr>
                <w:sz w:val="19"/>
              </w:rPr>
            </w:pPr>
            <w:r>
              <w:rPr>
                <w:sz w:val="19"/>
              </w:rPr>
              <w:t>34 horas</w:t>
            </w:r>
          </w:p>
        </w:tc>
        <w:tc>
          <w:tcPr>
            <w:tcW w:w="982" w:type="dxa"/>
            <w:tcBorders>
              <w:left w:val="nil"/>
              <w:right w:val="nil"/>
            </w:tcBorders>
          </w:tcPr>
          <w:p>
            <w:pPr>
              <w:pStyle w:val="TableParagraph"/>
              <w:spacing w:before="5"/>
              <w:ind w:left="291"/>
              <w:jc w:val="left"/>
              <w:rPr>
                <w:sz w:val="19"/>
              </w:rPr>
            </w:pPr>
            <w:r>
              <w:rPr>
                <w:sz w:val="19"/>
              </w:rPr>
              <w:t>35 horas</w:t>
            </w:r>
          </w:p>
          <w:p>
            <w:pPr>
              <w:pStyle w:val="TableParagraph"/>
              <w:spacing w:before="12"/>
              <w:ind w:left="500"/>
              <w:jc w:val="left"/>
              <w:rPr>
                <w:sz w:val="19"/>
              </w:rPr>
            </w:pPr>
            <w:r>
              <w:rPr>
                <w:sz w:val="19"/>
              </w:rPr>
              <w:t>y más</w:t>
            </w:r>
          </w:p>
        </w:tc>
      </w:tr>
      <w:tr>
        <w:trPr>
          <w:trHeight w:val="391" w:hRule="exact"/>
        </w:trPr>
        <w:tc>
          <w:tcPr>
            <w:tcW w:w="698" w:type="dxa"/>
            <w:tcBorders>
              <w:left w:val="nil"/>
              <w:bottom w:val="nil"/>
              <w:right w:val="nil"/>
            </w:tcBorders>
          </w:tcPr>
          <w:p>
            <w:pPr>
              <w:pStyle w:val="TableParagraph"/>
              <w:spacing w:before="106"/>
              <w:ind w:left="19"/>
              <w:jc w:val="left"/>
              <w:rPr>
                <w:sz w:val="19"/>
              </w:rPr>
            </w:pPr>
            <w:r>
              <w:rPr>
                <w:w w:val="102"/>
                <w:sz w:val="19"/>
              </w:rPr>
              <w:t>5</w:t>
            </w:r>
          </w:p>
        </w:tc>
        <w:tc>
          <w:tcPr>
            <w:tcW w:w="1355" w:type="dxa"/>
            <w:tcBorders>
              <w:left w:val="nil"/>
              <w:bottom w:val="nil"/>
              <w:right w:val="nil"/>
            </w:tcBorders>
          </w:tcPr>
          <w:p>
            <w:pPr>
              <w:pStyle w:val="TableParagraph"/>
              <w:spacing w:before="106"/>
              <w:ind w:right="363"/>
              <w:rPr>
                <w:sz w:val="19"/>
              </w:rPr>
            </w:pPr>
            <w:r>
              <w:rPr>
                <w:sz w:val="19"/>
              </w:rPr>
              <w:t>92.6</w:t>
            </w:r>
          </w:p>
        </w:tc>
        <w:tc>
          <w:tcPr>
            <w:tcW w:w="1398" w:type="dxa"/>
            <w:tcBorders>
              <w:left w:val="nil"/>
              <w:bottom w:val="nil"/>
              <w:right w:val="nil"/>
            </w:tcBorders>
          </w:tcPr>
          <w:p>
            <w:pPr>
              <w:pStyle w:val="TableParagraph"/>
              <w:spacing w:before="106"/>
              <w:ind w:right="359"/>
              <w:rPr>
                <w:sz w:val="19"/>
              </w:rPr>
            </w:pPr>
            <w:r>
              <w:rPr>
                <w:sz w:val="19"/>
              </w:rPr>
              <w:t>1.2</w:t>
            </w:r>
          </w:p>
        </w:tc>
        <w:tc>
          <w:tcPr>
            <w:tcW w:w="1327" w:type="dxa"/>
            <w:tcBorders>
              <w:left w:val="nil"/>
              <w:bottom w:val="nil"/>
              <w:right w:val="nil"/>
            </w:tcBorders>
          </w:tcPr>
          <w:p>
            <w:pPr>
              <w:pStyle w:val="TableParagraph"/>
              <w:spacing w:before="106"/>
              <w:ind w:right="290"/>
              <w:rPr>
                <w:sz w:val="19"/>
              </w:rPr>
            </w:pPr>
            <w:r>
              <w:rPr>
                <w:sz w:val="19"/>
              </w:rPr>
              <w:t>0.0</w:t>
            </w:r>
          </w:p>
        </w:tc>
        <w:tc>
          <w:tcPr>
            <w:tcW w:w="982" w:type="dxa"/>
            <w:tcBorders>
              <w:left w:val="nil"/>
              <w:bottom w:val="nil"/>
              <w:right w:val="nil"/>
            </w:tcBorders>
          </w:tcPr>
          <w:p>
            <w:pPr>
              <w:pStyle w:val="TableParagraph"/>
              <w:spacing w:before="106"/>
              <w:ind w:right="14"/>
              <w:rPr>
                <w:sz w:val="19"/>
              </w:rPr>
            </w:pPr>
            <w:r>
              <w:rPr>
                <w:sz w:val="19"/>
              </w:rPr>
              <w:t>0.9</w:t>
            </w:r>
          </w:p>
        </w:tc>
      </w:tr>
      <w:tr>
        <w:trPr>
          <w:trHeight w:val="329" w:hRule="exact"/>
        </w:trPr>
        <w:tc>
          <w:tcPr>
            <w:tcW w:w="698" w:type="dxa"/>
            <w:tcBorders>
              <w:top w:val="nil"/>
              <w:left w:val="nil"/>
              <w:bottom w:val="nil"/>
              <w:right w:val="nil"/>
            </w:tcBorders>
          </w:tcPr>
          <w:p>
            <w:pPr>
              <w:pStyle w:val="TableParagraph"/>
              <w:spacing w:before="45"/>
              <w:ind w:left="19"/>
              <w:jc w:val="left"/>
              <w:rPr>
                <w:sz w:val="19"/>
              </w:rPr>
            </w:pPr>
            <w:r>
              <w:rPr>
                <w:sz w:val="19"/>
              </w:rPr>
              <w:t>6-7</w:t>
            </w:r>
          </w:p>
        </w:tc>
        <w:tc>
          <w:tcPr>
            <w:tcW w:w="1355" w:type="dxa"/>
            <w:tcBorders>
              <w:top w:val="nil"/>
              <w:left w:val="nil"/>
              <w:bottom w:val="nil"/>
              <w:right w:val="nil"/>
            </w:tcBorders>
          </w:tcPr>
          <w:p>
            <w:pPr>
              <w:pStyle w:val="TableParagraph"/>
              <w:spacing w:before="45"/>
              <w:ind w:right="363"/>
              <w:rPr>
                <w:sz w:val="19"/>
              </w:rPr>
            </w:pPr>
            <w:r>
              <w:rPr>
                <w:sz w:val="19"/>
              </w:rPr>
              <w:t>93.4</w:t>
            </w:r>
          </w:p>
        </w:tc>
        <w:tc>
          <w:tcPr>
            <w:tcW w:w="1398" w:type="dxa"/>
            <w:tcBorders>
              <w:top w:val="nil"/>
              <w:left w:val="nil"/>
              <w:bottom w:val="nil"/>
              <w:right w:val="nil"/>
            </w:tcBorders>
          </w:tcPr>
          <w:p>
            <w:pPr>
              <w:pStyle w:val="TableParagraph"/>
              <w:spacing w:before="45"/>
              <w:ind w:right="359"/>
              <w:rPr>
                <w:sz w:val="19"/>
              </w:rPr>
            </w:pPr>
            <w:r>
              <w:rPr>
                <w:sz w:val="19"/>
              </w:rPr>
              <w:t>1.6</w:t>
            </w:r>
          </w:p>
        </w:tc>
        <w:tc>
          <w:tcPr>
            <w:tcW w:w="1327" w:type="dxa"/>
            <w:tcBorders>
              <w:top w:val="nil"/>
              <w:left w:val="nil"/>
              <w:bottom w:val="nil"/>
              <w:right w:val="nil"/>
            </w:tcBorders>
          </w:tcPr>
          <w:p>
            <w:pPr>
              <w:pStyle w:val="TableParagraph"/>
              <w:spacing w:before="45"/>
              <w:ind w:right="290"/>
              <w:rPr>
                <w:sz w:val="19"/>
              </w:rPr>
            </w:pPr>
            <w:r>
              <w:rPr>
                <w:sz w:val="19"/>
              </w:rPr>
              <w:t>1.1</w:t>
            </w:r>
          </w:p>
        </w:tc>
        <w:tc>
          <w:tcPr>
            <w:tcW w:w="982" w:type="dxa"/>
            <w:tcBorders>
              <w:top w:val="nil"/>
              <w:left w:val="nil"/>
              <w:bottom w:val="nil"/>
              <w:right w:val="nil"/>
            </w:tcBorders>
          </w:tcPr>
          <w:p>
            <w:pPr>
              <w:pStyle w:val="TableParagraph"/>
              <w:spacing w:before="45"/>
              <w:ind w:right="14"/>
              <w:rPr>
                <w:sz w:val="19"/>
              </w:rPr>
            </w:pPr>
            <w:r>
              <w:rPr>
                <w:sz w:val="19"/>
              </w:rPr>
              <w:t>0.0</w:t>
            </w:r>
          </w:p>
        </w:tc>
      </w:tr>
      <w:tr>
        <w:trPr>
          <w:trHeight w:val="331" w:hRule="exact"/>
        </w:trPr>
        <w:tc>
          <w:tcPr>
            <w:tcW w:w="698" w:type="dxa"/>
            <w:tcBorders>
              <w:top w:val="nil"/>
              <w:left w:val="nil"/>
              <w:bottom w:val="nil"/>
              <w:right w:val="nil"/>
            </w:tcBorders>
          </w:tcPr>
          <w:p>
            <w:pPr>
              <w:pStyle w:val="TableParagraph"/>
              <w:spacing w:before="48"/>
              <w:ind w:left="19"/>
              <w:jc w:val="left"/>
              <w:rPr>
                <w:sz w:val="19"/>
              </w:rPr>
            </w:pPr>
            <w:r>
              <w:rPr>
                <w:sz w:val="19"/>
              </w:rPr>
              <w:t>8-9</w:t>
            </w:r>
          </w:p>
        </w:tc>
        <w:tc>
          <w:tcPr>
            <w:tcW w:w="1355" w:type="dxa"/>
            <w:tcBorders>
              <w:top w:val="nil"/>
              <w:left w:val="nil"/>
              <w:bottom w:val="nil"/>
              <w:right w:val="nil"/>
            </w:tcBorders>
          </w:tcPr>
          <w:p>
            <w:pPr>
              <w:pStyle w:val="TableParagraph"/>
              <w:spacing w:before="48"/>
              <w:ind w:right="363"/>
              <w:rPr>
                <w:sz w:val="19"/>
              </w:rPr>
            </w:pPr>
            <w:r>
              <w:rPr>
                <w:sz w:val="19"/>
              </w:rPr>
              <w:t>94.6</w:t>
            </w:r>
          </w:p>
        </w:tc>
        <w:tc>
          <w:tcPr>
            <w:tcW w:w="1398" w:type="dxa"/>
            <w:tcBorders>
              <w:top w:val="nil"/>
              <w:left w:val="nil"/>
              <w:bottom w:val="nil"/>
              <w:right w:val="nil"/>
            </w:tcBorders>
          </w:tcPr>
          <w:p>
            <w:pPr>
              <w:pStyle w:val="TableParagraph"/>
              <w:spacing w:before="48"/>
              <w:ind w:right="359"/>
              <w:rPr>
                <w:sz w:val="19"/>
              </w:rPr>
            </w:pPr>
            <w:r>
              <w:rPr>
                <w:sz w:val="19"/>
              </w:rPr>
              <w:t>2.6</w:t>
            </w:r>
          </w:p>
        </w:tc>
        <w:tc>
          <w:tcPr>
            <w:tcW w:w="1327" w:type="dxa"/>
            <w:tcBorders>
              <w:top w:val="nil"/>
              <w:left w:val="nil"/>
              <w:bottom w:val="nil"/>
              <w:right w:val="nil"/>
            </w:tcBorders>
          </w:tcPr>
          <w:p>
            <w:pPr>
              <w:pStyle w:val="TableParagraph"/>
              <w:spacing w:before="48"/>
              <w:ind w:right="290"/>
              <w:rPr>
                <w:sz w:val="19"/>
              </w:rPr>
            </w:pPr>
            <w:r>
              <w:rPr>
                <w:sz w:val="19"/>
              </w:rPr>
              <w:t>1.2</w:t>
            </w:r>
          </w:p>
        </w:tc>
        <w:tc>
          <w:tcPr>
            <w:tcW w:w="982" w:type="dxa"/>
            <w:tcBorders>
              <w:top w:val="nil"/>
              <w:left w:val="nil"/>
              <w:bottom w:val="nil"/>
              <w:right w:val="nil"/>
            </w:tcBorders>
          </w:tcPr>
          <w:p>
            <w:pPr>
              <w:pStyle w:val="TableParagraph"/>
              <w:spacing w:before="48"/>
              <w:ind w:right="14"/>
              <w:rPr>
                <w:sz w:val="19"/>
              </w:rPr>
            </w:pPr>
            <w:r>
              <w:rPr>
                <w:sz w:val="19"/>
              </w:rPr>
              <w:t>0.0</w:t>
            </w:r>
          </w:p>
        </w:tc>
      </w:tr>
      <w:tr>
        <w:trPr>
          <w:trHeight w:val="331" w:hRule="exact"/>
        </w:trPr>
        <w:tc>
          <w:tcPr>
            <w:tcW w:w="698" w:type="dxa"/>
            <w:tcBorders>
              <w:top w:val="nil"/>
              <w:left w:val="nil"/>
              <w:bottom w:val="nil"/>
              <w:right w:val="nil"/>
            </w:tcBorders>
          </w:tcPr>
          <w:p>
            <w:pPr>
              <w:pStyle w:val="TableParagraph"/>
              <w:spacing w:before="48"/>
              <w:ind w:left="19"/>
              <w:jc w:val="left"/>
              <w:rPr>
                <w:sz w:val="19"/>
              </w:rPr>
            </w:pPr>
            <w:r>
              <w:rPr>
                <w:sz w:val="19"/>
              </w:rPr>
              <w:t>10-11</w:t>
            </w:r>
          </w:p>
        </w:tc>
        <w:tc>
          <w:tcPr>
            <w:tcW w:w="1355" w:type="dxa"/>
            <w:tcBorders>
              <w:top w:val="nil"/>
              <w:left w:val="nil"/>
              <w:bottom w:val="nil"/>
              <w:right w:val="nil"/>
            </w:tcBorders>
          </w:tcPr>
          <w:p>
            <w:pPr>
              <w:pStyle w:val="TableParagraph"/>
              <w:spacing w:before="48"/>
              <w:ind w:right="363"/>
              <w:rPr>
                <w:sz w:val="19"/>
              </w:rPr>
            </w:pPr>
            <w:r>
              <w:rPr>
                <w:sz w:val="19"/>
              </w:rPr>
              <w:t>96.2</w:t>
            </w:r>
          </w:p>
        </w:tc>
        <w:tc>
          <w:tcPr>
            <w:tcW w:w="1398" w:type="dxa"/>
            <w:tcBorders>
              <w:top w:val="nil"/>
              <w:left w:val="nil"/>
              <w:bottom w:val="nil"/>
              <w:right w:val="nil"/>
            </w:tcBorders>
          </w:tcPr>
          <w:p>
            <w:pPr>
              <w:pStyle w:val="TableParagraph"/>
              <w:spacing w:before="48"/>
              <w:ind w:right="359"/>
              <w:rPr>
                <w:sz w:val="19"/>
              </w:rPr>
            </w:pPr>
            <w:r>
              <w:rPr>
                <w:sz w:val="19"/>
              </w:rPr>
              <w:t>3.7</w:t>
            </w:r>
          </w:p>
        </w:tc>
        <w:tc>
          <w:tcPr>
            <w:tcW w:w="1327" w:type="dxa"/>
            <w:tcBorders>
              <w:top w:val="nil"/>
              <w:left w:val="nil"/>
              <w:bottom w:val="nil"/>
              <w:right w:val="nil"/>
            </w:tcBorders>
          </w:tcPr>
          <w:p>
            <w:pPr>
              <w:pStyle w:val="TableParagraph"/>
              <w:spacing w:before="48"/>
              <w:ind w:right="290"/>
              <w:rPr>
                <w:sz w:val="19"/>
              </w:rPr>
            </w:pPr>
            <w:r>
              <w:rPr>
                <w:sz w:val="19"/>
              </w:rPr>
              <w:t>1.3</w:t>
            </w:r>
          </w:p>
        </w:tc>
        <w:tc>
          <w:tcPr>
            <w:tcW w:w="982" w:type="dxa"/>
            <w:tcBorders>
              <w:top w:val="nil"/>
              <w:left w:val="nil"/>
              <w:bottom w:val="nil"/>
              <w:right w:val="nil"/>
            </w:tcBorders>
          </w:tcPr>
          <w:p>
            <w:pPr>
              <w:pStyle w:val="TableParagraph"/>
              <w:spacing w:before="48"/>
              <w:ind w:right="14"/>
              <w:rPr>
                <w:sz w:val="19"/>
              </w:rPr>
            </w:pPr>
            <w:r>
              <w:rPr>
                <w:sz w:val="19"/>
              </w:rPr>
              <w:t>2.1</w:t>
            </w:r>
          </w:p>
        </w:tc>
      </w:tr>
      <w:tr>
        <w:trPr>
          <w:trHeight w:val="278" w:hRule="exact"/>
        </w:trPr>
        <w:tc>
          <w:tcPr>
            <w:tcW w:w="698" w:type="dxa"/>
            <w:tcBorders>
              <w:top w:val="nil"/>
              <w:left w:val="nil"/>
              <w:right w:val="nil"/>
            </w:tcBorders>
          </w:tcPr>
          <w:p>
            <w:pPr>
              <w:pStyle w:val="TableParagraph"/>
              <w:spacing w:before="48"/>
              <w:ind w:left="19"/>
              <w:jc w:val="left"/>
              <w:rPr>
                <w:sz w:val="19"/>
              </w:rPr>
            </w:pPr>
            <w:r>
              <w:rPr>
                <w:sz w:val="19"/>
              </w:rPr>
              <w:t>Total</w:t>
            </w:r>
          </w:p>
        </w:tc>
        <w:tc>
          <w:tcPr>
            <w:tcW w:w="1355" w:type="dxa"/>
            <w:tcBorders>
              <w:top w:val="nil"/>
              <w:left w:val="nil"/>
              <w:right w:val="nil"/>
            </w:tcBorders>
          </w:tcPr>
          <w:p>
            <w:pPr>
              <w:pStyle w:val="TableParagraph"/>
              <w:spacing w:before="48"/>
              <w:ind w:right="363"/>
              <w:rPr>
                <w:sz w:val="19"/>
              </w:rPr>
            </w:pPr>
            <w:r>
              <w:rPr>
                <w:sz w:val="19"/>
              </w:rPr>
              <w:t>92.4</w:t>
            </w:r>
          </w:p>
        </w:tc>
        <w:tc>
          <w:tcPr>
            <w:tcW w:w="1398" w:type="dxa"/>
            <w:tcBorders>
              <w:top w:val="nil"/>
              <w:left w:val="nil"/>
              <w:right w:val="nil"/>
            </w:tcBorders>
          </w:tcPr>
          <w:p>
            <w:pPr>
              <w:pStyle w:val="TableParagraph"/>
              <w:spacing w:before="48"/>
              <w:ind w:right="359"/>
              <w:rPr>
                <w:sz w:val="19"/>
              </w:rPr>
            </w:pPr>
            <w:r>
              <w:rPr>
                <w:sz w:val="19"/>
              </w:rPr>
              <w:t>3.9</w:t>
            </w:r>
          </w:p>
        </w:tc>
        <w:tc>
          <w:tcPr>
            <w:tcW w:w="1327" w:type="dxa"/>
            <w:tcBorders>
              <w:top w:val="nil"/>
              <w:left w:val="nil"/>
              <w:right w:val="nil"/>
            </w:tcBorders>
          </w:tcPr>
          <w:p>
            <w:pPr>
              <w:pStyle w:val="TableParagraph"/>
              <w:spacing w:before="48"/>
              <w:ind w:right="289"/>
              <w:rPr>
                <w:sz w:val="19"/>
              </w:rPr>
            </w:pPr>
            <w:r>
              <w:rPr>
                <w:sz w:val="19"/>
              </w:rPr>
              <w:t>1.12</w:t>
            </w:r>
          </w:p>
        </w:tc>
        <w:tc>
          <w:tcPr>
            <w:tcW w:w="982" w:type="dxa"/>
            <w:tcBorders>
              <w:top w:val="nil"/>
              <w:left w:val="nil"/>
              <w:right w:val="nil"/>
            </w:tcBorders>
          </w:tcPr>
          <w:p>
            <w:pPr>
              <w:pStyle w:val="TableParagraph"/>
              <w:spacing w:before="48"/>
              <w:ind w:right="14"/>
              <w:rPr>
                <w:sz w:val="19"/>
              </w:rPr>
            </w:pPr>
            <w:r>
              <w:rPr>
                <w:sz w:val="19"/>
              </w:rPr>
              <w:t>1.4</w:t>
            </w:r>
          </w:p>
        </w:tc>
      </w:tr>
    </w:tbl>
    <w:p>
      <w:pPr>
        <w:spacing w:line="237" w:lineRule="auto" w:before="0"/>
        <w:ind w:left="202" w:right="471" w:hanging="1"/>
        <w:jc w:val="left"/>
        <w:rPr>
          <w:sz w:val="16"/>
        </w:rPr>
      </w:pPr>
      <w:r>
        <w:rPr>
          <w:sz w:val="16"/>
        </w:rPr>
        <w:t>Fuente: elaboración propia con base en Encuesta Nacional de Ocupación y Empleo 2013, Módulo de Trabajo Infantil, INEGI, 2013</w:t>
      </w:r>
    </w:p>
    <w:p>
      <w:pPr>
        <w:spacing w:after="0" w:line="237" w:lineRule="auto"/>
        <w:jc w:val="left"/>
        <w:rPr>
          <w:sz w:val="16"/>
        </w:rPr>
        <w:sectPr>
          <w:footerReference w:type="default" r:id="rId292"/>
          <w:pgSz w:w="7770" w:h="11740"/>
          <w:pgMar w:footer="474" w:header="0" w:top="940" w:bottom="660" w:left="1020" w:right="740"/>
          <w:pgNumType w:start="289"/>
        </w:sectPr>
      </w:pPr>
    </w:p>
    <w:p>
      <w:pPr>
        <w:pStyle w:val="BodyText"/>
        <w:spacing w:line="249" w:lineRule="auto" w:before="60"/>
        <w:ind w:left="110" w:right="111" w:firstLine="283"/>
        <w:jc w:val="both"/>
      </w:pPr>
      <w:r>
        <w:rPr>
          <w:color w:val="231F20"/>
        </w:rPr>
        <w:t>Sin embargo el mayor porcentaje de esta jornada laboral se presenta en</w:t>
      </w:r>
      <w:r>
        <w:rPr>
          <w:color w:val="231F20"/>
          <w:spacing w:val="-4"/>
        </w:rPr>
        <w:t> </w:t>
      </w:r>
      <w:r>
        <w:rPr>
          <w:color w:val="231F20"/>
        </w:rPr>
        <w:t>el</w:t>
      </w:r>
      <w:r>
        <w:rPr>
          <w:color w:val="231F20"/>
          <w:spacing w:val="-4"/>
        </w:rPr>
        <w:t> </w:t>
      </w:r>
      <w:r>
        <w:rPr>
          <w:color w:val="231F20"/>
        </w:rPr>
        <w:t>grupo</w:t>
      </w:r>
      <w:r>
        <w:rPr>
          <w:color w:val="231F20"/>
          <w:spacing w:val="-4"/>
        </w:rPr>
        <w:t> </w:t>
      </w:r>
      <w:r>
        <w:rPr>
          <w:color w:val="231F20"/>
        </w:rPr>
        <w:t>de</w:t>
      </w:r>
      <w:r>
        <w:rPr>
          <w:color w:val="231F20"/>
          <w:spacing w:val="-4"/>
        </w:rPr>
        <w:t> </w:t>
      </w:r>
      <w:r>
        <w:rPr>
          <w:color w:val="231F20"/>
        </w:rPr>
        <w:t>10</w:t>
      </w:r>
      <w:r>
        <w:rPr>
          <w:color w:val="231F20"/>
          <w:spacing w:val="-4"/>
        </w:rPr>
        <w:t> </w:t>
      </w:r>
      <w:r>
        <w:rPr>
          <w:color w:val="231F20"/>
        </w:rPr>
        <w:t>a</w:t>
      </w:r>
      <w:r>
        <w:rPr>
          <w:color w:val="231F20"/>
          <w:spacing w:val="-4"/>
        </w:rPr>
        <w:t> 11 </w:t>
      </w:r>
      <w:r>
        <w:rPr>
          <w:color w:val="231F20"/>
        </w:rPr>
        <w:t>años,</w:t>
      </w:r>
      <w:r>
        <w:rPr>
          <w:color w:val="231F20"/>
          <w:spacing w:val="-4"/>
        </w:rPr>
        <w:t> </w:t>
      </w:r>
      <w:r>
        <w:rPr>
          <w:color w:val="231F20"/>
        </w:rPr>
        <w:t>seguido</w:t>
      </w:r>
      <w:r>
        <w:rPr>
          <w:color w:val="231F20"/>
          <w:spacing w:val="-3"/>
        </w:rPr>
        <w:t> </w:t>
      </w:r>
      <w:r>
        <w:rPr>
          <w:color w:val="231F20"/>
        </w:rPr>
        <w:t>del</w:t>
      </w:r>
      <w:r>
        <w:rPr>
          <w:color w:val="231F20"/>
          <w:spacing w:val="-4"/>
        </w:rPr>
        <w:t> </w:t>
      </w:r>
      <w:r>
        <w:rPr>
          <w:color w:val="231F20"/>
        </w:rPr>
        <w:t>grupo</w:t>
      </w:r>
      <w:r>
        <w:rPr>
          <w:color w:val="231F20"/>
          <w:spacing w:val="-4"/>
        </w:rPr>
        <w:t> </w:t>
      </w:r>
      <w:r>
        <w:rPr>
          <w:color w:val="231F20"/>
        </w:rPr>
        <w:t>de</w:t>
      </w:r>
      <w:r>
        <w:rPr>
          <w:color w:val="231F20"/>
          <w:spacing w:val="-4"/>
        </w:rPr>
        <w:t> </w:t>
      </w:r>
      <w:r>
        <w:rPr>
          <w:color w:val="231F20"/>
        </w:rPr>
        <w:t>ocho</w:t>
      </w:r>
      <w:r>
        <w:rPr>
          <w:color w:val="231F20"/>
          <w:spacing w:val="-4"/>
        </w:rPr>
        <w:t> </w:t>
      </w:r>
      <w:r>
        <w:rPr>
          <w:color w:val="231F20"/>
        </w:rPr>
        <w:t>a</w:t>
      </w:r>
      <w:r>
        <w:rPr>
          <w:color w:val="231F20"/>
          <w:spacing w:val="-4"/>
        </w:rPr>
        <w:t> </w:t>
      </w:r>
      <w:r>
        <w:rPr>
          <w:color w:val="231F20"/>
        </w:rPr>
        <w:t>nueve</w:t>
      </w:r>
      <w:r>
        <w:rPr>
          <w:color w:val="231F20"/>
          <w:spacing w:val="-4"/>
        </w:rPr>
        <w:t> </w:t>
      </w:r>
      <w:r>
        <w:rPr>
          <w:color w:val="231F20"/>
        </w:rPr>
        <w:t>años</w:t>
      </w:r>
      <w:r>
        <w:rPr>
          <w:color w:val="231F20"/>
          <w:spacing w:val="-4"/>
        </w:rPr>
        <w:t> </w:t>
      </w:r>
      <w:r>
        <w:rPr>
          <w:color w:val="231F20"/>
        </w:rPr>
        <w:t>con un porcentaje de 94.6 por ciento semana (Cuadro</w:t>
      </w:r>
      <w:r>
        <w:rPr>
          <w:color w:val="231F20"/>
          <w:spacing w:val="-6"/>
        </w:rPr>
        <w:t> </w:t>
      </w:r>
      <w:r>
        <w:rPr>
          <w:color w:val="231F20"/>
        </w:rPr>
        <w:t>6).</w:t>
      </w:r>
    </w:p>
    <w:p>
      <w:pPr>
        <w:pStyle w:val="BodyText"/>
        <w:spacing w:line="249" w:lineRule="auto" w:before="1"/>
        <w:ind w:left="110" w:right="111" w:firstLine="283"/>
        <w:jc w:val="both"/>
      </w:pPr>
      <w:r>
        <w:rPr>
          <w:color w:val="231F20"/>
        </w:rPr>
        <w:t>Las estadísticas de la jornada de actividades domésticas por edad y sexo señalan que en el grupo de varones y niñas la jornada laboral va en aumento conforme aumenta la edad. Como se ha dicho anteriormente esto podría deberse al crecimiento físico de los menores.</w:t>
      </w:r>
    </w:p>
    <w:p>
      <w:pPr>
        <w:pStyle w:val="Heading4"/>
        <w:ind w:left="110"/>
      </w:pPr>
      <w:r>
        <w:rPr>
          <w:w w:val="75"/>
        </w:rPr>
        <w:t>Población ocupada</w:t>
      </w:r>
    </w:p>
    <w:p>
      <w:pPr>
        <w:pStyle w:val="BodyText"/>
        <w:spacing w:line="249" w:lineRule="auto" w:before="171"/>
        <w:ind w:left="110" w:right="111"/>
        <w:jc w:val="both"/>
      </w:pPr>
      <w:r>
        <w:rPr>
          <w:color w:val="231F20"/>
        </w:rPr>
        <w:t>Los datos tomados de la Encuesta Nacional de Ocupación y Empleo 2013 y el Módulo de Trabajo Infantil señalan que en México aproxima- damente</w:t>
      </w:r>
      <w:r>
        <w:rPr>
          <w:color w:val="231F20"/>
          <w:spacing w:val="-6"/>
        </w:rPr>
        <w:t> </w:t>
      </w:r>
      <w:r>
        <w:rPr>
          <w:color w:val="231F20"/>
        </w:rPr>
        <w:t>377,027</w:t>
      </w:r>
      <w:r>
        <w:rPr>
          <w:color w:val="231F20"/>
          <w:spacing w:val="-6"/>
        </w:rPr>
        <w:t> </w:t>
      </w:r>
      <w:r>
        <w:rPr>
          <w:color w:val="231F20"/>
        </w:rPr>
        <w:t>menores</w:t>
      </w:r>
      <w:r>
        <w:rPr>
          <w:color w:val="231F20"/>
          <w:spacing w:val="-6"/>
        </w:rPr>
        <w:t> </w:t>
      </w:r>
      <w:r>
        <w:rPr>
          <w:color w:val="231F20"/>
        </w:rPr>
        <w:t>entre</w:t>
      </w:r>
      <w:r>
        <w:rPr>
          <w:color w:val="231F20"/>
          <w:spacing w:val="-6"/>
        </w:rPr>
        <w:t> </w:t>
      </w:r>
      <w:r>
        <w:rPr>
          <w:color w:val="231F20"/>
        </w:rPr>
        <w:t>cinco</w:t>
      </w:r>
      <w:r>
        <w:rPr>
          <w:color w:val="231F20"/>
          <w:spacing w:val="-6"/>
        </w:rPr>
        <w:t> </w:t>
      </w:r>
      <w:r>
        <w:rPr>
          <w:color w:val="231F20"/>
        </w:rPr>
        <w:t>y</w:t>
      </w:r>
      <w:r>
        <w:rPr>
          <w:color w:val="231F20"/>
          <w:spacing w:val="-6"/>
        </w:rPr>
        <w:t> </w:t>
      </w:r>
      <w:r>
        <w:rPr>
          <w:color w:val="231F20"/>
        </w:rPr>
        <w:t>once</w:t>
      </w:r>
      <w:r>
        <w:rPr>
          <w:color w:val="231F20"/>
          <w:spacing w:val="-6"/>
        </w:rPr>
        <w:t> </w:t>
      </w:r>
      <w:r>
        <w:rPr>
          <w:color w:val="231F20"/>
        </w:rPr>
        <w:t>años</w:t>
      </w:r>
      <w:r>
        <w:rPr>
          <w:color w:val="231F20"/>
          <w:spacing w:val="-6"/>
        </w:rPr>
        <w:t> </w:t>
      </w:r>
      <w:r>
        <w:rPr>
          <w:color w:val="231F20"/>
        </w:rPr>
        <w:t>de</w:t>
      </w:r>
      <w:r>
        <w:rPr>
          <w:color w:val="231F20"/>
          <w:spacing w:val="-6"/>
        </w:rPr>
        <w:t> </w:t>
      </w:r>
      <w:r>
        <w:rPr>
          <w:color w:val="231F20"/>
        </w:rPr>
        <w:t>edad</w:t>
      </w:r>
      <w:r>
        <w:rPr>
          <w:color w:val="231F20"/>
          <w:spacing w:val="-6"/>
        </w:rPr>
        <w:t> </w:t>
      </w:r>
      <w:r>
        <w:rPr>
          <w:color w:val="231F20"/>
        </w:rPr>
        <w:t>son</w:t>
      </w:r>
      <w:r>
        <w:rPr>
          <w:color w:val="231F20"/>
          <w:spacing w:val="-6"/>
        </w:rPr>
        <w:t> </w:t>
      </w:r>
      <w:r>
        <w:rPr>
          <w:color w:val="231F20"/>
        </w:rPr>
        <w:t>ocupados (realizan actividades económicas</w:t>
      </w:r>
      <w:r>
        <w:rPr>
          <w:color w:val="231F20"/>
          <w:position w:val="7"/>
          <w:sz w:val="11"/>
        </w:rPr>
        <w:t>11</w:t>
      </w:r>
      <w:r>
        <w:rPr>
          <w:color w:val="231F20"/>
        </w:rPr>
        <w:t>), así como 5,538 son desempleados, por lo que la población económicamente activa dentro de este grupo de edad</w:t>
      </w:r>
      <w:r>
        <w:rPr>
          <w:color w:val="231F20"/>
          <w:spacing w:val="-7"/>
        </w:rPr>
        <w:t> </w:t>
      </w:r>
      <w:r>
        <w:rPr>
          <w:color w:val="231F20"/>
        </w:rPr>
        <w:t>asciende</w:t>
      </w:r>
      <w:r>
        <w:rPr>
          <w:color w:val="231F20"/>
          <w:spacing w:val="-7"/>
        </w:rPr>
        <w:t> </w:t>
      </w:r>
      <w:r>
        <w:rPr>
          <w:color w:val="231F20"/>
        </w:rPr>
        <w:t>a</w:t>
      </w:r>
      <w:r>
        <w:rPr>
          <w:color w:val="231F20"/>
          <w:spacing w:val="-6"/>
        </w:rPr>
        <w:t> </w:t>
      </w:r>
      <w:r>
        <w:rPr>
          <w:color w:val="231F20"/>
        </w:rPr>
        <w:t>382,565</w:t>
      </w:r>
      <w:r>
        <w:rPr>
          <w:color w:val="231F20"/>
          <w:spacing w:val="-6"/>
        </w:rPr>
        <w:t> </w:t>
      </w:r>
      <w:r>
        <w:rPr>
          <w:color w:val="231F20"/>
        </w:rPr>
        <w:t>niños.</w:t>
      </w:r>
      <w:r>
        <w:rPr>
          <w:color w:val="231F20"/>
          <w:spacing w:val="-6"/>
        </w:rPr>
        <w:t> </w:t>
      </w:r>
      <w:r>
        <w:rPr>
          <w:color w:val="231F20"/>
        </w:rPr>
        <w:t>La</w:t>
      </w:r>
      <w:r>
        <w:rPr>
          <w:color w:val="231F20"/>
          <w:spacing w:val="-7"/>
        </w:rPr>
        <w:t> </w:t>
      </w:r>
      <w:r>
        <w:rPr>
          <w:color w:val="231F20"/>
        </w:rPr>
        <w:t>población</w:t>
      </w:r>
      <w:r>
        <w:rPr>
          <w:color w:val="231F20"/>
          <w:spacing w:val="-7"/>
        </w:rPr>
        <w:t> </w:t>
      </w:r>
      <w:r>
        <w:rPr>
          <w:color w:val="231F20"/>
        </w:rPr>
        <w:t>de</w:t>
      </w:r>
      <w:r>
        <w:rPr>
          <w:color w:val="231F20"/>
          <w:spacing w:val="-6"/>
        </w:rPr>
        <w:t> </w:t>
      </w:r>
      <w:r>
        <w:rPr>
          <w:color w:val="231F20"/>
        </w:rPr>
        <w:t>cinco</w:t>
      </w:r>
      <w:r>
        <w:rPr>
          <w:color w:val="231F20"/>
          <w:spacing w:val="-7"/>
        </w:rPr>
        <w:t> </w:t>
      </w:r>
      <w:r>
        <w:rPr>
          <w:color w:val="231F20"/>
        </w:rPr>
        <w:t>a</w:t>
      </w:r>
      <w:r>
        <w:rPr>
          <w:color w:val="231F20"/>
          <w:spacing w:val="-6"/>
        </w:rPr>
        <w:t> </w:t>
      </w:r>
      <w:r>
        <w:rPr>
          <w:color w:val="231F20"/>
        </w:rPr>
        <w:t>once</w:t>
      </w:r>
      <w:r>
        <w:rPr>
          <w:color w:val="231F20"/>
          <w:spacing w:val="-6"/>
        </w:rPr>
        <w:t> </w:t>
      </w:r>
      <w:r>
        <w:rPr>
          <w:color w:val="231F20"/>
        </w:rPr>
        <w:t>años</w:t>
      </w:r>
      <w:r>
        <w:rPr>
          <w:color w:val="231F20"/>
          <w:spacing w:val="-7"/>
        </w:rPr>
        <w:t> </w:t>
      </w:r>
      <w:r>
        <w:rPr>
          <w:color w:val="231F20"/>
        </w:rPr>
        <w:t>que</w:t>
      </w:r>
      <w:r>
        <w:rPr>
          <w:color w:val="231F20"/>
          <w:spacing w:val="-6"/>
        </w:rPr>
        <w:t> </w:t>
      </w:r>
      <w:r>
        <w:rPr>
          <w:color w:val="231F20"/>
        </w:rPr>
        <w:t>se encuentra en la categoría “no ocupados” es de 8,872,378</w:t>
      </w:r>
      <w:r>
        <w:rPr>
          <w:color w:val="231F20"/>
          <w:spacing w:val="-6"/>
        </w:rPr>
        <w:t> </w:t>
      </w:r>
      <w:r>
        <w:rPr>
          <w:color w:val="231F20"/>
        </w:rPr>
        <w:t>menores.</w:t>
      </w:r>
    </w:p>
    <w:p>
      <w:pPr>
        <w:pStyle w:val="BodyText"/>
        <w:spacing w:line="249" w:lineRule="auto" w:before="1"/>
        <w:ind w:left="110" w:right="111" w:firstLine="283"/>
        <w:jc w:val="both"/>
      </w:pPr>
      <w:r>
        <w:rPr>
          <w:color w:val="231F20"/>
        </w:rPr>
        <w:t>En otras palabras, 2.44 por ciento de la población en esta edad es ocupada, 0.06 por ciento de la población conforma las estadísticas de desempleo (Cuadro 7), es decir que la tasa bruta de participación laboral es de 2.44 por ciento entre los menores de cinco a once años de edad.</w:t>
      </w:r>
    </w:p>
    <w:p>
      <w:pPr>
        <w:pStyle w:val="BodyText"/>
        <w:spacing w:line="249" w:lineRule="auto" w:before="1"/>
        <w:ind w:left="110" w:right="104" w:firstLine="283"/>
        <w:jc w:val="both"/>
      </w:pPr>
      <w:r>
        <w:rPr>
          <w:color w:val="231F20"/>
        </w:rPr>
        <w:t>Las actividades remuneradas que realizan los menores también son diferenciadas</w:t>
      </w:r>
      <w:r>
        <w:rPr>
          <w:color w:val="231F20"/>
          <w:spacing w:val="-9"/>
        </w:rPr>
        <w:t> </w:t>
      </w:r>
      <w:r>
        <w:rPr>
          <w:color w:val="231F20"/>
        </w:rPr>
        <w:t>por</w:t>
      </w:r>
      <w:r>
        <w:rPr>
          <w:color w:val="231F20"/>
          <w:spacing w:val="-9"/>
        </w:rPr>
        <w:t> </w:t>
      </w:r>
      <w:r>
        <w:rPr>
          <w:color w:val="231F20"/>
        </w:rPr>
        <w:t>sexo</w:t>
      </w:r>
      <w:r>
        <w:rPr>
          <w:color w:val="231F20"/>
          <w:spacing w:val="-8"/>
        </w:rPr>
        <w:t> </w:t>
      </w:r>
      <w:r>
        <w:rPr>
          <w:color w:val="231F20"/>
        </w:rPr>
        <w:t>y</w:t>
      </w:r>
      <w:r>
        <w:rPr>
          <w:color w:val="231F20"/>
          <w:spacing w:val="-9"/>
        </w:rPr>
        <w:t> </w:t>
      </w:r>
      <w:r>
        <w:rPr>
          <w:color w:val="231F20"/>
        </w:rPr>
        <w:t>edad,</w:t>
      </w:r>
      <w:r>
        <w:rPr>
          <w:color w:val="231F20"/>
          <w:spacing w:val="-9"/>
        </w:rPr>
        <w:t> </w:t>
      </w:r>
      <w:r>
        <w:rPr>
          <w:color w:val="231F20"/>
        </w:rPr>
        <w:t>así</w:t>
      </w:r>
      <w:r>
        <w:rPr>
          <w:color w:val="231F20"/>
          <w:spacing w:val="-9"/>
        </w:rPr>
        <w:t> </w:t>
      </w:r>
      <w:r>
        <w:rPr>
          <w:color w:val="231F20"/>
        </w:rPr>
        <w:t>a</w:t>
      </w:r>
      <w:r>
        <w:rPr>
          <w:color w:val="231F20"/>
          <w:spacing w:val="-9"/>
        </w:rPr>
        <w:t> </w:t>
      </w:r>
      <w:r>
        <w:rPr>
          <w:color w:val="231F20"/>
        </w:rPr>
        <w:t>mayor</w:t>
      </w:r>
      <w:r>
        <w:rPr>
          <w:color w:val="231F20"/>
          <w:spacing w:val="-9"/>
        </w:rPr>
        <w:t> </w:t>
      </w:r>
      <w:r>
        <w:rPr>
          <w:color w:val="231F20"/>
        </w:rPr>
        <w:t>edad</w:t>
      </w:r>
      <w:r>
        <w:rPr>
          <w:color w:val="231F20"/>
          <w:spacing w:val="-9"/>
        </w:rPr>
        <w:t> </w:t>
      </w:r>
      <w:r>
        <w:rPr>
          <w:color w:val="231F20"/>
        </w:rPr>
        <w:t>hay</w:t>
      </w:r>
      <w:r>
        <w:rPr>
          <w:color w:val="231F20"/>
          <w:spacing w:val="-9"/>
        </w:rPr>
        <w:t> </w:t>
      </w:r>
      <w:r>
        <w:rPr>
          <w:color w:val="231F20"/>
        </w:rPr>
        <w:t>un</w:t>
      </w:r>
      <w:r>
        <w:rPr>
          <w:color w:val="231F20"/>
          <w:spacing w:val="-9"/>
        </w:rPr>
        <w:t> </w:t>
      </w:r>
      <w:r>
        <w:rPr>
          <w:color w:val="231F20"/>
        </w:rPr>
        <w:t>número</w:t>
      </w:r>
      <w:r>
        <w:rPr>
          <w:color w:val="231F20"/>
          <w:spacing w:val="-9"/>
        </w:rPr>
        <w:t> </w:t>
      </w:r>
      <w:r>
        <w:rPr>
          <w:color w:val="231F20"/>
        </w:rPr>
        <w:t>mayor</w:t>
      </w:r>
      <w:r>
        <w:rPr>
          <w:color w:val="231F20"/>
          <w:spacing w:val="-9"/>
        </w:rPr>
        <w:t> </w:t>
      </w:r>
      <w:r>
        <w:rPr>
          <w:color w:val="231F20"/>
        </w:rPr>
        <w:t>de menores trabajadores. Las estadísticas de la población ocupada por sexo son</w:t>
      </w:r>
      <w:r>
        <w:rPr>
          <w:color w:val="231F20"/>
          <w:spacing w:val="-5"/>
        </w:rPr>
        <w:t> </w:t>
      </w:r>
      <w:r>
        <w:rPr>
          <w:color w:val="231F20"/>
        </w:rPr>
        <w:t>las</w:t>
      </w:r>
      <w:r>
        <w:rPr>
          <w:color w:val="231F20"/>
          <w:spacing w:val="-5"/>
        </w:rPr>
        <w:t> </w:t>
      </w:r>
      <w:r>
        <w:rPr>
          <w:color w:val="231F20"/>
        </w:rPr>
        <w:t>siguientes:</w:t>
      </w:r>
      <w:r>
        <w:rPr>
          <w:color w:val="231F20"/>
          <w:spacing w:val="-5"/>
        </w:rPr>
        <w:t> </w:t>
      </w:r>
      <w:r>
        <w:rPr>
          <w:color w:val="231F20"/>
        </w:rPr>
        <w:t>65.8</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son</w:t>
      </w:r>
      <w:r>
        <w:rPr>
          <w:color w:val="231F20"/>
          <w:spacing w:val="-5"/>
        </w:rPr>
        <w:t> </w:t>
      </w:r>
      <w:r>
        <w:rPr>
          <w:color w:val="231F20"/>
        </w:rPr>
        <w:t>varones</w:t>
      </w:r>
      <w:r>
        <w:rPr>
          <w:color w:val="231F20"/>
          <w:spacing w:val="-5"/>
        </w:rPr>
        <w:t> </w:t>
      </w:r>
      <w:r>
        <w:rPr>
          <w:color w:val="231F20"/>
        </w:rPr>
        <w:t>y</w:t>
      </w:r>
      <w:r>
        <w:rPr>
          <w:color w:val="231F20"/>
          <w:spacing w:val="-5"/>
        </w:rPr>
        <w:t> </w:t>
      </w:r>
      <w:r>
        <w:rPr>
          <w:color w:val="231F20"/>
        </w:rPr>
        <w:t>34.2</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niñas.</w:t>
      </w:r>
      <w:r>
        <w:rPr>
          <w:color w:val="231F20"/>
          <w:spacing w:val="-12"/>
        </w:rPr>
        <w:t> </w:t>
      </w:r>
      <w:r>
        <w:rPr>
          <w:color w:val="231F20"/>
        </w:rPr>
        <w:t>Y la</w:t>
      </w:r>
      <w:r>
        <w:rPr>
          <w:color w:val="231F20"/>
          <w:spacing w:val="-7"/>
        </w:rPr>
        <w:t> </w:t>
      </w:r>
      <w:r>
        <w:rPr>
          <w:color w:val="231F20"/>
        </w:rPr>
        <w:t>tasa</w:t>
      </w:r>
      <w:r>
        <w:rPr>
          <w:color w:val="231F20"/>
          <w:spacing w:val="-7"/>
        </w:rPr>
        <w:t> </w:t>
      </w:r>
      <w:r>
        <w:rPr>
          <w:color w:val="231F20"/>
        </w:rPr>
        <w:t>de</w:t>
      </w:r>
      <w:r>
        <w:rPr>
          <w:color w:val="231F20"/>
          <w:spacing w:val="-7"/>
        </w:rPr>
        <w:t> </w:t>
      </w:r>
      <w:r>
        <w:rPr>
          <w:color w:val="231F20"/>
        </w:rPr>
        <w:t>participación</w:t>
      </w:r>
      <w:r>
        <w:rPr>
          <w:color w:val="231F20"/>
          <w:spacing w:val="-7"/>
        </w:rPr>
        <w:t> </w:t>
      </w:r>
      <w:r>
        <w:rPr>
          <w:color w:val="231F20"/>
        </w:rPr>
        <w:t>laboral</w:t>
      </w:r>
      <w:r>
        <w:rPr>
          <w:color w:val="231F20"/>
          <w:spacing w:val="-7"/>
        </w:rPr>
        <w:t> </w:t>
      </w:r>
      <w:r>
        <w:rPr>
          <w:color w:val="231F20"/>
        </w:rPr>
        <w:t>para</w:t>
      </w:r>
      <w:r>
        <w:rPr>
          <w:color w:val="231F20"/>
          <w:spacing w:val="-7"/>
        </w:rPr>
        <w:t> </w:t>
      </w:r>
      <w:r>
        <w:rPr>
          <w:color w:val="231F20"/>
        </w:rPr>
        <w:t>los</w:t>
      </w:r>
      <w:r>
        <w:rPr>
          <w:color w:val="231F20"/>
          <w:spacing w:val="-7"/>
        </w:rPr>
        <w:t> </w:t>
      </w:r>
      <w:r>
        <w:rPr>
          <w:color w:val="231F20"/>
        </w:rPr>
        <w:t>niños</w:t>
      </w:r>
      <w:r>
        <w:rPr>
          <w:color w:val="231F20"/>
          <w:spacing w:val="-7"/>
        </w:rPr>
        <w:t> </w:t>
      </w:r>
      <w:r>
        <w:rPr>
          <w:color w:val="231F20"/>
        </w:rPr>
        <w:t>es</w:t>
      </w:r>
      <w:r>
        <w:rPr>
          <w:color w:val="231F20"/>
          <w:spacing w:val="-7"/>
        </w:rPr>
        <w:t> </w:t>
      </w:r>
      <w:r>
        <w:rPr>
          <w:color w:val="231F20"/>
        </w:rPr>
        <w:t>de</w:t>
      </w:r>
      <w:r>
        <w:rPr>
          <w:color w:val="231F20"/>
          <w:spacing w:val="-7"/>
        </w:rPr>
        <w:t> </w:t>
      </w:r>
      <w:r>
        <w:rPr>
          <w:color w:val="231F20"/>
        </w:rPr>
        <w:t>4.73</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y</w:t>
      </w:r>
      <w:r>
        <w:rPr>
          <w:color w:val="231F20"/>
          <w:spacing w:val="-7"/>
        </w:rPr>
        <w:t> </w:t>
      </w:r>
      <w:r>
        <w:rPr>
          <w:color w:val="231F20"/>
        </w:rPr>
        <w:t>para las niñas de 2.5 por</w:t>
      </w:r>
      <w:r>
        <w:rPr>
          <w:color w:val="231F20"/>
          <w:spacing w:val="-1"/>
        </w:rPr>
        <w:t> </w:t>
      </w:r>
      <w:r>
        <w:rPr>
          <w:color w:val="231F20"/>
        </w:rPr>
        <w:t>ciento.</w:t>
      </w:r>
    </w:p>
    <w:p>
      <w:pPr>
        <w:pStyle w:val="BodyText"/>
        <w:spacing w:line="249" w:lineRule="auto" w:before="1"/>
        <w:ind w:left="110" w:right="110" w:firstLine="283"/>
        <w:jc w:val="both"/>
      </w:pPr>
      <w:r>
        <w:rPr>
          <w:color w:val="231F20"/>
        </w:rPr>
        <w:t>Las tasas específicas de participación laboral por sexo y grupos de edad señalan lo siguiente (Cuadro 8). La mayor tasa de participación la- boral</w:t>
      </w:r>
      <w:r>
        <w:rPr>
          <w:color w:val="231F20"/>
          <w:spacing w:val="-6"/>
        </w:rPr>
        <w:t> </w:t>
      </w:r>
      <w:r>
        <w:rPr>
          <w:color w:val="231F20"/>
        </w:rPr>
        <w:t>se</w:t>
      </w:r>
      <w:r>
        <w:rPr>
          <w:color w:val="231F20"/>
          <w:spacing w:val="-6"/>
        </w:rPr>
        <w:t> </w:t>
      </w:r>
      <w:r>
        <w:rPr>
          <w:color w:val="231F20"/>
        </w:rPr>
        <w:t>presenta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menores</w:t>
      </w:r>
      <w:r>
        <w:rPr>
          <w:color w:val="231F20"/>
          <w:spacing w:val="-6"/>
        </w:rPr>
        <w:t> </w:t>
      </w:r>
      <w:r>
        <w:rPr>
          <w:color w:val="231F20"/>
        </w:rPr>
        <w:t>varones</w:t>
      </w:r>
      <w:r>
        <w:rPr>
          <w:color w:val="231F20"/>
          <w:spacing w:val="-6"/>
        </w:rPr>
        <w:t> </w:t>
      </w:r>
      <w:r>
        <w:rPr>
          <w:color w:val="231F20"/>
        </w:rPr>
        <w:t>de</w:t>
      </w:r>
      <w:r>
        <w:rPr>
          <w:color w:val="231F20"/>
          <w:spacing w:val="-6"/>
        </w:rPr>
        <w:t> </w:t>
      </w:r>
      <w:r>
        <w:rPr>
          <w:color w:val="231F20"/>
        </w:rPr>
        <w:t>10</w:t>
      </w:r>
      <w:r>
        <w:rPr>
          <w:color w:val="231F20"/>
          <w:spacing w:val="-6"/>
        </w:rPr>
        <w:t> </w:t>
      </w:r>
      <w:r>
        <w:rPr>
          <w:color w:val="231F20"/>
        </w:rPr>
        <w:t>a</w:t>
      </w:r>
      <w:r>
        <w:rPr>
          <w:color w:val="231F20"/>
          <w:spacing w:val="-6"/>
        </w:rPr>
        <w:t> </w:t>
      </w:r>
      <w:r>
        <w:rPr>
          <w:color w:val="231F20"/>
          <w:spacing w:val="-4"/>
        </w:rPr>
        <w:t>11</w:t>
      </w:r>
      <w:r>
        <w:rPr>
          <w:color w:val="231F20"/>
          <w:spacing w:val="-6"/>
        </w:rPr>
        <w:t> </w:t>
      </w:r>
      <w:r>
        <w:rPr>
          <w:color w:val="231F20"/>
        </w:rPr>
        <w:t>años</w:t>
      </w:r>
      <w:r>
        <w:rPr>
          <w:color w:val="231F20"/>
          <w:spacing w:val="-6"/>
        </w:rPr>
        <w:t> </w:t>
      </w:r>
      <w:r>
        <w:rPr>
          <w:color w:val="231F20"/>
        </w:rPr>
        <w:t>de</w:t>
      </w:r>
      <w:r>
        <w:rPr>
          <w:color w:val="231F20"/>
          <w:spacing w:val="-6"/>
        </w:rPr>
        <w:t> </w:t>
      </w:r>
      <w:r>
        <w:rPr>
          <w:color w:val="231F20"/>
        </w:rPr>
        <w:t>edad,</w:t>
      </w:r>
      <w:r>
        <w:rPr>
          <w:color w:val="231F20"/>
          <w:spacing w:val="-6"/>
        </w:rPr>
        <w:t> </w:t>
      </w:r>
      <w:r>
        <w:rPr>
          <w:color w:val="231F20"/>
        </w:rPr>
        <w:t>la</w:t>
      </w:r>
      <w:r>
        <w:rPr>
          <w:color w:val="231F20"/>
          <w:spacing w:val="-6"/>
        </w:rPr>
        <w:t> </w:t>
      </w:r>
      <w:r>
        <w:rPr>
          <w:color w:val="231F20"/>
        </w:rPr>
        <w:t>cual asciende a 56 por ciento en comparación con las niñas del mismo grupo de edad para el que la tasa de participación laboral es de 5.51 por</w:t>
      </w:r>
      <w:r>
        <w:rPr>
          <w:color w:val="231F20"/>
          <w:spacing w:val="-23"/>
        </w:rPr>
        <w:t> </w:t>
      </w:r>
      <w:r>
        <w:rPr>
          <w:color w:val="231F20"/>
        </w:rPr>
        <w:t>ciento. </w:t>
      </w:r>
      <w:r>
        <w:rPr>
          <w:color w:val="231F20"/>
          <w:spacing w:val="-3"/>
        </w:rPr>
        <w:t>Tanto </w:t>
      </w:r>
      <w:r>
        <w:rPr>
          <w:color w:val="231F20"/>
        </w:rPr>
        <w:t>en el caso de las niñas como en el de los varones con el aumento de</w:t>
      </w:r>
      <w:r>
        <w:rPr>
          <w:color w:val="231F20"/>
          <w:spacing w:val="-10"/>
        </w:rPr>
        <w:t> </w:t>
      </w:r>
      <w:r>
        <w:rPr>
          <w:color w:val="231F20"/>
        </w:rPr>
        <w:t>la</w:t>
      </w:r>
      <w:r>
        <w:rPr>
          <w:color w:val="231F20"/>
          <w:spacing w:val="-10"/>
        </w:rPr>
        <w:t> </w:t>
      </w:r>
      <w:r>
        <w:rPr>
          <w:color w:val="231F20"/>
        </w:rPr>
        <w:t>edad</w:t>
      </w:r>
      <w:r>
        <w:rPr>
          <w:color w:val="231F20"/>
          <w:spacing w:val="-10"/>
        </w:rPr>
        <w:t> </w:t>
      </w:r>
      <w:r>
        <w:rPr>
          <w:color w:val="231F20"/>
        </w:rPr>
        <w:t>se</w:t>
      </w:r>
      <w:r>
        <w:rPr>
          <w:color w:val="231F20"/>
          <w:spacing w:val="-10"/>
        </w:rPr>
        <w:t> </w:t>
      </w:r>
      <w:r>
        <w:rPr>
          <w:color w:val="231F20"/>
        </w:rPr>
        <w:t>registran</w:t>
      </w:r>
      <w:r>
        <w:rPr>
          <w:color w:val="231F20"/>
          <w:spacing w:val="-10"/>
        </w:rPr>
        <w:t> </w:t>
      </w:r>
      <w:r>
        <w:rPr>
          <w:color w:val="231F20"/>
        </w:rPr>
        <w:t>mayores</w:t>
      </w:r>
      <w:r>
        <w:rPr>
          <w:color w:val="231F20"/>
          <w:spacing w:val="-10"/>
        </w:rPr>
        <w:t> </w:t>
      </w:r>
      <w:r>
        <w:rPr>
          <w:color w:val="231F20"/>
        </w:rPr>
        <w:t>tasas</w:t>
      </w:r>
      <w:r>
        <w:rPr>
          <w:color w:val="231F20"/>
          <w:spacing w:val="-10"/>
        </w:rPr>
        <w:t> </w:t>
      </w:r>
      <w:r>
        <w:rPr>
          <w:color w:val="231F20"/>
        </w:rPr>
        <w:t>de</w:t>
      </w:r>
      <w:r>
        <w:rPr>
          <w:color w:val="231F20"/>
          <w:spacing w:val="-10"/>
        </w:rPr>
        <w:t> </w:t>
      </w:r>
      <w:r>
        <w:rPr>
          <w:color w:val="231F20"/>
        </w:rPr>
        <w:t>participación</w:t>
      </w:r>
      <w:r>
        <w:rPr>
          <w:color w:val="231F20"/>
          <w:spacing w:val="-10"/>
        </w:rPr>
        <w:t> </w:t>
      </w:r>
      <w:r>
        <w:rPr>
          <w:color w:val="231F20"/>
        </w:rPr>
        <w:t>laboral</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edad</w:t>
      </w:r>
      <w:r>
        <w:rPr>
          <w:color w:val="231F20"/>
          <w:spacing w:val="-10"/>
        </w:rPr>
        <w:t> </w:t>
      </w:r>
      <w:r>
        <w:rPr>
          <w:color w:val="231F20"/>
        </w:rPr>
        <w:t>de cinco años la tasa de participación laboral son casi nulas, para las niñas es de 0.43 por ciento y de 0.51 por ciento para los niños, siendo siempre más altas las tasas de participación laboral para el grupo de los</w:t>
      </w:r>
      <w:r>
        <w:rPr>
          <w:color w:val="231F20"/>
          <w:spacing w:val="-6"/>
        </w:rPr>
        <w:t> </w:t>
      </w:r>
      <w:r>
        <w:rPr>
          <w:color w:val="231F20"/>
        </w:rPr>
        <w:t>varones.</w:t>
      </w:r>
    </w:p>
    <w:p>
      <w:pPr>
        <w:spacing w:before="176"/>
        <w:ind w:left="110" w:right="111" w:firstLine="0"/>
        <w:jc w:val="both"/>
        <w:rPr>
          <w:sz w:val="14"/>
        </w:rPr>
      </w:pPr>
      <w:r>
        <w:rPr>
          <w:color w:val="231F20"/>
          <w:position w:val="5"/>
          <w:sz w:val="8"/>
        </w:rPr>
        <w:t>11</w:t>
      </w:r>
      <w:r>
        <w:rPr>
          <w:color w:val="231F20"/>
          <w:spacing w:val="11"/>
          <w:position w:val="5"/>
          <w:sz w:val="8"/>
        </w:rPr>
        <w:t> </w:t>
      </w:r>
      <w:r>
        <w:rPr>
          <w:color w:val="231F20"/>
          <w:sz w:val="14"/>
        </w:rPr>
        <w:t>Las</w:t>
      </w:r>
      <w:r>
        <w:rPr>
          <w:color w:val="231F20"/>
          <w:spacing w:val="-4"/>
          <w:sz w:val="14"/>
        </w:rPr>
        <w:t> </w:t>
      </w:r>
      <w:r>
        <w:rPr>
          <w:color w:val="231F20"/>
          <w:sz w:val="14"/>
        </w:rPr>
        <w:t>actividades</w:t>
      </w:r>
      <w:r>
        <w:rPr>
          <w:color w:val="231F20"/>
          <w:spacing w:val="-4"/>
          <w:sz w:val="14"/>
        </w:rPr>
        <w:t> </w:t>
      </w:r>
      <w:r>
        <w:rPr>
          <w:color w:val="231F20"/>
          <w:sz w:val="14"/>
        </w:rPr>
        <w:t>económicas</w:t>
      </w:r>
      <w:r>
        <w:rPr>
          <w:color w:val="231F20"/>
          <w:spacing w:val="-4"/>
          <w:sz w:val="14"/>
        </w:rPr>
        <w:t> </w:t>
      </w:r>
      <w:r>
        <w:rPr>
          <w:color w:val="231F20"/>
          <w:sz w:val="14"/>
        </w:rPr>
        <w:t>que</w:t>
      </w:r>
      <w:r>
        <w:rPr>
          <w:color w:val="231F20"/>
          <w:spacing w:val="-4"/>
          <w:sz w:val="14"/>
        </w:rPr>
        <w:t> </w:t>
      </w:r>
      <w:r>
        <w:rPr>
          <w:color w:val="231F20"/>
          <w:sz w:val="14"/>
        </w:rPr>
        <w:t>se</w:t>
      </w:r>
      <w:r>
        <w:rPr>
          <w:color w:val="231F20"/>
          <w:spacing w:val="-4"/>
          <w:sz w:val="14"/>
        </w:rPr>
        <w:t> </w:t>
      </w:r>
      <w:r>
        <w:rPr>
          <w:color w:val="231F20"/>
          <w:sz w:val="14"/>
        </w:rPr>
        <w:t>señalan</w:t>
      </w:r>
      <w:r>
        <w:rPr>
          <w:color w:val="231F20"/>
          <w:spacing w:val="-4"/>
          <w:sz w:val="14"/>
        </w:rPr>
        <w:t> </w:t>
      </w:r>
      <w:r>
        <w:rPr>
          <w:color w:val="231F20"/>
          <w:sz w:val="14"/>
        </w:rPr>
        <w:t>dentro</w:t>
      </w:r>
      <w:r>
        <w:rPr>
          <w:color w:val="231F20"/>
          <w:spacing w:val="-4"/>
          <w:sz w:val="14"/>
        </w:rPr>
        <w:t> </w:t>
      </w:r>
      <w:r>
        <w:rPr>
          <w:color w:val="231F20"/>
          <w:sz w:val="14"/>
        </w:rPr>
        <w:t>del</w:t>
      </w:r>
      <w:r>
        <w:rPr>
          <w:color w:val="231F20"/>
          <w:spacing w:val="-4"/>
          <w:sz w:val="14"/>
        </w:rPr>
        <w:t> </w:t>
      </w:r>
      <w:r>
        <w:rPr>
          <w:color w:val="231F20"/>
          <w:sz w:val="14"/>
        </w:rPr>
        <w:t>documentos</w:t>
      </w:r>
      <w:r>
        <w:rPr>
          <w:color w:val="231F20"/>
          <w:spacing w:val="-4"/>
          <w:sz w:val="14"/>
        </w:rPr>
        <w:t> </w:t>
      </w:r>
      <w:r>
        <w:rPr>
          <w:color w:val="231F20"/>
          <w:sz w:val="14"/>
        </w:rPr>
        <w:t>son:</w:t>
      </w:r>
      <w:r>
        <w:rPr>
          <w:color w:val="231F20"/>
          <w:spacing w:val="-4"/>
          <w:sz w:val="14"/>
        </w:rPr>
        <w:t> </w:t>
      </w:r>
      <w:r>
        <w:rPr>
          <w:color w:val="231F20"/>
          <w:sz w:val="14"/>
        </w:rPr>
        <w:t>vender</w:t>
      </w:r>
      <w:r>
        <w:rPr>
          <w:color w:val="231F20"/>
          <w:spacing w:val="-4"/>
          <w:sz w:val="14"/>
        </w:rPr>
        <w:t> </w:t>
      </w:r>
      <w:r>
        <w:rPr>
          <w:color w:val="231F20"/>
          <w:sz w:val="14"/>
        </w:rPr>
        <w:t>o</w:t>
      </w:r>
      <w:r>
        <w:rPr>
          <w:color w:val="231F20"/>
          <w:spacing w:val="-4"/>
          <w:sz w:val="14"/>
        </w:rPr>
        <w:t> </w:t>
      </w:r>
      <w:r>
        <w:rPr>
          <w:color w:val="231F20"/>
          <w:sz w:val="14"/>
        </w:rPr>
        <w:t>hacer</w:t>
      </w:r>
      <w:r>
        <w:rPr>
          <w:color w:val="231F20"/>
          <w:spacing w:val="-4"/>
          <w:sz w:val="14"/>
        </w:rPr>
        <w:t> </w:t>
      </w:r>
      <w:r>
        <w:rPr>
          <w:color w:val="231F20"/>
          <w:sz w:val="14"/>
        </w:rPr>
        <w:t>productos</w:t>
      </w:r>
      <w:r>
        <w:rPr>
          <w:color w:val="231F20"/>
          <w:spacing w:val="-4"/>
          <w:sz w:val="14"/>
        </w:rPr>
        <w:t> </w:t>
      </w:r>
      <w:r>
        <w:rPr>
          <w:color w:val="231F20"/>
          <w:sz w:val="14"/>
        </w:rPr>
        <w:t>para la venta, prestar servicios, trabajar por propina o destajo, trabajar o ayudar con o sin pago en las tierras de la familia o de otra persona, trabajar o ayudar con o sin pago en un negocio de la familia o de otra persona, cuidar vehículos en la calle, limpiar parabrisas en cruceros, o cantar en camiones a cambio de una propina.</w:t>
      </w:r>
    </w:p>
    <w:p>
      <w:pPr>
        <w:spacing w:after="0"/>
        <w:jc w:val="both"/>
        <w:rPr>
          <w:sz w:val="14"/>
        </w:rPr>
        <w:sectPr>
          <w:pgSz w:w="7770" w:h="11740"/>
          <w:pgMar w:header="0" w:footer="474" w:top="840" w:bottom="740" w:left="740" w:right="1020"/>
        </w:sectPr>
      </w:pPr>
    </w:p>
    <w:p>
      <w:pPr>
        <w:spacing w:before="62"/>
        <w:ind w:left="152" w:right="1317" w:firstLine="0"/>
        <w:jc w:val="left"/>
        <w:rPr>
          <w:sz w:val="19"/>
        </w:rPr>
      </w:pPr>
      <w:r>
        <w:rPr>
          <w:w w:val="105"/>
          <w:sz w:val="19"/>
        </w:rPr>
        <w:t>Cuadro 7. Condición de ocupación</w:t>
      </w:r>
    </w:p>
    <w:p>
      <w:pPr>
        <w:pStyle w:val="BodyText"/>
        <w:spacing w:before="5"/>
        <w:rPr>
          <w:sz w:val="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4"/>
        <w:gridCol w:w="2500"/>
        <w:gridCol w:w="1494"/>
      </w:tblGrid>
      <w:tr>
        <w:trPr>
          <w:trHeight w:val="336" w:hRule="exact"/>
        </w:trPr>
        <w:tc>
          <w:tcPr>
            <w:tcW w:w="1824" w:type="dxa"/>
            <w:tcBorders>
              <w:left w:val="nil"/>
              <w:right w:val="nil"/>
            </w:tcBorders>
          </w:tcPr>
          <w:p>
            <w:pPr>
              <w:pStyle w:val="TableParagraph"/>
              <w:spacing w:before="53"/>
              <w:ind w:left="84"/>
              <w:jc w:val="left"/>
              <w:rPr>
                <w:sz w:val="19"/>
              </w:rPr>
            </w:pPr>
            <w:r>
              <w:rPr>
                <w:w w:val="105"/>
                <w:sz w:val="19"/>
              </w:rPr>
              <w:t>Condición</w:t>
            </w:r>
          </w:p>
        </w:tc>
        <w:tc>
          <w:tcPr>
            <w:tcW w:w="2500" w:type="dxa"/>
            <w:tcBorders>
              <w:left w:val="nil"/>
              <w:right w:val="nil"/>
            </w:tcBorders>
          </w:tcPr>
          <w:p>
            <w:pPr>
              <w:pStyle w:val="TableParagraph"/>
              <w:spacing w:before="53"/>
              <w:ind w:right="568"/>
              <w:rPr>
                <w:sz w:val="19"/>
              </w:rPr>
            </w:pPr>
            <w:r>
              <w:rPr>
                <w:w w:val="105"/>
                <w:sz w:val="19"/>
              </w:rPr>
              <w:t>N° de menores</w:t>
            </w:r>
          </w:p>
        </w:tc>
        <w:tc>
          <w:tcPr>
            <w:tcW w:w="1494" w:type="dxa"/>
            <w:tcBorders>
              <w:left w:val="nil"/>
              <w:right w:val="nil"/>
            </w:tcBorders>
          </w:tcPr>
          <w:p>
            <w:pPr>
              <w:pStyle w:val="TableParagraph"/>
              <w:spacing w:before="53"/>
              <w:ind w:right="81"/>
              <w:rPr>
                <w:sz w:val="19"/>
              </w:rPr>
            </w:pPr>
            <w:r>
              <w:rPr>
                <w:sz w:val="19"/>
              </w:rPr>
              <w:t>Porcentaje</w:t>
            </w:r>
          </w:p>
        </w:tc>
      </w:tr>
      <w:tr>
        <w:trPr>
          <w:trHeight w:val="281" w:hRule="exact"/>
        </w:trPr>
        <w:tc>
          <w:tcPr>
            <w:tcW w:w="1824" w:type="dxa"/>
            <w:tcBorders>
              <w:left w:val="nil"/>
              <w:bottom w:val="nil"/>
              <w:right w:val="nil"/>
            </w:tcBorders>
          </w:tcPr>
          <w:p>
            <w:pPr>
              <w:pStyle w:val="TableParagraph"/>
              <w:spacing w:before="10"/>
              <w:ind w:left="35"/>
              <w:jc w:val="left"/>
              <w:rPr>
                <w:sz w:val="19"/>
              </w:rPr>
            </w:pPr>
            <w:r>
              <w:rPr>
                <w:w w:val="105"/>
                <w:sz w:val="19"/>
              </w:rPr>
              <w:t>Ocupados</w:t>
            </w:r>
          </w:p>
        </w:tc>
        <w:tc>
          <w:tcPr>
            <w:tcW w:w="2500" w:type="dxa"/>
            <w:tcBorders>
              <w:left w:val="nil"/>
              <w:bottom w:val="nil"/>
              <w:right w:val="nil"/>
            </w:tcBorders>
          </w:tcPr>
          <w:p>
            <w:pPr>
              <w:pStyle w:val="TableParagraph"/>
              <w:spacing w:before="10"/>
              <w:ind w:right="568"/>
              <w:rPr>
                <w:sz w:val="19"/>
              </w:rPr>
            </w:pPr>
            <w:r>
              <w:rPr>
                <w:w w:val="105"/>
                <w:sz w:val="19"/>
              </w:rPr>
              <w:t>377 027</w:t>
            </w:r>
          </w:p>
        </w:tc>
        <w:tc>
          <w:tcPr>
            <w:tcW w:w="1494" w:type="dxa"/>
            <w:tcBorders>
              <w:left w:val="nil"/>
              <w:bottom w:val="nil"/>
              <w:right w:val="nil"/>
            </w:tcBorders>
          </w:tcPr>
          <w:p>
            <w:pPr/>
          </w:p>
        </w:tc>
      </w:tr>
      <w:tr>
        <w:trPr>
          <w:trHeight w:val="528" w:hRule="exact"/>
        </w:trPr>
        <w:tc>
          <w:tcPr>
            <w:tcW w:w="1824" w:type="dxa"/>
            <w:tcBorders>
              <w:top w:val="nil"/>
              <w:left w:val="nil"/>
              <w:bottom w:val="nil"/>
              <w:right w:val="nil"/>
            </w:tcBorders>
          </w:tcPr>
          <w:p>
            <w:pPr>
              <w:pStyle w:val="TableParagraph"/>
              <w:spacing w:line="178" w:lineRule="exact"/>
              <w:ind w:left="35"/>
              <w:jc w:val="left"/>
              <w:rPr>
                <w:sz w:val="19"/>
              </w:rPr>
            </w:pPr>
            <w:r>
              <w:rPr>
                <w:w w:val="105"/>
                <w:sz w:val="19"/>
              </w:rPr>
              <w:t>Desempleados</w:t>
            </w:r>
          </w:p>
          <w:p>
            <w:pPr>
              <w:pStyle w:val="TableParagraph"/>
              <w:spacing w:before="84"/>
              <w:ind w:left="35"/>
              <w:jc w:val="left"/>
              <w:rPr>
                <w:sz w:val="19"/>
              </w:rPr>
            </w:pPr>
            <w:r>
              <w:rPr>
                <w:w w:val="105"/>
                <w:sz w:val="19"/>
              </w:rPr>
              <w:t>PEA</w:t>
            </w:r>
          </w:p>
        </w:tc>
        <w:tc>
          <w:tcPr>
            <w:tcW w:w="2500" w:type="dxa"/>
            <w:tcBorders>
              <w:top w:val="nil"/>
              <w:left w:val="nil"/>
              <w:bottom w:val="nil"/>
              <w:right w:val="nil"/>
            </w:tcBorders>
          </w:tcPr>
          <w:p>
            <w:pPr>
              <w:pStyle w:val="TableParagraph"/>
              <w:spacing w:line="178" w:lineRule="exact"/>
              <w:ind w:left="1480"/>
              <w:jc w:val="left"/>
              <w:rPr>
                <w:sz w:val="19"/>
              </w:rPr>
            </w:pPr>
            <w:r>
              <w:rPr>
                <w:w w:val="105"/>
                <w:sz w:val="19"/>
              </w:rPr>
              <w:t>5 538</w:t>
            </w:r>
          </w:p>
          <w:p>
            <w:pPr>
              <w:pStyle w:val="TableParagraph"/>
              <w:spacing w:before="84"/>
              <w:ind w:left="1280"/>
              <w:jc w:val="left"/>
              <w:rPr>
                <w:sz w:val="19"/>
              </w:rPr>
            </w:pPr>
            <w:r>
              <w:rPr>
                <w:w w:val="105"/>
                <w:sz w:val="19"/>
              </w:rPr>
              <w:t>382 565</w:t>
            </w:r>
          </w:p>
        </w:tc>
        <w:tc>
          <w:tcPr>
            <w:tcW w:w="1494" w:type="dxa"/>
            <w:tcBorders>
              <w:top w:val="nil"/>
              <w:left w:val="nil"/>
              <w:bottom w:val="nil"/>
              <w:right w:val="nil"/>
            </w:tcBorders>
          </w:tcPr>
          <w:p>
            <w:pPr>
              <w:pStyle w:val="TableParagraph"/>
              <w:spacing w:before="31"/>
              <w:ind w:right="78"/>
              <w:rPr>
                <w:sz w:val="19"/>
              </w:rPr>
            </w:pPr>
            <w:r>
              <w:rPr>
                <w:sz w:val="19"/>
              </w:rPr>
              <w:t>2.44</w:t>
            </w:r>
          </w:p>
        </w:tc>
      </w:tr>
      <w:tr>
        <w:trPr>
          <w:trHeight w:val="300" w:hRule="exact"/>
        </w:trPr>
        <w:tc>
          <w:tcPr>
            <w:tcW w:w="1824" w:type="dxa"/>
            <w:tcBorders>
              <w:top w:val="nil"/>
              <w:left w:val="nil"/>
              <w:bottom w:val="nil"/>
              <w:right w:val="nil"/>
            </w:tcBorders>
          </w:tcPr>
          <w:p>
            <w:pPr>
              <w:pStyle w:val="TableParagraph"/>
              <w:spacing w:before="31"/>
              <w:ind w:left="35"/>
              <w:jc w:val="left"/>
              <w:rPr>
                <w:sz w:val="19"/>
              </w:rPr>
            </w:pPr>
            <w:r>
              <w:rPr>
                <w:w w:val="105"/>
                <w:sz w:val="19"/>
              </w:rPr>
              <w:t>No ocupados</w:t>
            </w:r>
          </w:p>
        </w:tc>
        <w:tc>
          <w:tcPr>
            <w:tcW w:w="2500" w:type="dxa"/>
            <w:tcBorders>
              <w:top w:val="nil"/>
              <w:left w:val="nil"/>
              <w:bottom w:val="nil"/>
              <w:right w:val="nil"/>
            </w:tcBorders>
          </w:tcPr>
          <w:p>
            <w:pPr>
              <w:pStyle w:val="TableParagraph"/>
              <w:spacing w:before="31"/>
              <w:ind w:right="568"/>
              <w:rPr>
                <w:sz w:val="19"/>
              </w:rPr>
            </w:pPr>
            <w:r>
              <w:rPr>
                <w:w w:val="105"/>
                <w:sz w:val="19"/>
              </w:rPr>
              <w:t>8 489 813</w:t>
            </w:r>
          </w:p>
        </w:tc>
        <w:tc>
          <w:tcPr>
            <w:tcW w:w="1494" w:type="dxa"/>
            <w:tcBorders>
              <w:top w:val="nil"/>
              <w:left w:val="nil"/>
              <w:bottom w:val="nil"/>
              <w:right w:val="nil"/>
            </w:tcBorders>
          </w:tcPr>
          <w:p>
            <w:pPr>
              <w:pStyle w:val="TableParagraph"/>
              <w:spacing w:before="31"/>
              <w:ind w:right="78"/>
              <w:rPr>
                <w:sz w:val="19"/>
              </w:rPr>
            </w:pPr>
            <w:r>
              <w:rPr>
                <w:sz w:val="19"/>
              </w:rPr>
              <w:t>97.56</w:t>
            </w:r>
          </w:p>
        </w:tc>
      </w:tr>
      <w:tr>
        <w:trPr>
          <w:trHeight w:val="331" w:hRule="exact"/>
        </w:trPr>
        <w:tc>
          <w:tcPr>
            <w:tcW w:w="1824" w:type="dxa"/>
            <w:tcBorders>
              <w:top w:val="nil"/>
              <w:left w:val="nil"/>
              <w:right w:val="nil"/>
            </w:tcBorders>
          </w:tcPr>
          <w:p>
            <w:pPr>
              <w:pStyle w:val="TableParagraph"/>
              <w:spacing w:before="33"/>
              <w:ind w:left="35"/>
              <w:jc w:val="left"/>
              <w:rPr>
                <w:sz w:val="19"/>
              </w:rPr>
            </w:pPr>
            <w:r>
              <w:rPr>
                <w:w w:val="105"/>
                <w:sz w:val="19"/>
              </w:rPr>
              <w:t>Total</w:t>
            </w:r>
          </w:p>
        </w:tc>
        <w:tc>
          <w:tcPr>
            <w:tcW w:w="2500" w:type="dxa"/>
            <w:tcBorders>
              <w:top w:val="nil"/>
              <w:left w:val="nil"/>
              <w:right w:val="nil"/>
            </w:tcBorders>
          </w:tcPr>
          <w:p>
            <w:pPr>
              <w:pStyle w:val="TableParagraph"/>
              <w:spacing w:before="33"/>
              <w:ind w:right="568"/>
              <w:rPr>
                <w:sz w:val="19"/>
              </w:rPr>
            </w:pPr>
            <w:r>
              <w:rPr>
                <w:w w:val="105"/>
                <w:sz w:val="19"/>
              </w:rPr>
              <w:t>8 872 378</w:t>
            </w:r>
          </w:p>
        </w:tc>
        <w:tc>
          <w:tcPr>
            <w:tcW w:w="1494" w:type="dxa"/>
            <w:tcBorders>
              <w:top w:val="nil"/>
              <w:left w:val="nil"/>
              <w:right w:val="nil"/>
            </w:tcBorders>
          </w:tcPr>
          <w:p>
            <w:pPr>
              <w:pStyle w:val="TableParagraph"/>
              <w:spacing w:before="33"/>
              <w:ind w:right="79"/>
              <w:rPr>
                <w:sz w:val="19"/>
              </w:rPr>
            </w:pPr>
            <w:r>
              <w:rPr>
                <w:sz w:val="19"/>
              </w:rPr>
              <w:t>100.00</w:t>
            </w:r>
          </w:p>
        </w:tc>
      </w:tr>
    </w:tbl>
    <w:p>
      <w:pPr>
        <w:spacing w:before="0"/>
        <w:ind w:left="152" w:right="1317" w:firstLine="0"/>
        <w:jc w:val="left"/>
        <w:rPr>
          <w:sz w:val="16"/>
        </w:rPr>
      </w:pPr>
      <w:r>
        <w:rPr>
          <w:sz w:val="16"/>
        </w:rPr>
        <w:t>Fuente: elaboración propia con base en Encuesta Nacional de Ocupación Y Empleo 2013, Módulo de Trabajo Infantil, INEGI, 2013.</w:t>
      </w:r>
    </w:p>
    <w:p>
      <w:pPr>
        <w:pStyle w:val="BodyText"/>
        <w:spacing w:before="6"/>
        <w:rPr>
          <w:sz w:val="14"/>
        </w:rPr>
      </w:pPr>
    </w:p>
    <w:p>
      <w:pPr>
        <w:spacing w:before="82"/>
        <w:ind w:left="223" w:right="0" w:firstLine="0"/>
        <w:jc w:val="left"/>
        <w:rPr>
          <w:sz w:val="19"/>
        </w:rPr>
      </w:pPr>
      <w:r>
        <w:rPr>
          <w:w w:val="105"/>
          <w:sz w:val="19"/>
        </w:rPr>
        <w:t>Cuadro 8. Tasas específica de participación por sexo y grupos de edad</w:t>
      </w:r>
    </w:p>
    <w:p>
      <w:pPr>
        <w:pStyle w:val="BodyText"/>
        <w:spacing w:before="5"/>
        <w:rPr>
          <w:sz w:val="6"/>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5"/>
        <w:gridCol w:w="2471"/>
        <w:gridCol w:w="2005"/>
      </w:tblGrid>
      <w:tr>
        <w:trPr>
          <w:trHeight w:val="562" w:hRule="exact"/>
        </w:trPr>
        <w:tc>
          <w:tcPr>
            <w:tcW w:w="1405" w:type="dxa"/>
            <w:tcBorders>
              <w:left w:val="nil"/>
              <w:right w:val="nil"/>
            </w:tcBorders>
          </w:tcPr>
          <w:p>
            <w:pPr>
              <w:pStyle w:val="TableParagraph"/>
              <w:spacing w:before="4"/>
              <w:jc w:val="left"/>
              <w:rPr>
                <w:sz w:val="28"/>
              </w:rPr>
            </w:pPr>
          </w:p>
          <w:p>
            <w:pPr>
              <w:pStyle w:val="TableParagraph"/>
              <w:ind w:left="69"/>
              <w:jc w:val="left"/>
              <w:rPr>
                <w:sz w:val="19"/>
              </w:rPr>
            </w:pPr>
            <w:r>
              <w:rPr>
                <w:w w:val="105"/>
                <w:sz w:val="19"/>
              </w:rPr>
              <w:t>Edad</w:t>
            </w:r>
          </w:p>
        </w:tc>
        <w:tc>
          <w:tcPr>
            <w:tcW w:w="2471" w:type="dxa"/>
            <w:tcBorders>
              <w:left w:val="nil"/>
              <w:right w:val="nil"/>
            </w:tcBorders>
          </w:tcPr>
          <w:p>
            <w:pPr>
              <w:pStyle w:val="TableParagraph"/>
              <w:spacing w:line="252" w:lineRule="auto" w:before="96"/>
              <w:ind w:left="602" w:right="446" w:firstLine="788"/>
              <w:jc w:val="left"/>
              <w:rPr>
                <w:sz w:val="19"/>
              </w:rPr>
            </w:pPr>
            <w:r>
              <w:rPr>
                <w:w w:val="105"/>
                <w:sz w:val="19"/>
              </w:rPr>
              <w:t>Tasa de Participación (%)</w:t>
            </w:r>
          </w:p>
        </w:tc>
        <w:tc>
          <w:tcPr>
            <w:tcW w:w="2005" w:type="dxa"/>
            <w:tcBorders>
              <w:left w:val="nil"/>
              <w:right w:val="nil"/>
            </w:tcBorders>
          </w:tcPr>
          <w:p>
            <w:pPr>
              <w:pStyle w:val="TableParagraph"/>
              <w:spacing w:line="252" w:lineRule="auto" w:before="96"/>
              <w:ind w:left="463" w:right="91" w:firstLine="816"/>
              <w:jc w:val="left"/>
              <w:rPr>
                <w:sz w:val="19"/>
              </w:rPr>
            </w:pPr>
            <w:r>
              <w:rPr>
                <w:w w:val="105"/>
                <w:sz w:val="19"/>
              </w:rPr>
              <w:t>Tasa de Desocupación(%)</w:t>
            </w:r>
          </w:p>
        </w:tc>
      </w:tr>
      <w:tr>
        <w:trPr>
          <w:trHeight w:val="283" w:hRule="exact"/>
        </w:trPr>
        <w:tc>
          <w:tcPr>
            <w:tcW w:w="1405" w:type="dxa"/>
            <w:tcBorders>
              <w:left w:val="nil"/>
              <w:bottom w:val="nil"/>
              <w:right w:val="nil"/>
            </w:tcBorders>
          </w:tcPr>
          <w:p>
            <w:pPr>
              <w:pStyle w:val="TableParagraph"/>
              <w:spacing w:before="5"/>
              <w:ind w:left="69"/>
              <w:jc w:val="left"/>
              <w:rPr>
                <w:i/>
                <w:sz w:val="19"/>
              </w:rPr>
            </w:pPr>
            <w:r>
              <w:rPr>
                <w:i/>
                <w:w w:val="105"/>
                <w:sz w:val="19"/>
              </w:rPr>
              <w:t>Hombres</w:t>
            </w:r>
          </w:p>
        </w:tc>
        <w:tc>
          <w:tcPr>
            <w:tcW w:w="2471" w:type="dxa"/>
            <w:tcBorders>
              <w:left w:val="nil"/>
              <w:bottom w:val="nil"/>
              <w:right w:val="nil"/>
            </w:tcBorders>
          </w:tcPr>
          <w:p>
            <w:pPr>
              <w:pStyle w:val="TableParagraph"/>
              <w:spacing w:before="5"/>
              <w:ind w:right="461"/>
              <w:rPr>
                <w:sz w:val="19"/>
              </w:rPr>
            </w:pPr>
            <w:r>
              <w:rPr>
                <w:sz w:val="19"/>
              </w:rPr>
              <w:t>4.73</w:t>
            </w:r>
          </w:p>
        </w:tc>
        <w:tc>
          <w:tcPr>
            <w:tcW w:w="2005" w:type="dxa"/>
            <w:tcBorders>
              <w:left w:val="nil"/>
              <w:bottom w:val="nil"/>
              <w:right w:val="nil"/>
            </w:tcBorders>
          </w:tcPr>
          <w:p>
            <w:pPr/>
          </w:p>
        </w:tc>
      </w:tr>
      <w:tr>
        <w:trPr>
          <w:trHeight w:val="307" w:hRule="exact"/>
        </w:trPr>
        <w:tc>
          <w:tcPr>
            <w:tcW w:w="1405" w:type="dxa"/>
            <w:tcBorders>
              <w:top w:val="nil"/>
              <w:left w:val="nil"/>
              <w:bottom w:val="nil"/>
              <w:right w:val="nil"/>
            </w:tcBorders>
          </w:tcPr>
          <w:p>
            <w:pPr>
              <w:pStyle w:val="TableParagraph"/>
              <w:spacing w:before="38"/>
              <w:ind w:left="69"/>
              <w:jc w:val="left"/>
              <w:rPr>
                <w:sz w:val="19"/>
              </w:rPr>
            </w:pPr>
            <w:r>
              <w:rPr>
                <w:w w:val="103"/>
                <w:sz w:val="19"/>
              </w:rPr>
              <w:t>5</w:t>
            </w:r>
          </w:p>
        </w:tc>
        <w:tc>
          <w:tcPr>
            <w:tcW w:w="2471" w:type="dxa"/>
            <w:tcBorders>
              <w:top w:val="nil"/>
              <w:left w:val="nil"/>
              <w:bottom w:val="nil"/>
              <w:right w:val="nil"/>
            </w:tcBorders>
          </w:tcPr>
          <w:p>
            <w:pPr>
              <w:pStyle w:val="TableParagraph"/>
              <w:spacing w:before="38"/>
              <w:ind w:right="461"/>
              <w:rPr>
                <w:sz w:val="19"/>
              </w:rPr>
            </w:pPr>
            <w:r>
              <w:rPr>
                <w:sz w:val="19"/>
              </w:rPr>
              <w:t>0.51</w:t>
            </w:r>
          </w:p>
        </w:tc>
        <w:tc>
          <w:tcPr>
            <w:tcW w:w="2005" w:type="dxa"/>
            <w:tcBorders>
              <w:top w:val="nil"/>
              <w:left w:val="nil"/>
              <w:bottom w:val="nil"/>
              <w:right w:val="nil"/>
            </w:tcBorders>
          </w:tcPr>
          <w:p>
            <w:pPr>
              <w:pStyle w:val="TableParagraph"/>
              <w:spacing w:before="38"/>
              <w:ind w:right="107"/>
              <w:rPr>
                <w:sz w:val="19"/>
              </w:rPr>
            </w:pPr>
            <w:r>
              <w:rPr>
                <w:sz w:val="19"/>
              </w:rPr>
              <w:t>0.00</w:t>
            </w:r>
          </w:p>
        </w:tc>
      </w:tr>
      <w:tr>
        <w:trPr>
          <w:trHeight w:val="300" w:hRule="exact"/>
        </w:trPr>
        <w:tc>
          <w:tcPr>
            <w:tcW w:w="1405" w:type="dxa"/>
            <w:tcBorders>
              <w:top w:val="nil"/>
              <w:left w:val="nil"/>
              <w:bottom w:val="nil"/>
              <w:right w:val="nil"/>
            </w:tcBorders>
          </w:tcPr>
          <w:p>
            <w:pPr>
              <w:pStyle w:val="TableParagraph"/>
              <w:spacing w:before="33"/>
              <w:ind w:left="69"/>
              <w:jc w:val="left"/>
              <w:rPr>
                <w:sz w:val="19"/>
              </w:rPr>
            </w:pPr>
            <w:r>
              <w:rPr>
                <w:w w:val="105"/>
                <w:sz w:val="19"/>
              </w:rPr>
              <w:t>6-7</w:t>
            </w:r>
          </w:p>
        </w:tc>
        <w:tc>
          <w:tcPr>
            <w:tcW w:w="2471" w:type="dxa"/>
            <w:tcBorders>
              <w:top w:val="nil"/>
              <w:left w:val="nil"/>
              <w:bottom w:val="nil"/>
              <w:right w:val="nil"/>
            </w:tcBorders>
          </w:tcPr>
          <w:p>
            <w:pPr>
              <w:pStyle w:val="TableParagraph"/>
              <w:spacing w:before="33"/>
              <w:ind w:right="461"/>
              <w:rPr>
                <w:sz w:val="19"/>
              </w:rPr>
            </w:pPr>
            <w:r>
              <w:rPr>
                <w:sz w:val="19"/>
              </w:rPr>
              <w:t>2.15</w:t>
            </w:r>
          </w:p>
        </w:tc>
        <w:tc>
          <w:tcPr>
            <w:tcW w:w="2005" w:type="dxa"/>
            <w:tcBorders>
              <w:top w:val="nil"/>
              <w:left w:val="nil"/>
              <w:bottom w:val="nil"/>
              <w:right w:val="nil"/>
            </w:tcBorders>
          </w:tcPr>
          <w:p>
            <w:pPr>
              <w:pStyle w:val="TableParagraph"/>
              <w:spacing w:before="33"/>
              <w:ind w:right="107"/>
              <w:rPr>
                <w:sz w:val="19"/>
              </w:rPr>
            </w:pPr>
            <w:r>
              <w:rPr>
                <w:sz w:val="19"/>
              </w:rPr>
              <w:t>0.94</w:t>
            </w:r>
          </w:p>
        </w:tc>
      </w:tr>
      <w:tr>
        <w:trPr>
          <w:trHeight w:val="300" w:hRule="exact"/>
        </w:trPr>
        <w:tc>
          <w:tcPr>
            <w:tcW w:w="1405" w:type="dxa"/>
            <w:tcBorders>
              <w:top w:val="nil"/>
              <w:left w:val="nil"/>
              <w:bottom w:val="nil"/>
              <w:right w:val="nil"/>
            </w:tcBorders>
          </w:tcPr>
          <w:p>
            <w:pPr>
              <w:pStyle w:val="TableParagraph"/>
              <w:spacing w:before="31"/>
              <w:ind w:left="69"/>
              <w:jc w:val="left"/>
              <w:rPr>
                <w:sz w:val="19"/>
              </w:rPr>
            </w:pPr>
            <w:r>
              <w:rPr>
                <w:w w:val="105"/>
                <w:sz w:val="19"/>
              </w:rPr>
              <w:t>8-9</w:t>
            </w:r>
          </w:p>
        </w:tc>
        <w:tc>
          <w:tcPr>
            <w:tcW w:w="2471" w:type="dxa"/>
            <w:tcBorders>
              <w:top w:val="nil"/>
              <w:left w:val="nil"/>
              <w:bottom w:val="nil"/>
              <w:right w:val="nil"/>
            </w:tcBorders>
          </w:tcPr>
          <w:p>
            <w:pPr>
              <w:pStyle w:val="TableParagraph"/>
              <w:spacing w:before="31"/>
              <w:ind w:right="461"/>
              <w:rPr>
                <w:sz w:val="19"/>
              </w:rPr>
            </w:pPr>
            <w:r>
              <w:rPr>
                <w:sz w:val="19"/>
              </w:rPr>
              <w:t>4.58</w:t>
            </w:r>
          </w:p>
        </w:tc>
        <w:tc>
          <w:tcPr>
            <w:tcW w:w="2005" w:type="dxa"/>
            <w:tcBorders>
              <w:top w:val="nil"/>
              <w:left w:val="nil"/>
              <w:bottom w:val="nil"/>
              <w:right w:val="nil"/>
            </w:tcBorders>
          </w:tcPr>
          <w:p>
            <w:pPr>
              <w:pStyle w:val="TableParagraph"/>
              <w:spacing w:before="31"/>
              <w:ind w:right="107"/>
              <w:rPr>
                <w:sz w:val="19"/>
              </w:rPr>
            </w:pPr>
            <w:r>
              <w:rPr>
                <w:sz w:val="19"/>
              </w:rPr>
              <w:t>0.56</w:t>
            </w:r>
          </w:p>
        </w:tc>
      </w:tr>
      <w:tr>
        <w:trPr>
          <w:trHeight w:val="300" w:hRule="exact"/>
        </w:trPr>
        <w:tc>
          <w:tcPr>
            <w:tcW w:w="1405" w:type="dxa"/>
            <w:tcBorders>
              <w:top w:val="nil"/>
              <w:left w:val="nil"/>
              <w:bottom w:val="nil"/>
              <w:right w:val="nil"/>
            </w:tcBorders>
          </w:tcPr>
          <w:p>
            <w:pPr>
              <w:pStyle w:val="TableParagraph"/>
              <w:spacing w:before="33"/>
              <w:ind w:left="69"/>
              <w:jc w:val="left"/>
              <w:rPr>
                <w:i/>
                <w:sz w:val="19"/>
              </w:rPr>
            </w:pPr>
            <w:r>
              <w:rPr>
                <w:i/>
                <w:w w:val="105"/>
                <w:sz w:val="19"/>
              </w:rPr>
              <w:t>10-11</w:t>
            </w:r>
          </w:p>
        </w:tc>
        <w:tc>
          <w:tcPr>
            <w:tcW w:w="2471" w:type="dxa"/>
            <w:tcBorders>
              <w:top w:val="nil"/>
              <w:left w:val="nil"/>
              <w:bottom w:val="nil"/>
              <w:right w:val="nil"/>
            </w:tcBorders>
          </w:tcPr>
          <w:p>
            <w:pPr>
              <w:pStyle w:val="TableParagraph"/>
              <w:spacing w:before="33"/>
              <w:ind w:right="461"/>
              <w:rPr>
                <w:i/>
                <w:sz w:val="19"/>
              </w:rPr>
            </w:pPr>
            <w:r>
              <w:rPr>
                <w:i/>
                <w:sz w:val="19"/>
              </w:rPr>
              <w:t>9.56</w:t>
            </w:r>
          </w:p>
        </w:tc>
        <w:tc>
          <w:tcPr>
            <w:tcW w:w="2005" w:type="dxa"/>
            <w:tcBorders>
              <w:top w:val="nil"/>
              <w:left w:val="nil"/>
              <w:bottom w:val="nil"/>
              <w:right w:val="nil"/>
            </w:tcBorders>
          </w:tcPr>
          <w:p>
            <w:pPr>
              <w:pStyle w:val="TableParagraph"/>
              <w:spacing w:before="33"/>
              <w:ind w:right="107"/>
              <w:rPr>
                <w:i/>
                <w:sz w:val="19"/>
              </w:rPr>
            </w:pPr>
            <w:r>
              <w:rPr>
                <w:i/>
                <w:sz w:val="19"/>
              </w:rPr>
              <w:t>1.91</w:t>
            </w:r>
          </w:p>
        </w:tc>
      </w:tr>
      <w:tr>
        <w:trPr>
          <w:trHeight w:val="300" w:hRule="exact"/>
        </w:trPr>
        <w:tc>
          <w:tcPr>
            <w:tcW w:w="1405" w:type="dxa"/>
            <w:tcBorders>
              <w:top w:val="nil"/>
              <w:left w:val="nil"/>
              <w:bottom w:val="nil"/>
              <w:right w:val="nil"/>
            </w:tcBorders>
          </w:tcPr>
          <w:p>
            <w:pPr>
              <w:pStyle w:val="TableParagraph"/>
              <w:spacing w:before="31"/>
              <w:ind w:left="69"/>
              <w:jc w:val="left"/>
              <w:rPr>
                <w:i/>
                <w:sz w:val="19"/>
              </w:rPr>
            </w:pPr>
            <w:r>
              <w:rPr>
                <w:i/>
                <w:w w:val="105"/>
                <w:sz w:val="19"/>
              </w:rPr>
              <w:t>Mujeres</w:t>
            </w:r>
          </w:p>
        </w:tc>
        <w:tc>
          <w:tcPr>
            <w:tcW w:w="2471" w:type="dxa"/>
            <w:tcBorders>
              <w:top w:val="nil"/>
              <w:left w:val="nil"/>
              <w:bottom w:val="nil"/>
              <w:right w:val="nil"/>
            </w:tcBorders>
          </w:tcPr>
          <w:p>
            <w:pPr>
              <w:pStyle w:val="TableParagraph"/>
              <w:spacing w:before="31"/>
              <w:ind w:right="462"/>
              <w:rPr>
                <w:sz w:val="19"/>
              </w:rPr>
            </w:pPr>
            <w:r>
              <w:rPr>
                <w:sz w:val="19"/>
              </w:rPr>
              <w:t>2.5%</w:t>
            </w:r>
          </w:p>
        </w:tc>
        <w:tc>
          <w:tcPr>
            <w:tcW w:w="2005" w:type="dxa"/>
            <w:tcBorders>
              <w:top w:val="nil"/>
              <w:left w:val="nil"/>
              <w:bottom w:val="nil"/>
              <w:right w:val="nil"/>
            </w:tcBorders>
          </w:tcPr>
          <w:p>
            <w:pPr/>
          </w:p>
        </w:tc>
      </w:tr>
      <w:tr>
        <w:trPr>
          <w:trHeight w:val="300" w:hRule="exact"/>
        </w:trPr>
        <w:tc>
          <w:tcPr>
            <w:tcW w:w="1405" w:type="dxa"/>
            <w:tcBorders>
              <w:top w:val="nil"/>
              <w:left w:val="nil"/>
              <w:bottom w:val="nil"/>
              <w:right w:val="nil"/>
            </w:tcBorders>
          </w:tcPr>
          <w:p>
            <w:pPr>
              <w:pStyle w:val="TableParagraph"/>
              <w:spacing w:before="33"/>
              <w:ind w:left="69"/>
              <w:jc w:val="left"/>
              <w:rPr>
                <w:sz w:val="19"/>
              </w:rPr>
            </w:pPr>
            <w:r>
              <w:rPr>
                <w:w w:val="103"/>
                <w:sz w:val="19"/>
              </w:rPr>
              <w:t>5</w:t>
            </w:r>
          </w:p>
        </w:tc>
        <w:tc>
          <w:tcPr>
            <w:tcW w:w="2471" w:type="dxa"/>
            <w:tcBorders>
              <w:top w:val="nil"/>
              <w:left w:val="nil"/>
              <w:bottom w:val="nil"/>
              <w:right w:val="nil"/>
            </w:tcBorders>
          </w:tcPr>
          <w:p>
            <w:pPr>
              <w:pStyle w:val="TableParagraph"/>
              <w:spacing w:before="33"/>
              <w:ind w:right="461"/>
              <w:rPr>
                <w:sz w:val="19"/>
              </w:rPr>
            </w:pPr>
            <w:r>
              <w:rPr>
                <w:sz w:val="19"/>
              </w:rPr>
              <w:t>0.43</w:t>
            </w:r>
          </w:p>
        </w:tc>
        <w:tc>
          <w:tcPr>
            <w:tcW w:w="2005" w:type="dxa"/>
            <w:tcBorders>
              <w:top w:val="nil"/>
              <w:left w:val="nil"/>
              <w:bottom w:val="nil"/>
              <w:right w:val="nil"/>
            </w:tcBorders>
          </w:tcPr>
          <w:p>
            <w:pPr>
              <w:pStyle w:val="TableParagraph"/>
              <w:spacing w:before="33"/>
              <w:ind w:right="107"/>
              <w:rPr>
                <w:sz w:val="19"/>
              </w:rPr>
            </w:pPr>
            <w:r>
              <w:rPr>
                <w:sz w:val="19"/>
              </w:rPr>
              <w:t>0.00</w:t>
            </w:r>
          </w:p>
        </w:tc>
      </w:tr>
      <w:tr>
        <w:trPr>
          <w:trHeight w:val="300" w:hRule="exact"/>
        </w:trPr>
        <w:tc>
          <w:tcPr>
            <w:tcW w:w="1405" w:type="dxa"/>
            <w:tcBorders>
              <w:top w:val="nil"/>
              <w:left w:val="nil"/>
              <w:bottom w:val="nil"/>
              <w:right w:val="nil"/>
            </w:tcBorders>
          </w:tcPr>
          <w:p>
            <w:pPr>
              <w:pStyle w:val="TableParagraph"/>
              <w:spacing w:before="31"/>
              <w:ind w:left="69"/>
              <w:jc w:val="left"/>
              <w:rPr>
                <w:sz w:val="19"/>
              </w:rPr>
            </w:pPr>
            <w:r>
              <w:rPr>
                <w:w w:val="105"/>
                <w:sz w:val="19"/>
              </w:rPr>
              <w:t>6-7</w:t>
            </w:r>
          </w:p>
        </w:tc>
        <w:tc>
          <w:tcPr>
            <w:tcW w:w="2471" w:type="dxa"/>
            <w:tcBorders>
              <w:top w:val="nil"/>
              <w:left w:val="nil"/>
              <w:bottom w:val="nil"/>
              <w:right w:val="nil"/>
            </w:tcBorders>
          </w:tcPr>
          <w:p>
            <w:pPr>
              <w:pStyle w:val="TableParagraph"/>
              <w:spacing w:before="31"/>
              <w:ind w:right="461"/>
              <w:rPr>
                <w:sz w:val="19"/>
              </w:rPr>
            </w:pPr>
            <w:r>
              <w:rPr>
                <w:sz w:val="19"/>
              </w:rPr>
              <w:t>0.76</w:t>
            </w:r>
          </w:p>
        </w:tc>
        <w:tc>
          <w:tcPr>
            <w:tcW w:w="2005" w:type="dxa"/>
            <w:tcBorders>
              <w:top w:val="nil"/>
              <w:left w:val="nil"/>
              <w:bottom w:val="nil"/>
              <w:right w:val="nil"/>
            </w:tcBorders>
          </w:tcPr>
          <w:p>
            <w:pPr>
              <w:pStyle w:val="TableParagraph"/>
              <w:spacing w:before="31"/>
              <w:ind w:right="107"/>
              <w:rPr>
                <w:sz w:val="19"/>
              </w:rPr>
            </w:pPr>
            <w:r>
              <w:rPr>
                <w:sz w:val="19"/>
              </w:rPr>
              <w:t>0.00</w:t>
            </w:r>
          </w:p>
        </w:tc>
      </w:tr>
      <w:tr>
        <w:trPr>
          <w:trHeight w:val="300" w:hRule="exact"/>
        </w:trPr>
        <w:tc>
          <w:tcPr>
            <w:tcW w:w="1405" w:type="dxa"/>
            <w:tcBorders>
              <w:top w:val="nil"/>
              <w:left w:val="nil"/>
              <w:bottom w:val="nil"/>
              <w:right w:val="nil"/>
            </w:tcBorders>
          </w:tcPr>
          <w:p>
            <w:pPr>
              <w:pStyle w:val="TableParagraph"/>
              <w:spacing w:before="33"/>
              <w:ind w:left="69"/>
              <w:jc w:val="left"/>
              <w:rPr>
                <w:sz w:val="19"/>
              </w:rPr>
            </w:pPr>
            <w:r>
              <w:rPr>
                <w:w w:val="105"/>
                <w:sz w:val="19"/>
              </w:rPr>
              <w:t>8-9</w:t>
            </w:r>
          </w:p>
        </w:tc>
        <w:tc>
          <w:tcPr>
            <w:tcW w:w="2471" w:type="dxa"/>
            <w:tcBorders>
              <w:top w:val="nil"/>
              <w:left w:val="nil"/>
              <w:bottom w:val="nil"/>
              <w:right w:val="nil"/>
            </w:tcBorders>
          </w:tcPr>
          <w:p>
            <w:pPr>
              <w:pStyle w:val="TableParagraph"/>
              <w:spacing w:before="33"/>
              <w:ind w:right="461"/>
              <w:rPr>
                <w:sz w:val="19"/>
              </w:rPr>
            </w:pPr>
            <w:r>
              <w:rPr>
                <w:sz w:val="19"/>
              </w:rPr>
              <w:t>2.47</w:t>
            </w:r>
          </w:p>
        </w:tc>
        <w:tc>
          <w:tcPr>
            <w:tcW w:w="2005" w:type="dxa"/>
            <w:tcBorders>
              <w:top w:val="nil"/>
              <w:left w:val="nil"/>
              <w:bottom w:val="nil"/>
              <w:right w:val="nil"/>
            </w:tcBorders>
          </w:tcPr>
          <w:p>
            <w:pPr>
              <w:pStyle w:val="TableParagraph"/>
              <w:spacing w:before="33"/>
              <w:ind w:right="107"/>
              <w:rPr>
                <w:sz w:val="19"/>
              </w:rPr>
            </w:pPr>
            <w:r>
              <w:rPr>
                <w:sz w:val="19"/>
              </w:rPr>
              <w:t>0.32</w:t>
            </w:r>
          </w:p>
        </w:tc>
      </w:tr>
      <w:tr>
        <w:trPr>
          <w:trHeight w:val="334" w:hRule="exact"/>
        </w:trPr>
        <w:tc>
          <w:tcPr>
            <w:tcW w:w="1405" w:type="dxa"/>
            <w:tcBorders>
              <w:top w:val="nil"/>
              <w:left w:val="nil"/>
              <w:right w:val="nil"/>
            </w:tcBorders>
          </w:tcPr>
          <w:p>
            <w:pPr>
              <w:pStyle w:val="TableParagraph"/>
              <w:spacing w:before="31"/>
              <w:ind w:left="69"/>
              <w:jc w:val="left"/>
              <w:rPr>
                <w:sz w:val="19"/>
              </w:rPr>
            </w:pPr>
            <w:r>
              <w:rPr>
                <w:w w:val="105"/>
                <w:sz w:val="19"/>
              </w:rPr>
              <w:t>10-11</w:t>
            </w:r>
          </w:p>
        </w:tc>
        <w:tc>
          <w:tcPr>
            <w:tcW w:w="2471" w:type="dxa"/>
            <w:tcBorders>
              <w:top w:val="nil"/>
              <w:left w:val="nil"/>
              <w:right w:val="nil"/>
            </w:tcBorders>
          </w:tcPr>
          <w:p>
            <w:pPr>
              <w:pStyle w:val="TableParagraph"/>
              <w:spacing w:before="31"/>
              <w:ind w:right="461"/>
              <w:rPr>
                <w:sz w:val="19"/>
              </w:rPr>
            </w:pPr>
            <w:r>
              <w:rPr>
                <w:sz w:val="19"/>
              </w:rPr>
              <w:t>5.51</w:t>
            </w:r>
          </w:p>
        </w:tc>
        <w:tc>
          <w:tcPr>
            <w:tcW w:w="2005" w:type="dxa"/>
            <w:tcBorders>
              <w:top w:val="nil"/>
              <w:left w:val="nil"/>
              <w:right w:val="nil"/>
            </w:tcBorders>
          </w:tcPr>
          <w:p>
            <w:pPr>
              <w:pStyle w:val="TableParagraph"/>
              <w:spacing w:before="31"/>
              <w:ind w:right="107"/>
              <w:rPr>
                <w:sz w:val="19"/>
              </w:rPr>
            </w:pPr>
            <w:r>
              <w:rPr>
                <w:sz w:val="19"/>
              </w:rPr>
              <w:t>2.00</w:t>
            </w:r>
          </w:p>
        </w:tc>
      </w:tr>
    </w:tbl>
    <w:p>
      <w:pPr>
        <w:spacing w:line="237" w:lineRule="auto" w:before="0"/>
        <w:ind w:left="223" w:right="1126" w:firstLine="0"/>
        <w:jc w:val="left"/>
        <w:rPr>
          <w:sz w:val="16"/>
        </w:rPr>
      </w:pPr>
      <w:r>
        <w:rPr>
          <w:sz w:val="16"/>
        </w:rPr>
        <w:t>Fuente: elaboración propia con base en Encuesta Nacional de Ocupación y Empleo 2013, Módulo de  Trabajo Infantil, INEGI, 2013.</w:t>
      </w:r>
    </w:p>
    <w:p>
      <w:pPr>
        <w:pStyle w:val="BodyText"/>
        <w:spacing w:before="7"/>
        <w:rPr>
          <w:sz w:val="12"/>
        </w:rPr>
      </w:pPr>
    </w:p>
    <w:p>
      <w:pPr>
        <w:pStyle w:val="BodyText"/>
        <w:spacing w:line="249" w:lineRule="auto"/>
        <w:ind w:left="153" w:right="208" w:firstLine="283"/>
        <w:jc w:val="both"/>
      </w:pPr>
      <w:r>
        <w:rPr>
          <w:color w:val="231F20"/>
        </w:rPr>
        <w:t>Los datos referentes a la desocupación señalan que la mayor tasa es- pecífica de desocupación se registra en el grupo de 10-11 años de edad para</w:t>
      </w:r>
      <w:r>
        <w:rPr>
          <w:color w:val="231F20"/>
          <w:spacing w:val="-6"/>
        </w:rPr>
        <w:t> </w:t>
      </w:r>
      <w:r>
        <w:rPr>
          <w:color w:val="231F20"/>
        </w:rPr>
        <w:t>niños</w:t>
      </w:r>
      <w:r>
        <w:rPr>
          <w:color w:val="231F20"/>
          <w:spacing w:val="-6"/>
        </w:rPr>
        <w:t> </w:t>
      </w:r>
      <w:r>
        <w:rPr>
          <w:color w:val="231F20"/>
        </w:rPr>
        <w:t>y</w:t>
      </w:r>
      <w:r>
        <w:rPr>
          <w:color w:val="231F20"/>
          <w:spacing w:val="-6"/>
        </w:rPr>
        <w:t> </w:t>
      </w:r>
      <w:r>
        <w:rPr>
          <w:color w:val="231F20"/>
        </w:rPr>
        <w:t>niñas,</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es</w:t>
      </w:r>
      <w:r>
        <w:rPr>
          <w:color w:val="231F20"/>
          <w:spacing w:val="-6"/>
        </w:rPr>
        <w:t> </w:t>
      </w:r>
      <w:r>
        <w:rPr>
          <w:color w:val="231F20"/>
        </w:rPr>
        <w:t>de</w:t>
      </w:r>
      <w:r>
        <w:rPr>
          <w:color w:val="231F20"/>
          <w:spacing w:val="-6"/>
        </w:rPr>
        <w:t> </w:t>
      </w:r>
      <w:r>
        <w:rPr>
          <w:color w:val="231F20"/>
        </w:rPr>
        <w:t>dos</w:t>
      </w:r>
      <w:r>
        <w:rPr>
          <w:color w:val="231F20"/>
          <w:spacing w:val="-6"/>
        </w:rPr>
        <w:t> </w:t>
      </w:r>
      <w:r>
        <w:rPr>
          <w:color w:val="231F20"/>
        </w:rPr>
        <w:t>por</w:t>
      </w:r>
      <w:r>
        <w:rPr>
          <w:color w:val="231F20"/>
          <w:spacing w:val="-6"/>
        </w:rPr>
        <w:t> </w:t>
      </w:r>
      <w:r>
        <w:rPr>
          <w:color w:val="231F20"/>
        </w:rPr>
        <w:t>ciento.</w:t>
      </w:r>
      <w:r>
        <w:rPr>
          <w:color w:val="231F20"/>
          <w:spacing w:val="-13"/>
        </w:rPr>
        <w:t> </w:t>
      </w:r>
      <w:r>
        <w:rPr>
          <w:color w:val="231F20"/>
        </w:rPr>
        <w:t>Y</w:t>
      </w:r>
      <w:r>
        <w:rPr>
          <w:color w:val="231F20"/>
          <w:spacing w:val="-13"/>
        </w:rPr>
        <w:t> </w:t>
      </w:r>
      <w:r>
        <w:rPr>
          <w:color w:val="231F20"/>
        </w:rPr>
        <w:t>un</w:t>
      </w:r>
      <w:r>
        <w:rPr>
          <w:color w:val="231F20"/>
          <w:spacing w:val="-6"/>
        </w:rPr>
        <w:t> </w:t>
      </w:r>
      <w:r>
        <w:rPr>
          <w:color w:val="231F20"/>
        </w:rPr>
        <w:t>dato</w:t>
      </w:r>
      <w:r>
        <w:rPr>
          <w:color w:val="231F20"/>
          <w:spacing w:val="-6"/>
        </w:rPr>
        <w:t> </w:t>
      </w:r>
      <w:r>
        <w:rPr>
          <w:color w:val="231F20"/>
        </w:rPr>
        <w:t>significativo</w:t>
      </w:r>
      <w:r>
        <w:rPr>
          <w:color w:val="231F20"/>
          <w:spacing w:val="-6"/>
        </w:rPr>
        <w:t> </w:t>
      </w:r>
      <w:r>
        <w:rPr>
          <w:color w:val="231F20"/>
        </w:rPr>
        <w:t>es la tasa especifica de desempleo del grupo de seis a siete años de edad de varones,</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muestra</w:t>
      </w:r>
      <w:r>
        <w:rPr>
          <w:color w:val="231F20"/>
          <w:spacing w:val="-8"/>
        </w:rPr>
        <w:t> </w:t>
      </w:r>
      <w:r>
        <w:rPr>
          <w:color w:val="231F20"/>
        </w:rPr>
        <w:t>una</w:t>
      </w:r>
      <w:r>
        <w:rPr>
          <w:color w:val="231F20"/>
          <w:spacing w:val="-7"/>
        </w:rPr>
        <w:t> </w:t>
      </w:r>
      <w:r>
        <w:rPr>
          <w:color w:val="231F20"/>
        </w:rPr>
        <w:t>tasa</w:t>
      </w:r>
      <w:r>
        <w:rPr>
          <w:color w:val="231F20"/>
          <w:spacing w:val="-7"/>
        </w:rPr>
        <w:t> </w:t>
      </w:r>
      <w:r>
        <w:rPr>
          <w:color w:val="231F20"/>
        </w:rPr>
        <w:t>de</w:t>
      </w:r>
      <w:r>
        <w:rPr>
          <w:color w:val="231F20"/>
          <w:spacing w:val="-7"/>
        </w:rPr>
        <w:t> </w:t>
      </w:r>
      <w:r>
        <w:rPr>
          <w:color w:val="231F20"/>
        </w:rPr>
        <w:t>0.94</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mayor</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tasa</w:t>
      </w:r>
      <w:r>
        <w:rPr>
          <w:color w:val="231F20"/>
          <w:spacing w:val="-7"/>
        </w:rPr>
        <w:t> </w:t>
      </w:r>
      <w:r>
        <w:rPr>
          <w:color w:val="231F20"/>
        </w:rPr>
        <w:t>del grupo</w:t>
      </w:r>
      <w:r>
        <w:rPr>
          <w:color w:val="231F20"/>
          <w:spacing w:val="-3"/>
        </w:rPr>
        <w:t> </w:t>
      </w:r>
      <w:r>
        <w:rPr>
          <w:color w:val="231F20"/>
        </w:rPr>
        <w:t>de</w:t>
      </w:r>
      <w:r>
        <w:rPr>
          <w:color w:val="231F20"/>
          <w:spacing w:val="-3"/>
        </w:rPr>
        <w:t> </w:t>
      </w:r>
      <w:r>
        <w:rPr>
          <w:color w:val="231F20"/>
        </w:rPr>
        <w:t>ocho</w:t>
      </w:r>
      <w:r>
        <w:rPr>
          <w:color w:val="231F20"/>
          <w:spacing w:val="-3"/>
        </w:rPr>
        <w:t> </w:t>
      </w:r>
      <w:r>
        <w:rPr>
          <w:color w:val="231F20"/>
        </w:rPr>
        <w:t>a</w:t>
      </w:r>
      <w:r>
        <w:rPr>
          <w:color w:val="231F20"/>
          <w:spacing w:val="-3"/>
        </w:rPr>
        <w:t> </w:t>
      </w:r>
      <w:r>
        <w:rPr>
          <w:color w:val="231F20"/>
        </w:rPr>
        <w:t>nueve</w:t>
      </w:r>
      <w:r>
        <w:rPr>
          <w:color w:val="231F20"/>
          <w:spacing w:val="-3"/>
        </w:rPr>
        <w:t> </w:t>
      </w:r>
      <w:r>
        <w:rPr>
          <w:color w:val="231F20"/>
        </w:rPr>
        <w:t>años.</w:t>
      </w:r>
      <w:r>
        <w:rPr>
          <w:color w:val="231F20"/>
          <w:spacing w:val="-3"/>
        </w:rPr>
        <w:t> </w:t>
      </w:r>
      <w:r>
        <w:rPr>
          <w:color w:val="231F20"/>
        </w:rPr>
        <w:t>La</w:t>
      </w:r>
      <w:r>
        <w:rPr>
          <w:color w:val="231F20"/>
          <w:spacing w:val="-3"/>
        </w:rPr>
        <w:t> </w:t>
      </w:r>
      <w:r>
        <w:rPr>
          <w:color w:val="231F20"/>
        </w:rPr>
        <w:t>tasa</w:t>
      </w:r>
      <w:r>
        <w:rPr>
          <w:color w:val="231F20"/>
          <w:spacing w:val="-3"/>
        </w:rPr>
        <w:t> </w:t>
      </w:r>
      <w:r>
        <w:rPr>
          <w:color w:val="231F20"/>
        </w:rPr>
        <w:t>de</w:t>
      </w:r>
      <w:r>
        <w:rPr>
          <w:color w:val="231F20"/>
          <w:spacing w:val="-3"/>
        </w:rPr>
        <w:t> </w:t>
      </w:r>
      <w:r>
        <w:rPr>
          <w:color w:val="231F20"/>
        </w:rPr>
        <w:t>desocupación</w:t>
      </w:r>
      <w:r>
        <w:rPr>
          <w:color w:val="231F20"/>
          <w:spacing w:val="-3"/>
        </w:rPr>
        <w:t> </w:t>
      </w:r>
      <w:r>
        <w:rPr>
          <w:color w:val="231F20"/>
        </w:rPr>
        <w:t>no</w:t>
      </w:r>
      <w:r>
        <w:rPr>
          <w:color w:val="231F20"/>
          <w:spacing w:val="-3"/>
        </w:rPr>
        <w:t> </w:t>
      </w:r>
      <w:r>
        <w:rPr>
          <w:color w:val="231F20"/>
        </w:rPr>
        <w:t>muestra</w:t>
      </w:r>
      <w:r>
        <w:rPr>
          <w:color w:val="231F20"/>
          <w:spacing w:val="-4"/>
        </w:rPr>
        <w:t> </w:t>
      </w:r>
      <w:r>
        <w:rPr>
          <w:color w:val="231F20"/>
        </w:rPr>
        <w:t>ningún caso para la edad de cinco años tanto para varones como para</w:t>
      </w:r>
      <w:r>
        <w:rPr>
          <w:color w:val="231F20"/>
          <w:spacing w:val="-7"/>
        </w:rPr>
        <w:t> </w:t>
      </w:r>
      <w:r>
        <w:rPr>
          <w:color w:val="231F20"/>
        </w:rPr>
        <w:t>niñas.</w:t>
      </w:r>
    </w:p>
    <w:p>
      <w:pPr>
        <w:pStyle w:val="BodyText"/>
        <w:spacing w:line="249" w:lineRule="auto" w:before="1"/>
        <w:ind w:left="153" w:right="208" w:firstLine="283"/>
        <w:jc w:val="both"/>
      </w:pPr>
      <w:r>
        <w:rPr>
          <w:color w:val="231F20"/>
        </w:rPr>
        <w:t>Como bien se puede observar, existen mayores niveles de participa- ción laboral entre los varones que entre las niñas y los mayores niveles de desempleo también se presentan en los varones. Nuevamente las  es-</w:t>
      </w:r>
    </w:p>
    <w:p>
      <w:pPr>
        <w:spacing w:after="0" w:line="249" w:lineRule="auto"/>
        <w:jc w:val="both"/>
        <w:sectPr>
          <w:footerReference w:type="default" r:id="rId293"/>
          <w:pgSz w:w="7770" w:h="11740"/>
          <w:pgMar w:footer="474" w:header="0" w:top="980" w:bottom="660" w:left="980" w:right="640"/>
          <w:pgNumType w:start="291"/>
        </w:sectPr>
      </w:pPr>
    </w:p>
    <w:p>
      <w:pPr>
        <w:pStyle w:val="BodyText"/>
        <w:spacing w:line="249" w:lineRule="auto" w:before="60"/>
        <w:ind w:left="110" w:right="111"/>
        <w:jc w:val="both"/>
      </w:pPr>
      <w:r>
        <w:rPr>
          <w:color w:val="231F20"/>
        </w:rPr>
        <w:t>tadísticas subrayan que a mayor edad las tasas de participación van en aumento. Y esto se debe principalmente a dos razones que ya se han mencionado líneas atrás, la primera es que al tener una mayor edad, los niños y niñas tiene más capacidad física para realizar cualquier tipo de actividades</w:t>
      </w:r>
      <w:r>
        <w:rPr>
          <w:color w:val="231F20"/>
          <w:spacing w:val="-6"/>
        </w:rPr>
        <w:t> </w:t>
      </w:r>
      <w:r>
        <w:rPr>
          <w:color w:val="231F20"/>
        </w:rPr>
        <w:t>labores,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segunda,</w:t>
      </w:r>
      <w:r>
        <w:rPr>
          <w:color w:val="231F20"/>
          <w:spacing w:val="-5"/>
        </w:rPr>
        <w:t> </w:t>
      </w:r>
      <w:r>
        <w:rPr>
          <w:color w:val="231F20"/>
        </w:rPr>
        <w:t>los</w:t>
      </w:r>
      <w:r>
        <w:rPr>
          <w:color w:val="231F20"/>
          <w:spacing w:val="-6"/>
        </w:rPr>
        <w:t> </w:t>
      </w:r>
      <w:r>
        <w:rPr>
          <w:color w:val="231F20"/>
        </w:rPr>
        <w:t>niños</w:t>
      </w:r>
      <w:r>
        <w:rPr>
          <w:color w:val="231F20"/>
          <w:spacing w:val="-6"/>
        </w:rPr>
        <w:t> </w:t>
      </w:r>
      <w:r>
        <w:rPr>
          <w:color w:val="231F20"/>
        </w:rPr>
        <w:t>son</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salen</w:t>
      </w:r>
      <w:r>
        <w:rPr>
          <w:color w:val="231F20"/>
          <w:spacing w:val="-5"/>
        </w:rPr>
        <w:t> </w:t>
      </w:r>
      <w:r>
        <w:rPr>
          <w:color w:val="231F20"/>
        </w:rPr>
        <w:t>en</w:t>
      </w:r>
      <w:r>
        <w:rPr>
          <w:color w:val="231F20"/>
          <w:spacing w:val="-6"/>
        </w:rPr>
        <w:t> </w:t>
      </w:r>
      <w:r>
        <w:rPr>
          <w:color w:val="231F20"/>
        </w:rPr>
        <w:t>busca</w:t>
      </w:r>
      <w:r>
        <w:rPr>
          <w:color w:val="231F20"/>
          <w:spacing w:val="-6"/>
        </w:rPr>
        <w:t> </w:t>
      </w:r>
      <w:r>
        <w:rPr>
          <w:color w:val="231F20"/>
        </w:rPr>
        <w:t>de trabajo remunerado y las niñas en su mayoría desempeñan actividades domésticas, tal como se señala en otros</w:t>
      </w:r>
      <w:r>
        <w:rPr>
          <w:color w:val="231F20"/>
          <w:spacing w:val="-9"/>
        </w:rPr>
        <w:t> </w:t>
      </w:r>
      <w:r>
        <w:rPr>
          <w:color w:val="231F20"/>
        </w:rPr>
        <w:t>trabajos.</w:t>
      </w:r>
    </w:p>
    <w:p>
      <w:pPr>
        <w:pStyle w:val="Heading4"/>
        <w:ind w:left="110"/>
      </w:pPr>
      <w:r>
        <w:rPr>
          <w:w w:val="75"/>
        </w:rPr>
        <w:t>Condición de asistencia escolar de los ocupados</w:t>
      </w:r>
    </w:p>
    <w:p>
      <w:pPr>
        <w:pStyle w:val="BodyText"/>
        <w:spacing w:line="249" w:lineRule="auto" w:before="171"/>
        <w:ind w:left="110" w:right="111"/>
        <w:jc w:val="both"/>
      </w:pPr>
      <w:r>
        <w:rPr>
          <w:color w:val="231F20"/>
        </w:rPr>
        <w:t>Los estudios elaborados por Post (2003) y Siaens y </w:t>
      </w:r>
      <w:r>
        <w:rPr>
          <w:color w:val="231F20"/>
          <w:spacing w:val="-4"/>
        </w:rPr>
        <w:t>Wodon </w:t>
      </w:r>
      <w:r>
        <w:rPr>
          <w:color w:val="231F20"/>
        </w:rPr>
        <w:t>(2006) seña- lan que la asistencia escolar está fuertemente relacionada con el trabajo infantil,</w:t>
      </w:r>
      <w:r>
        <w:rPr>
          <w:color w:val="231F20"/>
          <w:spacing w:val="-9"/>
        </w:rPr>
        <w:t> </w:t>
      </w:r>
      <w:r>
        <w:rPr>
          <w:color w:val="231F20"/>
        </w:rPr>
        <w:t>por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trabajo</w:t>
      </w:r>
      <w:r>
        <w:rPr>
          <w:color w:val="231F20"/>
          <w:spacing w:val="-9"/>
        </w:rPr>
        <w:t> </w:t>
      </w:r>
      <w:r>
        <w:rPr>
          <w:color w:val="231F20"/>
        </w:rPr>
        <w:t>infantil</w:t>
      </w:r>
      <w:r>
        <w:rPr>
          <w:color w:val="231F20"/>
          <w:spacing w:val="-9"/>
        </w:rPr>
        <w:t> </w:t>
      </w:r>
      <w:r>
        <w:rPr>
          <w:color w:val="231F20"/>
        </w:rPr>
        <w:t>tiende</w:t>
      </w:r>
      <w:r>
        <w:rPr>
          <w:color w:val="231F20"/>
          <w:spacing w:val="-9"/>
        </w:rPr>
        <w:t> </w:t>
      </w:r>
      <w:r>
        <w:rPr>
          <w:color w:val="231F20"/>
        </w:rPr>
        <w:t>a</w:t>
      </w:r>
      <w:r>
        <w:rPr>
          <w:color w:val="231F20"/>
          <w:spacing w:val="-8"/>
        </w:rPr>
        <w:t> </w:t>
      </w:r>
      <w:r>
        <w:rPr>
          <w:color w:val="231F20"/>
        </w:rPr>
        <w:t>disminuir</w:t>
      </w:r>
      <w:r>
        <w:rPr>
          <w:color w:val="231F20"/>
          <w:spacing w:val="-8"/>
        </w:rPr>
        <w:t> </w:t>
      </w:r>
      <w:r>
        <w:rPr>
          <w:color w:val="231F20"/>
        </w:rPr>
        <w:t>al</w:t>
      </w:r>
      <w:r>
        <w:rPr>
          <w:color w:val="231F20"/>
          <w:spacing w:val="-8"/>
        </w:rPr>
        <w:t> </w:t>
      </w:r>
      <w:r>
        <w:rPr>
          <w:color w:val="231F20"/>
        </w:rPr>
        <w:t>registrarse</w:t>
      </w:r>
      <w:r>
        <w:rPr>
          <w:color w:val="231F20"/>
          <w:spacing w:val="-8"/>
        </w:rPr>
        <w:t> </w:t>
      </w:r>
      <w:r>
        <w:rPr>
          <w:color w:val="231F20"/>
        </w:rPr>
        <w:t>una alta asistencia escolar. Los resultados de los estudios de los autores ya mencionados, señalan que el trabajo infantil se reduce cerca de tres por ciento por cada incremento de la matrícula</w:t>
      </w:r>
      <w:r>
        <w:rPr>
          <w:color w:val="231F20"/>
          <w:spacing w:val="-16"/>
        </w:rPr>
        <w:t> </w:t>
      </w:r>
      <w:r>
        <w:rPr>
          <w:color w:val="231F20"/>
        </w:rPr>
        <w:t>escolar.</w:t>
      </w:r>
    </w:p>
    <w:p>
      <w:pPr>
        <w:pStyle w:val="BodyText"/>
        <w:spacing w:line="249" w:lineRule="auto" w:before="1"/>
        <w:ind w:left="110" w:right="111" w:firstLine="283"/>
        <w:jc w:val="both"/>
      </w:pPr>
      <w:r>
        <w:rPr>
          <w:color w:val="231F20"/>
        </w:rPr>
        <w:t>Por lo que respecta a la asistencia escolar de la población ocupada de cinco a once años, la situación es la siguiente: 96.18 por ciento asiste a la escuela y 3.82 por ciento no recibe ninguna instrucción. Por grupo de edad, el nivel más alto de asistencia escolar de los niños que trabajan se registra en el grupo de seis a siete años, lo cual asciende a 99.38 por ciento,</w:t>
      </w:r>
      <w:r>
        <w:rPr>
          <w:color w:val="231F20"/>
          <w:spacing w:val="-5"/>
        </w:rPr>
        <w:t> </w:t>
      </w:r>
      <w:r>
        <w:rPr>
          <w:color w:val="231F20"/>
        </w:rPr>
        <w:t>mientras</w:t>
      </w:r>
      <w:r>
        <w:rPr>
          <w:color w:val="231F20"/>
          <w:spacing w:val="-5"/>
        </w:rPr>
        <w:t> </w:t>
      </w:r>
      <w:r>
        <w:rPr>
          <w:color w:val="231F20"/>
        </w:rPr>
        <w:t>la</w:t>
      </w:r>
      <w:r>
        <w:rPr>
          <w:color w:val="231F20"/>
          <w:spacing w:val="-5"/>
        </w:rPr>
        <w:t> </w:t>
      </w:r>
      <w:r>
        <w:rPr>
          <w:color w:val="231F20"/>
        </w:rPr>
        <w:t>más</w:t>
      </w:r>
      <w:r>
        <w:rPr>
          <w:color w:val="231F20"/>
          <w:spacing w:val="-5"/>
        </w:rPr>
        <w:t> </w:t>
      </w:r>
      <w:r>
        <w:rPr>
          <w:color w:val="231F20"/>
        </w:rPr>
        <w:t>baja</w:t>
      </w:r>
      <w:r>
        <w:rPr>
          <w:color w:val="231F20"/>
          <w:spacing w:val="-5"/>
        </w:rPr>
        <w:t> </w:t>
      </w:r>
      <w:r>
        <w:rPr>
          <w:color w:val="231F20"/>
        </w:rPr>
        <w:t>corresponde</w:t>
      </w:r>
      <w:r>
        <w:rPr>
          <w:color w:val="231F20"/>
          <w:spacing w:val="-5"/>
        </w:rPr>
        <w:t> </w:t>
      </w:r>
      <w:r>
        <w:rPr>
          <w:color w:val="231F20"/>
        </w:rPr>
        <w:t>al</w:t>
      </w:r>
      <w:r>
        <w:rPr>
          <w:color w:val="231F20"/>
          <w:spacing w:val="-5"/>
        </w:rPr>
        <w:t> </w:t>
      </w:r>
      <w:r>
        <w:rPr>
          <w:color w:val="231F20"/>
        </w:rPr>
        <w:t>grupo</w:t>
      </w:r>
      <w:r>
        <w:rPr>
          <w:color w:val="231F20"/>
          <w:spacing w:val="-5"/>
        </w:rPr>
        <w:t> </w:t>
      </w:r>
      <w:r>
        <w:rPr>
          <w:color w:val="231F20"/>
        </w:rPr>
        <w:t>de</w:t>
      </w:r>
      <w:r>
        <w:rPr>
          <w:color w:val="231F20"/>
          <w:spacing w:val="-5"/>
        </w:rPr>
        <w:t> </w:t>
      </w:r>
      <w:r>
        <w:rPr>
          <w:color w:val="231F20"/>
        </w:rPr>
        <w:t>10</w:t>
      </w:r>
      <w:r>
        <w:rPr>
          <w:color w:val="231F20"/>
          <w:spacing w:val="-5"/>
        </w:rPr>
        <w:t> </w:t>
      </w:r>
      <w:r>
        <w:rPr>
          <w:color w:val="231F20"/>
        </w:rPr>
        <w:t>a</w:t>
      </w:r>
      <w:r>
        <w:rPr>
          <w:color w:val="231F20"/>
          <w:spacing w:val="-5"/>
        </w:rPr>
        <w:t> </w:t>
      </w:r>
      <w:r>
        <w:rPr>
          <w:color w:val="231F20"/>
          <w:spacing w:val="-4"/>
        </w:rPr>
        <w:t>11</w:t>
      </w:r>
      <w:r>
        <w:rPr>
          <w:color w:val="231F20"/>
          <w:spacing w:val="-5"/>
        </w:rPr>
        <w:t> </w:t>
      </w:r>
      <w:r>
        <w:rPr>
          <w:color w:val="231F20"/>
        </w:rPr>
        <w:t>años</w:t>
      </w:r>
      <w:r>
        <w:rPr>
          <w:color w:val="231F20"/>
          <w:spacing w:val="-5"/>
        </w:rPr>
        <w:t> </w:t>
      </w:r>
      <w:r>
        <w:rPr>
          <w:color w:val="231F20"/>
        </w:rPr>
        <w:t>siendo esta de 96 de cada 100</w:t>
      </w:r>
      <w:r>
        <w:rPr>
          <w:color w:val="231F20"/>
          <w:spacing w:val="-2"/>
        </w:rPr>
        <w:t> </w:t>
      </w:r>
      <w:r>
        <w:rPr>
          <w:color w:val="231F20"/>
        </w:rPr>
        <w:t>menores.</w:t>
      </w:r>
    </w:p>
    <w:p>
      <w:pPr>
        <w:pStyle w:val="BodyText"/>
        <w:spacing w:line="249" w:lineRule="auto" w:before="1"/>
        <w:ind w:left="110" w:right="111" w:firstLine="283"/>
        <w:jc w:val="both"/>
      </w:pPr>
      <w:r>
        <w:rPr>
          <w:color w:val="231F20"/>
        </w:rPr>
        <w:t>Las</w:t>
      </w:r>
      <w:r>
        <w:rPr>
          <w:color w:val="231F20"/>
          <w:spacing w:val="-10"/>
        </w:rPr>
        <w:t> </w:t>
      </w:r>
      <w:r>
        <w:rPr>
          <w:color w:val="231F20"/>
        </w:rPr>
        <w:t>diferencias</w:t>
      </w:r>
      <w:r>
        <w:rPr>
          <w:color w:val="231F20"/>
          <w:spacing w:val="-10"/>
        </w:rPr>
        <w:t> </w:t>
      </w:r>
      <w:r>
        <w:rPr>
          <w:color w:val="231F20"/>
        </w:rPr>
        <w:t>estadísticas,</w:t>
      </w:r>
      <w:r>
        <w:rPr>
          <w:color w:val="231F20"/>
          <w:spacing w:val="-10"/>
        </w:rPr>
        <w:t> </w:t>
      </w:r>
      <w:r>
        <w:rPr>
          <w:color w:val="231F20"/>
        </w:rPr>
        <w:t>por</w:t>
      </w:r>
      <w:r>
        <w:rPr>
          <w:color w:val="231F20"/>
          <w:spacing w:val="-10"/>
        </w:rPr>
        <w:t> </w:t>
      </w:r>
      <w:r>
        <w:rPr>
          <w:color w:val="231F20"/>
        </w:rPr>
        <w:t>edad</w:t>
      </w:r>
      <w:r>
        <w:rPr>
          <w:color w:val="231F20"/>
          <w:spacing w:val="-10"/>
        </w:rPr>
        <w:t> </w:t>
      </w:r>
      <w:r>
        <w:rPr>
          <w:color w:val="231F20"/>
        </w:rPr>
        <w:t>y</w:t>
      </w:r>
      <w:r>
        <w:rPr>
          <w:color w:val="231F20"/>
          <w:spacing w:val="-10"/>
        </w:rPr>
        <w:t> </w:t>
      </w:r>
      <w:r>
        <w:rPr>
          <w:color w:val="231F20"/>
        </w:rPr>
        <w:t>sexo</w:t>
      </w:r>
      <w:r>
        <w:rPr>
          <w:color w:val="231F20"/>
          <w:spacing w:val="-9"/>
        </w:rPr>
        <w:t> </w:t>
      </w:r>
      <w:r>
        <w:rPr>
          <w:color w:val="231F20"/>
        </w:rPr>
        <w:t>(Cuadro</w:t>
      </w:r>
      <w:r>
        <w:rPr>
          <w:color w:val="231F20"/>
          <w:spacing w:val="-10"/>
        </w:rPr>
        <w:t> </w:t>
      </w:r>
      <w:r>
        <w:rPr>
          <w:color w:val="231F20"/>
        </w:rPr>
        <w:t>9)</w:t>
      </w:r>
      <w:r>
        <w:rPr>
          <w:color w:val="231F20"/>
          <w:spacing w:val="-10"/>
        </w:rPr>
        <w:t> </w:t>
      </w:r>
      <w:r>
        <w:rPr>
          <w:color w:val="231F20"/>
        </w:rPr>
        <w:t>muestran</w:t>
      </w:r>
      <w:r>
        <w:rPr>
          <w:color w:val="231F20"/>
          <w:spacing w:val="-10"/>
        </w:rPr>
        <w:t> </w:t>
      </w:r>
      <w:r>
        <w:rPr>
          <w:color w:val="231F20"/>
        </w:rPr>
        <w:t>que ocho de cada 100 niñas de cinco años de edad no asisten a la escuela, en comparación con los varones del mismo grupo de edad entre los que se registra un asistencia escolar del 100 por ciento. Sin embargo, al inicio del nivel básico (primaria), las niñas de seis a siete años de edad presen- tan una asistencia escolar de 100 por ciento, mientras que para los varo- nes del mismo grupo de edad entre los que se registra una asistencia </w:t>
      </w:r>
      <w:r>
        <w:rPr>
          <w:color w:val="231F20"/>
          <w:spacing w:val="39"/>
        </w:rPr>
        <w:t> </w:t>
      </w:r>
      <w:r>
        <w:rPr>
          <w:color w:val="231F20"/>
        </w:rPr>
        <w:t>de</w:t>
      </w:r>
    </w:p>
    <w:p>
      <w:pPr>
        <w:pStyle w:val="BodyText"/>
        <w:spacing w:line="249" w:lineRule="auto" w:before="1"/>
        <w:ind w:left="110" w:right="111"/>
        <w:jc w:val="both"/>
      </w:pPr>
      <w:r>
        <w:rPr>
          <w:color w:val="231F20"/>
        </w:rPr>
        <w:t>99.3 por ciento. Los números señalan que, conforme aumenta la edad;</w:t>
      </w:r>
      <w:r>
        <w:rPr>
          <w:color w:val="231F20"/>
          <w:spacing w:val="-27"/>
        </w:rPr>
        <w:t> </w:t>
      </w:r>
      <w:r>
        <w:rPr>
          <w:color w:val="231F20"/>
        </w:rPr>
        <w:t>la tasa de asistencia escolar se va reduciendo; esta disminución se presenta tanto en niñas como en niños, lo cual podría deberse al ingreso de los menores al mercado</w:t>
      </w:r>
      <w:r>
        <w:rPr>
          <w:color w:val="231F20"/>
          <w:spacing w:val="-2"/>
        </w:rPr>
        <w:t> </w:t>
      </w:r>
      <w:r>
        <w:rPr>
          <w:color w:val="231F20"/>
        </w:rPr>
        <w:t>laboral.</w:t>
      </w:r>
    </w:p>
    <w:p>
      <w:pPr>
        <w:pStyle w:val="BodyText"/>
        <w:spacing w:line="249" w:lineRule="auto" w:before="1"/>
        <w:ind w:left="110" w:right="111" w:firstLine="283"/>
        <w:jc w:val="both"/>
      </w:pPr>
      <w:r>
        <w:rPr>
          <w:color w:val="231F20"/>
        </w:rPr>
        <w:t>Knaul (2006) y Siaens y </w:t>
      </w:r>
      <w:r>
        <w:rPr>
          <w:color w:val="231F20"/>
          <w:spacing w:val="-4"/>
        </w:rPr>
        <w:t>Wodon </w:t>
      </w:r>
      <w:r>
        <w:rPr>
          <w:color w:val="231F20"/>
        </w:rPr>
        <w:t>(2006) señalan que los mayores ni- veles de trabajo infantil corresponden a los grupos de menores de</w:t>
      </w:r>
      <w:r>
        <w:rPr>
          <w:color w:val="231F20"/>
          <w:spacing w:val="-16"/>
        </w:rPr>
        <w:t> </w:t>
      </w:r>
      <w:r>
        <w:rPr>
          <w:color w:val="231F20"/>
        </w:rPr>
        <w:t>mayor edad, ya que la insuficiencia del gasto familiar obliga a algunos padres</w:t>
      </w:r>
      <w:r>
        <w:rPr>
          <w:color w:val="231F20"/>
          <w:spacing w:val="-11"/>
        </w:rPr>
        <w:t> </w:t>
      </w:r>
      <w:r>
        <w:rPr>
          <w:color w:val="231F20"/>
        </w:rPr>
        <w:t>a introducir a los menores al mercado laboral y abandonar las actividades escolares o en su defecto a combinar estas dos, siendo los más afectados los hijos</w:t>
      </w:r>
      <w:r>
        <w:rPr>
          <w:color w:val="231F20"/>
          <w:spacing w:val="-1"/>
        </w:rPr>
        <w:t> </w:t>
      </w:r>
      <w:r>
        <w:rPr>
          <w:color w:val="231F20"/>
        </w:rPr>
        <w:t>mayores.</w:t>
      </w:r>
    </w:p>
    <w:p>
      <w:pPr>
        <w:spacing w:after="0" w:line="249" w:lineRule="auto"/>
        <w:jc w:val="both"/>
        <w:sectPr>
          <w:pgSz w:w="7770" w:h="11740"/>
          <w:pgMar w:header="0" w:footer="474" w:top="840" w:bottom="740" w:left="740" w:right="1020"/>
        </w:sectPr>
      </w:pPr>
    </w:p>
    <w:p>
      <w:pPr>
        <w:spacing w:before="67"/>
        <w:ind w:left="187" w:right="0" w:firstLine="0"/>
        <w:jc w:val="left"/>
        <w:rPr>
          <w:sz w:val="19"/>
        </w:rPr>
      </w:pPr>
      <w:r>
        <w:rPr>
          <w:w w:val="105"/>
          <w:sz w:val="19"/>
        </w:rPr>
        <w:t>Cuadro 9. Condición de asistencia por edad y sexo en porcentajes</w:t>
      </w:r>
    </w:p>
    <w:p>
      <w:pPr>
        <w:pStyle w:val="BodyText"/>
        <w:spacing w:before="5"/>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2"/>
        <w:gridCol w:w="1854"/>
        <w:gridCol w:w="2197"/>
        <w:gridCol w:w="819"/>
      </w:tblGrid>
      <w:tr>
        <w:trPr>
          <w:trHeight w:val="470" w:hRule="exact"/>
        </w:trPr>
        <w:tc>
          <w:tcPr>
            <w:tcW w:w="912" w:type="dxa"/>
            <w:tcBorders>
              <w:left w:val="nil"/>
              <w:right w:val="nil"/>
            </w:tcBorders>
          </w:tcPr>
          <w:p>
            <w:pPr>
              <w:pStyle w:val="TableParagraph"/>
              <w:spacing w:before="5"/>
              <w:jc w:val="left"/>
              <w:rPr>
                <w:sz w:val="20"/>
              </w:rPr>
            </w:pPr>
          </w:p>
          <w:p>
            <w:pPr>
              <w:pStyle w:val="TableParagraph"/>
              <w:ind w:left="73"/>
              <w:jc w:val="left"/>
              <w:rPr>
                <w:sz w:val="19"/>
              </w:rPr>
            </w:pPr>
            <w:r>
              <w:rPr>
                <w:w w:val="105"/>
                <w:sz w:val="19"/>
              </w:rPr>
              <w:t>Edad</w:t>
            </w:r>
          </w:p>
        </w:tc>
        <w:tc>
          <w:tcPr>
            <w:tcW w:w="1854" w:type="dxa"/>
            <w:tcBorders>
              <w:left w:val="nil"/>
              <w:right w:val="nil"/>
            </w:tcBorders>
          </w:tcPr>
          <w:p>
            <w:pPr>
              <w:pStyle w:val="TableParagraph"/>
              <w:spacing w:before="5"/>
              <w:ind w:left="112"/>
              <w:jc w:val="left"/>
              <w:rPr>
                <w:sz w:val="19"/>
              </w:rPr>
            </w:pPr>
            <w:r>
              <w:rPr>
                <w:w w:val="105"/>
                <w:sz w:val="19"/>
              </w:rPr>
              <w:t>Asiste actualmente</w:t>
            </w:r>
          </w:p>
          <w:p>
            <w:pPr>
              <w:pStyle w:val="TableParagraph"/>
              <w:spacing w:before="12"/>
              <w:ind w:left="701"/>
              <w:jc w:val="left"/>
              <w:rPr>
                <w:sz w:val="19"/>
              </w:rPr>
            </w:pPr>
            <w:r>
              <w:rPr>
                <w:w w:val="105"/>
                <w:sz w:val="19"/>
              </w:rPr>
              <w:t>a la escuela</w:t>
            </w:r>
          </w:p>
        </w:tc>
        <w:tc>
          <w:tcPr>
            <w:tcW w:w="2197" w:type="dxa"/>
            <w:tcBorders>
              <w:left w:val="nil"/>
              <w:right w:val="nil"/>
            </w:tcBorders>
          </w:tcPr>
          <w:p>
            <w:pPr>
              <w:pStyle w:val="TableParagraph"/>
              <w:spacing w:before="5"/>
              <w:ind w:left="240"/>
              <w:jc w:val="left"/>
              <w:rPr>
                <w:sz w:val="19"/>
              </w:rPr>
            </w:pPr>
            <w:r>
              <w:rPr>
                <w:w w:val="105"/>
                <w:sz w:val="19"/>
              </w:rPr>
              <w:t>No asiste actualmente</w:t>
            </w:r>
          </w:p>
          <w:p>
            <w:pPr>
              <w:pStyle w:val="TableParagraph"/>
              <w:spacing w:before="12"/>
              <w:ind w:left="1065"/>
              <w:jc w:val="left"/>
              <w:rPr>
                <w:sz w:val="19"/>
              </w:rPr>
            </w:pPr>
            <w:r>
              <w:rPr>
                <w:w w:val="105"/>
                <w:sz w:val="19"/>
              </w:rPr>
              <w:t>a la escuela</w:t>
            </w:r>
          </w:p>
        </w:tc>
        <w:tc>
          <w:tcPr>
            <w:tcW w:w="819" w:type="dxa"/>
            <w:tcBorders>
              <w:left w:val="nil"/>
              <w:right w:val="nil"/>
            </w:tcBorders>
          </w:tcPr>
          <w:p>
            <w:pPr>
              <w:pStyle w:val="TableParagraph"/>
              <w:spacing w:before="5"/>
              <w:jc w:val="left"/>
              <w:rPr>
                <w:sz w:val="20"/>
              </w:rPr>
            </w:pPr>
          </w:p>
          <w:p>
            <w:pPr>
              <w:pStyle w:val="TableParagraph"/>
              <w:ind w:right="55"/>
              <w:rPr>
                <w:sz w:val="19"/>
              </w:rPr>
            </w:pPr>
            <w:r>
              <w:rPr>
                <w:sz w:val="19"/>
              </w:rPr>
              <w:t>Total</w:t>
            </w:r>
          </w:p>
        </w:tc>
      </w:tr>
      <w:tr>
        <w:trPr>
          <w:trHeight w:val="286" w:hRule="exact"/>
        </w:trPr>
        <w:tc>
          <w:tcPr>
            <w:tcW w:w="912" w:type="dxa"/>
            <w:tcBorders>
              <w:left w:val="nil"/>
              <w:bottom w:val="nil"/>
              <w:right w:val="nil"/>
            </w:tcBorders>
          </w:tcPr>
          <w:p>
            <w:pPr>
              <w:pStyle w:val="TableParagraph"/>
              <w:spacing w:before="5"/>
              <w:ind w:left="73"/>
              <w:jc w:val="left"/>
              <w:rPr>
                <w:i/>
                <w:sz w:val="19"/>
              </w:rPr>
            </w:pPr>
            <w:r>
              <w:rPr>
                <w:i/>
                <w:w w:val="105"/>
                <w:sz w:val="19"/>
              </w:rPr>
              <w:t>Hombres</w:t>
            </w:r>
          </w:p>
        </w:tc>
        <w:tc>
          <w:tcPr>
            <w:tcW w:w="1854" w:type="dxa"/>
            <w:tcBorders>
              <w:left w:val="nil"/>
              <w:bottom w:val="nil"/>
              <w:right w:val="nil"/>
            </w:tcBorders>
          </w:tcPr>
          <w:p>
            <w:pPr/>
          </w:p>
        </w:tc>
        <w:tc>
          <w:tcPr>
            <w:tcW w:w="2197" w:type="dxa"/>
            <w:tcBorders>
              <w:left w:val="nil"/>
              <w:bottom w:val="nil"/>
              <w:right w:val="nil"/>
            </w:tcBorders>
          </w:tcPr>
          <w:p>
            <w:pPr/>
          </w:p>
        </w:tc>
        <w:tc>
          <w:tcPr>
            <w:tcW w:w="819" w:type="dxa"/>
            <w:tcBorders>
              <w:left w:val="nil"/>
              <w:bottom w:val="nil"/>
              <w:right w:val="nil"/>
            </w:tcBorders>
          </w:tcPr>
          <w:p>
            <w:pPr/>
          </w:p>
        </w:tc>
      </w:tr>
      <w:tr>
        <w:trPr>
          <w:trHeight w:val="310" w:hRule="exact"/>
        </w:trPr>
        <w:tc>
          <w:tcPr>
            <w:tcW w:w="912" w:type="dxa"/>
            <w:tcBorders>
              <w:top w:val="nil"/>
              <w:left w:val="nil"/>
              <w:bottom w:val="nil"/>
              <w:right w:val="nil"/>
            </w:tcBorders>
          </w:tcPr>
          <w:p>
            <w:pPr>
              <w:pStyle w:val="TableParagraph"/>
              <w:spacing w:before="41"/>
              <w:ind w:left="73"/>
              <w:jc w:val="left"/>
              <w:rPr>
                <w:sz w:val="19"/>
              </w:rPr>
            </w:pPr>
            <w:r>
              <w:rPr>
                <w:w w:val="102"/>
                <w:sz w:val="19"/>
              </w:rPr>
              <w:t>5</w:t>
            </w:r>
          </w:p>
        </w:tc>
        <w:tc>
          <w:tcPr>
            <w:tcW w:w="1854" w:type="dxa"/>
            <w:tcBorders>
              <w:top w:val="nil"/>
              <w:left w:val="nil"/>
              <w:bottom w:val="nil"/>
              <w:right w:val="nil"/>
            </w:tcBorders>
          </w:tcPr>
          <w:p>
            <w:pPr>
              <w:pStyle w:val="TableParagraph"/>
              <w:spacing w:before="41"/>
              <w:ind w:right="239"/>
              <w:rPr>
                <w:sz w:val="19"/>
              </w:rPr>
            </w:pPr>
            <w:r>
              <w:rPr>
                <w:sz w:val="19"/>
              </w:rPr>
              <w:t>100.00</w:t>
            </w:r>
          </w:p>
        </w:tc>
        <w:tc>
          <w:tcPr>
            <w:tcW w:w="2197" w:type="dxa"/>
            <w:tcBorders>
              <w:top w:val="nil"/>
              <w:left w:val="nil"/>
              <w:bottom w:val="nil"/>
              <w:right w:val="nil"/>
            </w:tcBorders>
          </w:tcPr>
          <w:p>
            <w:pPr>
              <w:pStyle w:val="TableParagraph"/>
              <w:spacing w:before="41"/>
              <w:ind w:right="215"/>
              <w:rPr>
                <w:sz w:val="19"/>
              </w:rPr>
            </w:pPr>
            <w:r>
              <w:rPr>
                <w:sz w:val="19"/>
              </w:rPr>
              <w:t>0.00</w:t>
            </w:r>
          </w:p>
        </w:tc>
        <w:tc>
          <w:tcPr>
            <w:tcW w:w="819" w:type="dxa"/>
            <w:tcBorders>
              <w:top w:val="nil"/>
              <w:left w:val="nil"/>
              <w:bottom w:val="nil"/>
              <w:right w:val="nil"/>
            </w:tcBorders>
          </w:tcPr>
          <w:p>
            <w:pPr>
              <w:pStyle w:val="TableParagraph"/>
              <w:spacing w:before="41"/>
              <w:ind w:right="56"/>
              <w:rPr>
                <w:sz w:val="19"/>
              </w:rPr>
            </w:pPr>
            <w:r>
              <w:rPr>
                <w:sz w:val="19"/>
              </w:rPr>
              <w:t>100.00</w:t>
            </w:r>
          </w:p>
        </w:tc>
      </w:tr>
      <w:tr>
        <w:trPr>
          <w:trHeight w:val="302" w:hRule="exact"/>
        </w:trPr>
        <w:tc>
          <w:tcPr>
            <w:tcW w:w="912" w:type="dxa"/>
            <w:tcBorders>
              <w:top w:val="nil"/>
              <w:left w:val="nil"/>
              <w:bottom w:val="nil"/>
              <w:right w:val="nil"/>
            </w:tcBorders>
          </w:tcPr>
          <w:p>
            <w:pPr>
              <w:pStyle w:val="TableParagraph"/>
              <w:spacing w:before="33"/>
              <w:ind w:left="73"/>
              <w:jc w:val="left"/>
              <w:rPr>
                <w:sz w:val="19"/>
              </w:rPr>
            </w:pPr>
            <w:r>
              <w:rPr>
                <w:w w:val="105"/>
                <w:sz w:val="19"/>
              </w:rPr>
              <w:t>6-7</w:t>
            </w:r>
          </w:p>
        </w:tc>
        <w:tc>
          <w:tcPr>
            <w:tcW w:w="1854" w:type="dxa"/>
            <w:tcBorders>
              <w:top w:val="nil"/>
              <w:left w:val="nil"/>
              <w:bottom w:val="nil"/>
              <w:right w:val="nil"/>
            </w:tcBorders>
          </w:tcPr>
          <w:p>
            <w:pPr>
              <w:pStyle w:val="TableParagraph"/>
              <w:spacing w:before="33"/>
              <w:ind w:right="238"/>
              <w:rPr>
                <w:sz w:val="19"/>
              </w:rPr>
            </w:pPr>
            <w:r>
              <w:rPr>
                <w:sz w:val="19"/>
              </w:rPr>
              <w:t>99.38</w:t>
            </w:r>
          </w:p>
        </w:tc>
        <w:tc>
          <w:tcPr>
            <w:tcW w:w="2197" w:type="dxa"/>
            <w:tcBorders>
              <w:top w:val="nil"/>
              <w:left w:val="nil"/>
              <w:bottom w:val="nil"/>
              <w:right w:val="nil"/>
            </w:tcBorders>
          </w:tcPr>
          <w:p>
            <w:pPr>
              <w:pStyle w:val="TableParagraph"/>
              <w:spacing w:before="33"/>
              <w:ind w:right="215"/>
              <w:rPr>
                <w:sz w:val="19"/>
              </w:rPr>
            </w:pPr>
            <w:r>
              <w:rPr>
                <w:sz w:val="19"/>
              </w:rPr>
              <w:t>0.62</w:t>
            </w:r>
          </w:p>
        </w:tc>
        <w:tc>
          <w:tcPr>
            <w:tcW w:w="819" w:type="dxa"/>
            <w:tcBorders>
              <w:top w:val="nil"/>
              <w:left w:val="nil"/>
              <w:bottom w:val="nil"/>
              <w:right w:val="nil"/>
            </w:tcBorders>
          </w:tcPr>
          <w:p>
            <w:pPr>
              <w:pStyle w:val="TableParagraph"/>
              <w:spacing w:before="33"/>
              <w:ind w:right="56"/>
              <w:rPr>
                <w:sz w:val="19"/>
              </w:rPr>
            </w:pPr>
            <w:r>
              <w:rPr>
                <w:sz w:val="19"/>
              </w:rPr>
              <w:t>100.00</w:t>
            </w:r>
          </w:p>
        </w:tc>
      </w:tr>
      <w:tr>
        <w:trPr>
          <w:trHeight w:val="302" w:hRule="exact"/>
        </w:trPr>
        <w:tc>
          <w:tcPr>
            <w:tcW w:w="912" w:type="dxa"/>
            <w:tcBorders>
              <w:top w:val="nil"/>
              <w:left w:val="nil"/>
              <w:bottom w:val="nil"/>
              <w:right w:val="nil"/>
            </w:tcBorders>
          </w:tcPr>
          <w:p>
            <w:pPr>
              <w:pStyle w:val="TableParagraph"/>
              <w:spacing w:before="33"/>
              <w:ind w:left="73"/>
              <w:jc w:val="left"/>
              <w:rPr>
                <w:sz w:val="19"/>
              </w:rPr>
            </w:pPr>
            <w:r>
              <w:rPr>
                <w:w w:val="105"/>
                <w:sz w:val="19"/>
              </w:rPr>
              <w:t>8-9</w:t>
            </w:r>
          </w:p>
        </w:tc>
        <w:tc>
          <w:tcPr>
            <w:tcW w:w="1854" w:type="dxa"/>
            <w:tcBorders>
              <w:top w:val="nil"/>
              <w:left w:val="nil"/>
              <w:bottom w:val="nil"/>
              <w:right w:val="nil"/>
            </w:tcBorders>
          </w:tcPr>
          <w:p>
            <w:pPr>
              <w:pStyle w:val="TableParagraph"/>
              <w:spacing w:before="33"/>
              <w:ind w:right="238"/>
              <w:rPr>
                <w:sz w:val="19"/>
              </w:rPr>
            </w:pPr>
            <w:r>
              <w:rPr>
                <w:sz w:val="19"/>
              </w:rPr>
              <w:t>96.69</w:t>
            </w:r>
          </w:p>
        </w:tc>
        <w:tc>
          <w:tcPr>
            <w:tcW w:w="2197" w:type="dxa"/>
            <w:tcBorders>
              <w:top w:val="nil"/>
              <w:left w:val="nil"/>
              <w:bottom w:val="nil"/>
              <w:right w:val="nil"/>
            </w:tcBorders>
          </w:tcPr>
          <w:p>
            <w:pPr>
              <w:pStyle w:val="TableParagraph"/>
              <w:spacing w:before="33"/>
              <w:ind w:right="215"/>
              <w:rPr>
                <w:sz w:val="19"/>
              </w:rPr>
            </w:pPr>
            <w:r>
              <w:rPr>
                <w:sz w:val="19"/>
              </w:rPr>
              <w:t>3.31</w:t>
            </w:r>
          </w:p>
        </w:tc>
        <w:tc>
          <w:tcPr>
            <w:tcW w:w="819" w:type="dxa"/>
            <w:tcBorders>
              <w:top w:val="nil"/>
              <w:left w:val="nil"/>
              <w:bottom w:val="nil"/>
              <w:right w:val="nil"/>
            </w:tcBorders>
          </w:tcPr>
          <w:p>
            <w:pPr>
              <w:pStyle w:val="TableParagraph"/>
              <w:spacing w:before="33"/>
              <w:ind w:right="56"/>
              <w:rPr>
                <w:sz w:val="19"/>
              </w:rPr>
            </w:pPr>
            <w:r>
              <w:rPr>
                <w:sz w:val="19"/>
              </w:rPr>
              <w:t>100.00</w:t>
            </w:r>
          </w:p>
        </w:tc>
      </w:tr>
      <w:tr>
        <w:trPr>
          <w:trHeight w:val="302" w:hRule="exact"/>
        </w:trPr>
        <w:tc>
          <w:tcPr>
            <w:tcW w:w="912" w:type="dxa"/>
            <w:tcBorders>
              <w:top w:val="nil"/>
              <w:left w:val="nil"/>
              <w:bottom w:val="nil"/>
              <w:right w:val="nil"/>
            </w:tcBorders>
          </w:tcPr>
          <w:p>
            <w:pPr>
              <w:pStyle w:val="TableParagraph"/>
              <w:spacing w:before="33"/>
              <w:ind w:left="73"/>
              <w:jc w:val="left"/>
              <w:rPr>
                <w:sz w:val="19"/>
              </w:rPr>
            </w:pPr>
            <w:r>
              <w:rPr>
                <w:w w:val="105"/>
                <w:sz w:val="19"/>
              </w:rPr>
              <w:t>10-11</w:t>
            </w:r>
          </w:p>
        </w:tc>
        <w:tc>
          <w:tcPr>
            <w:tcW w:w="1854" w:type="dxa"/>
            <w:tcBorders>
              <w:top w:val="nil"/>
              <w:left w:val="nil"/>
              <w:bottom w:val="nil"/>
              <w:right w:val="nil"/>
            </w:tcBorders>
          </w:tcPr>
          <w:p>
            <w:pPr>
              <w:pStyle w:val="TableParagraph"/>
              <w:spacing w:before="33"/>
              <w:ind w:right="238"/>
              <w:rPr>
                <w:sz w:val="19"/>
              </w:rPr>
            </w:pPr>
            <w:r>
              <w:rPr>
                <w:sz w:val="19"/>
              </w:rPr>
              <w:t>95.10</w:t>
            </w:r>
          </w:p>
        </w:tc>
        <w:tc>
          <w:tcPr>
            <w:tcW w:w="2197" w:type="dxa"/>
            <w:tcBorders>
              <w:top w:val="nil"/>
              <w:left w:val="nil"/>
              <w:bottom w:val="nil"/>
              <w:right w:val="nil"/>
            </w:tcBorders>
          </w:tcPr>
          <w:p>
            <w:pPr>
              <w:pStyle w:val="TableParagraph"/>
              <w:spacing w:before="33"/>
              <w:ind w:right="215"/>
              <w:rPr>
                <w:sz w:val="19"/>
              </w:rPr>
            </w:pPr>
            <w:r>
              <w:rPr>
                <w:sz w:val="19"/>
              </w:rPr>
              <w:t>4.90</w:t>
            </w:r>
          </w:p>
        </w:tc>
        <w:tc>
          <w:tcPr>
            <w:tcW w:w="819" w:type="dxa"/>
            <w:tcBorders>
              <w:top w:val="nil"/>
              <w:left w:val="nil"/>
              <w:bottom w:val="nil"/>
              <w:right w:val="nil"/>
            </w:tcBorders>
          </w:tcPr>
          <w:p>
            <w:pPr>
              <w:pStyle w:val="TableParagraph"/>
              <w:spacing w:before="33"/>
              <w:ind w:right="56"/>
              <w:rPr>
                <w:sz w:val="19"/>
              </w:rPr>
            </w:pPr>
            <w:r>
              <w:rPr>
                <w:sz w:val="19"/>
              </w:rPr>
              <w:t>100.00</w:t>
            </w:r>
          </w:p>
        </w:tc>
      </w:tr>
      <w:tr>
        <w:trPr>
          <w:trHeight w:val="600" w:hRule="exact"/>
        </w:trPr>
        <w:tc>
          <w:tcPr>
            <w:tcW w:w="912" w:type="dxa"/>
            <w:tcBorders>
              <w:top w:val="nil"/>
              <w:left w:val="nil"/>
              <w:bottom w:val="nil"/>
              <w:right w:val="nil"/>
            </w:tcBorders>
          </w:tcPr>
          <w:p>
            <w:pPr>
              <w:pStyle w:val="TableParagraph"/>
              <w:spacing w:before="33"/>
              <w:ind w:left="73"/>
              <w:jc w:val="left"/>
              <w:rPr>
                <w:sz w:val="19"/>
              </w:rPr>
            </w:pPr>
            <w:r>
              <w:rPr>
                <w:w w:val="105"/>
                <w:sz w:val="19"/>
              </w:rPr>
              <w:t>5-11</w:t>
            </w:r>
          </w:p>
          <w:p>
            <w:pPr>
              <w:pStyle w:val="TableParagraph"/>
              <w:spacing w:before="79"/>
              <w:ind w:left="73"/>
              <w:jc w:val="left"/>
              <w:rPr>
                <w:i/>
                <w:sz w:val="19"/>
              </w:rPr>
            </w:pPr>
            <w:r>
              <w:rPr>
                <w:i/>
                <w:w w:val="105"/>
                <w:sz w:val="19"/>
              </w:rPr>
              <w:t>Mujeres</w:t>
            </w:r>
          </w:p>
        </w:tc>
        <w:tc>
          <w:tcPr>
            <w:tcW w:w="1854" w:type="dxa"/>
            <w:tcBorders>
              <w:top w:val="nil"/>
              <w:left w:val="nil"/>
              <w:bottom w:val="nil"/>
              <w:right w:val="nil"/>
            </w:tcBorders>
          </w:tcPr>
          <w:p>
            <w:pPr>
              <w:pStyle w:val="TableParagraph"/>
              <w:spacing w:before="33"/>
              <w:ind w:right="238"/>
              <w:rPr>
                <w:sz w:val="19"/>
              </w:rPr>
            </w:pPr>
            <w:r>
              <w:rPr>
                <w:sz w:val="19"/>
              </w:rPr>
              <w:t>96.18</w:t>
            </w:r>
          </w:p>
        </w:tc>
        <w:tc>
          <w:tcPr>
            <w:tcW w:w="2197" w:type="dxa"/>
            <w:tcBorders>
              <w:top w:val="nil"/>
              <w:left w:val="nil"/>
              <w:bottom w:val="nil"/>
              <w:right w:val="nil"/>
            </w:tcBorders>
          </w:tcPr>
          <w:p>
            <w:pPr>
              <w:pStyle w:val="TableParagraph"/>
              <w:spacing w:before="33"/>
              <w:ind w:right="215"/>
              <w:rPr>
                <w:sz w:val="19"/>
              </w:rPr>
            </w:pPr>
            <w:r>
              <w:rPr>
                <w:sz w:val="19"/>
              </w:rPr>
              <w:t>3.82</w:t>
            </w:r>
          </w:p>
        </w:tc>
        <w:tc>
          <w:tcPr>
            <w:tcW w:w="819" w:type="dxa"/>
            <w:tcBorders>
              <w:top w:val="nil"/>
              <w:left w:val="nil"/>
              <w:bottom w:val="nil"/>
              <w:right w:val="nil"/>
            </w:tcBorders>
          </w:tcPr>
          <w:p>
            <w:pPr>
              <w:pStyle w:val="TableParagraph"/>
              <w:spacing w:before="33"/>
              <w:ind w:right="56"/>
              <w:rPr>
                <w:sz w:val="19"/>
              </w:rPr>
            </w:pPr>
            <w:r>
              <w:rPr>
                <w:sz w:val="19"/>
              </w:rPr>
              <w:t>100.00</w:t>
            </w:r>
          </w:p>
        </w:tc>
      </w:tr>
      <w:tr>
        <w:trPr>
          <w:trHeight w:val="302" w:hRule="exact"/>
        </w:trPr>
        <w:tc>
          <w:tcPr>
            <w:tcW w:w="912" w:type="dxa"/>
            <w:tcBorders>
              <w:top w:val="nil"/>
              <w:left w:val="nil"/>
              <w:bottom w:val="nil"/>
              <w:right w:val="nil"/>
            </w:tcBorders>
          </w:tcPr>
          <w:p>
            <w:pPr>
              <w:pStyle w:val="TableParagraph"/>
              <w:spacing w:before="33"/>
              <w:ind w:left="73"/>
              <w:jc w:val="left"/>
              <w:rPr>
                <w:sz w:val="19"/>
              </w:rPr>
            </w:pPr>
            <w:r>
              <w:rPr>
                <w:w w:val="102"/>
                <w:sz w:val="19"/>
              </w:rPr>
              <w:t>5</w:t>
            </w:r>
          </w:p>
        </w:tc>
        <w:tc>
          <w:tcPr>
            <w:tcW w:w="1854" w:type="dxa"/>
            <w:tcBorders>
              <w:top w:val="nil"/>
              <w:left w:val="nil"/>
              <w:bottom w:val="nil"/>
              <w:right w:val="nil"/>
            </w:tcBorders>
          </w:tcPr>
          <w:p>
            <w:pPr>
              <w:pStyle w:val="TableParagraph"/>
              <w:spacing w:before="33"/>
              <w:ind w:right="238"/>
              <w:rPr>
                <w:sz w:val="19"/>
              </w:rPr>
            </w:pPr>
            <w:r>
              <w:rPr>
                <w:sz w:val="19"/>
              </w:rPr>
              <w:t>91.54</w:t>
            </w:r>
          </w:p>
        </w:tc>
        <w:tc>
          <w:tcPr>
            <w:tcW w:w="2197" w:type="dxa"/>
            <w:tcBorders>
              <w:top w:val="nil"/>
              <w:left w:val="nil"/>
              <w:bottom w:val="nil"/>
              <w:right w:val="nil"/>
            </w:tcBorders>
          </w:tcPr>
          <w:p>
            <w:pPr>
              <w:pStyle w:val="TableParagraph"/>
              <w:spacing w:before="33"/>
              <w:ind w:right="215"/>
              <w:rPr>
                <w:sz w:val="19"/>
              </w:rPr>
            </w:pPr>
            <w:r>
              <w:rPr>
                <w:sz w:val="19"/>
              </w:rPr>
              <w:t>8.46</w:t>
            </w:r>
          </w:p>
        </w:tc>
        <w:tc>
          <w:tcPr>
            <w:tcW w:w="819" w:type="dxa"/>
            <w:tcBorders>
              <w:top w:val="nil"/>
              <w:left w:val="nil"/>
              <w:bottom w:val="nil"/>
              <w:right w:val="nil"/>
            </w:tcBorders>
          </w:tcPr>
          <w:p>
            <w:pPr>
              <w:pStyle w:val="TableParagraph"/>
              <w:spacing w:before="33"/>
              <w:ind w:right="56"/>
              <w:rPr>
                <w:sz w:val="19"/>
              </w:rPr>
            </w:pPr>
            <w:r>
              <w:rPr>
                <w:sz w:val="19"/>
              </w:rPr>
              <w:t>100.00</w:t>
            </w:r>
          </w:p>
        </w:tc>
      </w:tr>
      <w:tr>
        <w:trPr>
          <w:trHeight w:val="302" w:hRule="exact"/>
        </w:trPr>
        <w:tc>
          <w:tcPr>
            <w:tcW w:w="912" w:type="dxa"/>
            <w:tcBorders>
              <w:top w:val="nil"/>
              <w:left w:val="nil"/>
              <w:bottom w:val="nil"/>
              <w:right w:val="nil"/>
            </w:tcBorders>
          </w:tcPr>
          <w:p>
            <w:pPr>
              <w:pStyle w:val="TableParagraph"/>
              <w:spacing w:before="33"/>
              <w:ind w:left="73"/>
              <w:jc w:val="left"/>
              <w:rPr>
                <w:sz w:val="19"/>
              </w:rPr>
            </w:pPr>
            <w:r>
              <w:rPr>
                <w:w w:val="105"/>
                <w:sz w:val="19"/>
              </w:rPr>
              <w:t>6-7</w:t>
            </w:r>
          </w:p>
        </w:tc>
        <w:tc>
          <w:tcPr>
            <w:tcW w:w="1854" w:type="dxa"/>
            <w:tcBorders>
              <w:top w:val="nil"/>
              <w:left w:val="nil"/>
              <w:bottom w:val="nil"/>
              <w:right w:val="nil"/>
            </w:tcBorders>
          </w:tcPr>
          <w:p>
            <w:pPr>
              <w:pStyle w:val="TableParagraph"/>
              <w:spacing w:before="33"/>
              <w:ind w:right="238"/>
              <w:rPr>
                <w:sz w:val="19"/>
              </w:rPr>
            </w:pPr>
            <w:r>
              <w:rPr>
                <w:sz w:val="19"/>
              </w:rPr>
              <w:t>100.00</w:t>
            </w:r>
          </w:p>
        </w:tc>
        <w:tc>
          <w:tcPr>
            <w:tcW w:w="2197" w:type="dxa"/>
            <w:tcBorders>
              <w:top w:val="nil"/>
              <w:left w:val="nil"/>
              <w:bottom w:val="nil"/>
              <w:right w:val="nil"/>
            </w:tcBorders>
          </w:tcPr>
          <w:p>
            <w:pPr>
              <w:pStyle w:val="TableParagraph"/>
              <w:spacing w:before="33"/>
              <w:ind w:right="215"/>
              <w:rPr>
                <w:sz w:val="19"/>
              </w:rPr>
            </w:pPr>
            <w:r>
              <w:rPr>
                <w:sz w:val="19"/>
              </w:rPr>
              <w:t>0.00</w:t>
            </w:r>
          </w:p>
        </w:tc>
        <w:tc>
          <w:tcPr>
            <w:tcW w:w="819" w:type="dxa"/>
            <w:tcBorders>
              <w:top w:val="nil"/>
              <w:left w:val="nil"/>
              <w:bottom w:val="nil"/>
              <w:right w:val="nil"/>
            </w:tcBorders>
          </w:tcPr>
          <w:p>
            <w:pPr>
              <w:pStyle w:val="TableParagraph"/>
              <w:spacing w:before="33"/>
              <w:ind w:right="56"/>
              <w:rPr>
                <w:sz w:val="19"/>
              </w:rPr>
            </w:pPr>
            <w:r>
              <w:rPr>
                <w:sz w:val="19"/>
              </w:rPr>
              <w:t>100.00</w:t>
            </w:r>
          </w:p>
        </w:tc>
      </w:tr>
      <w:tr>
        <w:trPr>
          <w:trHeight w:val="302" w:hRule="exact"/>
        </w:trPr>
        <w:tc>
          <w:tcPr>
            <w:tcW w:w="912" w:type="dxa"/>
            <w:tcBorders>
              <w:top w:val="nil"/>
              <w:left w:val="nil"/>
              <w:bottom w:val="nil"/>
              <w:right w:val="nil"/>
            </w:tcBorders>
          </w:tcPr>
          <w:p>
            <w:pPr>
              <w:pStyle w:val="TableParagraph"/>
              <w:spacing w:before="33"/>
              <w:ind w:left="73"/>
              <w:jc w:val="left"/>
              <w:rPr>
                <w:sz w:val="19"/>
              </w:rPr>
            </w:pPr>
            <w:r>
              <w:rPr>
                <w:w w:val="105"/>
                <w:sz w:val="19"/>
              </w:rPr>
              <w:t>8-9</w:t>
            </w:r>
          </w:p>
        </w:tc>
        <w:tc>
          <w:tcPr>
            <w:tcW w:w="1854" w:type="dxa"/>
            <w:tcBorders>
              <w:top w:val="nil"/>
              <w:left w:val="nil"/>
              <w:bottom w:val="nil"/>
              <w:right w:val="nil"/>
            </w:tcBorders>
          </w:tcPr>
          <w:p>
            <w:pPr>
              <w:pStyle w:val="TableParagraph"/>
              <w:spacing w:before="33"/>
              <w:ind w:right="238"/>
              <w:rPr>
                <w:sz w:val="19"/>
              </w:rPr>
            </w:pPr>
            <w:r>
              <w:rPr>
                <w:sz w:val="19"/>
              </w:rPr>
              <w:t>98.50</w:t>
            </w:r>
          </w:p>
        </w:tc>
        <w:tc>
          <w:tcPr>
            <w:tcW w:w="2197" w:type="dxa"/>
            <w:tcBorders>
              <w:top w:val="nil"/>
              <w:left w:val="nil"/>
              <w:bottom w:val="nil"/>
              <w:right w:val="nil"/>
            </w:tcBorders>
          </w:tcPr>
          <w:p>
            <w:pPr>
              <w:pStyle w:val="TableParagraph"/>
              <w:spacing w:before="33"/>
              <w:ind w:right="215"/>
              <w:rPr>
                <w:sz w:val="19"/>
              </w:rPr>
            </w:pPr>
            <w:r>
              <w:rPr>
                <w:sz w:val="19"/>
              </w:rPr>
              <w:t>1.50</w:t>
            </w:r>
          </w:p>
        </w:tc>
        <w:tc>
          <w:tcPr>
            <w:tcW w:w="819" w:type="dxa"/>
            <w:tcBorders>
              <w:top w:val="nil"/>
              <w:left w:val="nil"/>
              <w:bottom w:val="nil"/>
              <w:right w:val="nil"/>
            </w:tcBorders>
          </w:tcPr>
          <w:p>
            <w:pPr>
              <w:pStyle w:val="TableParagraph"/>
              <w:spacing w:before="33"/>
              <w:ind w:right="56"/>
              <w:rPr>
                <w:sz w:val="19"/>
              </w:rPr>
            </w:pPr>
            <w:r>
              <w:rPr>
                <w:sz w:val="19"/>
              </w:rPr>
              <w:t>100.00</w:t>
            </w:r>
          </w:p>
        </w:tc>
      </w:tr>
      <w:tr>
        <w:trPr>
          <w:trHeight w:val="302" w:hRule="exact"/>
        </w:trPr>
        <w:tc>
          <w:tcPr>
            <w:tcW w:w="912" w:type="dxa"/>
            <w:tcBorders>
              <w:top w:val="nil"/>
              <w:left w:val="nil"/>
              <w:bottom w:val="nil"/>
              <w:right w:val="nil"/>
            </w:tcBorders>
          </w:tcPr>
          <w:p>
            <w:pPr>
              <w:pStyle w:val="TableParagraph"/>
              <w:spacing w:before="33"/>
              <w:ind w:left="73"/>
              <w:jc w:val="left"/>
              <w:rPr>
                <w:sz w:val="19"/>
              </w:rPr>
            </w:pPr>
            <w:r>
              <w:rPr>
                <w:w w:val="105"/>
                <w:sz w:val="19"/>
              </w:rPr>
              <w:t>10-11</w:t>
            </w:r>
          </w:p>
        </w:tc>
        <w:tc>
          <w:tcPr>
            <w:tcW w:w="1854" w:type="dxa"/>
            <w:tcBorders>
              <w:top w:val="nil"/>
              <w:left w:val="nil"/>
              <w:bottom w:val="nil"/>
              <w:right w:val="nil"/>
            </w:tcBorders>
          </w:tcPr>
          <w:p>
            <w:pPr>
              <w:pStyle w:val="TableParagraph"/>
              <w:spacing w:before="33"/>
              <w:ind w:right="238"/>
              <w:rPr>
                <w:sz w:val="19"/>
              </w:rPr>
            </w:pPr>
            <w:r>
              <w:rPr>
                <w:sz w:val="19"/>
              </w:rPr>
              <w:t>98.11</w:t>
            </w:r>
          </w:p>
        </w:tc>
        <w:tc>
          <w:tcPr>
            <w:tcW w:w="2197" w:type="dxa"/>
            <w:tcBorders>
              <w:top w:val="nil"/>
              <w:left w:val="nil"/>
              <w:bottom w:val="nil"/>
              <w:right w:val="nil"/>
            </w:tcBorders>
          </w:tcPr>
          <w:p>
            <w:pPr>
              <w:pStyle w:val="TableParagraph"/>
              <w:spacing w:before="33"/>
              <w:ind w:right="215"/>
              <w:rPr>
                <w:sz w:val="19"/>
              </w:rPr>
            </w:pPr>
            <w:r>
              <w:rPr>
                <w:sz w:val="19"/>
              </w:rPr>
              <w:t>1.89</w:t>
            </w:r>
          </w:p>
        </w:tc>
        <w:tc>
          <w:tcPr>
            <w:tcW w:w="819" w:type="dxa"/>
            <w:tcBorders>
              <w:top w:val="nil"/>
              <w:left w:val="nil"/>
              <w:bottom w:val="nil"/>
              <w:right w:val="nil"/>
            </w:tcBorders>
          </w:tcPr>
          <w:p>
            <w:pPr>
              <w:pStyle w:val="TableParagraph"/>
              <w:spacing w:before="33"/>
              <w:ind w:right="56"/>
              <w:rPr>
                <w:sz w:val="19"/>
              </w:rPr>
            </w:pPr>
            <w:r>
              <w:rPr>
                <w:sz w:val="19"/>
              </w:rPr>
              <w:t>100.00</w:t>
            </w:r>
          </w:p>
        </w:tc>
      </w:tr>
      <w:tr>
        <w:trPr>
          <w:trHeight w:val="336" w:hRule="exact"/>
        </w:trPr>
        <w:tc>
          <w:tcPr>
            <w:tcW w:w="912" w:type="dxa"/>
            <w:tcBorders>
              <w:top w:val="nil"/>
              <w:left w:val="nil"/>
              <w:right w:val="nil"/>
            </w:tcBorders>
          </w:tcPr>
          <w:p>
            <w:pPr>
              <w:pStyle w:val="TableParagraph"/>
              <w:spacing w:before="33"/>
              <w:ind w:left="73"/>
              <w:jc w:val="left"/>
              <w:rPr>
                <w:sz w:val="19"/>
              </w:rPr>
            </w:pPr>
            <w:r>
              <w:rPr>
                <w:w w:val="105"/>
                <w:sz w:val="19"/>
              </w:rPr>
              <w:t>5-11</w:t>
            </w:r>
          </w:p>
        </w:tc>
        <w:tc>
          <w:tcPr>
            <w:tcW w:w="1854" w:type="dxa"/>
            <w:tcBorders>
              <w:top w:val="nil"/>
              <w:left w:val="nil"/>
              <w:right w:val="nil"/>
            </w:tcBorders>
          </w:tcPr>
          <w:p>
            <w:pPr>
              <w:pStyle w:val="TableParagraph"/>
              <w:spacing w:before="33"/>
              <w:ind w:right="238"/>
              <w:rPr>
                <w:sz w:val="19"/>
              </w:rPr>
            </w:pPr>
            <w:r>
              <w:rPr>
                <w:sz w:val="19"/>
              </w:rPr>
              <w:t>98.21</w:t>
            </w:r>
          </w:p>
        </w:tc>
        <w:tc>
          <w:tcPr>
            <w:tcW w:w="2197" w:type="dxa"/>
            <w:tcBorders>
              <w:top w:val="nil"/>
              <w:left w:val="nil"/>
              <w:right w:val="nil"/>
            </w:tcBorders>
          </w:tcPr>
          <w:p>
            <w:pPr>
              <w:pStyle w:val="TableParagraph"/>
              <w:spacing w:before="33"/>
              <w:ind w:right="215"/>
              <w:rPr>
                <w:sz w:val="19"/>
              </w:rPr>
            </w:pPr>
            <w:r>
              <w:rPr>
                <w:sz w:val="19"/>
              </w:rPr>
              <w:t>1.79</w:t>
            </w:r>
          </w:p>
        </w:tc>
        <w:tc>
          <w:tcPr>
            <w:tcW w:w="819" w:type="dxa"/>
            <w:tcBorders>
              <w:top w:val="nil"/>
              <w:left w:val="nil"/>
              <w:right w:val="nil"/>
            </w:tcBorders>
          </w:tcPr>
          <w:p>
            <w:pPr>
              <w:pStyle w:val="TableParagraph"/>
              <w:spacing w:before="33"/>
              <w:ind w:right="56"/>
              <w:rPr>
                <w:sz w:val="19"/>
              </w:rPr>
            </w:pPr>
            <w:r>
              <w:rPr>
                <w:sz w:val="19"/>
              </w:rPr>
              <w:t>100.00</w:t>
            </w:r>
          </w:p>
        </w:tc>
      </w:tr>
    </w:tbl>
    <w:p>
      <w:pPr>
        <w:spacing w:line="237" w:lineRule="auto" w:before="0"/>
        <w:ind w:left="187" w:right="1080" w:firstLine="0"/>
        <w:jc w:val="left"/>
        <w:rPr>
          <w:sz w:val="16"/>
        </w:rPr>
      </w:pPr>
      <w:r>
        <w:rPr>
          <w:sz w:val="16"/>
        </w:rPr>
        <w:t>Fuente: elaboración propia con base en Encuesta Nacional de Ocupación Y Empleo 2013, Módulo de Trabajo Infantil, INEGI, 2013.</w:t>
      </w:r>
    </w:p>
    <w:p>
      <w:pPr>
        <w:pStyle w:val="BodyText"/>
        <w:spacing w:before="7"/>
        <w:rPr>
          <w:sz w:val="11"/>
        </w:rPr>
      </w:pPr>
    </w:p>
    <w:p>
      <w:pPr>
        <w:pStyle w:val="BodyText"/>
        <w:spacing w:line="249" w:lineRule="auto" w:before="74"/>
        <w:ind w:left="113" w:right="107" w:firstLine="283"/>
        <w:jc w:val="both"/>
      </w:pPr>
      <w:r>
        <w:rPr>
          <w:color w:val="231F20"/>
        </w:rPr>
        <w:t>Un</w:t>
      </w:r>
      <w:r>
        <w:rPr>
          <w:color w:val="231F20"/>
          <w:spacing w:val="-9"/>
        </w:rPr>
        <w:t> </w:t>
      </w:r>
      <w:r>
        <w:rPr>
          <w:color w:val="231F20"/>
        </w:rPr>
        <w:t>punto</w:t>
      </w:r>
      <w:r>
        <w:rPr>
          <w:color w:val="231F20"/>
          <w:spacing w:val="-9"/>
        </w:rPr>
        <w:t> </w:t>
      </w:r>
      <w:r>
        <w:rPr>
          <w:color w:val="231F20"/>
        </w:rPr>
        <w:t>importante</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debe</w:t>
      </w:r>
      <w:r>
        <w:rPr>
          <w:color w:val="231F20"/>
          <w:spacing w:val="-9"/>
        </w:rPr>
        <w:t> </w:t>
      </w:r>
      <w:r>
        <w:rPr>
          <w:color w:val="231F20"/>
        </w:rPr>
        <w:t>dejarse</w:t>
      </w:r>
      <w:r>
        <w:rPr>
          <w:color w:val="231F20"/>
          <w:spacing w:val="-9"/>
        </w:rPr>
        <w:t> </w:t>
      </w:r>
      <w:r>
        <w:rPr>
          <w:color w:val="231F20"/>
        </w:rPr>
        <w:t>fuera</w:t>
      </w:r>
      <w:r>
        <w:rPr>
          <w:color w:val="231F20"/>
          <w:spacing w:val="-9"/>
        </w:rPr>
        <w:t> </w:t>
      </w:r>
      <w:r>
        <w:rPr>
          <w:color w:val="231F20"/>
        </w:rPr>
        <w:t>del</w:t>
      </w:r>
      <w:r>
        <w:rPr>
          <w:color w:val="231F20"/>
          <w:spacing w:val="-9"/>
        </w:rPr>
        <w:t> </w:t>
      </w:r>
      <w:r>
        <w:rPr>
          <w:color w:val="231F20"/>
        </w:rPr>
        <w:t>análisis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me- nores</w:t>
      </w:r>
      <w:r>
        <w:rPr>
          <w:color w:val="231F20"/>
          <w:spacing w:val="-5"/>
        </w:rPr>
        <w:t> </w:t>
      </w:r>
      <w:r>
        <w:rPr>
          <w:color w:val="231F20"/>
        </w:rPr>
        <w:t>trabajadores</w:t>
      </w:r>
      <w:r>
        <w:rPr>
          <w:color w:val="231F20"/>
          <w:spacing w:val="-6"/>
        </w:rPr>
        <w:t> </w:t>
      </w:r>
      <w:r>
        <w:rPr>
          <w:color w:val="231F20"/>
        </w:rPr>
        <w:t>y</w:t>
      </w:r>
      <w:r>
        <w:rPr>
          <w:color w:val="231F20"/>
          <w:spacing w:val="-5"/>
        </w:rPr>
        <w:t> </w:t>
      </w:r>
      <w:r>
        <w:rPr>
          <w:color w:val="231F20"/>
        </w:rPr>
        <w:t>la</w:t>
      </w:r>
      <w:r>
        <w:rPr>
          <w:color w:val="231F20"/>
          <w:spacing w:val="-5"/>
        </w:rPr>
        <w:t> </w:t>
      </w:r>
      <w:r>
        <w:rPr>
          <w:color w:val="231F20"/>
        </w:rPr>
        <w:t>asistencia</w:t>
      </w:r>
      <w:r>
        <w:rPr>
          <w:color w:val="231F20"/>
          <w:spacing w:val="-6"/>
        </w:rPr>
        <w:t> </w:t>
      </w:r>
      <w:r>
        <w:rPr>
          <w:color w:val="231F20"/>
        </w:rPr>
        <w:t>escolar,</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rezago</w:t>
      </w:r>
      <w:r>
        <w:rPr>
          <w:color w:val="231F20"/>
          <w:spacing w:val="-5"/>
        </w:rPr>
        <w:t> </w:t>
      </w:r>
      <w:r>
        <w:rPr>
          <w:color w:val="231F20"/>
        </w:rPr>
        <w:t>escolar</w:t>
      </w:r>
      <w:r>
        <w:rPr>
          <w:color w:val="231F20"/>
          <w:spacing w:val="-6"/>
        </w:rPr>
        <w:t> </w:t>
      </w:r>
      <w:r>
        <w:rPr>
          <w:color w:val="231F20"/>
        </w:rPr>
        <w:t>que</w:t>
      </w:r>
      <w:r>
        <w:rPr>
          <w:color w:val="231F20"/>
          <w:spacing w:val="-5"/>
        </w:rPr>
        <w:t> </w:t>
      </w:r>
      <w:r>
        <w:rPr>
          <w:color w:val="231F20"/>
        </w:rPr>
        <w:t>se</w:t>
      </w:r>
      <w:r>
        <w:rPr>
          <w:color w:val="231F20"/>
          <w:spacing w:val="-5"/>
        </w:rPr>
        <w:t> </w:t>
      </w:r>
      <w:r>
        <w:rPr>
          <w:color w:val="231F20"/>
        </w:rPr>
        <w:t>pre- senta</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grupo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La</w:t>
      </w:r>
      <w:r>
        <w:rPr>
          <w:color w:val="231F20"/>
          <w:spacing w:val="-5"/>
        </w:rPr>
        <w:t> </w:t>
      </w:r>
      <w:r>
        <w:rPr>
          <w:color w:val="231F20"/>
        </w:rPr>
        <w:t>Encuesta</w:t>
      </w:r>
      <w:r>
        <w:rPr>
          <w:color w:val="231F20"/>
          <w:spacing w:val="-5"/>
        </w:rPr>
        <w:t> </w:t>
      </w:r>
      <w:r>
        <w:rPr>
          <w:color w:val="231F20"/>
        </w:rPr>
        <w:t>Nacional</w:t>
      </w:r>
      <w:r>
        <w:rPr>
          <w:color w:val="231F20"/>
          <w:spacing w:val="-4"/>
        </w:rPr>
        <w:t> </w:t>
      </w:r>
      <w:r>
        <w:rPr>
          <w:color w:val="231F20"/>
        </w:rPr>
        <w:t>de</w:t>
      </w:r>
      <w:r>
        <w:rPr>
          <w:color w:val="231F20"/>
          <w:spacing w:val="-5"/>
        </w:rPr>
        <w:t> </w:t>
      </w:r>
      <w:r>
        <w:rPr>
          <w:color w:val="231F20"/>
        </w:rPr>
        <w:t>Ocupación y Empleo y el Módulo del Trabajo Infantil señala que 2.51 por ciento de la</w:t>
      </w:r>
      <w:r>
        <w:rPr>
          <w:color w:val="231F20"/>
          <w:spacing w:val="-6"/>
        </w:rPr>
        <w:t> </w:t>
      </w:r>
      <w:r>
        <w:rPr>
          <w:color w:val="231F20"/>
        </w:rPr>
        <w:t>población</w:t>
      </w:r>
      <w:r>
        <w:rPr>
          <w:color w:val="231F20"/>
          <w:spacing w:val="-6"/>
        </w:rPr>
        <w:t> </w:t>
      </w:r>
      <w:r>
        <w:rPr>
          <w:color w:val="231F20"/>
        </w:rPr>
        <w:t>ocupada</w:t>
      </w:r>
      <w:r>
        <w:rPr>
          <w:color w:val="231F20"/>
          <w:spacing w:val="-6"/>
        </w:rPr>
        <w:t> </w:t>
      </w:r>
      <w:r>
        <w:rPr>
          <w:color w:val="231F20"/>
        </w:rPr>
        <w:t>entre</w:t>
      </w:r>
      <w:r>
        <w:rPr>
          <w:color w:val="231F20"/>
          <w:spacing w:val="-7"/>
        </w:rPr>
        <w:t> </w:t>
      </w:r>
      <w:r>
        <w:rPr>
          <w:color w:val="231F20"/>
        </w:rPr>
        <w:t>los</w:t>
      </w:r>
      <w:r>
        <w:rPr>
          <w:color w:val="231F20"/>
          <w:spacing w:val="-6"/>
        </w:rPr>
        <w:t> </w:t>
      </w:r>
      <w:r>
        <w:rPr>
          <w:color w:val="231F20"/>
        </w:rPr>
        <w:t>cinco</w:t>
      </w:r>
      <w:r>
        <w:rPr>
          <w:color w:val="231F20"/>
          <w:spacing w:val="-7"/>
        </w:rPr>
        <w:t> </w:t>
      </w:r>
      <w:r>
        <w:rPr>
          <w:color w:val="231F20"/>
        </w:rPr>
        <w:t>y</w:t>
      </w:r>
      <w:r>
        <w:rPr>
          <w:color w:val="231F20"/>
          <w:spacing w:val="-6"/>
        </w:rPr>
        <w:t> </w:t>
      </w:r>
      <w:r>
        <w:rPr>
          <w:color w:val="231F20"/>
        </w:rPr>
        <w:t>once</w:t>
      </w:r>
      <w:r>
        <w:rPr>
          <w:color w:val="231F20"/>
          <w:spacing w:val="-6"/>
        </w:rPr>
        <w:t> </w:t>
      </w:r>
      <w:r>
        <w:rPr>
          <w:color w:val="231F20"/>
        </w:rPr>
        <w:t>años</w:t>
      </w:r>
      <w:r>
        <w:rPr>
          <w:color w:val="231F20"/>
          <w:spacing w:val="-6"/>
        </w:rPr>
        <w:t> </w:t>
      </w:r>
      <w:r>
        <w:rPr>
          <w:color w:val="231F20"/>
        </w:rPr>
        <w:t>de</w:t>
      </w:r>
      <w:r>
        <w:rPr>
          <w:color w:val="231F20"/>
          <w:spacing w:val="-6"/>
        </w:rPr>
        <w:t> </w:t>
      </w:r>
      <w:r>
        <w:rPr>
          <w:color w:val="231F20"/>
        </w:rPr>
        <w:t>edad</w:t>
      </w:r>
      <w:r>
        <w:rPr>
          <w:color w:val="231F20"/>
          <w:spacing w:val="-7"/>
        </w:rPr>
        <w:t> </w:t>
      </w:r>
      <w:r>
        <w:rPr>
          <w:color w:val="231F20"/>
        </w:rPr>
        <w:t>no</w:t>
      </w:r>
      <w:r>
        <w:rPr>
          <w:color w:val="231F20"/>
          <w:spacing w:val="-6"/>
        </w:rPr>
        <w:t> </w:t>
      </w:r>
      <w:r>
        <w:rPr>
          <w:color w:val="231F20"/>
        </w:rPr>
        <w:t>ha</w:t>
      </w:r>
      <w:r>
        <w:rPr>
          <w:color w:val="231F20"/>
          <w:spacing w:val="-6"/>
        </w:rPr>
        <w:t> </w:t>
      </w:r>
      <w:r>
        <w:rPr>
          <w:color w:val="231F20"/>
        </w:rPr>
        <w:t>aprobado ningún grado educativo, mientras que más de 75 por ciento de la pobla- ción en cuestión cursa algún grado escolar que no corresponde con su edad; estos datos confirman el argumento planteado por Knaul (2006) y Siaens y </w:t>
      </w:r>
      <w:r>
        <w:rPr>
          <w:color w:val="231F20"/>
          <w:spacing w:val="-4"/>
        </w:rPr>
        <w:t>Wodon </w:t>
      </w:r>
      <w:r>
        <w:rPr>
          <w:color w:val="231F20"/>
        </w:rPr>
        <w:t>(2006), es decir, al realizar actividades extradomésticas se reducen los niveles de asistencia y el aprovechamiento</w:t>
      </w:r>
      <w:r>
        <w:rPr>
          <w:color w:val="231F20"/>
          <w:spacing w:val="-16"/>
        </w:rPr>
        <w:t> </w:t>
      </w:r>
      <w:r>
        <w:rPr>
          <w:color w:val="231F20"/>
        </w:rPr>
        <w:t>escolar.</w:t>
      </w:r>
    </w:p>
    <w:p>
      <w:pPr>
        <w:pStyle w:val="Heading4"/>
      </w:pPr>
      <w:r>
        <w:rPr>
          <w:w w:val="75"/>
        </w:rPr>
        <w:t>Estructura ocupacional por sectores de la producción</w:t>
      </w:r>
    </w:p>
    <w:p>
      <w:pPr>
        <w:pStyle w:val="BodyText"/>
        <w:spacing w:line="249" w:lineRule="auto" w:before="171"/>
        <w:ind w:left="113" w:right="108"/>
        <w:jc w:val="both"/>
      </w:pPr>
      <w:r>
        <w:rPr>
          <w:color w:val="231F20"/>
        </w:rPr>
        <w:t>La UNICEF (2009), en su informe sobre trabajo infantil en México, se- ñala que los menores trabajadores se desempeñan principalmente en el sector agrícola, seguido del sector servicios y del industrial. Cabe men- cionar que el estudio del trabajo infantil por sectores de la producción</w:t>
      </w:r>
      <w:r>
        <w:rPr>
          <w:color w:val="231F20"/>
          <w:spacing w:val="-30"/>
        </w:rPr>
        <w:t> </w:t>
      </w:r>
      <w:r>
        <w:rPr>
          <w:color w:val="231F20"/>
        </w:rPr>
        <w:t>es importante,</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autores</w:t>
      </w:r>
      <w:r>
        <w:rPr>
          <w:color w:val="231F20"/>
          <w:spacing w:val="-4"/>
        </w:rPr>
        <w:t> </w:t>
      </w:r>
      <w:r>
        <w:rPr>
          <w:color w:val="231F20"/>
        </w:rPr>
        <w:t>como</w:t>
      </w:r>
      <w:r>
        <w:rPr>
          <w:color w:val="231F20"/>
          <w:spacing w:val="-4"/>
        </w:rPr>
        <w:t> </w:t>
      </w:r>
      <w:r>
        <w:rPr>
          <w:color w:val="231F20"/>
        </w:rPr>
        <w:t>Estrada</w:t>
      </w:r>
      <w:r>
        <w:rPr>
          <w:color w:val="231F20"/>
          <w:spacing w:val="-4"/>
        </w:rPr>
        <w:t> </w:t>
      </w:r>
      <w:r>
        <w:rPr>
          <w:color w:val="231F20"/>
        </w:rPr>
        <w:t>(2005),</w:t>
      </w:r>
      <w:r>
        <w:rPr>
          <w:color w:val="231F20"/>
          <w:spacing w:val="-4"/>
        </w:rPr>
        <w:t> </w:t>
      </w:r>
      <w:r>
        <w:rPr>
          <w:color w:val="231F20"/>
        </w:rPr>
        <w:t>López</w:t>
      </w:r>
      <w:r>
        <w:rPr>
          <w:color w:val="231F20"/>
          <w:spacing w:val="-4"/>
        </w:rPr>
        <w:t> </w:t>
      </w:r>
      <w:r>
        <w:rPr>
          <w:color w:val="231F20"/>
        </w:rPr>
        <w:t>(2006),</w:t>
      </w:r>
      <w:r>
        <w:rPr>
          <w:color w:val="231F20"/>
          <w:spacing w:val="-4"/>
        </w:rPr>
        <w:t> </w:t>
      </w:r>
      <w:r>
        <w:rPr>
          <w:color w:val="231F20"/>
        </w:rPr>
        <w:t>y</w:t>
      </w:r>
      <w:r>
        <w:rPr>
          <w:color w:val="231F20"/>
          <w:spacing w:val="-3"/>
        </w:rPr>
        <w:t> </w:t>
      </w:r>
      <w:r>
        <w:rPr>
          <w:color w:val="231F20"/>
        </w:rPr>
        <w:t>Parker (2006),</w:t>
      </w:r>
      <w:r>
        <w:rPr>
          <w:color w:val="231F20"/>
          <w:spacing w:val="-5"/>
        </w:rPr>
        <w:t> </w:t>
      </w:r>
      <w:r>
        <w:rPr>
          <w:color w:val="231F20"/>
        </w:rPr>
        <w:t>subrayan</w:t>
      </w:r>
      <w:r>
        <w:rPr>
          <w:color w:val="231F20"/>
          <w:spacing w:val="-4"/>
        </w:rPr>
        <w:t> </w:t>
      </w:r>
      <w:r>
        <w:rPr>
          <w:color w:val="231F20"/>
        </w:rPr>
        <w:t>que</w:t>
      </w:r>
      <w:r>
        <w:rPr>
          <w:color w:val="231F20"/>
          <w:spacing w:val="-5"/>
        </w:rPr>
        <w:t> </w:t>
      </w:r>
      <w:r>
        <w:rPr>
          <w:color w:val="231F20"/>
        </w:rPr>
        <w:t>los</w:t>
      </w:r>
      <w:r>
        <w:rPr>
          <w:color w:val="231F20"/>
          <w:spacing w:val="-5"/>
        </w:rPr>
        <w:t> </w:t>
      </w:r>
      <w:r>
        <w:rPr>
          <w:color w:val="231F20"/>
        </w:rPr>
        <w:t>altos</w:t>
      </w:r>
      <w:r>
        <w:rPr>
          <w:color w:val="231F20"/>
          <w:spacing w:val="-5"/>
        </w:rPr>
        <w:t> </w:t>
      </w:r>
      <w:r>
        <w:rPr>
          <w:color w:val="231F20"/>
        </w:rPr>
        <w:t>niveles</w:t>
      </w:r>
      <w:r>
        <w:rPr>
          <w:color w:val="231F20"/>
          <w:spacing w:val="-5"/>
        </w:rPr>
        <w:t> </w:t>
      </w:r>
      <w:r>
        <w:rPr>
          <w:color w:val="231F20"/>
        </w:rPr>
        <w:t>de</w:t>
      </w:r>
      <w:r>
        <w:rPr>
          <w:color w:val="231F20"/>
          <w:spacing w:val="-5"/>
        </w:rPr>
        <w:t> </w:t>
      </w:r>
      <w:r>
        <w:rPr>
          <w:color w:val="231F20"/>
        </w:rPr>
        <w:t>menores</w:t>
      </w:r>
      <w:r>
        <w:rPr>
          <w:color w:val="231F20"/>
          <w:spacing w:val="-5"/>
        </w:rPr>
        <w:t> </w:t>
      </w:r>
      <w:r>
        <w:rPr>
          <w:color w:val="231F20"/>
        </w:rPr>
        <w:t>trabajadores</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sec-</w:t>
      </w:r>
    </w:p>
    <w:p>
      <w:pPr>
        <w:spacing w:after="0" w:line="249" w:lineRule="auto"/>
        <w:jc w:val="both"/>
        <w:sectPr>
          <w:footerReference w:type="default" r:id="rId294"/>
          <w:pgSz w:w="7770" w:h="11740"/>
          <w:pgMar w:footer="474" w:header="0" w:top="1060" w:bottom="660" w:left="1020" w:right="740"/>
          <w:pgNumType w:start="293"/>
        </w:sectPr>
      </w:pPr>
    </w:p>
    <w:p>
      <w:pPr>
        <w:pStyle w:val="BodyText"/>
        <w:spacing w:line="249" w:lineRule="auto" w:before="60"/>
        <w:ind w:left="110" w:right="110"/>
        <w:jc w:val="both"/>
      </w:pPr>
      <w:r>
        <w:rPr>
          <w:color w:val="231F20"/>
        </w:rPr>
        <w:t>tor primario forman parte de un proceso de socialización y aprendizaje, de</w:t>
      </w:r>
      <w:r>
        <w:rPr>
          <w:color w:val="231F20"/>
          <w:spacing w:val="-4"/>
        </w:rPr>
        <w:t> </w:t>
      </w:r>
      <w:r>
        <w:rPr>
          <w:color w:val="231F20"/>
        </w:rPr>
        <w:t>tal</w:t>
      </w:r>
      <w:r>
        <w:rPr>
          <w:color w:val="231F20"/>
          <w:spacing w:val="-4"/>
        </w:rPr>
        <w:t> </w:t>
      </w:r>
      <w:r>
        <w:rPr>
          <w:color w:val="231F20"/>
        </w:rPr>
        <w:t>suerte</w:t>
      </w:r>
      <w:r>
        <w:rPr>
          <w:color w:val="231F20"/>
          <w:spacing w:val="-3"/>
        </w:rPr>
        <w:t> </w:t>
      </w:r>
      <w:r>
        <w:rPr>
          <w:color w:val="231F20"/>
        </w:rPr>
        <w:t>que</w:t>
      </w:r>
      <w:r>
        <w:rPr>
          <w:color w:val="231F20"/>
          <w:spacing w:val="-4"/>
        </w:rPr>
        <w:t> </w:t>
      </w:r>
      <w:r>
        <w:rPr>
          <w:color w:val="231F20"/>
        </w:rPr>
        <w:t>los</w:t>
      </w:r>
      <w:r>
        <w:rPr>
          <w:color w:val="231F20"/>
          <w:spacing w:val="-4"/>
        </w:rPr>
        <w:t> </w:t>
      </w:r>
      <w:r>
        <w:rPr>
          <w:color w:val="231F20"/>
        </w:rPr>
        <w:t>menores</w:t>
      </w:r>
      <w:r>
        <w:rPr>
          <w:color w:val="231F20"/>
          <w:spacing w:val="-4"/>
        </w:rPr>
        <w:t> </w:t>
      </w:r>
      <w:r>
        <w:rPr>
          <w:color w:val="231F20"/>
        </w:rPr>
        <w:t>son</w:t>
      </w:r>
      <w:r>
        <w:rPr>
          <w:color w:val="231F20"/>
          <w:spacing w:val="-4"/>
        </w:rPr>
        <w:t> </w:t>
      </w:r>
      <w:r>
        <w:rPr>
          <w:color w:val="231F20"/>
        </w:rPr>
        <w:t>introducidos</w:t>
      </w:r>
      <w:r>
        <w:rPr>
          <w:color w:val="231F20"/>
          <w:spacing w:val="-5"/>
        </w:rPr>
        <w:t> </w:t>
      </w:r>
      <w:r>
        <w:rPr>
          <w:color w:val="231F20"/>
        </w:rPr>
        <w:t>a</w:t>
      </w:r>
      <w:r>
        <w:rPr>
          <w:color w:val="231F20"/>
          <w:spacing w:val="-4"/>
        </w:rPr>
        <w:t> </w:t>
      </w:r>
      <w:r>
        <w:rPr>
          <w:color w:val="231F20"/>
        </w:rPr>
        <w:t>edades</w:t>
      </w:r>
      <w:r>
        <w:rPr>
          <w:color w:val="231F20"/>
          <w:spacing w:val="-4"/>
        </w:rPr>
        <w:t> </w:t>
      </w:r>
      <w:r>
        <w:rPr>
          <w:color w:val="231F20"/>
        </w:rPr>
        <w:t>tempranas</w:t>
      </w:r>
      <w:r>
        <w:rPr>
          <w:color w:val="231F20"/>
          <w:spacing w:val="-4"/>
        </w:rPr>
        <w:t> </w:t>
      </w:r>
      <w:r>
        <w:rPr>
          <w:color w:val="231F20"/>
        </w:rPr>
        <w:t>en</w:t>
      </w:r>
      <w:r>
        <w:rPr>
          <w:color w:val="231F20"/>
          <w:spacing w:val="-4"/>
        </w:rPr>
        <w:t> </w:t>
      </w:r>
      <w:r>
        <w:rPr>
          <w:color w:val="231F20"/>
        </w:rPr>
        <w:t>las labores</w:t>
      </w:r>
      <w:r>
        <w:rPr>
          <w:color w:val="231F20"/>
          <w:spacing w:val="-1"/>
        </w:rPr>
        <w:t> </w:t>
      </w:r>
      <w:r>
        <w:rPr>
          <w:color w:val="231F20"/>
        </w:rPr>
        <w:t>productivas.</w:t>
      </w:r>
    </w:p>
    <w:p>
      <w:pPr>
        <w:pStyle w:val="BodyText"/>
        <w:spacing w:line="249" w:lineRule="auto" w:before="1"/>
        <w:ind w:left="110" w:right="111" w:firstLine="283"/>
        <w:jc w:val="both"/>
      </w:pPr>
      <w:r>
        <w:rPr>
          <w:color w:val="231F20"/>
        </w:rPr>
        <w:t>Los datos referentes al sector de actividad en el año 2013 confirman que es el sector agrícola el que concentra a más menores trabajando;    en términos absolutos se estima que hay 205,787 niños trabajadores, de los cuales 81 por ciento son niños y 19 por ciento niñas. Por su parte, la industria manufacturera concentra a 60,579, 56 por ciento varones y el resto niñas, el sector de la construcción registra un total de 4,466 meno- res, prácticamente todos los varones. En el sector comercio trabaja un total de 168,952 menores, 37 por ciento niñas y 63 por ciento varones y en</w:t>
      </w:r>
      <w:r>
        <w:rPr>
          <w:color w:val="231F20"/>
          <w:spacing w:val="-6"/>
        </w:rPr>
        <w:t> </w:t>
      </w:r>
      <w:r>
        <w:rPr>
          <w:color w:val="231F20"/>
        </w:rPr>
        <w:t>el</w:t>
      </w:r>
      <w:r>
        <w:rPr>
          <w:color w:val="231F20"/>
          <w:spacing w:val="-5"/>
        </w:rPr>
        <w:t> </w:t>
      </w:r>
      <w:r>
        <w:rPr>
          <w:color w:val="231F20"/>
        </w:rPr>
        <w:t>sector</w:t>
      </w:r>
      <w:r>
        <w:rPr>
          <w:color w:val="231F20"/>
          <w:spacing w:val="-5"/>
        </w:rPr>
        <w:t> </w:t>
      </w:r>
      <w:r>
        <w:rPr>
          <w:color w:val="231F20"/>
        </w:rPr>
        <w:t>servicios</w:t>
      </w:r>
      <w:r>
        <w:rPr>
          <w:color w:val="231F20"/>
          <w:spacing w:val="-5"/>
        </w:rPr>
        <w:t> </w:t>
      </w:r>
      <w:r>
        <w:rPr>
          <w:color w:val="231F20"/>
        </w:rPr>
        <w:t>se</w:t>
      </w:r>
      <w:r>
        <w:rPr>
          <w:color w:val="231F20"/>
          <w:spacing w:val="-5"/>
        </w:rPr>
        <w:t> </w:t>
      </w:r>
      <w:r>
        <w:rPr>
          <w:color w:val="231F20"/>
        </w:rPr>
        <w:t>registra</w:t>
      </w:r>
      <w:r>
        <w:rPr>
          <w:color w:val="231F20"/>
          <w:spacing w:val="-5"/>
        </w:rPr>
        <w:t> </w:t>
      </w:r>
      <w:r>
        <w:rPr>
          <w:color w:val="231F20"/>
        </w:rPr>
        <w:t>a</w:t>
      </w:r>
      <w:r>
        <w:rPr>
          <w:color w:val="231F20"/>
          <w:spacing w:val="-5"/>
        </w:rPr>
        <w:t> </w:t>
      </w:r>
      <w:r>
        <w:rPr>
          <w:color w:val="231F20"/>
        </w:rPr>
        <w:t>11,469</w:t>
      </w:r>
      <w:r>
        <w:rPr>
          <w:color w:val="231F20"/>
          <w:spacing w:val="-5"/>
        </w:rPr>
        <w:t> </w:t>
      </w:r>
      <w:r>
        <w:rPr>
          <w:color w:val="231F20"/>
        </w:rPr>
        <w:t>niños</w:t>
      </w:r>
      <w:r>
        <w:rPr>
          <w:color w:val="231F20"/>
          <w:spacing w:val="-5"/>
        </w:rPr>
        <w:t> </w:t>
      </w:r>
      <w:r>
        <w:rPr>
          <w:color w:val="231F20"/>
        </w:rPr>
        <w:t>trabajando</w:t>
      </w:r>
      <w:r>
        <w:rPr>
          <w:color w:val="231F20"/>
          <w:spacing w:val="-6"/>
        </w:rPr>
        <w:t> </w:t>
      </w:r>
      <w:r>
        <w:rPr>
          <w:color w:val="231F20"/>
        </w:rPr>
        <w:t>(65</w:t>
      </w:r>
      <w:r>
        <w:rPr>
          <w:color w:val="231F20"/>
          <w:spacing w:val="-5"/>
        </w:rPr>
        <w:t> </w:t>
      </w:r>
      <w:r>
        <w:rPr>
          <w:color w:val="231F20"/>
        </w:rPr>
        <w:t>por</w:t>
      </w:r>
      <w:r>
        <w:rPr>
          <w:color w:val="231F20"/>
          <w:spacing w:val="-5"/>
        </w:rPr>
        <w:t> </w:t>
      </w:r>
      <w:r>
        <w:rPr>
          <w:color w:val="231F20"/>
        </w:rPr>
        <w:t>ciento varones y 35 por ciento niñas). El resto de los menores no especificaron su actividad laboral (Gráfica</w:t>
      </w:r>
      <w:r>
        <w:rPr>
          <w:color w:val="231F20"/>
          <w:spacing w:val="-11"/>
        </w:rPr>
        <w:t> </w:t>
      </w:r>
      <w:r>
        <w:rPr>
          <w:color w:val="231F20"/>
        </w:rPr>
        <w:t>4).</w:t>
      </w:r>
    </w:p>
    <w:p>
      <w:pPr>
        <w:pStyle w:val="BodyText"/>
        <w:spacing w:line="249" w:lineRule="auto" w:before="1"/>
        <w:ind w:left="110" w:right="111" w:firstLine="283"/>
        <w:jc w:val="both"/>
      </w:pPr>
      <w:r>
        <w:rPr>
          <w:color w:val="231F20"/>
        </w:rPr>
        <w:t>Las estadísticas para los menores de cinco a once años señalan que: 36</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menores</w:t>
      </w:r>
      <w:r>
        <w:rPr>
          <w:color w:val="231F20"/>
          <w:spacing w:val="-10"/>
        </w:rPr>
        <w:t> </w:t>
      </w:r>
      <w:r>
        <w:rPr>
          <w:color w:val="231F20"/>
        </w:rPr>
        <w:t>trabajadores</w:t>
      </w:r>
      <w:r>
        <w:rPr>
          <w:color w:val="231F20"/>
          <w:spacing w:val="-10"/>
        </w:rPr>
        <w:t> </w:t>
      </w:r>
      <w:r>
        <w:rPr>
          <w:color w:val="231F20"/>
        </w:rPr>
        <w:t>se</w:t>
      </w:r>
      <w:r>
        <w:rPr>
          <w:color w:val="231F20"/>
          <w:spacing w:val="-9"/>
        </w:rPr>
        <w:t> </w:t>
      </w:r>
      <w:r>
        <w:rPr>
          <w:color w:val="231F20"/>
        </w:rPr>
        <w:t>desempeña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sector</w:t>
      </w:r>
      <w:r>
        <w:rPr>
          <w:color w:val="231F20"/>
          <w:spacing w:val="-9"/>
        </w:rPr>
        <w:t> </w:t>
      </w:r>
      <w:r>
        <w:rPr>
          <w:color w:val="231F20"/>
        </w:rPr>
        <w:t>agrí- cola,</w:t>
      </w:r>
      <w:r>
        <w:rPr>
          <w:color w:val="231F20"/>
          <w:spacing w:val="-11"/>
        </w:rPr>
        <w:t> </w:t>
      </w:r>
      <w:r>
        <w:rPr>
          <w:color w:val="231F20"/>
        </w:rPr>
        <w:t>29</w:t>
      </w:r>
      <w:r>
        <w:rPr>
          <w:color w:val="231F20"/>
          <w:spacing w:val="-11"/>
        </w:rPr>
        <w:t> </w:t>
      </w:r>
      <w:r>
        <w:rPr>
          <w:color w:val="231F20"/>
        </w:rPr>
        <w:t>por</w:t>
      </w:r>
      <w:r>
        <w:rPr>
          <w:color w:val="231F20"/>
          <w:spacing w:val="-11"/>
        </w:rPr>
        <w:t> </w:t>
      </w:r>
      <w:r>
        <w:rPr>
          <w:color w:val="231F20"/>
        </w:rPr>
        <w:t>ciento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sector</w:t>
      </w:r>
      <w:r>
        <w:rPr>
          <w:color w:val="231F20"/>
          <w:spacing w:val="-10"/>
        </w:rPr>
        <w:t> </w:t>
      </w:r>
      <w:r>
        <w:rPr>
          <w:color w:val="231F20"/>
        </w:rPr>
        <w:t>comercio</w:t>
      </w:r>
      <w:r>
        <w:rPr>
          <w:color w:val="231F20"/>
          <w:spacing w:val="-11"/>
        </w:rPr>
        <w:t> </w:t>
      </w:r>
      <w:r>
        <w:rPr>
          <w:color w:val="231F20"/>
        </w:rPr>
        <w:t>y</w:t>
      </w:r>
      <w:r>
        <w:rPr>
          <w:color w:val="231F20"/>
          <w:spacing w:val="-11"/>
        </w:rPr>
        <w:t> </w:t>
      </w:r>
      <w:r>
        <w:rPr>
          <w:color w:val="231F20"/>
        </w:rPr>
        <w:t>aproximadamente</w:t>
      </w:r>
      <w:r>
        <w:rPr>
          <w:color w:val="231F20"/>
          <w:spacing w:val="-11"/>
        </w:rPr>
        <w:t> </w:t>
      </w:r>
      <w:r>
        <w:rPr>
          <w:color w:val="231F20"/>
        </w:rPr>
        <w:t>20</w:t>
      </w:r>
      <w:r>
        <w:rPr>
          <w:color w:val="231F20"/>
          <w:spacing w:val="-11"/>
        </w:rPr>
        <w:t> </w:t>
      </w:r>
      <w:r>
        <w:rPr>
          <w:color w:val="231F20"/>
        </w:rPr>
        <w:t>por</w:t>
      </w:r>
      <w:r>
        <w:rPr>
          <w:color w:val="231F20"/>
          <w:spacing w:val="-11"/>
        </w:rPr>
        <w:t> </w:t>
      </w:r>
      <w:r>
        <w:rPr>
          <w:color w:val="231F20"/>
        </w:rPr>
        <w:t>cien- to en el sector servicios. El sector de producción que registra una menor incidencia del trabajo de niños de cinco a once años de edad es el sector de la construcción con 0.79 por</w:t>
      </w:r>
      <w:r>
        <w:rPr>
          <w:color w:val="231F20"/>
          <w:spacing w:val="-2"/>
        </w:rPr>
        <w:t> </w:t>
      </w:r>
      <w:r>
        <w:rPr>
          <w:color w:val="231F20"/>
        </w:rPr>
        <w:t>ciento.</w:t>
      </w:r>
    </w:p>
    <w:p>
      <w:pPr>
        <w:pStyle w:val="BodyText"/>
        <w:spacing w:line="249" w:lineRule="auto" w:before="1"/>
        <w:ind w:left="110" w:right="111" w:firstLine="283"/>
        <w:jc w:val="both"/>
      </w:pPr>
      <w:r>
        <w:rPr>
          <w:color w:val="231F20"/>
        </w:rPr>
        <w:t>Al</w:t>
      </w:r>
      <w:r>
        <w:rPr>
          <w:color w:val="231F20"/>
          <w:spacing w:val="-9"/>
        </w:rPr>
        <w:t> </w:t>
      </w:r>
      <w:r>
        <w:rPr>
          <w:color w:val="231F20"/>
        </w:rPr>
        <w:t>desagregar</w:t>
      </w:r>
      <w:r>
        <w:rPr>
          <w:color w:val="231F20"/>
          <w:spacing w:val="-9"/>
        </w:rPr>
        <w:t> </w:t>
      </w:r>
      <w:r>
        <w:rPr>
          <w:color w:val="231F20"/>
        </w:rPr>
        <w:t>las</w:t>
      </w:r>
      <w:r>
        <w:rPr>
          <w:color w:val="231F20"/>
          <w:spacing w:val="-9"/>
        </w:rPr>
        <w:t> </w:t>
      </w:r>
      <w:r>
        <w:rPr>
          <w:color w:val="231F20"/>
        </w:rPr>
        <w:t>edades</w:t>
      </w:r>
      <w:r>
        <w:rPr>
          <w:color w:val="231F20"/>
          <w:spacing w:val="-10"/>
        </w:rPr>
        <w:t> </w:t>
      </w:r>
      <w:r>
        <w:rPr>
          <w:color w:val="231F20"/>
        </w:rPr>
        <w:t>del</w:t>
      </w:r>
      <w:r>
        <w:rPr>
          <w:color w:val="231F20"/>
          <w:spacing w:val="-9"/>
        </w:rPr>
        <w:t> </w:t>
      </w:r>
      <w:r>
        <w:rPr>
          <w:color w:val="231F20"/>
        </w:rPr>
        <w:t>grupo</w:t>
      </w:r>
      <w:r>
        <w:rPr>
          <w:color w:val="231F20"/>
          <w:spacing w:val="-9"/>
        </w:rPr>
        <w:t> </w:t>
      </w:r>
      <w:r>
        <w:rPr>
          <w:color w:val="231F20"/>
        </w:rPr>
        <w:t>de</w:t>
      </w:r>
      <w:r>
        <w:rPr>
          <w:color w:val="231F20"/>
          <w:spacing w:val="-9"/>
        </w:rPr>
        <w:t> </w:t>
      </w:r>
      <w:r>
        <w:rPr>
          <w:color w:val="231F20"/>
        </w:rPr>
        <w:t>cinco</w:t>
      </w:r>
      <w:r>
        <w:rPr>
          <w:color w:val="231F20"/>
          <w:spacing w:val="-9"/>
        </w:rPr>
        <w:t> </w:t>
      </w:r>
      <w:r>
        <w:rPr>
          <w:color w:val="231F20"/>
        </w:rPr>
        <w:t>a</w:t>
      </w:r>
      <w:r>
        <w:rPr>
          <w:color w:val="231F20"/>
          <w:spacing w:val="-9"/>
        </w:rPr>
        <w:t> </w:t>
      </w:r>
      <w:r>
        <w:rPr>
          <w:color w:val="231F20"/>
        </w:rPr>
        <w:t>once</w:t>
      </w:r>
      <w:r>
        <w:rPr>
          <w:color w:val="231F20"/>
          <w:spacing w:val="-9"/>
        </w:rPr>
        <w:t> </w:t>
      </w:r>
      <w:r>
        <w:rPr>
          <w:color w:val="231F20"/>
        </w:rPr>
        <w:t>años,</w:t>
      </w:r>
      <w:r>
        <w:rPr>
          <w:color w:val="231F20"/>
          <w:spacing w:val="-10"/>
        </w:rPr>
        <w:t> </w:t>
      </w:r>
      <w:r>
        <w:rPr>
          <w:color w:val="231F20"/>
        </w:rPr>
        <w:t>se</w:t>
      </w:r>
      <w:r>
        <w:rPr>
          <w:color w:val="231F20"/>
          <w:spacing w:val="-9"/>
        </w:rPr>
        <w:t> </w:t>
      </w:r>
      <w:r>
        <w:rPr>
          <w:color w:val="231F20"/>
        </w:rPr>
        <w:t>encuentra que</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cinco</w:t>
      </w:r>
      <w:r>
        <w:rPr>
          <w:color w:val="231F20"/>
          <w:spacing w:val="-11"/>
        </w:rPr>
        <w:t> </w:t>
      </w:r>
      <w:r>
        <w:rPr>
          <w:color w:val="231F20"/>
        </w:rPr>
        <w:t>años</w:t>
      </w:r>
      <w:r>
        <w:rPr>
          <w:color w:val="231F20"/>
          <w:spacing w:val="-11"/>
        </w:rPr>
        <w:t> </w:t>
      </w:r>
      <w:r>
        <w:rPr>
          <w:color w:val="231F20"/>
        </w:rPr>
        <w:t>de</w:t>
      </w:r>
      <w:r>
        <w:rPr>
          <w:color w:val="231F20"/>
          <w:spacing w:val="-11"/>
        </w:rPr>
        <w:t> </w:t>
      </w:r>
      <w:r>
        <w:rPr>
          <w:color w:val="231F20"/>
        </w:rPr>
        <w:t>edad</w:t>
      </w:r>
      <w:r>
        <w:rPr>
          <w:color w:val="231F20"/>
          <w:spacing w:val="-11"/>
        </w:rPr>
        <w:t> </w:t>
      </w:r>
      <w:r>
        <w:rPr>
          <w:color w:val="231F20"/>
        </w:rPr>
        <w:t>la</w:t>
      </w:r>
      <w:r>
        <w:rPr>
          <w:color w:val="231F20"/>
          <w:spacing w:val="-11"/>
        </w:rPr>
        <w:t> </w:t>
      </w:r>
      <w:r>
        <w:rPr>
          <w:color w:val="231F20"/>
        </w:rPr>
        <w:t>mayor</w:t>
      </w:r>
      <w:r>
        <w:rPr>
          <w:color w:val="231F20"/>
          <w:spacing w:val="-11"/>
        </w:rPr>
        <w:t> </w:t>
      </w:r>
      <w:r>
        <w:rPr>
          <w:color w:val="231F20"/>
        </w:rPr>
        <w:t>incidencia</w:t>
      </w:r>
      <w:r>
        <w:rPr>
          <w:color w:val="231F20"/>
          <w:spacing w:val="-12"/>
        </w:rPr>
        <w:t> </w:t>
      </w:r>
      <w:r>
        <w:rPr>
          <w:color w:val="231F20"/>
        </w:rPr>
        <w:t>de</w:t>
      </w:r>
      <w:r>
        <w:rPr>
          <w:color w:val="231F20"/>
          <w:spacing w:val="-11"/>
        </w:rPr>
        <w:t> </w:t>
      </w:r>
      <w:r>
        <w:rPr>
          <w:color w:val="231F20"/>
        </w:rPr>
        <w:t>menores</w:t>
      </w:r>
      <w:r>
        <w:rPr>
          <w:color w:val="231F20"/>
          <w:spacing w:val="-11"/>
        </w:rPr>
        <w:t> </w:t>
      </w:r>
      <w:r>
        <w:rPr>
          <w:color w:val="231F20"/>
        </w:rPr>
        <w:t>trabajadores se concentra en el sector manufacturero con 31.9 por ciento, mientras el sector de la construcción no registra menores trabajando de esta</w:t>
      </w:r>
      <w:r>
        <w:rPr>
          <w:color w:val="231F20"/>
          <w:spacing w:val="-9"/>
        </w:rPr>
        <w:t> </w:t>
      </w:r>
      <w:r>
        <w:rPr>
          <w:color w:val="231F20"/>
        </w:rPr>
        <w:t>edad.</w:t>
      </w:r>
    </w:p>
    <w:p>
      <w:pPr>
        <w:pStyle w:val="BodyText"/>
        <w:spacing w:line="249" w:lineRule="auto" w:before="1"/>
        <w:ind w:left="110" w:right="111" w:firstLine="283"/>
        <w:jc w:val="both"/>
      </w:pPr>
      <w:r>
        <w:rPr>
          <w:color w:val="231F20"/>
        </w:rPr>
        <w:t>A</w:t>
      </w:r>
      <w:r>
        <w:rPr>
          <w:color w:val="231F20"/>
          <w:spacing w:val="-16"/>
        </w:rPr>
        <w:t> </w:t>
      </w:r>
      <w:r>
        <w:rPr>
          <w:color w:val="231F20"/>
        </w:rPr>
        <w:t>partir</w:t>
      </w:r>
      <w:r>
        <w:rPr>
          <w:color w:val="231F20"/>
          <w:spacing w:val="-4"/>
        </w:rPr>
        <w:t> </w:t>
      </w:r>
      <w:r>
        <w:rPr>
          <w:color w:val="231F20"/>
        </w:rPr>
        <w:t>de</w:t>
      </w:r>
      <w:r>
        <w:rPr>
          <w:color w:val="231F20"/>
          <w:spacing w:val="-4"/>
        </w:rPr>
        <w:t> </w:t>
      </w:r>
      <w:r>
        <w:rPr>
          <w:color w:val="231F20"/>
        </w:rPr>
        <w:t>los</w:t>
      </w:r>
      <w:r>
        <w:rPr>
          <w:color w:val="231F20"/>
          <w:spacing w:val="-5"/>
        </w:rPr>
        <w:t> </w:t>
      </w:r>
      <w:r>
        <w:rPr>
          <w:color w:val="231F20"/>
        </w:rPr>
        <w:t>seis</w:t>
      </w:r>
      <w:r>
        <w:rPr>
          <w:color w:val="231F20"/>
          <w:spacing w:val="-4"/>
        </w:rPr>
        <w:t> </w:t>
      </w:r>
      <w:r>
        <w:rPr>
          <w:color w:val="231F20"/>
        </w:rPr>
        <w:t>años</w:t>
      </w:r>
      <w:r>
        <w:rPr>
          <w:color w:val="231F20"/>
          <w:spacing w:val="-5"/>
        </w:rPr>
        <w:t> </w:t>
      </w:r>
      <w:r>
        <w:rPr>
          <w:color w:val="231F20"/>
        </w:rPr>
        <w:t>el</w:t>
      </w:r>
      <w:r>
        <w:rPr>
          <w:color w:val="231F20"/>
          <w:spacing w:val="-4"/>
        </w:rPr>
        <w:t> </w:t>
      </w:r>
      <w:r>
        <w:rPr>
          <w:color w:val="231F20"/>
        </w:rPr>
        <w:t>sector</w:t>
      </w:r>
      <w:r>
        <w:rPr>
          <w:color w:val="231F20"/>
          <w:spacing w:val="-4"/>
        </w:rPr>
        <w:t> </w:t>
      </w:r>
      <w:r>
        <w:rPr>
          <w:color w:val="231F20"/>
        </w:rPr>
        <w:t>agropecuario</w:t>
      </w:r>
      <w:r>
        <w:rPr>
          <w:color w:val="231F20"/>
          <w:spacing w:val="-5"/>
        </w:rPr>
        <w:t> </w:t>
      </w:r>
      <w:r>
        <w:rPr>
          <w:color w:val="231F20"/>
        </w:rPr>
        <w:t>se</w:t>
      </w:r>
      <w:r>
        <w:rPr>
          <w:color w:val="231F20"/>
          <w:spacing w:val="-4"/>
        </w:rPr>
        <w:t> </w:t>
      </w:r>
      <w:r>
        <w:rPr>
          <w:color w:val="231F20"/>
        </w:rPr>
        <w:t>convierte</w:t>
      </w:r>
      <w:r>
        <w:rPr>
          <w:color w:val="231F20"/>
          <w:spacing w:val="-5"/>
        </w:rPr>
        <w:t> </w:t>
      </w:r>
      <w:r>
        <w:rPr>
          <w:color w:val="231F20"/>
        </w:rPr>
        <w:t>en</w:t>
      </w:r>
      <w:r>
        <w:rPr>
          <w:color w:val="231F20"/>
          <w:spacing w:val="-5"/>
        </w:rPr>
        <w:t> </w:t>
      </w:r>
      <w:r>
        <w:rPr>
          <w:color w:val="231F20"/>
        </w:rPr>
        <w:t>el</w:t>
      </w:r>
      <w:r>
        <w:rPr>
          <w:color w:val="231F20"/>
          <w:spacing w:val="-4"/>
        </w:rPr>
        <w:t> </w:t>
      </w:r>
      <w:r>
        <w:rPr>
          <w:color w:val="231F20"/>
        </w:rPr>
        <w:t>más importante; así para el grupo de seis a siete años; el sector que registra el mayor porcentaje es el sector agrícola (40.31 por ciento); seguido del sector comercio (27.91 por ciento) y el sector que registró menor inci- dencia fue el sector de la</w:t>
      </w:r>
      <w:r>
        <w:rPr>
          <w:color w:val="231F20"/>
          <w:spacing w:val="-5"/>
        </w:rPr>
        <w:t> </w:t>
      </w:r>
      <w:r>
        <w:rPr>
          <w:color w:val="231F20"/>
        </w:rPr>
        <w:t>construcción.</w:t>
      </w:r>
    </w:p>
    <w:p>
      <w:pPr>
        <w:pStyle w:val="BodyText"/>
        <w:spacing w:line="249" w:lineRule="auto" w:before="1"/>
        <w:ind w:left="110" w:right="111" w:firstLine="283"/>
        <w:jc w:val="both"/>
      </w:pPr>
      <w:r>
        <w:rPr>
          <w:color w:val="231F20"/>
        </w:rPr>
        <w:t>Y en el grupo de ocho a nueve años, nuevamente el sector agrícola fue el que registró el mayor porcentaje con 36.3 por ciento, seguido del sector comercial con 29.71 por ciento. Finalmente, también en el grupo de 10 a 11 años una proporción importante se desempeña en el sector agrícola (36.04 por ciento), pero el sector servicios adquiere mayor im- portancia (30.6 por ciento) (Gráfica 5).</w:t>
      </w:r>
    </w:p>
    <w:p>
      <w:pPr>
        <w:pStyle w:val="BodyText"/>
        <w:spacing w:line="249" w:lineRule="auto" w:before="1"/>
        <w:ind w:left="110" w:right="111" w:firstLine="283"/>
        <w:jc w:val="both"/>
      </w:pPr>
      <w:r>
        <w:rPr>
          <w:color w:val="231F20"/>
        </w:rPr>
        <w:t>Los menores de cinco a once años tienen el mismo patrón del grupo de menores de mayor edad (12 a 17 años); ambos grupos realizan sus actividades laborales principalmente en el sector agrícola, y en segundo lugar el sector servicios y comercio.</w:t>
      </w:r>
    </w:p>
    <w:p>
      <w:pPr>
        <w:spacing w:after="0" w:line="249" w:lineRule="auto"/>
        <w:jc w:val="both"/>
        <w:sectPr>
          <w:pgSz w:w="7770" w:h="11740"/>
          <w:pgMar w:header="0" w:footer="474" w:top="840" w:bottom="740" w:left="740" w:right="1020"/>
        </w:sectPr>
      </w:pPr>
    </w:p>
    <w:p>
      <w:pPr>
        <w:pStyle w:val="BodyText"/>
      </w:pPr>
      <w:r>
        <w:rPr/>
        <w:pict>
          <v:shape style="position:absolute;margin-left:22.711536pt;margin-top:193.173203pt;width:12pt;height:17pt;mso-position-horizontal-relative:page;mso-position-vertical-relative:page;z-index:9568" type="#_x0000_t202" filled="false" stroked="false">
            <v:textbox inset="0,0,0,0" style="layout-flow:vertical">
              <w:txbxContent>
                <w:p>
                  <w:pPr>
                    <w:pStyle w:val="BodyText"/>
                    <w:spacing w:line="224" w:lineRule="exact"/>
                    <w:ind w:left="20" w:right="-100"/>
                  </w:pPr>
                  <w:r>
                    <w:rPr>
                      <w:color w:val="231F20"/>
                    </w:rPr>
                    <w:t>295</w:t>
                  </w:r>
                </w:p>
              </w:txbxContent>
            </v:textbox>
            <w10:wrap type="none"/>
          </v:shape>
        </w:pict>
      </w:r>
    </w:p>
    <w:p>
      <w:pPr>
        <w:spacing w:before="193"/>
        <w:ind w:left="121" w:right="1166" w:firstLine="0"/>
        <w:jc w:val="left"/>
        <w:rPr>
          <w:sz w:val="23"/>
        </w:rPr>
      </w:pPr>
      <w:r>
        <w:rPr/>
        <w:pict>
          <v:group style="position:absolute;margin-left:74.735603pt;margin-top:26.264023pt;width:420.5pt;height:252.65pt;mso-position-horizontal-relative:page;mso-position-vertical-relative:paragraph;z-index:9544;mso-wrap-distance-left:0;mso-wrap-distance-right:0" coordorigin="1495,525" coordsize="8410,5053">
            <v:shape style="position:absolute;left:2576;top:833;width:6657;height:3262" type="#_x0000_t75" stroked="false">
              <v:imagedata r:id="rId296" o:title=""/>
            </v:shape>
            <v:shape style="position:absolute;left:2576;top:833;width:6657;height:1555" type="#_x0000_t75" stroked="false">
              <v:imagedata r:id="rId297" o:title=""/>
            </v:shape>
            <v:rect style="position:absolute;left:2656;top:1580;width:593;height:2499" filled="true" fillcolor="#bebebe" stroked="false">
              <v:fill type="solid"/>
            </v:rect>
            <v:rect style="position:absolute;left:4133;top:2263;width:587;height:1817" filled="true" fillcolor="#bebebe" stroked="false">
              <v:fill type="solid"/>
            </v:rect>
            <v:rect style="position:absolute;left:7081;top:2168;width:593;height:1912" filled="true" fillcolor="#bebebe" stroked="false">
              <v:fill type="solid"/>
            </v:rect>
            <v:rect style="position:absolute;left:8558;top:2134;width:593;height:1945" filled="true" fillcolor="#bebebe" stroked="false">
              <v:fill type="solid"/>
            </v:rect>
            <v:rect style="position:absolute;left:2656;top:836;width:593;height:744" filled="true" fillcolor="#585858" stroked="false">
              <v:fill type="solid"/>
            </v:rect>
            <v:rect style="position:absolute;left:4133;top:836;width:587;height:1427" filled="true" fillcolor="#585858" stroked="false">
              <v:fill type="solid"/>
            </v:rect>
            <v:rect style="position:absolute;left:7081;top:836;width:593;height:1331" filled="true" fillcolor="#585858" stroked="false">
              <v:fill type="solid"/>
            </v:rect>
            <v:rect style="position:absolute;left:8558;top:836;width:593;height:1298" filled="true" fillcolor="#585858" stroked="false">
              <v:fill type="solid"/>
            </v:rect>
            <v:line style="position:absolute" from="2215,4080" to="2215,837" stroked="true" strokeweight=".874pt" strokecolor="#858585"/>
            <v:line style="position:absolute" from="2147,4080" to="2214,4080" stroked="true" strokeweight=".874pt" strokecolor="#858585"/>
            <v:line style="position:absolute" from="2147,3757" to="2214,3757" stroked="true" strokeweight=".874pt" strokecolor="#858585"/>
            <v:line style="position:absolute" from="2147,3432" to="2214,3432" stroked="true" strokeweight=".874pt" strokecolor="#858585"/>
            <v:line style="position:absolute" from="2147,3108" to="2214,3108" stroked="true" strokeweight=".874pt" strokecolor="#858585"/>
            <v:line style="position:absolute" from="2147,2783" to="2214,2783" stroked="true" strokeweight=".874pt" strokecolor="#858585"/>
            <v:line style="position:absolute" from="2147,2459" to="2214,2459" stroked="true" strokeweight=".874pt" strokecolor="#858585"/>
            <v:line style="position:absolute" from="2147,2134" to="2214,2134" stroked="true" strokeweight=".874pt" strokecolor="#858585"/>
            <v:line style="position:absolute" from="2147,1810" to="2214,1810" stroked="true" strokeweight=".874pt" strokecolor="#858585"/>
            <v:line style="position:absolute" from="2147,1485" to="2214,1485" stroked="true" strokeweight=".874pt" strokecolor="#858585"/>
            <v:line style="position:absolute" from="2147,1161" to="2214,1161" stroked="true" strokeweight=".874pt" strokecolor="#858585"/>
            <v:line style="position:absolute" from="2147,836" to="2214,836" stroked="true" strokeweight=".874pt" strokecolor="#858585"/>
            <v:line style="position:absolute" from="2215,4080" to="9592,4080" stroked="true" strokeweight=".874pt" strokecolor="#858585"/>
            <v:line style="position:absolute" from="2214,4081" to="2214,4148" stroked="true" strokeweight=".874pt" strokecolor="#858585"/>
            <v:line style="position:absolute" from="3691,4081" to="3691,4148" stroked="true" strokeweight=".874pt" strokecolor="#858585"/>
            <v:line style="position:absolute" from="5168,4081" to="5168,4148" stroked="true" strokeweight=".874pt" strokecolor="#858585"/>
            <v:line style="position:absolute" from="6639,4081" to="6639,4148" stroked="true" strokeweight=".874pt" strokecolor="#858585"/>
            <v:line style="position:absolute" from="8116,4081" to="8116,4148" stroked="true" strokeweight=".874pt" strokecolor="#858585"/>
            <v:line style="position:absolute" from="9592,4081" to="9592,4148" stroked="true" strokeweight=".874pt" strokecolor="#858585"/>
            <v:rect style="position:absolute;left:4670;top:5104;width:116;height:116" filled="true" fillcolor="#bebebe" stroked="false">
              <v:fill type="solid"/>
            </v:rect>
            <v:rect style="position:absolute;left:5896;top:5104;width:116;height:116" filled="true" fillcolor="#585858" stroked="false">
              <v:fill type="solid"/>
            </v:rect>
            <v:rect style="position:absolute;left:1504;top:534;width:8392;height:5035" filled="false" stroked="true" strokeweight=".874pt" strokecolor="#858585"/>
            <v:shape style="position:absolute;left:1667;top:743;width:350;height:3476" type="#_x0000_t202" filled="false" stroked="false">
              <v:textbox inset="0,0,0,0">
                <w:txbxContent>
                  <w:p>
                    <w:pPr>
                      <w:spacing w:line="237" w:lineRule="exact" w:before="0"/>
                      <w:ind w:left="-1" w:right="0" w:firstLine="0"/>
                      <w:jc w:val="center"/>
                      <w:rPr>
                        <w:sz w:val="23"/>
                      </w:rPr>
                    </w:pPr>
                    <w:r>
                      <w:rPr>
                        <w:sz w:val="23"/>
                      </w:rPr>
                      <w:t>100</w:t>
                    </w:r>
                  </w:p>
                  <w:p>
                    <w:pPr>
                      <w:spacing w:before="59"/>
                      <w:ind w:left="116" w:right="0" w:firstLine="0"/>
                      <w:jc w:val="center"/>
                      <w:rPr>
                        <w:sz w:val="23"/>
                      </w:rPr>
                    </w:pPr>
                    <w:r>
                      <w:rPr>
                        <w:sz w:val="23"/>
                      </w:rPr>
                      <w:t>90</w:t>
                    </w:r>
                  </w:p>
                  <w:p>
                    <w:pPr>
                      <w:spacing w:before="59"/>
                      <w:ind w:left="116" w:right="0" w:firstLine="0"/>
                      <w:jc w:val="center"/>
                      <w:rPr>
                        <w:sz w:val="23"/>
                      </w:rPr>
                    </w:pPr>
                    <w:r>
                      <w:rPr>
                        <w:sz w:val="23"/>
                      </w:rPr>
                      <w:t>80</w:t>
                    </w:r>
                  </w:p>
                  <w:p>
                    <w:pPr>
                      <w:spacing w:before="59"/>
                      <w:ind w:left="116" w:right="0" w:firstLine="0"/>
                      <w:jc w:val="center"/>
                      <w:rPr>
                        <w:sz w:val="23"/>
                      </w:rPr>
                    </w:pPr>
                    <w:r>
                      <w:rPr>
                        <w:sz w:val="23"/>
                      </w:rPr>
                      <w:t>70</w:t>
                    </w:r>
                  </w:p>
                  <w:p>
                    <w:pPr>
                      <w:spacing w:before="59"/>
                      <w:ind w:left="116" w:right="0" w:firstLine="0"/>
                      <w:jc w:val="center"/>
                      <w:rPr>
                        <w:sz w:val="23"/>
                      </w:rPr>
                    </w:pPr>
                    <w:r>
                      <w:rPr>
                        <w:sz w:val="23"/>
                      </w:rPr>
                      <w:t>60</w:t>
                    </w:r>
                  </w:p>
                  <w:p>
                    <w:pPr>
                      <w:spacing w:before="59"/>
                      <w:ind w:left="116" w:right="0" w:firstLine="0"/>
                      <w:jc w:val="center"/>
                      <w:rPr>
                        <w:sz w:val="23"/>
                      </w:rPr>
                    </w:pPr>
                    <w:r>
                      <w:rPr>
                        <w:sz w:val="23"/>
                      </w:rPr>
                      <w:t>50</w:t>
                    </w:r>
                  </w:p>
                  <w:p>
                    <w:pPr>
                      <w:spacing w:before="59"/>
                      <w:ind w:left="116" w:right="0" w:firstLine="0"/>
                      <w:jc w:val="center"/>
                      <w:rPr>
                        <w:sz w:val="23"/>
                      </w:rPr>
                    </w:pPr>
                    <w:r>
                      <w:rPr>
                        <w:sz w:val="23"/>
                      </w:rPr>
                      <w:t>40</w:t>
                    </w:r>
                  </w:p>
                  <w:p>
                    <w:pPr>
                      <w:spacing w:before="59"/>
                      <w:ind w:left="116" w:right="0" w:firstLine="0"/>
                      <w:jc w:val="center"/>
                      <w:rPr>
                        <w:sz w:val="23"/>
                      </w:rPr>
                    </w:pPr>
                    <w:r>
                      <w:rPr>
                        <w:sz w:val="23"/>
                      </w:rPr>
                      <w:t>30</w:t>
                    </w:r>
                  </w:p>
                  <w:p>
                    <w:pPr>
                      <w:spacing w:before="59"/>
                      <w:ind w:left="116" w:right="0" w:firstLine="0"/>
                      <w:jc w:val="center"/>
                      <w:rPr>
                        <w:sz w:val="23"/>
                      </w:rPr>
                    </w:pPr>
                    <w:r>
                      <w:rPr>
                        <w:sz w:val="23"/>
                      </w:rPr>
                      <w:t>20</w:t>
                    </w:r>
                  </w:p>
                  <w:p>
                    <w:pPr>
                      <w:spacing w:before="59"/>
                      <w:ind w:left="116" w:right="0" w:firstLine="0"/>
                      <w:jc w:val="center"/>
                      <w:rPr>
                        <w:sz w:val="23"/>
                      </w:rPr>
                    </w:pPr>
                    <w:r>
                      <w:rPr>
                        <w:sz w:val="23"/>
                      </w:rPr>
                      <w:t>10</w:t>
                    </w:r>
                  </w:p>
                  <w:p>
                    <w:pPr>
                      <w:spacing w:line="260" w:lineRule="exact" w:before="59"/>
                      <w:ind w:left="233" w:right="0" w:firstLine="0"/>
                      <w:jc w:val="center"/>
                      <w:rPr>
                        <w:sz w:val="23"/>
                      </w:rPr>
                    </w:pPr>
                    <w:r>
                      <w:rPr>
                        <w:w w:val="101"/>
                        <w:sz w:val="23"/>
                      </w:rPr>
                      <w:t>0</w:t>
                    </w:r>
                  </w:p>
                </w:txbxContent>
              </v:textbox>
              <w10:wrap type="none"/>
            </v:shape>
            <v:shape style="position:absolute;left:2839;top:1116;width:234;height:234" type="#_x0000_t202" filled="false" stroked="false">
              <v:textbox inset="0,0,0,0">
                <w:txbxContent>
                  <w:p>
                    <w:pPr>
                      <w:spacing w:line="233" w:lineRule="exact" w:before="0"/>
                      <w:ind w:left="0" w:right="-16" w:firstLine="0"/>
                      <w:jc w:val="left"/>
                      <w:rPr>
                        <w:sz w:val="23"/>
                      </w:rPr>
                    </w:pPr>
                    <w:r>
                      <w:rPr>
                        <w:sz w:val="23"/>
                      </w:rPr>
                      <w:t>23</w:t>
                    </w:r>
                  </w:p>
                </w:txbxContent>
              </v:textbox>
              <w10:wrap type="none"/>
            </v:shape>
            <v:shape style="position:absolute;left:4314;top:1457;width:234;height:234" type="#_x0000_t202" filled="false" stroked="false">
              <v:textbox inset="0,0,0,0">
                <w:txbxContent>
                  <w:p>
                    <w:pPr>
                      <w:spacing w:line="233" w:lineRule="exact" w:before="0"/>
                      <w:ind w:left="0" w:right="-16" w:firstLine="0"/>
                      <w:jc w:val="left"/>
                      <w:rPr>
                        <w:sz w:val="23"/>
                      </w:rPr>
                    </w:pPr>
                    <w:r>
                      <w:rPr>
                        <w:sz w:val="23"/>
                      </w:rPr>
                      <w:t>44</w:t>
                    </w:r>
                  </w:p>
                </w:txbxContent>
              </v:textbox>
              <w10:wrap type="none"/>
            </v:shape>
            <v:shape style="position:absolute;left:7265;top:1408;width:234;height:234" type="#_x0000_t202" filled="false" stroked="false">
              <v:textbox inset="0,0,0,0">
                <w:txbxContent>
                  <w:p>
                    <w:pPr>
                      <w:spacing w:line="233" w:lineRule="exact" w:before="0"/>
                      <w:ind w:left="0" w:right="-16" w:firstLine="0"/>
                      <w:jc w:val="left"/>
                      <w:rPr>
                        <w:sz w:val="23"/>
                      </w:rPr>
                    </w:pPr>
                    <w:r>
                      <w:rPr>
                        <w:sz w:val="23"/>
                      </w:rPr>
                      <w:t>41</w:t>
                    </w:r>
                  </w:p>
                </w:txbxContent>
              </v:textbox>
              <w10:wrap type="none"/>
            </v:shape>
            <v:shape style="position:absolute;left:8741;top:1392;width:234;height:234" type="#_x0000_t202" filled="false" stroked="false">
              <v:textbox inset="0,0,0,0">
                <w:txbxContent>
                  <w:p>
                    <w:pPr>
                      <w:spacing w:line="233" w:lineRule="exact" w:before="0"/>
                      <w:ind w:left="0" w:right="-16" w:firstLine="0"/>
                      <w:jc w:val="left"/>
                      <w:rPr>
                        <w:sz w:val="23"/>
                      </w:rPr>
                    </w:pPr>
                    <w:r>
                      <w:rPr>
                        <w:sz w:val="23"/>
                      </w:rPr>
                      <w:t>40</w:t>
                    </w:r>
                  </w:p>
                </w:txbxContent>
              </v:textbox>
              <w10:wrap type="none"/>
            </v:shape>
            <v:shape style="position:absolute;left:2839;top:2737;width:234;height:234" type="#_x0000_t202" filled="false" stroked="false">
              <v:textbox inset="0,0,0,0">
                <w:txbxContent>
                  <w:p>
                    <w:pPr>
                      <w:spacing w:line="233" w:lineRule="exact" w:before="0"/>
                      <w:ind w:left="0" w:right="-16" w:firstLine="0"/>
                      <w:jc w:val="left"/>
                      <w:rPr>
                        <w:sz w:val="23"/>
                      </w:rPr>
                    </w:pPr>
                    <w:r>
                      <w:rPr>
                        <w:sz w:val="23"/>
                      </w:rPr>
                      <w:t>77</w:t>
                    </w:r>
                  </w:p>
                </w:txbxContent>
              </v:textbox>
              <w10:wrap type="none"/>
            </v:shape>
            <v:shape style="position:absolute;left:4314;top:3078;width:234;height:234" type="#_x0000_t202" filled="false" stroked="false">
              <v:textbox inset="0,0,0,0">
                <w:txbxContent>
                  <w:p>
                    <w:pPr>
                      <w:spacing w:line="233" w:lineRule="exact" w:before="0"/>
                      <w:ind w:left="0" w:right="-16" w:firstLine="0"/>
                      <w:jc w:val="left"/>
                      <w:rPr>
                        <w:sz w:val="23"/>
                      </w:rPr>
                    </w:pPr>
                    <w:r>
                      <w:rPr>
                        <w:sz w:val="23"/>
                      </w:rPr>
                      <w:t>56</w:t>
                    </w:r>
                  </w:p>
                </w:txbxContent>
              </v:textbox>
              <w10:wrap type="none"/>
            </v:shape>
            <v:shape style="position:absolute;left:7265;top:3029;width:234;height:234" type="#_x0000_t202" filled="false" stroked="false">
              <v:textbox inset="0,0,0,0">
                <w:txbxContent>
                  <w:p>
                    <w:pPr>
                      <w:spacing w:line="233" w:lineRule="exact" w:before="0"/>
                      <w:ind w:left="0" w:right="-16" w:firstLine="0"/>
                      <w:jc w:val="left"/>
                      <w:rPr>
                        <w:sz w:val="23"/>
                      </w:rPr>
                    </w:pPr>
                    <w:r>
                      <w:rPr>
                        <w:sz w:val="23"/>
                      </w:rPr>
                      <w:t>59</w:t>
                    </w:r>
                  </w:p>
                </w:txbxContent>
              </v:textbox>
              <w10:wrap type="none"/>
            </v:shape>
            <v:shape style="position:absolute;left:8741;top:3013;width:234;height:234" type="#_x0000_t202" filled="false" stroked="false">
              <v:textbox inset="0,0,0,0">
                <w:txbxContent>
                  <w:p>
                    <w:pPr>
                      <w:spacing w:line="233" w:lineRule="exact" w:before="0"/>
                      <w:ind w:left="0" w:right="-16" w:firstLine="0"/>
                      <w:jc w:val="left"/>
                      <w:rPr>
                        <w:sz w:val="23"/>
                      </w:rPr>
                    </w:pPr>
                    <w:r>
                      <w:rPr>
                        <w:sz w:val="23"/>
                      </w:rPr>
                      <w:t>60</w:t>
                    </w:r>
                  </w:p>
                </w:txbxContent>
              </v:textbox>
              <w10:wrap type="none"/>
            </v:shape>
            <v:shape style="position:absolute;left:2315;top:4264;width:1218;height:513" type="#_x0000_t202" filled="false" stroked="false">
              <v:textbox inset="0,0,0,0">
                <w:txbxContent>
                  <w:p>
                    <w:pPr>
                      <w:spacing w:line="237" w:lineRule="exact" w:before="0"/>
                      <w:ind w:left="0" w:right="2" w:firstLine="0"/>
                      <w:jc w:val="center"/>
                      <w:rPr>
                        <w:sz w:val="23"/>
                      </w:rPr>
                    </w:pPr>
                    <w:r>
                      <w:rPr>
                        <w:sz w:val="23"/>
                      </w:rPr>
                      <w:t>Sector</w:t>
                    </w:r>
                  </w:p>
                  <w:p>
                    <w:pPr>
                      <w:spacing w:line="260" w:lineRule="exact" w:before="15"/>
                      <w:ind w:left="0" w:right="0" w:firstLine="0"/>
                      <w:jc w:val="center"/>
                      <w:rPr>
                        <w:sz w:val="23"/>
                      </w:rPr>
                    </w:pPr>
                    <w:r>
                      <w:rPr>
                        <w:sz w:val="23"/>
                      </w:rPr>
                      <w:t>agropecuario</w:t>
                    </w:r>
                  </w:p>
                </w:txbxContent>
              </v:textbox>
              <w10:wrap type="none"/>
            </v:shape>
            <v:shape style="position:absolute;left:3767;top:4264;width:1347;height:513" type="#_x0000_t202" filled="false" stroked="false">
              <v:textbox inset="0,0,0,0">
                <w:txbxContent>
                  <w:p>
                    <w:pPr>
                      <w:spacing w:line="237" w:lineRule="exact" w:before="0"/>
                      <w:ind w:left="244" w:right="245" w:firstLine="0"/>
                      <w:jc w:val="center"/>
                      <w:rPr>
                        <w:sz w:val="23"/>
                      </w:rPr>
                    </w:pPr>
                    <w:r>
                      <w:rPr>
                        <w:sz w:val="23"/>
                      </w:rPr>
                      <w:t>Industria</w:t>
                    </w:r>
                  </w:p>
                  <w:p>
                    <w:pPr>
                      <w:spacing w:line="260" w:lineRule="exact" w:before="15"/>
                      <w:ind w:left="-1" w:right="0" w:firstLine="0"/>
                      <w:jc w:val="center"/>
                      <w:rPr>
                        <w:sz w:val="23"/>
                      </w:rPr>
                    </w:pPr>
                    <w:r>
                      <w:rPr>
                        <w:sz w:val="23"/>
                      </w:rPr>
                      <w:t>manufacturera</w:t>
                    </w:r>
                  </w:p>
                </w:txbxContent>
              </v:textbox>
              <w10:wrap type="none"/>
            </v:shape>
            <v:shape style="position:absolute;left:5253;top:4264;width:2557;height:234" type="#_x0000_t202" filled="false" stroked="false">
              <v:textbox inset="0,0,0,0">
                <w:txbxContent>
                  <w:p>
                    <w:pPr>
                      <w:tabs>
                        <w:tab w:pos="1637" w:val="left" w:leader="none"/>
                      </w:tabs>
                      <w:spacing w:line="233" w:lineRule="exact" w:before="0"/>
                      <w:ind w:left="0" w:right="0" w:firstLine="0"/>
                      <w:jc w:val="left"/>
                      <w:rPr>
                        <w:sz w:val="23"/>
                      </w:rPr>
                    </w:pPr>
                    <w:r>
                      <w:rPr>
                        <w:sz w:val="23"/>
                      </w:rPr>
                      <w:t>Construcción</w:t>
                      <w:tab/>
                      <w:t>Comercio</w:t>
                    </w:r>
                  </w:p>
                </w:txbxContent>
              </v:textbox>
              <w10:wrap type="none"/>
            </v:shape>
            <v:shape style="position:absolute;left:8391;top:4264;width:867;height:234" type="#_x0000_t202" filled="false" stroked="false">
              <v:textbox inset="0,0,0,0">
                <w:txbxContent>
                  <w:p>
                    <w:pPr>
                      <w:spacing w:line="233" w:lineRule="exact" w:before="0"/>
                      <w:ind w:left="0" w:right="-9" w:firstLine="0"/>
                      <w:jc w:val="left"/>
                      <w:rPr>
                        <w:sz w:val="23"/>
                      </w:rPr>
                    </w:pPr>
                    <w:r>
                      <w:rPr>
                        <w:sz w:val="23"/>
                      </w:rPr>
                      <w:t>Servicios</w:t>
                    </w:r>
                  </w:p>
                </w:txbxContent>
              </v:textbox>
              <w10:wrap type="none"/>
            </v:shape>
            <v:shape style="position:absolute;left:4833;top:5078;width:1989;height:234" type="#_x0000_t202" filled="false" stroked="false">
              <v:textbox inset="0,0,0,0">
                <w:txbxContent>
                  <w:p>
                    <w:pPr>
                      <w:tabs>
                        <w:tab w:pos="1225" w:val="left" w:leader="none"/>
                      </w:tabs>
                      <w:spacing w:line="233" w:lineRule="exact" w:before="0"/>
                      <w:ind w:left="0" w:right="0" w:firstLine="0"/>
                      <w:jc w:val="left"/>
                      <w:rPr>
                        <w:sz w:val="23"/>
                      </w:rPr>
                    </w:pPr>
                    <w:r>
                      <w:rPr>
                        <w:sz w:val="23"/>
                      </w:rPr>
                      <w:t>Hombres</w:t>
                      <w:tab/>
                    </w:r>
                    <w:r>
                      <w:rPr>
                        <w:spacing w:val="-1"/>
                        <w:sz w:val="23"/>
                      </w:rPr>
                      <w:t>Mujeres</w:t>
                    </w:r>
                  </w:p>
                </w:txbxContent>
              </v:textbox>
              <w10:wrap type="none"/>
            </v:shape>
            <v:shape style="position:absolute;left:5610;top:836;width:588;height:3244" type="#_x0000_t202" filled="true" fillcolor="#bebeb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5"/>
                      <w:rPr>
                        <w:sz w:val="20"/>
                      </w:rPr>
                    </w:pPr>
                  </w:p>
                  <w:p>
                    <w:pPr>
                      <w:spacing w:before="1"/>
                      <w:ind w:left="118" w:right="0" w:firstLine="0"/>
                      <w:jc w:val="left"/>
                      <w:rPr>
                        <w:sz w:val="23"/>
                      </w:rPr>
                    </w:pPr>
                    <w:r>
                      <w:rPr>
                        <w:sz w:val="23"/>
                      </w:rPr>
                      <w:t>100</w:t>
                    </w:r>
                  </w:p>
                </w:txbxContent>
              </v:textbox>
              <v:fill type="solid"/>
              <w10:wrap type="none"/>
            </v:shape>
            <w10:wrap type="topAndBottom"/>
          </v:group>
        </w:pict>
      </w:r>
      <w:r>
        <w:rPr>
          <w:sz w:val="23"/>
        </w:rPr>
        <w:t>Gráfica 4. Clasificación de actividades</w:t>
      </w:r>
    </w:p>
    <w:p>
      <w:pPr>
        <w:spacing w:line="247" w:lineRule="auto" w:before="14"/>
        <w:ind w:left="121" w:right="1166" w:hanging="1"/>
        <w:jc w:val="left"/>
        <w:rPr>
          <w:sz w:val="18"/>
        </w:rPr>
      </w:pPr>
      <w:r>
        <w:rPr>
          <w:w w:val="105"/>
          <w:sz w:val="18"/>
        </w:rPr>
        <w:t>Fuente:</w:t>
      </w:r>
      <w:r>
        <w:rPr>
          <w:spacing w:val="-11"/>
          <w:w w:val="105"/>
          <w:sz w:val="18"/>
        </w:rPr>
        <w:t> </w:t>
      </w:r>
      <w:r>
        <w:rPr>
          <w:w w:val="105"/>
          <w:sz w:val="18"/>
        </w:rPr>
        <w:t>elaboración</w:t>
      </w:r>
      <w:r>
        <w:rPr>
          <w:spacing w:val="-11"/>
          <w:w w:val="105"/>
          <w:sz w:val="18"/>
        </w:rPr>
        <w:t> </w:t>
      </w:r>
      <w:r>
        <w:rPr>
          <w:w w:val="105"/>
          <w:sz w:val="18"/>
        </w:rPr>
        <w:t>propia</w:t>
      </w:r>
      <w:r>
        <w:rPr>
          <w:spacing w:val="-11"/>
          <w:w w:val="105"/>
          <w:sz w:val="18"/>
        </w:rPr>
        <w:t> </w:t>
      </w:r>
      <w:r>
        <w:rPr>
          <w:w w:val="105"/>
          <w:sz w:val="18"/>
        </w:rPr>
        <w:t>con</w:t>
      </w:r>
      <w:r>
        <w:rPr>
          <w:spacing w:val="-11"/>
          <w:w w:val="105"/>
          <w:sz w:val="18"/>
        </w:rPr>
        <w:t> </w:t>
      </w:r>
      <w:r>
        <w:rPr>
          <w:w w:val="105"/>
          <w:sz w:val="18"/>
        </w:rPr>
        <w:t>base</w:t>
      </w:r>
      <w:r>
        <w:rPr>
          <w:spacing w:val="-11"/>
          <w:w w:val="105"/>
          <w:sz w:val="18"/>
        </w:rPr>
        <w:t> </w:t>
      </w:r>
      <w:r>
        <w:rPr>
          <w:w w:val="105"/>
          <w:sz w:val="18"/>
        </w:rPr>
        <w:t>en</w:t>
      </w:r>
      <w:r>
        <w:rPr>
          <w:spacing w:val="-13"/>
          <w:w w:val="105"/>
          <w:sz w:val="18"/>
        </w:rPr>
        <w:t> </w:t>
      </w:r>
      <w:r>
        <w:rPr>
          <w:w w:val="105"/>
          <w:sz w:val="18"/>
        </w:rPr>
        <w:t>Encuesta</w:t>
      </w:r>
      <w:r>
        <w:rPr>
          <w:spacing w:val="-11"/>
          <w:w w:val="105"/>
          <w:sz w:val="18"/>
        </w:rPr>
        <w:t> </w:t>
      </w:r>
      <w:r>
        <w:rPr>
          <w:w w:val="105"/>
          <w:sz w:val="18"/>
        </w:rPr>
        <w:t>Nacional</w:t>
      </w:r>
      <w:r>
        <w:rPr>
          <w:spacing w:val="-11"/>
          <w:w w:val="105"/>
          <w:sz w:val="18"/>
        </w:rPr>
        <w:t> </w:t>
      </w:r>
      <w:r>
        <w:rPr>
          <w:w w:val="105"/>
          <w:sz w:val="18"/>
        </w:rPr>
        <w:t>de</w:t>
      </w:r>
      <w:r>
        <w:rPr>
          <w:spacing w:val="-11"/>
          <w:w w:val="105"/>
          <w:sz w:val="18"/>
        </w:rPr>
        <w:t> </w:t>
      </w:r>
      <w:r>
        <w:rPr>
          <w:w w:val="105"/>
          <w:sz w:val="18"/>
        </w:rPr>
        <w:t>Ocupación</w:t>
      </w:r>
      <w:r>
        <w:rPr>
          <w:spacing w:val="-11"/>
          <w:w w:val="105"/>
          <w:sz w:val="18"/>
        </w:rPr>
        <w:t> </w:t>
      </w:r>
      <w:r>
        <w:rPr>
          <w:w w:val="105"/>
          <w:sz w:val="18"/>
        </w:rPr>
        <w:t>y</w:t>
      </w:r>
      <w:r>
        <w:rPr>
          <w:spacing w:val="-10"/>
          <w:w w:val="105"/>
          <w:sz w:val="18"/>
        </w:rPr>
        <w:t> </w:t>
      </w:r>
      <w:r>
        <w:rPr>
          <w:w w:val="105"/>
          <w:sz w:val="18"/>
        </w:rPr>
        <w:t>Empleo</w:t>
      </w:r>
      <w:r>
        <w:rPr>
          <w:spacing w:val="-11"/>
          <w:w w:val="105"/>
          <w:sz w:val="18"/>
        </w:rPr>
        <w:t> </w:t>
      </w:r>
      <w:r>
        <w:rPr>
          <w:w w:val="105"/>
          <w:sz w:val="18"/>
        </w:rPr>
        <w:t>2013,</w:t>
      </w:r>
      <w:r>
        <w:rPr>
          <w:spacing w:val="-12"/>
          <w:w w:val="105"/>
          <w:sz w:val="18"/>
        </w:rPr>
        <w:t> </w:t>
      </w:r>
      <w:r>
        <w:rPr>
          <w:w w:val="105"/>
          <w:sz w:val="18"/>
        </w:rPr>
        <w:t>Módulo de</w:t>
      </w:r>
      <w:r>
        <w:rPr>
          <w:spacing w:val="-13"/>
          <w:w w:val="105"/>
          <w:sz w:val="18"/>
        </w:rPr>
        <w:t> </w:t>
      </w:r>
      <w:r>
        <w:rPr>
          <w:w w:val="105"/>
          <w:sz w:val="18"/>
        </w:rPr>
        <w:t>Trabajo</w:t>
      </w:r>
      <w:r>
        <w:rPr>
          <w:spacing w:val="-13"/>
          <w:w w:val="105"/>
          <w:sz w:val="18"/>
        </w:rPr>
        <w:t> </w:t>
      </w:r>
      <w:r>
        <w:rPr>
          <w:w w:val="105"/>
          <w:sz w:val="18"/>
        </w:rPr>
        <w:t>Infantil,</w:t>
      </w:r>
      <w:r>
        <w:rPr>
          <w:spacing w:val="-14"/>
          <w:w w:val="105"/>
          <w:sz w:val="18"/>
        </w:rPr>
        <w:t> </w:t>
      </w:r>
      <w:r>
        <w:rPr>
          <w:w w:val="105"/>
          <w:sz w:val="18"/>
        </w:rPr>
        <w:t>INEGI,</w:t>
      </w:r>
      <w:r>
        <w:rPr>
          <w:spacing w:val="-14"/>
          <w:w w:val="105"/>
          <w:sz w:val="18"/>
        </w:rPr>
        <w:t> </w:t>
      </w:r>
      <w:r>
        <w:rPr>
          <w:w w:val="105"/>
          <w:sz w:val="18"/>
        </w:rPr>
        <w:t>2013.</w:t>
      </w:r>
    </w:p>
    <w:p>
      <w:pPr>
        <w:spacing w:after="0" w:line="247" w:lineRule="auto"/>
        <w:jc w:val="left"/>
        <w:rPr>
          <w:sz w:val="18"/>
        </w:rPr>
        <w:sectPr>
          <w:footerReference w:type="default" r:id="rId295"/>
          <w:pgSz w:w="11740" w:h="7770" w:orient="landscape"/>
          <w:pgMar w:footer="0" w:header="0" w:top="680" w:bottom="280" w:left="1380" w:right="1660"/>
        </w:sectPr>
      </w:pPr>
    </w:p>
    <w:p>
      <w:pPr>
        <w:spacing w:line="252" w:lineRule="auto" w:before="68"/>
        <w:ind w:left="122" w:right="803" w:firstLine="0"/>
        <w:jc w:val="left"/>
        <w:rPr>
          <w:sz w:val="19"/>
        </w:rPr>
      </w:pPr>
      <w:r>
        <w:rPr/>
        <w:pict>
          <v:group style="position:absolute;margin-left:40.834797pt;margin-top:28.822248pt;width:289.9pt;height:230pt;mso-position-horizontal-relative:page;mso-position-vertical-relative:paragraph;z-index:9760;mso-wrap-distance-left:0;mso-wrap-distance-right:0" coordorigin="817,576" coordsize="5798,4600">
            <v:shape style="position:absolute;left:1720;top:2434;width:4335;height:1133" type="#_x0000_t75" stroked="false">
              <v:imagedata r:id="rId299" o:title=""/>
            </v:shape>
            <v:shape style="position:absolute;left:1720;top:2137;width:4335;height:902" type="#_x0000_t75" stroked="false">
              <v:imagedata r:id="rId300" o:title=""/>
            </v:shape>
            <v:shape style="position:absolute;left:2950;top:2122;width:3105;height:293" type="#_x0000_t75" stroked="false">
              <v:imagedata r:id="rId301" o:title=""/>
            </v:shape>
            <v:shape style="position:absolute;left:1720;top:1297;width:4335;height:1085" type="#_x0000_t75" stroked="false">
              <v:imagedata r:id="rId302" o:title=""/>
            </v:shape>
            <v:shape style="position:absolute;left:1720;top:841;width:4335;height:682" type="#_x0000_t75" stroked="false">
              <v:imagedata r:id="rId303" o:title=""/>
            </v:shape>
            <v:rect style="position:absolute;left:5492;top:2686;width:491;height:864" filled="true" fillcolor="#585858" stroked="false">
              <v:fill type="solid"/>
            </v:rect>
            <v:rect style="position:absolute;left:4257;top:2605;width:491;height:946" filled="true" fillcolor="#585858" stroked="false">
              <v:fill type="solid"/>
            </v:rect>
            <v:rect style="position:absolute;left:3022;top:2470;width:496;height:1080" filled="true" fillcolor="#585858" stroked="false">
              <v:fill type="solid"/>
            </v:rect>
            <v:rect style="position:absolute;left:1788;top:2931;width:496;height:619" filled="true" fillcolor="#585858" stroked="false">
              <v:fill type="solid"/>
            </v:rect>
            <v:rect style="position:absolute;left:1788;top:2254;width:496;height:677" filled="true" fillcolor="#7e7e7e" stroked="false">
              <v:fill type="solid"/>
            </v:rect>
            <v:rect style="position:absolute;left:5492;top:2307;width:491;height:379" filled="true" fillcolor="#7e7e7e" stroked="false">
              <v:fill type="solid"/>
            </v:rect>
            <v:rect style="position:absolute;left:4257;top:2307;width:491;height:298" filled="true" fillcolor="#7e7e7e" stroked="false">
              <v:fill type="solid"/>
            </v:rect>
            <v:rect style="position:absolute;left:3022;top:2173;width:496;height:298" filled="true" fillcolor="#7e7e7e" stroked="false">
              <v:fill type="solid"/>
            </v:rect>
            <v:rect style="position:absolute;left:5492;top:2245;width:491;height:62" filled="true" fillcolor="#ffffff" stroked="false">
              <v:fill type="solid"/>
            </v:rect>
            <v:rect style="position:absolute;left:4257;top:2274;width:491;height:34" filled="true" fillcolor="#ffffff" stroked="false">
              <v:fill type="solid"/>
            </v:rect>
            <v:line style="position:absolute" from="3022,2166" to="3518,2166" stroked="true" strokeweight=".72pt" strokecolor="#ffffff"/>
            <v:rect style="position:absolute;left:4257;top:1414;width:491;height:859" filled="true" fillcolor="#a6a6a6" stroked="false">
              <v:fill type="solid"/>
            </v:rect>
            <v:rect style="position:absolute;left:1788;top:1333;width:496;height:922" filled="true" fillcolor="#a6a6a6" stroked="false">
              <v:fill type="solid"/>
            </v:rect>
            <v:rect style="position:absolute;left:5492;top:1357;width:491;height:888" filled="true" fillcolor="#a6a6a6" stroked="false">
              <v:fill type="solid"/>
            </v:rect>
            <v:rect style="position:absolute;left:3022;top:1386;width:496;height:773" filled="true" fillcolor="#a6a6a6" stroked="false">
              <v:fill type="solid"/>
            </v:rect>
            <v:rect style="position:absolute;left:4257;top:843;width:491;height:571" filled="true" fillcolor="#d9d9d9" stroked="false">
              <v:fill type="solid"/>
            </v:rect>
            <v:rect style="position:absolute;left:3022;top:843;width:496;height:542" filled="true" fillcolor="#d9d9d9" stroked="false">
              <v:fill type="solid"/>
            </v:rect>
            <v:rect style="position:absolute;left:5492;top:843;width:491;height:514" filled="true" fillcolor="#d9d9d9" stroked="false">
              <v:fill type="solid"/>
            </v:rect>
            <v:rect style="position:absolute;left:1788;top:843;width:496;height:490" filled="true" fillcolor="#d9d9d9" stroked="false">
              <v:fill type="solid"/>
            </v:rect>
            <v:line style="position:absolute" from="1419,3553" to="1419,844" stroked="true" strokeweight=".730751pt" strokecolor="#858585"/>
            <v:line style="position:absolute" from="1362,3550" to="1418,3550" stroked="true" strokeweight=".75pt" strokecolor="#858585"/>
            <v:line style="position:absolute" from="1362,3013" to="1418,3013" stroked="true" strokeweight=".75pt" strokecolor="#858585"/>
            <v:line style="position:absolute" from="1362,2470" to="1418,2470" stroked="true" strokeweight=".75pt" strokecolor="#858585"/>
            <v:line style="position:absolute" from="1362,1928" to="1418,1928" stroked="true" strokeweight=".75pt" strokecolor="#858585"/>
            <v:line style="position:absolute" from="1362,1386" to="1418,1386" stroked="true" strokeweight=".75pt" strokecolor="#858585"/>
            <v:line style="position:absolute" from="1362,843" to="1418,843" stroked="true" strokeweight=".75pt" strokecolor="#858585"/>
            <v:line style="position:absolute" from="1419,3553" to="6354,3553" stroked="true" strokeweight=".75pt" strokecolor="#858585"/>
            <v:line style="position:absolute" from="1418,3550" to="1418,3612" stroked="true" strokeweight=".730751pt" strokecolor="#858585"/>
            <v:line style="position:absolute" from="2653,3550" to="2653,3612" stroked="true" strokeweight=".730751pt" strokecolor="#858585"/>
            <v:line style="position:absolute" from="3888,3550" to="3888,3612" stroked="true" strokeweight=".730751pt" strokecolor="#858585"/>
            <v:line style="position:absolute" from="5118,3550" to="5118,3612" stroked="true" strokeweight=".730751pt" strokecolor="#858585"/>
            <v:line style="position:absolute" from="6352,3550" to="6352,3612" stroked="true" strokeweight=".730751pt" strokecolor="#858585"/>
            <v:line style="position:absolute" from="1478,4148" to="1478,4248" stroked="true" strokeweight="4.854136pt" strokecolor="#585858"/>
            <v:line style="position:absolute" from="4285,4148" to="4285,4248" stroked="true" strokeweight="4.854136pt" strokecolor="#7e7e7e"/>
            <v:line style="position:absolute" from="4285,4537" to="4285,4636" stroked="true" strokeweight="4.854136pt" strokecolor="#a6a6a6"/>
            <v:line style="position:absolute" from="1478,4925" to="1478,5025" stroked="true" strokeweight="4.854136pt" strokecolor="#d9d9d9"/>
            <v:rect style="position:absolute;left:824;top:584;width:5783;height:4585" filled="false" stroked="true" strokeweight=".74257pt" strokecolor="#858585"/>
            <v:shape style="position:absolute;left:961;top:763;width:293;height:2909" type="#_x0000_t202" filled="false" stroked="false">
              <v:textbox inset="0,0,0,0">
                <w:txbxContent>
                  <w:p>
                    <w:pPr>
                      <w:spacing w:line="204" w:lineRule="exact" w:before="0"/>
                      <w:ind w:left="0" w:right="0" w:firstLine="0"/>
                      <w:jc w:val="center"/>
                      <w:rPr>
                        <w:sz w:val="20"/>
                      </w:rPr>
                    </w:pPr>
                    <w:r>
                      <w:rPr>
                        <w:w w:val="95"/>
                        <w:sz w:val="20"/>
                      </w:rPr>
                      <w:t>100</w:t>
                    </w:r>
                  </w:p>
                  <w:p>
                    <w:pPr>
                      <w:spacing w:line="240" w:lineRule="auto" w:before="1"/>
                      <w:rPr>
                        <w:sz w:val="27"/>
                      </w:rPr>
                    </w:pPr>
                  </w:p>
                  <w:p>
                    <w:pPr>
                      <w:spacing w:before="0"/>
                      <w:ind w:left="97" w:right="-14" w:firstLine="0"/>
                      <w:jc w:val="left"/>
                      <w:rPr>
                        <w:sz w:val="20"/>
                      </w:rPr>
                    </w:pPr>
                    <w:r>
                      <w:rPr>
                        <w:w w:val="95"/>
                        <w:sz w:val="20"/>
                      </w:rPr>
                      <w:t>80</w:t>
                    </w:r>
                  </w:p>
                  <w:p>
                    <w:pPr>
                      <w:spacing w:line="240" w:lineRule="auto" w:before="1"/>
                      <w:rPr>
                        <w:sz w:val="27"/>
                      </w:rPr>
                    </w:pPr>
                  </w:p>
                  <w:p>
                    <w:pPr>
                      <w:spacing w:before="0"/>
                      <w:ind w:left="97" w:right="-14" w:firstLine="0"/>
                      <w:jc w:val="left"/>
                      <w:rPr>
                        <w:sz w:val="20"/>
                      </w:rPr>
                    </w:pPr>
                    <w:r>
                      <w:rPr>
                        <w:w w:val="95"/>
                        <w:sz w:val="20"/>
                      </w:rPr>
                      <w:t>60</w:t>
                    </w:r>
                  </w:p>
                  <w:p>
                    <w:pPr>
                      <w:spacing w:line="240" w:lineRule="auto" w:before="1"/>
                      <w:rPr>
                        <w:sz w:val="27"/>
                      </w:rPr>
                    </w:pPr>
                  </w:p>
                  <w:p>
                    <w:pPr>
                      <w:spacing w:before="0"/>
                      <w:ind w:left="97" w:right="-14" w:firstLine="0"/>
                      <w:jc w:val="left"/>
                      <w:rPr>
                        <w:sz w:val="20"/>
                      </w:rPr>
                    </w:pPr>
                    <w:r>
                      <w:rPr>
                        <w:w w:val="95"/>
                        <w:sz w:val="20"/>
                      </w:rPr>
                      <w:t>40</w:t>
                    </w:r>
                  </w:p>
                  <w:p>
                    <w:pPr>
                      <w:spacing w:line="240" w:lineRule="auto" w:before="1"/>
                      <w:rPr>
                        <w:sz w:val="27"/>
                      </w:rPr>
                    </w:pPr>
                  </w:p>
                  <w:p>
                    <w:pPr>
                      <w:spacing w:before="0"/>
                      <w:ind w:left="97" w:right="-14" w:firstLine="0"/>
                      <w:jc w:val="left"/>
                      <w:rPr>
                        <w:sz w:val="20"/>
                      </w:rPr>
                    </w:pPr>
                    <w:r>
                      <w:rPr>
                        <w:w w:val="95"/>
                        <w:sz w:val="20"/>
                      </w:rPr>
                      <w:t>20</w:t>
                    </w:r>
                  </w:p>
                  <w:p>
                    <w:pPr>
                      <w:spacing w:line="240" w:lineRule="auto" w:before="1"/>
                      <w:rPr>
                        <w:sz w:val="27"/>
                      </w:rPr>
                    </w:pPr>
                  </w:p>
                  <w:p>
                    <w:pPr>
                      <w:spacing w:line="226" w:lineRule="exact" w:before="0"/>
                      <w:ind w:left="194" w:right="0" w:firstLine="0"/>
                      <w:jc w:val="center"/>
                      <w:rPr>
                        <w:sz w:val="20"/>
                      </w:rPr>
                    </w:pPr>
                    <w:r>
                      <w:rPr>
                        <w:w w:val="97"/>
                        <w:sz w:val="20"/>
                      </w:rPr>
                      <w:t>0</w:t>
                    </w:r>
                  </w:p>
                </w:txbxContent>
              </v:textbox>
              <w10:wrap type="none"/>
            </v:shape>
            <v:shape style="position:absolute;left:1784;top:3710;width:504;height:200" type="#_x0000_t202" filled="false" stroked="false">
              <v:textbox inset="0,0,0,0">
                <w:txbxContent>
                  <w:p>
                    <w:pPr>
                      <w:spacing w:line="200" w:lineRule="exact" w:before="0"/>
                      <w:ind w:left="0" w:right="-19" w:firstLine="0"/>
                      <w:jc w:val="left"/>
                      <w:rPr>
                        <w:sz w:val="20"/>
                      </w:rPr>
                    </w:pPr>
                    <w:r>
                      <w:rPr>
                        <w:sz w:val="20"/>
                      </w:rPr>
                      <w:t>5</w:t>
                    </w:r>
                    <w:r>
                      <w:rPr>
                        <w:spacing w:val="-14"/>
                        <w:sz w:val="20"/>
                      </w:rPr>
                      <w:t> </w:t>
                    </w:r>
                    <w:r>
                      <w:rPr>
                        <w:sz w:val="20"/>
                      </w:rPr>
                      <w:t>años</w:t>
                    </w:r>
                  </w:p>
                </w:txbxContent>
              </v:textbox>
              <w10:wrap type="none"/>
            </v:shape>
            <v:shape style="position:absolute;left:2936;top:3710;width:666;height:200" type="#_x0000_t202" filled="false" stroked="false">
              <v:textbox inset="0,0,0,0">
                <w:txbxContent>
                  <w:p>
                    <w:pPr>
                      <w:spacing w:line="200" w:lineRule="exact" w:before="0"/>
                      <w:ind w:left="0" w:right="-19" w:firstLine="0"/>
                      <w:jc w:val="left"/>
                      <w:rPr>
                        <w:sz w:val="20"/>
                      </w:rPr>
                    </w:pPr>
                    <w:r>
                      <w:rPr>
                        <w:sz w:val="20"/>
                      </w:rPr>
                      <w:t>6-7</w:t>
                    </w:r>
                    <w:r>
                      <w:rPr>
                        <w:spacing w:val="-19"/>
                        <w:sz w:val="20"/>
                      </w:rPr>
                      <w:t> </w:t>
                    </w:r>
                    <w:r>
                      <w:rPr>
                        <w:sz w:val="20"/>
                      </w:rPr>
                      <w:t>años</w:t>
                    </w:r>
                  </w:p>
                </w:txbxContent>
              </v:textbox>
              <w10:wrap type="none"/>
            </v:shape>
            <v:shape style="position:absolute;left:4170;top:3710;width:666;height:200" type="#_x0000_t202" filled="false" stroked="false">
              <v:textbox inset="0,0,0,0">
                <w:txbxContent>
                  <w:p>
                    <w:pPr>
                      <w:spacing w:line="200" w:lineRule="exact" w:before="0"/>
                      <w:ind w:left="0" w:right="-19" w:firstLine="0"/>
                      <w:jc w:val="left"/>
                      <w:rPr>
                        <w:sz w:val="20"/>
                      </w:rPr>
                    </w:pPr>
                    <w:r>
                      <w:rPr>
                        <w:sz w:val="20"/>
                      </w:rPr>
                      <w:t>8-9</w:t>
                    </w:r>
                    <w:r>
                      <w:rPr>
                        <w:spacing w:val="-19"/>
                        <w:sz w:val="20"/>
                      </w:rPr>
                      <w:t> </w:t>
                    </w:r>
                    <w:r>
                      <w:rPr>
                        <w:sz w:val="20"/>
                      </w:rPr>
                      <w:t>años</w:t>
                    </w:r>
                  </w:p>
                </w:txbxContent>
              </v:textbox>
              <w10:wrap type="none"/>
            </v:shape>
            <v:shape style="position:absolute;left:5310;top:3710;width:854;height:200" type="#_x0000_t202" filled="false" stroked="false">
              <v:textbox inset="0,0,0,0">
                <w:txbxContent>
                  <w:p>
                    <w:pPr>
                      <w:spacing w:line="200" w:lineRule="exact" w:before="0"/>
                      <w:ind w:left="0" w:right="-18" w:firstLine="0"/>
                      <w:jc w:val="left"/>
                      <w:rPr>
                        <w:sz w:val="20"/>
                      </w:rPr>
                    </w:pPr>
                    <w:r>
                      <w:rPr>
                        <w:sz w:val="20"/>
                      </w:rPr>
                      <w:t>10-11</w:t>
                    </w:r>
                    <w:r>
                      <w:rPr>
                        <w:spacing w:val="-32"/>
                        <w:sz w:val="20"/>
                      </w:rPr>
                      <w:t> </w:t>
                    </w:r>
                    <w:r>
                      <w:rPr>
                        <w:sz w:val="20"/>
                      </w:rPr>
                      <w:t>años</w:t>
                    </w:r>
                  </w:p>
                </w:txbxContent>
              </v:textbox>
              <w10:wrap type="none"/>
            </v:shape>
            <v:shape style="position:absolute;left:1565;top:4127;width:1565;height:977" type="#_x0000_t202" filled="false" stroked="false">
              <v:textbox inset="0,0,0,0">
                <w:txbxContent>
                  <w:p>
                    <w:pPr>
                      <w:spacing w:line="204" w:lineRule="exact" w:before="0"/>
                      <w:ind w:left="0" w:right="0" w:firstLine="0"/>
                      <w:jc w:val="left"/>
                      <w:rPr>
                        <w:sz w:val="20"/>
                      </w:rPr>
                    </w:pPr>
                    <w:r>
                      <w:rPr>
                        <w:w w:val="95"/>
                        <w:sz w:val="20"/>
                      </w:rPr>
                      <w:t>Sector agropecuario</w:t>
                    </w:r>
                  </w:p>
                  <w:p>
                    <w:pPr>
                      <w:spacing w:line="390" w:lineRule="atLeast" w:before="0"/>
                      <w:ind w:left="0" w:right="0" w:firstLine="0"/>
                      <w:jc w:val="left"/>
                      <w:rPr>
                        <w:sz w:val="20"/>
                      </w:rPr>
                    </w:pPr>
                    <w:r>
                      <w:rPr>
                        <w:w w:val="95"/>
                        <w:sz w:val="20"/>
                      </w:rPr>
                      <w:t>Construcción </w:t>
                    </w:r>
                    <w:r>
                      <w:rPr>
                        <w:sz w:val="20"/>
                      </w:rPr>
                      <w:t>Servicios</w:t>
                    </w:r>
                  </w:p>
                </w:txbxContent>
              </v:textbox>
              <w10:wrap type="none"/>
            </v:shape>
            <v:shape style="position:absolute;left:4373;top:4127;width:1876;height:589" type="#_x0000_t202" filled="false" stroked="false">
              <v:textbox inset="0,0,0,0">
                <w:txbxContent>
                  <w:p>
                    <w:pPr>
                      <w:spacing w:line="204" w:lineRule="exact" w:before="0"/>
                      <w:ind w:left="8" w:right="0" w:firstLine="0"/>
                      <w:jc w:val="left"/>
                      <w:rPr>
                        <w:sz w:val="20"/>
                      </w:rPr>
                    </w:pPr>
                    <w:r>
                      <w:rPr>
                        <w:w w:val="95"/>
                        <w:sz w:val="20"/>
                      </w:rPr>
                      <w:t>Industría manufacturera</w:t>
                    </w:r>
                  </w:p>
                  <w:p>
                    <w:pPr>
                      <w:spacing w:line="226" w:lineRule="exact" w:before="158"/>
                      <w:ind w:left="0" w:right="0" w:firstLine="0"/>
                      <w:jc w:val="left"/>
                      <w:rPr>
                        <w:sz w:val="20"/>
                      </w:rPr>
                    </w:pPr>
                    <w:r>
                      <w:rPr>
                        <w:sz w:val="20"/>
                      </w:rPr>
                      <w:t>Comercio</w:t>
                    </w:r>
                  </w:p>
                </w:txbxContent>
              </v:textbox>
              <w10:wrap type="none"/>
            </v:shape>
            <w10:wrap type="topAndBottom"/>
          </v:group>
        </w:pict>
      </w:r>
      <w:r>
        <w:rPr>
          <w:sz w:val="19"/>
        </w:rPr>
        <w:t>Gráfica 5. Distribución porcentual del trabajo infantil por sectores de la producción</w:t>
      </w:r>
    </w:p>
    <w:p>
      <w:pPr>
        <w:spacing w:line="244" w:lineRule="auto" w:before="17"/>
        <w:ind w:left="122" w:right="1353" w:firstLine="0"/>
        <w:jc w:val="left"/>
        <w:rPr>
          <w:sz w:val="16"/>
        </w:rPr>
      </w:pPr>
      <w:r>
        <w:rPr>
          <w:sz w:val="16"/>
        </w:rPr>
        <w:t>Fuente:</w:t>
      </w:r>
      <w:r>
        <w:rPr>
          <w:spacing w:val="-16"/>
          <w:sz w:val="16"/>
        </w:rPr>
        <w:t> </w:t>
      </w:r>
      <w:r>
        <w:rPr>
          <w:sz w:val="16"/>
        </w:rPr>
        <w:t>elaboración</w:t>
      </w:r>
      <w:r>
        <w:rPr>
          <w:spacing w:val="-16"/>
          <w:sz w:val="16"/>
        </w:rPr>
        <w:t> </w:t>
      </w:r>
      <w:r>
        <w:rPr>
          <w:sz w:val="16"/>
        </w:rPr>
        <w:t>propia</w:t>
      </w:r>
      <w:r>
        <w:rPr>
          <w:spacing w:val="-16"/>
          <w:sz w:val="16"/>
        </w:rPr>
        <w:t> </w:t>
      </w:r>
      <w:r>
        <w:rPr>
          <w:sz w:val="16"/>
        </w:rPr>
        <w:t>con</w:t>
      </w:r>
      <w:r>
        <w:rPr>
          <w:spacing w:val="-16"/>
          <w:sz w:val="16"/>
        </w:rPr>
        <w:t> </w:t>
      </w:r>
      <w:r>
        <w:rPr>
          <w:sz w:val="16"/>
        </w:rPr>
        <w:t>base</w:t>
      </w:r>
      <w:r>
        <w:rPr>
          <w:spacing w:val="-16"/>
          <w:sz w:val="16"/>
        </w:rPr>
        <w:t> </w:t>
      </w:r>
      <w:r>
        <w:rPr>
          <w:sz w:val="16"/>
        </w:rPr>
        <w:t>en</w:t>
      </w:r>
      <w:r>
        <w:rPr>
          <w:spacing w:val="-18"/>
          <w:sz w:val="16"/>
        </w:rPr>
        <w:t> </w:t>
      </w:r>
      <w:r>
        <w:rPr>
          <w:sz w:val="16"/>
        </w:rPr>
        <w:t>Encuesta</w:t>
      </w:r>
      <w:r>
        <w:rPr>
          <w:spacing w:val="-16"/>
          <w:sz w:val="16"/>
        </w:rPr>
        <w:t> </w:t>
      </w:r>
      <w:r>
        <w:rPr>
          <w:sz w:val="16"/>
        </w:rPr>
        <w:t>Nacional</w:t>
      </w:r>
      <w:r>
        <w:rPr>
          <w:spacing w:val="-16"/>
          <w:sz w:val="16"/>
        </w:rPr>
        <w:t> </w:t>
      </w:r>
      <w:r>
        <w:rPr>
          <w:sz w:val="16"/>
        </w:rPr>
        <w:t>de</w:t>
      </w:r>
      <w:r>
        <w:rPr>
          <w:spacing w:val="-16"/>
          <w:sz w:val="16"/>
        </w:rPr>
        <w:t> </w:t>
      </w:r>
      <w:r>
        <w:rPr>
          <w:sz w:val="16"/>
        </w:rPr>
        <w:t>Ocupación y</w:t>
      </w:r>
      <w:r>
        <w:rPr>
          <w:spacing w:val="-14"/>
          <w:sz w:val="16"/>
        </w:rPr>
        <w:t> </w:t>
      </w:r>
      <w:r>
        <w:rPr>
          <w:sz w:val="16"/>
        </w:rPr>
        <w:t>Empleo</w:t>
      </w:r>
      <w:r>
        <w:rPr>
          <w:spacing w:val="-14"/>
          <w:sz w:val="16"/>
        </w:rPr>
        <w:t> </w:t>
      </w:r>
      <w:r>
        <w:rPr>
          <w:sz w:val="16"/>
        </w:rPr>
        <w:t>2013,</w:t>
      </w:r>
      <w:r>
        <w:rPr>
          <w:spacing w:val="-14"/>
          <w:sz w:val="16"/>
        </w:rPr>
        <w:t> </w:t>
      </w:r>
      <w:r>
        <w:rPr>
          <w:sz w:val="16"/>
        </w:rPr>
        <w:t>Módulo</w:t>
      </w:r>
      <w:r>
        <w:rPr>
          <w:spacing w:val="-14"/>
          <w:sz w:val="16"/>
        </w:rPr>
        <w:t> </w:t>
      </w:r>
      <w:r>
        <w:rPr>
          <w:sz w:val="16"/>
        </w:rPr>
        <w:t>de</w:t>
      </w:r>
      <w:r>
        <w:rPr>
          <w:spacing w:val="12"/>
          <w:sz w:val="16"/>
        </w:rPr>
        <w:t> </w:t>
      </w:r>
      <w:r>
        <w:rPr>
          <w:sz w:val="16"/>
        </w:rPr>
        <w:t>Trabajo</w:t>
      </w:r>
      <w:r>
        <w:rPr>
          <w:spacing w:val="-14"/>
          <w:sz w:val="16"/>
        </w:rPr>
        <w:t> </w:t>
      </w:r>
      <w:r>
        <w:rPr>
          <w:sz w:val="16"/>
        </w:rPr>
        <w:t>Infantil,</w:t>
      </w:r>
      <w:r>
        <w:rPr>
          <w:spacing w:val="-14"/>
          <w:sz w:val="16"/>
        </w:rPr>
        <w:t> </w:t>
      </w:r>
      <w:r>
        <w:rPr>
          <w:sz w:val="16"/>
        </w:rPr>
        <w:t>INEGI,</w:t>
      </w:r>
      <w:r>
        <w:rPr>
          <w:spacing w:val="-14"/>
          <w:sz w:val="16"/>
        </w:rPr>
        <w:t> </w:t>
      </w:r>
      <w:r>
        <w:rPr>
          <w:sz w:val="16"/>
        </w:rPr>
        <w:t>2013.</w:t>
      </w:r>
    </w:p>
    <w:p>
      <w:pPr>
        <w:pStyle w:val="BodyText"/>
        <w:spacing w:before="7"/>
        <w:rPr>
          <w:sz w:val="14"/>
        </w:rPr>
      </w:pPr>
    </w:p>
    <w:p>
      <w:pPr>
        <w:pStyle w:val="BodyText"/>
        <w:spacing w:line="249" w:lineRule="auto" w:before="75"/>
        <w:ind w:left="166" w:right="111" w:firstLine="283"/>
        <w:jc w:val="both"/>
      </w:pPr>
      <w:r>
        <w:rPr>
          <w:color w:val="231F20"/>
        </w:rPr>
        <w:t>Respecto a la clasificación de los menores por sector de actividad y sexo, el patrón es el mismo para ambos grupos de edad. Así, las cifras presentadas con anterioridad confirman las características que señala    la bibliografía revisada, en particular las tendencias presentadas por la UNICEF en su informe de</w:t>
      </w:r>
      <w:r>
        <w:rPr>
          <w:color w:val="231F20"/>
          <w:spacing w:val="-8"/>
        </w:rPr>
        <w:t> </w:t>
      </w:r>
      <w:r>
        <w:rPr>
          <w:color w:val="231F20"/>
        </w:rPr>
        <w:t>2009.</w:t>
      </w:r>
    </w:p>
    <w:p>
      <w:pPr>
        <w:pStyle w:val="Heading5"/>
        <w:ind w:left="166"/>
        <w:rPr>
          <w:i/>
        </w:rPr>
      </w:pPr>
      <w:r>
        <w:rPr>
          <w:i/>
          <w:w w:val="75"/>
        </w:rPr>
        <w:t>Posición en el trabajo</w:t>
      </w:r>
    </w:p>
    <w:p>
      <w:pPr>
        <w:pStyle w:val="BodyText"/>
        <w:spacing w:line="249" w:lineRule="auto" w:before="171"/>
        <w:ind w:left="166" w:right="111"/>
        <w:jc w:val="both"/>
      </w:pPr>
      <w:r>
        <w:rPr>
          <w:color w:val="231F20"/>
        </w:rPr>
        <w:t>La base de datos no permite calcular la posición en la ocupación de los menores trabajadores del grupo de cinco a once. Es importante subrayar que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cuestionario</w:t>
      </w:r>
      <w:r>
        <w:rPr>
          <w:color w:val="231F20"/>
          <w:spacing w:val="-7"/>
        </w:rPr>
        <w:t> </w:t>
      </w:r>
      <w:r>
        <w:rPr>
          <w:color w:val="231F20"/>
        </w:rPr>
        <w:t>se</w:t>
      </w:r>
      <w:r>
        <w:rPr>
          <w:color w:val="231F20"/>
          <w:spacing w:val="-7"/>
        </w:rPr>
        <w:t> </w:t>
      </w:r>
      <w:r>
        <w:rPr>
          <w:color w:val="231F20"/>
        </w:rPr>
        <w:t>enfatiza</w:t>
      </w:r>
      <w:r>
        <w:rPr>
          <w:color w:val="231F20"/>
          <w:spacing w:val="-8"/>
        </w:rPr>
        <w:t> </w:t>
      </w:r>
      <w:r>
        <w:rPr>
          <w:color w:val="231F20"/>
        </w:rPr>
        <w:t>la</w:t>
      </w:r>
      <w:r>
        <w:rPr>
          <w:color w:val="231F20"/>
          <w:spacing w:val="-7"/>
        </w:rPr>
        <w:t> </w:t>
      </w:r>
      <w:r>
        <w:rPr>
          <w:color w:val="231F20"/>
        </w:rPr>
        <w:t>captura</w:t>
      </w:r>
      <w:r>
        <w:rPr>
          <w:color w:val="231F20"/>
          <w:spacing w:val="-8"/>
        </w:rPr>
        <w:t> </w:t>
      </w:r>
      <w:r>
        <w:rPr>
          <w:color w:val="231F20"/>
        </w:rPr>
        <w:t>de</w:t>
      </w:r>
      <w:r>
        <w:rPr>
          <w:color w:val="231F20"/>
          <w:spacing w:val="-7"/>
        </w:rPr>
        <w:t> </w:t>
      </w:r>
      <w:r>
        <w:rPr>
          <w:color w:val="231F20"/>
        </w:rPr>
        <w:t>empleo</w:t>
      </w:r>
      <w:r>
        <w:rPr>
          <w:color w:val="231F20"/>
          <w:spacing w:val="-8"/>
        </w:rPr>
        <w:t> </w:t>
      </w:r>
      <w:r>
        <w:rPr>
          <w:color w:val="231F20"/>
        </w:rPr>
        <w:t>no</w:t>
      </w:r>
      <w:r>
        <w:rPr>
          <w:color w:val="231F20"/>
          <w:spacing w:val="-7"/>
        </w:rPr>
        <w:t> </w:t>
      </w:r>
      <w:r>
        <w:rPr>
          <w:color w:val="231F20"/>
        </w:rPr>
        <w:t>asalariado,</w:t>
      </w:r>
      <w:r>
        <w:rPr>
          <w:color w:val="231F20"/>
          <w:spacing w:val="-8"/>
        </w:rPr>
        <w:t> </w:t>
      </w:r>
      <w:r>
        <w:rPr>
          <w:color w:val="231F20"/>
        </w:rPr>
        <w:t>por lo que se registra un número muy pequeño de menores remunerados;   es decir la forma de captar la información sobre trabajo invisibiliza el trabajo</w:t>
      </w:r>
      <w:r>
        <w:rPr>
          <w:color w:val="231F20"/>
          <w:spacing w:val="-1"/>
        </w:rPr>
        <w:t> </w:t>
      </w:r>
      <w:r>
        <w:rPr>
          <w:color w:val="231F20"/>
        </w:rPr>
        <w:t>asalariado.</w:t>
      </w:r>
    </w:p>
    <w:p>
      <w:pPr>
        <w:spacing w:after="0" w:line="249" w:lineRule="auto"/>
        <w:jc w:val="both"/>
        <w:sectPr>
          <w:footerReference w:type="default" r:id="rId298"/>
          <w:pgSz w:w="7770" w:h="11740"/>
          <w:pgMar w:footer="474" w:header="0" w:top="940" w:bottom="660" w:left="700" w:right="1020"/>
          <w:pgNumType w:start="296"/>
        </w:sectPr>
      </w:pPr>
    </w:p>
    <w:p>
      <w:pPr>
        <w:pStyle w:val="Heading5"/>
        <w:spacing w:before="50"/>
        <w:rPr>
          <w:i/>
        </w:rPr>
      </w:pPr>
      <w:r>
        <w:rPr>
          <w:i/>
          <w:w w:val="75"/>
        </w:rPr>
        <w:t>Tamaño de la empresa</w:t>
      </w:r>
    </w:p>
    <w:p>
      <w:pPr>
        <w:pStyle w:val="BodyText"/>
        <w:spacing w:line="249" w:lineRule="auto" w:before="171"/>
        <w:ind w:left="113" w:right="228"/>
        <w:jc w:val="both"/>
        <w:rPr>
          <w:sz w:val="11"/>
        </w:rPr>
      </w:pPr>
      <w:r>
        <w:rPr>
          <w:color w:val="231F20"/>
        </w:rPr>
        <w:t>Las estadísticas acerca del tamaño de la empresa señalan lo siguiente: del total de la población ocupada de cinco a once años de edad, siete  por ciento labora por su cuenta, 82.2 por ciento trabaja en unidades eco- nómicas de dos a cinco personas, seis por ciento realiza sus actividades en unidades de seis a diez trabajadores y 1.54 por ciento con más de </w:t>
      </w:r>
      <w:r>
        <w:rPr>
          <w:color w:val="231F20"/>
          <w:spacing w:val="-4"/>
        </w:rPr>
        <w:t>11 </w:t>
      </w:r>
      <w:r>
        <w:rPr>
          <w:color w:val="231F20"/>
        </w:rPr>
        <w:t>trabajadores.</w:t>
      </w:r>
      <w:r>
        <w:rPr>
          <w:color w:val="231F20"/>
          <w:position w:val="7"/>
          <w:sz w:val="11"/>
        </w:rPr>
        <w:t>12</w:t>
      </w:r>
    </w:p>
    <w:p>
      <w:pPr>
        <w:pStyle w:val="BodyText"/>
        <w:spacing w:line="249" w:lineRule="auto" w:before="1"/>
        <w:ind w:left="113" w:right="228" w:firstLine="283"/>
        <w:jc w:val="both"/>
      </w:pPr>
      <w:r>
        <w:rPr>
          <w:color w:val="231F20"/>
        </w:rPr>
        <w:t>El dato referente al tamaño de la empresa por sector de actividad apoya</w:t>
      </w:r>
      <w:r>
        <w:rPr>
          <w:color w:val="231F20"/>
          <w:spacing w:val="-7"/>
        </w:rPr>
        <w:t> </w:t>
      </w:r>
      <w:r>
        <w:rPr>
          <w:color w:val="231F20"/>
        </w:rPr>
        <w:t>la</w:t>
      </w:r>
      <w:r>
        <w:rPr>
          <w:color w:val="231F20"/>
          <w:spacing w:val="-7"/>
        </w:rPr>
        <w:t> </w:t>
      </w:r>
      <w:r>
        <w:rPr>
          <w:color w:val="231F20"/>
        </w:rPr>
        <w:t>idea</w:t>
      </w:r>
      <w:r>
        <w:rPr>
          <w:color w:val="231F20"/>
          <w:spacing w:val="-7"/>
        </w:rPr>
        <w:t> </w:t>
      </w:r>
      <w:r>
        <w:rPr>
          <w:color w:val="231F20"/>
        </w:rPr>
        <w:t>de</w:t>
      </w:r>
      <w:r>
        <w:rPr>
          <w:color w:val="231F20"/>
          <w:spacing w:val="-6"/>
        </w:rPr>
        <w:t> </w:t>
      </w:r>
      <w:r>
        <w:rPr>
          <w:color w:val="231F20"/>
        </w:rPr>
        <w:t>que</w:t>
      </w:r>
      <w:r>
        <w:rPr>
          <w:color w:val="231F20"/>
          <w:spacing w:val="-6"/>
        </w:rPr>
        <w:t> </w:t>
      </w:r>
      <w:r>
        <w:rPr>
          <w:color w:val="231F20"/>
        </w:rPr>
        <w:t>la</w:t>
      </w:r>
      <w:r>
        <w:rPr>
          <w:color w:val="231F20"/>
          <w:spacing w:val="-7"/>
        </w:rPr>
        <w:t> </w:t>
      </w:r>
      <w:r>
        <w:rPr>
          <w:color w:val="231F20"/>
        </w:rPr>
        <w:t>forma</w:t>
      </w:r>
      <w:r>
        <w:rPr>
          <w:color w:val="231F20"/>
          <w:spacing w:val="-7"/>
        </w:rPr>
        <w:t> </w:t>
      </w:r>
      <w:r>
        <w:rPr>
          <w:color w:val="231F20"/>
        </w:rPr>
        <w:t>en</w:t>
      </w:r>
      <w:r>
        <w:rPr>
          <w:color w:val="231F20"/>
          <w:spacing w:val="-7"/>
        </w:rPr>
        <w:t> </w:t>
      </w:r>
      <w:r>
        <w:rPr>
          <w:color w:val="231F20"/>
        </w:rPr>
        <w:t>que</w:t>
      </w:r>
      <w:r>
        <w:rPr>
          <w:color w:val="231F20"/>
          <w:spacing w:val="-6"/>
        </w:rPr>
        <w:t> </w:t>
      </w:r>
      <w:r>
        <w:rPr>
          <w:color w:val="231F20"/>
        </w:rPr>
        <w:t>se</w:t>
      </w:r>
      <w:r>
        <w:rPr>
          <w:color w:val="231F20"/>
          <w:spacing w:val="-6"/>
        </w:rPr>
        <w:t> </w:t>
      </w:r>
      <w:r>
        <w:rPr>
          <w:color w:val="231F20"/>
        </w:rPr>
        <w:t>captó</w:t>
      </w:r>
      <w:r>
        <w:rPr>
          <w:color w:val="231F20"/>
          <w:spacing w:val="-7"/>
        </w:rPr>
        <w:t> </w:t>
      </w:r>
      <w:r>
        <w:rPr>
          <w:color w:val="231F20"/>
        </w:rPr>
        <w:t>el</w:t>
      </w:r>
      <w:r>
        <w:rPr>
          <w:color w:val="231F20"/>
          <w:spacing w:val="-7"/>
        </w:rPr>
        <w:t> </w:t>
      </w:r>
      <w:r>
        <w:rPr>
          <w:color w:val="231F20"/>
        </w:rPr>
        <w:t>trabajo</w:t>
      </w:r>
      <w:r>
        <w:rPr>
          <w:color w:val="231F20"/>
          <w:spacing w:val="-7"/>
        </w:rPr>
        <w:t> </w:t>
      </w:r>
      <w:r>
        <w:rPr>
          <w:color w:val="231F20"/>
        </w:rPr>
        <w:t>infantil</w:t>
      </w:r>
      <w:r>
        <w:rPr>
          <w:color w:val="231F20"/>
          <w:spacing w:val="-7"/>
        </w:rPr>
        <w:t> </w:t>
      </w:r>
      <w:r>
        <w:rPr>
          <w:color w:val="231F20"/>
        </w:rPr>
        <w:t>visibilizó el trabajo no remunerado de los niños, pero escondió otras formas de inserción; así, se puede observar que en los cinco sectores de la produc- ción, aproximadamente 50 por ciento de los menores se concentra en unidades</w:t>
      </w:r>
      <w:r>
        <w:rPr>
          <w:color w:val="231F20"/>
          <w:spacing w:val="-7"/>
        </w:rPr>
        <w:t> </w:t>
      </w:r>
      <w:r>
        <w:rPr>
          <w:color w:val="231F20"/>
        </w:rPr>
        <w:t>económicas</w:t>
      </w:r>
      <w:r>
        <w:rPr>
          <w:color w:val="231F20"/>
          <w:spacing w:val="-7"/>
        </w:rPr>
        <w:t> </w:t>
      </w:r>
      <w:r>
        <w:rPr>
          <w:color w:val="231F20"/>
        </w:rPr>
        <w:t>pequeñas</w:t>
      </w:r>
      <w:r>
        <w:rPr>
          <w:color w:val="231F20"/>
          <w:spacing w:val="-6"/>
        </w:rPr>
        <w:t> </w:t>
      </w:r>
      <w:r>
        <w:rPr>
          <w:color w:val="231F20"/>
        </w:rPr>
        <w:t>y</w:t>
      </w:r>
      <w:r>
        <w:rPr>
          <w:color w:val="231F20"/>
          <w:spacing w:val="-6"/>
        </w:rPr>
        <w:t> </w:t>
      </w:r>
      <w:r>
        <w:rPr>
          <w:color w:val="231F20"/>
        </w:rPr>
        <w:t>el</w:t>
      </w:r>
      <w:r>
        <w:rPr>
          <w:color w:val="231F20"/>
          <w:spacing w:val="-7"/>
        </w:rPr>
        <w:t> </w:t>
      </w:r>
      <w:r>
        <w:rPr>
          <w:color w:val="231F20"/>
        </w:rPr>
        <w:t>otro</w:t>
      </w:r>
      <w:r>
        <w:rPr>
          <w:color w:val="231F20"/>
          <w:spacing w:val="-6"/>
        </w:rPr>
        <w:t> </w:t>
      </w:r>
      <w:r>
        <w:rPr>
          <w:color w:val="231F20"/>
        </w:rPr>
        <w:t>50</w:t>
      </w:r>
      <w:r>
        <w:rPr>
          <w:color w:val="231F20"/>
          <w:spacing w:val="-6"/>
        </w:rPr>
        <w:t> </w:t>
      </w:r>
      <w:r>
        <w:rPr>
          <w:color w:val="231F20"/>
        </w:rPr>
        <w:t>por</w:t>
      </w:r>
      <w:r>
        <w:rPr>
          <w:color w:val="231F20"/>
          <w:spacing w:val="-6"/>
        </w:rPr>
        <w:t> </w:t>
      </w:r>
      <w:r>
        <w:rPr>
          <w:color w:val="231F20"/>
        </w:rPr>
        <w:t>ciento</w:t>
      </w:r>
      <w:r>
        <w:rPr>
          <w:color w:val="231F20"/>
          <w:spacing w:val="-7"/>
        </w:rPr>
        <w:t> </w:t>
      </w:r>
      <w:r>
        <w:rPr>
          <w:color w:val="231F20"/>
        </w:rPr>
        <w:t>en</w:t>
      </w:r>
      <w:r>
        <w:rPr>
          <w:color w:val="231F20"/>
          <w:spacing w:val="-7"/>
        </w:rPr>
        <w:t> </w:t>
      </w:r>
      <w:r>
        <w:rPr>
          <w:color w:val="231F20"/>
        </w:rPr>
        <w:t>unidades</w:t>
      </w:r>
      <w:r>
        <w:rPr>
          <w:color w:val="231F20"/>
          <w:spacing w:val="-7"/>
        </w:rPr>
        <w:t> </w:t>
      </w:r>
      <w:r>
        <w:rPr>
          <w:color w:val="231F20"/>
        </w:rPr>
        <w:t>de</w:t>
      </w:r>
      <w:r>
        <w:rPr>
          <w:color w:val="231F20"/>
          <w:spacing w:val="-6"/>
        </w:rPr>
        <w:t> </w:t>
      </w:r>
      <w:r>
        <w:rPr>
          <w:color w:val="231F20"/>
        </w:rPr>
        <w:t>6</w:t>
      </w:r>
      <w:r>
        <w:rPr>
          <w:color w:val="231F20"/>
          <w:spacing w:val="-6"/>
        </w:rPr>
        <w:t> </w:t>
      </w:r>
      <w:r>
        <w:rPr>
          <w:color w:val="231F20"/>
        </w:rPr>
        <w:t>a 20 trabajadores (Cuadro</w:t>
      </w:r>
      <w:r>
        <w:rPr>
          <w:color w:val="231F20"/>
          <w:spacing w:val="-1"/>
        </w:rPr>
        <w:t> </w:t>
      </w:r>
      <w:r>
        <w:rPr>
          <w:color w:val="231F20"/>
        </w:rPr>
        <w:t>10).</w:t>
      </w:r>
    </w:p>
    <w:p>
      <w:pPr>
        <w:pStyle w:val="BodyText"/>
        <w:spacing w:before="6"/>
        <w:rPr>
          <w:sz w:val="10"/>
        </w:rPr>
      </w:pPr>
    </w:p>
    <w:p>
      <w:pPr>
        <w:spacing w:before="81" w:after="55"/>
        <w:ind w:left="202" w:right="251" w:firstLine="0"/>
        <w:jc w:val="left"/>
        <w:rPr>
          <w:sz w:val="19"/>
        </w:rPr>
      </w:pPr>
      <w:r>
        <w:rPr>
          <w:w w:val="105"/>
          <w:sz w:val="19"/>
        </w:rPr>
        <w:t>Cuadro 10. Tamaño de la empresa por sector de ocupación</w: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6"/>
        <w:gridCol w:w="1587"/>
        <w:gridCol w:w="1169"/>
        <w:gridCol w:w="951"/>
      </w:tblGrid>
      <w:tr>
        <w:trPr>
          <w:trHeight w:val="269" w:hRule="exact"/>
        </w:trPr>
        <w:tc>
          <w:tcPr>
            <w:tcW w:w="2196" w:type="dxa"/>
            <w:tcBorders>
              <w:left w:val="nil"/>
              <w:right w:val="nil"/>
            </w:tcBorders>
          </w:tcPr>
          <w:p>
            <w:pPr/>
          </w:p>
        </w:tc>
        <w:tc>
          <w:tcPr>
            <w:tcW w:w="1587" w:type="dxa"/>
            <w:tcBorders>
              <w:left w:val="nil"/>
              <w:right w:val="nil"/>
            </w:tcBorders>
          </w:tcPr>
          <w:p>
            <w:pPr>
              <w:pStyle w:val="TableParagraph"/>
              <w:spacing w:before="5"/>
              <w:ind w:right="256"/>
              <w:rPr>
                <w:sz w:val="19"/>
              </w:rPr>
            </w:pPr>
            <w:r>
              <w:rPr>
                <w:w w:val="105"/>
                <w:sz w:val="19"/>
              </w:rPr>
              <w:t>1 a 5 personas</w:t>
            </w:r>
          </w:p>
        </w:tc>
        <w:tc>
          <w:tcPr>
            <w:tcW w:w="1169" w:type="dxa"/>
            <w:tcBorders>
              <w:left w:val="nil"/>
              <w:right w:val="nil"/>
            </w:tcBorders>
          </w:tcPr>
          <w:p>
            <w:pPr>
              <w:pStyle w:val="TableParagraph"/>
              <w:spacing w:before="5"/>
              <w:ind w:right="290"/>
              <w:rPr>
                <w:sz w:val="19"/>
              </w:rPr>
            </w:pPr>
            <w:r>
              <w:rPr>
                <w:w w:val="105"/>
                <w:sz w:val="19"/>
              </w:rPr>
              <w:t>6 y más</w:t>
            </w:r>
          </w:p>
        </w:tc>
        <w:tc>
          <w:tcPr>
            <w:tcW w:w="951" w:type="dxa"/>
            <w:tcBorders>
              <w:left w:val="nil"/>
              <w:right w:val="nil"/>
            </w:tcBorders>
          </w:tcPr>
          <w:p>
            <w:pPr>
              <w:pStyle w:val="TableParagraph"/>
              <w:spacing w:before="5"/>
              <w:ind w:right="108"/>
              <w:rPr>
                <w:sz w:val="19"/>
              </w:rPr>
            </w:pPr>
            <w:r>
              <w:rPr>
                <w:sz w:val="19"/>
              </w:rPr>
              <w:t>Total</w:t>
            </w:r>
          </w:p>
        </w:tc>
      </w:tr>
      <w:tr>
        <w:trPr>
          <w:trHeight w:val="242" w:hRule="exact"/>
        </w:trPr>
        <w:tc>
          <w:tcPr>
            <w:tcW w:w="2196" w:type="dxa"/>
            <w:tcBorders>
              <w:left w:val="nil"/>
              <w:bottom w:val="nil"/>
              <w:right w:val="nil"/>
            </w:tcBorders>
          </w:tcPr>
          <w:p>
            <w:pPr>
              <w:pStyle w:val="TableParagraph"/>
              <w:spacing w:before="5"/>
              <w:ind w:left="89"/>
              <w:jc w:val="left"/>
              <w:rPr>
                <w:sz w:val="19"/>
              </w:rPr>
            </w:pPr>
            <w:r>
              <w:rPr>
                <w:w w:val="105"/>
                <w:sz w:val="19"/>
              </w:rPr>
              <w:t>Sector agropecuario</w:t>
            </w:r>
          </w:p>
        </w:tc>
        <w:tc>
          <w:tcPr>
            <w:tcW w:w="1587" w:type="dxa"/>
            <w:tcBorders>
              <w:left w:val="nil"/>
              <w:bottom w:val="nil"/>
              <w:right w:val="nil"/>
            </w:tcBorders>
          </w:tcPr>
          <w:p>
            <w:pPr>
              <w:pStyle w:val="TableParagraph"/>
              <w:spacing w:before="5"/>
              <w:ind w:right="253"/>
              <w:rPr>
                <w:sz w:val="19"/>
              </w:rPr>
            </w:pPr>
            <w:r>
              <w:rPr>
                <w:sz w:val="19"/>
              </w:rPr>
              <w:t>44.06</w:t>
            </w:r>
          </w:p>
        </w:tc>
        <w:tc>
          <w:tcPr>
            <w:tcW w:w="1169" w:type="dxa"/>
            <w:tcBorders>
              <w:left w:val="nil"/>
              <w:bottom w:val="nil"/>
              <w:right w:val="nil"/>
            </w:tcBorders>
          </w:tcPr>
          <w:p>
            <w:pPr>
              <w:pStyle w:val="TableParagraph"/>
              <w:spacing w:before="5"/>
              <w:ind w:right="289"/>
              <w:rPr>
                <w:sz w:val="19"/>
              </w:rPr>
            </w:pPr>
            <w:r>
              <w:rPr>
                <w:sz w:val="19"/>
              </w:rPr>
              <w:t>55.94</w:t>
            </w:r>
          </w:p>
        </w:tc>
        <w:tc>
          <w:tcPr>
            <w:tcW w:w="951" w:type="dxa"/>
            <w:tcBorders>
              <w:left w:val="nil"/>
              <w:bottom w:val="nil"/>
              <w:right w:val="nil"/>
            </w:tcBorders>
          </w:tcPr>
          <w:p>
            <w:pPr>
              <w:pStyle w:val="TableParagraph"/>
              <w:spacing w:before="5"/>
              <w:ind w:right="107"/>
              <w:rPr>
                <w:sz w:val="19"/>
              </w:rPr>
            </w:pPr>
            <w:r>
              <w:rPr>
                <w:sz w:val="19"/>
              </w:rPr>
              <w:t>100.00</w:t>
            </w:r>
          </w:p>
        </w:tc>
      </w:tr>
      <w:tr>
        <w:trPr>
          <w:trHeight w:val="230" w:hRule="exact"/>
        </w:trPr>
        <w:tc>
          <w:tcPr>
            <w:tcW w:w="2196" w:type="dxa"/>
            <w:tcBorders>
              <w:top w:val="nil"/>
              <w:left w:val="nil"/>
              <w:bottom w:val="nil"/>
              <w:right w:val="nil"/>
            </w:tcBorders>
          </w:tcPr>
          <w:p>
            <w:pPr>
              <w:pStyle w:val="TableParagraph"/>
              <w:spacing w:line="216" w:lineRule="exact"/>
              <w:ind w:left="89"/>
              <w:jc w:val="left"/>
              <w:rPr>
                <w:sz w:val="19"/>
              </w:rPr>
            </w:pPr>
            <w:r>
              <w:rPr>
                <w:w w:val="105"/>
                <w:sz w:val="19"/>
              </w:rPr>
              <w:t>Industria manufacturera</w:t>
            </w:r>
          </w:p>
        </w:tc>
        <w:tc>
          <w:tcPr>
            <w:tcW w:w="1587" w:type="dxa"/>
            <w:tcBorders>
              <w:top w:val="nil"/>
              <w:left w:val="nil"/>
              <w:bottom w:val="nil"/>
              <w:right w:val="nil"/>
            </w:tcBorders>
          </w:tcPr>
          <w:p>
            <w:pPr>
              <w:pStyle w:val="TableParagraph"/>
              <w:spacing w:line="216" w:lineRule="exact"/>
              <w:ind w:right="253"/>
              <w:rPr>
                <w:sz w:val="19"/>
              </w:rPr>
            </w:pPr>
            <w:r>
              <w:rPr>
                <w:sz w:val="19"/>
              </w:rPr>
              <w:t>42.01</w:t>
            </w:r>
          </w:p>
        </w:tc>
        <w:tc>
          <w:tcPr>
            <w:tcW w:w="1169" w:type="dxa"/>
            <w:tcBorders>
              <w:top w:val="nil"/>
              <w:left w:val="nil"/>
              <w:bottom w:val="nil"/>
              <w:right w:val="nil"/>
            </w:tcBorders>
          </w:tcPr>
          <w:p>
            <w:pPr>
              <w:pStyle w:val="TableParagraph"/>
              <w:spacing w:line="216" w:lineRule="exact"/>
              <w:ind w:right="289"/>
              <w:rPr>
                <w:sz w:val="19"/>
              </w:rPr>
            </w:pPr>
            <w:r>
              <w:rPr>
                <w:sz w:val="19"/>
              </w:rPr>
              <w:t>57.99</w:t>
            </w:r>
          </w:p>
        </w:tc>
        <w:tc>
          <w:tcPr>
            <w:tcW w:w="951" w:type="dxa"/>
            <w:tcBorders>
              <w:top w:val="nil"/>
              <w:left w:val="nil"/>
              <w:bottom w:val="nil"/>
              <w:right w:val="nil"/>
            </w:tcBorders>
          </w:tcPr>
          <w:p>
            <w:pPr>
              <w:pStyle w:val="TableParagraph"/>
              <w:spacing w:line="216" w:lineRule="exact"/>
              <w:ind w:right="107"/>
              <w:rPr>
                <w:sz w:val="19"/>
              </w:rPr>
            </w:pPr>
            <w:r>
              <w:rPr>
                <w:sz w:val="19"/>
              </w:rPr>
              <w:t>100.00</w:t>
            </w:r>
          </w:p>
        </w:tc>
      </w:tr>
      <w:tr>
        <w:trPr>
          <w:trHeight w:val="230" w:hRule="exact"/>
        </w:trPr>
        <w:tc>
          <w:tcPr>
            <w:tcW w:w="2196" w:type="dxa"/>
            <w:tcBorders>
              <w:top w:val="nil"/>
              <w:left w:val="nil"/>
              <w:bottom w:val="nil"/>
              <w:right w:val="nil"/>
            </w:tcBorders>
          </w:tcPr>
          <w:p>
            <w:pPr>
              <w:pStyle w:val="TableParagraph"/>
              <w:spacing w:line="216" w:lineRule="exact"/>
              <w:ind w:left="89"/>
              <w:jc w:val="left"/>
              <w:rPr>
                <w:sz w:val="19"/>
              </w:rPr>
            </w:pPr>
            <w:r>
              <w:rPr>
                <w:w w:val="105"/>
                <w:sz w:val="19"/>
              </w:rPr>
              <w:t>Construcción</w:t>
            </w:r>
          </w:p>
        </w:tc>
        <w:tc>
          <w:tcPr>
            <w:tcW w:w="1587" w:type="dxa"/>
            <w:tcBorders>
              <w:top w:val="nil"/>
              <w:left w:val="nil"/>
              <w:bottom w:val="nil"/>
              <w:right w:val="nil"/>
            </w:tcBorders>
          </w:tcPr>
          <w:p>
            <w:pPr>
              <w:pStyle w:val="TableParagraph"/>
              <w:spacing w:line="216" w:lineRule="exact"/>
              <w:ind w:right="253"/>
              <w:rPr>
                <w:sz w:val="19"/>
              </w:rPr>
            </w:pPr>
            <w:r>
              <w:rPr>
                <w:sz w:val="19"/>
              </w:rPr>
              <w:t>45.47</w:t>
            </w:r>
          </w:p>
        </w:tc>
        <w:tc>
          <w:tcPr>
            <w:tcW w:w="1169" w:type="dxa"/>
            <w:tcBorders>
              <w:top w:val="nil"/>
              <w:left w:val="nil"/>
              <w:bottom w:val="nil"/>
              <w:right w:val="nil"/>
            </w:tcBorders>
          </w:tcPr>
          <w:p>
            <w:pPr>
              <w:pStyle w:val="TableParagraph"/>
              <w:spacing w:line="216" w:lineRule="exact"/>
              <w:ind w:right="289"/>
              <w:rPr>
                <w:sz w:val="19"/>
              </w:rPr>
            </w:pPr>
            <w:r>
              <w:rPr>
                <w:sz w:val="19"/>
              </w:rPr>
              <w:t>54.53</w:t>
            </w:r>
          </w:p>
        </w:tc>
        <w:tc>
          <w:tcPr>
            <w:tcW w:w="951" w:type="dxa"/>
            <w:tcBorders>
              <w:top w:val="nil"/>
              <w:left w:val="nil"/>
              <w:bottom w:val="nil"/>
              <w:right w:val="nil"/>
            </w:tcBorders>
          </w:tcPr>
          <w:p>
            <w:pPr>
              <w:pStyle w:val="TableParagraph"/>
              <w:spacing w:line="216" w:lineRule="exact"/>
              <w:ind w:right="107"/>
              <w:rPr>
                <w:sz w:val="19"/>
              </w:rPr>
            </w:pPr>
            <w:r>
              <w:rPr>
                <w:sz w:val="19"/>
              </w:rPr>
              <w:t>100.00</w:t>
            </w:r>
          </w:p>
        </w:tc>
      </w:tr>
      <w:tr>
        <w:trPr>
          <w:trHeight w:val="230" w:hRule="exact"/>
        </w:trPr>
        <w:tc>
          <w:tcPr>
            <w:tcW w:w="2196" w:type="dxa"/>
            <w:tcBorders>
              <w:top w:val="nil"/>
              <w:left w:val="nil"/>
              <w:bottom w:val="nil"/>
              <w:right w:val="nil"/>
            </w:tcBorders>
          </w:tcPr>
          <w:p>
            <w:pPr>
              <w:pStyle w:val="TableParagraph"/>
              <w:spacing w:line="216" w:lineRule="exact"/>
              <w:ind w:left="89"/>
              <w:jc w:val="left"/>
              <w:rPr>
                <w:sz w:val="19"/>
              </w:rPr>
            </w:pPr>
            <w:r>
              <w:rPr>
                <w:w w:val="105"/>
                <w:sz w:val="19"/>
              </w:rPr>
              <w:t>Comercio</w:t>
            </w:r>
          </w:p>
        </w:tc>
        <w:tc>
          <w:tcPr>
            <w:tcW w:w="1587" w:type="dxa"/>
            <w:tcBorders>
              <w:top w:val="nil"/>
              <w:left w:val="nil"/>
              <w:bottom w:val="nil"/>
              <w:right w:val="nil"/>
            </w:tcBorders>
          </w:tcPr>
          <w:p>
            <w:pPr>
              <w:pStyle w:val="TableParagraph"/>
              <w:spacing w:line="216" w:lineRule="exact"/>
              <w:ind w:right="253"/>
              <w:rPr>
                <w:sz w:val="19"/>
              </w:rPr>
            </w:pPr>
            <w:r>
              <w:rPr>
                <w:sz w:val="19"/>
              </w:rPr>
              <w:t>46.89</w:t>
            </w:r>
          </w:p>
        </w:tc>
        <w:tc>
          <w:tcPr>
            <w:tcW w:w="1169" w:type="dxa"/>
            <w:tcBorders>
              <w:top w:val="nil"/>
              <w:left w:val="nil"/>
              <w:bottom w:val="nil"/>
              <w:right w:val="nil"/>
            </w:tcBorders>
          </w:tcPr>
          <w:p>
            <w:pPr>
              <w:pStyle w:val="TableParagraph"/>
              <w:spacing w:line="216" w:lineRule="exact"/>
              <w:ind w:right="289"/>
              <w:rPr>
                <w:sz w:val="19"/>
              </w:rPr>
            </w:pPr>
            <w:r>
              <w:rPr>
                <w:sz w:val="19"/>
              </w:rPr>
              <w:t>53.11</w:t>
            </w:r>
          </w:p>
        </w:tc>
        <w:tc>
          <w:tcPr>
            <w:tcW w:w="951" w:type="dxa"/>
            <w:tcBorders>
              <w:top w:val="nil"/>
              <w:left w:val="nil"/>
              <w:bottom w:val="nil"/>
              <w:right w:val="nil"/>
            </w:tcBorders>
          </w:tcPr>
          <w:p>
            <w:pPr>
              <w:pStyle w:val="TableParagraph"/>
              <w:spacing w:line="216" w:lineRule="exact"/>
              <w:ind w:right="107"/>
              <w:rPr>
                <w:sz w:val="19"/>
              </w:rPr>
            </w:pPr>
            <w:r>
              <w:rPr>
                <w:sz w:val="19"/>
              </w:rPr>
              <w:t>100.00</w:t>
            </w:r>
          </w:p>
        </w:tc>
      </w:tr>
      <w:tr>
        <w:trPr>
          <w:trHeight w:val="228" w:hRule="exact"/>
        </w:trPr>
        <w:tc>
          <w:tcPr>
            <w:tcW w:w="2196" w:type="dxa"/>
            <w:tcBorders>
              <w:top w:val="nil"/>
              <w:left w:val="nil"/>
              <w:bottom w:val="nil"/>
              <w:right w:val="nil"/>
            </w:tcBorders>
          </w:tcPr>
          <w:p>
            <w:pPr>
              <w:pStyle w:val="TableParagraph"/>
              <w:spacing w:line="216" w:lineRule="exact"/>
              <w:ind w:left="89"/>
              <w:jc w:val="left"/>
              <w:rPr>
                <w:sz w:val="19"/>
              </w:rPr>
            </w:pPr>
            <w:r>
              <w:rPr>
                <w:w w:val="105"/>
                <w:sz w:val="19"/>
              </w:rPr>
              <w:t>Servicios</w:t>
            </w:r>
          </w:p>
        </w:tc>
        <w:tc>
          <w:tcPr>
            <w:tcW w:w="1587" w:type="dxa"/>
            <w:tcBorders>
              <w:top w:val="nil"/>
              <w:left w:val="nil"/>
              <w:bottom w:val="nil"/>
              <w:right w:val="nil"/>
            </w:tcBorders>
          </w:tcPr>
          <w:p>
            <w:pPr>
              <w:pStyle w:val="TableParagraph"/>
              <w:spacing w:line="216" w:lineRule="exact"/>
              <w:ind w:right="253"/>
              <w:rPr>
                <w:sz w:val="19"/>
              </w:rPr>
            </w:pPr>
            <w:r>
              <w:rPr>
                <w:sz w:val="19"/>
              </w:rPr>
              <w:t>48.01</w:t>
            </w:r>
          </w:p>
        </w:tc>
        <w:tc>
          <w:tcPr>
            <w:tcW w:w="1169" w:type="dxa"/>
            <w:tcBorders>
              <w:top w:val="nil"/>
              <w:left w:val="nil"/>
              <w:bottom w:val="nil"/>
              <w:right w:val="nil"/>
            </w:tcBorders>
          </w:tcPr>
          <w:p>
            <w:pPr>
              <w:pStyle w:val="TableParagraph"/>
              <w:spacing w:line="216" w:lineRule="exact"/>
              <w:ind w:right="289"/>
              <w:rPr>
                <w:sz w:val="19"/>
              </w:rPr>
            </w:pPr>
            <w:r>
              <w:rPr>
                <w:sz w:val="19"/>
              </w:rPr>
              <w:t>51.99</w:t>
            </w:r>
          </w:p>
        </w:tc>
        <w:tc>
          <w:tcPr>
            <w:tcW w:w="951" w:type="dxa"/>
            <w:tcBorders>
              <w:top w:val="nil"/>
              <w:left w:val="nil"/>
              <w:bottom w:val="nil"/>
              <w:right w:val="nil"/>
            </w:tcBorders>
          </w:tcPr>
          <w:p>
            <w:pPr>
              <w:pStyle w:val="TableParagraph"/>
              <w:spacing w:line="216" w:lineRule="exact"/>
              <w:ind w:right="107"/>
              <w:rPr>
                <w:sz w:val="19"/>
              </w:rPr>
            </w:pPr>
            <w:r>
              <w:rPr>
                <w:sz w:val="19"/>
              </w:rPr>
              <w:t>100.00</w:t>
            </w:r>
          </w:p>
        </w:tc>
      </w:tr>
      <w:tr>
        <w:trPr>
          <w:trHeight w:val="226" w:hRule="exact"/>
        </w:trPr>
        <w:tc>
          <w:tcPr>
            <w:tcW w:w="2196" w:type="dxa"/>
            <w:tcBorders>
              <w:top w:val="nil"/>
              <w:left w:val="nil"/>
              <w:right w:val="nil"/>
            </w:tcBorders>
          </w:tcPr>
          <w:p>
            <w:pPr>
              <w:pStyle w:val="TableParagraph"/>
              <w:spacing w:line="214" w:lineRule="exact"/>
              <w:ind w:left="89"/>
              <w:jc w:val="left"/>
              <w:rPr>
                <w:sz w:val="19"/>
              </w:rPr>
            </w:pPr>
            <w:r>
              <w:rPr>
                <w:w w:val="105"/>
                <w:sz w:val="19"/>
              </w:rPr>
              <w:t>Total</w:t>
            </w:r>
          </w:p>
        </w:tc>
        <w:tc>
          <w:tcPr>
            <w:tcW w:w="1587" w:type="dxa"/>
            <w:tcBorders>
              <w:top w:val="nil"/>
              <w:left w:val="nil"/>
              <w:right w:val="nil"/>
            </w:tcBorders>
          </w:tcPr>
          <w:p>
            <w:pPr>
              <w:pStyle w:val="TableParagraph"/>
              <w:spacing w:line="214" w:lineRule="exact"/>
              <w:ind w:right="253"/>
              <w:rPr>
                <w:sz w:val="19"/>
              </w:rPr>
            </w:pPr>
            <w:r>
              <w:rPr>
                <w:sz w:val="19"/>
              </w:rPr>
              <w:t>44.79</w:t>
            </w:r>
          </w:p>
        </w:tc>
        <w:tc>
          <w:tcPr>
            <w:tcW w:w="1169" w:type="dxa"/>
            <w:tcBorders>
              <w:top w:val="nil"/>
              <w:left w:val="nil"/>
              <w:right w:val="nil"/>
            </w:tcBorders>
          </w:tcPr>
          <w:p>
            <w:pPr>
              <w:pStyle w:val="TableParagraph"/>
              <w:spacing w:line="214" w:lineRule="exact"/>
              <w:ind w:right="289"/>
              <w:rPr>
                <w:sz w:val="19"/>
              </w:rPr>
            </w:pPr>
            <w:r>
              <w:rPr>
                <w:sz w:val="19"/>
              </w:rPr>
              <w:t>55.21</w:t>
            </w:r>
          </w:p>
        </w:tc>
        <w:tc>
          <w:tcPr>
            <w:tcW w:w="951" w:type="dxa"/>
            <w:tcBorders>
              <w:top w:val="nil"/>
              <w:left w:val="nil"/>
              <w:right w:val="nil"/>
            </w:tcBorders>
          </w:tcPr>
          <w:p>
            <w:pPr>
              <w:pStyle w:val="TableParagraph"/>
              <w:spacing w:line="214" w:lineRule="exact"/>
              <w:ind w:right="107"/>
              <w:rPr>
                <w:sz w:val="19"/>
              </w:rPr>
            </w:pPr>
            <w:r>
              <w:rPr>
                <w:sz w:val="19"/>
              </w:rPr>
              <w:t>100.00</w:t>
            </w:r>
          </w:p>
        </w:tc>
      </w:tr>
    </w:tbl>
    <w:p>
      <w:pPr>
        <w:spacing w:line="244" w:lineRule="auto" w:before="0"/>
        <w:ind w:left="203" w:right="590" w:hanging="1"/>
        <w:jc w:val="left"/>
        <w:rPr>
          <w:sz w:val="16"/>
        </w:rPr>
      </w:pPr>
      <w:r>
        <w:rPr>
          <w:sz w:val="16"/>
        </w:rPr>
        <w:t>Fuente: elaboración propia con base en Encuesta Nacional de Ocupación y Empleo 2013, Módulo de Trabajo Infantil, INEGI, 2013.</w:t>
      </w:r>
    </w:p>
    <w:p>
      <w:pPr>
        <w:pStyle w:val="BodyText"/>
        <w:spacing w:before="9"/>
        <w:rPr>
          <w:sz w:val="24"/>
        </w:rPr>
      </w:pPr>
    </w:p>
    <w:p>
      <w:pPr>
        <w:pStyle w:val="Heading5"/>
        <w:spacing w:before="69"/>
        <w:rPr>
          <w:i/>
        </w:rPr>
      </w:pPr>
      <w:r>
        <w:rPr>
          <w:i/>
          <w:w w:val="75"/>
        </w:rPr>
        <w:t>Condiciones laborales. Nivel de ingresos</w:t>
      </w:r>
    </w:p>
    <w:p>
      <w:pPr>
        <w:pStyle w:val="BodyText"/>
        <w:spacing w:line="249" w:lineRule="auto" w:before="171"/>
        <w:ind w:left="113" w:right="227"/>
        <w:jc w:val="both"/>
      </w:pPr>
      <w:r>
        <w:rPr>
          <w:color w:val="231F20"/>
        </w:rPr>
        <w:t>El nivel de ingresos de los menores es difícil de captar, ya que como    se mencionó anteriormente el cuestionario invisibiliza el trabajo remu- nerado. En términos generales 71 por ciento de los menores no recibe ingresos, aproximadamente diez por ciento recibe entre uno y tres sa- larios mínimos y nueve por ciento recibe más de tres salarios mínimos. Aunque, se ha mencionado que un alto porcentaje de menores que no reciben</w:t>
      </w:r>
      <w:r>
        <w:rPr>
          <w:color w:val="231F20"/>
          <w:spacing w:val="-5"/>
        </w:rPr>
        <w:t> </w:t>
      </w:r>
      <w:r>
        <w:rPr>
          <w:color w:val="231F20"/>
        </w:rPr>
        <w:t>ingresos,</w:t>
      </w:r>
      <w:r>
        <w:rPr>
          <w:color w:val="231F20"/>
          <w:spacing w:val="-5"/>
        </w:rPr>
        <w:t> </w:t>
      </w:r>
      <w:r>
        <w:rPr>
          <w:color w:val="231F20"/>
        </w:rPr>
        <w:t>es</w:t>
      </w:r>
      <w:r>
        <w:rPr>
          <w:color w:val="231F20"/>
          <w:spacing w:val="-5"/>
        </w:rPr>
        <w:t> </w:t>
      </w:r>
      <w:r>
        <w:rPr>
          <w:color w:val="231F20"/>
        </w:rPr>
        <w:t>importante</w:t>
      </w:r>
      <w:r>
        <w:rPr>
          <w:color w:val="231F20"/>
          <w:spacing w:val="-5"/>
        </w:rPr>
        <w:t> </w:t>
      </w:r>
      <w:r>
        <w:rPr>
          <w:color w:val="231F20"/>
        </w:rPr>
        <w:t>mencionar</w:t>
      </w:r>
      <w:r>
        <w:rPr>
          <w:color w:val="231F20"/>
          <w:spacing w:val="-5"/>
        </w:rPr>
        <w:t> </w:t>
      </w:r>
      <w:r>
        <w:rPr>
          <w:color w:val="231F20"/>
        </w:rPr>
        <w:t>que</w:t>
      </w:r>
      <w:r>
        <w:rPr>
          <w:color w:val="231F20"/>
          <w:spacing w:val="-5"/>
        </w:rPr>
        <w:t> </w:t>
      </w:r>
      <w:r>
        <w:rPr>
          <w:color w:val="231F20"/>
        </w:rPr>
        <w:t>tres</w:t>
      </w:r>
      <w:r>
        <w:rPr>
          <w:color w:val="231F20"/>
          <w:spacing w:val="-5"/>
        </w:rPr>
        <w:t> </w:t>
      </w:r>
      <w:r>
        <w:rPr>
          <w:color w:val="231F20"/>
        </w:rPr>
        <w:t>de</w:t>
      </w:r>
      <w:r>
        <w:rPr>
          <w:color w:val="231F20"/>
          <w:spacing w:val="-5"/>
        </w:rPr>
        <w:t> </w:t>
      </w:r>
      <w:r>
        <w:rPr>
          <w:color w:val="231F20"/>
        </w:rPr>
        <w:t>cada</w:t>
      </w:r>
      <w:r>
        <w:rPr>
          <w:color w:val="231F20"/>
          <w:spacing w:val="-5"/>
        </w:rPr>
        <w:t> </w:t>
      </w:r>
      <w:r>
        <w:rPr>
          <w:color w:val="231F20"/>
        </w:rPr>
        <w:t>diez</w:t>
      </w:r>
      <w:r>
        <w:rPr>
          <w:color w:val="231F20"/>
          <w:spacing w:val="-5"/>
        </w:rPr>
        <w:t> </w:t>
      </w:r>
      <w:r>
        <w:rPr>
          <w:color w:val="231F20"/>
        </w:rPr>
        <w:t>menores reciben</w:t>
      </w:r>
      <w:r>
        <w:rPr>
          <w:color w:val="231F20"/>
          <w:spacing w:val="-9"/>
        </w:rPr>
        <w:t> </w:t>
      </w:r>
      <w:r>
        <w:rPr>
          <w:color w:val="231F20"/>
        </w:rPr>
        <w:t>un</w:t>
      </w:r>
      <w:r>
        <w:rPr>
          <w:color w:val="231F20"/>
          <w:spacing w:val="-9"/>
        </w:rPr>
        <w:t> </w:t>
      </w:r>
      <w:r>
        <w:rPr>
          <w:color w:val="231F20"/>
        </w:rPr>
        <w:t>ingreso</w:t>
      </w:r>
      <w:r>
        <w:rPr>
          <w:color w:val="231F20"/>
          <w:spacing w:val="-9"/>
        </w:rPr>
        <w:t> </w:t>
      </w:r>
      <w:r>
        <w:rPr>
          <w:color w:val="231F20"/>
        </w:rPr>
        <w:t>monetario</w:t>
      </w:r>
      <w:r>
        <w:rPr>
          <w:color w:val="231F20"/>
          <w:spacing w:val="-10"/>
        </w:rPr>
        <w:t> </w:t>
      </w:r>
      <w:r>
        <w:rPr>
          <w:color w:val="231F20"/>
        </w:rPr>
        <w:t>por</w:t>
      </w:r>
      <w:r>
        <w:rPr>
          <w:color w:val="231F20"/>
          <w:spacing w:val="-9"/>
        </w:rPr>
        <w:t> </w:t>
      </w:r>
      <w:r>
        <w:rPr>
          <w:color w:val="231F20"/>
        </w:rPr>
        <w:t>las</w:t>
      </w:r>
      <w:r>
        <w:rPr>
          <w:color w:val="231F20"/>
          <w:spacing w:val="-9"/>
        </w:rPr>
        <w:t> </w:t>
      </w:r>
      <w:r>
        <w:rPr>
          <w:color w:val="231F20"/>
        </w:rPr>
        <w:t>actividades</w:t>
      </w:r>
      <w:r>
        <w:rPr>
          <w:color w:val="231F20"/>
          <w:spacing w:val="-10"/>
        </w:rPr>
        <w:t> </w:t>
      </w:r>
      <w:r>
        <w:rPr>
          <w:color w:val="231F20"/>
        </w:rPr>
        <w:t>que</w:t>
      </w:r>
      <w:r>
        <w:rPr>
          <w:color w:val="231F20"/>
          <w:spacing w:val="-9"/>
        </w:rPr>
        <w:t> </w:t>
      </w:r>
      <w:r>
        <w:rPr>
          <w:color w:val="231F20"/>
        </w:rPr>
        <w:t>realizan,</w:t>
      </w:r>
      <w:r>
        <w:rPr>
          <w:color w:val="231F20"/>
          <w:spacing w:val="-9"/>
        </w:rPr>
        <w:t> </w:t>
      </w:r>
      <w:r>
        <w:rPr>
          <w:color w:val="231F20"/>
        </w:rPr>
        <w:t>siendo</w:t>
      </w:r>
      <w:r>
        <w:rPr>
          <w:color w:val="231F20"/>
          <w:spacing w:val="-9"/>
        </w:rPr>
        <w:t> </w:t>
      </w:r>
      <w:r>
        <w:rPr>
          <w:color w:val="231F20"/>
        </w:rPr>
        <w:t>una cantidad importante de niños y</w:t>
      </w:r>
      <w:r>
        <w:rPr>
          <w:color w:val="231F20"/>
          <w:spacing w:val="-2"/>
        </w:rPr>
        <w:t> </w:t>
      </w:r>
      <w:r>
        <w:rPr>
          <w:color w:val="231F20"/>
        </w:rPr>
        <w:t>niñas.</w:t>
      </w:r>
    </w:p>
    <w:p>
      <w:pPr>
        <w:pStyle w:val="BodyText"/>
        <w:spacing w:before="1"/>
        <w:ind w:left="397"/>
      </w:pPr>
      <w:r>
        <w:rPr>
          <w:color w:val="231F20"/>
        </w:rPr>
        <w:t>Debido a que un reducido número de menores recibe alguna   remu-</w:t>
      </w:r>
    </w:p>
    <w:p>
      <w:pPr>
        <w:spacing w:before="136"/>
        <w:ind w:left="113" w:right="228" w:firstLine="0"/>
        <w:jc w:val="both"/>
        <w:rPr>
          <w:sz w:val="14"/>
        </w:rPr>
      </w:pPr>
      <w:r>
        <w:rPr>
          <w:color w:val="231F20"/>
          <w:position w:val="5"/>
          <w:sz w:val="8"/>
        </w:rPr>
        <w:t>12</w:t>
      </w:r>
      <w:r>
        <w:rPr>
          <w:color w:val="231F20"/>
          <w:spacing w:val="12"/>
          <w:position w:val="5"/>
          <w:sz w:val="8"/>
        </w:rPr>
        <w:t> </w:t>
      </w:r>
      <w:r>
        <w:rPr>
          <w:color w:val="231F20"/>
          <w:sz w:val="14"/>
        </w:rPr>
        <w:t>Se</w:t>
      </w:r>
      <w:r>
        <w:rPr>
          <w:color w:val="231F20"/>
          <w:spacing w:val="-3"/>
          <w:sz w:val="14"/>
        </w:rPr>
        <w:t> </w:t>
      </w:r>
      <w:r>
        <w:rPr>
          <w:color w:val="231F20"/>
          <w:sz w:val="14"/>
        </w:rPr>
        <w:t>han</w:t>
      </w:r>
      <w:r>
        <w:rPr>
          <w:color w:val="231F20"/>
          <w:spacing w:val="-3"/>
          <w:sz w:val="14"/>
        </w:rPr>
        <w:t> </w:t>
      </w:r>
      <w:r>
        <w:rPr>
          <w:color w:val="231F20"/>
          <w:sz w:val="14"/>
        </w:rPr>
        <w:t>agrupado</w:t>
      </w:r>
      <w:r>
        <w:rPr>
          <w:color w:val="231F20"/>
          <w:spacing w:val="-4"/>
          <w:sz w:val="14"/>
        </w:rPr>
        <w:t> </w:t>
      </w:r>
      <w:r>
        <w:rPr>
          <w:color w:val="231F20"/>
          <w:sz w:val="14"/>
        </w:rPr>
        <w:t>los</w:t>
      </w:r>
      <w:r>
        <w:rPr>
          <w:color w:val="231F20"/>
          <w:spacing w:val="-3"/>
          <w:sz w:val="14"/>
        </w:rPr>
        <w:t> </w:t>
      </w:r>
      <w:r>
        <w:rPr>
          <w:color w:val="231F20"/>
          <w:sz w:val="14"/>
        </w:rPr>
        <w:t>datos</w:t>
      </w:r>
      <w:r>
        <w:rPr>
          <w:color w:val="231F20"/>
          <w:spacing w:val="-3"/>
          <w:sz w:val="14"/>
        </w:rPr>
        <w:t> </w:t>
      </w:r>
      <w:r>
        <w:rPr>
          <w:color w:val="231F20"/>
          <w:sz w:val="14"/>
        </w:rPr>
        <w:t>en</w:t>
      </w:r>
      <w:r>
        <w:rPr>
          <w:color w:val="231F20"/>
          <w:spacing w:val="-3"/>
          <w:sz w:val="14"/>
        </w:rPr>
        <w:t> </w:t>
      </w:r>
      <w:r>
        <w:rPr>
          <w:color w:val="231F20"/>
          <w:sz w:val="14"/>
        </w:rPr>
        <w:t>dos</w:t>
      </w:r>
      <w:r>
        <w:rPr>
          <w:color w:val="231F20"/>
          <w:spacing w:val="-3"/>
          <w:sz w:val="14"/>
        </w:rPr>
        <w:t> </w:t>
      </w:r>
      <w:r>
        <w:rPr>
          <w:color w:val="231F20"/>
          <w:sz w:val="14"/>
        </w:rPr>
        <w:t>categorías</w:t>
      </w:r>
      <w:r>
        <w:rPr>
          <w:color w:val="231F20"/>
          <w:spacing w:val="-4"/>
          <w:sz w:val="14"/>
        </w:rPr>
        <w:t> </w:t>
      </w:r>
      <w:r>
        <w:rPr>
          <w:color w:val="231F20"/>
          <w:sz w:val="14"/>
        </w:rPr>
        <w:t>ya</w:t>
      </w:r>
      <w:r>
        <w:rPr>
          <w:color w:val="231F20"/>
          <w:spacing w:val="-3"/>
          <w:sz w:val="14"/>
        </w:rPr>
        <w:t> </w:t>
      </w:r>
      <w:r>
        <w:rPr>
          <w:color w:val="231F20"/>
          <w:sz w:val="14"/>
        </w:rPr>
        <w:t>que</w:t>
      </w:r>
      <w:r>
        <w:rPr>
          <w:color w:val="231F20"/>
          <w:spacing w:val="-3"/>
          <w:sz w:val="14"/>
        </w:rPr>
        <w:t> </w:t>
      </w:r>
      <w:r>
        <w:rPr>
          <w:color w:val="231F20"/>
          <w:sz w:val="14"/>
        </w:rPr>
        <w:t>son</w:t>
      </w:r>
      <w:r>
        <w:rPr>
          <w:color w:val="231F20"/>
          <w:spacing w:val="-3"/>
          <w:sz w:val="14"/>
        </w:rPr>
        <w:t> </w:t>
      </w:r>
      <w:r>
        <w:rPr>
          <w:color w:val="231F20"/>
          <w:sz w:val="14"/>
        </w:rPr>
        <w:t>muy</w:t>
      </w:r>
      <w:r>
        <w:rPr>
          <w:color w:val="231F20"/>
          <w:spacing w:val="-3"/>
          <w:sz w:val="14"/>
        </w:rPr>
        <w:t> </w:t>
      </w:r>
      <w:r>
        <w:rPr>
          <w:color w:val="231F20"/>
          <w:sz w:val="14"/>
        </w:rPr>
        <w:t>pocos</w:t>
      </w:r>
      <w:r>
        <w:rPr>
          <w:color w:val="231F20"/>
          <w:spacing w:val="-3"/>
          <w:sz w:val="14"/>
        </w:rPr>
        <w:t> </w:t>
      </w:r>
      <w:r>
        <w:rPr>
          <w:color w:val="231F20"/>
          <w:sz w:val="14"/>
        </w:rPr>
        <w:t>casos</w:t>
      </w:r>
      <w:r>
        <w:rPr>
          <w:color w:val="231F20"/>
          <w:spacing w:val="-3"/>
          <w:sz w:val="14"/>
        </w:rPr>
        <w:t> </w:t>
      </w:r>
      <w:r>
        <w:rPr>
          <w:color w:val="231F20"/>
          <w:sz w:val="14"/>
        </w:rPr>
        <w:t>los</w:t>
      </w:r>
      <w:r>
        <w:rPr>
          <w:color w:val="231F20"/>
          <w:spacing w:val="-3"/>
          <w:sz w:val="14"/>
        </w:rPr>
        <w:t> </w:t>
      </w:r>
      <w:r>
        <w:rPr>
          <w:color w:val="231F20"/>
          <w:sz w:val="14"/>
        </w:rPr>
        <w:t>que</w:t>
      </w:r>
      <w:r>
        <w:rPr>
          <w:color w:val="231F20"/>
          <w:spacing w:val="-3"/>
          <w:sz w:val="14"/>
        </w:rPr>
        <w:t> </w:t>
      </w:r>
      <w:r>
        <w:rPr>
          <w:color w:val="231F20"/>
          <w:sz w:val="14"/>
        </w:rPr>
        <w:t>se</w:t>
      </w:r>
      <w:r>
        <w:rPr>
          <w:color w:val="231F20"/>
          <w:spacing w:val="-3"/>
          <w:sz w:val="14"/>
        </w:rPr>
        <w:t> </w:t>
      </w:r>
      <w:r>
        <w:rPr>
          <w:color w:val="231F20"/>
          <w:sz w:val="14"/>
        </w:rPr>
        <w:t>registraron</w:t>
      </w:r>
      <w:r>
        <w:rPr>
          <w:color w:val="231F20"/>
          <w:spacing w:val="-3"/>
          <w:sz w:val="14"/>
        </w:rPr>
        <w:t> </w:t>
      </w:r>
      <w:r>
        <w:rPr>
          <w:color w:val="231F20"/>
          <w:sz w:val="14"/>
        </w:rPr>
        <w:t>dentro de esta</w:t>
      </w:r>
      <w:r>
        <w:rPr>
          <w:color w:val="231F20"/>
          <w:spacing w:val="-1"/>
          <w:sz w:val="14"/>
        </w:rPr>
        <w:t> </w:t>
      </w:r>
      <w:r>
        <w:rPr>
          <w:color w:val="231F20"/>
          <w:sz w:val="14"/>
        </w:rPr>
        <w:t>variable.</w:t>
      </w:r>
    </w:p>
    <w:p>
      <w:pPr>
        <w:spacing w:after="0"/>
        <w:jc w:val="both"/>
        <w:rPr>
          <w:sz w:val="14"/>
        </w:rPr>
        <w:sectPr>
          <w:pgSz w:w="7770" w:h="11740"/>
          <w:pgMar w:header="0" w:footer="474" w:top="840" w:bottom="660" w:left="1020" w:right="620"/>
        </w:sectPr>
      </w:pPr>
    </w:p>
    <w:p>
      <w:pPr>
        <w:pStyle w:val="BodyText"/>
        <w:spacing w:line="249" w:lineRule="auto" w:before="44"/>
        <w:ind w:left="106" w:right="115"/>
        <w:jc w:val="both"/>
      </w:pPr>
      <w:r>
        <w:rPr>
          <w:color w:val="231F20"/>
        </w:rPr>
        <w:t>neración económica se ha hecho una clasificación del salario por horas, por lo que, en promedio, los menores ganan 13.72 pesos por hora; si la clasificación</w:t>
      </w:r>
      <w:r>
        <w:rPr>
          <w:color w:val="231F20"/>
          <w:spacing w:val="-5"/>
        </w:rPr>
        <w:t> </w:t>
      </w:r>
      <w:r>
        <w:rPr>
          <w:color w:val="231F20"/>
        </w:rPr>
        <w:t>es</w:t>
      </w:r>
      <w:r>
        <w:rPr>
          <w:color w:val="231F20"/>
          <w:spacing w:val="-5"/>
        </w:rPr>
        <w:t> </w:t>
      </w:r>
      <w:r>
        <w:rPr>
          <w:color w:val="231F20"/>
        </w:rPr>
        <w:t>por</w:t>
      </w:r>
      <w:r>
        <w:rPr>
          <w:color w:val="231F20"/>
          <w:spacing w:val="-5"/>
        </w:rPr>
        <w:t> </w:t>
      </w:r>
      <w:r>
        <w:rPr>
          <w:color w:val="231F20"/>
        </w:rPr>
        <w:t>sexo</w:t>
      </w:r>
      <w:r>
        <w:rPr>
          <w:color w:val="231F20"/>
          <w:spacing w:val="-5"/>
        </w:rPr>
        <w:t> </w:t>
      </w:r>
      <w:r>
        <w:rPr>
          <w:color w:val="231F20"/>
        </w:rPr>
        <w:t>se</w:t>
      </w:r>
      <w:r>
        <w:rPr>
          <w:color w:val="231F20"/>
          <w:spacing w:val="-5"/>
        </w:rPr>
        <w:t> </w:t>
      </w:r>
      <w:r>
        <w:rPr>
          <w:color w:val="231F20"/>
        </w:rPr>
        <w:t>tiene</w:t>
      </w:r>
      <w:r>
        <w:rPr>
          <w:color w:val="231F20"/>
          <w:spacing w:val="-5"/>
        </w:rPr>
        <w:t> </w:t>
      </w:r>
      <w:r>
        <w:rPr>
          <w:color w:val="231F20"/>
        </w:rPr>
        <w:t>las</w:t>
      </w:r>
      <w:r>
        <w:rPr>
          <w:color w:val="231F20"/>
          <w:spacing w:val="-5"/>
        </w:rPr>
        <w:t> </w:t>
      </w:r>
      <w:r>
        <w:rPr>
          <w:color w:val="231F20"/>
        </w:rPr>
        <w:t>siguientes</w:t>
      </w:r>
      <w:r>
        <w:rPr>
          <w:color w:val="231F20"/>
          <w:spacing w:val="-5"/>
        </w:rPr>
        <w:t> </w:t>
      </w:r>
      <w:r>
        <w:rPr>
          <w:color w:val="231F20"/>
        </w:rPr>
        <w:t>cifras:</w:t>
      </w:r>
      <w:r>
        <w:rPr>
          <w:color w:val="231F20"/>
          <w:spacing w:val="-5"/>
        </w:rPr>
        <w:t> </w:t>
      </w:r>
      <w:r>
        <w:rPr>
          <w:color w:val="231F20"/>
        </w:rPr>
        <w:t>los</w:t>
      </w:r>
      <w:r>
        <w:rPr>
          <w:color w:val="231F20"/>
          <w:spacing w:val="-5"/>
        </w:rPr>
        <w:t> </w:t>
      </w:r>
      <w:r>
        <w:rPr>
          <w:color w:val="231F20"/>
        </w:rPr>
        <w:t>niños</w:t>
      </w:r>
      <w:r>
        <w:rPr>
          <w:color w:val="231F20"/>
          <w:spacing w:val="-5"/>
        </w:rPr>
        <w:t> </w:t>
      </w:r>
      <w:r>
        <w:rPr>
          <w:color w:val="231F20"/>
        </w:rPr>
        <w:t>ganan</w:t>
      </w:r>
      <w:r>
        <w:rPr>
          <w:color w:val="231F20"/>
          <w:spacing w:val="-5"/>
        </w:rPr>
        <w:t> </w:t>
      </w:r>
      <w:r>
        <w:rPr>
          <w:color w:val="231F20"/>
        </w:rPr>
        <w:t>13 pesos por hora y las niñas aproximadamente 14 pesos por</w:t>
      </w:r>
      <w:r>
        <w:rPr>
          <w:color w:val="231F20"/>
          <w:spacing w:val="-4"/>
        </w:rPr>
        <w:t> </w:t>
      </w:r>
      <w:r>
        <w:rPr>
          <w:color w:val="231F20"/>
        </w:rPr>
        <w:t>hora.</w:t>
      </w:r>
    </w:p>
    <w:p>
      <w:pPr>
        <w:pStyle w:val="BodyText"/>
        <w:spacing w:line="249" w:lineRule="auto" w:before="1"/>
        <w:ind w:left="106" w:right="114" w:firstLine="283"/>
        <w:jc w:val="both"/>
      </w:pPr>
      <w:r>
        <w:rPr>
          <w:color w:val="231F20"/>
        </w:rPr>
        <w:t>De los menores que reciben salario, 96.86 por ciento gana hasta un salario mínimo, 1.3 por ciento recibe hasta dos salarios mínimos y el resto</w:t>
      </w:r>
      <w:r>
        <w:rPr>
          <w:color w:val="231F20"/>
          <w:spacing w:val="-10"/>
        </w:rPr>
        <w:t> </w:t>
      </w:r>
      <w:r>
        <w:rPr>
          <w:color w:val="231F20"/>
        </w:rPr>
        <w:t>hasta</w:t>
      </w:r>
      <w:r>
        <w:rPr>
          <w:color w:val="231F20"/>
          <w:spacing w:val="-10"/>
        </w:rPr>
        <w:t> </w:t>
      </w:r>
      <w:r>
        <w:rPr>
          <w:color w:val="231F20"/>
        </w:rPr>
        <w:t>tres</w:t>
      </w:r>
      <w:r>
        <w:rPr>
          <w:color w:val="231F20"/>
          <w:spacing w:val="-10"/>
        </w:rPr>
        <w:t> </w:t>
      </w:r>
      <w:r>
        <w:rPr>
          <w:color w:val="231F20"/>
        </w:rPr>
        <w:t>salarios</w:t>
      </w:r>
      <w:r>
        <w:rPr>
          <w:color w:val="231F20"/>
          <w:spacing w:val="-10"/>
        </w:rPr>
        <w:t> </w:t>
      </w:r>
      <w:r>
        <w:rPr>
          <w:color w:val="231F20"/>
        </w:rPr>
        <w:t>mínimos.</w:t>
      </w:r>
      <w:r>
        <w:rPr>
          <w:color w:val="231F20"/>
          <w:spacing w:val="-10"/>
        </w:rPr>
        <w:t> </w:t>
      </w:r>
      <w:r>
        <w:rPr>
          <w:color w:val="231F20"/>
        </w:rPr>
        <w:t>El</w:t>
      </w:r>
      <w:r>
        <w:rPr>
          <w:color w:val="231F20"/>
          <w:spacing w:val="-10"/>
        </w:rPr>
        <w:t> </w:t>
      </w:r>
      <w:r>
        <w:rPr>
          <w:color w:val="231F20"/>
        </w:rPr>
        <w:t>Cuadro</w:t>
      </w:r>
      <w:r>
        <w:rPr>
          <w:color w:val="231F20"/>
          <w:spacing w:val="-10"/>
        </w:rPr>
        <w:t> </w:t>
      </w:r>
      <w:r>
        <w:rPr>
          <w:color w:val="231F20"/>
          <w:spacing w:val="-4"/>
        </w:rPr>
        <w:t>11</w:t>
      </w:r>
      <w:r>
        <w:rPr>
          <w:color w:val="231F20"/>
          <w:spacing w:val="-10"/>
        </w:rPr>
        <w:t> </w:t>
      </w:r>
      <w:r>
        <w:rPr>
          <w:color w:val="231F20"/>
        </w:rPr>
        <w:t>permite</w:t>
      </w:r>
      <w:r>
        <w:rPr>
          <w:color w:val="231F20"/>
          <w:spacing w:val="-10"/>
        </w:rPr>
        <w:t> </w:t>
      </w:r>
      <w:r>
        <w:rPr>
          <w:color w:val="231F20"/>
        </w:rPr>
        <w:t>observa</w:t>
      </w:r>
      <w:r>
        <w:rPr>
          <w:color w:val="231F20"/>
          <w:spacing w:val="-10"/>
        </w:rPr>
        <w:t> </w:t>
      </w:r>
      <w:r>
        <w:rPr>
          <w:color w:val="231F20"/>
        </w:rPr>
        <w:t>el</w:t>
      </w:r>
      <w:r>
        <w:rPr>
          <w:color w:val="231F20"/>
          <w:spacing w:val="-10"/>
        </w:rPr>
        <w:t> </w:t>
      </w:r>
      <w:r>
        <w:rPr>
          <w:color w:val="231F20"/>
        </w:rPr>
        <w:t>salario promedio por horas por sector de actividad. Los niños que se desempe- ñan dentro del sector servicios reciben los ingresos por hora más  </w:t>
      </w:r>
      <w:r>
        <w:rPr>
          <w:color w:val="231F20"/>
          <w:spacing w:val="17"/>
        </w:rPr>
        <w:t> </w:t>
      </w:r>
      <w:r>
        <w:rPr>
          <w:color w:val="231F20"/>
        </w:rPr>
        <w:t>altos:</w:t>
      </w:r>
    </w:p>
    <w:p>
      <w:pPr>
        <w:pStyle w:val="BodyText"/>
        <w:spacing w:line="249" w:lineRule="auto" w:before="1"/>
        <w:ind w:left="106" w:right="115"/>
        <w:jc w:val="both"/>
      </w:pPr>
      <w:r>
        <w:rPr>
          <w:color w:val="231F20"/>
        </w:rPr>
        <w:t>19.00 pesos por hora y el sector que ofrece los menores ingresos por horas es el agropecuario con 7.13 pesos la hora.</w:t>
      </w:r>
    </w:p>
    <w:p>
      <w:pPr>
        <w:pStyle w:val="BodyText"/>
        <w:spacing w:before="6"/>
        <w:rPr>
          <w:sz w:val="29"/>
        </w:rPr>
      </w:pPr>
    </w:p>
    <w:p>
      <w:pPr>
        <w:spacing w:before="0" w:after="55"/>
        <w:ind w:left="248" w:right="792" w:firstLine="0"/>
        <w:jc w:val="left"/>
        <w:rPr>
          <w:sz w:val="19"/>
        </w:rPr>
      </w:pPr>
      <w:r>
        <w:rPr>
          <w:sz w:val="19"/>
        </w:rPr>
        <w:t>Cuadro 11. Ingreso por sector de  ocupación</w:t>
      </w: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60"/>
        <w:gridCol w:w="2990"/>
      </w:tblGrid>
      <w:tr>
        <w:trPr>
          <w:trHeight w:val="341" w:hRule="exact"/>
        </w:trPr>
        <w:tc>
          <w:tcPr>
            <w:tcW w:w="2760" w:type="dxa"/>
            <w:tcBorders>
              <w:left w:val="nil"/>
              <w:right w:val="nil"/>
            </w:tcBorders>
          </w:tcPr>
          <w:p>
            <w:pPr/>
          </w:p>
        </w:tc>
        <w:tc>
          <w:tcPr>
            <w:tcW w:w="2990" w:type="dxa"/>
            <w:tcBorders>
              <w:left w:val="nil"/>
              <w:right w:val="nil"/>
            </w:tcBorders>
          </w:tcPr>
          <w:p>
            <w:pPr>
              <w:pStyle w:val="TableParagraph"/>
              <w:spacing w:before="53"/>
              <w:ind w:right="40"/>
              <w:rPr>
                <w:sz w:val="19"/>
              </w:rPr>
            </w:pPr>
            <w:r>
              <w:rPr>
                <w:sz w:val="19"/>
              </w:rPr>
              <w:t>Ingreso promedio por  horas</w:t>
            </w:r>
          </w:p>
        </w:tc>
      </w:tr>
      <w:tr>
        <w:trPr>
          <w:trHeight w:val="324" w:hRule="exact"/>
        </w:trPr>
        <w:tc>
          <w:tcPr>
            <w:tcW w:w="2760" w:type="dxa"/>
            <w:tcBorders>
              <w:left w:val="nil"/>
              <w:bottom w:val="nil"/>
              <w:right w:val="nil"/>
            </w:tcBorders>
          </w:tcPr>
          <w:p>
            <w:pPr>
              <w:pStyle w:val="TableParagraph"/>
              <w:spacing w:before="48"/>
              <w:ind w:left="108"/>
              <w:jc w:val="left"/>
              <w:rPr>
                <w:sz w:val="19"/>
              </w:rPr>
            </w:pPr>
            <w:r>
              <w:rPr>
                <w:sz w:val="19"/>
              </w:rPr>
              <w:t>Agropecuario</w:t>
            </w:r>
          </w:p>
        </w:tc>
        <w:tc>
          <w:tcPr>
            <w:tcW w:w="2990" w:type="dxa"/>
            <w:tcBorders>
              <w:left w:val="nil"/>
              <w:bottom w:val="nil"/>
              <w:right w:val="nil"/>
            </w:tcBorders>
          </w:tcPr>
          <w:p>
            <w:pPr>
              <w:pStyle w:val="TableParagraph"/>
              <w:spacing w:before="48"/>
              <w:ind w:right="38"/>
              <w:rPr>
                <w:sz w:val="19"/>
              </w:rPr>
            </w:pPr>
            <w:r>
              <w:rPr>
                <w:sz w:val="19"/>
              </w:rPr>
              <w:t>7.13</w:t>
            </w:r>
          </w:p>
        </w:tc>
      </w:tr>
      <w:tr>
        <w:trPr>
          <w:trHeight w:val="302" w:hRule="exact"/>
        </w:trPr>
        <w:tc>
          <w:tcPr>
            <w:tcW w:w="2760" w:type="dxa"/>
            <w:tcBorders>
              <w:top w:val="nil"/>
              <w:left w:val="nil"/>
              <w:bottom w:val="nil"/>
              <w:right w:val="nil"/>
            </w:tcBorders>
          </w:tcPr>
          <w:p>
            <w:pPr>
              <w:pStyle w:val="TableParagraph"/>
              <w:spacing w:before="36"/>
              <w:ind w:left="108"/>
              <w:jc w:val="left"/>
              <w:rPr>
                <w:sz w:val="19"/>
              </w:rPr>
            </w:pPr>
            <w:r>
              <w:rPr>
                <w:sz w:val="19"/>
              </w:rPr>
              <w:t>Industria manufacturera</w:t>
            </w:r>
          </w:p>
        </w:tc>
        <w:tc>
          <w:tcPr>
            <w:tcW w:w="2990" w:type="dxa"/>
            <w:tcBorders>
              <w:top w:val="nil"/>
              <w:left w:val="nil"/>
              <w:bottom w:val="nil"/>
              <w:right w:val="nil"/>
            </w:tcBorders>
          </w:tcPr>
          <w:p>
            <w:pPr>
              <w:pStyle w:val="TableParagraph"/>
              <w:spacing w:before="36"/>
              <w:ind w:right="38"/>
              <w:rPr>
                <w:sz w:val="19"/>
              </w:rPr>
            </w:pPr>
            <w:r>
              <w:rPr>
                <w:sz w:val="19"/>
              </w:rPr>
              <w:t>10.09</w:t>
            </w:r>
          </w:p>
        </w:tc>
      </w:tr>
      <w:tr>
        <w:trPr>
          <w:trHeight w:val="300" w:hRule="exact"/>
        </w:trPr>
        <w:tc>
          <w:tcPr>
            <w:tcW w:w="2760" w:type="dxa"/>
            <w:tcBorders>
              <w:top w:val="nil"/>
              <w:left w:val="nil"/>
              <w:bottom w:val="nil"/>
              <w:right w:val="nil"/>
            </w:tcBorders>
          </w:tcPr>
          <w:p>
            <w:pPr>
              <w:pStyle w:val="TableParagraph"/>
              <w:spacing w:before="31"/>
              <w:ind w:left="108"/>
              <w:jc w:val="left"/>
              <w:rPr>
                <w:sz w:val="19"/>
              </w:rPr>
            </w:pPr>
            <w:r>
              <w:rPr>
                <w:sz w:val="19"/>
              </w:rPr>
              <w:t>Construcción</w:t>
            </w:r>
          </w:p>
        </w:tc>
        <w:tc>
          <w:tcPr>
            <w:tcW w:w="2990" w:type="dxa"/>
            <w:tcBorders>
              <w:top w:val="nil"/>
              <w:left w:val="nil"/>
              <w:bottom w:val="nil"/>
              <w:right w:val="nil"/>
            </w:tcBorders>
          </w:tcPr>
          <w:p>
            <w:pPr>
              <w:pStyle w:val="TableParagraph"/>
              <w:spacing w:before="31"/>
              <w:ind w:right="38"/>
              <w:rPr>
                <w:sz w:val="19"/>
              </w:rPr>
            </w:pPr>
            <w:r>
              <w:rPr>
                <w:sz w:val="19"/>
              </w:rPr>
              <w:t>9.91</w:t>
            </w:r>
          </w:p>
        </w:tc>
      </w:tr>
      <w:tr>
        <w:trPr>
          <w:trHeight w:val="300" w:hRule="exact"/>
        </w:trPr>
        <w:tc>
          <w:tcPr>
            <w:tcW w:w="2760" w:type="dxa"/>
            <w:tcBorders>
              <w:top w:val="nil"/>
              <w:left w:val="nil"/>
              <w:bottom w:val="nil"/>
              <w:right w:val="nil"/>
            </w:tcBorders>
          </w:tcPr>
          <w:p>
            <w:pPr>
              <w:pStyle w:val="TableParagraph"/>
              <w:spacing w:before="33"/>
              <w:ind w:left="108"/>
              <w:jc w:val="left"/>
              <w:rPr>
                <w:sz w:val="19"/>
              </w:rPr>
            </w:pPr>
            <w:r>
              <w:rPr>
                <w:sz w:val="19"/>
              </w:rPr>
              <w:t>Comercio</w:t>
            </w:r>
          </w:p>
        </w:tc>
        <w:tc>
          <w:tcPr>
            <w:tcW w:w="2990" w:type="dxa"/>
            <w:tcBorders>
              <w:top w:val="nil"/>
              <w:left w:val="nil"/>
              <w:bottom w:val="nil"/>
              <w:right w:val="nil"/>
            </w:tcBorders>
          </w:tcPr>
          <w:p>
            <w:pPr>
              <w:pStyle w:val="TableParagraph"/>
              <w:spacing w:before="33"/>
              <w:ind w:right="38"/>
              <w:rPr>
                <w:sz w:val="19"/>
              </w:rPr>
            </w:pPr>
            <w:r>
              <w:rPr>
                <w:sz w:val="19"/>
              </w:rPr>
              <w:t>10.58</w:t>
            </w:r>
          </w:p>
        </w:tc>
      </w:tr>
      <w:tr>
        <w:trPr>
          <w:trHeight w:val="300" w:hRule="exact"/>
        </w:trPr>
        <w:tc>
          <w:tcPr>
            <w:tcW w:w="2760" w:type="dxa"/>
            <w:tcBorders>
              <w:top w:val="nil"/>
              <w:left w:val="nil"/>
              <w:bottom w:val="nil"/>
              <w:right w:val="nil"/>
            </w:tcBorders>
          </w:tcPr>
          <w:p>
            <w:pPr>
              <w:pStyle w:val="TableParagraph"/>
              <w:spacing w:before="31"/>
              <w:ind w:left="108"/>
              <w:jc w:val="left"/>
              <w:rPr>
                <w:sz w:val="19"/>
              </w:rPr>
            </w:pPr>
            <w:r>
              <w:rPr>
                <w:sz w:val="19"/>
              </w:rPr>
              <w:t>Servicios</w:t>
            </w:r>
          </w:p>
        </w:tc>
        <w:tc>
          <w:tcPr>
            <w:tcW w:w="2990" w:type="dxa"/>
            <w:tcBorders>
              <w:top w:val="nil"/>
              <w:left w:val="nil"/>
              <w:bottom w:val="nil"/>
              <w:right w:val="nil"/>
            </w:tcBorders>
          </w:tcPr>
          <w:p>
            <w:pPr>
              <w:pStyle w:val="TableParagraph"/>
              <w:spacing w:before="31"/>
              <w:ind w:right="38"/>
              <w:rPr>
                <w:sz w:val="19"/>
              </w:rPr>
            </w:pPr>
            <w:r>
              <w:rPr>
                <w:sz w:val="19"/>
              </w:rPr>
              <w:t>19.00</w:t>
            </w:r>
          </w:p>
        </w:tc>
      </w:tr>
      <w:tr>
        <w:trPr>
          <w:trHeight w:val="298" w:hRule="exact"/>
        </w:trPr>
        <w:tc>
          <w:tcPr>
            <w:tcW w:w="2760" w:type="dxa"/>
            <w:tcBorders>
              <w:top w:val="nil"/>
              <w:left w:val="nil"/>
              <w:right w:val="nil"/>
            </w:tcBorders>
          </w:tcPr>
          <w:p>
            <w:pPr>
              <w:pStyle w:val="TableParagraph"/>
              <w:spacing w:before="33"/>
              <w:ind w:left="108"/>
              <w:jc w:val="left"/>
              <w:rPr>
                <w:sz w:val="19"/>
              </w:rPr>
            </w:pPr>
            <w:r>
              <w:rPr>
                <w:sz w:val="19"/>
              </w:rPr>
              <w:t>Total</w:t>
            </w:r>
          </w:p>
        </w:tc>
        <w:tc>
          <w:tcPr>
            <w:tcW w:w="2990" w:type="dxa"/>
            <w:tcBorders>
              <w:top w:val="nil"/>
              <w:left w:val="nil"/>
              <w:right w:val="nil"/>
            </w:tcBorders>
          </w:tcPr>
          <w:p>
            <w:pPr>
              <w:pStyle w:val="TableParagraph"/>
              <w:spacing w:before="33"/>
              <w:ind w:right="38"/>
              <w:rPr>
                <w:sz w:val="19"/>
              </w:rPr>
            </w:pPr>
            <w:r>
              <w:rPr>
                <w:sz w:val="19"/>
              </w:rPr>
              <w:t>13.72</w:t>
            </w:r>
          </w:p>
        </w:tc>
      </w:tr>
    </w:tbl>
    <w:p>
      <w:pPr>
        <w:spacing w:line="237" w:lineRule="auto" w:before="0"/>
        <w:ind w:left="248" w:right="792" w:hanging="1"/>
        <w:jc w:val="left"/>
        <w:rPr>
          <w:sz w:val="16"/>
        </w:rPr>
      </w:pPr>
      <w:r>
        <w:rPr>
          <w:sz w:val="16"/>
        </w:rPr>
        <w:t>Fuente:</w:t>
      </w:r>
      <w:r>
        <w:rPr>
          <w:spacing w:val="-12"/>
          <w:sz w:val="16"/>
        </w:rPr>
        <w:t> </w:t>
      </w:r>
      <w:r>
        <w:rPr>
          <w:sz w:val="16"/>
        </w:rPr>
        <w:t>elaboración</w:t>
      </w:r>
      <w:r>
        <w:rPr>
          <w:spacing w:val="-11"/>
          <w:sz w:val="16"/>
        </w:rPr>
        <w:t> </w:t>
      </w:r>
      <w:r>
        <w:rPr>
          <w:sz w:val="16"/>
        </w:rPr>
        <w:t>propia</w:t>
      </w:r>
      <w:r>
        <w:rPr>
          <w:spacing w:val="-11"/>
          <w:sz w:val="16"/>
        </w:rPr>
        <w:t> </w:t>
      </w:r>
      <w:r>
        <w:rPr>
          <w:sz w:val="16"/>
        </w:rPr>
        <w:t>con</w:t>
      </w:r>
      <w:r>
        <w:rPr>
          <w:spacing w:val="-11"/>
          <w:sz w:val="16"/>
        </w:rPr>
        <w:t> </w:t>
      </w:r>
      <w:r>
        <w:rPr>
          <w:sz w:val="16"/>
        </w:rPr>
        <w:t>base</w:t>
      </w:r>
      <w:r>
        <w:rPr>
          <w:spacing w:val="-11"/>
          <w:sz w:val="16"/>
        </w:rPr>
        <w:t> </w:t>
      </w:r>
      <w:r>
        <w:rPr>
          <w:sz w:val="16"/>
        </w:rPr>
        <w:t>en</w:t>
      </w:r>
      <w:r>
        <w:rPr>
          <w:spacing w:val="-14"/>
          <w:sz w:val="16"/>
        </w:rPr>
        <w:t> </w:t>
      </w:r>
      <w:r>
        <w:rPr>
          <w:sz w:val="16"/>
        </w:rPr>
        <w:t>Encuesta</w:t>
      </w:r>
      <w:r>
        <w:rPr>
          <w:spacing w:val="-12"/>
          <w:sz w:val="16"/>
        </w:rPr>
        <w:t> </w:t>
      </w:r>
      <w:r>
        <w:rPr>
          <w:sz w:val="16"/>
        </w:rPr>
        <w:t>Nacional</w:t>
      </w:r>
      <w:r>
        <w:rPr>
          <w:spacing w:val="-12"/>
          <w:sz w:val="16"/>
        </w:rPr>
        <w:t> </w:t>
      </w:r>
      <w:r>
        <w:rPr>
          <w:sz w:val="16"/>
        </w:rPr>
        <w:t>de</w:t>
      </w:r>
      <w:r>
        <w:rPr>
          <w:spacing w:val="-11"/>
          <w:sz w:val="16"/>
        </w:rPr>
        <w:t> </w:t>
      </w:r>
      <w:r>
        <w:rPr>
          <w:sz w:val="16"/>
        </w:rPr>
        <w:t>Ocupación</w:t>
      </w:r>
      <w:r>
        <w:rPr>
          <w:spacing w:val="-12"/>
          <w:sz w:val="16"/>
        </w:rPr>
        <w:t> </w:t>
      </w:r>
      <w:r>
        <w:rPr>
          <w:sz w:val="16"/>
        </w:rPr>
        <w:t>y Empleo</w:t>
      </w:r>
      <w:r>
        <w:rPr>
          <w:spacing w:val="-12"/>
          <w:sz w:val="16"/>
        </w:rPr>
        <w:t> </w:t>
      </w:r>
      <w:r>
        <w:rPr>
          <w:sz w:val="16"/>
        </w:rPr>
        <w:t>2013,</w:t>
      </w:r>
      <w:r>
        <w:rPr>
          <w:spacing w:val="-12"/>
          <w:sz w:val="16"/>
        </w:rPr>
        <w:t> </w:t>
      </w:r>
      <w:r>
        <w:rPr>
          <w:sz w:val="16"/>
        </w:rPr>
        <w:t>Módulo</w:t>
      </w:r>
      <w:r>
        <w:rPr>
          <w:spacing w:val="-12"/>
          <w:sz w:val="16"/>
        </w:rPr>
        <w:t> </w:t>
      </w:r>
      <w:r>
        <w:rPr>
          <w:sz w:val="16"/>
        </w:rPr>
        <w:t>de</w:t>
      </w:r>
      <w:r>
        <w:rPr>
          <w:spacing w:val="16"/>
          <w:sz w:val="16"/>
        </w:rPr>
        <w:t> </w:t>
      </w:r>
      <w:r>
        <w:rPr>
          <w:sz w:val="16"/>
        </w:rPr>
        <w:t>Trabajo</w:t>
      </w:r>
      <w:r>
        <w:rPr>
          <w:spacing w:val="-12"/>
          <w:sz w:val="16"/>
        </w:rPr>
        <w:t> </w:t>
      </w:r>
      <w:r>
        <w:rPr>
          <w:sz w:val="16"/>
        </w:rPr>
        <w:t>Infantil,</w:t>
      </w:r>
      <w:r>
        <w:rPr>
          <w:spacing w:val="-12"/>
          <w:sz w:val="16"/>
        </w:rPr>
        <w:t> </w:t>
      </w:r>
      <w:r>
        <w:rPr>
          <w:sz w:val="16"/>
        </w:rPr>
        <w:t>INEGI,</w:t>
      </w:r>
      <w:r>
        <w:rPr>
          <w:spacing w:val="-12"/>
          <w:sz w:val="16"/>
        </w:rPr>
        <w:t> </w:t>
      </w:r>
      <w:r>
        <w:rPr>
          <w:sz w:val="16"/>
        </w:rPr>
        <w:t>2013.</w:t>
      </w:r>
    </w:p>
    <w:p>
      <w:pPr>
        <w:pStyle w:val="BodyText"/>
        <w:spacing w:before="3"/>
        <w:rPr>
          <w:sz w:val="13"/>
        </w:rPr>
      </w:pPr>
    </w:p>
    <w:p>
      <w:pPr>
        <w:pStyle w:val="BodyText"/>
        <w:spacing w:line="249" w:lineRule="auto"/>
        <w:ind w:left="110" w:right="114" w:firstLine="283"/>
        <w:jc w:val="both"/>
      </w:pPr>
      <w:r>
        <w:rPr>
          <w:color w:val="231F20"/>
        </w:rPr>
        <w:t>Los ingresos de los menores de cinco a 17 años han sido poco estu- diados.</w:t>
      </w:r>
      <w:r>
        <w:rPr>
          <w:color w:val="231F20"/>
          <w:spacing w:val="-5"/>
        </w:rPr>
        <w:t> </w:t>
      </w:r>
      <w:r>
        <w:rPr>
          <w:color w:val="231F20"/>
        </w:rPr>
        <w:t>En</w:t>
      </w:r>
      <w:r>
        <w:rPr>
          <w:color w:val="231F20"/>
          <w:spacing w:val="-5"/>
        </w:rPr>
        <w:t> </w:t>
      </w:r>
      <w:r>
        <w:rPr>
          <w:color w:val="231F20"/>
        </w:rPr>
        <w:t>cambio,</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analizado</w:t>
      </w:r>
      <w:r>
        <w:rPr>
          <w:color w:val="231F20"/>
          <w:spacing w:val="-5"/>
        </w:rPr>
        <w:t> </w:t>
      </w:r>
      <w:r>
        <w:rPr>
          <w:color w:val="231F20"/>
        </w:rPr>
        <w:t>la</w:t>
      </w:r>
      <w:r>
        <w:rPr>
          <w:color w:val="231F20"/>
          <w:spacing w:val="-5"/>
        </w:rPr>
        <w:t> </w:t>
      </w:r>
      <w:r>
        <w:rPr>
          <w:color w:val="231F20"/>
        </w:rPr>
        <w:t>importancia</w:t>
      </w:r>
      <w:r>
        <w:rPr>
          <w:color w:val="231F20"/>
          <w:spacing w:val="-6"/>
        </w:rPr>
        <w:t> </w:t>
      </w:r>
      <w:r>
        <w:rPr>
          <w:color w:val="231F20"/>
        </w:rPr>
        <w:t>del</w:t>
      </w:r>
      <w:r>
        <w:rPr>
          <w:color w:val="231F20"/>
          <w:spacing w:val="-5"/>
        </w:rPr>
        <w:t> </w:t>
      </w:r>
      <w:r>
        <w:rPr>
          <w:color w:val="231F20"/>
        </w:rPr>
        <w:t>ingreso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me- nores</w:t>
      </w:r>
      <w:r>
        <w:rPr>
          <w:color w:val="231F20"/>
          <w:spacing w:val="-3"/>
        </w:rPr>
        <w:t> </w:t>
      </w:r>
      <w:r>
        <w:rPr>
          <w:color w:val="231F20"/>
        </w:rPr>
        <w:t>para</w:t>
      </w:r>
      <w:r>
        <w:rPr>
          <w:color w:val="231F20"/>
          <w:spacing w:val="-3"/>
        </w:rPr>
        <w:t> </w:t>
      </w:r>
      <w:r>
        <w:rPr>
          <w:color w:val="231F20"/>
        </w:rPr>
        <w:t>el</w:t>
      </w:r>
      <w:r>
        <w:rPr>
          <w:color w:val="231F20"/>
          <w:spacing w:val="-3"/>
        </w:rPr>
        <w:t> </w:t>
      </w:r>
      <w:r>
        <w:rPr>
          <w:color w:val="231F20"/>
        </w:rPr>
        <w:t>gasto</w:t>
      </w:r>
      <w:r>
        <w:rPr>
          <w:color w:val="231F20"/>
          <w:spacing w:val="-3"/>
        </w:rPr>
        <w:t> </w:t>
      </w:r>
      <w:r>
        <w:rPr>
          <w:color w:val="231F20"/>
        </w:rPr>
        <w:t>familia.</w:t>
      </w:r>
      <w:r>
        <w:rPr>
          <w:color w:val="231F20"/>
          <w:spacing w:val="-3"/>
        </w:rPr>
        <w:t> </w:t>
      </w:r>
      <w:r>
        <w:rPr>
          <w:color w:val="231F20"/>
        </w:rPr>
        <w:t>Las</w:t>
      </w:r>
      <w:r>
        <w:rPr>
          <w:color w:val="231F20"/>
          <w:spacing w:val="-3"/>
        </w:rPr>
        <w:t> </w:t>
      </w:r>
      <w:r>
        <w:rPr>
          <w:color w:val="231F20"/>
        </w:rPr>
        <w:t>razones</w:t>
      </w:r>
      <w:r>
        <w:rPr>
          <w:color w:val="231F20"/>
          <w:spacing w:val="-3"/>
        </w:rPr>
        <w:t> </w:t>
      </w:r>
      <w:r>
        <w:rPr>
          <w:color w:val="231F20"/>
        </w:rPr>
        <w:t>que</w:t>
      </w:r>
      <w:r>
        <w:rPr>
          <w:color w:val="231F20"/>
          <w:spacing w:val="-3"/>
        </w:rPr>
        <w:t> </w:t>
      </w:r>
      <w:r>
        <w:rPr>
          <w:color w:val="231F20"/>
        </w:rPr>
        <w:t>obligan</w:t>
      </w:r>
      <w:r>
        <w:rPr>
          <w:color w:val="231F20"/>
          <w:spacing w:val="-3"/>
        </w:rPr>
        <w:t> </w:t>
      </w:r>
      <w:r>
        <w:rPr>
          <w:color w:val="231F20"/>
        </w:rPr>
        <w:t>a</w:t>
      </w:r>
      <w:r>
        <w:rPr>
          <w:color w:val="231F20"/>
          <w:spacing w:val="-3"/>
        </w:rPr>
        <w:t> </w:t>
      </w:r>
      <w:r>
        <w:rPr>
          <w:color w:val="231F20"/>
        </w:rPr>
        <w:t>los</w:t>
      </w:r>
      <w:r>
        <w:rPr>
          <w:color w:val="231F20"/>
          <w:spacing w:val="-3"/>
        </w:rPr>
        <w:t> </w:t>
      </w:r>
      <w:r>
        <w:rPr>
          <w:color w:val="231F20"/>
        </w:rPr>
        <w:t>niños</w:t>
      </w:r>
      <w:r>
        <w:rPr>
          <w:color w:val="231F20"/>
          <w:spacing w:val="-3"/>
        </w:rPr>
        <w:t> </w:t>
      </w:r>
      <w:r>
        <w:rPr>
          <w:color w:val="231F20"/>
        </w:rPr>
        <w:t>de</w:t>
      </w:r>
      <w:r>
        <w:rPr>
          <w:color w:val="231F20"/>
          <w:spacing w:val="-3"/>
        </w:rPr>
        <w:t> </w:t>
      </w:r>
      <w:r>
        <w:rPr>
          <w:color w:val="231F20"/>
        </w:rPr>
        <w:t>grupo de edad de cinco a once años serán revisadas en el siguiente capítulo. Aunque es importante rescatar una aseveración, Estrada (2005) señala que dentro de las empresas familiares (principalmente las agrícolas y  las empresas familiares del sector urbano) es donde se emplea el mayor número de trabajadores infantiles sin</w:t>
      </w:r>
      <w:r>
        <w:rPr>
          <w:color w:val="231F20"/>
          <w:spacing w:val="-4"/>
        </w:rPr>
        <w:t> </w:t>
      </w:r>
      <w:r>
        <w:rPr>
          <w:color w:val="231F20"/>
        </w:rPr>
        <w:t>pago.</w:t>
      </w:r>
    </w:p>
    <w:p>
      <w:pPr>
        <w:pStyle w:val="Heading5"/>
        <w:ind w:left="110" w:right="792"/>
        <w:jc w:val="left"/>
        <w:rPr>
          <w:i/>
        </w:rPr>
      </w:pPr>
      <w:r>
        <w:rPr>
          <w:i/>
          <w:w w:val="75"/>
        </w:rPr>
        <w:t>Duración de la jornada</w:t>
      </w:r>
    </w:p>
    <w:p>
      <w:pPr>
        <w:pStyle w:val="BodyText"/>
        <w:spacing w:line="249" w:lineRule="auto" w:before="171"/>
        <w:ind w:left="110" w:right="107"/>
      </w:pPr>
      <w:r>
        <w:rPr>
          <w:color w:val="231F20"/>
        </w:rPr>
        <w:t>La jornada laboral que realizan los menores es la siguiente: los meno- res del grupo de edad de cinco a once años de trabajan en promedio</w:t>
      </w:r>
    </w:p>
    <w:p>
      <w:pPr>
        <w:pStyle w:val="BodyText"/>
        <w:spacing w:line="249" w:lineRule="auto" w:before="1"/>
        <w:ind w:left="110"/>
      </w:pPr>
      <w:r>
        <w:rPr>
          <w:color w:val="231F20"/>
        </w:rPr>
        <w:t>12.48 horas a la semana. De acuerdo con el sexo del menor, los varones trabajan en promedio 13.25 horas y las niñas 11.10 horas.</w:t>
      </w:r>
    </w:p>
    <w:p>
      <w:pPr>
        <w:pStyle w:val="BodyText"/>
        <w:spacing w:before="1"/>
        <w:ind w:left="393"/>
      </w:pPr>
      <w:r>
        <w:rPr>
          <w:color w:val="231F20"/>
        </w:rPr>
        <w:t>La jornada laboral según la edad es la siguiente: los menores de cin-</w:t>
      </w:r>
    </w:p>
    <w:p>
      <w:pPr>
        <w:spacing w:after="0"/>
        <w:sectPr>
          <w:footerReference w:type="default" r:id="rId304"/>
          <w:pgSz w:w="7770" w:h="11740"/>
          <w:pgMar w:footer="474" w:header="0" w:top="840" w:bottom="660" w:left="740" w:right="1020"/>
          <w:pgNumType w:start="298"/>
        </w:sectPr>
      </w:pPr>
    </w:p>
    <w:p>
      <w:pPr>
        <w:pStyle w:val="BodyText"/>
        <w:spacing w:line="249" w:lineRule="auto" w:before="44"/>
        <w:ind w:left="113" w:right="107"/>
        <w:jc w:val="both"/>
      </w:pPr>
      <w:r>
        <w:rPr>
          <w:color w:val="231F20"/>
        </w:rPr>
        <w:t>co y seis años trabajan ocho horas a la semana en promedio, los niños de siete años trabajan 9.21 horas a las semana, los que reportaron el mayor número de horas trabajadas a la semana son los niños y niñas    de ocho años de edad con 15.27 horas a la semana, los niños de nueve años</w:t>
      </w:r>
      <w:r>
        <w:rPr>
          <w:color w:val="231F20"/>
          <w:spacing w:val="-4"/>
        </w:rPr>
        <w:t> </w:t>
      </w:r>
      <w:r>
        <w:rPr>
          <w:color w:val="231F20"/>
        </w:rPr>
        <w:t>trabajaron</w:t>
      </w:r>
      <w:r>
        <w:rPr>
          <w:color w:val="231F20"/>
          <w:spacing w:val="-5"/>
        </w:rPr>
        <w:t> </w:t>
      </w:r>
      <w:r>
        <w:rPr>
          <w:color w:val="231F20"/>
        </w:rPr>
        <w:t>diez</w:t>
      </w:r>
      <w:r>
        <w:rPr>
          <w:color w:val="231F20"/>
          <w:spacing w:val="-4"/>
        </w:rPr>
        <w:t> </w:t>
      </w:r>
      <w:r>
        <w:rPr>
          <w:color w:val="231F20"/>
        </w:rPr>
        <w:t>horas</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semana,</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tienen</w:t>
      </w:r>
      <w:r>
        <w:rPr>
          <w:color w:val="231F20"/>
          <w:spacing w:val="-4"/>
        </w:rPr>
        <w:t> </w:t>
      </w:r>
      <w:r>
        <w:rPr>
          <w:color w:val="231F20"/>
        </w:rPr>
        <w:t>10</w:t>
      </w:r>
      <w:r>
        <w:rPr>
          <w:color w:val="231F20"/>
          <w:spacing w:val="-4"/>
        </w:rPr>
        <w:t> </w:t>
      </w:r>
      <w:r>
        <w:rPr>
          <w:color w:val="231F20"/>
        </w:rPr>
        <w:t>años</w:t>
      </w:r>
      <w:r>
        <w:rPr>
          <w:color w:val="231F20"/>
          <w:spacing w:val="-4"/>
        </w:rPr>
        <w:t> </w:t>
      </w:r>
      <w:r>
        <w:rPr>
          <w:color w:val="231F20"/>
        </w:rPr>
        <w:t>trabajaron</w:t>
      </w:r>
    </w:p>
    <w:p>
      <w:pPr>
        <w:pStyle w:val="BodyText"/>
        <w:spacing w:line="249" w:lineRule="auto" w:before="1"/>
        <w:ind w:left="113" w:right="108"/>
        <w:jc w:val="both"/>
      </w:pPr>
      <w:r>
        <w:rPr>
          <w:color w:val="231F20"/>
        </w:rPr>
        <w:t>11.96</w:t>
      </w:r>
      <w:r>
        <w:rPr>
          <w:color w:val="231F20"/>
          <w:spacing w:val="-5"/>
        </w:rPr>
        <w:t> </w:t>
      </w:r>
      <w:r>
        <w:rPr>
          <w:color w:val="231F20"/>
        </w:rPr>
        <w:t>horas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semana</w:t>
      </w:r>
      <w:r>
        <w:rPr>
          <w:color w:val="231F20"/>
          <w:spacing w:val="-4"/>
        </w:rPr>
        <w:t> </w:t>
      </w:r>
      <w:r>
        <w:rPr>
          <w:color w:val="231F20"/>
        </w:rPr>
        <w:t>y</w:t>
      </w:r>
      <w:r>
        <w:rPr>
          <w:color w:val="231F20"/>
          <w:spacing w:val="-5"/>
        </w:rPr>
        <w:t> </w:t>
      </w:r>
      <w:r>
        <w:rPr>
          <w:color w:val="231F20"/>
        </w:rPr>
        <w:t>los</w:t>
      </w:r>
      <w:r>
        <w:rPr>
          <w:color w:val="231F20"/>
          <w:spacing w:val="-5"/>
        </w:rPr>
        <w:t> </w:t>
      </w:r>
      <w:r>
        <w:rPr>
          <w:color w:val="231F20"/>
        </w:rPr>
        <w:t>de</w:t>
      </w:r>
      <w:r>
        <w:rPr>
          <w:color w:val="231F20"/>
          <w:spacing w:val="-5"/>
        </w:rPr>
        <w:t> </w:t>
      </w:r>
      <w:r>
        <w:rPr>
          <w:color w:val="231F20"/>
          <w:spacing w:val="-4"/>
        </w:rPr>
        <w:t>11</w:t>
      </w:r>
      <w:r>
        <w:rPr>
          <w:color w:val="231F20"/>
          <w:spacing w:val="-5"/>
        </w:rPr>
        <w:t> </w:t>
      </w:r>
      <w:r>
        <w:rPr>
          <w:color w:val="231F20"/>
        </w:rPr>
        <w:t>años</w:t>
      </w:r>
      <w:r>
        <w:rPr>
          <w:color w:val="231F20"/>
          <w:spacing w:val="-5"/>
        </w:rPr>
        <w:t> </w:t>
      </w:r>
      <w:r>
        <w:rPr>
          <w:color w:val="231F20"/>
        </w:rPr>
        <w:t>de</w:t>
      </w:r>
      <w:r>
        <w:rPr>
          <w:color w:val="231F20"/>
          <w:spacing w:val="-5"/>
        </w:rPr>
        <w:t> </w:t>
      </w:r>
      <w:r>
        <w:rPr>
          <w:color w:val="231F20"/>
        </w:rPr>
        <w:t>edad</w:t>
      </w:r>
      <w:r>
        <w:rPr>
          <w:color w:val="231F20"/>
          <w:spacing w:val="-5"/>
        </w:rPr>
        <w:t> </w:t>
      </w:r>
      <w:r>
        <w:rPr>
          <w:color w:val="231F20"/>
        </w:rPr>
        <w:t>trabajaron</w:t>
      </w:r>
      <w:r>
        <w:rPr>
          <w:color w:val="231F20"/>
          <w:spacing w:val="-5"/>
        </w:rPr>
        <w:t> </w:t>
      </w:r>
      <w:r>
        <w:rPr>
          <w:color w:val="231F20"/>
        </w:rPr>
        <w:t>14</w:t>
      </w:r>
      <w:r>
        <w:rPr>
          <w:color w:val="231F20"/>
          <w:spacing w:val="-5"/>
        </w:rPr>
        <w:t> </w:t>
      </w:r>
      <w:r>
        <w:rPr>
          <w:color w:val="231F20"/>
        </w:rPr>
        <w:t>horas</w:t>
      </w:r>
      <w:r>
        <w:rPr>
          <w:color w:val="231F20"/>
          <w:spacing w:val="-5"/>
        </w:rPr>
        <w:t> </w:t>
      </w:r>
      <w:r>
        <w:rPr>
          <w:color w:val="231F20"/>
        </w:rPr>
        <w:t>a</w:t>
      </w:r>
      <w:r>
        <w:rPr>
          <w:color w:val="231F20"/>
          <w:spacing w:val="-5"/>
        </w:rPr>
        <w:t> </w:t>
      </w:r>
      <w:r>
        <w:rPr>
          <w:color w:val="231F20"/>
        </w:rPr>
        <w:t>la semana (Cuadro</w:t>
      </w:r>
      <w:r>
        <w:rPr>
          <w:color w:val="231F20"/>
          <w:spacing w:val="-5"/>
        </w:rPr>
        <w:t> </w:t>
      </w:r>
      <w:r>
        <w:rPr>
          <w:color w:val="231F20"/>
        </w:rPr>
        <w:t>12).</w:t>
      </w:r>
    </w:p>
    <w:p>
      <w:pPr>
        <w:pStyle w:val="BodyText"/>
        <w:spacing w:before="10"/>
        <w:rPr>
          <w:sz w:val="15"/>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46"/>
        <w:gridCol w:w="1537"/>
      </w:tblGrid>
      <w:tr>
        <w:trPr>
          <w:trHeight w:val="398" w:hRule="exact"/>
        </w:trPr>
        <w:tc>
          <w:tcPr>
            <w:tcW w:w="4246" w:type="dxa"/>
            <w:tcBorders>
              <w:bottom w:val="single" w:sz="4" w:space="0" w:color="000000"/>
            </w:tcBorders>
          </w:tcPr>
          <w:p>
            <w:pPr>
              <w:pStyle w:val="TableParagraph"/>
              <w:spacing w:before="81"/>
              <w:ind w:left="87"/>
              <w:jc w:val="left"/>
              <w:rPr>
                <w:sz w:val="19"/>
              </w:rPr>
            </w:pPr>
            <w:r>
              <w:rPr>
                <w:sz w:val="19"/>
              </w:rPr>
              <w:t>Cuadro 12. Horas promedio trabajadas a la   semana</w:t>
            </w:r>
          </w:p>
        </w:tc>
        <w:tc>
          <w:tcPr>
            <w:tcW w:w="1537" w:type="dxa"/>
            <w:tcBorders>
              <w:bottom w:val="single" w:sz="4" w:space="0" w:color="000000"/>
            </w:tcBorders>
          </w:tcPr>
          <w:p>
            <w:pPr/>
          </w:p>
        </w:tc>
      </w:tr>
      <w:tr>
        <w:trPr>
          <w:trHeight w:val="341" w:hRule="exact"/>
        </w:trPr>
        <w:tc>
          <w:tcPr>
            <w:tcW w:w="4246" w:type="dxa"/>
            <w:tcBorders>
              <w:top w:val="single" w:sz="4" w:space="0" w:color="000000"/>
              <w:bottom w:val="single" w:sz="4" w:space="0" w:color="000000"/>
            </w:tcBorders>
          </w:tcPr>
          <w:p>
            <w:pPr>
              <w:pStyle w:val="TableParagraph"/>
              <w:spacing w:before="53"/>
              <w:ind w:left="87"/>
              <w:jc w:val="left"/>
              <w:rPr>
                <w:sz w:val="19"/>
              </w:rPr>
            </w:pPr>
            <w:r>
              <w:rPr>
                <w:sz w:val="19"/>
              </w:rPr>
              <w:t>Edad en años</w:t>
            </w:r>
          </w:p>
        </w:tc>
        <w:tc>
          <w:tcPr>
            <w:tcW w:w="1537" w:type="dxa"/>
            <w:tcBorders>
              <w:top w:val="single" w:sz="4" w:space="0" w:color="000000"/>
              <w:bottom w:val="single" w:sz="4" w:space="0" w:color="000000"/>
            </w:tcBorders>
          </w:tcPr>
          <w:p>
            <w:pPr>
              <w:pStyle w:val="TableParagraph"/>
              <w:spacing w:before="53"/>
              <w:ind w:right="47"/>
              <w:rPr>
                <w:sz w:val="19"/>
              </w:rPr>
            </w:pPr>
            <w:r>
              <w:rPr>
                <w:sz w:val="19"/>
              </w:rPr>
              <w:t>Número de horas</w:t>
            </w:r>
          </w:p>
        </w:tc>
      </w:tr>
      <w:tr>
        <w:trPr>
          <w:trHeight w:val="283" w:hRule="exact"/>
        </w:trPr>
        <w:tc>
          <w:tcPr>
            <w:tcW w:w="4246" w:type="dxa"/>
            <w:tcBorders>
              <w:top w:val="single" w:sz="4" w:space="0" w:color="000000"/>
            </w:tcBorders>
          </w:tcPr>
          <w:p>
            <w:pPr>
              <w:pStyle w:val="TableParagraph"/>
              <w:spacing w:before="5"/>
              <w:ind w:left="87"/>
              <w:jc w:val="left"/>
              <w:rPr>
                <w:sz w:val="19"/>
              </w:rPr>
            </w:pPr>
            <w:r>
              <w:rPr>
                <w:w w:val="102"/>
                <w:sz w:val="19"/>
              </w:rPr>
              <w:t>5</w:t>
            </w:r>
          </w:p>
        </w:tc>
        <w:tc>
          <w:tcPr>
            <w:tcW w:w="1537" w:type="dxa"/>
            <w:tcBorders>
              <w:top w:val="single" w:sz="4" w:space="0" w:color="000000"/>
            </w:tcBorders>
          </w:tcPr>
          <w:p>
            <w:pPr>
              <w:pStyle w:val="TableParagraph"/>
              <w:spacing w:before="5"/>
              <w:ind w:right="46"/>
              <w:rPr>
                <w:sz w:val="19"/>
              </w:rPr>
            </w:pPr>
            <w:r>
              <w:rPr>
                <w:sz w:val="19"/>
              </w:rPr>
              <w:t>8.25</w:t>
            </w:r>
          </w:p>
        </w:tc>
      </w:tr>
      <w:tr>
        <w:trPr>
          <w:trHeight w:val="307" w:hRule="exact"/>
        </w:trPr>
        <w:tc>
          <w:tcPr>
            <w:tcW w:w="4246" w:type="dxa"/>
          </w:tcPr>
          <w:p>
            <w:pPr>
              <w:pStyle w:val="TableParagraph"/>
              <w:spacing w:before="38"/>
              <w:ind w:left="87"/>
              <w:jc w:val="left"/>
              <w:rPr>
                <w:sz w:val="19"/>
              </w:rPr>
            </w:pPr>
            <w:r>
              <w:rPr>
                <w:w w:val="102"/>
                <w:sz w:val="19"/>
              </w:rPr>
              <w:t>6</w:t>
            </w:r>
          </w:p>
        </w:tc>
        <w:tc>
          <w:tcPr>
            <w:tcW w:w="1537" w:type="dxa"/>
          </w:tcPr>
          <w:p>
            <w:pPr>
              <w:pStyle w:val="TableParagraph"/>
              <w:spacing w:before="38"/>
              <w:ind w:right="46"/>
              <w:rPr>
                <w:sz w:val="19"/>
              </w:rPr>
            </w:pPr>
            <w:r>
              <w:rPr>
                <w:sz w:val="19"/>
              </w:rPr>
              <w:t>8.03</w:t>
            </w:r>
          </w:p>
        </w:tc>
      </w:tr>
      <w:tr>
        <w:trPr>
          <w:trHeight w:val="300" w:hRule="exact"/>
        </w:trPr>
        <w:tc>
          <w:tcPr>
            <w:tcW w:w="4246" w:type="dxa"/>
          </w:tcPr>
          <w:p>
            <w:pPr>
              <w:pStyle w:val="TableParagraph"/>
              <w:spacing w:before="33"/>
              <w:ind w:left="87"/>
              <w:jc w:val="left"/>
              <w:rPr>
                <w:sz w:val="19"/>
              </w:rPr>
            </w:pPr>
            <w:r>
              <w:rPr>
                <w:w w:val="102"/>
                <w:sz w:val="19"/>
              </w:rPr>
              <w:t>7</w:t>
            </w:r>
          </w:p>
        </w:tc>
        <w:tc>
          <w:tcPr>
            <w:tcW w:w="1537" w:type="dxa"/>
          </w:tcPr>
          <w:p>
            <w:pPr>
              <w:pStyle w:val="TableParagraph"/>
              <w:spacing w:before="33"/>
              <w:ind w:right="46"/>
              <w:rPr>
                <w:sz w:val="19"/>
              </w:rPr>
            </w:pPr>
            <w:r>
              <w:rPr>
                <w:sz w:val="19"/>
              </w:rPr>
              <w:t>9.21</w:t>
            </w:r>
          </w:p>
        </w:tc>
      </w:tr>
      <w:tr>
        <w:trPr>
          <w:trHeight w:val="300" w:hRule="exact"/>
        </w:trPr>
        <w:tc>
          <w:tcPr>
            <w:tcW w:w="4246" w:type="dxa"/>
          </w:tcPr>
          <w:p>
            <w:pPr>
              <w:pStyle w:val="TableParagraph"/>
              <w:spacing w:before="31"/>
              <w:ind w:left="87"/>
              <w:jc w:val="left"/>
              <w:rPr>
                <w:sz w:val="19"/>
              </w:rPr>
            </w:pPr>
            <w:r>
              <w:rPr>
                <w:w w:val="102"/>
                <w:sz w:val="19"/>
              </w:rPr>
              <w:t>8</w:t>
            </w:r>
          </w:p>
        </w:tc>
        <w:tc>
          <w:tcPr>
            <w:tcW w:w="1537" w:type="dxa"/>
          </w:tcPr>
          <w:p>
            <w:pPr>
              <w:pStyle w:val="TableParagraph"/>
              <w:spacing w:before="31"/>
              <w:ind w:right="46"/>
              <w:rPr>
                <w:sz w:val="19"/>
              </w:rPr>
            </w:pPr>
            <w:r>
              <w:rPr>
                <w:sz w:val="19"/>
              </w:rPr>
              <w:t>15.27</w:t>
            </w:r>
          </w:p>
        </w:tc>
      </w:tr>
      <w:tr>
        <w:trPr>
          <w:trHeight w:val="300" w:hRule="exact"/>
        </w:trPr>
        <w:tc>
          <w:tcPr>
            <w:tcW w:w="4246" w:type="dxa"/>
          </w:tcPr>
          <w:p>
            <w:pPr>
              <w:pStyle w:val="TableParagraph"/>
              <w:spacing w:before="33"/>
              <w:ind w:left="87"/>
              <w:jc w:val="left"/>
              <w:rPr>
                <w:sz w:val="19"/>
              </w:rPr>
            </w:pPr>
            <w:r>
              <w:rPr>
                <w:w w:val="102"/>
                <w:sz w:val="19"/>
              </w:rPr>
              <w:t>9</w:t>
            </w:r>
          </w:p>
        </w:tc>
        <w:tc>
          <w:tcPr>
            <w:tcW w:w="1537" w:type="dxa"/>
          </w:tcPr>
          <w:p>
            <w:pPr>
              <w:pStyle w:val="TableParagraph"/>
              <w:spacing w:before="33"/>
              <w:ind w:right="46"/>
              <w:rPr>
                <w:sz w:val="19"/>
              </w:rPr>
            </w:pPr>
            <w:r>
              <w:rPr>
                <w:sz w:val="19"/>
              </w:rPr>
              <w:t>10.30</w:t>
            </w:r>
          </w:p>
        </w:tc>
      </w:tr>
      <w:tr>
        <w:trPr>
          <w:trHeight w:val="300" w:hRule="exact"/>
        </w:trPr>
        <w:tc>
          <w:tcPr>
            <w:tcW w:w="4246" w:type="dxa"/>
          </w:tcPr>
          <w:p>
            <w:pPr>
              <w:pStyle w:val="TableParagraph"/>
              <w:spacing w:before="31"/>
              <w:ind w:left="87"/>
              <w:jc w:val="left"/>
              <w:rPr>
                <w:sz w:val="19"/>
              </w:rPr>
            </w:pPr>
            <w:r>
              <w:rPr>
                <w:sz w:val="19"/>
              </w:rPr>
              <w:t>10</w:t>
            </w:r>
          </w:p>
        </w:tc>
        <w:tc>
          <w:tcPr>
            <w:tcW w:w="1537" w:type="dxa"/>
          </w:tcPr>
          <w:p>
            <w:pPr>
              <w:pStyle w:val="TableParagraph"/>
              <w:spacing w:before="31"/>
              <w:ind w:right="46"/>
              <w:rPr>
                <w:sz w:val="19"/>
              </w:rPr>
            </w:pPr>
            <w:r>
              <w:rPr>
                <w:sz w:val="19"/>
              </w:rPr>
              <w:t>11.96</w:t>
            </w:r>
          </w:p>
        </w:tc>
      </w:tr>
      <w:tr>
        <w:trPr>
          <w:trHeight w:val="300" w:hRule="exact"/>
        </w:trPr>
        <w:tc>
          <w:tcPr>
            <w:tcW w:w="4246" w:type="dxa"/>
          </w:tcPr>
          <w:p>
            <w:pPr>
              <w:pStyle w:val="TableParagraph"/>
              <w:spacing w:before="33"/>
              <w:ind w:left="87"/>
              <w:jc w:val="left"/>
              <w:rPr>
                <w:sz w:val="19"/>
              </w:rPr>
            </w:pPr>
            <w:r>
              <w:rPr>
                <w:sz w:val="19"/>
              </w:rPr>
              <w:t>11</w:t>
            </w:r>
          </w:p>
        </w:tc>
        <w:tc>
          <w:tcPr>
            <w:tcW w:w="1537" w:type="dxa"/>
          </w:tcPr>
          <w:p>
            <w:pPr>
              <w:pStyle w:val="TableParagraph"/>
              <w:spacing w:before="33"/>
              <w:ind w:right="46"/>
              <w:rPr>
                <w:sz w:val="19"/>
              </w:rPr>
            </w:pPr>
            <w:r>
              <w:rPr>
                <w:sz w:val="19"/>
              </w:rPr>
              <w:t>14.40</w:t>
            </w:r>
          </w:p>
        </w:tc>
      </w:tr>
      <w:tr>
        <w:trPr>
          <w:trHeight w:val="334" w:hRule="exact"/>
        </w:trPr>
        <w:tc>
          <w:tcPr>
            <w:tcW w:w="4246" w:type="dxa"/>
            <w:tcBorders>
              <w:bottom w:val="single" w:sz="4" w:space="0" w:color="000000"/>
            </w:tcBorders>
          </w:tcPr>
          <w:p>
            <w:pPr>
              <w:pStyle w:val="TableParagraph"/>
              <w:spacing w:before="31"/>
              <w:ind w:left="87"/>
              <w:jc w:val="left"/>
              <w:rPr>
                <w:sz w:val="19"/>
              </w:rPr>
            </w:pPr>
            <w:r>
              <w:rPr>
                <w:sz w:val="19"/>
              </w:rPr>
              <w:t>5-11</w:t>
            </w:r>
          </w:p>
        </w:tc>
        <w:tc>
          <w:tcPr>
            <w:tcW w:w="1537" w:type="dxa"/>
            <w:tcBorders>
              <w:bottom w:val="single" w:sz="4" w:space="0" w:color="000000"/>
            </w:tcBorders>
          </w:tcPr>
          <w:p>
            <w:pPr>
              <w:pStyle w:val="TableParagraph"/>
              <w:spacing w:before="31"/>
              <w:ind w:right="46"/>
              <w:rPr>
                <w:sz w:val="19"/>
              </w:rPr>
            </w:pPr>
            <w:r>
              <w:rPr>
                <w:sz w:val="19"/>
              </w:rPr>
              <w:t>12.48</w:t>
            </w:r>
          </w:p>
        </w:tc>
      </w:tr>
    </w:tbl>
    <w:p>
      <w:pPr>
        <w:spacing w:line="237" w:lineRule="auto" w:before="0"/>
        <w:ind w:left="201" w:right="472" w:hanging="1"/>
        <w:jc w:val="left"/>
        <w:rPr>
          <w:i/>
          <w:sz w:val="16"/>
        </w:rPr>
      </w:pPr>
      <w:r>
        <w:rPr>
          <w:sz w:val="16"/>
        </w:rPr>
        <w:t>Fuente: elaboración propia con base en Encuesta Nacional de Ocupación y Empleo 2013, Módulo de Trabajo Infantil, INEGI, 2013</w:t>
      </w:r>
      <w:r>
        <w:rPr>
          <w:i/>
          <w:sz w:val="16"/>
        </w:rPr>
        <w:t>.</w:t>
      </w:r>
    </w:p>
    <w:p>
      <w:pPr>
        <w:pStyle w:val="BodyText"/>
        <w:spacing w:before="10"/>
        <w:rPr>
          <w:i/>
          <w:sz w:val="8"/>
        </w:rPr>
      </w:pPr>
    </w:p>
    <w:p>
      <w:pPr>
        <w:pStyle w:val="BodyText"/>
        <w:spacing w:line="249" w:lineRule="auto" w:before="74"/>
        <w:ind w:left="113" w:right="108" w:firstLine="283"/>
        <w:jc w:val="both"/>
      </w:pPr>
      <w:r>
        <w:rPr>
          <w:color w:val="231F20"/>
        </w:rPr>
        <w:t>Para</w:t>
      </w:r>
      <w:r>
        <w:rPr>
          <w:color w:val="231F20"/>
          <w:spacing w:val="-8"/>
        </w:rPr>
        <w:t> </w:t>
      </w:r>
      <w:r>
        <w:rPr>
          <w:color w:val="231F20"/>
        </w:rPr>
        <w:t>el</w:t>
      </w:r>
      <w:r>
        <w:rPr>
          <w:color w:val="231F20"/>
          <w:spacing w:val="-8"/>
        </w:rPr>
        <w:t> </w:t>
      </w:r>
      <w:r>
        <w:rPr>
          <w:color w:val="231F20"/>
        </w:rPr>
        <w:t>grupo</w:t>
      </w:r>
      <w:r>
        <w:rPr>
          <w:color w:val="231F20"/>
          <w:spacing w:val="-8"/>
        </w:rPr>
        <w:t> </w:t>
      </w:r>
      <w:r>
        <w:rPr>
          <w:color w:val="231F20"/>
        </w:rPr>
        <w:t>de</w:t>
      </w:r>
      <w:r>
        <w:rPr>
          <w:color w:val="231F20"/>
          <w:spacing w:val="-8"/>
        </w:rPr>
        <w:t> </w:t>
      </w:r>
      <w:r>
        <w:rPr>
          <w:color w:val="231F20"/>
        </w:rPr>
        <w:t>12</w:t>
      </w:r>
      <w:r>
        <w:rPr>
          <w:color w:val="231F20"/>
          <w:spacing w:val="-8"/>
        </w:rPr>
        <w:t> </w:t>
      </w:r>
      <w:r>
        <w:rPr>
          <w:color w:val="231F20"/>
        </w:rPr>
        <w:t>a</w:t>
      </w:r>
      <w:r>
        <w:rPr>
          <w:color w:val="231F20"/>
          <w:spacing w:val="-8"/>
        </w:rPr>
        <w:t> </w:t>
      </w:r>
      <w:r>
        <w:rPr>
          <w:color w:val="231F20"/>
        </w:rPr>
        <w:t>17</w:t>
      </w:r>
      <w:r>
        <w:rPr>
          <w:color w:val="231F20"/>
          <w:spacing w:val="-8"/>
        </w:rPr>
        <w:t> </w:t>
      </w:r>
      <w:r>
        <w:rPr>
          <w:color w:val="231F20"/>
        </w:rPr>
        <w:t>años,</w:t>
      </w:r>
      <w:r>
        <w:rPr>
          <w:color w:val="231F20"/>
          <w:spacing w:val="-9"/>
        </w:rPr>
        <w:t> </w:t>
      </w:r>
      <w:r>
        <w:rPr>
          <w:color w:val="231F20"/>
        </w:rPr>
        <w:t>un</w:t>
      </w:r>
      <w:r>
        <w:rPr>
          <w:color w:val="231F20"/>
          <w:spacing w:val="-8"/>
        </w:rPr>
        <w:t> </w:t>
      </w:r>
      <w:r>
        <w:rPr>
          <w:color w:val="231F20"/>
        </w:rPr>
        <w:t>trabajo</w:t>
      </w:r>
      <w:r>
        <w:rPr>
          <w:color w:val="231F20"/>
          <w:spacing w:val="-9"/>
        </w:rPr>
        <w:t> </w:t>
      </w:r>
      <w:r>
        <w:rPr>
          <w:color w:val="231F20"/>
        </w:rPr>
        <w:t>realizado</w:t>
      </w:r>
      <w:r>
        <w:rPr>
          <w:color w:val="231F20"/>
          <w:spacing w:val="-8"/>
        </w:rPr>
        <w:t> </w:t>
      </w:r>
      <w:r>
        <w:rPr>
          <w:color w:val="231F20"/>
        </w:rPr>
        <w:t>por</w:t>
      </w:r>
      <w:r>
        <w:rPr>
          <w:color w:val="231F20"/>
          <w:spacing w:val="-8"/>
        </w:rPr>
        <w:t> </w:t>
      </w:r>
      <w:r>
        <w:rPr>
          <w:color w:val="231F20"/>
        </w:rPr>
        <w:t>Mier</w:t>
      </w:r>
      <w:r>
        <w:rPr>
          <w:color w:val="231F20"/>
          <w:spacing w:val="-8"/>
        </w:rPr>
        <w:t> </w:t>
      </w:r>
      <w:r>
        <w:rPr>
          <w:color w:val="231F20"/>
        </w:rPr>
        <w:t>y</w:t>
      </w:r>
      <w:r>
        <w:rPr>
          <w:color w:val="231F20"/>
          <w:spacing w:val="-12"/>
        </w:rPr>
        <w:t> </w:t>
      </w:r>
      <w:r>
        <w:rPr>
          <w:color w:val="231F20"/>
          <w:spacing w:val="-3"/>
        </w:rPr>
        <w:t>Teran</w:t>
      </w:r>
      <w:r>
        <w:rPr>
          <w:color w:val="231F20"/>
          <w:spacing w:val="-9"/>
        </w:rPr>
        <w:t> </w:t>
      </w:r>
      <w:r>
        <w:rPr>
          <w:color w:val="231F20"/>
        </w:rPr>
        <w:t>y Rabell (2001) señala que la jornada laboral es un elemento clave, ya</w:t>
      </w:r>
      <w:r>
        <w:rPr>
          <w:color w:val="231F20"/>
          <w:spacing w:val="-21"/>
        </w:rPr>
        <w:t> </w:t>
      </w:r>
      <w:r>
        <w:rPr>
          <w:color w:val="231F20"/>
        </w:rPr>
        <w:t>que el</w:t>
      </w:r>
      <w:r>
        <w:rPr>
          <w:color w:val="231F20"/>
          <w:spacing w:val="-6"/>
        </w:rPr>
        <w:t> </w:t>
      </w:r>
      <w:r>
        <w:rPr>
          <w:color w:val="231F20"/>
        </w:rPr>
        <w:t>rendimiento</w:t>
      </w:r>
      <w:r>
        <w:rPr>
          <w:color w:val="231F20"/>
          <w:spacing w:val="-5"/>
        </w:rPr>
        <w:t> </w:t>
      </w:r>
      <w:r>
        <w:rPr>
          <w:color w:val="231F20"/>
        </w:rPr>
        <w:t>escolar</w:t>
      </w:r>
      <w:r>
        <w:rPr>
          <w:color w:val="231F20"/>
          <w:spacing w:val="-6"/>
        </w:rPr>
        <w:t> </w:t>
      </w:r>
      <w:r>
        <w:rPr>
          <w:color w:val="231F20"/>
        </w:rPr>
        <w:t>de</w:t>
      </w:r>
      <w:r>
        <w:rPr>
          <w:color w:val="231F20"/>
          <w:spacing w:val="-5"/>
        </w:rPr>
        <w:t> </w:t>
      </w:r>
      <w:r>
        <w:rPr>
          <w:color w:val="231F20"/>
        </w:rPr>
        <w:t>los</w:t>
      </w:r>
      <w:r>
        <w:rPr>
          <w:color w:val="231F20"/>
          <w:spacing w:val="-6"/>
        </w:rPr>
        <w:t> </w:t>
      </w:r>
      <w:r>
        <w:rPr>
          <w:color w:val="231F20"/>
        </w:rPr>
        <w:t>niños</w:t>
      </w:r>
      <w:r>
        <w:rPr>
          <w:color w:val="231F20"/>
          <w:spacing w:val="-5"/>
        </w:rPr>
        <w:t> </w:t>
      </w:r>
      <w:r>
        <w:rPr>
          <w:color w:val="231F20"/>
        </w:rPr>
        <w:t>que</w:t>
      </w:r>
      <w:r>
        <w:rPr>
          <w:color w:val="231F20"/>
          <w:spacing w:val="-5"/>
        </w:rPr>
        <w:t> </w:t>
      </w:r>
      <w:r>
        <w:rPr>
          <w:color w:val="231F20"/>
        </w:rPr>
        <w:t>trabajan</w:t>
      </w:r>
      <w:r>
        <w:rPr>
          <w:color w:val="231F20"/>
          <w:spacing w:val="-6"/>
        </w:rPr>
        <w:t> </w:t>
      </w:r>
      <w:r>
        <w:rPr>
          <w:color w:val="231F20"/>
        </w:rPr>
        <w:t>menos</w:t>
      </w:r>
      <w:r>
        <w:rPr>
          <w:color w:val="231F20"/>
          <w:spacing w:val="-6"/>
        </w:rPr>
        <w:t> </w:t>
      </w:r>
      <w:r>
        <w:rPr>
          <w:color w:val="231F20"/>
        </w:rPr>
        <w:t>de</w:t>
      </w:r>
      <w:r>
        <w:rPr>
          <w:color w:val="231F20"/>
          <w:spacing w:val="-5"/>
        </w:rPr>
        <w:t> </w:t>
      </w:r>
      <w:r>
        <w:rPr>
          <w:color w:val="231F20"/>
        </w:rPr>
        <w:t>20</w:t>
      </w:r>
      <w:r>
        <w:rPr>
          <w:color w:val="231F20"/>
          <w:spacing w:val="-5"/>
        </w:rPr>
        <w:t> </w:t>
      </w:r>
      <w:r>
        <w:rPr>
          <w:color w:val="231F20"/>
        </w:rPr>
        <w:t>horas</w:t>
      </w:r>
      <w:r>
        <w:rPr>
          <w:color w:val="231F20"/>
          <w:spacing w:val="-5"/>
        </w:rPr>
        <w:t> </w:t>
      </w:r>
      <w:r>
        <w:rPr>
          <w:color w:val="231F20"/>
        </w:rPr>
        <w:t>al</w:t>
      </w:r>
      <w:r>
        <w:rPr>
          <w:color w:val="231F20"/>
          <w:spacing w:val="-6"/>
        </w:rPr>
        <w:t> </w:t>
      </w:r>
      <w:r>
        <w:rPr>
          <w:color w:val="231F20"/>
        </w:rPr>
        <w:t>día es muy similar al aprovechamiento escolar de niños que no trabajan. Un alto</w:t>
      </w:r>
      <w:r>
        <w:rPr>
          <w:color w:val="231F20"/>
          <w:spacing w:val="-8"/>
        </w:rPr>
        <w:t> </w:t>
      </w:r>
      <w:r>
        <w:rPr>
          <w:color w:val="231F20"/>
        </w:rPr>
        <w:t>porcentaje</w:t>
      </w:r>
      <w:r>
        <w:rPr>
          <w:color w:val="231F20"/>
          <w:spacing w:val="-7"/>
        </w:rPr>
        <w:t> </w:t>
      </w:r>
      <w:r>
        <w:rPr>
          <w:color w:val="231F20"/>
        </w:rPr>
        <w:t>de</w:t>
      </w:r>
      <w:r>
        <w:rPr>
          <w:color w:val="231F20"/>
          <w:spacing w:val="-7"/>
        </w:rPr>
        <w:t> </w:t>
      </w:r>
      <w:r>
        <w:rPr>
          <w:color w:val="231F20"/>
        </w:rPr>
        <w:t>las</w:t>
      </w:r>
      <w:r>
        <w:rPr>
          <w:color w:val="231F20"/>
          <w:spacing w:val="-8"/>
        </w:rPr>
        <w:t> </w:t>
      </w:r>
      <w:r>
        <w:rPr>
          <w:color w:val="231F20"/>
        </w:rPr>
        <w:t>menores</w:t>
      </w:r>
      <w:r>
        <w:rPr>
          <w:color w:val="231F20"/>
          <w:spacing w:val="-8"/>
        </w:rPr>
        <w:t> </w:t>
      </w:r>
      <w:r>
        <w:rPr>
          <w:color w:val="231F20"/>
        </w:rPr>
        <w:t>está</w:t>
      </w:r>
      <w:r>
        <w:rPr>
          <w:color w:val="231F20"/>
          <w:spacing w:val="-8"/>
        </w:rPr>
        <w:t> </w:t>
      </w:r>
      <w:r>
        <w:rPr>
          <w:color w:val="231F20"/>
        </w:rPr>
        <w:t>debajo</w:t>
      </w:r>
      <w:r>
        <w:rPr>
          <w:color w:val="231F20"/>
          <w:spacing w:val="-7"/>
        </w:rPr>
        <w:t> </w:t>
      </w:r>
      <w:r>
        <w:rPr>
          <w:color w:val="231F20"/>
        </w:rPr>
        <w:t>del</w:t>
      </w:r>
      <w:r>
        <w:rPr>
          <w:color w:val="231F20"/>
          <w:spacing w:val="-7"/>
        </w:rPr>
        <w:t> </w:t>
      </w:r>
      <w:r>
        <w:rPr>
          <w:color w:val="231F20"/>
        </w:rPr>
        <w:t>umbral</w:t>
      </w:r>
      <w:r>
        <w:rPr>
          <w:color w:val="231F20"/>
          <w:spacing w:val="-7"/>
        </w:rPr>
        <w:t> </w:t>
      </w:r>
      <w:r>
        <w:rPr>
          <w:color w:val="231F20"/>
        </w:rPr>
        <w:t>de</w:t>
      </w:r>
      <w:r>
        <w:rPr>
          <w:color w:val="231F20"/>
          <w:spacing w:val="-7"/>
        </w:rPr>
        <w:t> </w:t>
      </w:r>
      <w:r>
        <w:rPr>
          <w:color w:val="231F20"/>
        </w:rPr>
        <w:t>horas</w:t>
      </w:r>
      <w:r>
        <w:rPr>
          <w:color w:val="231F20"/>
          <w:spacing w:val="-7"/>
        </w:rPr>
        <w:t> </w:t>
      </w:r>
      <w:r>
        <w:rPr>
          <w:color w:val="231F20"/>
        </w:rPr>
        <w:t>trabajadas o debería este que tuviera un buen aprovechamiento escolar. Sin embar- go, es necesario fijar este umbral para el grupo de cinco a once años,</w:t>
      </w:r>
      <w:r>
        <w:rPr>
          <w:color w:val="231F20"/>
          <w:spacing w:val="-34"/>
        </w:rPr>
        <w:t> </w:t>
      </w:r>
      <w:r>
        <w:rPr>
          <w:color w:val="231F20"/>
        </w:rPr>
        <w:t>por lo que este podría ser un tema para futuras</w:t>
      </w:r>
      <w:r>
        <w:rPr>
          <w:color w:val="231F20"/>
          <w:spacing w:val="-5"/>
        </w:rPr>
        <w:t> </w:t>
      </w:r>
      <w:r>
        <w:rPr>
          <w:color w:val="231F20"/>
        </w:rPr>
        <w:t>investigaciones.</w:t>
      </w:r>
    </w:p>
    <w:p>
      <w:pPr>
        <w:pStyle w:val="Heading5"/>
        <w:rPr>
          <w:i/>
        </w:rPr>
      </w:pPr>
      <w:r>
        <w:rPr>
          <w:i/>
          <w:w w:val="75"/>
        </w:rPr>
        <w:t>Edad de inicio laboral</w:t>
      </w:r>
    </w:p>
    <w:p>
      <w:pPr>
        <w:pStyle w:val="BodyText"/>
        <w:spacing w:line="249" w:lineRule="auto" w:before="171"/>
        <w:ind w:left="113" w:right="108"/>
        <w:jc w:val="both"/>
      </w:pPr>
      <w:r>
        <w:rPr>
          <w:color w:val="231F20"/>
        </w:rPr>
        <w:t>De</w:t>
      </w:r>
      <w:r>
        <w:rPr>
          <w:color w:val="231F20"/>
          <w:spacing w:val="-11"/>
        </w:rPr>
        <w:t> </w:t>
      </w:r>
      <w:r>
        <w:rPr>
          <w:color w:val="231F20"/>
        </w:rPr>
        <w:t>acuerdo</w:t>
      </w:r>
      <w:r>
        <w:rPr>
          <w:color w:val="231F20"/>
          <w:spacing w:val="-12"/>
        </w:rPr>
        <w:t> </w:t>
      </w:r>
      <w:r>
        <w:rPr>
          <w:color w:val="231F20"/>
        </w:rPr>
        <w:t>con</w:t>
      </w:r>
      <w:r>
        <w:rPr>
          <w:color w:val="231F20"/>
          <w:spacing w:val="-12"/>
        </w:rPr>
        <w:t> </w:t>
      </w:r>
      <w:r>
        <w:rPr>
          <w:color w:val="231F20"/>
        </w:rPr>
        <w:t>la</w:t>
      </w:r>
      <w:r>
        <w:rPr>
          <w:color w:val="231F20"/>
          <w:spacing w:val="-11"/>
        </w:rPr>
        <w:t> </w:t>
      </w:r>
      <w:r>
        <w:rPr>
          <w:color w:val="231F20"/>
        </w:rPr>
        <w:t>información</w:t>
      </w:r>
      <w:r>
        <w:rPr>
          <w:color w:val="231F20"/>
          <w:spacing w:val="-12"/>
        </w:rPr>
        <w:t> </w:t>
      </w:r>
      <w:r>
        <w:rPr>
          <w:color w:val="231F20"/>
        </w:rPr>
        <w:t>del</w:t>
      </w:r>
      <w:r>
        <w:rPr>
          <w:color w:val="231F20"/>
          <w:spacing w:val="-11"/>
        </w:rPr>
        <w:t> </w:t>
      </w:r>
      <w:r>
        <w:rPr>
          <w:color w:val="231F20"/>
        </w:rPr>
        <w:t>módulo</w:t>
      </w:r>
      <w:r>
        <w:rPr>
          <w:color w:val="231F20"/>
          <w:spacing w:val="-12"/>
        </w:rPr>
        <w:t> </w:t>
      </w:r>
      <w:r>
        <w:rPr>
          <w:color w:val="231F20"/>
        </w:rPr>
        <w:t>de</w:t>
      </w:r>
      <w:r>
        <w:rPr>
          <w:color w:val="231F20"/>
          <w:spacing w:val="-11"/>
        </w:rPr>
        <w:t> </w:t>
      </w:r>
      <w:r>
        <w:rPr>
          <w:color w:val="231F20"/>
        </w:rPr>
        <w:t>trabajo</w:t>
      </w:r>
      <w:r>
        <w:rPr>
          <w:color w:val="231F20"/>
          <w:spacing w:val="-12"/>
        </w:rPr>
        <w:t> </w:t>
      </w:r>
      <w:r>
        <w:rPr>
          <w:color w:val="231F20"/>
        </w:rPr>
        <w:t>infantil</w:t>
      </w:r>
      <w:r>
        <w:rPr>
          <w:color w:val="231F20"/>
          <w:spacing w:val="-12"/>
        </w:rPr>
        <w:t> </w:t>
      </w:r>
      <w:r>
        <w:rPr>
          <w:color w:val="231F20"/>
        </w:rPr>
        <w:t>tenemos</w:t>
      </w:r>
      <w:r>
        <w:rPr>
          <w:color w:val="231F20"/>
          <w:spacing w:val="-12"/>
        </w:rPr>
        <w:t> </w:t>
      </w:r>
      <w:r>
        <w:rPr>
          <w:color w:val="231F20"/>
        </w:rPr>
        <w:t>las siguientes cifras: del total de la población ocupada, nueve por ciento co- menzó</w:t>
      </w:r>
      <w:r>
        <w:rPr>
          <w:color w:val="231F20"/>
          <w:spacing w:val="-3"/>
        </w:rPr>
        <w:t> </w:t>
      </w:r>
      <w:r>
        <w:rPr>
          <w:color w:val="231F20"/>
        </w:rPr>
        <w:t>a</w:t>
      </w:r>
      <w:r>
        <w:rPr>
          <w:color w:val="231F20"/>
          <w:spacing w:val="-2"/>
        </w:rPr>
        <w:t> </w:t>
      </w:r>
      <w:r>
        <w:rPr>
          <w:color w:val="231F20"/>
        </w:rPr>
        <w:t>trabajar</w:t>
      </w:r>
      <w:r>
        <w:rPr>
          <w:color w:val="231F20"/>
          <w:spacing w:val="-3"/>
        </w:rPr>
        <w:t> </w:t>
      </w:r>
      <w:r>
        <w:rPr>
          <w:color w:val="231F20"/>
        </w:rPr>
        <w:t>antes</w:t>
      </w:r>
      <w:r>
        <w:rPr>
          <w:color w:val="231F20"/>
          <w:spacing w:val="-3"/>
        </w:rPr>
        <w:t> </w:t>
      </w:r>
      <w:r>
        <w:rPr>
          <w:color w:val="231F20"/>
        </w:rPr>
        <w:t>de</w:t>
      </w:r>
      <w:r>
        <w:rPr>
          <w:color w:val="231F20"/>
          <w:spacing w:val="-2"/>
        </w:rPr>
        <w:t> </w:t>
      </w:r>
      <w:r>
        <w:rPr>
          <w:color w:val="231F20"/>
        </w:rPr>
        <w:t>los</w:t>
      </w:r>
      <w:r>
        <w:rPr>
          <w:color w:val="231F20"/>
          <w:spacing w:val="-3"/>
        </w:rPr>
        <w:t> </w:t>
      </w:r>
      <w:r>
        <w:rPr>
          <w:color w:val="231F20"/>
        </w:rPr>
        <w:t>cinco</w:t>
      </w:r>
      <w:r>
        <w:rPr>
          <w:color w:val="231F20"/>
          <w:spacing w:val="-3"/>
        </w:rPr>
        <w:t> </w:t>
      </w:r>
      <w:r>
        <w:rPr>
          <w:color w:val="231F20"/>
        </w:rPr>
        <w:t>años</w:t>
      </w:r>
      <w:r>
        <w:rPr>
          <w:color w:val="231F20"/>
          <w:spacing w:val="-3"/>
        </w:rPr>
        <w:t> </w:t>
      </w:r>
      <w:r>
        <w:rPr>
          <w:color w:val="231F20"/>
        </w:rPr>
        <w:t>de</w:t>
      </w:r>
      <w:r>
        <w:rPr>
          <w:color w:val="231F20"/>
          <w:spacing w:val="-2"/>
        </w:rPr>
        <w:t> </w:t>
      </w:r>
      <w:r>
        <w:rPr>
          <w:color w:val="231F20"/>
        </w:rPr>
        <w:t>edad,</w:t>
      </w:r>
      <w:r>
        <w:rPr>
          <w:color w:val="231F20"/>
          <w:spacing w:val="-3"/>
        </w:rPr>
        <w:t> </w:t>
      </w:r>
      <w:r>
        <w:rPr>
          <w:color w:val="231F20"/>
        </w:rPr>
        <w:t>26</w:t>
      </w:r>
      <w:r>
        <w:rPr>
          <w:color w:val="231F20"/>
          <w:spacing w:val="-3"/>
        </w:rPr>
        <w:t> </w:t>
      </w:r>
      <w:r>
        <w:rPr>
          <w:color w:val="231F20"/>
        </w:rPr>
        <w:t>por</w:t>
      </w:r>
      <w:r>
        <w:rPr>
          <w:color w:val="231F20"/>
          <w:spacing w:val="-2"/>
        </w:rPr>
        <w:t> </w:t>
      </w:r>
      <w:r>
        <w:rPr>
          <w:color w:val="231F20"/>
        </w:rPr>
        <w:t>ciento</w:t>
      </w:r>
      <w:r>
        <w:rPr>
          <w:color w:val="231F20"/>
          <w:spacing w:val="-3"/>
        </w:rPr>
        <w:t> </w:t>
      </w:r>
      <w:r>
        <w:rPr>
          <w:color w:val="231F20"/>
        </w:rPr>
        <w:t>comenzó a</w:t>
      </w:r>
      <w:r>
        <w:rPr>
          <w:color w:val="231F20"/>
          <w:spacing w:val="-8"/>
        </w:rPr>
        <w:t> </w:t>
      </w:r>
      <w:r>
        <w:rPr>
          <w:color w:val="231F20"/>
        </w:rPr>
        <w:t>trabajar</w:t>
      </w:r>
      <w:r>
        <w:rPr>
          <w:color w:val="231F20"/>
          <w:spacing w:val="-8"/>
        </w:rPr>
        <w:t> </w:t>
      </w:r>
      <w:r>
        <w:rPr>
          <w:color w:val="231F20"/>
        </w:rPr>
        <w:t>entre</w:t>
      </w:r>
      <w:r>
        <w:rPr>
          <w:color w:val="231F20"/>
          <w:spacing w:val="-9"/>
        </w:rPr>
        <w:t> </w:t>
      </w:r>
      <w:r>
        <w:rPr>
          <w:color w:val="231F20"/>
        </w:rPr>
        <w:t>los</w:t>
      </w:r>
      <w:r>
        <w:rPr>
          <w:color w:val="231F20"/>
          <w:spacing w:val="-9"/>
        </w:rPr>
        <w:t> </w:t>
      </w:r>
      <w:r>
        <w:rPr>
          <w:color w:val="231F20"/>
        </w:rPr>
        <w:t>seis</w:t>
      </w:r>
      <w:r>
        <w:rPr>
          <w:color w:val="231F20"/>
          <w:spacing w:val="-8"/>
        </w:rPr>
        <w:t> </w:t>
      </w:r>
      <w:r>
        <w:rPr>
          <w:color w:val="231F20"/>
        </w:rPr>
        <w:t>y</w:t>
      </w:r>
      <w:r>
        <w:rPr>
          <w:color w:val="231F20"/>
          <w:spacing w:val="-8"/>
        </w:rPr>
        <w:t> </w:t>
      </w:r>
      <w:r>
        <w:rPr>
          <w:color w:val="231F20"/>
        </w:rPr>
        <w:t>siete</w:t>
      </w:r>
      <w:r>
        <w:rPr>
          <w:color w:val="231F20"/>
          <w:spacing w:val="-8"/>
        </w:rPr>
        <w:t> </w:t>
      </w:r>
      <w:r>
        <w:rPr>
          <w:color w:val="231F20"/>
        </w:rPr>
        <w:t>años</w:t>
      </w:r>
      <w:r>
        <w:rPr>
          <w:color w:val="231F20"/>
          <w:spacing w:val="-9"/>
        </w:rPr>
        <w:t> </w:t>
      </w:r>
      <w:r>
        <w:rPr>
          <w:color w:val="231F20"/>
        </w:rPr>
        <w:t>de</w:t>
      </w:r>
      <w:r>
        <w:rPr>
          <w:color w:val="231F20"/>
          <w:spacing w:val="-8"/>
        </w:rPr>
        <w:t> </w:t>
      </w:r>
      <w:r>
        <w:rPr>
          <w:color w:val="231F20"/>
        </w:rPr>
        <w:t>edad,</w:t>
      </w:r>
      <w:r>
        <w:rPr>
          <w:color w:val="231F20"/>
          <w:spacing w:val="-9"/>
        </w:rPr>
        <w:t> </w:t>
      </w:r>
      <w:r>
        <w:rPr>
          <w:color w:val="231F20"/>
        </w:rPr>
        <w:t>35</w:t>
      </w:r>
      <w:r>
        <w:rPr>
          <w:color w:val="231F20"/>
          <w:spacing w:val="-8"/>
        </w:rPr>
        <w:t> </w:t>
      </w:r>
      <w:r>
        <w:rPr>
          <w:color w:val="231F20"/>
        </w:rPr>
        <w:t>por</w:t>
      </w:r>
      <w:r>
        <w:rPr>
          <w:color w:val="231F20"/>
          <w:spacing w:val="-8"/>
        </w:rPr>
        <w:t> </w:t>
      </w:r>
      <w:r>
        <w:rPr>
          <w:color w:val="231F20"/>
        </w:rPr>
        <w:t>ciento</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menores comenzó a trabajar entre los ocho y nueve años de edad y 27 por ciento comenzó a los </w:t>
      </w:r>
      <w:r>
        <w:rPr>
          <w:color w:val="231F20"/>
          <w:spacing w:val="-4"/>
        </w:rPr>
        <w:t>11 </w:t>
      </w:r>
      <w:r>
        <w:rPr>
          <w:color w:val="231F20"/>
        </w:rPr>
        <w:t>años de</w:t>
      </w:r>
      <w:r>
        <w:rPr>
          <w:color w:val="231F20"/>
          <w:spacing w:val="1"/>
        </w:rPr>
        <w:t> </w:t>
      </w:r>
      <w:r>
        <w:rPr>
          <w:color w:val="231F20"/>
        </w:rPr>
        <w:t>edad.</w:t>
      </w:r>
    </w:p>
    <w:p>
      <w:pPr>
        <w:spacing w:after="0" w:line="249" w:lineRule="auto"/>
        <w:jc w:val="both"/>
        <w:sectPr>
          <w:pgSz w:w="7770" w:h="11740"/>
          <w:pgMar w:header="0" w:footer="474" w:top="840" w:bottom="660" w:left="1020" w:right="740"/>
        </w:sectPr>
      </w:pPr>
    </w:p>
    <w:p>
      <w:pPr>
        <w:pStyle w:val="BodyText"/>
        <w:spacing w:line="249" w:lineRule="auto" w:before="49"/>
        <w:ind w:left="106" w:right="115" w:firstLine="283"/>
        <w:jc w:val="both"/>
      </w:pPr>
      <w:r>
        <w:rPr>
          <w:color w:val="231F20"/>
        </w:rPr>
        <w:t>Las cifras de acuerdo al sexo de los menores cambian significativa- mente; para los varones diez por ciento comenzó a realizar alguna acti- vidad económica antes de los cinco años de edad, 28 por ciento entre</w:t>
      </w:r>
      <w:r>
        <w:rPr>
          <w:color w:val="231F20"/>
          <w:spacing w:val="-26"/>
        </w:rPr>
        <w:t> </w:t>
      </w:r>
      <w:r>
        <w:rPr>
          <w:color w:val="231F20"/>
        </w:rPr>
        <w:t>los seis y siete años de edad, 33 por ciento, ochoy nueve años de edad, y 27 por</w:t>
      </w:r>
      <w:r>
        <w:rPr>
          <w:color w:val="231F20"/>
          <w:spacing w:val="-7"/>
        </w:rPr>
        <w:t> </w:t>
      </w:r>
      <w:r>
        <w:rPr>
          <w:color w:val="231F20"/>
        </w:rPr>
        <w:t>ciento</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10</w:t>
      </w:r>
      <w:r>
        <w:rPr>
          <w:color w:val="231F20"/>
          <w:spacing w:val="-7"/>
        </w:rPr>
        <w:t> </w:t>
      </w:r>
      <w:r>
        <w:rPr>
          <w:color w:val="231F20"/>
        </w:rPr>
        <w:t>y</w:t>
      </w:r>
      <w:r>
        <w:rPr>
          <w:color w:val="231F20"/>
          <w:spacing w:val="-7"/>
        </w:rPr>
        <w:t> </w:t>
      </w:r>
      <w:r>
        <w:rPr>
          <w:color w:val="231F20"/>
          <w:spacing w:val="-4"/>
        </w:rPr>
        <w:t>11</w:t>
      </w:r>
      <w:r>
        <w:rPr>
          <w:color w:val="231F20"/>
          <w:spacing w:val="-7"/>
        </w:rPr>
        <w:t> </w:t>
      </w:r>
      <w:r>
        <w:rPr>
          <w:color w:val="231F20"/>
        </w:rPr>
        <w:t>años.</w:t>
      </w:r>
      <w:r>
        <w:rPr>
          <w:color w:val="231F20"/>
          <w:spacing w:val="-8"/>
        </w:rPr>
        <w:t> </w:t>
      </w:r>
      <w:r>
        <w:rPr>
          <w:color w:val="231F20"/>
        </w:rPr>
        <w:t>Por</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respecta</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niñas</w:t>
      </w:r>
      <w:r>
        <w:rPr>
          <w:color w:val="231F20"/>
          <w:spacing w:val="-7"/>
        </w:rPr>
        <w:t> </w:t>
      </w:r>
      <w:r>
        <w:rPr>
          <w:color w:val="231F20"/>
        </w:rPr>
        <w:t>las</w:t>
      </w:r>
      <w:r>
        <w:rPr>
          <w:color w:val="231F20"/>
          <w:spacing w:val="-7"/>
        </w:rPr>
        <w:t> </w:t>
      </w:r>
      <w:r>
        <w:rPr>
          <w:color w:val="231F20"/>
        </w:rPr>
        <w:t>cifras son las siguientes: siete por ciento de ellas comenzó a trabajar antes de los cinco años, 21 por ciento entre los seis y siete años de edad, 41 por ciento entre los ocho y nueve años de edad, y 29 por ciento entre los 10 y </w:t>
      </w:r>
      <w:r>
        <w:rPr>
          <w:color w:val="231F20"/>
          <w:spacing w:val="-4"/>
        </w:rPr>
        <w:t>11 </w:t>
      </w:r>
      <w:r>
        <w:rPr>
          <w:color w:val="231F20"/>
        </w:rPr>
        <w:t>años de</w:t>
      </w:r>
      <w:r>
        <w:rPr>
          <w:color w:val="231F20"/>
          <w:spacing w:val="3"/>
        </w:rPr>
        <w:t> </w:t>
      </w:r>
      <w:r>
        <w:rPr>
          <w:color w:val="231F20"/>
        </w:rPr>
        <w:t>edad.</w:t>
      </w:r>
    </w:p>
    <w:p>
      <w:pPr>
        <w:pStyle w:val="Heading4"/>
        <w:ind w:left="106"/>
      </w:pPr>
      <w:r>
        <w:rPr>
          <w:w w:val="85"/>
        </w:rPr>
        <w:t>Conclusiones</w:t>
      </w:r>
    </w:p>
    <w:p>
      <w:pPr>
        <w:pStyle w:val="BodyText"/>
        <w:spacing w:line="249" w:lineRule="auto" w:before="171"/>
        <w:ind w:left="106" w:right="116"/>
        <w:jc w:val="both"/>
      </w:pPr>
      <w:r>
        <w:rPr>
          <w:color w:val="231F20"/>
        </w:rPr>
        <w:t>El análisis de la Encuesta Nacional de Ocupación y Empleo 2013 y es- pecíficamente el Módulo de Trabajo Infantil ha permitido responder a las pregunta de investigación general que se plantearon en este   trabajo,</w:t>
      </w:r>
    </w:p>
    <w:p>
      <w:pPr>
        <w:pStyle w:val="BodyText"/>
        <w:spacing w:line="249" w:lineRule="auto" w:before="1"/>
        <w:ind w:left="106" w:right="114"/>
        <w:jc w:val="both"/>
      </w:pPr>
      <w:r>
        <w:rPr>
          <w:color w:val="231F20"/>
        </w:rPr>
        <w:t>¿Cuál es el número de menores trabajadores entre los cinco a once años de</w:t>
      </w:r>
      <w:r>
        <w:rPr>
          <w:color w:val="231F20"/>
          <w:spacing w:val="-11"/>
        </w:rPr>
        <w:t> </w:t>
      </w:r>
      <w:r>
        <w:rPr>
          <w:color w:val="231F20"/>
        </w:rPr>
        <w:t>edad?</w:t>
      </w:r>
      <w:r>
        <w:rPr>
          <w:color w:val="231F20"/>
          <w:spacing w:val="-11"/>
        </w:rPr>
        <w:t> </w:t>
      </w:r>
      <w:r>
        <w:rPr>
          <w:color w:val="231F20"/>
        </w:rPr>
        <w:t>¿Cuál</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perfil</w:t>
      </w:r>
      <w:r>
        <w:rPr>
          <w:color w:val="231F20"/>
          <w:spacing w:val="-11"/>
        </w:rPr>
        <w:t> </w:t>
      </w:r>
      <w:r>
        <w:rPr>
          <w:color w:val="231F20"/>
        </w:rPr>
        <w:t>sociodemográfico</w:t>
      </w:r>
      <w:r>
        <w:rPr>
          <w:color w:val="231F20"/>
          <w:spacing w:val="-11"/>
        </w:rPr>
        <w:t> </w:t>
      </w:r>
      <w:r>
        <w:rPr>
          <w:color w:val="231F20"/>
        </w:rPr>
        <w:t>de</w:t>
      </w:r>
      <w:r>
        <w:rPr>
          <w:color w:val="231F20"/>
          <w:spacing w:val="-11"/>
        </w:rPr>
        <w:t> </w:t>
      </w:r>
      <w:r>
        <w:rPr>
          <w:color w:val="231F20"/>
        </w:rPr>
        <w:t>los</w:t>
      </w:r>
      <w:r>
        <w:rPr>
          <w:color w:val="231F20"/>
          <w:spacing w:val="-10"/>
        </w:rPr>
        <w:t> </w:t>
      </w:r>
      <w:r>
        <w:rPr>
          <w:color w:val="231F20"/>
        </w:rPr>
        <w:t>menores</w:t>
      </w:r>
      <w:r>
        <w:rPr>
          <w:color w:val="231F20"/>
          <w:spacing w:val="-11"/>
        </w:rPr>
        <w:t> </w:t>
      </w:r>
      <w:r>
        <w:rPr>
          <w:color w:val="231F20"/>
        </w:rPr>
        <w:t>trabajadores de cinco a once años de edad? De acuerdo con la información obtenida, la población de cinco a once años de edad que realiza alguna actividad doméstica o extradomésticas es de ocho, 226,320 niños. La información obtenida</w:t>
      </w:r>
      <w:r>
        <w:rPr>
          <w:color w:val="231F20"/>
          <w:spacing w:val="-5"/>
        </w:rPr>
        <w:t> </w:t>
      </w:r>
      <w:r>
        <w:rPr>
          <w:color w:val="231F20"/>
        </w:rPr>
        <w:t>permite</w:t>
      </w:r>
      <w:r>
        <w:rPr>
          <w:color w:val="231F20"/>
          <w:spacing w:val="-5"/>
        </w:rPr>
        <w:t> </w:t>
      </w:r>
      <w:r>
        <w:rPr>
          <w:color w:val="231F20"/>
        </w:rPr>
        <w:t>clasificar</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menores</w:t>
      </w:r>
      <w:r>
        <w:rPr>
          <w:color w:val="231F20"/>
          <w:spacing w:val="-5"/>
        </w:rPr>
        <w:t> </w:t>
      </w:r>
      <w:r>
        <w:rPr>
          <w:color w:val="231F20"/>
        </w:rPr>
        <w:t>de</w:t>
      </w:r>
      <w:r>
        <w:rPr>
          <w:color w:val="231F20"/>
          <w:spacing w:val="-5"/>
        </w:rPr>
        <w:t> </w:t>
      </w:r>
      <w:r>
        <w:rPr>
          <w:color w:val="231F20"/>
        </w:rPr>
        <w:t>acuerdo</w:t>
      </w:r>
      <w:r>
        <w:rPr>
          <w:color w:val="231F20"/>
          <w:spacing w:val="-5"/>
        </w:rPr>
        <w:t> </w:t>
      </w:r>
      <w:r>
        <w:rPr>
          <w:color w:val="231F20"/>
        </w:rPr>
        <w:t>al</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actividad:</w:t>
      </w:r>
    </w:p>
    <w:p>
      <w:pPr>
        <w:pStyle w:val="BodyText"/>
        <w:spacing w:line="249" w:lineRule="auto" w:before="1"/>
        <w:ind w:left="106" w:right="115"/>
        <w:jc w:val="both"/>
      </w:pPr>
      <w:r>
        <w:rPr>
          <w:color w:val="231F20"/>
        </w:rPr>
        <w:t>3.7 por ciento son ocupados; 46.97 por ciento sólo estudian; 47.78 por ciento realizan quehaceres domésticos y estudian; y 1.55 por ciento sólo realizan quehaceres domésticos.</w:t>
      </w:r>
    </w:p>
    <w:p>
      <w:pPr>
        <w:pStyle w:val="BodyText"/>
        <w:spacing w:line="249" w:lineRule="auto" w:before="1"/>
        <w:ind w:left="106" w:right="114" w:firstLine="283"/>
        <w:jc w:val="both"/>
      </w:pPr>
      <w:r>
        <w:rPr>
          <w:color w:val="231F20"/>
        </w:rPr>
        <w:t>Debido que el objetivo de este trabajo fue centrar la atención en los menores que se desempeñan en la esfera de la producción, los</w:t>
      </w:r>
      <w:r>
        <w:rPr>
          <w:color w:val="231F20"/>
          <w:spacing w:val="-34"/>
        </w:rPr>
        <w:t> </w:t>
      </w:r>
      <w:r>
        <w:rPr>
          <w:color w:val="231F20"/>
        </w:rPr>
        <w:t>resultados señalan que: aproximadamente 557,337 mil menores entre los cinco a once</w:t>
      </w:r>
      <w:r>
        <w:rPr>
          <w:color w:val="231F20"/>
          <w:spacing w:val="-8"/>
        </w:rPr>
        <w:t> </w:t>
      </w:r>
      <w:r>
        <w:rPr>
          <w:color w:val="231F20"/>
        </w:rPr>
        <w:t>años</w:t>
      </w:r>
      <w:r>
        <w:rPr>
          <w:color w:val="231F20"/>
          <w:spacing w:val="-8"/>
        </w:rPr>
        <w:t> </w:t>
      </w:r>
      <w:r>
        <w:rPr>
          <w:color w:val="231F20"/>
        </w:rPr>
        <w:t>de</w:t>
      </w:r>
      <w:r>
        <w:rPr>
          <w:color w:val="231F20"/>
          <w:spacing w:val="-8"/>
        </w:rPr>
        <w:t> </w:t>
      </w:r>
      <w:r>
        <w:rPr>
          <w:color w:val="231F20"/>
        </w:rPr>
        <w:t>edad</w:t>
      </w:r>
      <w:r>
        <w:rPr>
          <w:color w:val="231F20"/>
          <w:spacing w:val="-8"/>
        </w:rPr>
        <w:t> </w:t>
      </w:r>
      <w:r>
        <w:rPr>
          <w:color w:val="231F20"/>
        </w:rPr>
        <w:t>son</w:t>
      </w:r>
      <w:r>
        <w:rPr>
          <w:color w:val="231F20"/>
          <w:spacing w:val="-8"/>
        </w:rPr>
        <w:t> </w:t>
      </w:r>
      <w:r>
        <w:rPr>
          <w:color w:val="231F20"/>
        </w:rPr>
        <w:t>ocupados,</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durante</w:t>
      </w:r>
      <w:r>
        <w:rPr>
          <w:color w:val="231F20"/>
          <w:spacing w:val="-8"/>
        </w:rPr>
        <w:t> </w:t>
      </w:r>
      <w:r>
        <w:rPr>
          <w:color w:val="231F20"/>
        </w:rPr>
        <w:t>2013</w:t>
      </w:r>
      <w:r>
        <w:rPr>
          <w:color w:val="231F20"/>
          <w:spacing w:val="-8"/>
        </w:rPr>
        <w:t> </w:t>
      </w:r>
      <w:r>
        <w:rPr>
          <w:color w:val="231F20"/>
        </w:rPr>
        <w:t>se</w:t>
      </w:r>
      <w:r>
        <w:rPr>
          <w:color w:val="231F20"/>
          <w:spacing w:val="-8"/>
        </w:rPr>
        <w:t> </w:t>
      </w:r>
      <w:r>
        <w:rPr>
          <w:color w:val="231F20"/>
        </w:rPr>
        <w:t>registraron</w:t>
      </w:r>
      <w:r>
        <w:rPr>
          <w:color w:val="231F20"/>
          <w:spacing w:val="-8"/>
        </w:rPr>
        <w:t> </w:t>
      </w:r>
      <w:r>
        <w:rPr>
          <w:color w:val="231F20"/>
        </w:rPr>
        <w:t>7,853 como desempleados, por lo que la población activa asciende a 565,200 de</w:t>
      </w:r>
      <w:r>
        <w:rPr>
          <w:color w:val="231F20"/>
          <w:spacing w:val="14"/>
        </w:rPr>
        <w:t> </w:t>
      </w:r>
      <w:r>
        <w:rPr>
          <w:color w:val="231F20"/>
        </w:rPr>
        <w:t>menores.</w:t>
      </w:r>
      <w:r>
        <w:rPr>
          <w:color w:val="231F20"/>
          <w:spacing w:val="14"/>
        </w:rPr>
        <w:t> </w:t>
      </w:r>
      <w:r>
        <w:rPr>
          <w:color w:val="231F20"/>
        </w:rPr>
        <w:t>La</w:t>
      </w:r>
      <w:r>
        <w:rPr>
          <w:color w:val="231F20"/>
          <w:spacing w:val="14"/>
        </w:rPr>
        <w:t> </w:t>
      </w:r>
      <w:r>
        <w:rPr>
          <w:color w:val="231F20"/>
        </w:rPr>
        <w:t>tasa</w:t>
      </w:r>
      <w:r>
        <w:rPr>
          <w:color w:val="231F20"/>
          <w:spacing w:val="14"/>
        </w:rPr>
        <w:t> </w:t>
      </w:r>
      <w:r>
        <w:rPr>
          <w:color w:val="231F20"/>
        </w:rPr>
        <w:t>bruta</w:t>
      </w:r>
      <w:r>
        <w:rPr>
          <w:color w:val="231F20"/>
          <w:spacing w:val="14"/>
        </w:rPr>
        <w:t> </w:t>
      </w:r>
      <w:r>
        <w:rPr>
          <w:color w:val="231F20"/>
        </w:rPr>
        <w:t>de</w:t>
      </w:r>
      <w:r>
        <w:rPr>
          <w:color w:val="231F20"/>
          <w:spacing w:val="14"/>
        </w:rPr>
        <w:t> </w:t>
      </w:r>
      <w:r>
        <w:rPr>
          <w:color w:val="231F20"/>
        </w:rPr>
        <w:t>participación</w:t>
      </w:r>
      <w:r>
        <w:rPr>
          <w:color w:val="231F20"/>
          <w:spacing w:val="14"/>
        </w:rPr>
        <w:t> </w:t>
      </w:r>
      <w:r>
        <w:rPr>
          <w:color w:val="231F20"/>
        </w:rPr>
        <w:t>laboral</w:t>
      </w:r>
      <w:r>
        <w:rPr>
          <w:color w:val="231F20"/>
          <w:spacing w:val="14"/>
        </w:rPr>
        <w:t> </w:t>
      </w:r>
      <w:r>
        <w:rPr>
          <w:color w:val="231F20"/>
        </w:rPr>
        <w:t>para</w:t>
      </w:r>
      <w:r>
        <w:rPr>
          <w:color w:val="231F20"/>
          <w:spacing w:val="14"/>
        </w:rPr>
        <w:t> </w:t>
      </w:r>
      <w:r>
        <w:rPr>
          <w:color w:val="231F20"/>
        </w:rPr>
        <w:t>los</w:t>
      </w:r>
      <w:r>
        <w:rPr>
          <w:color w:val="231F20"/>
          <w:spacing w:val="14"/>
        </w:rPr>
        <w:t> </w:t>
      </w:r>
      <w:r>
        <w:rPr>
          <w:color w:val="231F20"/>
        </w:rPr>
        <w:t>niños</w:t>
      </w:r>
      <w:r>
        <w:rPr>
          <w:color w:val="231F20"/>
          <w:spacing w:val="15"/>
        </w:rPr>
        <w:t> </w:t>
      </w:r>
      <w:r>
        <w:rPr>
          <w:color w:val="231F20"/>
        </w:rPr>
        <w:t>es</w:t>
      </w:r>
      <w:r>
        <w:rPr>
          <w:color w:val="231F20"/>
          <w:spacing w:val="14"/>
        </w:rPr>
        <w:t> </w:t>
      </w:r>
      <w:r>
        <w:rPr>
          <w:color w:val="231F20"/>
        </w:rPr>
        <w:t>de</w:t>
      </w:r>
    </w:p>
    <w:p>
      <w:pPr>
        <w:pStyle w:val="BodyText"/>
        <w:spacing w:before="1"/>
        <w:ind w:left="106"/>
        <w:jc w:val="both"/>
      </w:pPr>
      <w:r>
        <w:rPr>
          <w:color w:val="231F20"/>
        </w:rPr>
        <w:t>4.73 por ciento y para las niñas de 2.5 por ciento.</w:t>
      </w:r>
    </w:p>
    <w:p>
      <w:pPr>
        <w:pStyle w:val="BodyText"/>
        <w:spacing w:line="249" w:lineRule="auto" w:before="10"/>
        <w:ind w:left="42" w:right="114" w:firstLine="283"/>
        <w:jc w:val="right"/>
      </w:pPr>
      <w:r>
        <w:rPr>
          <w:color w:val="231F20"/>
        </w:rPr>
        <w:t>En cuanto a la división del trabajo por sexo, los datos dicen que los niños se insertan principalmente en actividades remuneradas y las niñas realizan actividades domésticas, resultando estrechamente relacionadas con los patrones culturales y sociales del país. Las diferencias entre las actividades de los niños y las niñas se inician desde muy temprana edad. En las áreas rurales se registran los niveles más altos de actividades remuneradas y no remuneradas, ya que en estas localidades, los menores son introducidos a actividades domésticas y extradomésticas, como parte de un proceso de socialización y aprendizaje del menor. La asistencia escolar dentro de este grupo de edad es alta (95.78 por ciento asiste a</w:t>
      </w:r>
    </w:p>
    <w:p>
      <w:pPr>
        <w:spacing w:after="0" w:line="249" w:lineRule="auto"/>
        <w:jc w:val="right"/>
        <w:sectPr>
          <w:footerReference w:type="default" r:id="rId305"/>
          <w:pgSz w:w="7770" w:h="11740"/>
          <w:pgMar w:footer="559" w:header="0" w:top="840" w:bottom="740" w:left="740" w:right="1020"/>
        </w:sectPr>
      </w:pPr>
    </w:p>
    <w:p>
      <w:pPr>
        <w:pStyle w:val="BodyText"/>
        <w:spacing w:line="249" w:lineRule="auto" w:before="49"/>
        <w:ind w:left="113" w:right="108"/>
        <w:jc w:val="both"/>
      </w:pPr>
      <w:r>
        <w:rPr>
          <w:color w:val="231F20"/>
        </w:rPr>
        <w:t>la escuela). Gómez de León y Parker (2000) señalan que las tasas de asistencia</w:t>
      </w:r>
      <w:r>
        <w:rPr>
          <w:color w:val="231F20"/>
          <w:spacing w:val="-9"/>
        </w:rPr>
        <w:t> </w:t>
      </w:r>
      <w:r>
        <w:rPr>
          <w:color w:val="231F20"/>
        </w:rPr>
        <w:t>escolar</w:t>
      </w:r>
      <w:r>
        <w:rPr>
          <w:color w:val="231F20"/>
          <w:spacing w:val="-9"/>
        </w:rPr>
        <w:t> </w:t>
      </w:r>
      <w:r>
        <w:rPr>
          <w:color w:val="231F20"/>
        </w:rPr>
        <w:t>a</w:t>
      </w:r>
      <w:r>
        <w:rPr>
          <w:color w:val="231F20"/>
          <w:spacing w:val="-8"/>
        </w:rPr>
        <w:t> </w:t>
      </w:r>
      <w:r>
        <w:rPr>
          <w:color w:val="231F20"/>
        </w:rPr>
        <w:t>edades</w:t>
      </w:r>
      <w:r>
        <w:rPr>
          <w:color w:val="231F20"/>
          <w:spacing w:val="-9"/>
        </w:rPr>
        <w:t> </w:t>
      </w:r>
      <w:r>
        <w:rPr>
          <w:color w:val="231F20"/>
        </w:rPr>
        <w:t>tempranas</w:t>
      </w:r>
      <w:r>
        <w:rPr>
          <w:color w:val="231F20"/>
          <w:spacing w:val="-9"/>
        </w:rPr>
        <w:t> </w:t>
      </w:r>
      <w:r>
        <w:rPr>
          <w:color w:val="231F20"/>
        </w:rPr>
        <w:t>son</w:t>
      </w:r>
      <w:r>
        <w:rPr>
          <w:color w:val="231F20"/>
          <w:spacing w:val="-8"/>
        </w:rPr>
        <w:t> </w:t>
      </w:r>
      <w:r>
        <w:rPr>
          <w:color w:val="231F20"/>
        </w:rPr>
        <w:t>altas</w:t>
      </w:r>
      <w:r>
        <w:rPr>
          <w:color w:val="231F20"/>
          <w:spacing w:val="-9"/>
        </w:rPr>
        <w:t> </w:t>
      </w:r>
      <w:r>
        <w:rPr>
          <w:color w:val="231F20"/>
        </w:rPr>
        <w:t>y</w:t>
      </w:r>
      <w:r>
        <w:rPr>
          <w:color w:val="231F20"/>
          <w:spacing w:val="-8"/>
        </w:rPr>
        <w:t> </w:t>
      </w:r>
      <w:r>
        <w:rPr>
          <w:color w:val="231F20"/>
        </w:rPr>
        <w:t>la</w:t>
      </w:r>
      <w:r>
        <w:rPr>
          <w:color w:val="231F20"/>
          <w:spacing w:val="-8"/>
        </w:rPr>
        <w:t> </w:t>
      </w:r>
      <w:r>
        <w:rPr>
          <w:color w:val="231F20"/>
        </w:rPr>
        <w:t>tasas</w:t>
      </w:r>
      <w:r>
        <w:rPr>
          <w:color w:val="231F20"/>
          <w:spacing w:val="-9"/>
        </w:rPr>
        <w:t> </w:t>
      </w:r>
      <w:r>
        <w:rPr>
          <w:color w:val="231F20"/>
        </w:rPr>
        <w:t>de</w:t>
      </w:r>
      <w:r>
        <w:rPr>
          <w:color w:val="231F20"/>
          <w:spacing w:val="-8"/>
        </w:rPr>
        <w:t> </w:t>
      </w:r>
      <w:r>
        <w:rPr>
          <w:color w:val="231F20"/>
        </w:rPr>
        <w:t>participación laboral son bajas. Los hallazgos de este trabajo permiten confirmar el argumento anterior (95.78 por ciento asiste a la escuela, 3.7 por ciento ocupado). Sin embargo, las estadísticas presentadas permiten confirmar que al incrementarse la edad, las tasas de participación laboral van en aumento.</w:t>
      </w:r>
    </w:p>
    <w:p>
      <w:pPr>
        <w:pStyle w:val="BodyText"/>
        <w:spacing w:line="249" w:lineRule="auto" w:before="1"/>
        <w:ind w:left="113" w:right="108" w:firstLine="283"/>
        <w:jc w:val="both"/>
      </w:pPr>
      <w:r>
        <w:rPr>
          <w:color w:val="231F20"/>
        </w:rPr>
        <w:t>Con relación a la asistencia escolar 96.8 por ciento asiste a la escue- la y 3.12 por ciento no recibe instrucción. Sin embargo, dentro de este grupo de menores hay un fuerte rezago educativo, ya que 75 por ciento de los que asisten a la escuela, cursan algún grado escolar que no</w:t>
      </w:r>
      <w:r>
        <w:rPr>
          <w:color w:val="231F20"/>
          <w:spacing w:val="-33"/>
        </w:rPr>
        <w:t> </w:t>
      </w:r>
      <w:r>
        <w:rPr>
          <w:color w:val="231F20"/>
        </w:rPr>
        <w:t>corres- ponde a su</w:t>
      </w:r>
      <w:r>
        <w:rPr>
          <w:color w:val="231F20"/>
          <w:spacing w:val="-1"/>
        </w:rPr>
        <w:t> </w:t>
      </w:r>
      <w:r>
        <w:rPr>
          <w:color w:val="231F20"/>
        </w:rPr>
        <w:t>edad.</w:t>
      </w:r>
    </w:p>
    <w:p>
      <w:pPr>
        <w:pStyle w:val="BodyText"/>
        <w:spacing w:line="249" w:lineRule="auto" w:before="1"/>
        <w:ind w:left="113" w:right="107" w:firstLine="283"/>
        <w:jc w:val="both"/>
      </w:pPr>
      <w:r>
        <w:rPr>
          <w:color w:val="231F20"/>
        </w:rPr>
        <w:t>El sector agrícola es el sector que registra la mayor incidencia de menores</w:t>
      </w:r>
      <w:r>
        <w:rPr>
          <w:color w:val="231F20"/>
          <w:spacing w:val="-6"/>
        </w:rPr>
        <w:t> </w:t>
      </w:r>
      <w:r>
        <w:rPr>
          <w:color w:val="231F20"/>
        </w:rPr>
        <w:t>trabajando,</w:t>
      </w:r>
      <w:r>
        <w:rPr>
          <w:color w:val="231F20"/>
          <w:spacing w:val="-6"/>
        </w:rPr>
        <w:t> </w:t>
      </w:r>
      <w:r>
        <w:rPr>
          <w:color w:val="231F20"/>
        </w:rPr>
        <w:t>seguido</w:t>
      </w:r>
      <w:r>
        <w:rPr>
          <w:color w:val="231F20"/>
          <w:spacing w:val="-6"/>
        </w:rPr>
        <w:t> </w:t>
      </w:r>
      <w:r>
        <w:rPr>
          <w:color w:val="231F20"/>
        </w:rPr>
        <w:t>del</w:t>
      </w:r>
      <w:r>
        <w:rPr>
          <w:color w:val="231F20"/>
          <w:spacing w:val="-6"/>
        </w:rPr>
        <w:t> </w:t>
      </w:r>
      <w:r>
        <w:rPr>
          <w:color w:val="231F20"/>
        </w:rPr>
        <w:t>sector</w:t>
      </w:r>
      <w:r>
        <w:rPr>
          <w:color w:val="231F20"/>
          <w:spacing w:val="-6"/>
        </w:rPr>
        <w:t> </w:t>
      </w:r>
      <w:r>
        <w:rPr>
          <w:color w:val="231F20"/>
        </w:rPr>
        <w:t>comercial.</w:t>
      </w:r>
      <w:r>
        <w:rPr>
          <w:color w:val="231F20"/>
          <w:spacing w:val="-7"/>
        </w:rPr>
        <w:t> </w:t>
      </w:r>
      <w:r>
        <w:rPr>
          <w:color w:val="231F20"/>
        </w:rPr>
        <w:t>El</w:t>
      </w:r>
      <w:r>
        <w:rPr>
          <w:color w:val="231F20"/>
          <w:spacing w:val="-6"/>
        </w:rPr>
        <w:t> </w:t>
      </w:r>
      <w:r>
        <w:rPr>
          <w:color w:val="231F20"/>
        </w:rPr>
        <w:t>patrón</w:t>
      </w:r>
      <w:r>
        <w:rPr>
          <w:color w:val="231F20"/>
          <w:spacing w:val="-6"/>
        </w:rPr>
        <w:t> </w:t>
      </w:r>
      <w:r>
        <w:rPr>
          <w:color w:val="231F20"/>
        </w:rPr>
        <w:t>de</w:t>
      </w:r>
      <w:r>
        <w:rPr>
          <w:color w:val="231F20"/>
          <w:spacing w:val="-6"/>
        </w:rPr>
        <w:t> </w:t>
      </w:r>
      <w:r>
        <w:rPr>
          <w:color w:val="231F20"/>
        </w:rPr>
        <w:t>inserción de los niños es diferente al patrón de inserción de las niñas. Los niños</w:t>
      </w:r>
      <w:r>
        <w:rPr>
          <w:color w:val="231F20"/>
          <w:spacing w:val="-17"/>
        </w:rPr>
        <w:t> </w:t>
      </w:r>
      <w:r>
        <w:rPr>
          <w:color w:val="231F20"/>
        </w:rPr>
        <w:t>se desempeñan dentro del sector agrícola, las niñas se desempeñan en los sectores de servicios y comercial. Las unidades en las que trabajan los menores son microempresas de los sectores agrícola y</w:t>
      </w:r>
      <w:r>
        <w:rPr>
          <w:color w:val="231F20"/>
          <w:spacing w:val="-13"/>
        </w:rPr>
        <w:t> </w:t>
      </w:r>
      <w:r>
        <w:rPr>
          <w:color w:val="231F20"/>
        </w:rPr>
        <w:t>comercial.</w:t>
      </w:r>
    </w:p>
    <w:p>
      <w:pPr>
        <w:pStyle w:val="BodyText"/>
        <w:spacing w:line="249" w:lineRule="auto" w:before="1"/>
        <w:ind w:left="113" w:right="108" w:firstLine="283"/>
        <w:jc w:val="both"/>
      </w:pPr>
      <w:r>
        <w:rPr>
          <w:color w:val="231F20"/>
        </w:rPr>
        <w:t>La mayoría de los menores trabajadores no recibe ingresos (68 por ciento) y 10 por ciento recibe entre uno y tres salarios mínimos; 77 por ciento de las niñas trabajadoras no recibe ingresos. La jornada laboral</w:t>
      </w:r>
      <w:r>
        <w:rPr>
          <w:color w:val="231F20"/>
          <w:spacing w:val="-34"/>
        </w:rPr>
        <w:t> </w:t>
      </w:r>
      <w:r>
        <w:rPr>
          <w:color w:val="231F20"/>
        </w:rPr>
        <w:t>de los menores en promedio fue de 12.48 horas a la semana. Los varones trabajan en promedio 13.25 horas a la semana y las niñas 11.10</w:t>
      </w:r>
      <w:r>
        <w:rPr>
          <w:color w:val="231F20"/>
          <w:spacing w:val="-16"/>
        </w:rPr>
        <w:t> </w:t>
      </w:r>
      <w:r>
        <w:rPr>
          <w:color w:val="231F20"/>
        </w:rPr>
        <w:t>horas.</w:t>
      </w:r>
    </w:p>
    <w:p>
      <w:pPr>
        <w:pStyle w:val="BodyText"/>
        <w:spacing w:before="7"/>
        <w:rPr>
          <w:sz w:val="27"/>
        </w:rPr>
      </w:pPr>
    </w:p>
    <w:p>
      <w:pPr>
        <w:pStyle w:val="Heading4"/>
        <w:spacing w:before="0"/>
      </w:pPr>
      <w:r>
        <w:rPr>
          <w:w w:val="85"/>
        </w:rPr>
        <w:t>Bibliografía</w:t>
      </w:r>
    </w:p>
    <w:p>
      <w:pPr>
        <w:pStyle w:val="BodyText"/>
        <w:spacing w:before="9"/>
        <w:rPr>
          <w:b/>
        </w:rPr>
      </w:pPr>
    </w:p>
    <w:p>
      <w:pPr>
        <w:spacing w:line="254" w:lineRule="auto" w:before="1"/>
        <w:ind w:left="113" w:right="108" w:firstLine="0"/>
        <w:jc w:val="both"/>
        <w:rPr>
          <w:sz w:val="18"/>
        </w:rPr>
      </w:pPr>
      <w:r>
        <w:rPr>
          <w:color w:val="231F20"/>
          <w:sz w:val="18"/>
        </w:rPr>
        <w:t>Cartwrigth,</w:t>
      </w:r>
      <w:r>
        <w:rPr>
          <w:color w:val="231F20"/>
          <w:spacing w:val="-5"/>
          <w:sz w:val="18"/>
        </w:rPr>
        <w:t> </w:t>
      </w:r>
      <w:r>
        <w:rPr>
          <w:color w:val="231F20"/>
          <w:sz w:val="18"/>
        </w:rPr>
        <w:t>Kimberly</w:t>
      </w:r>
      <w:r>
        <w:rPr>
          <w:color w:val="231F20"/>
          <w:spacing w:val="-5"/>
          <w:sz w:val="18"/>
        </w:rPr>
        <w:t> </w:t>
      </w:r>
      <w:r>
        <w:rPr>
          <w:color w:val="231F20"/>
          <w:sz w:val="18"/>
        </w:rPr>
        <w:t>(2006)</w:t>
      </w:r>
      <w:r>
        <w:rPr>
          <w:color w:val="231F20"/>
          <w:spacing w:val="-5"/>
          <w:sz w:val="18"/>
        </w:rPr>
        <w:t> </w:t>
      </w:r>
      <w:r>
        <w:rPr>
          <w:color w:val="231F20"/>
          <w:sz w:val="18"/>
        </w:rPr>
        <w:t>“Trabajo</w:t>
      </w:r>
      <w:r>
        <w:rPr>
          <w:color w:val="231F20"/>
          <w:spacing w:val="-5"/>
          <w:sz w:val="18"/>
        </w:rPr>
        <w:t> </w:t>
      </w:r>
      <w:r>
        <w:rPr>
          <w:color w:val="231F20"/>
          <w:sz w:val="18"/>
        </w:rPr>
        <w:t>Infantil</w:t>
      </w:r>
      <w:r>
        <w:rPr>
          <w:color w:val="231F20"/>
          <w:spacing w:val="-5"/>
          <w:sz w:val="18"/>
        </w:rPr>
        <w:t> </w:t>
      </w:r>
      <w:r>
        <w:rPr>
          <w:color w:val="231F20"/>
          <w:sz w:val="18"/>
        </w:rPr>
        <w:t>en</w:t>
      </w:r>
      <w:r>
        <w:rPr>
          <w:color w:val="231F20"/>
          <w:spacing w:val="-6"/>
          <w:sz w:val="18"/>
        </w:rPr>
        <w:t> </w:t>
      </w:r>
      <w:r>
        <w:rPr>
          <w:color w:val="231F20"/>
          <w:sz w:val="18"/>
        </w:rPr>
        <w:t>Colombia”,</w:t>
      </w:r>
      <w:r>
        <w:rPr>
          <w:color w:val="231F20"/>
          <w:spacing w:val="-5"/>
          <w:sz w:val="18"/>
        </w:rPr>
        <w:t> </w:t>
      </w:r>
      <w:r>
        <w:rPr>
          <w:color w:val="231F20"/>
          <w:sz w:val="18"/>
        </w:rPr>
        <w:t>en</w:t>
      </w:r>
      <w:r>
        <w:rPr>
          <w:color w:val="231F20"/>
          <w:spacing w:val="-6"/>
          <w:sz w:val="18"/>
        </w:rPr>
        <w:t> </w:t>
      </w:r>
      <w:r>
        <w:rPr>
          <w:color w:val="231F20"/>
          <w:sz w:val="18"/>
        </w:rPr>
        <w:t>Luis</w:t>
      </w:r>
      <w:r>
        <w:rPr>
          <w:color w:val="231F20"/>
          <w:spacing w:val="-6"/>
          <w:sz w:val="18"/>
        </w:rPr>
        <w:t> </w:t>
      </w:r>
      <w:r>
        <w:rPr>
          <w:color w:val="231F20"/>
          <w:sz w:val="18"/>
        </w:rPr>
        <w:t>Felipe</w:t>
      </w:r>
      <w:r>
        <w:rPr>
          <w:color w:val="231F20"/>
          <w:spacing w:val="-5"/>
          <w:sz w:val="18"/>
        </w:rPr>
        <w:t> </w:t>
      </w:r>
      <w:r>
        <w:rPr>
          <w:color w:val="231F20"/>
          <w:sz w:val="18"/>
        </w:rPr>
        <w:t>Ló- pez Calva (coord.), </w:t>
      </w:r>
      <w:r>
        <w:rPr>
          <w:i/>
          <w:color w:val="231F20"/>
          <w:spacing w:val="-3"/>
          <w:sz w:val="18"/>
        </w:rPr>
        <w:t>Trabajo </w:t>
      </w:r>
      <w:r>
        <w:rPr>
          <w:i/>
          <w:color w:val="231F20"/>
          <w:sz w:val="18"/>
        </w:rPr>
        <w:t>Infantil. </w:t>
      </w:r>
      <w:r>
        <w:rPr>
          <w:i/>
          <w:color w:val="231F20"/>
          <w:spacing w:val="-3"/>
          <w:sz w:val="18"/>
        </w:rPr>
        <w:t>Teoría </w:t>
      </w:r>
      <w:r>
        <w:rPr>
          <w:i/>
          <w:color w:val="231F20"/>
          <w:sz w:val="18"/>
        </w:rPr>
        <w:t>y lecciones de la América Latina</w:t>
      </w:r>
      <w:r>
        <w:rPr>
          <w:color w:val="231F20"/>
          <w:sz w:val="18"/>
        </w:rPr>
        <w:t>, México: Fondo de Cultura</w:t>
      </w:r>
      <w:r>
        <w:rPr>
          <w:color w:val="231F20"/>
          <w:spacing w:val="-10"/>
          <w:sz w:val="18"/>
        </w:rPr>
        <w:t> </w:t>
      </w:r>
      <w:r>
        <w:rPr>
          <w:color w:val="231F20"/>
          <w:sz w:val="18"/>
        </w:rPr>
        <w:t>Económica.</w:t>
      </w:r>
    </w:p>
    <w:p>
      <w:pPr>
        <w:spacing w:line="254" w:lineRule="auto" w:before="57"/>
        <w:ind w:left="113" w:right="108" w:firstLine="0"/>
        <w:jc w:val="both"/>
        <w:rPr>
          <w:sz w:val="18"/>
        </w:rPr>
      </w:pPr>
      <w:r>
        <w:rPr>
          <w:color w:val="231F20"/>
          <w:sz w:val="18"/>
        </w:rPr>
        <w:t>Cartwrigth, Kimberly y Harry Anthony Patrinos (2006) “Trabajo infantil en la Bolivia urbana”, en Luis Felipe López Calva, (coord.), </w:t>
      </w:r>
      <w:r>
        <w:rPr>
          <w:i/>
          <w:color w:val="231F20"/>
          <w:sz w:val="18"/>
        </w:rPr>
        <w:t>Trabajo Infantil Teoría y </w:t>
      </w:r>
      <w:r>
        <w:rPr>
          <w:i/>
          <w:color w:val="231F20"/>
          <w:sz w:val="18"/>
        </w:rPr>
        <w:t>lecciones de la América Latina”</w:t>
      </w:r>
      <w:r>
        <w:rPr>
          <w:color w:val="231F20"/>
          <w:sz w:val="18"/>
        </w:rPr>
        <w:t>, México: Fondo de Cultura Económica.</w:t>
      </w:r>
    </w:p>
    <w:p>
      <w:pPr>
        <w:spacing w:line="254" w:lineRule="auto" w:before="57"/>
        <w:ind w:left="113" w:right="108" w:firstLine="0"/>
        <w:jc w:val="both"/>
        <w:rPr>
          <w:sz w:val="18"/>
        </w:rPr>
      </w:pPr>
      <w:r>
        <w:rPr>
          <w:color w:val="231F20"/>
          <w:sz w:val="18"/>
        </w:rPr>
        <w:t>Estrada, Lauro (2005) “Familia y trabajo infantil y adolescente en México, 2000”, en Martha Mier y </w:t>
      </w:r>
      <w:r>
        <w:rPr>
          <w:color w:val="231F20"/>
          <w:spacing w:val="-3"/>
          <w:sz w:val="18"/>
        </w:rPr>
        <w:t>Teran </w:t>
      </w:r>
      <w:r>
        <w:rPr>
          <w:color w:val="231F20"/>
          <w:sz w:val="18"/>
        </w:rPr>
        <w:t>y Cecilia Rabell (coord.), </w:t>
      </w:r>
      <w:r>
        <w:rPr>
          <w:i/>
          <w:color w:val="231F20"/>
          <w:sz w:val="18"/>
        </w:rPr>
        <w:t>Jóvenes y niños un </w:t>
      </w:r>
      <w:r>
        <w:rPr>
          <w:i/>
          <w:color w:val="231F20"/>
          <w:sz w:val="18"/>
        </w:rPr>
        <w:t>enfoque</w:t>
      </w:r>
      <w:r>
        <w:rPr>
          <w:i/>
          <w:color w:val="231F20"/>
          <w:spacing w:val="-12"/>
          <w:sz w:val="18"/>
        </w:rPr>
        <w:t> </w:t>
      </w:r>
      <w:r>
        <w:rPr>
          <w:i/>
          <w:color w:val="231F20"/>
          <w:sz w:val="18"/>
        </w:rPr>
        <w:t>sociodemográficos</w:t>
      </w:r>
      <w:r>
        <w:rPr>
          <w:color w:val="231F20"/>
          <w:sz w:val="18"/>
        </w:rPr>
        <w:t>,</w:t>
      </w:r>
      <w:r>
        <w:rPr>
          <w:color w:val="231F20"/>
          <w:spacing w:val="-12"/>
          <w:sz w:val="18"/>
        </w:rPr>
        <w:t> </w:t>
      </w:r>
      <w:r>
        <w:rPr>
          <w:color w:val="231F20"/>
          <w:sz w:val="18"/>
        </w:rPr>
        <w:t>México:</w:t>
      </w:r>
      <w:r>
        <w:rPr>
          <w:color w:val="231F20"/>
          <w:spacing w:val="-12"/>
          <w:sz w:val="18"/>
        </w:rPr>
        <w:t> </w:t>
      </w:r>
      <w:r>
        <w:rPr>
          <w:color w:val="231F20"/>
          <w:sz w:val="18"/>
        </w:rPr>
        <w:t>Cámara</w:t>
      </w:r>
      <w:r>
        <w:rPr>
          <w:color w:val="231F20"/>
          <w:spacing w:val="-12"/>
          <w:sz w:val="18"/>
        </w:rPr>
        <w:t> </w:t>
      </w:r>
      <w:r>
        <w:rPr>
          <w:color w:val="231F20"/>
          <w:sz w:val="18"/>
        </w:rPr>
        <w:t>de</w:t>
      </w:r>
      <w:r>
        <w:rPr>
          <w:color w:val="231F20"/>
          <w:spacing w:val="-12"/>
          <w:sz w:val="18"/>
        </w:rPr>
        <w:t> </w:t>
      </w:r>
      <w:r>
        <w:rPr>
          <w:color w:val="231F20"/>
          <w:sz w:val="18"/>
        </w:rPr>
        <w:t>Diputados</w:t>
      </w:r>
      <w:r>
        <w:rPr>
          <w:color w:val="231F20"/>
          <w:spacing w:val="-12"/>
          <w:sz w:val="18"/>
        </w:rPr>
        <w:t> </w:t>
      </w:r>
      <w:r>
        <w:rPr>
          <w:color w:val="231F20"/>
          <w:sz w:val="18"/>
        </w:rPr>
        <w:t>del</w:t>
      </w:r>
      <w:r>
        <w:rPr>
          <w:color w:val="231F20"/>
          <w:spacing w:val="-12"/>
          <w:sz w:val="18"/>
        </w:rPr>
        <w:t> </w:t>
      </w:r>
      <w:r>
        <w:rPr>
          <w:color w:val="231F20"/>
          <w:sz w:val="18"/>
        </w:rPr>
        <w:t>H.</w:t>
      </w:r>
      <w:r>
        <w:rPr>
          <w:color w:val="231F20"/>
          <w:spacing w:val="-12"/>
          <w:sz w:val="18"/>
        </w:rPr>
        <w:t> </w:t>
      </w:r>
      <w:r>
        <w:rPr>
          <w:color w:val="231F20"/>
          <w:sz w:val="18"/>
        </w:rPr>
        <w:t>Congreso</w:t>
      </w:r>
      <w:r>
        <w:rPr>
          <w:color w:val="231F20"/>
          <w:spacing w:val="-12"/>
          <w:sz w:val="18"/>
        </w:rPr>
        <w:t> </w:t>
      </w:r>
      <w:r>
        <w:rPr>
          <w:color w:val="231F20"/>
          <w:sz w:val="18"/>
        </w:rPr>
        <w:t>de</w:t>
      </w:r>
      <w:r>
        <w:rPr>
          <w:color w:val="231F20"/>
          <w:spacing w:val="-12"/>
          <w:sz w:val="18"/>
        </w:rPr>
        <w:t> </w:t>
      </w:r>
      <w:r>
        <w:rPr>
          <w:color w:val="231F20"/>
          <w:sz w:val="18"/>
        </w:rPr>
        <w:t>la Unión,</w:t>
      </w:r>
      <w:r>
        <w:rPr>
          <w:color w:val="231F20"/>
          <w:spacing w:val="-5"/>
          <w:sz w:val="18"/>
        </w:rPr>
        <w:t> </w:t>
      </w:r>
      <w:r>
        <w:rPr>
          <w:color w:val="231F20"/>
          <w:sz w:val="18"/>
        </w:rPr>
        <w:t>Universidad</w:t>
      </w:r>
      <w:r>
        <w:rPr>
          <w:color w:val="231F20"/>
          <w:spacing w:val="-5"/>
          <w:sz w:val="18"/>
        </w:rPr>
        <w:t> </w:t>
      </w:r>
      <w:r>
        <w:rPr>
          <w:color w:val="231F20"/>
          <w:sz w:val="18"/>
        </w:rPr>
        <w:t>Nacional</w:t>
      </w:r>
      <w:r>
        <w:rPr>
          <w:color w:val="231F20"/>
          <w:spacing w:val="-15"/>
          <w:sz w:val="18"/>
        </w:rPr>
        <w:t> </w:t>
      </w:r>
      <w:r>
        <w:rPr>
          <w:color w:val="231F20"/>
          <w:sz w:val="18"/>
        </w:rPr>
        <w:t>Autónoma</w:t>
      </w:r>
      <w:r>
        <w:rPr>
          <w:color w:val="231F20"/>
          <w:spacing w:val="-5"/>
          <w:sz w:val="18"/>
        </w:rPr>
        <w:t> </w:t>
      </w:r>
      <w:r>
        <w:rPr>
          <w:color w:val="231F20"/>
          <w:sz w:val="18"/>
        </w:rPr>
        <w:t>de</w:t>
      </w:r>
      <w:r>
        <w:rPr>
          <w:color w:val="231F20"/>
          <w:spacing w:val="-5"/>
          <w:sz w:val="18"/>
        </w:rPr>
        <w:t> </w:t>
      </w:r>
      <w:r>
        <w:rPr>
          <w:color w:val="231F20"/>
          <w:sz w:val="18"/>
        </w:rPr>
        <w:t>México,</w:t>
      </w:r>
      <w:r>
        <w:rPr>
          <w:color w:val="231F20"/>
          <w:spacing w:val="-5"/>
          <w:sz w:val="18"/>
        </w:rPr>
        <w:t> </w:t>
      </w:r>
      <w:r>
        <w:rPr>
          <w:color w:val="231F20"/>
          <w:sz w:val="18"/>
        </w:rPr>
        <w:t>Instituto</w:t>
      </w:r>
      <w:r>
        <w:rPr>
          <w:color w:val="231F20"/>
          <w:spacing w:val="-5"/>
          <w:sz w:val="18"/>
        </w:rPr>
        <w:t> </w:t>
      </w:r>
      <w:r>
        <w:rPr>
          <w:color w:val="231F20"/>
          <w:sz w:val="18"/>
        </w:rPr>
        <w:t>de</w:t>
      </w:r>
      <w:r>
        <w:rPr>
          <w:color w:val="231F20"/>
          <w:spacing w:val="-5"/>
          <w:sz w:val="18"/>
        </w:rPr>
        <w:t> </w:t>
      </w:r>
      <w:r>
        <w:rPr>
          <w:color w:val="231F20"/>
          <w:sz w:val="18"/>
        </w:rPr>
        <w:t>Investigaciones Sociales,</w:t>
      </w:r>
      <w:r>
        <w:rPr>
          <w:color w:val="231F20"/>
          <w:spacing w:val="-13"/>
          <w:sz w:val="18"/>
        </w:rPr>
        <w:t> </w:t>
      </w:r>
      <w:r>
        <w:rPr>
          <w:color w:val="231F20"/>
          <w:sz w:val="18"/>
        </w:rPr>
        <w:t>Porrúa.</w:t>
      </w:r>
    </w:p>
    <w:p>
      <w:pPr>
        <w:spacing w:line="254" w:lineRule="auto" w:before="57"/>
        <w:ind w:left="113" w:right="107" w:firstLine="0"/>
        <w:jc w:val="both"/>
        <w:rPr>
          <w:sz w:val="18"/>
        </w:rPr>
      </w:pPr>
      <w:r>
        <w:rPr>
          <w:color w:val="231F20"/>
          <w:sz w:val="18"/>
        </w:rPr>
        <w:t>Edmonds, Eric y Nina Pavcnik (2005) “Child Labor in the Global Economy”, en </w:t>
      </w:r>
      <w:r>
        <w:rPr>
          <w:i/>
          <w:color w:val="231F20"/>
          <w:sz w:val="18"/>
        </w:rPr>
        <w:t>The Journal of Economic Perspectives, </w:t>
      </w:r>
      <w:r>
        <w:rPr>
          <w:color w:val="231F20"/>
          <w:sz w:val="18"/>
        </w:rPr>
        <w:t>vol. 19, núm. 1, American Economic Association,</w:t>
      </w:r>
      <w:r>
        <w:rPr>
          <w:color w:val="231F20"/>
          <w:spacing w:val="-22"/>
          <w:sz w:val="18"/>
        </w:rPr>
        <w:t> </w:t>
      </w:r>
      <w:r>
        <w:rPr>
          <w:color w:val="231F20"/>
          <w:sz w:val="18"/>
        </w:rPr>
        <w:t>Pittsburg.</w:t>
      </w:r>
    </w:p>
    <w:p>
      <w:pPr>
        <w:spacing w:after="0" w:line="254" w:lineRule="auto"/>
        <w:jc w:val="both"/>
        <w:rPr>
          <w:sz w:val="18"/>
        </w:rPr>
        <w:sectPr>
          <w:footerReference w:type="default" r:id="rId306"/>
          <w:pgSz w:w="7770" w:h="11740"/>
          <w:pgMar w:footer="474" w:header="0" w:top="840" w:bottom="660" w:left="1020" w:right="740"/>
          <w:pgNumType w:start="301"/>
        </w:sectPr>
      </w:pPr>
    </w:p>
    <w:p>
      <w:pPr>
        <w:spacing w:line="254" w:lineRule="auto" w:before="59"/>
        <w:ind w:left="110" w:right="112" w:firstLine="0"/>
        <w:jc w:val="both"/>
        <w:rPr>
          <w:sz w:val="18"/>
        </w:rPr>
      </w:pPr>
      <w:r>
        <w:rPr>
          <w:color w:val="231F20"/>
          <w:sz w:val="18"/>
        </w:rPr>
        <w:t>Edmonds, Eric (2008) </w:t>
      </w:r>
      <w:r>
        <w:rPr>
          <w:i/>
          <w:color w:val="231F20"/>
          <w:sz w:val="18"/>
        </w:rPr>
        <w:t>Poverty Alleviation and Child Labor</w:t>
      </w:r>
      <w:r>
        <w:rPr>
          <w:color w:val="231F20"/>
          <w:sz w:val="18"/>
        </w:rPr>
        <w:t>, Working Paper 15345, en </w:t>
      </w:r>
      <w:hyperlink r:id="rId307">
        <w:r>
          <w:rPr>
            <w:color w:val="231F20"/>
            <w:sz w:val="18"/>
          </w:rPr>
          <w:t>http://www.nber.org/papers/w15345.</w:t>
        </w:r>
      </w:hyperlink>
    </w:p>
    <w:p>
      <w:pPr>
        <w:spacing w:line="254" w:lineRule="auto" w:before="57"/>
        <w:ind w:left="110" w:right="111" w:firstLine="0"/>
        <w:jc w:val="both"/>
        <w:rPr>
          <w:sz w:val="18"/>
        </w:rPr>
      </w:pPr>
      <w:r>
        <w:rPr>
          <w:color w:val="231F20"/>
          <w:sz w:val="18"/>
        </w:rPr>
        <w:t>Gómez de León, José y Susan Parker (2000) “Bienestar y jefatura femenina en los hogares mexicanos”, en Ma. de la Paz López y </w:t>
      </w:r>
      <w:r>
        <w:rPr>
          <w:color w:val="231F20"/>
          <w:spacing w:val="-4"/>
          <w:sz w:val="18"/>
        </w:rPr>
        <w:t>Vania </w:t>
      </w:r>
      <w:r>
        <w:rPr>
          <w:color w:val="231F20"/>
          <w:sz w:val="18"/>
        </w:rPr>
        <w:t>Salles (coords.), </w:t>
      </w:r>
      <w:r>
        <w:rPr>
          <w:i/>
          <w:color w:val="231F20"/>
          <w:sz w:val="18"/>
        </w:rPr>
        <w:t>Fami- </w:t>
      </w:r>
      <w:r>
        <w:rPr>
          <w:i/>
          <w:color w:val="231F20"/>
          <w:sz w:val="18"/>
        </w:rPr>
        <w:t>lia, género y pobreza</w:t>
      </w:r>
      <w:r>
        <w:rPr>
          <w:color w:val="231F20"/>
          <w:sz w:val="18"/>
        </w:rPr>
        <w:t>, México: Porrúa.</w:t>
      </w:r>
    </w:p>
    <w:p>
      <w:pPr>
        <w:spacing w:line="254" w:lineRule="auto" w:before="57"/>
        <w:ind w:left="110" w:right="111" w:firstLine="0"/>
        <w:jc w:val="both"/>
        <w:rPr>
          <w:sz w:val="18"/>
        </w:rPr>
      </w:pPr>
      <w:r>
        <w:rPr>
          <w:color w:val="231F20"/>
          <w:sz w:val="18"/>
        </w:rPr>
        <w:t>Hernández, R., C. Fernandez y P. Bautista (2008) </w:t>
      </w:r>
      <w:r>
        <w:rPr>
          <w:i/>
          <w:color w:val="231F20"/>
          <w:sz w:val="18"/>
        </w:rPr>
        <w:t>Metodología de la Investiga- </w:t>
      </w:r>
      <w:r>
        <w:rPr>
          <w:i/>
          <w:color w:val="231F20"/>
          <w:sz w:val="18"/>
        </w:rPr>
        <w:t>ción, </w:t>
      </w:r>
      <w:r>
        <w:rPr>
          <w:color w:val="231F20"/>
          <w:sz w:val="18"/>
        </w:rPr>
        <w:t>México: Mc Graw Hill.</w:t>
      </w:r>
    </w:p>
    <w:p>
      <w:pPr>
        <w:spacing w:before="57"/>
        <w:ind w:left="110" w:right="0" w:firstLine="0"/>
        <w:jc w:val="both"/>
        <w:rPr>
          <w:sz w:val="18"/>
        </w:rPr>
      </w:pPr>
      <w:r>
        <w:rPr>
          <w:color w:val="231F20"/>
          <w:sz w:val="18"/>
        </w:rPr>
        <w:t>INEGI (2010) </w:t>
      </w:r>
      <w:r>
        <w:rPr>
          <w:i/>
          <w:color w:val="231F20"/>
          <w:sz w:val="18"/>
        </w:rPr>
        <w:t>Censo de Población y Vivienda 2010</w:t>
      </w:r>
      <w:r>
        <w:rPr>
          <w:color w:val="231F20"/>
          <w:sz w:val="18"/>
        </w:rPr>
        <w:t>, México: INEGI.</w:t>
      </w:r>
    </w:p>
    <w:p>
      <w:pPr>
        <w:spacing w:line="254" w:lineRule="auto" w:before="69"/>
        <w:ind w:left="110" w:right="111" w:firstLine="0"/>
        <w:jc w:val="both"/>
        <w:rPr>
          <w:sz w:val="18"/>
        </w:rPr>
      </w:pPr>
      <w:r>
        <w:rPr>
          <w:color w:val="231F20"/>
          <w:sz w:val="18"/>
        </w:rPr>
        <w:t>Knaul, Felicia (2006) “El efecto del trabajo infantil en la deserción escolar en el capital humano. Diferencias de género en México”, en Luis Felipe López Calva (coord.),</w:t>
      </w:r>
      <w:r>
        <w:rPr>
          <w:color w:val="231F20"/>
          <w:spacing w:val="-7"/>
          <w:sz w:val="18"/>
        </w:rPr>
        <w:t> </w:t>
      </w:r>
      <w:r>
        <w:rPr>
          <w:i/>
          <w:color w:val="231F20"/>
          <w:spacing w:val="-3"/>
          <w:sz w:val="18"/>
        </w:rPr>
        <w:t>Trabajo</w:t>
      </w:r>
      <w:r>
        <w:rPr>
          <w:i/>
          <w:color w:val="231F20"/>
          <w:spacing w:val="-7"/>
          <w:sz w:val="18"/>
        </w:rPr>
        <w:t> </w:t>
      </w:r>
      <w:r>
        <w:rPr>
          <w:i/>
          <w:color w:val="231F20"/>
          <w:sz w:val="18"/>
        </w:rPr>
        <w:t>Infantil.</w:t>
      </w:r>
      <w:r>
        <w:rPr>
          <w:i/>
          <w:color w:val="231F20"/>
          <w:spacing w:val="-7"/>
          <w:sz w:val="18"/>
        </w:rPr>
        <w:t> </w:t>
      </w:r>
      <w:r>
        <w:rPr>
          <w:i/>
          <w:color w:val="231F20"/>
          <w:spacing w:val="-3"/>
          <w:sz w:val="18"/>
        </w:rPr>
        <w:t>Teoría</w:t>
      </w:r>
      <w:r>
        <w:rPr>
          <w:i/>
          <w:color w:val="231F20"/>
          <w:spacing w:val="-7"/>
          <w:sz w:val="18"/>
        </w:rPr>
        <w:t> </w:t>
      </w:r>
      <w:r>
        <w:rPr>
          <w:i/>
          <w:color w:val="231F20"/>
          <w:sz w:val="18"/>
        </w:rPr>
        <w:t>y</w:t>
      </w:r>
      <w:r>
        <w:rPr>
          <w:i/>
          <w:color w:val="231F20"/>
          <w:spacing w:val="-7"/>
          <w:sz w:val="18"/>
        </w:rPr>
        <w:t> </w:t>
      </w:r>
      <w:r>
        <w:rPr>
          <w:i/>
          <w:color w:val="231F20"/>
          <w:sz w:val="18"/>
        </w:rPr>
        <w:t>lecciones</w:t>
      </w:r>
      <w:r>
        <w:rPr>
          <w:i/>
          <w:color w:val="231F20"/>
          <w:spacing w:val="-8"/>
          <w:sz w:val="18"/>
        </w:rPr>
        <w:t> </w:t>
      </w:r>
      <w:r>
        <w:rPr>
          <w:i/>
          <w:color w:val="231F20"/>
          <w:sz w:val="18"/>
        </w:rPr>
        <w:t>de</w:t>
      </w:r>
      <w:r>
        <w:rPr>
          <w:i/>
          <w:color w:val="231F20"/>
          <w:spacing w:val="-7"/>
          <w:sz w:val="18"/>
        </w:rPr>
        <w:t> </w:t>
      </w:r>
      <w:r>
        <w:rPr>
          <w:i/>
          <w:color w:val="231F20"/>
          <w:sz w:val="18"/>
        </w:rPr>
        <w:t>la</w:t>
      </w:r>
      <w:r>
        <w:rPr>
          <w:i/>
          <w:color w:val="231F20"/>
          <w:spacing w:val="-10"/>
          <w:sz w:val="18"/>
        </w:rPr>
        <w:t> </w:t>
      </w:r>
      <w:r>
        <w:rPr>
          <w:i/>
          <w:color w:val="231F20"/>
          <w:sz w:val="18"/>
        </w:rPr>
        <w:t>América</w:t>
      </w:r>
      <w:r>
        <w:rPr>
          <w:i/>
          <w:color w:val="231F20"/>
          <w:spacing w:val="-8"/>
          <w:sz w:val="18"/>
        </w:rPr>
        <w:t> </w:t>
      </w:r>
      <w:r>
        <w:rPr>
          <w:i/>
          <w:color w:val="231F20"/>
          <w:sz w:val="18"/>
        </w:rPr>
        <w:t>Latina</w:t>
      </w:r>
      <w:r>
        <w:rPr>
          <w:color w:val="231F20"/>
          <w:sz w:val="18"/>
        </w:rPr>
        <w:t>,</w:t>
      </w:r>
      <w:r>
        <w:rPr>
          <w:color w:val="231F20"/>
          <w:spacing w:val="-7"/>
          <w:sz w:val="18"/>
        </w:rPr>
        <w:t> </w:t>
      </w:r>
      <w:r>
        <w:rPr>
          <w:color w:val="231F20"/>
          <w:sz w:val="18"/>
        </w:rPr>
        <w:t>México:</w:t>
      </w:r>
      <w:r>
        <w:rPr>
          <w:color w:val="231F20"/>
          <w:spacing w:val="-7"/>
          <w:sz w:val="18"/>
        </w:rPr>
        <w:t> </w:t>
      </w:r>
      <w:r>
        <w:rPr>
          <w:color w:val="231F20"/>
          <w:sz w:val="18"/>
        </w:rPr>
        <w:t>Fon- do de Cultura Económica.</w:t>
      </w:r>
    </w:p>
    <w:p>
      <w:pPr>
        <w:spacing w:line="254" w:lineRule="auto" w:before="57"/>
        <w:ind w:left="110" w:right="111" w:firstLine="0"/>
        <w:jc w:val="both"/>
        <w:rPr>
          <w:sz w:val="18"/>
        </w:rPr>
      </w:pPr>
      <w:r>
        <w:rPr>
          <w:color w:val="231F20"/>
          <w:sz w:val="18"/>
        </w:rPr>
        <w:t>Kruger, Diana (2006) “El trabajo infantil y la escolaridad durante un auge del sector</w:t>
      </w:r>
      <w:r>
        <w:rPr>
          <w:color w:val="231F20"/>
          <w:spacing w:val="-12"/>
          <w:sz w:val="18"/>
        </w:rPr>
        <w:t> </w:t>
      </w:r>
      <w:r>
        <w:rPr>
          <w:color w:val="231F20"/>
          <w:sz w:val="18"/>
        </w:rPr>
        <w:t>cafetalero</w:t>
      </w:r>
      <w:r>
        <w:rPr>
          <w:color w:val="231F20"/>
          <w:spacing w:val="-12"/>
          <w:sz w:val="18"/>
        </w:rPr>
        <w:t> </w:t>
      </w:r>
      <w:r>
        <w:rPr>
          <w:color w:val="231F20"/>
          <w:sz w:val="18"/>
        </w:rPr>
        <w:t>en</w:t>
      </w:r>
      <w:r>
        <w:rPr>
          <w:color w:val="231F20"/>
          <w:spacing w:val="-12"/>
          <w:sz w:val="18"/>
        </w:rPr>
        <w:t> </w:t>
      </w:r>
      <w:r>
        <w:rPr>
          <w:color w:val="231F20"/>
          <w:sz w:val="18"/>
        </w:rPr>
        <w:t>Nicaragua,</w:t>
      </w:r>
      <w:r>
        <w:rPr>
          <w:color w:val="231F20"/>
          <w:spacing w:val="-11"/>
          <w:sz w:val="18"/>
        </w:rPr>
        <w:t> </w:t>
      </w:r>
      <w:r>
        <w:rPr>
          <w:color w:val="231F20"/>
          <w:sz w:val="18"/>
        </w:rPr>
        <w:t>1993-1998”,</w:t>
      </w:r>
      <w:r>
        <w:rPr>
          <w:color w:val="231F20"/>
          <w:spacing w:val="-12"/>
          <w:sz w:val="18"/>
        </w:rPr>
        <w:t> </w:t>
      </w:r>
      <w:r>
        <w:rPr>
          <w:color w:val="231F20"/>
          <w:sz w:val="18"/>
        </w:rPr>
        <w:t>en</w:t>
      </w:r>
      <w:r>
        <w:rPr>
          <w:color w:val="231F20"/>
          <w:spacing w:val="-12"/>
          <w:sz w:val="18"/>
        </w:rPr>
        <w:t> </w:t>
      </w:r>
      <w:r>
        <w:rPr>
          <w:color w:val="231F20"/>
          <w:sz w:val="18"/>
        </w:rPr>
        <w:t>Luis</w:t>
      </w:r>
      <w:r>
        <w:rPr>
          <w:color w:val="231F20"/>
          <w:spacing w:val="-12"/>
          <w:sz w:val="18"/>
        </w:rPr>
        <w:t> </w:t>
      </w:r>
      <w:r>
        <w:rPr>
          <w:color w:val="231F20"/>
          <w:sz w:val="18"/>
        </w:rPr>
        <w:t>Felipe</w:t>
      </w:r>
      <w:r>
        <w:rPr>
          <w:color w:val="231F20"/>
          <w:spacing w:val="-12"/>
          <w:sz w:val="18"/>
        </w:rPr>
        <w:t> </w:t>
      </w:r>
      <w:r>
        <w:rPr>
          <w:color w:val="231F20"/>
          <w:sz w:val="18"/>
        </w:rPr>
        <w:t>López</w:t>
      </w:r>
      <w:r>
        <w:rPr>
          <w:color w:val="231F20"/>
          <w:spacing w:val="-12"/>
          <w:sz w:val="18"/>
        </w:rPr>
        <w:t> </w:t>
      </w:r>
      <w:r>
        <w:rPr>
          <w:color w:val="231F20"/>
          <w:sz w:val="18"/>
        </w:rPr>
        <w:t>Calva</w:t>
      </w:r>
      <w:r>
        <w:rPr>
          <w:color w:val="231F20"/>
          <w:spacing w:val="-12"/>
          <w:sz w:val="18"/>
        </w:rPr>
        <w:t> </w:t>
      </w:r>
      <w:r>
        <w:rPr>
          <w:color w:val="231F20"/>
          <w:sz w:val="18"/>
        </w:rPr>
        <w:t>(coord.), </w:t>
      </w:r>
      <w:r>
        <w:rPr>
          <w:i/>
          <w:color w:val="231F20"/>
          <w:spacing w:val="-3"/>
          <w:sz w:val="18"/>
        </w:rPr>
        <w:t>Trabajo</w:t>
      </w:r>
      <w:r>
        <w:rPr>
          <w:i/>
          <w:color w:val="231F20"/>
          <w:spacing w:val="-9"/>
          <w:sz w:val="18"/>
        </w:rPr>
        <w:t> </w:t>
      </w:r>
      <w:r>
        <w:rPr>
          <w:i/>
          <w:color w:val="231F20"/>
          <w:sz w:val="18"/>
        </w:rPr>
        <w:t>Infantil.</w:t>
      </w:r>
      <w:r>
        <w:rPr>
          <w:i/>
          <w:color w:val="231F20"/>
          <w:spacing w:val="-10"/>
          <w:sz w:val="18"/>
        </w:rPr>
        <w:t> </w:t>
      </w:r>
      <w:r>
        <w:rPr>
          <w:i/>
          <w:color w:val="231F20"/>
          <w:spacing w:val="-3"/>
          <w:sz w:val="18"/>
        </w:rPr>
        <w:t>Teoría</w:t>
      </w:r>
      <w:r>
        <w:rPr>
          <w:i/>
          <w:color w:val="231F20"/>
          <w:spacing w:val="-10"/>
          <w:sz w:val="18"/>
        </w:rPr>
        <w:t> </w:t>
      </w:r>
      <w:r>
        <w:rPr>
          <w:i/>
          <w:color w:val="231F20"/>
          <w:sz w:val="18"/>
        </w:rPr>
        <w:t>y</w:t>
      </w:r>
      <w:r>
        <w:rPr>
          <w:i/>
          <w:color w:val="231F20"/>
          <w:spacing w:val="-10"/>
          <w:sz w:val="18"/>
        </w:rPr>
        <w:t> </w:t>
      </w:r>
      <w:r>
        <w:rPr>
          <w:i/>
          <w:color w:val="231F20"/>
          <w:sz w:val="18"/>
        </w:rPr>
        <w:t>lecciones</w:t>
      </w:r>
      <w:r>
        <w:rPr>
          <w:i/>
          <w:color w:val="231F20"/>
          <w:spacing w:val="-10"/>
          <w:sz w:val="18"/>
        </w:rPr>
        <w:t> </w:t>
      </w:r>
      <w:r>
        <w:rPr>
          <w:i/>
          <w:color w:val="231F20"/>
          <w:sz w:val="18"/>
        </w:rPr>
        <w:t>de</w:t>
      </w:r>
      <w:r>
        <w:rPr>
          <w:i/>
          <w:color w:val="231F20"/>
          <w:spacing w:val="-10"/>
          <w:sz w:val="18"/>
        </w:rPr>
        <w:t> </w:t>
      </w:r>
      <w:r>
        <w:rPr>
          <w:i/>
          <w:color w:val="231F20"/>
          <w:sz w:val="18"/>
        </w:rPr>
        <w:t>la</w:t>
      </w:r>
      <w:r>
        <w:rPr>
          <w:i/>
          <w:color w:val="231F20"/>
          <w:spacing w:val="-13"/>
          <w:sz w:val="18"/>
        </w:rPr>
        <w:t> </w:t>
      </w:r>
      <w:r>
        <w:rPr>
          <w:i/>
          <w:color w:val="231F20"/>
          <w:sz w:val="18"/>
        </w:rPr>
        <w:t>América</w:t>
      </w:r>
      <w:r>
        <w:rPr>
          <w:i/>
          <w:color w:val="231F20"/>
          <w:spacing w:val="-10"/>
          <w:sz w:val="18"/>
        </w:rPr>
        <w:t> </w:t>
      </w:r>
      <w:r>
        <w:rPr>
          <w:i/>
          <w:color w:val="231F20"/>
          <w:sz w:val="18"/>
        </w:rPr>
        <w:t>Latina</w:t>
      </w:r>
      <w:r>
        <w:rPr>
          <w:color w:val="231F20"/>
          <w:sz w:val="18"/>
        </w:rPr>
        <w:t>,</w:t>
      </w:r>
      <w:r>
        <w:rPr>
          <w:color w:val="231F20"/>
          <w:spacing w:val="-10"/>
          <w:sz w:val="18"/>
        </w:rPr>
        <w:t> </w:t>
      </w:r>
      <w:r>
        <w:rPr>
          <w:color w:val="231F20"/>
          <w:sz w:val="18"/>
        </w:rPr>
        <w:t>México:</w:t>
      </w:r>
      <w:r>
        <w:rPr>
          <w:color w:val="231F20"/>
          <w:spacing w:val="-9"/>
          <w:sz w:val="18"/>
        </w:rPr>
        <w:t> </w:t>
      </w:r>
      <w:r>
        <w:rPr>
          <w:color w:val="231F20"/>
          <w:sz w:val="18"/>
        </w:rPr>
        <w:t>Fondo</w:t>
      </w:r>
      <w:r>
        <w:rPr>
          <w:color w:val="231F20"/>
          <w:spacing w:val="-9"/>
          <w:sz w:val="18"/>
        </w:rPr>
        <w:t> </w:t>
      </w:r>
      <w:r>
        <w:rPr>
          <w:color w:val="231F20"/>
          <w:sz w:val="18"/>
        </w:rPr>
        <w:t>de</w:t>
      </w:r>
      <w:r>
        <w:rPr>
          <w:color w:val="231F20"/>
          <w:spacing w:val="-10"/>
          <w:sz w:val="18"/>
        </w:rPr>
        <w:t> </w:t>
      </w:r>
      <w:r>
        <w:rPr>
          <w:color w:val="231F20"/>
          <w:sz w:val="18"/>
        </w:rPr>
        <w:t>Cul- tura</w:t>
      </w:r>
      <w:r>
        <w:rPr>
          <w:color w:val="231F20"/>
          <w:spacing w:val="-1"/>
          <w:sz w:val="18"/>
        </w:rPr>
        <w:t> </w:t>
      </w:r>
      <w:r>
        <w:rPr>
          <w:color w:val="231F20"/>
          <w:sz w:val="18"/>
        </w:rPr>
        <w:t>Económica.</w:t>
      </w:r>
    </w:p>
    <w:p>
      <w:pPr>
        <w:spacing w:line="254" w:lineRule="auto" w:before="57"/>
        <w:ind w:left="110" w:right="111" w:firstLine="0"/>
        <w:jc w:val="both"/>
        <w:rPr>
          <w:sz w:val="18"/>
        </w:rPr>
      </w:pPr>
      <w:r>
        <w:rPr>
          <w:color w:val="231F20"/>
          <w:sz w:val="18"/>
        </w:rPr>
        <w:t>Levison, Hoek </w:t>
      </w:r>
      <w:r>
        <w:rPr>
          <w:i/>
          <w:color w:val="231F20"/>
          <w:sz w:val="18"/>
        </w:rPr>
        <w:t>et al</w:t>
      </w:r>
      <w:r>
        <w:rPr>
          <w:color w:val="231F20"/>
          <w:sz w:val="18"/>
        </w:rPr>
        <w:t>. (2007) “El trabajo infantil intermitente, su medición y su importancia”, en </w:t>
      </w:r>
      <w:r>
        <w:rPr>
          <w:i/>
          <w:color w:val="231F20"/>
          <w:sz w:val="18"/>
        </w:rPr>
        <w:t>Revista internacional del trabajo, </w:t>
      </w:r>
      <w:r>
        <w:rPr>
          <w:color w:val="231F20"/>
          <w:sz w:val="18"/>
        </w:rPr>
        <w:t>vol. 126, núms. 3-4 Ginebra.</w:t>
      </w:r>
    </w:p>
    <w:p>
      <w:pPr>
        <w:spacing w:line="254" w:lineRule="auto" w:before="57"/>
        <w:ind w:left="110" w:right="111" w:firstLine="0"/>
        <w:jc w:val="both"/>
        <w:rPr>
          <w:sz w:val="18"/>
        </w:rPr>
      </w:pPr>
      <w:r>
        <w:rPr>
          <w:color w:val="231F20"/>
          <w:sz w:val="18"/>
        </w:rPr>
        <w:t>López, Gema (2006) “Asistencia escolar y trabajo infantil en Ecuador”, en Luis Felipe López Calva, (coord.), </w:t>
      </w:r>
      <w:r>
        <w:rPr>
          <w:i/>
          <w:color w:val="231F20"/>
          <w:sz w:val="18"/>
        </w:rPr>
        <w:t>Trabajo Infantil. Teoría y lecciones de la América </w:t>
      </w:r>
      <w:r>
        <w:rPr>
          <w:i/>
          <w:color w:val="231F20"/>
          <w:sz w:val="18"/>
        </w:rPr>
        <w:t>Latina, </w:t>
      </w:r>
      <w:r>
        <w:rPr>
          <w:color w:val="231F20"/>
          <w:sz w:val="18"/>
        </w:rPr>
        <w:t>México: Fondo de Cultura Económica.</w:t>
      </w:r>
    </w:p>
    <w:p>
      <w:pPr>
        <w:spacing w:line="254" w:lineRule="auto" w:before="57"/>
        <w:ind w:left="110" w:right="111" w:firstLine="0"/>
        <w:jc w:val="both"/>
        <w:rPr>
          <w:sz w:val="18"/>
        </w:rPr>
      </w:pPr>
      <w:r>
        <w:rPr>
          <w:color w:val="231F20"/>
          <w:sz w:val="18"/>
        </w:rPr>
        <w:t>López Calva, Luis (2006) “Normas sociales, equilibrios múltiples y problemas de coordinación en el combate al trabajo infantil”, en Luis Felipe López Calva (coord.),</w:t>
      </w:r>
      <w:r>
        <w:rPr>
          <w:color w:val="231F20"/>
          <w:spacing w:val="-7"/>
          <w:sz w:val="18"/>
        </w:rPr>
        <w:t> </w:t>
      </w:r>
      <w:r>
        <w:rPr>
          <w:i/>
          <w:color w:val="231F20"/>
          <w:spacing w:val="-3"/>
          <w:sz w:val="18"/>
        </w:rPr>
        <w:t>Trabajo</w:t>
      </w:r>
      <w:r>
        <w:rPr>
          <w:i/>
          <w:color w:val="231F20"/>
          <w:spacing w:val="-7"/>
          <w:sz w:val="18"/>
        </w:rPr>
        <w:t> </w:t>
      </w:r>
      <w:r>
        <w:rPr>
          <w:i/>
          <w:color w:val="231F20"/>
          <w:sz w:val="18"/>
        </w:rPr>
        <w:t>Infantil.</w:t>
      </w:r>
      <w:r>
        <w:rPr>
          <w:i/>
          <w:color w:val="231F20"/>
          <w:spacing w:val="-7"/>
          <w:sz w:val="18"/>
        </w:rPr>
        <w:t> </w:t>
      </w:r>
      <w:r>
        <w:rPr>
          <w:i/>
          <w:color w:val="231F20"/>
          <w:spacing w:val="-3"/>
          <w:sz w:val="18"/>
        </w:rPr>
        <w:t>Teoría</w:t>
      </w:r>
      <w:r>
        <w:rPr>
          <w:i/>
          <w:color w:val="231F20"/>
          <w:spacing w:val="-7"/>
          <w:sz w:val="18"/>
        </w:rPr>
        <w:t> </w:t>
      </w:r>
      <w:r>
        <w:rPr>
          <w:i/>
          <w:color w:val="231F20"/>
          <w:sz w:val="18"/>
        </w:rPr>
        <w:t>y</w:t>
      </w:r>
      <w:r>
        <w:rPr>
          <w:i/>
          <w:color w:val="231F20"/>
          <w:spacing w:val="-7"/>
          <w:sz w:val="18"/>
        </w:rPr>
        <w:t> </w:t>
      </w:r>
      <w:r>
        <w:rPr>
          <w:i/>
          <w:color w:val="231F20"/>
          <w:sz w:val="18"/>
        </w:rPr>
        <w:t>lecciones</w:t>
      </w:r>
      <w:r>
        <w:rPr>
          <w:i/>
          <w:color w:val="231F20"/>
          <w:spacing w:val="-8"/>
          <w:sz w:val="18"/>
        </w:rPr>
        <w:t> </w:t>
      </w:r>
      <w:r>
        <w:rPr>
          <w:i/>
          <w:color w:val="231F20"/>
          <w:sz w:val="18"/>
        </w:rPr>
        <w:t>de</w:t>
      </w:r>
      <w:r>
        <w:rPr>
          <w:i/>
          <w:color w:val="231F20"/>
          <w:spacing w:val="-7"/>
          <w:sz w:val="18"/>
        </w:rPr>
        <w:t> </w:t>
      </w:r>
      <w:r>
        <w:rPr>
          <w:i/>
          <w:color w:val="231F20"/>
          <w:sz w:val="18"/>
        </w:rPr>
        <w:t>la</w:t>
      </w:r>
      <w:r>
        <w:rPr>
          <w:i/>
          <w:color w:val="231F20"/>
          <w:spacing w:val="-10"/>
          <w:sz w:val="18"/>
        </w:rPr>
        <w:t> </w:t>
      </w:r>
      <w:r>
        <w:rPr>
          <w:i/>
          <w:color w:val="231F20"/>
          <w:sz w:val="18"/>
        </w:rPr>
        <w:t>América</w:t>
      </w:r>
      <w:r>
        <w:rPr>
          <w:i/>
          <w:color w:val="231F20"/>
          <w:spacing w:val="-8"/>
          <w:sz w:val="18"/>
        </w:rPr>
        <w:t> </w:t>
      </w:r>
      <w:r>
        <w:rPr>
          <w:i/>
          <w:color w:val="231F20"/>
          <w:sz w:val="18"/>
        </w:rPr>
        <w:t>Latina</w:t>
      </w:r>
      <w:r>
        <w:rPr>
          <w:color w:val="231F20"/>
          <w:sz w:val="18"/>
        </w:rPr>
        <w:t>,</w:t>
      </w:r>
      <w:r>
        <w:rPr>
          <w:color w:val="231F20"/>
          <w:spacing w:val="-7"/>
          <w:sz w:val="18"/>
        </w:rPr>
        <w:t> </w:t>
      </w:r>
      <w:r>
        <w:rPr>
          <w:color w:val="231F20"/>
          <w:sz w:val="18"/>
        </w:rPr>
        <w:t>México:</w:t>
      </w:r>
      <w:r>
        <w:rPr>
          <w:color w:val="231F20"/>
          <w:spacing w:val="-7"/>
          <w:sz w:val="18"/>
        </w:rPr>
        <w:t> </w:t>
      </w:r>
      <w:r>
        <w:rPr>
          <w:color w:val="231F20"/>
          <w:sz w:val="18"/>
        </w:rPr>
        <w:t>Fon- do de Cultura Económica.</w:t>
      </w:r>
    </w:p>
    <w:p>
      <w:pPr>
        <w:spacing w:line="254" w:lineRule="auto" w:before="57"/>
        <w:ind w:left="110" w:right="111" w:firstLine="0"/>
        <w:jc w:val="both"/>
        <w:rPr>
          <w:sz w:val="18"/>
        </w:rPr>
      </w:pPr>
      <w:r>
        <w:rPr>
          <w:color w:val="231F20"/>
          <w:sz w:val="18"/>
        </w:rPr>
        <w:t>López Calva, Luis y M. Madrid Trillo (2006) “Introducción. Mitos, teorías y evidencias”, en Luis Felipe López Calva (coord.), </w:t>
      </w:r>
      <w:r>
        <w:rPr>
          <w:i/>
          <w:color w:val="231F20"/>
          <w:sz w:val="18"/>
        </w:rPr>
        <w:t>Trabajo Infantil Teoría y lec- </w:t>
      </w:r>
      <w:r>
        <w:rPr>
          <w:i/>
          <w:color w:val="231F20"/>
          <w:sz w:val="18"/>
        </w:rPr>
        <w:t>ciones de la América Latina, </w:t>
      </w:r>
      <w:r>
        <w:rPr>
          <w:color w:val="231F20"/>
          <w:sz w:val="18"/>
        </w:rPr>
        <w:t>México: Fondo de Cultura Económica.</w:t>
      </w:r>
    </w:p>
    <w:p>
      <w:pPr>
        <w:spacing w:line="254" w:lineRule="auto" w:before="57"/>
        <w:ind w:left="110" w:right="111" w:firstLine="0"/>
        <w:jc w:val="both"/>
        <w:rPr>
          <w:sz w:val="18"/>
        </w:rPr>
      </w:pPr>
      <w:r>
        <w:rPr>
          <w:color w:val="231F20"/>
          <w:sz w:val="18"/>
        </w:rPr>
        <w:t>Mier y </w:t>
      </w:r>
      <w:r>
        <w:rPr>
          <w:color w:val="231F20"/>
          <w:spacing w:val="-3"/>
          <w:sz w:val="18"/>
        </w:rPr>
        <w:t>Teran, </w:t>
      </w:r>
      <w:r>
        <w:rPr>
          <w:color w:val="231F20"/>
          <w:sz w:val="18"/>
        </w:rPr>
        <w:t>Marta y Cecilia Rabell (2001) “Condiciones de vida de los niños en</w:t>
      </w:r>
      <w:r>
        <w:rPr>
          <w:color w:val="231F20"/>
          <w:spacing w:val="-4"/>
          <w:sz w:val="18"/>
        </w:rPr>
        <w:t> </w:t>
      </w:r>
      <w:r>
        <w:rPr>
          <w:color w:val="231F20"/>
          <w:sz w:val="18"/>
        </w:rPr>
        <w:t>México”,</w:t>
      </w:r>
      <w:r>
        <w:rPr>
          <w:color w:val="231F20"/>
          <w:spacing w:val="-4"/>
          <w:sz w:val="18"/>
        </w:rPr>
        <w:t> </w:t>
      </w:r>
      <w:r>
        <w:rPr>
          <w:color w:val="231F20"/>
          <w:sz w:val="18"/>
        </w:rPr>
        <w:t>en</w:t>
      </w:r>
      <w:r>
        <w:rPr>
          <w:color w:val="231F20"/>
          <w:spacing w:val="-4"/>
          <w:sz w:val="18"/>
        </w:rPr>
        <w:t> </w:t>
      </w:r>
      <w:r>
        <w:rPr>
          <w:color w:val="231F20"/>
          <w:sz w:val="18"/>
        </w:rPr>
        <w:t>José</w:t>
      </w:r>
      <w:r>
        <w:rPr>
          <w:color w:val="231F20"/>
          <w:spacing w:val="-4"/>
          <w:sz w:val="18"/>
        </w:rPr>
        <w:t> </w:t>
      </w:r>
      <w:r>
        <w:rPr>
          <w:color w:val="231F20"/>
          <w:sz w:val="18"/>
        </w:rPr>
        <w:t>Gómez</w:t>
      </w:r>
      <w:r>
        <w:rPr>
          <w:color w:val="231F20"/>
          <w:spacing w:val="-4"/>
          <w:sz w:val="18"/>
        </w:rPr>
        <w:t> </w:t>
      </w:r>
      <w:r>
        <w:rPr>
          <w:color w:val="231F20"/>
          <w:sz w:val="18"/>
        </w:rPr>
        <w:t>de</w:t>
      </w:r>
      <w:r>
        <w:rPr>
          <w:color w:val="231F20"/>
          <w:spacing w:val="-4"/>
          <w:sz w:val="18"/>
        </w:rPr>
        <w:t> </w:t>
      </w:r>
      <w:r>
        <w:rPr>
          <w:color w:val="231F20"/>
          <w:sz w:val="18"/>
        </w:rPr>
        <w:t>León</w:t>
      </w:r>
      <w:r>
        <w:rPr>
          <w:color w:val="231F20"/>
          <w:spacing w:val="-5"/>
          <w:sz w:val="18"/>
        </w:rPr>
        <w:t> </w:t>
      </w:r>
      <w:r>
        <w:rPr>
          <w:color w:val="231F20"/>
          <w:sz w:val="18"/>
        </w:rPr>
        <w:t>y</w:t>
      </w:r>
      <w:r>
        <w:rPr>
          <w:color w:val="231F20"/>
          <w:spacing w:val="-4"/>
          <w:sz w:val="18"/>
        </w:rPr>
        <w:t> </w:t>
      </w:r>
      <w:r>
        <w:rPr>
          <w:color w:val="231F20"/>
          <w:sz w:val="18"/>
        </w:rPr>
        <w:t>Cecilia</w:t>
      </w:r>
      <w:r>
        <w:rPr>
          <w:color w:val="231F20"/>
          <w:spacing w:val="-4"/>
          <w:sz w:val="18"/>
        </w:rPr>
        <w:t> </w:t>
      </w:r>
      <w:r>
        <w:rPr>
          <w:color w:val="231F20"/>
          <w:sz w:val="18"/>
        </w:rPr>
        <w:t>Rabell</w:t>
      </w:r>
      <w:r>
        <w:rPr>
          <w:color w:val="231F20"/>
          <w:spacing w:val="-5"/>
          <w:sz w:val="18"/>
        </w:rPr>
        <w:t> </w:t>
      </w:r>
      <w:r>
        <w:rPr>
          <w:color w:val="231F20"/>
          <w:sz w:val="18"/>
        </w:rPr>
        <w:t>(coords.)</w:t>
      </w:r>
      <w:r>
        <w:rPr>
          <w:i/>
          <w:color w:val="231F20"/>
          <w:sz w:val="18"/>
        </w:rPr>
        <w:t>,</w:t>
      </w:r>
      <w:r>
        <w:rPr>
          <w:i/>
          <w:color w:val="231F20"/>
          <w:spacing w:val="-4"/>
          <w:sz w:val="18"/>
        </w:rPr>
        <w:t> </w:t>
      </w:r>
      <w:r>
        <w:rPr>
          <w:i/>
          <w:color w:val="231F20"/>
          <w:sz w:val="18"/>
        </w:rPr>
        <w:t>La</w:t>
      </w:r>
      <w:r>
        <w:rPr>
          <w:i/>
          <w:color w:val="231F20"/>
          <w:spacing w:val="-4"/>
          <w:sz w:val="18"/>
        </w:rPr>
        <w:t> </w:t>
      </w:r>
      <w:r>
        <w:rPr>
          <w:i/>
          <w:color w:val="231F20"/>
          <w:sz w:val="18"/>
        </w:rPr>
        <w:t>población</w:t>
      </w:r>
      <w:r>
        <w:rPr>
          <w:i/>
          <w:color w:val="231F20"/>
          <w:spacing w:val="-4"/>
          <w:sz w:val="18"/>
        </w:rPr>
        <w:t> </w:t>
      </w:r>
      <w:r>
        <w:rPr>
          <w:i/>
          <w:color w:val="231F20"/>
          <w:sz w:val="18"/>
        </w:rPr>
        <w:t>en </w:t>
      </w:r>
      <w:r>
        <w:rPr>
          <w:i/>
          <w:color w:val="231F20"/>
          <w:sz w:val="18"/>
        </w:rPr>
        <w:t>México</w:t>
      </w:r>
      <w:r>
        <w:rPr>
          <w:color w:val="231F20"/>
          <w:sz w:val="18"/>
        </w:rPr>
        <w:t>, México: Fondo de Cultura</w:t>
      </w:r>
      <w:r>
        <w:rPr>
          <w:color w:val="231F20"/>
          <w:spacing w:val="-10"/>
          <w:sz w:val="18"/>
        </w:rPr>
        <w:t> </w:t>
      </w:r>
      <w:r>
        <w:rPr>
          <w:color w:val="231F20"/>
          <w:sz w:val="18"/>
        </w:rPr>
        <w:t>Económica.</w:t>
      </w:r>
    </w:p>
    <w:p>
      <w:pPr>
        <w:spacing w:line="254" w:lineRule="auto" w:before="57"/>
        <w:ind w:left="110" w:right="111" w:firstLine="0"/>
        <w:jc w:val="both"/>
        <w:rPr>
          <w:sz w:val="18"/>
        </w:rPr>
      </w:pPr>
      <w:r>
        <w:rPr>
          <w:color w:val="231F20"/>
          <w:sz w:val="18"/>
        </w:rPr>
        <w:t>Parker, Susan (2006) “Escolaridad y trabajo en las comunidades rurales podres de México. El caso de Pobreza”, en Luis Felipe López Calva (coord.), </w:t>
      </w:r>
      <w:r>
        <w:rPr>
          <w:i/>
          <w:color w:val="231F20"/>
          <w:spacing w:val="-3"/>
          <w:sz w:val="18"/>
        </w:rPr>
        <w:t>Trabajo </w:t>
      </w:r>
      <w:r>
        <w:rPr>
          <w:i/>
          <w:color w:val="231F20"/>
          <w:sz w:val="18"/>
        </w:rPr>
        <w:t>Infantil</w:t>
      </w:r>
      <w:r>
        <w:rPr>
          <w:i/>
          <w:color w:val="231F20"/>
          <w:spacing w:val="-6"/>
          <w:sz w:val="18"/>
        </w:rPr>
        <w:t> </w:t>
      </w:r>
      <w:r>
        <w:rPr>
          <w:i/>
          <w:color w:val="231F20"/>
          <w:spacing w:val="-3"/>
          <w:sz w:val="18"/>
        </w:rPr>
        <w:t>Teoría</w:t>
      </w:r>
      <w:r>
        <w:rPr>
          <w:i/>
          <w:color w:val="231F20"/>
          <w:spacing w:val="-6"/>
          <w:sz w:val="18"/>
        </w:rPr>
        <w:t> </w:t>
      </w:r>
      <w:r>
        <w:rPr>
          <w:i/>
          <w:color w:val="231F20"/>
          <w:sz w:val="18"/>
        </w:rPr>
        <w:t>y</w:t>
      </w:r>
      <w:r>
        <w:rPr>
          <w:i/>
          <w:color w:val="231F20"/>
          <w:spacing w:val="-6"/>
          <w:sz w:val="18"/>
        </w:rPr>
        <w:t> </w:t>
      </w:r>
      <w:r>
        <w:rPr>
          <w:i/>
          <w:color w:val="231F20"/>
          <w:sz w:val="18"/>
        </w:rPr>
        <w:t>lecciones</w:t>
      </w:r>
      <w:r>
        <w:rPr>
          <w:i/>
          <w:color w:val="231F20"/>
          <w:spacing w:val="-6"/>
          <w:sz w:val="18"/>
        </w:rPr>
        <w:t> </w:t>
      </w:r>
      <w:r>
        <w:rPr>
          <w:i/>
          <w:color w:val="231F20"/>
          <w:sz w:val="18"/>
        </w:rPr>
        <w:t>de</w:t>
      </w:r>
      <w:r>
        <w:rPr>
          <w:i/>
          <w:color w:val="231F20"/>
          <w:spacing w:val="-6"/>
          <w:sz w:val="18"/>
        </w:rPr>
        <w:t> </w:t>
      </w:r>
      <w:r>
        <w:rPr>
          <w:i/>
          <w:color w:val="231F20"/>
          <w:sz w:val="18"/>
        </w:rPr>
        <w:t>la</w:t>
      </w:r>
      <w:r>
        <w:rPr>
          <w:i/>
          <w:color w:val="231F20"/>
          <w:spacing w:val="-9"/>
          <w:sz w:val="18"/>
        </w:rPr>
        <w:t> </w:t>
      </w:r>
      <w:r>
        <w:rPr>
          <w:i/>
          <w:color w:val="231F20"/>
          <w:sz w:val="18"/>
        </w:rPr>
        <w:t>América</w:t>
      </w:r>
      <w:r>
        <w:rPr>
          <w:i/>
          <w:color w:val="231F20"/>
          <w:spacing w:val="-6"/>
          <w:sz w:val="18"/>
        </w:rPr>
        <w:t> </w:t>
      </w:r>
      <w:r>
        <w:rPr>
          <w:i/>
          <w:color w:val="231F20"/>
          <w:sz w:val="18"/>
        </w:rPr>
        <w:t>Latina</w:t>
      </w:r>
      <w:r>
        <w:rPr>
          <w:color w:val="231F20"/>
          <w:sz w:val="18"/>
        </w:rPr>
        <w:t>,</w:t>
      </w:r>
      <w:r>
        <w:rPr>
          <w:color w:val="231F20"/>
          <w:spacing w:val="-6"/>
          <w:sz w:val="18"/>
        </w:rPr>
        <w:t> </w:t>
      </w:r>
      <w:r>
        <w:rPr>
          <w:color w:val="231F20"/>
          <w:sz w:val="18"/>
        </w:rPr>
        <w:t>México:</w:t>
      </w:r>
      <w:r>
        <w:rPr>
          <w:color w:val="231F20"/>
          <w:spacing w:val="-6"/>
          <w:sz w:val="18"/>
        </w:rPr>
        <w:t> </w:t>
      </w:r>
      <w:r>
        <w:rPr>
          <w:color w:val="231F20"/>
          <w:sz w:val="18"/>
        </w:rPr>
        <w:t>Fondo</w:t>
      </w:r>
      <w:r>
        <w:rPr>
          <w:color w:val="231F20"/>
          <w:spacing w:val="-6"/>
          <w:sz w:val="18"/>
        </w:rPr>
        <w:t> </w:t>
      </w:r>
      <w:r>
        <w:rPr>
          <w:color w:val="231F20"/>
          <w:sz w:val="18"/>
        </w:rPr>
        <w:t>de</w:t>
      </w:r>
      <w:r>
        <w:rPr>
          <w:color w:val="231F20"/>
          <w:spacing w:val="-6"/>
          <w:sz w:val="18"/>
        </w:rPr>
        <w:t> </w:t>
      </w:r>
      <w:r>
        <w:rPr>
          <w:color w:val="231F20"/>
          <w:sz w:val="18"/>
        </w:rPr>
        <w:t>Cultura</w:t>
      </w:r>
      <w:r>
        <w:rPr>
          <w:color w:val="231F20"/>
          <w:spacing w:val="-6"/>
          <w:sz w:val="18"/>
        </w:rPr>
        <w:t> </w:t>
      </w:r>
      <w:r>
        <w:rPr>
          <w:color w:val="231F20"/>
          <w:sz w:val="18"/>
        </w:rPr>
        <w:t>Eco- nómica.</w:t>
      </w:r>
    </w:p>
    <w:p>
      <w:pPr>
        <w:spacing w:line="254" w:lineRule="auto" w:before="57"/>
        <w:ind w:left="110" w:right="111" w:firstLine="0"/>
        <w:jc w:val="both"/>
        <w:rPr>
          <w:sz w:val="18"/>
        </w:rPr>
      </w:pPr>
      <w:r>
        <w:rPr>
          <w:color w:val="231F20"/>
          <w:sz w:val="18"/>
        </w:rPr>
        <w:t>Pedrero, Mercedes (2004) “Género, trabajo doméstico y extradoméstico en Mé- xico. Una estimación del valor económico en México del trabajo doméstico”, en </w:t>
      </w:r>
      <w:r>
        <w:rPr>
          <w:i/>
          <w:color w:val="231F20"/>
          <w:sz w:val="18"/>
        </w:rPr>
        <w:t>Estudios Demográficos y Urbanos</w:t>
      </w:r>
      <w:r>
        <w:rPr>
          <w:color w:val="231F20"/>
          <w:sz w:val="18"/>
        </w:rPr>
        <w:t>, mayo-agosto, núm. 56. México: El Colegio de México.</w:t>
      </w:r>
    </w:p>
    <w:p>
      <w:pPr>
        <w:spacing w:after="0" w:line="254" w:lineRule="auto"/>
        <w:jc w:val="both"/>
        <w:rPr>
          <w:sz w:val="18"/>
        </w:rPr>
        <w:sectPr>
          <w:pgSz w:w="7770" w:h="11740"/>
          <w:pgMar w:header="0" w:footer="474" w:top="840" w:bottom="740" w:left="740" w:right="1020"/>
        </w:sectPr>
      </w:pPr>
    </w:p>
    <w:p>
      <w:pPr>
        <w:spacing w:line="254" w:lineRule="auto" w:before="58"/>
        <w:ind w:left="113" w:right="108" w:firstLine="0"/>
        <w:jc w:val="both"/>
        <w:rPr>
          <w:sz w:val="18"/>
        </w:rPr>
      </w:pPr>
      <w:r>
        <w:rPr>
          <w:color w:val="231F20"/>
          <w:sz w:val="18"/>
        </w:rPr>
        <w:t>Post, David (2003) </w:t>
      </w:r>
      <w:r>
        <w:rPr>
          <w:i/>
          <w:color w:val="231F20"/>
          <w:sz w:val="18"/>
        </w:rPr>
        <w:t>El trabajo, la escuela y el bienestar de los niños en América </w:t>
      </w:r>
      <w:r>
        <w:rPr>
          <w:i/>
          <w:color w:val="231F20"/>
          <w:sz w:val="18"/>
        </w:rPr>
        <w:t>Latina, </w:t>
      </w:r>
      <w:r>
        <w:rPr>
          <w:color w:val="231F20"/>
          <w:sz w:val="18"/>
        </w:rPr>
        <w:t>México: Fondo de Cultura Económica.</w:t>
      </w:r>
    </w:p>
    <w:p>
      <w:pPr>
        <w:spacing w:line="254" w:lineRule="auto" w:before="57"/>
        <w:ind w:left="113" w:right="107" w:firstLine="0"/>
        <w:jc w:val="both"/>
        <w:rPr>
          <w:sz w:val="18"/>
        </w:rPr>
      </w:pPr>
      <w:r>
        <w:rPr>
          <w:color w:val="231F20"/>
          <w:sz w:val="18"/>
        </w:rPr>
        <w:t>Psacharopoulos, George (1997) “Children Labor versus Educational attainment: some evidence fron Latin America”, en </w:t>
      </w:r>
      <w:r>
        <w:rPr>
          <w:i/>
          <w:color w:val="231F20"/>
          <w:sz w:val="18"/>
        </w:rPr>
        <w:t>Jornual of Population Economics</w:t>
      </w:r>
      <w:r>
        <w:rPr>
          <w:color w:val="231F20"/>
          <w:sz w:val="18"/>
        </w:rPr>
        <w:t>, núm. 10, Springer, Shaumburg.</w:t>
      </w:r>
    </w:p>
    <w:p>
      <w:pPr>
        <w:spacing w:line="254" w:lineRule="auto" w:before="57"/>
        <w:ind w:left="113" w:right="108" w:firstLine="0"/>
        <w:jc w:val="both"/>
        <w:rPr>
          <w:sz w:val="18"/>
        </w:rPr>
      </w:pPr>
      <w:r>
        <w:rPr>
          <w:color w:val="231F20"/>
          <w:sz w:val="18"/>
        </w:rPr>
        <w:t>Rosenzweig, Mark (1977) “The Demand for Children in Farm Households”, en </w:t>
      </w:r>
      <w:r>
        <w:rPr>
          <w:i/>
          <w:color w:val="231F20"/>
          <w:sz w:val="18"/>
        </w:rPr>
        <w:t>The Journal of Political Economy</w:t>
      </w:r>
      <w:r>
        <w:rPr>
          <w:color w:val="231F20"/>
          <w:sz w:val="18"/>
        </w:rPr>
        <w:t>, vol. 85, núm. 1, The University of Chicago Press, Chicago.</w:t>
      </w:r>
    </w:p>
    <w:p>
      <w:pPr>
        <w:spacing w:line="254" w:lineRule="auto" w:before="57"/>
        <w:ind w:left="113" w:right="108" w:firstLine="0"/>
        <w:jc w:val="both"/>
        <w:rPr>
          <w:sz w:val="18"/>
        </w:rPr>
      </w:pPr>
      <w:r>
        <w:rPr>
          <w:color w:val="231F20"/>
          <w:sz w:val="18"/>
        </w:rPr>
        <w:t>Rosenzweig Mark y Robert Evenson (1977) “Fertility, Schooling, and the Eco- nomic Contribution of Children of Rural India: An Econometric Analysis”</w:t>
      </w:r>
      <w:r>
        <w:rPr>
          <w:i/>
          <w:color w:val="231F20"/>
          <w:sz w:val="18"/>
        </w:rPr>
        <w:t>, </w:t>
      </w:r>
      <w:r>
        <w:rPr>
          <w:color w:val="231F20"/>
          <w:sz w:val="18"/>
        </w:rPr>
        <w:t>en </w:t>
      </w:r>
      <w:r>
        <w:rPr>
          <w:i/>
          <w:color w:val="231F20"/>
          <w:sz w:val="18"/>
        </w:rPr>
        <w:t>Econometrica</w:t>
      </w:r>
      <w:r>
        <w:rPr>
          <w:color w:val="231F20"/>
          <w:sz w:val="18"/>
        </w:rPr>
        <w:t>, vol. 45, núm. 5.</w:t>
      </w:r>
    </w:p>
    <w:p>
      <w:pPr>
        <w:spacing w:line="254" w:lineRule="auto" w:before="57"/>
        <w:ind w:left="113" w:right="108" w:firstLine="0"/>
        <w:jc w:val="both"/>
        <w:rPr>
          <w:sz w:val="18"/>
        </w:rPr>
      </w:pPr>
      <w:r>
        <w:rPr>
          <w:color w:val="231F20"/>
          <w:sz w:val="18"/>
        </w:rPr>
        <w:t>Siaens,</w:t>
      </w:r>
      <w:r>
        <w:rPr>
          <w:color w:val="231F20"/>
          <w:spacing w:val="-7"/>
          <w:sz w:val="18"/>
        </w:rPr>
        <w:t> </w:t>
      </w:r>
      <w:r>
        <w:rPr>
          <w:color w:val="231F20"/>
          <w:sz w:val="18"/>
        </w:rPr>
        <w:t>C.</w:t>
      </w:r>
      <w:r>
        <w:rPr>
          <w:color w:val="231F20"/>
          <w:spacing w:val="-8"/>
          <w:sz w:val="18"/>
        </w:rPr>
        <w:t> </w:t>
      </w:r>
      <w:r>
        <w:rPr>
          <w:color w:val="231F20"/>
          <w:sz w:val="18"/>
        </w:rPr>
        <w:t>y</w:t>
      </w:r>
      <w:r>
        <w:rPr>
          <w:color w:val="231F20"/>
          <w:spacing w:val="-8"/>
          <w:sz w:val="18"/>
        </w:rPr>
        <w:t> </w:t>
      </w:r>
      <w:r>
        <w:rPr>
          <w:color w:val="231F20"/>
          <w:sz w:val="18"/>
        </w:rPr>
        <w:t>Q.</w:t>
      </w:r>
      <w:r>
        <w:rPr>
          <w:color w:val="231F20"/>
          <w:spacing w:val="-11"/>
          <w:sz w:val="18"/>
        </w:rPr>
        <w:t> </w:t>
      </w:r>
      <w:r>
        <w:rPr>
          <w:color w:val="231F20"/>
          <w:spacing w:val="-3"/>
          <w:sz w:val="18"/>
        </w:rPr>
        <w:t>Wodon</w:t>
      </w:r>
      <w:r>
        <w:rPr>
          <w:color w:val="231F20"/>
          <w:spacing w:val="-8"/>
          <w:sz w:val="18"/>
        </w:rPr>
        <w:t> </w:t>
      </w:r>
      <w:r>
        <w:rPr>
          <w:color w:val="231F20"/>
          <w:sz w:val="18"/>
        </w:rPr>
        <w:t>(2006)</w:t>
      </w:r>
      <w:r>
        <w:rPr>
          <w:color w:val="231F20"/>
          <w:spacing w:val="-8"/>
          <w:sz w:val="18"/>
        </w:rPr>
        <w:t> </w:t>
      </w:r>
      <w:r>
        <w:rPr>
          <w:color w:val="231F20"/>
          <w:sz w:val="18"/>
        </w:rPr>
        <w:t>“La</w:t>
      </w:r>
      <w:r>
        <w:rPr>
          <w:color w:val="231F20"/>
          <w:spacing w:val="-8"/>
          <w:sz w:val="18"/>
        </w:rPr>
        <w:t> </w:t>
      </w:r>
      <w:r>
        <w:rPr>
          <w:color w:val="231F20"/>
          <w:sz w:val="18"/>
        </w:rPr>
        <w:t>ocupación</w:t>
      </w:r>
      <w:r>
        <w:rPr>
          <w:color w:val="231F20"/>
          <w:spacing w:val="-8"/>
          <w:sz w:val="18"/>
        </w:rPr>
        <w:t> </w:t>
      </w:r>
      <w:r>
        <w:rPr>
          <w:color w:val="231F20"/>
          <w:sz w:val="18"/>
        </w:rPr>
        <w:t>y</w:t>
      </w:r>
      <w:r>
        <w:rPr>
          <w:color w:val="231F20"/>
          <w:spacing w:val="-8"/>
          <w:sz w:val="18"/>
        </w:rPr>
        <w:t> </w:t>
      </w:r>
      <w:r>
        <w:rPr>
          <w:color w:val="231F20"/>
          <w:sz w:val="18"/>
        </w:rPr>
        <w:t>el</w:t>
      </w:r>
      <w:r>
        <w:rPr>
          <w:color w:val="231F20"/>
          <w:spacing w:val="-8"/>
          <w:sz w:val="18"/>
        </w:rPr>
        <w:t> </w:t>
      </w:r>
      <w:r>
        <w:rPr>
          <w:color w:val="231F20"/>
          <w:sz w:val="18"/>
        </w:rPr>
        <w:t>salario</w:t>
      </w:r>
      <w:r>
        <w:rPr>
          <w:color w:val="231F20"/>
          <w:spacing w:val="-7"/>
          <w:sz w:val="18"/>
        </w:rPr>
        <w:t> </w:t>
      </w:r>
      <w:r>
        <w:rPr>
          <w:color w:val="231F20"/>
          <w:sz w:val="18"/>
        </w:rPr>
        <w:t>de</w:t>
      </w:r>
      <w:r>
        <w:rPr>
          <w:color w:val="231F20"/>
          <w:spacing w:val="-8"/>
          <w:sz w:val="18"/>
        </w:rPr>
        <w:t> </w:t>
      </w:r>
      <w:r>
        <w:rPr>
          <w:color w:val="231F20"/>
          <w:sz w:val="18"/>
        </w:rPr>
        <w:t>los</w:t>
      </w:r>
      <w:r>
        <w:rPr>
          <w:color w:val="231F20"/>
          <w:spacing w:val="-8"/>
          <w:sz w:val="18"/>
        </w:rPr>
        <w:t> </w:t>
      </w:r>
      <w:r>
        <w:rPr>
          <w:color w:val="231F20"/>
          <w:sz w:val="18"/>
        </w:rPr>
        <w:t>padres.</w:t>
      </w:r>
      <w:r>
        <w:rPr>
          <w:color w:val="231F20"/>
          <w:spacing w:val="-8"/>
          <w:sz w:val="18"/>
        </w:rPr>
        <w:t> </w:t>
      </w:r>
      <w:r>
        <w:rPr>
          <w:color w:val="231F20"/>
          <w:sz w:val="18"/>
        </w:rPr>
        <w:t>El</w:t>
      </w:r>
      <w:r>
        <w:rPr>
          <w:color w:val="231F20"/>
          <w:spacing w:val="-8"/>
          <w:sz w:val="18"/>
        </w:rPr>
        <w:t> </w:t>
      </w:r>
      <w:r>
        <w:rPr>
          <w:color w:val="231F20"/>
          <w:sz w:val="18"/>
        </w:rPr>
        <w:t>trabajo infantil</w:t>
      </w:r>
      <w:r>
        <w:rPr>
          <w:color w:val="231F20"/>
          <w:spacing w:val="-9"/>
          <w:sz w:val="18"/>
        </w:rPr>
        <w:t> </w:t>
      </w:r>
      <w:r>
        <w:rPr>
          <w:color w:val="231F20"/>
          <w:sz w:val="18"/>
        </w:rPr>
        <w:t>y</w:t>
      </w:r>
      <w:r>
        <w:rPr>
          <w:color w:val="231F20"/>
          <w:spacing w:val="-8"/>
          <w:sz w:val="18"/>
        </w:rPr>
        <w:t> </w:t>
      </w:r>
      <w:r>
        <w:rPr>
          <w:color w:val="231F20"/>
          <w:sz w:val="18"/>
        </w:rPr>
        <w:t>la</w:t>
      </w:r>
      <w:r>
        <w:rPr>
          <w:color w:val="231F20"/>
          <w:spacing w:val="-8"/>
          <w:sz w:val="18"/>
        </w:rPr>
        <w:t> </w:t>
      </w:r>
      <w:r>
        <w:rPr>
          <w:color w:val="231F20"/>
          <w:sz w:val="18"/>
        </w:rPr>
        <w:t>inscripción</w:t>
      </w:r>
      <w:r>
        <w:rPr>
          <w:color w:val="231F20"/>
          <w:spacing w:val="-9"/>
          <w:sz w:val="18"/>
        </w:rPr>
        <w:t> </w:t>
      </w:r>
      <w:r>
        <w:rPr>
          <w:color w:val="231F20"/>
          <w:sz w:val="18"/>
        </w:rPr>
        <w:t>escolar</w:t>
      </w:r>
      <w:r>
        <w:rPr>
          <w:color w:val="231F20"/>
          <w:spacing w:val="-9"/>
          <w:sz w:val="18"/>
        </w:rPr>
        <w:t> </w:t>
      </w:r>
      <w:r>
        <w:rPr>
          <w:color w:val="231F20"/>
          <w:sz w:val="18"/>
        </w:rPr>
        <w:t>en</w:t>
      </w:r>
      <w:r>
        <w:rPr>
          <w:color w:val="231F20"/>
          <w:spacing w:val="-8"/>
          <w:sz w:val="18"/>
        </w:rPr>
        <w:t> </w:t>
      </w:r>
      <w:r>
        <w:rPr>
          <w:color w:val="231F20"/>
          <w:sz w:val="18"/>
        </w:rPr>
        <w:t>México”,</w:t>
      </w:r>
      <w:r>
        <w:rPr>
          <w:color w:val="231F20"/>
          <w:spacing w:val="-8"/>
          <w:sz w:val="18"/>
        </w:rPr>
        <w:t> </w:t>
      </w:r>
      <w:r>
        <w:rPr>
          <w:color w:val="231F20"/>
          <w:sz w:val="18"/>
        </w:rPr>
        <w:t>en</w:t>
      </w:r>
      <w:r>
        <w:rPr>
          <w:color w:val="231F20"/>
          <w:spacing w:val="-8"/>
          <w:sz w:val="18"/>
        </w:rPr>
        <w:t> </w:t>
      </w:r>
      <w:r>
        <w:rPr>
          <w:color w:val="231F20"/>
          <w:sz w:val="18"/>
        </w:rPr>
        <w:t>Luis</w:t>
      </w:r>
      <w:r>
        <w:rPr>
          <w:color w:val="231F20"/>
          <w:spacing w:val="-8"/>
          <w:sz w:val="18"/>
        </w:rPr>
        <w:t> </w:t>
      </w:r>
      <w:r>
        <w:rPr>
          <w:color w:val="231F20"/>
          <w:sz w:val="18"/>
        </w:rPr>
        <w:t>Felipe</w:t>
      </w:r>
      <w:r>
        <w:rPr>
          <w:color w:val="231F20"/>
          <w:spacing w:val="-8"/>
          <w:sz w:val="18"/>
        </w:rPr>
        <w:t> </w:t>
      </w:r>
      <w:r>
        <w:rPr>
          <w:color w:val="231F20"/>
          <w:sz w:val="18"/>
        </w:rPr>
        <w:t>López</w:t>
      </w:r>
      <w:r>
        <w:rPr>
          <w:color w:val="231F20"/>
          <w:spacing w:val="-8"/>
          <w:sz w:val="18"/>
        </w:rPr>
        <w:t> </w:t>
      </w:r>
      <w:r>
        <w:rPr>
          <w:color w:val="231F20"/>
          <w:sz w:val="18"/>
        </w:rPr>
        <w:t>Calva</w:t>
      </w:r>
      <w:r>
        <w:rPr>
          <w:color w:val="231F20"/>
          <w:spacing w:val="-8"/>
          <w:sz w:val="18"/>
        </w:rPr>
        <w:t> </w:t>
      </w:r>
      <w:r>
        <w:rPr>
          <w:color w:val="231F20"/>
          <w:sz w:val="18"/>
        </w:rPr>
        <w:t>(coord.), </w:t>
      </w:r>
      <w:r>
        <w:rPr>
          <w:i/>
          <w:color w:val="231F20"/>
          <w:spacing w:val="-3"/>
          <w:sz w:val="18"/>
        </w:rPr>
        <w:t>Trabajo </w:t>
      </w:r>
      <w:r>
        <w:rPr>
          <w:i/>
          <w:color w:val="231F20"/>
          <w:sz w:val="18"/>
        </w:rPr>
        <w:t>Infantil. </w:t>
      </w:r>
      <w:r>
        <w:rPr>
          <w:i/>
          <w:color w:val="231F20"/>
          <w:spacing w:val="-3"/>
          <w:sz w:val="18"/>
        </w:rPr>
        <w:t>Teoría </w:t>
      </w:r>
      <w:r>
        <w:rPr>
          <w:i/>
          <w:color w:val="231F20"/>
          <w:sz w:val="18"/>
        </w:rPr>
        <w:t>y lecciones de la América Latina</w:t>
      </w:r>
      <w:r>
        <w:rPr>
          <w:color w:val="231F20"/>
          <w:sz w:val="18"/>
        </w:rPr>
        <w:t>, México: Fondo de Cultura Económica.</w:t>
      </w:r>
    </w:p>
    <w:p>
      <w:pPr>
        <w:spacing w:line="254" w:lineRule="auto" w:before="57"/>
        <w:ind w:left="113" w:right="108" w:firstLine="0"/>
        <w:jc w:val="both"/>
        <w:rPr>
          <w:sz w:val="18"/>
        </w:rPr>
      </w:pPr>
      <w:r>
        <w:rPr>
          <w:color w:val="231F20"/>
          <w:sz w:val="18"/>
        </w:rPr>
        <w:t>UNICEF</w:t>
      </w:r>
      <w:r>
        <w:rPr>
          <w:color w:val="231F20"/>
          <w:spacing w:val="-8"/>
          <w:sz w:val="18"/>
        </w:rPr>
        <w:t> </w:t>
      </w:r>
      <w:r>
        <w:rPr>
          <w:color w:val="231F20"/>
          <w:sz w:val="18"/>
        </w:rPr>
        <w:t>(2009)</w:t>
      </w:r>
      <w:r>
        <w:rPr>
          <w:color w:val="231F20"/>
          <w:spacing w:val="-8"/>
          <w:sz w:val="18"/>
        </w:rPr>
        <w:t> </w:t>
      </w:r>
      <w:r>
        <w:rPr>
          <w:i/>
          <w:color w:val="231F20"/>
          <w:sz w:val="18"/>
        </w:rPr>
        <w:t>Niños</w:t>
      </w:r>
      <w:r>
        <w:rPr>
          <w:i/>
          <w:color w:val="231F20"/>
          <w:spacing w:val="-8"/>
          <w:sz w:val="18"/>
        </w:rPr>
        <w:t> </w:t>
      </w:r>
      <w:r>
        <w:rPr>
          <w:i/>
          <w:color w:val="231F20"/>
          <w:sz w:val="18"/>
        </w:rPr>
        <w:t>y</w:t>
      </w:r>
      <w:r>
        <w:rPr>
          <w:i/>
          <w:color w:val="231F20"/>
          <w:spacing w:val="-8"/>
          <w:sz w:val="18"/>
        </w:rPr>
        <w:t> </w:t>
      </w:r>
      <w:r>
        <w:rPr>
          <w:i/>
          <w:color w:val="231F20"/>
          <w:sz w:val="18"/>
        </w:rPr>
        <w:t>niñas</w:t>
      </w:r>
      <w:r>
        <w:rPr>
          <w:i/>
          <w:color w:val="231F20"/>
          <w:spacing w:val="-8"/>
          <w:sz w:val="18"/>
        </w:rPr>
        <w:t> </w:t>
      </w:r>
      <w:r>
        <w:rPr>
          <w:i/>
          <w:color w:val="231F20"/>
          <w:sz w:val="18"/>
        </w:rPr>
        <w:t>que</w:t>
      </w:r>
      <w:r>
        <w:rPr>
          <w:i/>
          <w:color w:val="231F20"/>
          <w:spacing w:val="-8"/>
          <w:sz w:val="18"/>
        </w:rPr>
        <w:t> </w:t>
      </w:r>
      <w:r>
        <w:rPr>
          <w:i/>
          <w:color w:val="231F20"/>
          <w:sz w:val="18"/>
        </w:rPr>
        <w:t>trabajan</w:t>
      </w:r>
      <w:r>
        <w:rPr>
          <w:i/>
          <w:color w:val="231F20"/>
          <w:spacing w:val="-8"/>
          <w:sz w:val="18"/>
        </w:rPr>
        <w:t> </w:t>
      </w:r>
      <w:r>
        <w:rPr>
          <w:i/>
          <w:color w:val="231F20"/>
          <w:sz w:val="18"/>
        </w:rPr>
        <w:t>en</w:t>
      </w:r>
      <w:r>
        <w:rPr>
          <w:i/>
          <w:color w:val="231F20"/>
          <w:spacing w:val="-8"/>
          <w:sz w:val="18"/>
        </w:rPr>
        <w:t> </w:t>
      </w:r>
      <w:r>
        <w:rPr>
          <w:i/>
          <w:color w:val="231F20"/>
          <w:sz w:val="18"/>
        </w:rPr>
        <w:t>México:</w:t>
      </w:r>
      <w:r>
        <w:rPr>
          <w:i/>
          <w:color w:val="231F20"/>
          <w:spacing w:val="-8"/>
          <w:sz w:val="18"/>
        </w:rPr>
        <w:t> </w:t>
      </w:r>
      <w:r>
        <w:rPr>
          <w:i/>
          <w:color w:val="231F20"/>
          <w:sz w:val="18"/>
        </w:rPr>
        <w:t>un</w:t>
      </w:r>
      <w:r>
        <w:rPr>
          <w:i/>
          <w:color w:val="231F20"/>
          <w:spacing w:val="-8"/>
          <w:sz w:val="18"/>
        </w:rPr>
        <w:t> </w:t>
      </w:r>
      <w:r>
        <w:rPr>
          <w:i/>
          <w:color w:val="231F20"/>
          <w:sz w:val="18"/>
        </w:rPr>
        <w:t>problema</w:t>
      </w:r>
      <w:r>
        <w:rPr>
          <w:i/>
          <w:color w:val="231F20"/>
          <w:spacing w:val="-8"/>
          <w:sz w:val="18"/>
        </w:rPr>
        <w:t> </w:t>
      </w:r>
      <w:r>
        <w:rPr>
          <w:i/>
          <w:color w:val="231F20"/>
          <w:sz w:val="18"/>
        </w:rPr>
        <w:t>persistente</w:t>
      </w:r>
      <w:r>
        <w:rPr>
          <w:color w:val="231F20"/>
          <w:sz w:val="18"/>
        </w:rPr>
        <w:t>, informe elaborado por María Jesús Pérez-García para el Área de Protección a la Infancia de UNICEF-México,</w:t>
      </w:r>
      <w:r>
        <w:rPr>
          <w:color w:val="231F20"/>
          <w:spacing w:val="-20"/>
          <w:sz w:val="18"/>
        </w:rPr>
        <w:t> </w:t>
      </w:r>
      <w:r>
        <w:rPr>
          <w:color w:val="231F20"/>
          <w:sz w:val="18"/>
        </w:rPr>
        <w:t>México.</w:t>
      </w:r>
    </w:p>
    <w:p>
      <w:pPr>
        <w:spacing w:after="0" w:line="254" w:lineRule="auto"/>
        <w:jc w:val="both"/>
        <w:rPr>
          <w:sz w:val="18"/>
        </w:rPr>
        <w:sectPr>
          <w:footerReference w:type="default" r:id="rId308"/>
          <w:pgSz w:w="7770" w:h="11740"/>
          <w:pgMar w:footer="474" w:header="0" w:top="840" w:bottom="660" w:left="1020" w:right="740"/>
        </w:sectPr>
      </w:pPr>
    </w:p>
    <w:p>
      <w:pPr>
        <w:pStyle w:val="BodyText"/>
      </w:pPr>
      <w:r>
        <w:rPr/>
        <w:pict>
          <v:shape style="position:absolute;margin-left:24.377001pt;margin-top:538.958984pt;width:325.45pt;height:30.45pt;mso-position-horizontal-relative:page;mso-position-vertical-relative:page;z-index:-328096" type="#_x0000_t202" filled="false" stroked="false">
            <v:textbox inset="0,0,0,0">
              <w:txbxContent>
                <w:p>
                  <w:pPr>
                    <w:pStyle w:val="BodyText"/>
                    <w:spacing w:before="171"/>
                    <w:ind w:left="2780" w:right="2780"/>
                    <w:jc w:val="center"/>
                  </w:pPr>
                  <w:r>
                    <w:rPr>
                      <w:color w:val="231F20"/>
                    </w:rPr>
                    <w:t>304</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2"/>
        </w:rPr>
      </w:pPr>
    </w:p>
    <w:p>
      <w:pPr>
        <w:pStyle w:val="BodyText"/>
        <w:ind w:left="107"/>
      </w:pPr>
      <w:r>
        <w:rPr/>
        <w:pict>
          <v:group style="width:325.45pt;height:30.45pt;mso-position-horizontal-relative:char;mso-position-vertical-relative:line" coordorigin="0,0" coordsize="6509,609">
            <v:rect style="position:absolute;left:0;top:0;width:6508;height:609" filled="true" fillcolor="#ffffff" stroked="false">
              <v:fill type="solid"/>
            </v:rect>
          </v:group>
        </w:pict>
      </w:r>
      <w:r>
        <w:rPr/>
      </w:r>
    </w:p>
    <w:p>
      <w:pPr>
        <w:spacing w:after="0"/>
        <w:sectPr>
          <w:footerReference w:type="default" r:id="rId309"/>
          <w:pgSz w:w="7770" w:h="11740"/>
          <w:pgMar w:footer="0" w:header="0" w:top="1080" w:bottom="0" w:left="380" w:right="660"/>
        </w:sectPr>
      </w:pPr>
    </w:p>
    <w:p>
      <w:pPr>
        <w:spacing w:line="360" w:lineRule="exact" w:before="90"/>
        <w:ind w:left="2380" w:right="107" w:hanging="1357"/>
        <w:jc w:val="right"/>
        <w:rPr>
          <w:sz w:val="36"/>
        </w:rPr>
      </w:pPr>
      <w:r>
        <w:rPr>
          <w:w w:val="75"/>
          <w:sz w:val="36"/>
        </w:rPr>
        <w:t>Los significados del trabajo entre el personal</w:t>
      </w:r>
      <w:r>
        <w:rPr>
          <w:w w:val="75"/>
          <w:sz w:val="36"/>
        </w:rPr>
        <w:t> </w:t>
      </w:r>
      <w:r>
        <w:rPr>
          <w:w w:val="75"/>
          <w:sz w:val="36"/>
        </w:rPr>
        <w:t>de las instituciones asistenciales</w:t>
      </w:r>
    </w:p>
    <w:p>
      <w:pPr>
        <w:pStyle w:val="BodyText"/>
        <w:rPr>
          <w:sz w:val="36"/>
        </w:rPr>
      </w:pPr>
    </w:p>
    <w:p>
      <w:pPr>
        <w:pStyle w:val="BodyText"/>
        <w:spacing w:before="8"/>
        <w:rPr>
          <w:sz w:val="44"/>
        </w:rPr>
      </w:pPr>
    </w:p>
    <w:p>
      <w:pPr>
        <w:pStyle w:val="Heading3"/>
        <w:ind w:left="2806"/>
      </w:pPr>
      <w:r>
        <w:rPr>
          <w:color w:val="231F20"/>
        </w:rPr>
        <w:t>Abraham Osorio Ballesteros*</w:t>
      </w:r>
    </w:p>
    <w:p>
      <w:pPr>
        <w:pStyle w:val="BodyText"/>
        <w:rPr>
          <w:sz w:val="26"/>
        </w:rPr>
      </w:pPr>
    </w:p>
    <w:p>
      <w:pPr>
        <w:pStyle w:val="BodyText"/>
        <w:rPr>
          <w:sz w:val="26"/>
        </w:rPr>
      </w:pPr>
    </w:p>
    <w:p>
      <w:pPr>
        <w:pStyle w:val="BodyText"/>
        <w:spacing w:before="1"/>
        <w:rPr>
          <w:sz w:val="23"/>
        </w:rPr>
      </w:pPr>
    </w:p>
    <w:p>
      <w:pPr>
        <w:pStyle w:val="Heading4"/>
        <w:spacing w:before="0"/>
      </w:pPr>
      <w:r>
        <w:rPr>
          <w:w w:val="85"/>
        </w:rPr>
        <w:t>Introducción</w:t>
      </w:r>
    </w:p>
    <w:p>
      <w:pPr>
        <w:pStyle w:val="BodyText"/>
        <w:rPr>
          <w:b/>
          <w:sz w:val="24"/>
        </w:rPr>
      </w:pPr>
    </w:p>
    <w:p>
      <w:pPr>
        <w:pStyle w:val="BodyText"/>
        <w:spacing w:before="7"/>
        <w:rPr>
          <w:b/>
          <w:sz w:val="24"/>
        </w:rPr>
      </w:pPr>
    </w:p>
    <w:p>
      <w:pPr>
        <w:pStyle w:val="BodyText"/>
        <w:spacing w:line="249" w:lineRule="auto"/>
        <w:ind w:left="113" w:right="107"/>
        <w:jc w:val="right"/>
      </w:pPr>
      <w:r>
        <w:rPr>
          <w:color w:val="231F20"/>
        </w:rPr>
        <w:t>El trabajo con niños abandonados, maltratados y en orfandad</w:t>
      </w:r>
      <w:r>
        <w:rPr>
          <w:color w:val="231F20"/>
          <w:spacing w:val="33"/>
        </w:rPr>
        <w:t> </w:t>
      </w:r>
      <w:r>
        <w:rPr>
          <w:color w:val="231F20"/>
        </w:rPr>
        <w:t>en</w:t>
      </w:r>
      <w:r>
        <w:rPr>
          <w:color w:val="231F20"/>
          <w:spacing w:val="3"/>
        </w:rPr>
        <w:t> </w:t>
      </w:r>
      <w:r>
        <w:rPr>
          <w:color w:val="231F20"/>
        </w:rPr>
        <w:t>institu- ciones asistenciales es uno de los actos laborales más reconocidos</w:t>
      </w:r>
      <w:r>
        <w:rPr>
          <w:color w:val="231F20"/>
          <w:spacing w:val="-7"/>
        </w:rPr>
        <w:t> </w:t>
      </w:r>
      <w:r>
        <w:rPr>
          <w:color w:val="231F20"/>
        </w:rPr>
        <w:t>por</w:t>
      </w:r>
      <w:r>
        <w:rPr>
          <w:color w:val="231F20"/>
          <w:spacing w:val="-1"/>
        </w:rPr>
        <w:t> </w:t>
      </w:r>
      <w:r>
        <w:rPr>
          <w:color w:val="231F20"/>
        </w:rPr>
        <w:t>la sociedad. Es quizás, junto con la enseñanza escolar, uno de</w:t>
      </w:r>
      <w:r>
        <w:rPr>
          <w:color w:val="231F20"/>
          <w:spacing w:val="2"/>
        </w:rPr>
        <w:t> </w:t>
      </w:r>
      <w:r>
        <w:rPr>
          <w:color w:val="231F20"/>
        </w:rPr>
        <w:t>los</w:t>
      </w:r>
      <w:r>
        <w:rPr>
          <w:color w:val="231F20"/>
          <w:spacing w:val="15"/>
        </w:rPr>
        <w:t> </w:t>
      </w:r>
      <w:r>
        <w:rPr>
          <w:color w:val="231F20"/>
        </w:rPr>
        <w:t>oficios</w:t>
      </w:r>
      <w:r>
        <w:rPr>
          <w:color w:val="231F20"/>
          <w:w w:val="97"/>
        </w:rPr>
        <w:t> </w:t>
      </w:r>
      <w:r>
        <w:rPr>
          <w:color w:val="231F20"/>
        </w:rPr>
        <w:t>que mayor percepción positiva tiene entre los diferentes</w:t>
      </w:r>
      <w:r>
        <w:rPr>
          <w:color w:val="231F20"/>
          <w:spacing w:val="-24"/>
        </w:rPr>
        <w:t> </w:t>
      </w:r>
      <w:r>
        <w:rPr>
          <w:color w:val="231F20"/>
        </w:rPr>
        <w:t>grupos</w:t>
      </w:r>
      <w:r>
        <w:rPr>
          <w:color w:val="231F20"/>
          <w:spacing w:val="-3"/>
        </w:rPr>
        <w:t> </w:t>
      </w:r>
      <w:r>
        <w:rPr>
          <w:color w:val="231F20"/>
        </w:rPr>
        <w:t>sociales.</w:t>
      </w:r>
      <w:r>
        <w:rPr>
          <w:color w:val="231F20"/>
          <w:spacing w:val="-1"/>
        </w:rPr>
        <w:t> </w:t>
      </w:r>
      <w:r>
        <w:rPr>
          <w:color w:val="231F20"/>
        </w:rPr>
        <w:t>Y</w:t>
      </w:r>
      <w:r>
        <w:rPr>
          <w:color w:val="231F20"/>
          <w:spacing w:val="-18"/>
        </w:rPr>
        <w:t> </w:t>
      </w:r>
      <w:r>
        <w:rPr>
          <w:color w:val="231F20"/>
        </w:rPr>
        <w:t>no</w:t>
      </w:r>
      <w:r>
        <w:rPr>
          <w:color w:val="231F20"/>
          <w:spacing w:val="-10"/>
        </w:rPr>
        <w:t> </w:t>
      </w:r>
      <w:r>
        <w:rPr>
          <w:color w:val="231F20"/>
        </w:rPr>
        <w:t>podría</w:t>
      </w:r>
      <w:r>
        <w:rPr>
          <w:color w:val="231F20"/>
          <w:spacing w:val="-10"/>
        </w:rPr>
        <w:t> </w:t>
      </w:r>
      <w:r>
        <w:rPr>
          <w:color w:val="231F20"/>
        </w:rPr>
        <w:t>ser</w:t>
      </w:r>
      <w:r>
        <w:rPr>
          <w:color w:val="231F20"/>
          <w:spacing w:val="-10"/>
        </w:rPr>
        <w:t> </w:t>
      </w:r>
      <w:r>
        <w:rPr>
          <w:color w:val="231F20"/>
        </w:rPr>
        <w:t>de</w:t>
      </w:r>
      <w:r>
        <w:rPr>
          <w:color w:val="231F20"/>
          <w:spacing w:val="-10"/>
        </w:rPr>
        <w:t> </w:t>
      </w:r>
      <w:r>
        <w:rPr>
          <w:color w:val="231F20"/>
        </w:rPr>
        <w:t>otra</w:t>
      </w:r>
      <w:r>
        <w:rPr>
          <w:color w:val="231F20"/>
          <w:spacing w:val="-10"/>
        </w:rPr>
        <w:t> </w:t>
      </w:r>
      <w:r>
        <w:rPr>
          <w:color w:val="231F20"/>
        </w:rPr>
        <w:t>manera,</w:t>
      </w:r>
      <w:r>
        <w:rPr>
          <w:color w:val="231F20"/>
          <w:spacing w:val="-11"/>
        </w:rPr>
        <w:t> </w:t>
      </w:r>
      <w:r>
        <w:rPr>
          <w:color w:val="231F20"/>
        </w:rPr>
        <w:t>pues</w:t>
      </w:r>
      <w:r>
        <w:rPr>
          <w:color w:val="231F20"/>
          <w:spacing w:val="-10"/>
        </w:rPr>
        <w:t> </w:t>
      </w:r>
      <w:r>
        <w:rPr>
          <w:color w:val="231F20"/>
        </w:rPr>
        <w:t>la</w:t>
      </w:r>
      <w:r>
        <w:rPr>
          <w:color w:val="231F20"/>
          <w:spacing w:val="-10"/>
        </w:rPr>
        <w:t> </w:t>
      </w:r>
      <w:r>
        <w:rPr>
          <w:color w:val="231F20"/>
        </w:rPr>
        <w:t>atención</w:t>
      </w:r>
      <w:r>
        <w:rPr>
          <w:color w:val="231F20"/>
          <w:spacing w:val="-11"/>
        </w:rPr>
        <w:t> </w:t>
      </w:r>
      <w:r>
        <w:rPr>
          <w:color w:val="231F20"/>
        </w:rPr>
        <w:t>derivada</w:t>
      </w:r>
      <w:r>
        <w:rPr>
          <w:color w:val="231F20"/>
          <w:spacing w:val="-10"/>
        </w:rPr>
        <w:t> </w:t>
      </w:r>
      <w:r>
        <w:rPr>
          <w:color w:val="231F20"/>
        </w:rPr>
        <w:t>de</w:t>
      </w:r>
      <w:r>
        <w:rPr>
          <w:color w:val="231F20"/>
          <w:spacing w:val="-10"/>
        </w:rPr>
        <w:t> </w:t>
      </w:r>
      <w:r>
        <w:rPr>
          <w:color w:val="231F20"/>
        </w:rPr>
        <w:t>ello,</w:t>
      </w:r>
      <w:r>
        <w:rPr>
          <w:color w:val="231F20"/>
          <w:spacing w:val="-10"/>
        </w:rPr>
        <w:t> </w:t>
      </w:r>
      <w:r>
        <w:rPr>
          <w:color w:val="231F20"/>
        </w:rPr>
        <w:t>permite que dichos niños puedan hacer frente a su situación, se repongan</w:t>
      </w:r>
      <w:r>
        <w:rPr>
          <w:color w:val="231F20"/>
          <w:spacing w:val="17"/>
        </w:rPr>
        <w:t> </w:t>
      </w:r>
      <w:r>
        <w:rPr>
          <w:color w:val="231F20"/>
        </w:rPr>
        <w:t>de</w:t>
      </w:r>
      <w:r>
        <w:rPr>
          <w:color w:val="231F20"/>
          <w:spacing w:val="6"/>
        </w:rPr>
        <w:t> </w:t>
      </w:r>
      <w:r>
        <w:rPr>
          <w:color w:val="231F20"/>
        </w:rPr>
        <w:t>los traumas</w:t>
      </w:r>
      <w:r>
        <w:rPr>
          <w:color w:val="231F20"/>
          <w:spacing w:val="-10"/>
        </w:rPr>
        <w:t> </w:t>
      </w:r>
      <w:r>
        <w:rPr>
          <w:color w:val="231F20"/>
        </w:rPr>
        <w:t>psicológicos,</w:t>
      </w:r>
      <w:r>
        <w:rPr>
          <w:color w:val="231F20"/>
          <w:spacing w:val="-10"/>
        </w:rPr>
        <w:t> </w:t>
      </w:r>
      <w:r>
        <w:rPr>
          <w:color w:val="231F20"/>
        </w:rPr>
        <w:t>si</w:t>
      </w:r>
      <w:r>
        <w:rPr>
          <w:color w:val="231F20"/>
          <w:spacing w:val="-10"/>
        </w:rPr>
        <w:t> </w:t>
      </w:r>
      <w:r>
        <w:rPr>
          <w:color w:val="231F20"/>
        </w:rPr>
        <w:t>es</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padecen,</w:t>
      </w:r>
      <w:r>
        <w:rPr>
          <w:color w:val="231F20"/>
          <w:spacing w:val="-10"/>
        </w:rPr>
        <w:t> </w:t>
      </w:r>
      <w:r>
        <w:rPr>
          <w:color w:val="231F20"/>
        </w:rPr>
        <w:t>y</w:t>
      </w:r>
      <w:r>
        <w:rPr>
          <w:color w:val="231F20"/>
          <w:spacing w:val="-10"/>
        </w:rPr>
        <w:t> </w:t>
      </w:r>
      <w:r>
        <w:rPr>
          <w:color w:val="231F20"/>
        </w:rPr>
        <w:t>puedan</w:t>
      </w:r>
      <w:r>
        <w:rPr>
          <w:color w:val="231F20"/>
          <w:spacing w:val="-10"/>
        </w:rPr>
        <w:t> </w:t>
      </w:r>
      <w:r>
        <w:rPr>
          <w:color w:val="231F20"/>
        </w:rPr>
        <w:t>pensar</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futuro. A pesar de ello, recientes investigaciones (Osorio,</w:t>
      </w:r>
      <w:r>
        <w:rPr>
          <w:color w:val="231F20"/>
          <w:spacing w:val="10"/>
        </w:rPr>
        <w:t> </w:t>
      </w:r>
      <w:r>
        <w:rPr>
          <w:color w:val="231F20"/>
        </w:rPr>
        <w:t>2011;</w:t>
      </w:r>
      <w:r>
        <w:rPr>
          <w:color w:val="231F20"/>
          <w:spacing w:val="46"/>
        </w:rPr>
        <w:t> </w:t>
      </w:r>
      <w:r>
        <w:rPr>
          <w:color w:val="231F20"/>
        </w:rPr>
        <w:t>Llobet, 2010) sobre el funcionamiento de algunas instituciones en</w:t>
      </w:r>
      <w:r>
        <w:rPr>
          <w:color w:val="231F20"/>
          <w:spacing w:val="22"/>
        </w:rPr>
        <w:t> </w:t>
      </w:r>
      <w:r>
        <w:rPr>
          <w:color w:val="231F20"/>
        </w:rPr>
        <w:t>México</w:t>
      </w:r>
      <w:r>
        <w:rPr>
          <w:color w:val="231F20"/>
          <w:spacing w:val="35"/>
        </w:rPr>
        <w:t> </w:t>
      </w:r>
      <w:r>
        <w:rPr>
          <w:color w:val="231F20"/>
        </w:rPr>
        <w:t>y América Latina, han mostrado que esta percepción no es del</w:t>
      </w:r>
      <w:r>
        <w:rPr>
          <w:color w:val="231F20"/>
          <w:spacing w:val="5"/>
        </w:rPr>
        <w:t> </w:t>
      </w:r>
      <w:r>
        <w:rPr>
          <w:color w:val="231F20"/>
        </w:rPr>
        <w:t>todo repro- ducida por los trabajadores asistenciales quienes</w:t>
      </w:r>
      <w:r>
        <w:rPr>
          <w:color w:val="231F20"/>
          <w:spacing w:val="3"/>
        </w:rPr>
        <w:t> </w:t>
      </w:r>
      <w:r>
        <w:rPr>
          <w:color w:val="231F20"/>
        </w:rPr>
        <w:t>normalmente</w:t>
      </w:r>
      <w:r>
        <w:rPr>
          <w:color w:val="231F20"/>
          <w:spacing w:val="9"/>
        </w:rPr>
        <w:t> </w:t>
      </w:r>
      <w:r>
        <w:rPr>
          <w:color w:val="231F20"/>
        </w:rPr>
        <w:t>destacan posturas más complejas sobre sus labores. Por ello, como una</w:t>
      </w:r>
      <w:r>
        <w:rPr>
          <w:color w:val="231F20"/>
          <w:spacing w:val="-33"/>
        </w:rPr>
        <w:t> </w:t>
      </w:r>
      <w:r>
        <w:rPr>
          <w:color w:val="231F20"/>
        </w:rPr>
        <w:t>manera</w:t>
      </w:r>
      <w:r>
        <w:rPr>
          <w:color w:val="231F20"/>
          <w:spacing w:val="-4"/>
        </w:rPr>
        <w:t> </w:t>
      </w:r>
      <w:r>
        <w:rPr>
          <w:color w:val="231F20"/>
        </w:rPr>
        <w:t>de empezar a esclarecer tales posturas, en el presente escrito</w:t>
      </w:r>
      <w:r>
        <w:rPr>
          <w:color w:val="231F20"/>
          <w:spacing w:val="2"/>
        </w:rPr>
        <w:t> </w:t>
      </w:r>
      <w:r>
        <w:rPr>
          <w:color w:val="231F20"/>
        </w:rPr>
        <w:t>trataremos</w:t>
      </w:r>
      <w:r>
        <w:rPr>
          <w:color w:val="231F20"/>
          <w:spacing w:val="5"/>
        </w:rPr>
        <w:t> </w:t>
      </w:r>
      <w:r>
        <w:rPr>
          <w:color w:val="231F20"/>
        </w:rPr>
        <w:t>de interpretar algunos de los significados de trabajar en</w:t>
      </w:r>
      <w:r>
        <w:rPr>
          <w:color w:val="231F20"/>
          <w:spacing w:val="35"/>
        </w:rPr>
        <w:t> </w:t>
      </w:r>
      <w:r>
        <w:rPr>
          <w:color w:val="231F20"/>
        </w:rPr>
        <w:t>estas</w:t>
      </w:r>
      <w:r>
        <w:rPr>
          <w:color w:val="231F20"/>
          <w:spacing w:val="10"/>
        </w:rPr>
        <w:t> </w:t>
      </w:r>
      <w:r>
        <w:rPr>
          <w:color w:val="231F20"/>
        </w:rPr>
        <w:t>instituciones</w:t>
      </w:r>
      <w:r>
        <w:rPr>
          <w:color w:val="231F20"/>
          <w:w w:val="100"/>
        </w:rPr>
        <w:t> </w:t>
      </w:r>
      <w:r>
        <w:rPr>
          <w:color w:val="231F20"/>
        </w:rPr>
        <w:t>que</w:t>
      </w:r>
      <w:r>
        <w:rPr>
          <w:color w:val="231F20"/>
          <w:spacing w:val="20"/>
        </w:rPr>
        <w:t> </w:t>
      </w:r>
      <w:r>
        <w:rPr>
          <w:color w:val="231F20"/>
        </w:rPr>
        <w:t>emergen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relatos</w:t>
      </w:r>
      <w:r>
        <w:rPr>
          <w:color w:val="231F20"/>
          <w:spacing w:val="20"/>
        </w:rPr>
        <w:t> </w:t>
      </w:r>
      <w:r>
        <w:rPr>
          <w:color w:val="231F20"/>
        </w:rPr>
        <w:t>del</w:t>
      </w:r>
      <w:r>
        <w:rPr>
          <w:color w:val="231F20"/>
          <w:spacing w:val="20"/>
        </w:rPr>
        <w:t> </w:t>
      </w:r>
      <w:r>
        <w:rPr>
          <w:color w:val="231F20"/>
        </w:rPr>
        <w:t>personal</w:t>
      </w:r>
      <w:r>
        <w:rPr>
          <w:color w:val="231F20"/>
          <w:spacing w:val="20"/>
        </w:rPr>
        <w:t> </w:t>
      </w:r>
      <w:r>
        <w:rPr>
          <w:color w:val="231F20"/>
        </w:rPr>
        <w:t>especializado</w:t>
      </w:r>
      <w:r>
        <w:rPr>
          <w:color w:val="231F20"/>
          <w:spacing w:val="19"/>
        </w:rPr>
        <w:t> </w:t>
      </w:r>
      <w:r>
        <w:rPr>
          <w:color w:val="231F20"/>
        </w:rPr>
        <w:t>de</w:t>
      </w:r>
      <w:r>
        <w:rPr>
          <w:color w:val="231F20"/>
          <w:spacing w:val="20"/>
        </w:rPr>
        <w:t> </w:t>
      </w:r>
      <w:r>
        <w:rPr>
          <w:color w:val="231F20"/>
        </w:rPr>
        <w:t>dos</w:t>
      </w:r>
      <w:r>
        <w:rPr>
          <w:color w:val="231F20"/>
          <w:spacing w:val="20"/>
        </w:rPr>
        <w:t> </w:t>
      </w:r>
      <w:r>
        <w:rPr>
          <w:color w:val="231F20"/>
        </w:rPr>
        <w:t>de</w:t>
      </w:r>
      <w:r>
        <w:rPr>
          <w:color w:val="231F20"/>
          <w:spacing w:val="20"/>
        </w:rPr>
        <w:t> </w:t>
      </w:r>
      <w:r>
        <w:rPr>
          <w:color w:val="231F20"/>
        </w:rPr>
        <w:t>ellas,</w:t>
      </w:r>
      <w:r>
        <w:rPr>
          <w:color w:val="231F20"/>
          <w:w w:val="100"/>
        </w:rPr>
        <w:t> </w:t>
      </w:r>
      <w:r>
        <w:rPr>
          <w:color w:val="231F20"/>
        </w:rPr>
        <w:t>una</w:t>
      </w:r>
      <w:r>
        <w:rPr>
          <w:color w:val="231F20"/>
          <w:spacing w:val="-9"/>
        </w:rPr>
        <w:t> </w:t>
      </w:r>
      <w:r>
        <w:rPr>
          <w:color w:val="231F20"/>
        </w:rPr>
        <w:t>pública</w:t>
      </w:r>
      <w:r>
        <w:rPr>
          <w:color w:val="231F20"/>
          <w:spacing w:val="-9"/>
        </w:rPr>
        <w:t> </w:t>
      </w:r>
      <w:r>
        <w:rPr>
          <w:color w:val="231F20"/>
        </w:rPr>
        <w:t>y</w:t>
      </w:r>
      <w:r>
        <w:rPr>
          <w:color w:val="231F20"/>
          <w:spacing w:val="-9"/>
        </w:rPr>
        <w:t> </w:t>
      </w:r>
      <w:r>
        <w:rPr>
          <w:color w:val="231F20"/>
        </w:rPr>
        <w:t>otra</w:t>
      </w:r>
      <w:r>
        <w:rPr>
          <w:color w:val="231F20"/>
          <w:spacing w:val="-9"/>
        </w:rPr>
        <w:t> </w:t>
      </w:r>
      <w:r>
        <w:rPr>
          <w:color w:val="231F20"/>
        </w:rPr>
        <w:t>privada,</w:t>
      </w:r>
      <w:r>
        <w:rPr>
          <w:color w:val="231F20"/>
          <w:spacing w:val="-9"/>
        </w:rPr>
        <w:t> </w:t>
      </w:r>
      <w:r>
        <w:rPr>
          <w:color w:val="231F20"/>
        </w:rPr>
        <w:t>del</w:t>
      </w:r>
      <w:r>
        <w:rPr>
          <w:color w:val="231F20"/>
          <w:spacing w:val="-9"/>
        </w:rPr>
        <w:t> </w:t>
      </w:r>
      <w:r>
        <w:rPr>
          <w:color w:val="231F20"/>
        </w:rPr>
        <w:t>centro</w:t>
      </w:r>
      <w:r>
        <w:rPr>
          <w:color w:val="231F20"/>
          <w:spacing w:val="-10"/>
        </w:rPr>
        <w:t> </w:t>
      </w:r>
      <w:r>
        <w:rPr>
          <w:color w:val="231F20"/>
        </w:rPr>
        <w:t>de</w:t>
      </w:r>
      <w:r>
        <w:rPr>
          <w:color w:val="231F20"/>
          <w:spacing w:val="-9"/>
        </w:rPr>
        <w:t> </w:t>
      </w:r>
      <w:r>
        <w:rPr>
          <w:color w:val="231F20"/>
        </w:rPr>
        <w:t>México,</w:t>
      </w:r>
      <w:r>
        <w:rPr>
          <w:color w:val="231F20"/>
          <w:spacing w:val="-9"/>
        </w:rPr>
        <w:t> </w:t>
      </w:r>
      <w:r>
        <w:rPr>
          <w:color w:val="231F20"/>
        </w:rPr>
        <w:t>investigadas</w:t>
      </w:r>
      <w:r>
        <w:rPr>
          <w:color w:val="231F20"/>
          <w:spacing w:val="-10"/>
        </w:rPr>
        <w:t> </w:t>
      </w:r>
      <w:r>
        <w:rPr>
          <w:color w:val="231F20"/>
        </w:rPr>
        <w:t>entre</w:t>
      </w:r>
      <w:r>
        <w:rPr>
          <w:color w:val="231F20"/>
          <w:spacing w:val="-10"/>
        </w:rPr>
        <w:t> </w:t>
      </w:r>
      <w:r>
        <w:rPr>
          <w:color w:val="231F20"/>
        </w:rPr>
        <w:t>2012</w:t>
      </w:r>
      <w:r>
        <w:rPr>
          <w:color w:val="231F20"/>
          <w:w w:val="100"/>
        </w:rPr>
        <w:t> </w:t>
      </w:r>
      <w:r>
        <w:rPr>
          <w:color w:val="231F20"/>
        </w:rPr>
        <w:t>y 2013 por quien escribe.</w:t>
      </w:r>
      <w:r>
        <w:rPr>
          <w:color w:val="231F20"/>
          <w:position w:val="7"/>
          <w:sz w:val="11"/>
        </w:rPr>
        <w:t>1 </w:t>
      </w:r>
      <w:r>
        <w:rPr>
          <w:color w:val="231F20"/>
        </w:rPr>
        <w:t>Es decir, interpretaremos los modos </w:t>
      </w:r>
      <w:r>
        <w:rPr>
          <w:color w:val="231F20"/>
          <w:spacing w:val="18"/>
        </w:rPr>
        <w:t> </w:t>
      </w:r>
      <w:r>
        <w:rPr>
          <w:color w:val="231F20"/>
        </w:rPr>
        <w:t>en</w:t>
      </w:r>
      <w:r>
        <w:rPr>
          <w:color w:val="231F20"/>
          <w:spacing w:val="17"/>
        </w:rPr>
        <w:t> </w:t>
      </w:r>
      <w:r>
        <w:rPr>
          <w:color w:val="231F20"/>
        </w:rPr>
        <w:t>que el personal especializado de tales instituciones significa su trabajo,   </w:t>
      </w:r>
      <w:r>
        <w:rPr>
          <w:color w:val="231F20"/>
          <w:spacing w:val="18"/>
        </w:rPr>
        <w:t> </w:t>
      </w:r>
      <w:r>
        <w:rPr>
          <w:color w:val="231F20"/>
        </w:rPr>
        <w:t>las</w:t>
      </w:r>
    </w:p>
    <w:p>
      <w:pPr>
        <w:pStyle w:val="BodyText"/>
        <w:spacing w:before="1"/>
        <w:ind w:left="113"/>
        <w:jc w:val="both"/>
      </w:pPr>
      <w:r>
        <w:rPr>
          <w:color w:val="231F20"/>
        </w:rPr>
        <w:t>demandas que éste le implica y sus aspiraciones que tiene en el futuro.</w:t>
      </w:r>
    </w:p>
    <w:p>
      <w:pPr>
        <w:pStyle w:val="BodyText"/>
        <w:spacing w:before="5"/>
        <w:rPr>
          <w:sz w:val="29"/>
        </w:rPr>
      </w:pPr>
    </w:p>
    <w:p>
      <w:pPr>
        <w:spacing w:before="0"/>
        <w:ind w:left="113" w:right="107" w:firstLine="0"/>
        <w:jc w:val="both"/>
        <w:rPr>
          <w:sz w:val="14"/>
        </w:rPr>
      </w:pPr>
      <w:r>
        <w:rPr>
          <w:color w:val="231F20"/>
          <w:position w:val="5"/>
          <w:sz w:val="8"/>
        </w:rPr>
        <w:t>1 </w:t>
      </w:r>
      <w:r>
        <w:rPr>
          <w:color w:val="231F20"/>
          <w:sz w:val="14"/>
        </w:rPr>
        <w:t>Las instituciones a que nos referimos son Centro Amanecer para Niños y Hogares Providencia, de carácter</w:t>
      </w:r>
      <w:r>
        <w:rPr>
          <w:color w:val="231F20"/>
          <w:spacing w:val="-8"/>
          <w:sz w:val="14"/>
        </w:rPr>
        <w:t> </w:t>
      </w:r>
      <w:r>
        <w:rPr>
          <w:color w:val="231F20"/>
          <w:sz w:val="14"/>
        </w:rPr>
        <w:t>público</w:t>
      </w:r>
      <w:r>
        <w:rPr>
          <w:color w:val="231F20"/>
          <w:spacing w:val="-8"/>
          <w:sz w:val="14"/>
        </w:rPr>
        <w:t> </w:t>
      </w:r>
      <w:r>
        <w:rPr>
          <w:color w:val="231F20"/>
          <w:sz w:val="14"/>
        </w:rPr>
        <w:t>y</w:t>
      </w:r>
      <w:r>
        <w:rPr>
          <w:color w:val="231F20"/>
          <w:spacing w:val="-8"/>
          <w:sz w:val="14"/>
        </w:rPr>
        <w:t> </w:t>
      </w:r>
      <w:r>
        <w:rPr>
          <w:color w:val="231F20"/>
          <w:sz w:val="14"/>
        </w:rPr>
        <w:t>privado,</w:t>
      </w:r>
      <w:r>
        <w:rPr>
          <w:color w:val="231F20"/>
          <w:spacing w:val="-7"/>
          <w:sz w:val="14"/>
        </w:rPr>
        <w:t> </w:t>
      </w:r>
      <w:r>
        <w:rPr>
          <w:color w:val="231F20"/>
          <w:sz w:val="14"/>
        </w:rPr>
        <w:t>respectivamente.</w:t>
      </w:r>
      <w:r>
        <w:rPr>
          <w:color w:val="231F20"/>
          <w:spacing w:val="-8"/>
          <w:sz w:val="14"/>
        </w:rPr>
        <w:t> </w:t>
      </w:r>
      <w:r>
        <w:rPr>
          <w:color w:val="231F20"/>
          <w:sz w:val="14"/>
        </w:rPr>
        <w:t>La</w:t>
      </w:r>
      <w:r>
        <w:rPr>
          <w:color w:val="231F20"/>
          <w:spacing w:val="-8"/>
          <w:sz w:val="14"/>
        </w:rPr>
        <w:t> </w:t>
      </w:r>
      <w:r>
        <w:rPr>
          <w:color w:val="231F20"/>
          <w:sz w:val="14"/>
        </w:rPr>
        <w:t>primera</w:t>
      </w:r>
      <w:r>
        <w:rPr>
          <w:color w:val="231F20"/>
          <w:spacing w:val="-8"/>
          <w:sz w:val="14"/>
        </w:rPr>
        <w:t> </w:t>
      </w:r>
      <w:r>
        <w:rPr>
          <w:color w:val="231F20"/>
          <w:sz w:val="14"/>
        </w:rPr>
        <w:t>de</w:t>
      </w:r>
      <w:r>
        <w:rPr>
          <w:color w:val="231F20"/>
          <w:spacing w:val="-7"/>
          <w:sz w:val="14"/>
        </w:rPr>
        <w:t> </w:t>
      </w:r>
      <w:r>
        <w:rPr>
          <w:color w:val="231F20"/>
          <w:sz w:val="14"/>
        </w:rPr>
        <w:t>ellas,</w:t>
      </w:r>
      <w:r>
        <w:rPr>
          <w:color w:val="231F20"/>
          <w:spacing w:val="-8"/>
          <w:sz w:val="14"/>
        </w:rPr>
        <w:t> </w:t>
      </w:r>
      <w:r>
        <w:rPr>
          <w:color w:val="231F20"/>
          <w:sz w:val="14"/>
        </w:rPr>
        <w:t>ubicada</w:t>
      </w:r>
      <w:r>
        <w:rPr>
          <w:color w:val="231F20"/>
          <w:spacing w:val="-8"/>
          <w:sz w:val="14"/>
        </w:rPr>
        <w:t> </w:t>
      </w:r>
      <w:r>
        <w:rPr>
          <w:color w:val="231F20"/>
          <w:sz w:val="14"/>
        </w:rPr>
        <w:t>en</w:t>
      </w:r>
      <w:r>
        <w:rPr>
          <w:color w:val="231F20"/>
          <w:spacing w:val="-8"/>
          <w:sz w:val="14"/>
        </w:rPr>
        <w:t> </w:t>
      </w:r>
      <w:r>
        <w:rPr>
          <w:color w:val="231F20"/>
          <w:sz w:val="14"/>
        </w:rPr>
        <w:t>la</w:t>
      </w:r>
      <w:r>
        <w:rPr>
          <w:color w:val="231F20"/>
          <w:spacing w:val="-8"/>
          <w:sz w:val="14"/>
        </w:rPr>
        <w:t> </w:t>
      </w:r>
      <w:r>
        <w:rPr>
          <w:color w:val="231F20"/>
          <w:sz w:val="14"/>
        </w:rPr>
        <w:t>Ciudad</w:t>
      </w:r>
      <w:r>
        <w:rPr>
          <w:color w:val="231F20"/>
          <w:spacing w:val="-8"/>
          <w:sz w:val="14"/>
        </w:rPr>
        <w:t> </w:t>
      </w:r>
      <w:r>
        <w:rPr>
          <w:color w:val="231F20"/>
          <w:sz w:val="14"/>
        </w:rPr>
        <w:t>de</w:t>
      </w:r>
      <w:r>
        <w:rPr>
          <w:color w:val="231F20"/>
          <w:spacing w:val="-8"/>
          <w:sz w:val="14"/>
        </w:rPr>
        <w:t> </w:t>
      </w:r>
      <w:r>
        <w:rPr>
          <w:color w:val="231F20"/>
          <w:sz w:val="14"/>
        </w:rPr>
        <w:t>México,</w:t>
      </w:r>
      <w:r>
        <w:rPr>
          <w:color w:val="231F20"/>
          <w:spacing w:val="-7"/>
          <w:sz w:val="14"/>
        </w:rPr>
        <w:t> </w:t>
      </w:r>
      <w:r>
        <w:rPr>
          <w:color w:val="231F20"/>
          <w:sz w:val="14"/>
        </w:rPr>
        <w:t>forma parte</w:t>
      </w:r>
      <w:r>
        <w:rPr>
          <w:color w:val="231F20"/>
          <w:spacing w:val="-3"/>
          <w:sz w:val="14"/>
        </w:rPr>
        <w:t> </w:t>
      </w:r>
      <w:r>
        <w:rPr>
          <w:color w:val="231F20"/>
          <w:sz w:val="14"/>
        </w:rPr>
        <w:t>del</w:t>
      </w:r>
      <w:r>
        <w:rPr>
          <w:color w:val="231F20"/>
          <w:spacing w:val="-3"/>
          <w:sz w:val="14"/>
        </w:rPr>
        <w:t> </w:t>
      </w:r>
      <w:r>
        <w:rPr>
          <w:color w:val="231F20"/>
          <w:sz w:val="14"/>
        </w:rPr>
        <w:t>Sistema</w:t>
      </w:r>
      <w:r>
        <w:rPr>
          <w:color w:val="231F20"/>
          <w:spacing w:val="-3"/>
          <w:sz w:val="14"/>
        </w:rPr>
        <w:t> </w:t>
      </w:r>
      <w:r>
        <w:rPr>
          <w:color w:val="231F20"/>
          <w:sz w:val="14"/>
        </w:rPr>
        <w:t>Nacional</w:t>
      </w:r>
      <w:r>
        <w:rPr>
          <w:color w:val="231F20"/>
          <w:spacing w:val="-2"/>
          <w:sz w:val="14"/>
        </w:rPr>
        <w:t> </w:t>
      </w:r>
      <w:r>
        <w:rPr>
          <w:color w:val="231F20"/>
          <w:sz w:val="14"/>
        </w:rPr>
        <w:t>para</w:t>
      </w:r>
      <w:r>
        <w:rPr>
          <w:color w:val="231F20"/>
          <w:spacing w:val="-3"/>
          <w:sz w:val="14"/>
        </w:rPr>
        <w:t> </w:t>
      </w:r>
      <w:r>
        <w:rPr>
          <w:color w:val="231F20"/>
          <w:sz w:val="14"/>
        </w:rPr>
        <w:t>el</w:t>
      </w:r>
      <w:r>
        <w:rPr>
          <w:color w:val="231F20"/>
          <w:spacing w:val="-3"/>
          <w:sz w:val="14"/>
        </w:rPr>
        <w:t> </w:t>
      </w:r>
      <w:r>
        <w:rPr>
          <w:color w:val="231F20"/>
          <w:sz w:val="14"/>
        </w:rPr>
        <w:t>Desarrollo</w:t>
      </w:r>
      <w:r>
        <w:rPr>
          <w:color w:val="231F20"/>
          <w:spacing w:val="-2"/>
          <w:sz w:val="14"/>
        </w:rPr>
        <w:t> </w:t>
      </w:r>
      <w:r>
        <w:rPr>
          <w:color w:val="231F20"/>
          <w:sz w:val="14"/>
        </w:rPr>
        <w:t>Integral</w:t>
      </w:r>
      <w:r>
        <w:rPr>
          <w:color w:val="231F20"/>
          <w:spacing w:val="-3"/>
          <w:sz w:val="14"/>
        </w:rPr>
        <w:t> </w:t>
      </w:r>
      <w:r>
        <w:rPr>
          <w:color w:val="231F20"/>
          <w:sz w:val="14"/>
        </w:rPr>
        <w:t>de</w:t>
      </w:r>
      <w:r>
        <w:rPr>
          <w:color w:val="231F20"/>
          <w:spacing w:val="-3"/>
          <w:sz w:val="14"/>
        </w:rPr>
        <w:t> </w:t>
      </w:r>
      <w:r>
        <w:rPr>
          <w:color w:val="231F20"/>
          <w:sz w:val="14"/>
        </w:rPr>
        <w:t>la</w:t>
      </w:r>
      <w:r>
        <w:rPr>
          <w:color w:val="231F20"/>
          <w:spacing w:val="-3"/>
          <w:sz w:val="14"/>
        </w:rPr>
        <w:t> </w:t>
      </w:r>
      <w:r>
        <w:rPr>
          <w:color w:val="231F20"/>
          <w:sz w:val="14"/>
        </w:rPr>
        <w:t>Familia</w:t>
      </w:r>
      <w:r>
        <w:rPr>
          <w:color w:val="231F20"/>
          <w:spacing w:val="-3"/>
          <w:sz w:val="14"/>
        </w:rPr>
        <w:t> </w:t>
      </w:r>
      <w:r>
        <w:rPr>
          <w:color w:val="231F20"/>
          <w:sz w:val="14"/>
        </w:rPr>
        <w:t>(DIF).</w:t>
      </w:r>
      <w:r>
        <w:rPr>
          <w:color w:val="231F20"/>
          <w:spacing w:val="-11"/>
          <w:sz w:val="14"/>
        </w:rPr>
        <w:t> </w:t>
      </w:r>
      <w:r>
        <w:rPr>
          <w:color w:val="231F20"/>
          <w:sz w:val="14"/>
        </w:rPr>
        <w:t>Al</w:t>
      </w:r>
      <w:r>
        <w:rPr>
          <w:color w:val="231F20"/>
          <w:spacing w:val="-3"/>
          <w:sz w:val="14"/>
        </w:rPr>
        <w:t> </w:t>
      </w:r>
      <w:r>
        <w:rPr>
          <w:color w:val="231F20"/>
          <w:sz w:val="14"/>
        </w:rPr>
        <w:t>momento</w:t>
      </w:r>
      <w:r>
        <w:rPr>
          <w:color w:val="231F20"/>
          <w:spacing w:val="-3"/>
          <w:sz w:val="14"/>
        </w:rPr>
        <w:t> </w:t>
      </w:r>
      <w:r>
        <w:rPr>
          <w:color w:val="231F20"/>
          <w:sz w:val="14"/>
        </w:rPr>
        <w:t>de</w:t>
      </w:r>
      <w:r>
        <w:rPr>
          <w:color w:val="231F20"/>
          <w:spacing w:val="-3"/>
          <w:sz w:val="14"/>
        </w:rPr>
        <w:t> </w:t>
      </w:r>
      <w:r>
        <w:rPr>
          <w:color w:val="231F20"/>
          <w:sz w:val="14"/>
        </w:rPr>
        <w:t>la</w:t>
      </w:r>
      <w:r>
        <w:rPr>
          <w:color w:val="231F20"/>
          <w:spacing w:val="-3"/>
          <w:sz w:val="14"/>
        </w:rPr>
        <w:t> </w:t>
      </w:r>
      <w:r>
        <w:rPr>
          <w:color w:val="231F20"/>
          <w:sz w:val="14"/>
        </w:rPr>
        <w:t>investiga- ción en 2012 y 2013 atendía a 38 varones de 6 a 12 años de edad; mientras que la segunda, localizada en Toluca, Estado de México, forma parte de un sistema asistencial nacional del mismo nombre, cuya población era de 14 niñas de similares edades así como dos jovencitas de 18 y 19</w:t>
      </w:r>
      <w:r>
        <w:rPr>
          <w:color w:val="231F20"/>
          <w:spacing w:val="-14"/>
          <w:sz w:val="14"/>
        </w:rPr>
        <w:t> </w:t>
      </w:r>
      <w:r>
        <w:rPr>
          <w:color w:val="231F20"/>
          <w:sz w:val="14"/>
        </w:rPr>
        <w:t>años.</w:t>
      </w:r>
    </w:p>
    <w:p>
      <w:pPr>
        <w:spacing w:line="154" w:lineRule="exact" w:before="0"/>
        <w:ind w:left="113" w:right="0" w:firstLine="0"/>
        <w:jc w:val="both"/>
        <w:rPr>
          <w:sz w:val="14"/>
        </w:rPr>
      </w:pPr>
      <w:r>
        <w:rPr>
          <w:color w:val="231F20"/>
          <w:sz w:val="14"/>
        </w:rPr>
        <w:t>* Profesor-investigador de la Universidad Autónoma del Estado de México.</w:t>
      </w:r>
    </w:p>
    <w:p>
      <w:pPr>
        <w:spacing w:after="0" w:line="154" w:lineRule="exact"/>
        <w:jc w:val="both"/>
        <w:rPr>
          <w:sz w:val="14"/>
        </w:rPr>
        <w:sectPr>
          <w:footerReference w:type="default" r:id="rId310"/>
          <w:pgSz w:w="7770" w:h="11740"/>
          <w:pgMar w:footer="474" w:header="0" w:top="820" w:bottom="660" w:left="1020" w:right="740"/>
          <w:pgNumType w:start="305"/>
        </w:sectPr>
      </w:pPr>
    </w:p>
    <w:p>
      <w:pPr>
        <w:pStyle w:val="BodyText"/>
        <w:spacing w:line="249" w:lineRule="auto" w:before="63"/>
        <w:ind w:left="110" w:right="111" w:firstLine="283"/>
        <w:jc w:val="right"/>
      </w:pPr>
      <w:r>
        <w:rPr>
          <w:color w:val="231F20"/>
        </w:rPr>
        <w:t>Estos significados, fueron recuperados de 14</w:t>
      </w:r>
      <w:r>
        <w:rPr>
          <w:color w:val="231F20"/>
          <w:spacing w:val="38"/>
        </w:rPr>
        <w:t> </w:t>
      </w:r>
      <w:r>
        <w:rPr>
          <w:color w:val="231F20"/>
        </w:rPr>
        <w:t>entrevistas</w:t>
      </w:r>
      <w:r>
        <w:rPr>
          <w:color w:val="231F20"/>
          <w:spacing w:val="5"/>
        </w:rPr>
        <w:t> </w:t>
      </w:r>
      <w:r>
        <w:rPr>
          <w:color w:val="231F20"/>
        </w:rPr>
        <w:t>semiestruc- turadas</w:t>
      </w:r>
      <w:r>
        <w:rPr>
          <w:color w:val="231F20"/>
          <w:spacing w:val="18"/>
        </w:rPr>
        <w:t> </w:t>
      </w:r>
      <w:r>
        <w:rPr>
          <w:color w:val="231F20"/>
        </w:rPr>
        <w:t>realizadas</w:t>
      </w:r>
      <w:r>
        <w:rPr>
          <w:color w:val="231F20"/>
          <w:spacing w:val="18"/>
        </w:rPr>
        <w:t> </w:t>
      </w:r>
      <w:r>
        <w:rPr>
          <w:color w:val="231F20"/>
        </w:rPr>
        <w:t>a</w:t>
      </w:r>
      <w:r>
        <w:rPr>
          <w:color w:val="231F20"/>
          <w:spacing w:val="18"/>
        </w:rPr>
        <w:t> </w:t>
      </w:r>
      <w:r>
        <w:rPr>
          <w:color w:val="231F20"/>
        </w:rPr>
        <w:t>profesionales</w:t>
      </w:r>
      <w:r>
        <w:rPr>
          <w:color w:val="231F20"/>
          <w:spacing w:val="18"/>
        </w:rPr>
        <w:t> </w:t>
      </w:r>
      <w:r>
        <w:rPr>
          <w:color w:val="231F20"/>
        </w:rPr>
        <w:t>de</w:t>
      </w:r>
      <w:r>
        <w:rPr>
          <w:color w:val="231F20"/>
          <w:spacing w:val="18"/>
        </w:rPr>
        <w:t> </w:t>
      </w:r>
      <w:r>
        <w:rPr>
          <w:color w:val="231F20"/>
        </w:rPr>
        <w:t>diferente</w:t>
      </w:r>
      <w:r>
        <w:rPr>
          <w:color w:val="231F20"/>
          <w:spacing w:val="18"/>
        </w:rPr>
        <w:t> </w:t>
      </w:r>
      <w:r>
        <w:rPr>
          <w:color w:val="231F20"/>
        </w:rPr>
        <w:t>rango,</w:t>
      </w:r>
      <w:r>
        <w:rPr>
          <w:color w:val="231F20"/>
          <w:spacing w:val="18"/>
        </w:rPr>
        <w:t> </w:t>
      </w:r>
      <w:r>
        <w:rPr>
          <w:color w:val="231F20"/>
        </w:rPr>
        <w:t>de</w:t>
      </w:r>
      <w:r>
        <w:rPr>
          <w:color w:val="231F20"/>
          <w:spacing w:val="18"/>
        </w:rPr>
        <w:t> </w:t>
      </w:r>
      <w:r>
        <w:rPr>
          <w:color w:val="231F20"/>
        </w:rPr>
        <w:t>entre</w:t>
      </w:r>
      <w:r>
        <w:rPr>
          <w:color w:val="231F20"/>
          <w:spacing w:val="18"/>
        </w:rPr>
        <w:t> </w:t>
      </w:r>
      <w:r>
        <w:rPr>
          <w:color w:val="231F20"/>
        </w:rPr>
        <w:t>35</w:t>
      </w:r>
      <w:r>
        <w:rPr>
          <w:color w:val="231F20"/>
          <w:spacing w:val="18"/>
        </w:rPr>
        <w:t> </w:t>
      </w:r>
      <w:r>
        <w:rPr>
          <w:color w:val="231F20"/>
        </w:rPr>
        <w:t>y</w:t>
      </w:r>
      <w:r>
        <w:rPr>
          <w:color w:val="231F20"/>
          <w:spacing w:val="18"/>
        </w:rPr>
        <w:t> </w:t>
      </w:r>
      <w:r>
        <w:rPr>
          <w:color w:val="231F20"/>
        </w:rPr>
        <w:t>65 año</w:t>
      </w:r>
      <w:r>
        <w:rPr>
          <w:color w:val="231F20"/>
          <w:spacing w:val="23"/>
        </w:rPr>
        <w:t> </w:t>
      </w:r>
      <w:r>
        <w:rPr>
          <w:color w:val="231F20"/>
        </w:rPr>
        <w:t>de</w:t>
      </w:r>
      <w:r>
        <w:rPr>
          <w:color w:val="231F20"/>
          <w:spacing w:val="23"/>
        </w:rPr>
        <w:t> </w:t>
      </w:r>
      <w:r>
        <w:rPr>
          <w:color w:val="231F20"/>
        </w:rPr>
        <w:t>edad,</w:t>
      </w:r>
      <w:r>
        <w:rPr>
          <w:color w:val="231F20"/>
          <w:spacing w:val="23"/>
        </w:rPr>
        <w:t> </w:t>
      </w:r>
      <w:r>
        <w:rPr>
          <w:color w:val="231F20"/>
        </w:rPr>
        <w:t>que</w:t>
      </w:r>
      <w:r>
        <w:rPr>
          <w:color w:val="231F20"/>
          <w:spacing w:val="23"/>
        </w:rPr>
        <w:t> </w:t>
      </w:r>
      <w:r>
        <w:rPr>
          <w:color w:val="231F20"/>
        </w:rPr>
        <w:t>habían</w:t>
      </w:r>
      <w:r>
        <w:rPr>
          <w:color w:val="231F20"/>
          <w:spacing w:val="23"/>
        </w:rPr>
        <w:t> </w:t>
      </w:r>
      <w:r>
        <w:rPr>
          <w:color w:val="231F20"/>
        </w:rPr>
        <w:t>ingresado</w:t>
      </w:r>
      <w:r>
        <w:rPr>
          <w:color w:val="231F20"/>
          <w:spacing w:val="22"/>
        </w:rPr>
        <w:t> </w:t>
      </w:r>
      <w:r>
        <w:rPr>
          <w:color w:val="231F20"/>
        </w:rPr>
        <w:t>a</w:t>
      </w:r>
      <w:r>
        <w:rPr>
          <w:color w:val="231F20"/>
          <w:spacing w:val="23"/>
        </w:rPr>
        <w:t> </w:t>
      </w:r>
      <w:r>
        <w:rPr>
          <w:color w:val="231F20"/>
        </w:rPr>
        <w:t>trabajar</w:t>
      </w:r>
      <w:r>
        <w:rPr>
          <w:color w:val="231F20"/>
          <w:spacing w:val="22"/>
        </w:rPr>
        <w:t> </w:t>
      </w:r>
      <w:r>
        <w:rPr>
          <w:color w:val="231F20"/>
        </w:rPr>
        <w:t>en</w:t>
      </w:r>
      <w:r>
        <w:rPr>
          <w:color w:val="231F20"/>
          <w:spacing w:val="23"/>
        </w:rPr>
        <w:t> </w:t>
      </w:r>
      <w:r>
        <w:rPr>
          <w:color w:val="231F20"/>
        </w:rPr>
        <w:t>los</w:t>
      </w:r>
      <w:r>
        <w:rPr>
          <w:color w:val="231F20"/>
          <w:spacing w:val="23"/>
        </w:rPr>
        <w:t> </w:t>
      </w:r>
      <w:r>
        <w:rPr>
          <w:color w:val="231F20"/>
        </w:rPr>
        <w:t>últimos</w:t>
      </w:r>
      <w:r>
        <w:rPr>
          <w:color w:val="231F20"/>
          <w:spacing w:val="23"/>
        </w:rPr>
        <w:t> </w:t>
      </w:r>
      <w:r>
        <w:rPr>
          <w:color w:val="231F20"/>
        </w:rPr>
        <w:t>seis</w:t>
      </w:r>
      <w:r>
        <w:rPr>
          <w:color w:val="231F20"/>
          <w:spacing w:val="23"/>
        </w:rPr>
        <w:t> </w:t>
      </w:r>
      <w:r>
        <w:rPr>
          <w:color w:val="231F20"/>
        </w:rPr>
        <w:t>años en</w:t>
      </w:r>
      <w:r>
        <w:rPr>
          <w:color w:val="231F20"/>
          <w:spacing w:val="23"/>
        </w:rPr>
        <w:t> </w:t>
      </w:r>
      <w:r>
        <w:rPr>
          <w:color w:val="231F20"/>
        </w:rPr>
        <w:t>ambas</w:t>
      </w:r>
      <w:r>
        <w:rPr>
          <w:color w:val="231F20"/>
          <w:spacing w:val="23"/>
        </w:rPr>
        <w:t> </w:t>
      </w:r>
      <w:r>
        <w:rPr>
          <w:color w:val="231F20"/>
        </w:rPr>
        <w:t>instituciones.</w:t>
      </w:r>
      <w:r>
        <w:rPr>
          <w:color w:val="231F20"/>
          <w:spacing w:val="23"/>
        </w:rPr>
        <w:t> </w:t>
      </w:r>
      <w:r>
        <w:rPr>
          <w:color w:val="231F20"/>
        </w:rPr>
        <w:t>Dichas</w:t>
      </w:r>
      <w:r>
        <w:rPr>
          <w:color w:val="231F20"/>
          <w:spacing w:val="23"/>
        </w:rPr>
        <w:t> </w:t>
      </w:r>
      <w:r>
        <w:rPr>
          <w:color w:val="231F20"/>
        </w:rPr>
        <w:t>entrevistas</w:t>
      </w:r>
      <w:r>
        <w:rPr>
          <w:color w:val="231F20"/>
          <w:spacing w:val="22"/>
        </w:rPr>
        <w:t> </w:t>
      </w:r>
      <w:r>
        <w:rPr>
          <w:color w:val="231F20"/>
        </w:rPr>
        <w:t>incluían</w:t>
      </w:r>
      <w:r>
        <w:rPr>
          <w:color w:val="231F20"/>
          <w:spacing w:val="23"/>
        </w:rPr>
        <w:t> </w:t>
      </w:r>
      <w:r>
        <w:rPr>
          <w:color w:val="231F20"/>
        </w:rPr>
        <w:t>a</w:t>
      </w:r>
      <w:r>
        <w:rPr>
          <w:color w:val="231F20"/>
          <w:spacing w:val="23"/>
        </w:rPr>
        <w:t> </w:t>
      </w:r>
      <w:r>
        <w:rPr>
          <w:color w:val="231F20"/>
        </w:rPr>
        <w:t>13</w:t>
      </w:r>
      <w:r>
        <w:rPr>
          <w:color w:val="231F20"/>
          <w:spacing w:val="23"/>
        </w:rPr>
        <w:t> </w:t>
      </w:r>
      <w:r>
        <w:rPr>
          <w:color w:val="231F20"/>
        </w:rPr>
        <w:t>mujeres</w:t>
      </w:r>
      <w:r>
        <w:rPr>
          <w:color w:val="231F20"/>
          <w:spacing w:val="23"/>
        </w:rPr>
        <w:t> </w:t>
      </w:r>
      <w:r>
        <w:rPr>
          <w:color w:val="231F20"/>
        </w:rPr>
        <w:t>y</w:t>
      </w:r>
      <w:r>
        <w:rPr>
          <w:color w:val="231F20"/>
          <w:spacing w:val="23"/>
        </w:rPr>
        <w:t> </w:t>
      </w:r>
      <w:r>
        <w:rPr>
          <w:color w:val="231F20"/>
        </w:rPr>
        <w:t>un hombre con horarios de trabajo, sueldos y prestaciones</w:t>
      </w:r>
      <w:r>
        <w:rPr>
          <w:color w:val="231F20"/>
          <w:spacing w:val="42"/>
        </w:rPr>
        <w:t> </w:t>
      </w:r>
      <w:r>
        <w:rPr>
          <w:color w:val="231F20"/>
        </w:rPr>
        <w:t>laborales</w:t>
      </w:r>
      <w:r>
        <w:rPr>
          <w:color w:val="231F20"/>
          <w:spacing w:val="5"/>
        </w:rPr>
        <w:t> </w:t>
      </w:r>
      <w:r>
        <w:rPr>
          <w:color w:val="231F20"/>
        </w:rPr>
        <w:t>distin- tos; estatus socioeconómicos desiguales y rangos</w:t>
      </w:r>
      <w:r>
        <w:rPr>
          <w:color w:val="231F20"/>
          <w:spacing w:val="7"/>
        </w:rPr>
        <w:t> </w:t>
      </w:r>
      <w:r>
        <w:rPr>
          <w:color w:val="231F20"/>
        </w:rPr>
        <w:t>jerárquicos</w:t>
      </w:r>
      <w:r>
        <w:rPr>
          <w:color w:val="231F20"/>
          <w:spacing w:val="26"/>
        </w:rPr>
        <w:t> </w:t>
      </w:r>
      <w:r>
        <w:rPr>
          <w:color w:val="231F20"/>
        </w:rPr>
        <w:t>diversos (una mujer y el hombre eran directivos, ocho mujeres</w:t>
      </w:r>
      <w:r>
        <w:rPr>
          <w:color w:val="231F20"/>
          <w:spacing w:val="45"/>
        </w:rPr>
        <w:t> </w:t>
      </w:r>
      <w:r>
        <w:rPr>
          <w:color w:val="231F20"/>
        </w:rPr>
        <w:t>eran</w:t>
      </w:r>
      <w:r>
        <w:rPr>
          <w:color w:val="231F20"/>
          <w:spacing w:val="5"/>
        </w:rPr>
        <w:t> </w:t>
      </w:r>
      <w:r>
        <w:rPr>
          <w:color w:val="231F20"/>
        </w:rPr>
        <w:t>especialistas que ocupaban rangos medios y cuatro mujeres más eran</w:t>
      </w:r>
      <w:r>
        <w:rPr>
          <w:color w:val="231F20"/>
          <w:spacing w:val="41"/>
        </w:rPr>
        <w:t> </w:t>
      </w:r>
      <w:r>
        <w:rPr>
          <w:color w:val="231F20"/>
        </w:rPr>
        <w:t>cuidadoras</w:t>
      </w:r>
      <w:r>
        <w:rPr>
          <w:color w:val="231F20"/>
          <w:spacing w:val="15"/>
        </w:rPr>
        <w:t> </w:t>
      </w:r>
      <w:r>
        <w:rPr>
          <w:color w:val="231F20"/>
        </w:rPr>
        <w:t>de los</w:t>
      </w:r>
      <w:r>
        <w:rPr>
          <w:color w:val="231F20"/>
          <w:spacing w:val="-6"/>
        </w:rPr>
        <w:t> </w:t>
      </w:r>
      <w:r>
        <w:rPr>
          <w:color w:val="231F20"/>
        </w:rPr>
        <w:t>niños</w:t>
      </w:r>
      <w:r>
        <w:rPr>
          <w:color w:val="231F20"/>
          <w:spacing w:val="-6"/>
        </w:rPr>
        <w:t> </w:t>
      </w:r>
      <w:r>
        <w:rPr>
          <w:color w:val="231F20"/>
        </w:rPr>
        <w:t>y</w:t>
      </w:r>
      <w:r>
        <w:rPr>
          <w:color w:val="231F20"/>
          <w:spacing w:val="-6"/>
        </w:rPr>
        <w:t> </w:t>
      </w:r>
      <w:r>
        <w:rPr>
          <w:color w:val="231F20"/>
        </w:rPr>
        <w:t>realizaban</w:t>
      </w:r>
      <w:r>
        <w:rPr>
          <w:color w:val="231F20"/>
          <w:spacing w:val="-6"/>
        </w:rPr>
        <w:t> </w:t>
      </w:r>
      <w:r>
        <w:rPr>
          <w:color w:val="231F20"/>
        </w:rPr>
        <w:t>actividades</w:t>
      </w:r>
      <w:r>
        <w:rPr>
          <w:color w:val="231F20"/>
          <w:spacing w:val="-7"/>
        </w:rPr>
        <w:t> </w:t>
      </w:r>
      <w:r>
        <w:rPr>
          <w:color w:val="231F20"/>
        </w:rPr>
        <w:t>operativas</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términos</w:t>
      </w:r>
      <w:r>
        <w:rPr>
          <w:color w:val="231F20"/>
          <w:spacing w:val="-7"/>
        </w:rPr>
        <w:t> </w:t>
      </w:r>
      <w:r>
        <w:rPr>
          <w:color w:val="231F20"/>
        </w:rPr>
        <w:t>jerárquicos ocupaban</w:t>
      </w:r>
      <w:r>
        <w:rPr>
          <w:color w:val="231F20"/>
          <w:spacing w:val="-11"/>
        </w:rPr>
        <w:t> </w:t>
      </w:r>
      <w:r>
        <w:rPr>
          <w:color w:val="231F20"/>
        </w:rPr>
        <w:t>el</w:t>
      </w:r>
      <w:r>
        <w:rPr>
          <w:color w:val="231F20"/>
          <w:spacing w:val="-11"/>
        </w:rPr>
        <w:t> </w:t>
      </w:r>
      <w:r>
        <w:rPr>
          <w:color w:val="231F20"/>
        </w:rPr>
        <w:t>nivel</w:t>
      </w:r>
      <w:r>
        <w:rPr>
          <w:color w:val="231F20"/>
          <w:spacing w:val="-11"/>
        </w:rPr>
        <w:t> </w:t>
      </w:r>
      <w:r>
        <w:rPr>
          <w:color w:val="231F20"/>
        </w:rPr>
        <w:t>más</w:t>
      </w:r>
      <w:r>
        <w:rPr>
          <w:color w:val="231F20"/>
          <w:spacing w:val="-11"/>
        </w:rPr>
        <w:t> </w:t>
      </w:r>
      <w:r>
        <w:rPr>
          <w:color w:val="231F20"/>
        </w:rPr>
        <w:t>bajo).</w:t>
      </w:r>
      <w:r>
        <w:rPr>
          <w:color w:val="231F20"/>
          <w:spacing w:val="-11"/>
        </w:rPr>
        <w:t> </w:t>
      </w:r>
      <w:r>
        <w:rPr>
          <w:color w:val="231F20"/>
        </w:rPr>
        <w:t>En</w:t>
      </w:r>
      <w:r>
        <w:rPr>
          <w:color w:val="231F20"/>
          <w:spacing w:val="-11"/>
        </w:rPr>
        <w:t> </w:t>
      </w:r>
      <w:r>
        <w:rPr>
          <w:color w:val="231F20"/>
        </w:rPr>
        <w:t>consonancia</w:t>
      </w:r>
      <w:r>
        <w:rPr>
          <w:color w:val="231F20"/>
          <w:spacing w:val="-11"/>
        </w:rPr>
        <w:t> </w:t>
      </w:r>
      <w:r>
        <w:rPr>
          <w:color w:val="231F20"/>
        </w:rPr>
        <w:t>con</w:t>
      </w:r>
      <w:r>
        <w:rPr>
          <w:color w:val="231F20"/>
          <w:spacing w:val="-11"/>
        </w:rPr>
        <w:t> </w:t>
      </w:r>
      <w:r>
        <w:rPr>
          <w:color w:val="231F20"/>
        </w:rPr>
        <w:t>Díaz</w:t>
      </w:r>
      <w:r>
        <w:rPr>
          <w:color w:val="231F20"/>
          <w:spacing w:val="-11"/>
        </w:rPr>
        <w:t> </w:t>
      </w:r>
      <w:r>
        <w:rPr>
          <w:i/>
          <w:color w:val="231F20"/>
        </w:rPr>
        <w:t>et</w:t>
      </w:r>
      <w:r>
        <w:rPr>
          <w:i/>
          <w:color w:val="231F20"/>
          <w:spacing w:val="-11"/>
        </w:rPr>
        <w:t> </w:t>
      </w:r>
      <w:r>
        <w:rPr>
          <w:i/>
          <w:color w:val="231F20"/>
        </w:rPr>
        <w:t>al</w:t>
      </w:r>
      <w:r>
        <w:rPr>
          <w:color w:val="231F20"/>
        </w:rPr>
        <w:t>.</w:t>
      </w:r>
      <w:r>
        <w:rPr>
          <w:color w:val="231F20"/>
          <w:spacing w:val="-11"/>
        </w:rPr>
        <w:t> </w:t>
      </w:r>
      <w:r>
        <w:rPr>
          <w:color w:val="231F20"/>
        </w:rPr>
        <w:t>(2005),</w:t>
      </w:r>
      <w:r>
        <w:rPr>
          <w:color w:val="231F20"/>
          <w:spacing w:val="-11"/>
        </w:rPr>
        <w:t> </w:t>
      </w:r>
      <w:r>
        <w:rPr>
          <w:color w:val="231F20"/>
        </w:rPr>
        <w:t>estas características de los entrevistados son importantes considerar,</w:t>
      </w:r>
      <w:r>
        <w:rPr>
          <w:color w:val="231F20"/>
          <w:spacing w:val="19"/>
        </w:rPr>
        <w:t> </w:t>
      </w:r>
      <w:r>
        <w:rPr>
          <w:color w:val="231F20"/>
        </w:rPr>
        <w:t>por</w:t>
      </w:r>
      <w:r>
        <w:rPr>
          <w:color w:val="231F20"/>
          <w:spacing w:val="24"/>
        </w:rPr>
        <w:t> </w:t>
      </w:r>
      <w:r>
        <w:rPr>
          <w:color w:val="231F20"/>
        </w:rPr>
        <w:t>un lado, porque como veremos más adelante inciden en el</w:t>
      </w:r>
      <w:r>
        <w:rPr>
          <w:color w:val="231F20"/>
          <w:spacing w:val="7"/>
        </w:rPr>
        <w:t> </w:t>
      </w:r>
      <w:r>
        <w:rPr>
          <w:color w:val="231F20"/>
        </w:rPr>
        <w:t>significado</w:t>
      </w:r>
      <w:r>
        <w:rPr>
          <w:color w:val="231F20"/>
          <w:spacing w:val="11"/>
        </w:rPr>
        <w:t> </w:t>
      </w:r>
      <w:r>
        <w:rPr>
          <w:color w:val="231F20"/>
        </w:rPr>
        <w:t>que</w:t>
      </w:r>
      <w:r>
        <w:rPr>
          <w:color w:val="231F20"/>
          <w:w w:val="100"/>
        </w:rPr>
        <w:t> </w:t>
      </w:r>
      <w:r>
        <w:rPr>
          <w:color w:val="231F20"/>
        </w:rPr>
        <w:t>tiene el personal sobre su trabajo y sobre sus aspiraciones;</w:t>
      </w:r>
      <w:r>
        <w:rPr>
          <w:color w:val="231F20"/>
          <w:spacing w:val="24"/>
        </w:rPr>
        <w:t> </w:t>
      </w:r>
      <w:r>
        <w:rPr>
          <w:color w:val="231F20"/>
          <w:spacing w:val="-7"/>
        </w:rPr>
        <w:t>y, </w:t>
      </w:r>
      <w:r>
        <w:rPr>
          <w:color w:val="231F20"/>
        </w:rPr>
        <w:t>por</w:t>
      </w:r>
      <w:r>
        <w:rPr>
          <w:color w:val="231F20"/>
          <w:spacing w:val="19"/>
        </w:rPr>
        <w:t> </w:t>
      </w:r>
      <w:r>
        <w:rPr>
          <w:color w:val="231F20"/>
        </w:rPr>
        <w:t>otro</w:t>
      </w:r>
      <w:r>
        <w:rPr>
          <w:color w:val="231F20"/>
          <w:w w:val="100"/>
        </w:rPr>
        <w:t> </w:t>
      </w:r>
      <w:r>
        <w:rPr>
          <w:color w:val="231F20"/>
        </w:rPr>
        <w:t>lado, porque, como hemos tenido la posibilidad de conocer,</w:t>
      </w:r>
      <w:r>
        <w:rPr>
          <w:color w:val="231F20"/>
          <w:spacing w:val="37"/>
        </w:rPr>
        <w:t> </w:t>
      </w:r>
      <w:r>
        <w:rPr>
          <w:color w:val="231F20"/>
        </w:rPr>
        <w:t>existen</w:t>
      </w:r>
      <w:r>
        <w:rPr>
          <w:color w:val="231F20"/>
          <w:spacing w:val="3"/>
        </w:rPr>
        <w:t> </w:t>
      </w:r>
      <w:r>
        <w:rPr>
          <w:color w:val="231F20"/>
        </w:rPr>
        <w:t>ins-</w:t>
      </w:r>
      <w:r>
        <w:rPr>
          <w:color w:val="231F20"/>
          <w:w w:val="100"/>
        </w:rPr>
        <w:t> </w:t>
      </w:r>
      <w:r>
        <w:rPr>
          <w:color w:val="231F20"/>
        </w:rPr>
        <w:t>tituciones asistenciales donde el grueso del personal es masculino</w:t>
      </w:r>
      <w:r>
        <w:rPr>
          <w:color w:val="231F20"/>
          <w:spacing w:val="9"/>
        </w:rPr>
        <w:t> </w:t>
      </w:r>
      <w:r>
        <w:rPr>
          <w:color w:val="231F20"/>
        </w:rPr>
        <w:t>y</w:t>
      </w:r>
      <w:r>
        <w:rPr>
          <w:color w:val="231F20"/>
          <w:spacing w:val="6"/>
        </w:rPr>
        <w:t> </w:t>
      </w:r>
      <w:r>
        <w:rPr>
          <w:color w:val="231F20"/>
        </w:rPr>
        <w:t>de-</w:t>
      </w:r>
      <w:r>
        <w:rPr>
          <w:color w:val="231F20"/>
          <w:w w:val="100"/>
        </w:rPr>
        <w:t> </w:t>
      </w:r>
      <w:r>
        <w:rPr>
          <w:color w:val="231F20"/>
        </w:rPr>
        <w:t>sarrolla tareas diferentes , lo que significa que nuestro</w:t>
      </w:r>
      <w:r>
        <w:rPr>
          <w:color w:val="231F20"/>
          <w:spacing w:val="26"/>
        </w:rPr>
        <w:t> </w:t>
      </w:r>
      <w:r>
        <w:rPr>
          <w:color w:val="231F20"/>
        </w:rPr>
        <w:t>hallazgos</w:t>
      </w:r>
      <w:r>
        <w:rPr>
          <w:color w:val="231F20"/>
          <w:spacing w:val="2"/>
        </w:rPr>
        <w:t> </w:t>
      </w:r>
      <w:r>
        <w:rPr>
          <w:color w:val="231F20"/>
        </w:rPr>
        <w:t>pueden</w:t>
      </w:r>
      <w:r>
        <w:rPr>
          <w:color w:val="231F20"/>
          <w:w w:val="100"/>
        </w:rPr>
        <w:t> </w:t>
      </w:r>
      <w:r>
        <w:rPr>
          <w:color w:val="231F20"/>
        </w:rPr>
        <w:t>no</w:t>
      </w:r>
      <w:r>
        <w:rPr>
          <w:color w:val="231F20"/>
          <w:spacing w:val="-5"/>
        </w:rPr>
        <w:t> </w:t>
      </w:r>
      <w:r>
        <w:rPr>
          <w:color w:val="231F20"/>
        </w:rPr>
        <w:t>ser</w:t>
      </w:r>
      <w:r>
        <w:rPr>
          <w:color w:val="231F20"/>
          <w:spacing w:val="-5"/>
        </w:rPr>
        <w:t> </w:t>
      </w:r>
      <w:r>
        <w:rPr>
          <w:color w:val="231F20"/>
        </w:rPr>
        <w:t>extensible</w:t>
      </w:r>
      <w:r>
        <w:rPr>
          <w:color w:val="231F20"/>
          <w:spacing w:val="-5"/>
        </w:rPr>
        <w:t> </w:t>
      </w:r>
      <w:r>
        <w:rPr>
          <w:color w:val="231F20"/>
        </w:rPr>
        <w:t>a</w:t>
      </w:r>
      <w:r>
        <w:rPr>
          <w:color w:val="231F20"/>
          <w:spacing w:val="-5"/>
        </w:rPr>
        <w:t> </w:t>
      </w:r>
      <w:r>
        <w:rPr>
          <w:color w:val="231F20"/>
        </w:rPr>
        <w:t>éstas.</w:t>
      </w:r>
      <w:r>
        <w:rPr>
          <w:color w:val="231F20"/>
          <w:spacing w:val="-5"/>
        </w:rPr>
        <w:t> </w:t>
      </w:r>
      <w:r>
        <w:rPr>
          <w:color w:val="231F20"/>
        </w:rPr>
        <w:t>El</w:t>
      </w:r>
      <w:r>
        <w:rPr>
          <w:color w:val="231F20"/>
          <w:spacing w:val="-5"/>
        </w:rPr>
        <w:t> </w:t>
      </w:r>
      <w:r>
        <w:rPr>
          <w:color w:val="231F20"/>
        </w:rPr>
        <w:t>argumento</w:t>
      </w:r>
      <w:r>
        <w:rPr>
          <w:color w:val="231F20"/>
          <w:spacing w:val="-5"/>
        </w:rPr>
        <w:t> </w:t>
      </w:r>
      <w:r>
        <w:rPr>
          <w:color w:val="231F20"/>
        </w:rPr>
        <w:t>que</w:t>
      </w:r>
      <w:r>
        <w:rPr>
          <w:color w:val="231F20"/>
          <w:spacing w:val="-5"/>
        </w:rPr>
        <w:t> </w:t>
      </w:r>
      <w:r>
        <w:rPr>
          <w:color w:val="231F20"/>
        </w:rPr>
        <w:t>sostendremos</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escrito</w:t>
      </w:r>
      <w:r>
        <w:rPr>
          <w:color w:val="231F20"/>
          <w:spacing w:val="-5"/>
        </w:rPr>
        <w:t> </w:t>
      </w:r>
      <w:r>
        <w:rPr>
          <w:color w:val="231F20"/>
        </w:rPr>
        <w:t>es</w:t>
      </w:r>
      <w:r>
        <w:rPr>
          <w:color w:val="231F20"/>
          <w:w w:val="100"/>
        </w:rPr>
        <w:t> </w:t>
      </w:r>
      <w:r>
        <w:rPr>
          <w:color w:val="231F20"/>
        </w:rPr>
        <w:t>que,</w:t>
      </w:r>
      <w:r>
        <w:rPr>
          <w:color w:val="231F20"/>
          <w:spacing w:val="-6"/>
        </w:rPr>
        <w:t> </w:t>
      </w:r>
      <w:r>
        <w:rPr>
          <w:color w:val="231F20"/>
        </w:rPr>
        <w:t>hay</w:t>
      </w:r>
      <w:r>
        <w:rPr>
          <w:color w:val="231F20"/>
          <w:spacing w:val="-6"/>
        </w:rPr>
        <w:t> </w:t>
      </w:r>
      <w:r>
        <w:rPr>
          <w:color w:val="231F20"/>
        </w:rPr>
        <w:t>una</w:t>
      </w:r>
      <w:r>
        <w:rPr>
          <w:color w:val="231F20"/>
          <w:spacing w:val="-6"/>
        </w:rPr>
        <w:t> </w:t>
      </w:r>
      <w:r>
        <w:rPr>
          <w:color w:val="231F20"/>
        </w:rPr>
        <w:t>relación</w:t>
      </w:r>
      <w:r>
        <w:rPr>
          <w:color w:val="231F20"/>
          <w:spacing w:val="-6"/>
        </w:rPr>
        <w:t> </w:t>
      </w:r>
      <w:r>
        <w:rPr>
          <w:color w:val="231F20"/>
        </w:rPr>
        <w:t>más</w:t>
      </w:r>
      <w:r>
        <w:rPr>
          <w:color w:val="231F20"/>
          <w:spacing w:val="-6"/>
        </w:rPr>
        <w:t> </w:t>
      </w:r>
      <w:r>
        <w:rPr>
          <w:color w:val="231F20"/>
        </w:rPr>
        <w:t>o</w:t>
      </w:r>
      <w:r>
        <w:rPr>
          <w:color w:val="231F20"/>
          <w:spacing w:val="-6"/>
        </w:rPr>
        <w:t> </w:t>
      </w:r>
      <w:r>
        <w:rPr>
          <w:color w:val="231F20"/>
        </w:rPr>
        <w:t>menos</w:t>
      </w:r>
      <w:r>
        <w:rPr>
          <w:color w:val="231F20"/>
          <w:spacing w:val="-6"/>
        </w:rPr>
        <w:t> </w:t>
      </w:r>
      <w:r>
        <w:rPr>
          <w:color w:val="231F20"/>
        </w:rPr>
        <w:t>estrecha</w:t>
      </w:r>
      <w:r>
        <w:rPr>
          <w:color w:val="231F20"/>
          <w:spacing w:val="-6"/>
        </w:rPr>
        <w:t> </w:t>
      </w:r>
      <w:r>
        <w:rPr>
          <w:color w:val="231F20"/>
        </w:rPr>
        <w:t>entre</w:t>
      </w:r>
      <w:r>
        <w:rPr>
          <w:color w:val="231F20"/>
          <w:spacing w:val="-6"/>
        </w:rPr>
        <w:t> </w:t>
      </w:r>
      <w:r>
        <w:rPr>
          <w:color w:val="231F20"/>
        </w:rPr>
        <w:t>las</w:t>
      </w:r>
      <w:r>
        <w:rPr>
          <w:color w:val="231F20"/>
          <w:spacing w:val="-6"/>
        </w:rPr>
        <w:t> </w:t>
      </w:r>
      <w:r>
        <w:rPr>
          <w:color w:val="231F20"/>
        </w:rPr>
        <w:t>jerarquías</w:t>
      </w:r>
      <w:r>
        <w:rPr>
          <w:color w:val="231F20"/>
          <w:spacing w:val="-7"/>
        </w:rPr>
        <w:t> </w:t>
      </w:r>
      <w:r>
        <w:rPr>
          <w:color w:val="231F20"/>
        </w:rPr>
        <w:t>laborales</w:t>
      </w:r>
      <w:r>
        <w:rPr>
          <w:color w:val="231F20"/>
          <w:w w:val="100"/>
        </w:rPr>
        <w:t> </w:t>
      </w:r>
      <w:r>
        <w:rPr>
          <w:color w:val="231F20"/>
        </w:rPr>
        <w:t>y las significaciones; por lo que, a mayor nivel del personal,</w:t>
      </w:r>
      <w:r>
        <w:rPr>
          <w:color w:val="231F20"/>
          <w:spacing w:val="-32"/>
        </w:rPr>
        <w:t> </w:t>
      </w:r>
      <w:r>
        <w:rPr>
          <w:color w:val="231F20"/>
        </w:rPr>
        <w:t>mayores</w:t>
      </w:r>
      <w:r>
        <w:rPr>
          <w:color w:val="231F20"/>
          <w:spacing w:val="-3"/>
        </w:rPr>
        <w:t> </w:t>
      </w:r>
      <w:r>
        <w:rPr>
          <w:color w:val="231F20"/>
        </w:rPr>
        <w:t>las</w:t>
      </w:r>
      <w:r>
        <w:rPr>
          <w:color w:val="231F20"/>
          <w:w w:val="100"/>
        </w:rPr>
        <w:t> </w:t>
      </w:r>
      <w:r>
        <w:rPr>
          <w:color w:val="231F20"/>
        </w:rPr>
        <w:t>concepciones positivas y expresivas del trabajo, y viceversa, a</w:t>
      </w:r>
      <w:r>
        <w:rPr>
          <w:color w:val="231F20"/>
          <w:spacing w:val="-30"/>
        </w:rPr>
        <w:t> </w:t>
      </w:r>
      <w:r>
        <w:rPr>
          <w:color w:val="231F20"/>
        </w:rPr>
        <w:t>menor</w:t>
      </w:r>
      <w:r>
        <w:rPr>
          <w:color w:val="231F20"/>
          <w:spacing w:val="-3"/>
        </w:rPr>
        <w:t> </w:t>
      </w:r>
      <w:r>
        <w:rPr>
          <w:color w:val="231F20"/>
        </w:rPr>
        <w:t>ni- vel,</w:t>
      </w:r>
      <w:r>
        <w:rPr>
          <w:color w:val="231F20"/>
          <w:spacing w:val="-8"/>
        </w:rPr>
        <w:t> </w:t>
      </w:r>
      <w:r>
        <w:rPr>
          <w:color w:val="231F20"/>
        </w:rPr>
        <w:t>menores</w:t>
      </w:r>
      <w:r>
        <w:rPr>
          <w:color w:val="231F20"/>
          <w:spacing w:val="-8"/>
        </w:rPr>
        <w:t> </w:t>
      </w:r>
      <w:r>
        <w:rPr>
          <w:color w:val="231F20"/>
        </w:rPr>
        <w:t>las</w:t>
      </w:r>
      <w:r>
        <w:rPr>
          <w:color w:val="231F20"/>
          <w:spacing w:val="-8"/>
        </w:rPr>
        <w:t> </w:t>
      </w:r>
      <w:r>
        <w:rPr>
          <w:color w:val="231F20"/>
        </w:rPr>
        <w:t>valoraciones</w:t>
      </w:r>
      <w:r>
        <w:rPr>
          <w:color w:val="231F20"/>
          <w:spacing w:val="-8"/>
        </w:rPr>
        <w:t> </w:t>
      </w:r>
      <w:r>
        <w:rPr>
          <w:color w:val="231F20"/>
        </w:rPr>
        <w:t>expresivas</w:t>
      </w:r>
      <w:r>
        <w:rPr>
          <w:color w:val="231F20"/>
          <w:spacing w:val="-8"/>
        </w:rPr>
        <w:t> </w:t>
      </w:r>
      <w:r>
        <w:rPr>
          <w:color w:val="231F20"/>
        </w:rPr>
        <w:t>del</w:t>
      </w:r>
      <w:r>
        <w:rPr>
          <w:color w:val="231F20"/>
          <w:spacing w:val="-8"/>
        </w:rPr>
        <w:t> </w:t>
      </w:r>
      <w:r>
        <w:rPr>
          <w:color w:val="231F20"/>
        </w:rPr>
        <w:t>mismo</w:t>
      </w:r>
      <w:r>
        <w:rPr>
          <w:color w:val="231F20"/>
          <w:spacing w:val="-8"/>
        </w:rPr>
        <w:t> </w:t>
      </w:r>
      <w:r>
        <w:rPr>
          <w:color w:val="231F20"/>
        </w:rPr>
        <w:t>y</w:t>
      </w:r>
      <w:r>
        <w:rPr>
          <w:color w:val="231F20"/>
          <w:spacing w:val="-8"/>
        </w:rPr>
        <w:t> </w:t>
      </w:r>
      <w:r>
        <w:rPr>
          <w:color w:val="231F20"/>
        </w:rPr>
        <w:t>más</w:t>
      </w:r>
      <w:r>
        <w:rPr>
          <w:color w:val="231F20"/>
          <w:spacing w:val="-8"/>
        </w:rPr>
        <w:t> </w:t>
      </w:r>
      <w:r>
        <w:rPr>
          <w:color w:val="231F20"/>
        </w:rPr>
        <w:t>las</w:t>
      </w:r>
      <w:r>
        <w:rPr>
          <w:color w:val="231F20"/>
          <w:spacing w:val="-8"/>
        </w:rPr>
        <w:t> </w:t>
      </w:r>
      <w:r>
        <w:rPr>
          <w:color w:val="231F20"/>
        </w:rPr>
        <w:t>materiales. </w:t>
      </w:r>
      <w:r>
        <w:rPr>
          <w:color w:val="231F20"/>
          <w:spacing w:val="-6"/>
        </w:rPr>
        <w:t>Vale </w:t>
      </w:r>
      <w:r>
        <w:rPr>
          <w:color w:val="231F20"/>
        </w:rPr>
        <w:t>señalar que el interés de interpretar los significados que</w:t>
      </w:r>
      <w:r>
        <w:rPr>
          <w:color w:val="231F20"/>
          <w:spacing w:val="32"/>
        </w:rPr>
        <w:t> </w:t>
      </w:r>
      <w:r>
        <w:rPr>
          <w:color w:val="231F20"/>
        </w:rPr>
        <w:t>el</w:t>
      </w:r>
      <w:r>
        <w:rPr>
          <w:color w:val="231F20"/>
          <w:spacing w:val="7"/>
        </w:rPr>
        <w:t> </w:t>
      </w:r>
      <w:r>
        <w:rPr>
          <w:color w:val="231F20"/>
        </w:rPr>
        <w:t>per- sonal</w:t>
      </w:r>
      <w:r>
        <w:rPr>
          <w:color w:val="231F20"/>
          <w:spacing w:val="23"/>
        </w:rPr>
        <w:t> </w:t>
      </w:r>
      <w:r>
        <w:rPr>
          <w:color w:val="231F20"/>
        </w:rPr>
        <w:t>asistencial</w:t>
      </w:r>
      <w:r>
        <w:rPr>
          <w:color w:val="231F20"/>
          <w:spacing w:val="23"/>
        </w:rPr>
        <w:t> </w:t>
      </w:r>
      <w:r>
        <w:rPr>
          <w:color w:val="231F20"/>
        </w:rPr>
        <w:t>atribuye</w:t>
      </w:r>
      <w:r>
        <w:rPr>
          <w:color w:val="231F20"/>
          <w:spacing w:val="22"/>
        </w:rPr>
        <w:t> </w:t>
      </w:r>
      <w:r>
        <w:rPr>
          <w:color w:val="231F20"/>
        </w:rPr>
        <w:t>a</w:t>
      </w:r>
      <w:r>
        <w:rPr>
          <w:color w:val="231F20"/>
          <w:spacing w:val="23"/>
        </w:rPr>
        <w:t> </w:t>
      </w:r>
      <w:r>
        <w:rPr>
          <w:color w:val="231F20"/>
        </w:rPr>
        <w:t>su</w:t>
      </w:r>
      <w:r>
        <w:rPr>
          <w:color w:val="231F20"/>
          <w:spacing w:val="23"/>
        </w:rPr>
        <w:t> </w:t>
      </w:r>
      <w:r>
        <w:rPr>
          <w:color w:val="231F20"/>
        </w:rPr>
        <w:t>trabajo</w:t>
      </w:r>
      <w:r>
        <w:rPr>
          <w:color w:val="231F20"/>
          <w:spacing w:val="22"/>
        </w:rPr>
        <w:t> </w:t>
      </w:r>
      <w:r>
        <w:rPr>
          <w:color w:val="231F20"/>
        </w:rPr>
        <w:t>tiene</w:t>
      </w:r>
      <w:r>
        <w:rPr>
          <w:color w:val="231F20"/>
          <w:spacing w:val="23"/>
        </w:rPr>
        <w:t> </w:t>
      </w:r>
      <w:r>
        <w:rPr>
          <w:color w:val="231F20"/>
        </w:rPr>
        <w:t>relación,</w:t>
      </w:r>
      <w:r>
        <w:rPr>
          <w:color w:val="231F20"/>
          <w:spacing w:val="23"/>
        </w:rPr>
        <w:t> </w:t>
      </w:r>
      <w:r>
        <w:rPr>
          <w:color w:val="231F20"/>
        </w:rPr>
        <w:t>por</w:t>
      </w:r>
      <w:r>
        <w:rPr>
          <w:color w:val="231F20"/>
          <w:spacing w:val="23"/>
        </w:rPr>
        <w:t> </w:t>
      </w:r>
      <w:r>
        <w:rPr>
          <w:color w:val="231F20"/>
        </w:rPr>
        <w:t>un</w:t>
      </w:r>
      <w:r>
        <w:rPr>
          <w:color w:val="231F20"/>
          <w:spacing w:val="23"/>
        </w:rPr>
        <w:t> </w:t>
      </w:r>
      <w:r>
        <w:rPr>
          <w:color w:val="231F20"/>
        </w:rPr>
        <w:t>lado,</w:t>
      </w:r>
      <w:r>
        <w:rPr>
          <w:color w:val="231F20"/>
          <w:spacing w:val="23"/>
        </w:rPr>
        <w:t> </w:t>
      </w:r>
      <w:r>
        <w:rPr>
          <w:color w:val="231F20"/>
        </w:rPr>
        <w:t>con nuevos estudios sobre la infancia (Liebel, 2006; Litichever,</w:t>
      </w:r>
      <w:r>
        <w:rPr>
          <w:color w:val="231F20"/>
          <w:spacing w:val="49"/>
        </w:rPr>
        <w:t> </w:t>
      </w:r>
      <w:r>
        <w:rPr>
          <w:color w:val="231F20"/>
        </w:rPr>
        <w:t>2012)</w:t>
      </w:r>
      <w:r>
        <w:rPr>
          <w:color w:val="231F20"/>
          <w:spacing w:val="18"/>
        </w:rPr>
        <w:t> </w:t>
      </w:r>
      <w:r>
        <w:rPr>
          <w:color w:val="231F20"/>
        </w:rPr>
        <w:t>que han tratado de discernir, a partir de investigaciones particulares,</w:t>
      </w:r>
      <w:r>
        <w:rPr>
          <w:color w:val="231F20"/>
          <w:spacing w:val="43"/>
        </w:rPr>
        <w:t> </w:t>
      </w:r>
      <w:r>
        <w:rPr>
          <w:color w:val="231F20"/>
        </w:rPr>
        <w:t>las</w:t>
      </w:r>
      <w:r>
        <w:rPr>
          <w:color w:val="231F20"/>
          <w:spacing w:val="3"/>
        </w:rPr>
        <w:t> </w:t>
      </w:r>
      <w:r>
        <w:rPr>
          <w:color w:val="231F20"/>
        </w:rPr>
        <w:t>dis- tintas formas en que son percibidos los niños</w:t>
      </w:r>
      <w:r>
        <w:rPr>
          <w:color w:val="231F20"/>
          <w:spacing w:val="35"/>
        </w:rPr>
        <w:t> </w:t>
      </w:r>
      <w:r>
        <w:rPr>
          <w:color w:val="231F20"/>
        </w:rPr>
        <w:t>denominados</w:t>
      </w:r>
      <w:r>
        <w:rPr>
          <w:color w:val="231F20"/>
          <w:spacing w:val="10"/>
        </w:rPr>
        <w:t> </w:t>
      </w:r>
      <w:r>
        <w:rPr>
          <w:color w:val="231F20"/>
        </w:rPr>
        <w:t>vulnerables en diferentes espacios y las consecuencias que ello les trae</w:t>
      </w:r>
      <w:r>
        <w:rPr>
          <w:color w:val="231F20"/>
          <w:spacing w:val="12"/>
        </w:rPr>
        <w:t> </w:t>
      </w:r>
      <w:r>
        <w:rPr>
          <w:color w:val="231F20"/>
        </w:rPr>
        <w:t>consigo;</w:t>
      </w:r>
      <w:r>
        <w:rPr>
          <w:color w:val="231F20"/>
          <w:spacing w:val="16"/>
        </w:rPr>
        <w:t> </w:t>
      </w:r>
      <w:r>
        <w:rPr>
          <w:color w:val="231F20"/>
          <w:spacing w:val="-7"/>
        </w:rPr>
        <w:t>y,</w:t>
      </w:r>
      <w:r>
        <w:rPr>
          <w:color w:val="231F20"/>
        </w:rPr>
        <w:t> por otro, con estudios contemporáneos sobre los</w:t>
      </w:r>
      <w:r>
        <w:rPr>
          <w:color w:val="231F20"/>
          <w:spacing w:val="49"/>
        </w:rPr>
        <w:t> </w:t>
      </w:r>
      <w:r>
        <w:rPr>
          <w:color w:val="231F20"/>
        </w:rPr>
        <w:t>establecimientos</w:t>
      </w:r>
      <w:r>
        <w:rPr>
          <w:color w:val="231F20"/>
          <w:spacing w:val="13"/>
        </w:rPr>
        <w:t> </w:t>
      </w:r>
      <w:r>
        <w:rPr>
          <w:color w:val="231F20"/>
        </w:rPr>
        <w:t>asis- tenciales (Osorio, 2011; Llobet, 2010) los cuales han</w:t>
      </w:r>
      <w:r>
        <w:rPr>
          <w:color w:val="231F20"/>
          <w:spacing w:val="43"/>
        </w:rPr>
        <w:t> </w:t>
      </w:r>
      <w:r>
        <w:rPr>
          <w:color w:val="231F20"/>
        </w:rPr>
        <w:t>buscado</w:t>
      </w:r>
      <w:r>
        <w:rPr>
          <w:color w:val="231F20"/>
          <w:spacing w:val="18"/>
        </w:rPr>
        <w:t> </w:t>
      </w:r>
      <w:r>
        <w:rPr>
          <w:color w:val="231F20"/>
        </w:rPr>
        <w:t>analizar las concepciones institucionales dentro de estudios más</w:t>
      </w:r>
      <w:r>
        <w:rPr>
          <w:color w:val="231F20"/>
          <w:spacing w:val="16"/>
        </w:rPr>
        <w:t> </w:t>
      </w:r>
      <w:r>
        <w:rPr>
          <w:color w:val="231F20"/>
        </w:rPr>
        <w:t>complejos</w:t>
      </w:r>
      <w:r>
        <w:rPr>
          <w:color w:val="231F20"/>
          <w:spacing w:val="17"/>
        </w:rPr>
        <w:t> </w:t>
      </w:r>
      <w:r>
        <w:rPr>
          <w:color w:val="231F20"/>
        </w:rPr>
        <w:t>que toman</w:t>
      </w:r>
      <w:r>
        <w:rPr>
          <w:color w:val="231F20"/>
          <w:spacing w:val="-7"/>
        </w:rPr>
        <w:t> </w:t>
      </w:r>
      <w:r>
        <w:rPr>
          <w:color w:val="231F20"/>
        </w:rPr>
        <w:t>en</w:t>
      </w:r>
      <w:r>
        <w:rPr>
          <w:color w:val="231F20"/>
          <w:spacing w:val="-7"/>
        </w:rPr>
        <w:t> </w:t>
      </w:r>
      <w:r>
        <w:rPr>
          <w:color w:val="231F20"/>
        </w:rPr>
        <w:t>cuenta</w:t>
      </w:r>
      <w:r>
        <w:rPr>
          <w:color w:val="231F20"/>
          <w:spacing w:val="-7"/>
        </w:rPr>
        <w:t> </w:t>
      </w:r>
      <w:r>
        <w:rPr>
          <w:color w:val="231F20"/>
        </w:rPr>
        <w:t>los</w:t>
      </w:r>
      <w:r>
        <w:rPr>
          <w:color w:val="231F20"/>
          <w:spacing w:val="-7"/>
        </w:rPr>
        <w:t> </w:t>
      </w:r>
      <w:r>
        <w:rPr>
          <w:color w:val="231F20"/>
        </w:rPr>
        <w:t>procesos</w:t>
      </w:r>
      <w:r>
        <w:rPr>
          <w:color w:val="231F20"/>
          <w:spacing w:val="-7"/>
        </w:rPr>
        <w:t> </w:t>
      </w:r>
      <w:r>
        <w:rPr>
          <w:color w:val="231F20"/>
        </w:rPr>
        <w:t>de</w:t>
      </w:r>
      <w:r>
        <w:rPr>
          <w:color w:val="231F20"/>
          <w:spacing w:val="-7"/>
        </w:rPr>
        <w:t> </w:t>
      </w:r>
      <w:r>
        <w:rPr>
          <w:color w:val="231F20"/>
        </w:rPr>
        <w:t>desinstitucionalización</w:t>
      </w:r>
      <w:r>
        <w:rPr>
          <w:color w:val="231F20"/>
          <w:spacing w:val="-7"/>
        </w:rPr>
        <w:t> </w:t>
      </w:r>
      <w:r>
        <w:rPr>
          <w:color w:val="231F20"/>
        </w:rPr>
        <w:t>instaurados</w:t>
      </w:r>
      <w:r>
        <w:rPr>
          <w:color w:val="231F20"/>
          <w:spacing w:val="-7"/>
        </w:rPr>
        <w:t> </w:t>
      </w:r>
      <w:r>
        <w:rPr>
          <w:color w:val="231F20"/>
        </w:rPr>
        <w:t>pau- latinamente</w:t>
      </w:r>
      <w:r>
        <w:rPr>
          <w:color w:val="231F20"/>
          <w:spacing w:val="29"/>
        </w:rPr>
        <w:t> </w:t>
      </w:r>
      <w:r>
        <w:rPr>
          <w:color w:val="231F20"/>
        </w:rPr>
        <w:t>en</w:t>
      </w:r>
      <w:r>
        <w:rPr>
          <w:color w:val="231F20"/>
          <w:spacing w:val="29"/>
        </w:rPr>
        <w:t> </w:t>
      </w:r>
      <w:r>
        <w:rPr>
          <w:color w:val="231F20"/>
        </w:rPr>
        <w:t>dichos</w:t>
      </w:r>
      <w:r>
        <w:rPr>
          <w:color w:val="231F20"/>
          <w:spacing w:val="29"/>
        </w:rPr>
        <w:t> </w:t>
      </w:r>
      <w:r>
        <w:rPr>
          <w:color w:val="231F20"/>
        </w:rPr>
        <w:t>establecimientos</w:t>
      </w:r>
      <w:r>
        <w:rPr>
          <w:color w:val="231F20"/>
          <w:spacing w:val="28"/>
        </w:rPr>
        <w:t> </w:t>
      </w:r>
      <w:r>
        <w:rPr>
          <w:color w:val="231F20"/>
        </w:rPr>
        <w:t>y</w:t>
      </w:r>
      <w:r>
        <w:rPr>
          <w:color w:val="231F20"/>
          <w:spacing w:val="29"/>
        </w:rPr>
        <w:t> </w:t>
      </w:r>
      <w:r>
        <w:rPr>
          <w:color w:val="231F20"/>
        </w:rPr>
        <w:t>que</w:t>
      </w:r>
      <w:r>
        <w:rPr>
          <w:color w:val="231F20"/>
          <w:spacing w:val="29"/>
        </w:rPr>
        <w:t> </w:t>
      </w:r>
      <w:r>
        <w:rPr>
          <w:color w:val="231F20"/>
        </w:rPr>
        <w:t>han</w:t>
      </w:r>
      <w:r>
        <w:rPr>
          <w:color w:val="231F20"/>
          <w:spacing w:val="29"/>
        </w:rPr>
        <w:t> </w:t>
      </w:r>
      <w:r>
        <w:rPr>
          <w:color w:val="231F20"/>
        </w:rPr>
        <w:t>traído</w:t>
      </w:r>
      <w:r>
        <w:rPr>
          <w:color w:val="231F20"/>
          <w:spacing w:val="29"/>
        </w:rPr>
        <w:t> </w:t>
      </w:r>
      <w:r>
        <w:rPr>
          <w:color w:val="231F20"/>
        </w:rPr>
        <w:t>cambios</w:t>
      </w:r>
      <w:r>
        <w:rPr>
          <w:color w:val="231F20"/>
          <w:spacing w:val="29"/>
        </w:rPr>
        <w:t> </w:t>
      </w:r>
      <w:r>
        <w:rPr>
          <w:color w:val="231F20"/>
        </w:rPr>
        <w:t>im- portantes en su funcionamiento. Sin embargo, a diferencia</w:t>
      </w:r>
      <w:r>
        <w:rPr>
          <w:color w:val="231F20"/>
          <w:spacing w:val="33"/>
        </w:rPr>
        <w:t> </w:t>
      </w:r>
      <w:r>
        <w:rPr>
          <w:color w:val="231F20"/>
        </w:rPr>
        <w:t>de</w:t>
      </w:r>
      <w:r>
        <w:rPr>
          <w:color w:val="231F20"/>
          <w:spacing w:val="23"/>
        </w:rPr>
        <w:t> </w:t>
      </w:r>
      <w:r>
        <w:rPr>
          <w:color w:val="231F20"/>
        </w:rPr>
        <w:t>algunos de esos estudios, este escrito pone atención en las distintas</w:t>
      </w:r>
      <w:r>
        <w:rPr>
          <w:color w:val="231F20"/>
          <w:spacing w:val="29"/>
        </w:rPr>
        <w:t> </w:t>
      </w:r>
      <w:r>
        <w:rPr>
          <w:color w:val="231F20"/>
        </w:rPr>
        <w:t>posturas</w:t>
      </w:r>
      <w:r>
        <w:rPr>
          <w:color w:val="231F20"/>
          <w:spacing w:val="8"/>
        </w:rPr>
        <w:t> </w:t>
      </w:r>
      <w:r>
        <w:rPr>
          <w:color w:val="231F20"/>
        </w:rPr>
        <w:t>del personal asistencial encargado de atender a estos grupos de niños,</w:t>
      </w:r>
      <w:r>
        <w:rPr>
          <w:color w:val="231F20"/>
          <w:spacing w:val="21"/>
        </w:rPr>
        <w:t> </w:t>
      </w:r>
      <w:r>
        <w:rPr>
          <w:color w:val="231F20"/>
        </w:rPr>
        <w:t>que</w:t>
      </w:r>
      <w:r>
        <w:rPr>
          <w:color w:val="231F20"/>
          <w:spacing w:val="2"/>
        </w:rPr>
        <w:t> </w:t>
      </w:r>
      <w:r>
        <w:rPr>
          <w:color w:val="231F20"/>
        </w:rPr>
        <w:t>o han sido consideradas de maneras secundarias o superficiales,</w:t>
      </w:r>
      <w:r>
        <w:rPr>
          <w:color w:val="231F20"/>
          <w:spacing w:val="-10"/>
        </w:rPr>
        <w:t> </w:t>
      </w:r>
      <w:r>
        <w:rPr>
          <w:color w:val="231F20"/>
        </w:rPr>
        <w:t>al</w:t>
      </w:r>
      <w:r>
        <w:rPr>
          <w:color w:val="231F20"/>
          <w:spacing w:val="-2"/>
        </w:rPr>
        <w:t> </w:t>
      </w:r>
      <w:r>
        <w:rPr>
          <w:color w:val="231F20"/>
        </w:rPr>
        <w:t>privile- giarse otros temas, o han sido opacadas al tomar a dicho personal </w:t>
      </w:r>
      <w:r>
        <w:rPr>
          <w:color w:val="231F20"/>
          <w:spacing w:val="7"/>
        </w:rPr>
        <w:t> </w:t>
      </w:r>
      <w:r>
        <w:rPr>
          <w:color w:val="231F20"/>
        </w:rPr>
        <w:t>como</w:t>
      </w:r>
    </w:p>
    <w:p>
      <w:pPr>
        <w:pStyle w:val="BodyText"/>
        <w:spacing w:before="1"/>
        <w:ind w:left="110" w:right="792"/>
      </w:pPr>
      <w:r>
        <w:rPr>
          <w:color w:val="231F20"/>
        </w:rPr>
        <w:t>un grupo homogéneo.</w:t>
      </w:r>
    </w:p>
    <w:p>
      <w:pPr>
        <w:pStyle w:val="BodyText"/>
        <w:spacing w:line="249" w:lineRule="auto" w:before="10"/>
        <w:ind w:left="110" w:right="111" w:firstLine="283"/>
        <w:jc w:val="right"/>
      </w:pPr>
      <w:r>
        <w:rPr>
          <w:color w:val="231F20"/>
        </w:rPr>
        <w:t>El escrito está estructurado por tres secciones. En la primera de ellas se presentan los elementos teóricos y metodológicos en que se basan</w:t>
      </w:r>
    </w:p>
    <w:p>
      <w:pPr>
        <w:spacing w:after="0" w:line="249" w:lineRule="auto"/>
        <w:jc w:val="right"/>
        <w:sectPr>
          <w:pgSz w:w="7770" w:h="11740"/>
          <w:pgMar w:header="0" w:footer="474" w:top="820" w:bottom="740" w:left="740" w:right="1020"/>
        </w:sectPr>
      </w:pPr>
    </w:p>
    <w:p>
      <w:pPr>
        <w:pStyle w:val="BodyText"/>
        <w:spacing w:line="249" w:lineRule="auto" w:before="60"/>
        <w:ind w:left="113" w:right="108"/>
        <w:jc w:val="both"/>
      </w:pPr>
      <w:r>
        <w:rPr>
          <w:color w:val="231F20"/>
        </w:rPr>
        <w:t>los análisis subsecuentes, así como las posturas que tomamos en torno  a ello. Por otro lado, en la segunda sección, que es la parte central del escrito,</w:t>
      </w:r>
      <w:r>
        <w:rPr>
          <w:color w:val="231F20"/>
          <w:spacing w:val="-10"/>
        </w:rPr>
        <w:t> </w:t>
      </w:r>
      <w:r>
        <w:rPr>
          <w:color w:val="231F20"/>
        </w:rPr>
        <w:t>se</w:t>
      </w:r>
      <w:r>
        <w:rPr>
          <w:color w:val="231F20"/>
          <w:spacing w:val="-10"/>
        </w:rPr>
        <w:t> </w:t>
      </w:r>
      <w:r>
        <w:rPr>
          <w:color w:val="231F20"/>
        </w:rPr>
        <w:t>presentan</w:t>
      </w:r>
      <w:r>
        <w:rPr>
          <w:color w:val="231F20"/>
          <w:spacing w:val="-10"/>
        </w:rPr>
        <w:t> </w:t>
      </w:r>
      <w:r>
        <w:rPr>
          <w:color w:val="231F20"/>
        </w:rPr>
        <w:t>algunas</w:t>
      </w:r>
      <w:r>
        <w:rPr>
          <w:color w:val="231F20"/>
          <w:spacing w:val="-10"/>
        </w:rPr>
        <w:t> </w:t>
      </w:r>
      <w:r>
        <w:rPr>
          <w:color w:val="231F20"/>
        </w:rPr>
        <w:t>significaciones</w:t>
      </w:r>
      <w:r>
        <w:rPr>
          <w:color w:val="231F20"/>
          <w:spacing w:val="-10"/>
        </w:rPr>
        <w:t> </w:t>
      </w:r>
      <w:r>
        <w:rPr>
          <w:color w:val="231F20"/>
        </w:rPr>
        <w:t>sobre</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implica</w:t>
      </w:r>
      <w:r>
        <w:rPr>
          <w:color w:val="231F20"/>
          <w:spacing w:val="-10"/>
        </w:rPr>
        <w:t> </w:t>
      </w:r>
      <w:r>
        <w:rPr>
          <w:color w:val="231F20"/>
        </w:rPr>
        <w:t>trabajar en estas instituciones, la demanda que supone y el futuro que proyectan los miembros del personal asistencial. Finalmente, en la tercera sección se presentan una serie de reflexiones, a manera de conclusiones, donde se</w:t>
      </w:r>
      <w:r>
        <w:rPr>
          <w:color w:val="231F20"/>
          <w:spacing w:val="-7"/>
        </w:rPr>
        <w:t> </w:t>
      </w:r>
      <w:r>
        <w:rPr>
          <w:color w:val="231F20"/>
        </w:rPr>
        <w:t>destacan</w:t>
      </w:r>
      <w:r>
        <w:rPr>
          <w:color w:val="231F20"/>
          <w:spacing w:val="-7"/>
        </w:rPr>
        <w:t> </w:t>
      </w:r>
      <w:r>
        <w:rPr>
          <w:color w:val="231F20"/>
        </w:rPr>
        <w:t>tres</w:t>
      </w:r>
      <w:r>
        <w:rPr>
          <w:color w:val="231F20"/>
          <w:spacing w:val="-8"/>
        </w:rPr>
        <w:t> </w:t>
      </w:r>
      <w:r>
        <w:rPr>
          <w:color w:val="231F20"/>
        </w:rPr>
        <w:t>temas</w:t>
      </w:r>
      <w:r>
        <w:rPr>
          <w:color w:val="231F20"/>
          <w:spacing w:val="-8"/>
        </w:rPr>
        <w:t> </w:t>
      </w:r>
      <w:r>
        <w:rPr>
          <w:color w:val="231F20"/>
        </w:rPr>
        <w:t>trasversales</w:t>
      </w:r>
      <w:r>
        <w:rPr>
          <w:color w:val="231F20"/>
          <w:spacing w:val="-8"/>
        </w:rPr>
        <w:t> </w:t>
      </w:r>
      <w:r>
        <w:rPr>
          <w:color w:val="231F20"/>
        </w:rPr>
        <w:t>que</w:t>
      </w:r>
      <w:r>
        <w:rPr>
          <w:color w:val="231F20"/>
          <w:spacing w:val="-7"/>
        </w:rPr>
        <w:t> </w:t>
      </w:r>
      <w:r>
        <w:rPr>
          <w:color w:val="231F20"/>
        </w:rPr>
        <w:t>deducimos</w:t>
      </w:r>
      <w:r>
        <w:rPr>
          <w:color w:val="231F20"/>
          <w:spacing w:val="-7"/>
        </w:rPr>
        <w:t> </w:t>
      </w:r>
      <w:r>
        <w:rPr>
          <w:color w:val="231F20"/>
        </w:rPr>
        <w:t>de</w:t>
      </w:r>
      <w:r>
        <w:rPr>
          <w:color w:val="231F20"/>
          <w:spacing w:val="-7"/>
        </w:rPr>
        <w:t> </w:t>
      </w:r>
      <w:r>
        <w:rPr>
          <w:color w:val="231F20"/>
        </w:rPr>
        <w:t>nuestro</w:t>
      </w:r>
      <w:r>
        <w:rPr>
          <w:color w:val="231F20"/>
          <w:spacing w:val="-7"/>
        </w:rPr>
        <w:t> </w:t>
      </w:r>
      <w:r>
        <w:rPr>
          <w:color w:val="231F20"/>
        </w:rPr>
        <w:t>escrito</w:t>
      </w:r>
      <w:r>
        <w:rPr>
          <w:color w:val="231F20"/>
          <w:spacing w:val="-8"/>
        </w:rPr>
        <w:t> </w:t>
      </w:r>
      <w:r>
        <w:rPr>
          <w:color w:val="231F20"/>
        </w:rPr>
        <w:t>y</w:t>
      </w:r>
      <w:r>
        <w:rPr>
          <w:color w:val="231F20"/>
          <w:spacing w:val="-7"/>
        </w:rPr>
        <w:t> </w:t>
      </w:r>
      <w:r>
        <w:rPr>
          <w:color w:val="231F20"/>
        </w:rPr>
        <w:t>de nuestra incursión en las instituciones asistenciales</w:t>
      </w:r>
      <w:r>
        <w:rPr>
          <w:color w:val="231F20"/>
          <w:spacing w:val="-5"/>
        </w:rPr>
        <w:t> </w:t>
      </w:r>
      <w:r>
        <w:rPr>
          <w:color w:val="231F20"/>
        </w:rPr>
        <w:t>investigadas.</w:t>
      </w:r>
    </w:p>
    <w:p>
      <w:pPr>
        <w:pStyle w:val="Heading4"/>
      </w:pPr>
      <w:r>
        <w:rPr>
          <w:w w:val="75"/>
        </w:rPr>
        <w:t>Elementos teóricos y metodológicos</w:t>
      </w:r>
    </w:p>
    <w:p>
      <w:pPr>
        <w:pStyle w:val="BodyText"/>
        <w:spacing w:line="249" w:lineRule="auto" w:before="171"/>
        <w:ind w:left="113" w:right="107"/>
        <w:jc w:val="both"/>
      </w:pPr>
      <w:r>
        <w:rPr>
          <w:color w:val="231F20"/>
        </w:rPr>
        <w:t>Los</w:t>
      </w:r>
      <w:r>
        <w:rPr>
          <w:color w:val="231F20"/>
          <w:spacing w:val="-13"/>
        </w:rPr>
        <w:t> </w:t>
      </w:r>
      <w:r>
        <w:rPr>
          <w:color w:val="231F20"/>
        </w:rPr>
        <w:t>significados</w:t>
      </w:r>
      <w:r>
        <w:rPr>
          <w:color w:val="231F20"/>
          <w:spacing w:val="-13"/>
        </w:rPr>
        <w:t> </w:t>
      </w:r>
      <w:r>
        <w:rPr>
          <w:color w:val="231F20"/>
        </w:rPr>
        <w:t>en</w:t>
      </w:r>
      <w:r>
        <w:rPr>
          <w:color w:val="231F20"/>
          <w:spacing w:val="-13"/>
        </w:rPr>
        <w:t> </w:t>
      </w:r>
      <w:r>
        <w:rPr>
          <w:color w:val="231F20"/>
        </w:rPr>
        <w:t>torno</w:t>
      </w:r>
      <w:r>
        <w:rPr>
          <w:color w:val="231F20"/>
          <w:spacing w:val="-13"/>
        </w:rPr>
        <w:t> </w:t>
      </w:r>
      <w:r>
        <w:rPr>
          <w:color w:val="231F20"/>
        </w:rPr>
        <w:t>al</w:t>
      </w:r>
      <w:r>
        <w:rPr>
          <w:color w:val="231F20"/>
          <w:spacing w:val="-13"/>
        </w:rPr>
        <w:t> </w:t>
      </w:r>
      <w:r>
        <w:rPr>
          <w:color w:val="231F20"/>
        </w:rPr>
        <w:t>trabajo</w:t>
      </w:r>
      <w:r>
        <w:rPr>
          <w:color w:val="231F20"/>
          <w:spacing w:val="-14"/>
        </w:rPr>
        <w:t> </w:t>
      </w:r>
      <w:r>
        <w:rPr>
          <w:color w:val="231F20"/>
        </w:rPr>
        <w:t>son</w:t>
      </w:r>
      <w:r>
        <w:rPr>
          <w:color w:val="231F20"/>
          <w:spacing w:val="-13"/>
        </w:rPr>
        <w:t> </w:t>
      </w:r>
      <w:r>
        <w:rPr>
          <w:color w:val="231F20"/>
        </w:rPr>
        <w:t>construcciones</w:t>
      </w:r>
      <w:r>
        <w:rPr>
          <w:color w:val="231F20"/>
          <w:spacing w:val="-14"/>
        </w:rPr>
        <w:t> </w:t>
      </w:r>
      <w:r>
        <w:rPr>
          <w:color w:val="231F20"/>
        </w:rPr>
        <w:t>sociales</w:t>
      </w:r>
      <w:r>
        <w:rPr>
          <w:color w:val="231F20"/>
          <w:spacing w:val="-14"/>
        </w:rPr>
        <w:t> </w:t>
      </w:r>
      <w:r>
        <w:rPr>
          <w:color w:val="231F20"/>
        </w:rPr>
        <w:t>derivadas de una combinación de factores tanto estructurales como</w:t>
      </w:r>
      <w:r>
        <w:rPr>
          <w:color w:val="231F20"/>
          <w:spacing w:val="-26"/>
        </w:rPr>
        <w:t> </w:t>
      </w:r>
      <w:r>
        <w:rPr>
          <w:color w:val="231F20"/>
        </w:rPr>
        <w:t>micro-sociales, que impactan de diferente manera a los individuos. Por lo tanto, para entender las formas en cómo los profesionales asistenciales valoran su trabajo, en este escrito tomaremos en cuenta algunas ideas que remiten</w:t>
      </w:r>
      <w:r>
        <w:rPr>
          <w:color w:val="231F20"/>
          <w:spacing w:val="-23"/>
        </w:rPr>
        <w:t> </w:t>
      </w:r>
      <w:r>
        <w:rPr>
          <w:color w:val="231F20"/>
        </w:rPr>
        <w:t>a lo</w:t>
      </w:r>
      <w:r>
        <w:rPr>
          <w:color w:val="231F20"/>
          <w:spacing w:val="-4"/>
        </w:rPr>
        <w:t> </w:t>
      </w:r>
      <w:r>
        <w:rPr>
          <w:color w:val="231F20"/>
        </w:rPr>
        <w:t>estructural</w:t>
      </w:r>
      <w:r>
        <w:rPr>
          <w:color w:val="231F20"/>
          <w:spacing w:val="-4"/>
        </w:rPr>
        <w:t> </w:t>
      </w:r>
      <w:r>
        <w:rPr>
          <w:color w:val="231F20"/>
        </w:rPr>
        <w:t>y</w:t>
      </w:r>
      <w:r>
        <w:rPr>
          <w:color w:val="231F20"/>
          <w:spacing w:val="-4"/>
        </w:rPr>
        <w:t> </w:t>
      </w:r>
      <w:r>
        <w:rPr>
          <w:color w:val="231F20"/>
        </w:rPr>
        <w:t>otras</w:t>
      </w:r>
      <w:r>
        <w:rPr>
          <w:color w:val="231F20"/>
          <w:spacing w:val="-4"/>
        </w:rPr>
        <w:t> </w:t>
      </w:r>
      <w:r>
        <w:rPr>
          <w:color w:val="231F20"/>
        </w:rPr>
        <w:t>más</w:t>
      </w:r>
      <w:r>
        <w:rPr>
          <w:color w:val="231F20"/>
          <w:spacing w:val="-4"/>
        </w:rPr>
        <w:t> </w:t>
      </w:r>
      <w:r>
        <w:rPr>
          <w:color w:val="231F20"/>
        </w:rPr>
        <w:t>a</w:t>
      </w:r>
      <w:r>
        <w:rPr>
          <w:color w:val="231F20"/>
          <w:spacing w:val="-4"/>
        </w:rPr>
        <w:t> </w:t>
      </w:r>
      <w:r>
        <w:rPr>
          <w:color w:val="231F20"/>
        </w:rPr>
        <w:t>lo</w:t>
      </w:r>
      <w:r>
        <w:rPr>
          <w:color w:val="231F20"/>
          <w:spacing w:val="-4"/>
        </w:rPr>
        <w:t> </w:t>
      </w:r>
      <w:r>
        <w:rPr>
          <w:color w:val="231F20"/>
        </w:rPr>
        <w:t>microsocial,</w:t>
      </w:r>
      <w:r>
        <w:rPr>
          <w:color w:val="231F20"/>
          <w:spacing w:val="-4"/>
        </w:rPr>
        <w:t> </w:t>
      </w:r>
      <w:r>
        <w:rPr>
          <w:color w:val="231F20"/>
        </w:rPr>
        <w:t>asumiendo</w:t>
      </w:r>
      <w:r>
        <w:rPr>
          <w:color w:val="231F20"/>
          <w:spacing w:val="-4"/>
        </w:rPr>
        <w:t> </w:t>
      </w:r>
      <w:r>
        <w:rPr>
          <w:color w:val="231F20"/>
        </w:rPr>
        <w:t>que</w:t>
      </w:r>
      <w:r>
        <w:rPr>
          <w:color w:val="231F20"/>
          <w:spacing w:val="-4"/>
        </w:rPr>
        <w:t> </w:t>
      </w:r>
      <w:r>
        <w:rPr>
          <w:color w:val="231F20"/>
        </w:rPr>
        <w:t>pueden</w:t>
      </w:r>
      <w:r>
        <w:rPr>
          <w:color w:val="231F20"/>
          <w:spacing w:val="-4"/>
        </w:rPr>
        <w:t> </w:t>
      </w:r>
      <w:r>
        <w:rPr>
          <w:color w:val="231F20"/>
        </w:rPr>
        <w:t>influir de distinta manera en los</w:t>
      </w:r>
      <w:r>
        <w:rPr>
          <w:color w:val="231F20"/>
          <w:spacing w:val="-11"/>
        </w:rPr>
        <w:t> </w:t>
      </w:r>
      <w:r>
        <w:rPr>
          <w:color w:val="231F20"/>
        </w:rPr>
        <w:t>sujetos.</w:t>
      </w:r>
    </w:p>
    <w:p>
      <w:pPr>
        <w:pStyle w:val="BodyText"/>
        <w:spacing w:line="249" w:lineRule="auto" w:before="1"/>
        <w:ind w:left="113" w:right="107" w:firstLine="283"/>
        <w:jc w:val="both"/>
      </w:pPr>
      <w:r>
        <w:rPr>
          <w:color w:val="231F20"/>
        </w:rPr>
        <w:t>Por lo que respecta a las ideas de lo estructural, una de las más im- portantes que tenemos presente en el texto, es la relativa a la</w:t>
      </w:r>
      <w:r>
        <w:rPr>
          <w:color w:val="231F20"/>
          <w:spacing w:val="-22"/>
        </w:rPr>
        <w:t> </w:t>
      </w:r>
      <w:r>
        <w:rPr>
          <w:color w:val="231F20"/>
        </w:rPr>
        <w:t>flexibilidad laboral. La flexibilidad laboral hace referencia —en términos genera- les— a un paradigma laboral que desconsidera las trabas y regulaciones normativas</w:t>
      </w:r>
      <w:r>
        <w:rPr>
          <w:color w:val="231F20"/>
          <w:spacing w:val="-8"/>
        </w:rPr>
        <w:t> </w:t>
      </w:r>
      <w:r>
        <w:rPr>
          <w:color w:val="231F20"/>
        </w:rPr>
        <w:t>para</w:t>
      </w:r>
      <w:r>
        <w:rPr>
          <w:color w:val="231F20"/>
          <w:spacing w:val="-8"/>
        </w:rPr>
        <w:t> </w:t>
      </w:r>
      <w:r>
        <w:rPr>
          <w:color w:val="231F20"/>
        </w:rPr>
        <w:t>contratar</w:t>
      </w:r>
      <w:r>
        <w:rPr>
          <w:color w:val="231F20"/>
          <w:spacing w:val="-9"/>
        </w:rPr>
        <w:t> </w:t>
      </w:r>
      <w:r>
        <w:rPr>
          <w:color w:val="231F20"/>
        </w:rPr>
        <w:t>o</w:t>
      </w:r>
      <w:r>
        <w:rPr>
          <w:color w:val="231F20"/>
          <w:spacing w:val="-8"/>
        </w:rPr>
        <w:t> </w:t>
      </w:r>
      <w:r>
        <w:rPr>
          <w:color w:val="231F20"/>
        </w:rPr>
        <w:t>relevar</w:t>
      </w:r>
      <w:r>
        <w:rPr>
          <w:color w:val="231F20"/>
          <w:spacing w:val="-8"/>
        </w:rPr>
        <w:t> </w:t>
      </w:r>
      <w:r>
        <w:rPr>
          <w:color w:val="231F20"/>
        </w:rPr>
        <w:t>trabajadores</w:t>
      </w:r>
      <w:r>
        <w:rPr>
          <w:color w:val="231F20"/>
          <w:spacing w:val="-9"/>
        </w:rPr>
        <w:t> </w:t>
      </w:r>
      <w:r>
        <w:rPr>
          <w:color w:val="231F20"/>
        </w:rPr>
        <w:t>en</w:t>
      </w:r>
      <w:r>
        <w:rPr>
          <w:color w:val="231F20"/>
          <w:spacing w:val="-8"/>
        </w:rPr>
        <w:t> </w:t>
      </w:r>
      <w:r>
        <w:rPr>
          <w:color w:val="231F20"/>
        </w:rPr>
        <w:t>diferentes</w:t>
      </w:r>
      <w:r>
        <w:rPr>
          <w:color w:val="231F20"/>
          <w:spacing w:val="-8"/>
        </w:rPr>
        <w:t> </w:t>
      </w:r>
      <w:r>
        <w:rPr>
          <w:color w:val="231F20"/>
        </w:rPr>
        <w:t>momentos, por lo que es opuesto al paradigma taylorista-fordista y sus adopciones de cada país, donde la relación laboral clásica buscaba comprometer la disponibilidad de las personas por medio de una regulación rígida del empleo y de sus propias</w:t>
      </w:r>
      <w:r>
        <w:rPr>
          <w:color w:val="231F20"/>
          <w:spacing w:val="-3"/>
        </w:rPr>
        <w:t> </w:t>
      </w:r>
      <w:r>
        <w:rPr>
          <w:color w:val="231F20"/>
        </w:rPr>
        <w:t>conductas.</w:t>
      </w:r>
    </w:p>
    <w:p>
      <w:pPr>
        <w:pStyle w:val="BodyText"/>
        <w:spacing w:line="249" w:lineRule="auto" w:before="1"/>
        <w:ind w:left="40" w:right="108" w:firstLine="283"/>
        <w:jc w:val="right"/>
      </w:pPr>
      <w:r>
        <w:rPr>
          <w:color w:val="231F20"/>
        </w:rPr>
        <w:t>Sin embargo, en lugar de tomar a la flexibilidad laboral como lo pro- pugnan sus defensores, como un paradigma aplicable al contexto mun- dial que permite la rotación masiva de personas en distintos empleos, aquí lo consideraremos de una manera crítica, tomando en cuenta sus consecuencias negativas (como son el desempleo y el empleo precario) señaladas por distintos autores. Consecuencias que, en conjunto o de ma- nera individual, generan sentimientos de inseguridad, incertidumbre y zozobra entre varios sectores sociales, particularmente entre quienes se ubican en “una zona intermediaria, inestable, que conjuga la precariedad y la fragilidad de los soportes de proximidad” (Castel, 1995: 17), tam- bién denominada zona de vulnerabilidad, donde no se tiene una marcada fuerza reguladora y protectora del sistema normativo (Díaz </w:t>
      </w:r>
      <w:r>
        <w:rPr>
          <w:i/>
          <w:color w:val="231F20"/>
        </w:rPr>
        <w:t>et al</w:t>
      </w:r>
      <w:r>
        <w:rPr>
          <w:color w:val="231F20"/>
        </w:rPr>
        <w:t>., 2005). Ahora bien, como en nuestro país la flexibilidad laboral convive y</w:t>
      </w:r>
    </w:p>
    <w:p>
      <w:pPr>
        <w:spacing w:after="0" w:line="249" w:lineRule="auto"/>
        <w:jc w:val="right"/>
        <w:sectPr>
          <w:footerReference w:type="default" r:id="rId311"/>
          <w:pgSz w:w="7770" w:h="11740"/>
          <w:pgMar w:footer="474" w:header="0" w:top="840" w:bottom="660" w:left="1020" w:right="740"/>
          <w:pgNumType w:start="307"/>
        </w:sectPr>
      </w:pPr>
    </w:p>
    <w:p>
      <w:pPr>
        <w:pStyle w:val="BodyText"/>
        <w:spacing w:line="249" w:lineRule="auto" w:before="60"/>
        <w:ind w:left="110" w:right="111"/>
        <w:jc w:val="both"/>
      </w:pPr>
      <w:r>
        <w:rPr>
          <w:color w:val="231F20"/>
        </w:rPr>
        <w:t>se solapa con un modelo laboral tradicional en decadencia, instaurado   a mediados del siglo XX por los gobiernos posrevolucionarios, en este trabajo también tendremos presente la idea de confluencia de modelos destacada</w:t>
      </w:r>
      <w:r>
        <w:rPr>
          <w:color w:val="231F20"/>
          <w:spacing w:val="-12"/>
        </w:rPr>
        <w:t> </w:t>
      </w:r>
      <w:r>
        <w:rPr>
          <w:color w:val="231F20"/>
        </w:rPr>
        <w:t>por</w:t>
      </w:r>
      <w:r>
        <w:rPr>
          <w:color w:val="231F20"/>
          <w:spacing w:val="-12"/>
        </w:rPr>
        <w:t> </w:t>
      </w:r>
      <w:r>
        <w:rPr>
          <w:color w:val="231F20"/>
        </w:rPr>
        <w:t>algunos</w:t>
      </w:r>
      <w:r>
        <w:rPr>
          <w:color w:val="231F20"/>
          <w:spacing w:val="-12"/>
        </w:rPr>
        <w:t> </w:t>
      </w:r>
      <w:r>
        <w:rPr>
          <w:color w:val="231F20"/>
        </w:rPr>
        <w:t>autores</w:t>
      </w:r>
      <w:r>
        <w:rPr>
          <w:color w:val="231F20"/>
          <w:spacing w:val="-12"/>
        </w:rPr>
        <w:t> </w:t>
      </w:r>
      <w:r>
        <w:rPr>
          <w:color w:val="231F20"/>
        </w:rPr>
        <w:t>(Garretón,</w:t>
      </w:r>
      <w:r>
        <w:rPr>
          <w:color w:val="231F20"/>
          <w:spacing w:val="-12"/>
        </w:rPr>
        <w:t> </w:t>
      </w:r>
      <w:r>
        <w:rPr>
          <w:color w:val="231F20"/>
        </w:rPr>
        <w:t>2000;</w:t>
      </w:r>
      <w:r>
        <w:rPr>
          <w:color w:val="231F20"/>
          <w:spacing w:val="-12"/>
        </w:rPr>
        <w:t> </w:t>
      </w:r>
      <w:r>
        <w:rPr>
          <w:color w:val="231F20"/>
        </w:rPr>
        <w:t>Stecher,</w:t>
      </w:r>
      <w:r>
        <w:rPr>
          <w:color w:val="231F20"/>
          <w:spacing w:val="-12"/>
        </w:rPr>
        <w:t> </w:t>
      </w:r>
      <w:r>
        <w:rPr>
          <w:color w:val="231F20"/>
        </w:rPr>
        <w:t>2000),</w:t>
      </w:r>
      <w:r>
        <w:rPr>
          <w:color w:val="231F20"/>
          <w:spacing w:val="-12"/>
        </w:rPr>
        <w:t> </w:t>
      </w:r>
      <w:r>
        <w:rPr>
          <w:color w:val="231F20"/>
        </w:rPr>
        <w:t>que</w:t>
      </w:r>
      <w:r>
        <w:rPr>
          <w:color w:val="231F20"/>
          <w:spacing w:val="-12"/>
        </w:rPr>
        <w:t> </w:t>
      </w:r>
      <w:r>
        <w:rPr>
          <w:color w:val="231F20"/>
        </w:rPr>
        <w:t>supo- ne la coexistencia tensional de diferentes lógicas económicas, sociales, políticas </w:t>
      </w:r>
      <w:r>
        <w:rPr>
          <w:color w:val="231F20"/>
          <w:spacing w:val="-7"/>
        </w:rPr>
        <w:t>y, </w:t>
      </w:r>
      <w:r>
        <w:rPr>
          <w:color w:val="231F20"/>
        </w:rPr>
        <w:t>desde luego, laborales que afectan a las personas. Ello para entender cómo pueden converger en un mismo espacio distintas perso- nas con condiciones laborales diferentes, las cuales, a su vez,</w:t>
      </w:r>
      <w:r>
        <w:rPr>
          <w:color w:val="231F20"/>
          <w:spacing w:val="-23"/>
        </w:rPr>
        <w:t> </w:t>
      </w:r>
      <w:r>
        <w:rPr>
          <w:color w:val="231F20"/>
        </w:rPr>
        <w:t>configuran visiones distintas sobre su</w:t>
      </w:r>
      <w:r>
        <w:rPr>
          <w:color w:val="231F20"/>
          <w:spacing w:val="-5"/>
        </w:rPr>
        <w:t> </w:t>
      </w:r>
      <w:r>
        <w:rPr>
          <w:color w:val="231F20"/>
        </w:rPr>
        <w:t>trabajo.</w:t>
      </w:r>
    </w:p>
    <w:p>
      <w:pPr>
        <w:pStyle w:val="BodyText"/>
        <w:spacing w:line="249" w:lineRule="auto" w:before="1"/>
        <w:ind w:left="110" w:right="111" w:firstLine="283"/>
        <w:jc w:val="both"/>
      </w:pPr>
      <w:r>
        <w:rPr>
          <w:color w:val="231F20"/>
        </w:rPr>
        <w:t>Por otro lado, por lo referente a las ideas que remiten a cuestiones más micro-sociales, aquí tomaremos en cuenta aquellas relativas a la</w:t>
      </w:r>
      <w:r>
        <w:rPr>
          <w:color w:val="231F20"/>
          <w:spacing w:val="-29"/>
        </w:rPr>
        <w:t> </w:t>
      </w:r>
      <w:r>
        <w:rPr>
          <w:color w:val="231F20"/>
        </w:rPr>
        <w:t>va- loración social del trabajo, las reglas informales y el poder, que entre otras cosas, destacan las cuestiones cotidianas de los</w:t>
      </w:r>
      <w:r>
        <w:rPr>
          <w:color w:val="231F20"/>
          <w:spacing w:val="-13"/>
        </w:rPr>
        <w:t> </w:t>
      </w:r>
      <w:r>
        <w:rPr>
          <w:color w:val="231F20"/>
        </w:rPr>
        <w:t>sujetos.</w:t>
      </w:r>
    </w:p>
    <w:p>
      <w:pPr>
        <w:pStyle w:val="BodyText"/>
        <w:spacing w:line="249" w:lineRule="auto" w:before="1"/>
        <w:ind w:left="110" w:right="110" w:firstLine="283"/>
        <w:jc w:val="both"/>
      </w:pPr>
      <w:r>
        <w:rPr>
          <w:color w:val="231F20"/>
        </w:rPr>
        <w:t>La</w:t>
      </w:r>
      <w:r>
        <w:rPr>
          <w:color w:val="231F20"/>
          <w:spacing w:val="-14"/>
        </w:rPr>
        <w:t> </w:t>
      </w:r>
      <w:r>
        <w:rPr>
          <w:color w:val="231F20"/>
        </w:rPr>
        <w:t>primera</w:t>
      </w:r>
      <w:r>
        <w:rPr>
          <w:color w:val="231F20"/>
          <w:spacing w:val="-14"/>
        </w:rPr>
        <w:t> </w:t>
      </w:r>
      <w:r>
        <w:rPr>
          <w:color w:val="231F20"/>
        </w:rPr>
        <w:t>de</w:t>
      </w:r>
      <w:r>
        <w:rPr>
          <w:color w:val="231F20"/>
          <w:spacing w:val="-14"/>
        </w:rPr>
        <w:t> </w:t>
      </w:r>
      <w:r>
        <w:rPr>
          <w:color w:val="231F20"/>
        </w:rPr>
        <w:t>ellas,</w:t>
      </w:r>
      <w:r>
        <w:rPr>
          <w:color w:val="231F20"/>
          <w:spacing w:val="-15"/>
        </w:rPr>
        <w:t> </w:t>
      </w:r>
      <w:r>
        <w:rPr>
          <w:color w:val="231F20"/>
        </w:rPr>
        <w:t>plantea</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ocupación</w:t>
      </w:r>
      <w:r>
        <w:rPr>
          <w:color w:val="231F20"/>
          <w:spacing w:val="-14"/>
        </w:rPr>
        <w:t> </w:t>
      </w:r>
      <w:r>
        <w:rPr>
          <w:color w:val="231F20"/>
        </w:rPr>
        <w:t>laboral</w:t>
      </w:r>
      <w:r>
        <w:rPr>
          <w:color w:val="231F20"/>
          <w:spacing w:val="-15"/>
        </w:rPr>
        <w:t> </w:t>
      </w:r>
      <w:r>
        <w:rPr>
          <w:color w:val="231F20"/>
        </w:rPr>
        <w:t>no</w:t>
      </w:r>
      <w:r>
        <w:rPr>
          <w:color w:val="231F20"/>
          <w:spacing w:val="-14"/>
        </w:rPr>
        <w:t> </w:t>
      </w:r>
      <w:r>
        <w:rPr>
          <w:color w:val="231F20"/>
        </w:rPr>
        <w:t>sólo</w:t>
      </w:r>
      <w:r>
        <w:rPr>
          <w:color w:val="231F20"/>
          <w:spacing w:val="-14"/>
        </w:rPr>
        <w:t> </w:t>
      </w:r>
      <w:r>
        <w:rPr>
          <w:color w:val="231F20"/>
        </w:rPr>
        <w:t>tiene</w:t>
      </w:r>
      <w:r>
        <w:rPr>
          <w:color w:val="231F20"/>
          <w:spacing w:val="-15"/>
        </w:rPr>
        <w:t> </w:t>
      </w:r>
      <w:r>
        <w:rPr>
          <w:color w:val="231F20"/>
        </w:rPr>
        <w:t>una función</w:t>
      </w:r>
      <w:r>
        <w:rPr>
          <w:color w:val="231F20"/>
          <w:spacing w:val="-6"/>
        </w:rPr>
        <w:t> </w:t>
      </w:r>
      <w:r>
        <w:rPr>
          <w:color w:val="231F20"/>
        </w:rPr>
        <w:t>económica,</w:t>
      </w:r>
      <w:r>
        <w:rPr>
          <w:color w:val="231F20"/>
          <w:spacing w:val="-6"/>
        </w:rPr>
        <w:t> </w:t>
      </w:r>
      <w:r>
        <w:rPr>
          <w:color w:val="231F20"/>
        </w:rPr>
        <w:t>sino</w:t>
      </w:r>
      <w:r>
        <w:rPr>
          <w:color w:val="231F20"/>
          <w:spacing w:val="-6"/>
        </w:rPr>
        <w:t> </w:t>
      </w:r>
      <w:r>
        <w:rPr>
          <w:color w:val="231F20"/>
        </w:rPr>
        <w:t>también</w:t>
      </w:r>
      <w:r>
        <w:rPr>
          <w:color w:val="231F20"/>
          <w:spacing w:val="-6"/>
        </w:rPr>
        <w:t> </w:t>
      </w:r>
      <w:r>
        <w:rPr>
          <w:color w:val="231F20"/>
        </w:rPr>
        <w:t>social,</w:t>
      </w:r>
      <w:r>
        <w:rPr>
          <w:color w:val="231F20"/>
          <w:spacing w:val="-6"/>
        </w:rPr>
        <w:t> </w:t>
      </w:r>
      <w:r>
        <w:rPr>
          <w:color w:val="231F20"/>
        </w:rPr>
        <w:t>pues</w:t>
      </w:r>
      <w:r>
        <w:rPr>
          <w:color w:val="231F20"/>
          <w:spacing w:val="-6"/>
        </w:rPr>
        <w:t> </w:t>
      </w:r>
      <w:r>
        <w:rPr>
          <w:color w:val="231F20"/>
        </w:rPr>
        <w:t>permite</w:t>
      </w:r>
      <w:r>
        <w:rPr>
          <w:color w:val="231F20"/>
          <w:spacing w:val="-6"/>
        </w:rPr>
        <w:t> </w:t>
      </w:r>
      <w:r>
        <w:rPr>
          <w:color w:val="231F20"/>
        </w:rPr>
        <w:t>al</w:t>
      </w:r>
      <w:r>
        <w:rPr>
          <w:color w:val="231F20"/>
          <w:spacing w:val="-6"/>
        </w:rPr>
        <w:t> </w:t>
      </w:r>
      <w:r>
        <w:rPr>
          <w:color w:val="231F20"/>
        </w:rPr>
        <w:t>acceso</w:t>
      </w:r>
      <w:r>
        <w:rPr>
          <w:color w:val="231F20"/>
          <w:spacing w:val="-6"/>
        </w:rPr>
        <w:t> </w:t>
      </w:r>
      <w:r>
        <w:rPr>
          <w:color w:val="231F20"/>
        </w:rPr>
        <w:t>a</w:t>
      </w:r>
      <w:r>
        <w:rPr>
          <w:color w:val="231F20"/>
          <w:spacing w:val="-6"/>
        </w:rPr>
        <w:t> </w:t>
      </w:r>
      <w:r>
        <w:rPr>
          <w:color w:val="231F20"/>
        </w:rPr>
        <w:t>estatus social, a una especie de seguridad e incluso a un conjunto de relaciones sociales</w:t>
      </w:r>
      <w:r>
        <w:rPr>
          <w:color w:val="231F20"/>
          <w:spacing w:val="-13"/>
        </w:rPr>
        <w:t> </w:t>
      </w:r>
      <w:r>
        <w:rPr>
          <w:color w:val="231F20"/>
        </w:rPr>
        <w:t>y</w:t>
      </w:r>
      <w:r>
        <w:rPr>
          <w:color w:val="231F20"/>
          <w:spacing w:val="-14"/>
        </w:rPr>
        <w:t> </w:t>
      </w:r>
      <w:r>
        <w:rPr>
          <w:color w:val="231F20"/>
        </w:rPr>
        <w:t>de</w:t>
      </w:r>
      <w:r>
        <w:rPr>
          <w:color w:val="231F20"/>
          <w:spacing w:val="-14"/>
        </w:rPr>
        <w:t> </w:t>
      </w:r>
      <w:r>
        <w:rPr>
          <w:color w:val="231F20"/>
          <w:spacing w:val="-3"/>
        </w:rPr>
        <w:t>poder.</w:t>
      </w:r>
      <w:r>
        <w:rPr>
          <w:color w:val="231F20"/>
          <w:spacing w:val="-14"/>
        </w:rPr>
        <w:t> </w:t>
      </w:r>
      <w:r>
        <w:rPr>
          <w:color w:val="231F20"/>
        </w:rPr>
        <w:t>Por</w:t>
      </w:r>
      <w:r>
        <w:rPr>
          <w:color w:val="231F20"/>
          <w:spacing w:val="-14"/>
        </w:rPr>
        <w:t> </w:t>
      </w:r>
      <w:r>
        <w:rPr>
          <w:color w:val="231F20"/>
        </w:rPr>
        <w:t>lo</w:t>
      </w:r>
      <w:r>
        <w:rPr>
          <w:color w:val="231F20"/>
          <w:spacing w:val="-14"/>
        </w:rPr>
        <w:t> </w:t>
      </w:r>
      <w:r>
        <w:rPr>
          <w:color w:val="231F20"/>
        </w:rPr>
        <w:t>tanto,</w:t>
      </w:r>
      <w:r>
        <w:rPr>
          <w:color w:val="231F20"/>
          <w:spacing w:val="-14"/>
        </w:rPr>
        <w:t> </w:t>
      </w:r>
      <w:r>
        <w:rPr>
          <w:color w:val="231F20"/>
        </w:rPr>
        <w:t>reducirla</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rPr>
        <w:t>valor</w:t>
      </w:r>
      <w:r>
        <w:rPr>
          <w:color w:val="231F20"/>
          <w:spacing w:val="-14"/>
        </w:rPr>
        <w:t> </w:t>
      </w:r>
      <w:r>
        <w:rPr>
          <w:color w:val="231F20"/>
        </w:rPr>
        <w:t>monetario</w:t>
      </w:r>
      <w:r>
        <w:rPr>
          <w:color w:val="231F20"/>
          <w:spacing w:val="-14"/>
        </w:rPr>
        <w:t> </w:t>
      </w:r>
      <w:r>
        <w:rPr>
          <w:color w:val="231F20"/>
        </w:rPr>
        <w:t>sería</w:t>
      </w:r>
      <w:r>
        <w:rPr>
          <w:color w:val="231F20"/>
          <w:spacing w:val="-14"/>
        </w:rPr>
        <w:t> </w:t>
      </w:r>
      <w:r>
        <w:rPr>
          <w:color w:val="231F20"/>
        </w:rPr>
        <w:t>tanto como considerar sólo a una faceta, la más visible ciertamente, pero no  la única. Si consideramos, por ello, esta idea y la orientamos a nuestros intereses,</w:t>
      </w:r>
      <w:r>
        <w:rPr>
          <w:color w:val="231F20"/>
          <w:spacing w:val="-7"/>
        </w:rPr>
        <w:t> </w:t>
      </w:r>
      <w:r>
        <w:rPr>
          <w:color w:val="231F20"/>
        </w:rPr>
        <w:t>entonces</w:t>
      </w:r>
      <w:r>
        <w:rPr>
          <w:color w:val="231F20"/>
          <w:spacing w:val="-7"/>
        </w:rPr>
        <w:t> </w:t>
      </w:r>
      <w:r>
        <w:rPr>
          <w:color w:val="231F20"/>
        </w:rPr>
        <w:t>podemos</w:t>
      </w:r>
      <w:r>
        <w:rPr>
          <w:color w:val="231F20"/>
          <w:spacing w:val="-7"/>
        </w:rPr>
        <w:t> </w:t>
      </w:r>
      <w:r>
        <w:rPr>
          <w:color w:val="231F20"/>
        </w:rPr>
        <w:t>encaminarnos</w:t>
      </w:r>
      <w:r>
        <w:rPr>
          <w:color w:val="231F20"/>
          <w:spacing w:val="-7"/>
        </w:rPr>
        <w:t> </w:t>
      </w:r>
      <w:r>
        <w:rPr>
          <w:color w:val="231F20"/>
        </w:rPr>
        <w:t>a</w:t>
      </w:r>
      <w:r>
        <w:rPr>
          <w:color w:val="231F20"/>
          <w:spacing w:val="-7"/>
        </w:rPr>
        <w:t> </w:t>
      </w:r>
      <w:r>
        <w:rPr>
          <w:color w:val="231F20"/>
        </w:rPr>
        <w:t>entender</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decisiones de los sujetos de emplearse o no en un determinado espacio, de seguir o no laborando o de otras acciones laborales, también derivan de valores, creencias cognitivas, emociones, estéticas, y no únicamente de formas de razonamiento económicas, que los sujetos construyen cotidianamen- te, pues sus interacciones son también centrales para ellos (De la Garza, </w:t>
      </w:r>
      <w:r>
        <w:rPr>
          <w:color w:val="231F20"/>
          <w:spacing w:val="-3"/>
        </w:rPr>
        <w:t>2011).</w:t>
      </w:r>
    </w:p>
    <w:p>
      <w:pPr>
        <w:pStyle w:val="BodyText"/>
        <w:spacing w:before="1"/>
        <w:ind w:left="393"/>
      </w:pPr>
      <w:r>
        <w:rPr>
          <w:color w:val="231F20"/>
        </w:rPr>
        <w:t>Esta idea, por tanto, nos distancia de las propuestas posmodernas</w:t>
      </w:r>
    </w:p>
    <w:p>
      <w:pPr>
        <w:pStyle w:val="BodyText"/>
        <w:spacing w:line="249" w:lineRule="auto" w:before="10"/>
        <w:ind w:left="110" w:right="111"/>
        <w:jc w:val="both"/>
      </w:pPr>
      <w:r>
        <w:rPr>
          <w:color w:val="231F20"/>
        </w:rPr>
        <w:t>―también</w:t>
      </w:r>
      <w:r>
        <w:rPr>
          <w:color w:val="231F20"/>
          <w:spacing w:val="-9"/>
        </w:rPr>
        <w:t> </w:t>
      </w:r>
      <w:r>
        <w:rPr>
          <w:color w:val="231F20"/>
        </w:rPr>
        <w:t>denominadas</w:t>
      </w:r>
      <w:r>
        <w:rPr>
          <w:color w:val="231F20"/>
          <w:spacing w:val="-9"/>
        </w:rPr>
        <w:t> </w:t>
      </w:r>
      <w:r>
        <w:rPr>
          <w:color w:val="231F20"/>
        </w:rPr>
        <w:t>para-posmodernas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Garza,</w:t>
      </w:r>
      <w:r>
        <w:rPr>
          <w:color w:val="231F20"/>
          <w:spacing w:val="-9"/>
        </w:rPr>
        <w:t> </w:t>
      </w:r>
      <w:r>
        <w:rPr>
          <w:color w:val="231F20"/>
        </w:rPr>
        <w:t>2009)―</w:t>
      </w:r>
      <w:r>
        <w:rPr>
          <w:color w:val="231F20"/>
          <w:spacing w:val="-9"/>
        </w:rPr>
        <w:t> </w:t>
      </w:r>
      <w:r>
        <w:rPr>
          <w:color w:val="231F20"/>
        </w:rPr>
        <w:t>donde se incluyen a autores tan dispares como Offe, Sennet, Bauman y Beck, los cuales plantean apresuradamente y sin datos empíricos, la pérdida  de la centralidad del trabajo, por el simple hecho de no cubrir las expec- tativas monetarias de diversos sujetos. </w:t>
      </w:r>
      <w:r>
        <w:rPr>
          <w:color w:val="231F20"/>
          <w:spacing w:val="-5"/>
        </w:rPr>
        <w:t>Tan </w:t>
      </w:r>
      <w:r>
        <w:rPr>
          <w:color w:val="231F20"/>
        </w:rPr>
        <w:t>es así, que en algunos casos llegan a emular a los teóricos pesimistas del fin del trabajo, que no sólo olvidan las distintas concepciones sino que plantean escenarios</w:t>
      </w:r>
      <w:r>
        <w:rPr>
          <w:color w:val="231F20"/>
          <w:spacing w:val="-13"/>
        </w:rPr>
        <w:t> </w:t>
      </w:r>
      <w:r>
        <w:rPr>
          <w:color w:val="231F20"/>
        </w:rPr>
        <w:t>catastró- ficos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humanos.</w:t>
      </w:r>
      <w:r>
        <w:rPr>
          <w:color w:val="231F20"/>
          <w:spacing w:val="-5"/>
        </w:rPr>
        <w:t> </w:t>
      </w:r>
      <w:r>
        <w:rPr>
          <w:color w:val="231F20"/>
        </w:rPr>
        <w:t>Clausse</w:t>
      </w:r>
      <w:r>
        <w:rPr>
          <w:color w:val="231F20"/>
          <w:spacing w:val="-5"/>
        </w:rPr>
        <w:t> </w:t>
      </w:r>
      <w:r>
        <w:rPr>
          <w:color w:val="231F20"/>
        </w:rPr>
        <w:t>Offe,</w:t>
      </w:r>
      <w:r>
        <w:rPr>
          <w:color w:val="231F20"/>
          <w:spacing w:val="-5"/>
        </w:rPr>
        <w:t> </w:t>
      </w:r>
      <w:r>
        <w:rPr>
          <w:color w:val="231F20"/>
        </w:rPr>
        <w:t>por</w:t>
      </w:r>
      <w:r>
        <w:rPr>
          <w:color w:val="231F20"/>
          <w:spacing w:val="-5"/>
        </w:rPr>
        <w:t> </w:t>
      </w:r>
      <w:r>
        <w:rPr>
          <w:color w:val="231F20"/>
        </w:rPr>
        <w:t>ejemplo,</w:t>
      </w:r>
      <w:r>
        <w:rPr>
          <w:color w:val="231F20"/>
          <w:spacing w:val="-5"/>
        </w:rPr>
        <w:t> </w:t>
      </w:r>
      <w:r>
        <w:rPr>
          <w:color w:val="231F20"/>
        </w:rPr>
        <w:t>en</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primeros escritos de la década de 1980 mencionaba ―como indican De la Garza et al., (2011)― que el trabajo estaba dejando de ser el centro a partir  del cual se tejían las relaciones </w:t>
      </w:r>
      <w:r>
        <w:rPr>
          <w:color w:val="231F20"/>
          <w:spacing w:val="-7"/>
        </w:rPr>
        <w:t>y, </w:t>
      </w:r>
      <w:r>
        <w:rPr>
          <w:color w:val="231F20"/>
        </w:rPr>
        <w:t>por ende, la fuente de identidad de varios grupos, pues con las transformaciones industriales y sociales que se estaban presentando, según él, se estaba generando mayor  </w:t>
      </w:r>
      <w:r>
        <w:rPr>
          <w:color w:val="231F20"/>
          <w:spacing w:val="11"/>
        </w:rPr>
        <w:t> </w:t>
      </w:r>
      <w:r>
        <w:rPr>
          <w:color w:val="231F20"/>
        </w:rPr>
        <w:t>heteroge-</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neidad y fragmentación laboral que impediría lo anterior. Sin embargo, para retomar a De la Garza </w:t>
      </w:r>
      <w:r>
        <w:rPr>
          <w:i/>
          <w:color w:val="231F20"/>
        </w:rPr>
        <w:t>et al</w:t>
      </w:r>
      <w:r>
        <w:rPr>
          <w:color w:val="231F20"/>
        </w:rPr>
        <w:t>. (2011), suponer lo anterior sería tanto como considerar que la heterogeneidad es el acabose de la identidad y</w:t>
      </w:r>
      <w:r>
        <w:rPr>
          <w:color w:val="231F20"/>
          <w:spacing w:val="-24"/>
        </w:rPr>
        <w:t> </w:t>
      </w:r>
      <w:r>
        <w:rPr>
          <w:color w:val="231F20"/>
        </w:rPr>
        <w:t>la valoración del trabajo, cuando en realidad eso no ocurre, ya que, como lo mostraremos más adelante, los sujetos llegan a desarrollar distintos sentimientos y valoraciones laborales aún en trabajos considerados de pocos</w:t>
      </w:r>
      <w:r>
        <w:rPr>
          <w:color w:val="231F20"/>
          <w:spacing w:val="-11"/>
        </w:rPr>
        <w:t> </w:t>
      </w:r>
      <w:r>
        <w:rPr>
          <w:color w:val="231F20"/>
        </w:rPr>
        <w:t>beneficios.</w:t>
      </w:r>
    </w:p>
    <w:p>
      <w:pPr>
        <w:pStyle w:val="BodyText"/>
        <w:spacing w:line="249" w:lineRule="auto" w:before="1"/>
        <w:ind w:left="113" w:right="107" w:firstLine="283"/>
        <w:jc w:val="both"/>
      </w:pPr>
      <w:r>
        <w:rPr>
          <w:color w:val="231F20"/>
        </w:rPr>
        <w:t>Las reglas informales, por otro lado, que hacen referencia a esas re- glas</w:t>
      </w:r>
      <w:r>
        <w:rPr>
          <w:color w:val="231F20"/>
          <w:spacing w:val="-10"/>
        </w:rPr>
        <w:t> </w:t>
      </w:r>
      <w:r>
        <w:rPr>
          <w:color w:val="231F20"/>
        </w:rPr>
        <w:t>cotidianas</w:t>
      </w:r>
      <w:r>
        <w:rPr>
          <w:color w:val="231F20"/>
          <w:spacing w:val="-10"/>
        </w:rPr>
        <w:t> </w:t>
      </w:r>
      <w:r>
        <w:rPr>
          <w:color w:val="231F20"/>
        </w:rPr>
        <w:t>paralelas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formales</w:t>
      </w:r>
      <w:r>
        <w:rPr>
          <w:color w:val="231F20"/>
          <w:spacing w:val="-10"/>
        </w:rPr>
        <w:t> </w:t>
      </w:r>
      <w:r>
        <w:rPr>
          <w:color w:val="231F20"/>
        </w:rPr>
        <w:t>establecidas</w:t>
      </w:r>
      <w:r>
        <w:rPr>
          <w:color w:val="231F20"/>
          <w:spacing w:val="-11"/>
        </w:rPr>
        <w:t> </w:t>
      </w:r>
      <w:r>
        <w:rPr>
          <w:color w:val="231F20"/>
        </w:rPr>
        <w:t>por</w:t>
      </w:r>
      <w:r>
        <w:rPr>
          <w:color w:val="231F20"/>
          <w:spacing w:val="-10"/>
        </w:rPr>
        <w:t> </w:t>
      </w:r>
      <w:r>
        <w:rPr>
          <w:color w:val="231F20"/>
        </w:rPr>
        <w:t>los</w:t>
      </w:r>
      <w:r>
        <w:rPr>
          <w:color w:val="231F20"/>
          <w:spacing w:val="-10"/>
        </w:rPr>
        <w:t> </w:t>
      </w:r>
      <w:r>
        <w:rPr>
          <w:color w:val="231F20"/>
        </w:rPr>
        <w:t>propio</w:t>
      </w:r>
      <w:r>
        <w:rPr>
          <w:color w:val="231F20"/>
          <w:spacing w:val="-10"/>
        </w:rPr>
        <w:t> </w:t>
      </w:r>
      <w:r>
        <w:rPr>
          <w:color w:val="231F20"/>
        </w:rPr>
        <w:t>sujetos, es una idea que tradicionalmente estaba subsumida a la reglamentación de la relación capital-trabajo, a la forma de dirimir los conflictos labo- rales y al tema de la seguridad social (De la Garza, 2009). Sin embargo, con las condiciones cada vez más precarias de los empleos; el traslape de</w:t>
      </w:r>
      <w:r>
        <w:rPr>
          <w:color w:val="231F20"/>
          <w:spacing w:val="-4"/>
        </w:rPr>
        <w:t> </w:t>
      </w:r>
      <w:r>
        <w:rPr>
          <w:color w:val="231F20"/>
        </w:rPr>
        <w:t>modelos</w:t>
      </w:r>
      <w:r>
        <w:rPr>
          <w:color w:val="231F20"/>
          <w:spacing w:val="-4"/>
        </w:rPr>
        <w:t> </w:t>
      </w:r>
      <w:r>
        <w:rPr>
          <w:color w:val="231F20"/>
        </w:rPr>
        <w:t>laborales</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participación</w:t>
      </w:r>
      <w:r>
        <w:rPr>
          <w:color w:val="231F20"/>
          <w:spacing w:val="-4"/>
        </w:rPr>
        <w:t> </w:t>
      </w:r>
      <w:r>
        <w:rPr>
          <w:color w:val="231F20"/>
        </w:rPr>
        <w:t>de</w:t>
      </w:r>
      <w:r>
        <w:rPr>
          <w:color w:val="231F20"/>
          <w:spacing w:val="-4"/>
        </w:rPr>
        <w:t> </w:t>
      </w:r>
      <w:r>
        <w:rPr>
          <w:color w:val="231F20"/>
        </w:rPr>
        <w:t>otros</w:t>
      </w:r>
      <w:r>
        <w:rPr>
          <w:color w:val="231F20"/>
          <w:spacing w:val="-4"/>
        </w:rPr>
        <w:t> </w:t>
      </w:r>
      <w:r>
        <w:rPr>
          <w:color w:val="231F20"/>
        </w:rPr>
        <w:t>actores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relación</w:t>
      </w:r>
      <w:r>
        <w:rPr>
          <w:color w:val="231F20"/>
          <w:spacing w:val="-4"/>
        </w:rPr>
        <w:t> </w:t>
      </w:r>
      <w:r>
        <w:rPr>
          <w:color w:val="231F20"/>
        </w:rPr>
        <w:t>la- boral</w:t>
      </w:r>
      <w:r>
        <w:rPr>
          <w:color w:val="231F20"/>
          <w:spacing w:val="-7"/>
        </w:rPr>
        <w:t> </w:t>
      </w:r>
      <w:r>
        <w:rPr>
          <w:color w:val="231F20"/>
        </w:rPr>
        <w:t>patrón-empleados,</w:t>
      </w:r>
      <w:r>
        <w:rPr>
          <w:color w:val="231F20"/>
          <w:spacing w:val="-7"/>
        </w:rPr>
        <w:t> </w:t>
      </w:r>
      <w:r>
        <w:rPr>
          <w:color w:val="231F20"/>
        </w:rPr>
        <w:t>ésta</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complicado</w:t>
      </w:r>
      <w:r>
        <w:rPr>
          <w:color w:val="231F20"/>
          <w:spacing w:val="-7"/>
        </w:rPr>
        <w:t> </w:t>
      </w:r>
      <w:r>
        <w:rPr>
          <w:color w:val="231F20"/>
        </w:rPr>
        <w:t>y</w:t>
      </w:r>
      <w:r>
        <w:rPr>
          <w:color w:val="231F20"/>
          <w:spacing w:val="-7"/>
        </w:rPr>
        <w:t> </w:t>
      </w:r>
      <w:r>
        <w:rPr>
          <w:color w:val="231F20"/>
        </w:rPr>
        <w:t>densificado</w:t>
      </w:r>
      <w:r>
        <w:rPr>
          <w:color w:val="231F20"/>
          <w:spacing w:val="-7"/>
        </w:rPr>
        <w:t> </w:t>
      </w:r>
      <w:r>
        <w:rPr>
          <w:color w:val="231F20"/>
        </w:rPr>
        <w:t>en</w:t>
      </w:r>
      <w:r>
        <w:rPr>
          <w:color w:val="231F20"/>
          <w:spacing w:val="-7"/>
        </w:rPr>
        <w:t> </w:t>
      </w:r>
      <w:r>
        <w:rPr>
          <w:color w:val="231F20"/>
        </w:rPr>
        <w:t>distintos aspectos. Por ello, retomar esta idea nos permitrá considerar cómo estas reglas también pueden influir en las relaciones de los sujetos con su en- torno</w:t>
      </w:r>
      <w:r>
        <w:rPr>
          <w:color w:val="231F20"/>
          <w:spacing w:val="-8"/>
        </w:rPr>
        <w:t> </w:t>
      </w:r>
      <w:r>
        <w:rPr>
          <w:color w:val="231F20"/>
          <w:spacing w:val="-7"/>
        </w:rPr>
        <w:t>y, </w:t>
      </w:r>
      <w:r>
        <w:rPr>
          <w:color w:val="231F20"/>
        </w:rPr>
        <w:t>por</w:t>
      </w:r>
      <w:r>
        <w:rPr>
          <w:color w:val="231F20"/>
          <w:spacing w:val="-7"/>
        </w:rPr>
        <w:t> </w:t>
      </w:r>
      <w:r>
        <w:rPr>
          <w:color w:val="231F20"/>
        </w:rPr>
        <w:t>lo</w:t>
      </w:r>
      <w:r>
        <w:rPr>
          <w:color w:val="231F20"/>
          <w:spacing w:val="-7"/>
        </w:rPr>
        <w:t> </w:t>
      </w:r>
      <w:r>
        <w:rPr>
          <w:color w:val="231F20"/>
        </w:rPr>
        <w:t>tanto,</w:t>
      </w:r>
      <w:r>
        <w:rPr>
          <w:color w:val="231F20"/>
          <w:spacing w:val="-8"/>
        </w:rPr>
        <w:t> </w:t>
      </w:r>
      <w:r>
        <w:rPr>
          <w:color w:val="231F20"/>
        </w:rPr>
        <w:t>en</w:t>
      </w:r>
      <w:r>
        <w:rPr>
          <w:color w:val="231F20"/>
          <w:spacing w:val="-7"/>
        </w:rPr>
        <w:t> </w:t>
      </w:r>
      <w:r>
        <w:rPr>
          <w:color w:val="231F20"/>
        </w:rPr>
        <w:t>las</w:t>
      </w:r>
      <w:r>
        <w:rPr>
          <w:color w:val="231F20"/>
          <w:spacing w:val="-7"/>
        </w:rPr>
        <w:t> </w:t>
      </w:r>
      <w:r>
        <w:rPr>
          <w:color w:val="231F20"/>
        </w:rPr>
        <w:t>concepciones</w:t>
      </w:r>
      <w:r>
        <w:rPr>
          <w:color w:val="231F20"/>
          <w:spacing w:val="-8"/>
        </w:rPr>
        <w:t> </w:t>
      </w:r>
      <w:r>
        <w:rPr>
          <w:color w:val="231F20"/>
        </w:rPr>
        <w:t>que</w:t>
      </w:r>
      <w:r>
        <w:rPr>
          <w:color w:val="231F20"/>
          <w:spacing w:val="-7"/>
        </w:rPr>
        <w:t> </w:t>
      </w:r>
      <w:r>
        <w:rPr>
          <w:color w:val="231F20"/>
        </w:rPr>
        <w:t>tienen</w:t>
      </w:r>
      <w:r>
        <w:rPr>
          <w:color w:val="231F20"/>
          <w:spacing w:val="-7"/>
        </w:rPr>
        <w:t> </w:t>
      </w:r>
      <w:r>
        <w:rPr>
          <w:color w:val="231F20"/>
        </w:rPr>
        <w:t>sobre</w:t>
      </w:r>
      <w:r>
        <w:rPr>
          <w:color w:val="231F20"/>
          <w:spacing w:val="-7"/>
        </w:rPr>
        <w:t> </w:t>
      </w:r>
      <w:r>
        <w:rPr>
          <w:color w:val="231F20"/>
        </w:rPr>
        <w:t>su</w:t>
      </w:r>
      <w:r>
        <w:rPr>
          <w:color w:val="231F20"/>
          <w:spacing w:val="-7"/>
        </w:rPr>
        <w:t> </w:t>
      </w:r>
      <w:r>
        <w:rPr>
          <w:color w:val="231F20"/>
        </w:rPr>
        <w:t>trabajo.</w:t>
      </w:r>
      <w:r>
        <w:rPr>
          <w:color w:val="231F20"/>
          <w:spacing w:val="-11"/>
        </w:rPr>
        <w:t> </w:t>
      </w:r>
      <w:r>
        <w:rPr>
          <w:color w:val="231F20"/>
          <w:spacing w:val="-5"/>
        </w:rPr>
        <w:t>Tan </w:t>
      </w:r>
      <w:r>
        <w:rPr>
          <w:color w:val="231F20"/>
        </w:rPr>
        <w:t>es así, que como lo veremos en los análisis de los directivos, estas</w:t>
      </w:r>
      <w:r>
        <w:rPr>
          <w:color w:val="231F20"/>
          <w:spacing w:val="-27"/>
        </w:rPr>
        <w:t> </w:t>
      </w:r>
      <w:r>
        <w:rPr>
          <w:color w:val="231F20"/>
        </w:rPr>
        <w:t>reglas pueden</w:t>
      </w:r>
      <w:r>
        <w:rPr>
          <w:color w:val="231F20"/>
          <w:spacing w:val="-6"/>
        </w:rPr>
        <w:t> </w:t>
      </w:r>
      <w:r>
        <w:rPr>
          <w:color w:val="231F20"/>
        </w:rPr>
        <w:t>llevar</w:t>
      </w:r>
      <w:r>
        <w:rPr>
          <w:color w:val="231F20"/>
          <w:spacing w:val="-6"/>
        </w:rPr>
        <w:t> </w:t>
      </w:r>
      <w:r>
        <w:rPr>
          <w:color w:val="231F20"/>
        </w:rPr>
        <w:t>a</w:t>
      </w:r>
      <w:r>
        <w:rPr>
          <w:color w:val="231F20"/>
          <w:spacing w:val="-6"/>
        </w:rPr>
        <w:t> </w:t>
      </w:r>
      <w:r>
        <w:rPr>
          <w:color w:val="231F20"/>
        </w:rPr>
        <w:t>percibir</w:t>
      </w:r>
      <w:r>
        <w:rPr>
          <w:color w:val="231F20"/>
          <w:spacing w:val="-6"/>
        </w:rPr>
        <w:t> </w:t>
      </w:r>
      <w:r>
        <w:rPr>
          <w:color w:val="231F20"/>
        </w:rPr>
        <w:t>de</w:t>
      </w:r>
      <w:r>
        <w:rPr>
          <w:color w:val="231F20"/>
          <w:spacing w:val="-6"/>
        </w:rPr>
        <w:t> </w:t>
      </w:r>
      <w:r>
        <w:rPr>
          <w:color w:val="231F20"/>
        </w:rPr>
        <w:t>distinta</w:t>
      </w:r>
      <w:r>
        <w:rPr>
          <w:color w:val="231F20"/>
          <w:spacing w:val="-6"/>
        </w:rPr>
        <w:t> </w:t>
      </w:r>
      <w:r>
        <w:rPr>
          <w:color w:val="231F20"/>
        </w:rPr>
        <w:t>manera</w:t>
      </w:r>
      <w:r>
        <w:rPr>
          <w:color w:val="231F20"/>
          <w:spacing w:val="-6"/>
        </w:rPr>
        <w:t> </w:t>
      </w:r>
      <w:r>
        <w:rPr>
          <w:color w:val="231F20"/>
        </w:rPr>
        <w:t>su</w:t>
      </w:r>
      <w:r>
        <w:rPr>
          <w:color w:val="231F20"/>
          <w:spacing w:val="-6"/>
        </w:rPr>
        <w:t> </w:t>
      </w:r>
      <w:r>
        <w:rPr>
          <w:color w:val="231F20"/>
        </w:rPr>
        <w:t>cambio</w:t>
      </w:r>
      <w:r>
        <w:rPr>
          <w:color w:val="231F20"/>
          <w:spacing w:val="-6"/>
        </w:rPr>
        <w:t> </w:t>
      </w:r>
      <w:r>
        <w:rPr>
          <w:color w:val="231F20"/>
        </w:rPr>
        <w:t>o</w:t>
      </w:r>
      <w:r>
        <w:rPr>
          <w:color w:val="231F20"/>
          <w:spacing w:val="-6"/>
        </w:rPr>
        <w:t> </w:t>
      </w:r>
      <w:r>
        <w:rPr>
          <w:color w:val="231F20"/>
        </w:rPr>
        <w:t>no</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institu- ciones. Finalmente, el concepto de poder, que alude tanto a los recursos físicos como a otros medios sociales para imponer la voluntad, permite visualizar cómo algunos sujetos que tienen más posibilidades de lograr cosas y objetivos, construyen una postura en torno a su empleo diferen- te que otros sujetos con menos recursos físicos y sociales. Ciertamente, como diría Elias (1998), el poder siempre tiene un equilibrio inestable, por lo tanto, las concepciones también pueden matizarse en función de los cambios de poder o jerarquías que puedan sufrir los</w:t>
      </w:r>
      <w:r>
        <w:rPr>
          <w:color w:val="231F20"/>
          <w:spacing w:val="-17"/>
        </w:rPr>
        <w:t> </w:t>
      </w:r>
      <w:r>
        <w:rPr>
          <w:color w:val="231F20"/>
        </w:rPr>
        <w:t>sujetos.</w:t>
      </w:r>
    </w:p>
    <w:p>
      <w:pPr>
        <w:pStyle w:val="BodyText"/>
        <w:spacing w:line="249" w:lineRule="auto" w:before="1"/>
        <w:ind w:left="113" w:right="107" w:firstLine="283"/>
        <w:jc w:val="both"/>
      </w:pPr>
      <w:r>
        <w:rPr>
          <w:color w:val="231F20"/>
        </w:rPr>
        <w:t>Para cerrar el apartado, quisiéramos solamente expresar algunas pa- labras</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metodología.</w:t>
      </w:r>
      <w:r>
        <w:rPr>
          <w:color w:val="231F20"/>
          <w:spacing w:val="-4"/>
        </w:rPr>
        <w:t> </w:t>
      </w:r>
      <w:r>
        <w:rPr>
          <w:color w:val="231F20"/>
        </w:rPr>
        <w:t>El</w:t>
      </w:r>
      <w:r>
        <w:rPr>
          <w:color w:val="231F20"/>
          <w:spacing w:val="-4"/>
        </w:rPr>
        <w:t> </w:t>
      </w:r>
      <w:r>
        <w:rPr>
          <w:color w:val="231F20"/>
        </w:rPr>
        <w:t>escrito</w:t>
      </w:r>
      <w:r>
        <w:rPr>
          <w:color w:val="231F20"/>
          <w:spacing w:val="-4"/>
        </w:rPr>
        <w:t> </w:t>
      </w:r>
      <w:r>
        <w:rPr>
          <w:color w:val="231F20"/>
        </w:rPr>
        <w:t>se</w:t>
      </w:r>
      <w:r>
        <w:rPr>
          <w:color w:val="231F20"/>
          <w:spacing w:val="-4"/>
        </w:rPr>
        <w:t> </w:t>
      </w:r>
      <w:r>
        <w:rPr>
          <w:color w:val="231F20"/>
        </w:rPr>
        <w:t>sustenta</w:t>
      </w:r>
      <w:r>
        <w:rPr>
          <w:color w:val="231F20"/>
          <w:spacing w:val="-4"/>
        </w:rPr>
        <w:t> </w:t>
      </w:r>
      <w:r>
        <w:rPr>
          <w:color w:val="231F20"/>
        </w:rPr>
        <w:t>―como</w:t>
      </w:r>
      <w:r>
        <w:rPr>
          <w:color w:val="231F20"/>
          <w:spacing w:val="-4"/>
        </w:rPr>
        <w:t> </w:t>
      </w:r>
      <w:r>
        <w:rPr>
          <w:color w:val="231F20"/>
        </w:rPr>
        <w:t>lo</w:t>
      </w:r>
      <w:r>
        <w:rPr>
          <w:color w:val="231F20"/>
          <w:spacing w:val="-4"/>
        </w:rPr>
        <w:t> </w:t>
      </w:r>
      <w:r>
        <w:rPr>
          <w:color w:val="231F20"/>
        </w:rPr>
        <w:t>advertimos previamente― en una serie de entrevistas semiestructuradas realizadas entre octubre de 2012 y marzo de 2013 en las instituciones asistenciales citadas </w:t>
      </w:r>
      <w:r>
        <w:rPr>
          <w:color w:val="231F20"/>
          <w:spacing w:val="-7"/>
        </w:rPr>
        <w:t>y, </w:t>
      </w:r>
      <w:r>
        <w:rPr>
          <w:color w:val="231F20"/>
        </w:rPr>
        <w:t>en menor medida, en notas de campo de las conversaciones tenidas después de ellas, donde se aclaraban algunas cuestiones tratadas previamente.</w:t>
      </w:r>
    </w:p>
    <w:p>
      <w:pPr>
        <w:pStyle w:val="BodyText"/>
        <w:spacing w:line="249" w:lineRule="auto" w:before="1"/>
        <w:ind w:left="113" w:right="108" w:firstLine="283"/>
        <w:jc w:val="both"/>
      </w:pPr>
      <w:r>
        <w:rPr>
          <w:color w:val="231F20"/>
        </w:rPr>
        <w:t>El acceso a las entrevistas fue determinado en gran parte por dos situaciones, una más circunstancial que otra. En primer lugar, por la au- torización</w:t>
      </w:r>
      <w:r>
        <w:rPr>
          <w:color w:val="231F20"/>
          <w:spacing w:val="-8"/>
        </w:rPr>
        <w:t> </w:t>
      </w:r>
      <w:r>
        <w:rPr>
          <w:color w:val="231F20"/>
        </w:rPr>
        <w:t>otorgada</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directivos</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instituciones</w:t>
      </w:r>
      <w:r>
        <w:rPr>
          <w:color w:val="231F20"/>
          <w:spacing w:val="-8"/>
        </w:rPr>
        <w:t> </w:t>
      </w:r>
      <w:r>
        <w:rPr>
          <w:color w:val="231F20"/>
        </w:rPr>
        <w:t>quienes</w:t>
      </w:r>
      <w:r>
        <w:rPr>
          <w:color w:val="231F20"/>
          <w:spacing w:val="-7"/>
        </w:rPr>
        <w:t> </w:t>
      </w:r>
      <w:r>
        <w:rPr>
          <w:color w:val="231F20"/>
        </w:rPr>
        <w:t>previa- mente habían revisado la guía de entrevista para, supuestamente, “saber cuáles serían los temas a tratar”, aunque después nos enteramos que </w:t>
      </w:r>
      <w:r>
        <w:rPr>
          <w:color w:val="231F20"/>
          <w:spacing w:val="1"/>
        </w:rPr>
        <w:t> </w:t>
      </w:r>
      <w:r>
        <w:rPr>
          <w:color w:val="231F20"/>
        </w:rPr>
        <w:t>era</w:t>
      </w:r>
    </w:p>
    <w:p>
      <w:pPr>
        <w:spacing w:after="0" w:line="249" w:lineRule="auto"/>
        <w:jc w:val="both"/>
        <w:sectPr>
          <w:footerReference w:type="default" r:id="rId312"/>
          <w:pgSz w:w="7770" w:h="11740"/>
          <w:pgMar w:footer="474" w:header="0" w:top="840" w:bottom="660" w:left="1020" w:right="740"/>
          <w:pgNumType w:start="309"/>
        </w:sectPr>
      </w:pPr>
    </w:p>
    <w:p>
      <w:pPr>
        <w:pStyle w:val="BodyText"/>
        <w:spacing w:line="249" w:lineRule="auto" w:before="60"/>
        <w:ind w:left="105" w:right="111"/>
        <w:jc w:val="right"/>
      </w:pPr>
      <w:r>
        <w:rPr>
          <w:color w:val="231F20"/>
        </w:rPr>
        <w:t>más bien para identificar alguna posible pregunta</w:t>
      </w:r>
      <w:r>
        <w:rPr>
          <w:color w:val="231F20"/>
          <w:spacing w:val="32"/>
        </w:rPr>
        <w:t> </w:t>
      </w:r>
      <w:r>
        <w:rPr>
          <w:color w:val="231F20"/>
        </w:rPr>
        <w:t>comprometedora</w:t>
      </w:r>
      <w:r>
        <w:rPr>
          <w:color w:val="231F20"/>
          <w:spacing w:val="11"/>
        </w:rPr>
        <w:t> </w:t>
      </w:r>
      <w:r>
        <w:rPr>
          <w:color w:val="231F20"/>
        </w:rPr>
        <w:t>que</w:t>
      </w:r>
      <w:r>
        <w:rPr>
          <w:color w:val="231F20"/>
          <w:w w:val="100"/>
        </w:rPr>
        <w:t> </w:t>
      </w:r>
      <w:r>
        <w:rPr>
          <w:color w:val="231F20"/>
        </w:rPr>
        <w:t>pudiera poner en riesgo sus establecimientos. En segundo lugar,</w:t>
      </w:r>
      <w:r>
        <w:rPr>
          <w:color w:val="231F20"/>
          <w:spacing w:val="43"/>
        </w:rPr>
        <w:t> </w:t>
      </w:r>
      <w:r>
        <w:rPr>
          <w:color w:val="231F20"/>
        </w:rPr>
        <w:t>y</w:t>
      </w:r>
      <w:r>
        <w:rPr>
          <w:color w:val="231F20"/>
          <w:spacing w:val="10"/>
        </w:rPr>
        <w:t> </w:t>
      </w:r>
      <w:r>
        <w:rPr>
          <w:color w:val="231F20"/>
        </w:rPr>
        <w:t>para</w:t>
      </w:r>
      <w:r>
        <w:rPr>
          <w:color w:val="231F20"/>
          <w:w w:val="100"/>
        </w:rPr>
        <w:t> </w:t>
      </w:r>
      <w:r>
        <w:rPr>
          <w:color w:val="231F20"/>
        </w:rPr>
        <w:t>sorpresa</w:t>
      </w:r>
      <w:r>
        <w:rPr>
          <w:color w:val="231F20"/>
          <w:spacing w:val="-3"/>
        </w:rPr>
        <w:t> </w:t>
      </w:r>
      <w:r>
        <w:rPr>
          <w:color w:val="231F20"/>
        </w:rPr>
        <w:t>de</w:t>
      </w:r>
      <w:r>
        <w:rPr>
          <w:color w:val="231F20"/>
          <w:spacing w:val="-4"/>
        </w:rPr>
        <w:t> </w:t>
      </w:r>
      <w:r>
        <w:rPr>
          <w:color w:val="231F20"/>
        </w:rPr>
        <w:t>nosotros,</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disponibilidad</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mayoría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profesio-</w:t>
      </w:r>
      <w:r>
        <w:rPr>
          <w:color w:val="231F20"/>
          <w:w w:val="100"/>
        </w:rPr>
        <w:t> </w:t>
      </w:r>
      <w:r>
        <w:rPr>
          <w:color w:val="231F20"/>
        </w:rPr>
        <w:t>nales quienes, ante el conocimiento de que serían ellas y no los</w:t>
      </w:r>
      <w:r>
        <w:rPr>
          <w:color w:val="231F20"/>
          <w:spacing w:val="-28"/>
        </w:rPr>
        <w:t> </w:t>
      </w:r>
      <w:r>
        <w:rPr>
          <w:color w:val="231F20"/>
        </w:rPr>
        <w:t>niños</w:t>
      </w:r>
      <w:r>
        <w:rPr>
          <w:color w:val="231F20"/>
          <w:spacing w:val="-3"/>
        </w:rPr>
        <w:t> </w:t>
      </w:r>
      <w:r>
        <w:rPr>
          <w:color w:val="231F20"/>
        </w:rPr>
        <w:t>las</w:t>
      </w:r>
      <w:r>
        <w:rPr>
          <w:color w:val="231F20"/>
          <w:w w:val="100"/>
        </w:rPr>
        <w:t> </w:t>
      </w:r>
      <w:r>
        <w:rPr>
          <w:color w:val="231F20"/>
        </w:rPr>
        <w:t>entrevistadas, se mostraron generalmente interesadas.</w:t>
      </w:r>
      <w:r>
        <w:rPr>
          <w:color w:val="231F20"/>
          <w:spacing w:val="7"/>
        </w:rPr>
        <w:t> </w:t>
      </w:r>
      <w:r>
        <w:rPr>
          <w:color w:val="231F20"/>
        </w:rPr>
        <w:t>Estas</w:t>
      </w:r>
      <w:r>
        <w:rPr>
          <w:color w:val="231F20"/>
          <w:spacing w:val="11"/>
        </w:rPr>
        <w:t> </w:t>
      </w:r>
      <w:r>
        <w:rPr>
          <w:color w:val="231F20"/>
        </w:rPr>
        <w:t>situaciones</w:t>
      </w:r>
      <w:r>
        <w:rPr>
          <w:color w:val="231F20"/>
          <w:spacing w:val="-1"/>
          <w:w w:val="100"/>
        </w:rPr>
        <w:t> </w:t>
      </w:r>
      <w:r>
        <w:rPr>
          <w:color w:val="231F20"/>
        </w:rPr>
        <w:t>no sólo nos permitieron acceder de forma más sencilla a</w:t>
      </w:r>
      <w:r>
        <w:rPr>
          <w:color w:val="231F20"/>
          <w:spacing w:val="42"/>
        </w:rPr>
        <w:t> </w:t>
      </w:r>
      <w:r>
        <w:rPr>
          <w:color w:val="231F20"/>
        </w:rPr>
        <w:t>las</w:t>
      </w:r>
      <w:r>
        <w:rPr>
          <w:color w:val="231F20"/>
          <w:spacing w:val="4"/>
        </w:rPr>
        <w:t> </w:t>
      </w:r>
      <w:r>
        <w:rPr>
          <w:color w:val="231F20"/>
        </w:rPr>
        <w:t>entrevistas,</w:t>
      </w:r>
      <w:r>
        <w:rPr>
          <w:color w:val="231F20"/>
          <w:w w:val="100"/>
        </w:rPr>
        <w:t> </w:t>
      </w:r>
      <w:r>
        <w:rPr>
          <w:color w:val="231F20"/>
        </w:rPr>
        <w:t>sino</w:t>
      </w:r>
      <w:r>
        <w:rPr>
          <w:color w:val="231F20"/>
          <w:spacing w:val="-9"/>
        </w:rPr>
        <w:t> </w:t>
      </w:r>
      <w:r>
        <w:rPr>
          <w:color w:val="231F20"/>
        </w:rPr>
        <w:t>que</w:t>
      </w:r>
      <w:r>
        <w:rPr>
          <w:color w:val="231F20"/>
          <w:spacing w:val="-9"/>
        </w:rPr>
        <w:t> </w:t>
      </w:r>
      <w:r>
        <w:rPr>
          <w:color w:val="231F20"/>
        </w:rPr>
        <w:t>también</w:t>
      </w:r>
      <w:r>
        <w:rPr>
          <w:color w:val="231F20"/>
          <w:spacing w:val="-9"/>
        </w:rPr>
        <w:t> </w:t>
      </w:r>
      <w:r>
        <w:rPr>
          <w:color w:val="231F20"/>
        </w:rPr>
        <w:t>facilitaron</w:t>
      </w:r>
      <w:r>
        <w:rPr>
          <w:color w:val="231F20"/>
          <w:spacing w:val="-9"/>
        </w:rPr>
        <w:t> </w:t>
      </w:r>
      <w:r>
        <w:rPr>
          <w:color w:val="231F20"/>
        </w:rPr>
        <w:t>escenarios</w:t>
      </w:r>
      <w:r>
        <w:rPr>
          <w:color w:val="231F20"/>
          <w:spacing w:val="-9"/>
        </w:rPr>
        <w:t> </w:t>
      </w:r>
      <w:r>
        <w:rPr>
          <w:color w:val="231F20"/>
        </w:rPr>
        <w:t>de</w:t>
      </w:r>
      <w:r>
        <w:rPr>
          <w:color w:val="231F20"/>
          <w:spacing w:val="-9"/>
        </w:rPr>
        <w:t> </w:t>
      </w:r>
      <w:r>
        <w:rPr>
          <w:color w:val="231F20"/>
        </w:rPr>
        <w:t>confianza</w:t>
      </w:r>
      <w:r>
        <w:rPr>
          <w:color w:val="231F20"/>
          <w:spacing w:val="-9"/>
        </w:rPr>
        <w:t> </w:t>
      </w:r>
      <w:r>
        <w:rPr>
          <w:color w:val="231F20"/>
        </w:rPr>
        <w:t>que</w:t>
      </w:r>
      <w:r>
        <w:rPr>
          <w:color w:val="231F20"/>
          <w:spacing w:val="-9"/>
        </w:rPr>
        <w:t> </w:t>
      </w:r>
      <w:r>
        <w:rPr>
          <w:color w:val="231F20"/>
        </w:rPr>
        <w:t>posibilitaron</w:t>
      </w:r>
      <w:r>
        <w:rPr>
          <w:color w:val="231F20"/>
          <w:spacing w:val="-9"/>
        </w:rPr>
        <w:t> </w:t>
      </w:r>
      <w:r>
        <w:rPr>
          <w:color w:val="231F20"/>
        </w:rPr>
        <w:t>ar-</w:t>
      </w:r>
      <w:r>
        <w:rPr>
          <w:color w:val="231F20"/>
          <w:w w:val="100"/>
        </w:rPr>
        <w:t> </w:t>
      </w:r>
      <w:r>
        <w:rPr>
          <w:color w:val="231F20"/>
        </w:rPr>
        <w:t>gumentaciones</w:t>
      </w:r>
      <w:r>
        <w:rPr>
          <w:color w:val="231F20"/>
          <w:spacing w:val="-5"/>
        </w:rPr>
        <w:t> </w:t>
      </w:r>
      <w:r>
        <w:rPr>
          <w:color w:val="231F20"/>
        </w:rPr>
        <w:t>más</w:t>
      </w:r>
      <w:r>
        <w:rPr>
          <w:color w:val="231F20"/>
          <w:spacing w:val="-5"/>
        </w:rPr>
        <w:t> </w:t>
      </w:r>
      <w:r>
        <w:rPr>
          <w:color w:val="231F20"/>
        </w:rPr>
        <w:t>fluidas</w:t>
      </w:r>
      <w:r>
        <w:rPr>
          <w:color w:val="231F20"/>
          <w:spacing w:val="-5"/>
        </w:rPr>
        <w:t> </w:t>
      </w:r>
      <w:r>
        <w:rPr>
          <w:color w:val="231F20"/>
        </w:rPr>
        <w:t>y</w:t>
      </w:r>
      <w:r>
        <w:rPr>
          <w:color w:val="231F20"/>
          <w:spacing w:val="-5"/>
        </w:rPr>
        <w:t> </w:t>
      </w:r>
      <w:r>
        <w:rPr>
          <w:color w:val="231F20"/>
        </w:rPr>
        <w:t>menos</w:t>
      </w:r>
      <w:r>
        <w:rPr>
          <w:color w:val="231F20"/>
          <w:spacing w:val="-5"/>
        </w:rPr>
        <w:t> </w:t>
      </w:r>
      <w:r>
        <w:rPr>
          <w:color w:val="231F20"/>
        </w:rPr>
        <w:t>rebuscadas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sujetos;</w:t>
      </w:r>
      <w:r>
        <w:rPr>
          <w:color w:val="231F20"/>
          <w:spacing w:val="-5"/>
        </w:rPr>
        <w:t> </w:t>
      </w:r>
      <w:r>
        <w:rPr>
          <w:color w:val="231F20"/>
        </w:rPr>
        <w:t>tan</w:t>
      </w:r>
      <w:r>
        <w:rPr>
          <w:color w:val="231F20"/>
          <w:spacing w:val="-5"/>
        </w:rPr>
        <w:t> </w:t>
      </w:r>
      <w:r>
        <w:rPr>
          <w:color w:val="231F20"/>
        </w:rPr>
        <w:t>es</w:t>
      </w:r>
      <w:r>
        <w:rPr>
          <w:color w:val="231F20"/>
          <w:spacing w:val="-5"/>
        </w:rPr>
        <w:t> </w:t>
      </w:r>
      <w:r>
        <w:rPr>
          <w:color w:val="231F20"/>
        </w:rPr>
        <w:t>así,</w:t>
      </w:r>
      <w:r>
        <w:rPr>
          <w:color w:val="231F20"/>
          <w:w w:val="100"/>
        </w:rPr>
        <w:t> </w:t>
      </w:r>
      <w:r>
        <w:rPr>
          <w:color w:val="231F20"/>
        </w:rPr>
        <w:t>que algunas entrevistas sobrepasaron el tiempo</w:t>
      </w:r>
      <w:r>
        <w:rPr>
          <w:color w:val="231F20"/>
          <w:spacing w:val="-17"/>
        </w:rPr>
        <w:t> </w:t>
      </w:r>
      <w:r>
        <w:rPr>
          <w:color w:val="231F20"/>
        </w:rPr>
        <w:t>proyectado</w:t>
      </w:r>
      <w:r>
        <w:rPr>
          <w:color w:val="231F20"/>
          <w:spacing w:val="-3"/>
        </w:rPr>
        <w:t> </w:t>
      </w:r>
      <w:r>
        <w:rPr>
          <w:color w:val="231F20"/>
        </w:rPr>
        <w:t>inicialmente. Es importante advertir que las entrevistas no se limitaron</w:t>
      </w:r>
      <w:r>
        <w:rPr>
          <w:color w:val="231F20"/>
          <w:spacing w:val="24"/>
        </w:rPr>
        <w:t> </w:t>
      </w:r>
      <w:r>
        <w:rPr>
          <w:color w:val="231F20"/>
        </w:rPr>
        <w:t>abordar</w:t>
      </w:r>
      <w:r>
        <w:rPr>
          <w:color w:val="231F20"/>
          <w:spacing w:val="7"/>
        </w:rPr>
        <w:t> </w:t>
      </w:r>
      <w:r>
        <w:rPr>
          <w:color w:val="231F20"/>
        </w:rPr>
        <w:t>el tema</w:t>
      </w:r>
      <w:r>
        <w:rPr>
          <w:color w:val="231F20"/>
          <w:spacing w:val="24"/>
        </w:rPr>
        <w:t> </w:t>
      </w:r>
      <w:r>
        <w:rPr>
          <w:color w:val="231F20"/>
        </w:rPr>
        <w:t>del</w:t>
      </w:r>
      <w:r>
        <w:rPr>
          <w:color w:val="231F20"/>
          <w:spacing w:val="24"/>
        </w:rPr>
        <w:t> </w:t>
      </w:r>
      <w:r>
        <w:rPr>
          <w:color w:val="231F20"/>
        </w:rPr>
        <w:t>trabajo</w:t>
      </w:r>
      <w:r>
        <w:rPr>
          <w:color w:val="231F20"/>
          <w:spacing w:val="24"/>
        </w:rPr>
        <w:t> </w:t>
      </w:r>
      <w:r>
        <w:rPr>
          <w:color w:val="231F20"/>
          <w:spacing w:val="-7"/>
        </w:rPr>
        <w:t>y,</w:t>
      </w:r>
      <w:r>
        <w:rPr>
          <w:color w:val="231F20"/>
          <w:spacing w:val="24"/>
        </w:rPr>
        <w:t> </w:t>
      </w:r>
      <w:r>
        <w:rPr>
          <w:color w:val="231F20"/>
        </w:rPr>
        <w:t>mucho</w:t>
      </w:r>
      <w:r>
        <w:rPr>
          <w:color w:val="231F20"/>
          <w:spacing w:val="24"/>
        </w:rPr>
        <w:t> </w:t>
      </w:r>
      <w:r>
        <w:rPr>
          <w:color w:val="231F20"/>
        </w:rPr>
        <w:t>menos</w:t>
      </w:r>
      <w:r>
        <w:rPr>
          <w:color w:val="231F20"/>
          <w:spacing w:val="24"/>
        </w:rPr>
        <w:t> </w:t>
      </w:r>
      <w:r>
        <w:rPr>
          <w:color w:val="231F20"/>
        </w:rPr>
        <w:t>el</w:t>
      </w:r>
      <w:r>
        <w:rPr>
          <w:color w:val="231F20"/>
          <w:spacing w:val="24"/>
        </w:rPr>
        <w:t> </w:t>
      </w:r>
      <w:r>
        <w:rPr>
          <w:color w:val="231F20"/>
        </w:rPr>
        <w:t>significado</w:t>
      </w:r>
      <w:r>
        <w:rPr>
          <w:color w:val="231F20"/>
          <w:spacing w:val="24"/>
        </w:rPr>
        <w:t> </w:t>
      </w:r>
      <w:r>
        <w:rPr>
          <w:color w:val="231F20"/>
        </w:rPr>
        <w:t>atribuido</w:t>
      </w:r>
      <w:r>
        <w:rPr>
          <w:color w:val="231F20"/>
          <w:spacing w:val="24"/>
        </w:rPr>
        <w:t> </w:t>
      </w:r>
      <w:r>
        <w:rPr>
          <w:color w:val="231F20"/>
        </w:rPr>
        <w:t>a</w:t>
      </w:r>
      <w:r>
        <w:rPr>
          <w:color w:val="231F20"/>
          <w:spacing w:val="24"/>
        </w:rPr>
        <w:t> </w:t>
      </w:r>
      <w:r>
        <w:rPr>
          <w:color w:val="231F20"/>
        </w:rPr>
        <w:t>éste,</w:t>
      </w:r>
      <w:r>
        <w:rPr>
          <w:color w:val="231F20"/>
          <w:spacing w:val="24"/>
        </w:rPr>
        <w:t> </w:t>
      </w:r>
      <w:r>
        <w:rPr>
          <w:color w:val="231F20"/>
        </w:rPr>
        <w:t>pues nuestro propósito de investigación original era más general, a</w:t>
      </w:r>
      <w:r>
        <w:rPr>
          <w:color w:val="231F20"/>
          <w:spacing w:val="35"/>
        </w:rPr>
        <w:t> </w:t>
      </w:r>
      <w:r>
        <w:rPr>
          <w:color w:val="231F20"/>
          <w:spacing w:val="-2"/>
        </w:rPr>
        <w:t>saber,</w:t>
      </w:r>
      <w:r>
        <w:rPr>
          <w:color w:val="231F20"/>
          <w:spacing w:val="4"/>
        </w:rPr>
        <w:t> </w:t>
      </w:r>
      <w:r>
        <w:rPr>
          <w:color w:val="231F20"/>
        </w:rPr>
        <w:t>co- nocer las concepciones que tenían los profesionales sobre los niños</w:t>
      </w:r>
      <w:r>
        <w:rPr>
          <w:color w:val="231F20"/>
          <w:spacing w:val="-30"/>
        </w:rPr>
        <w:t> </w:t>
      </w:r>
      <w:r>
        <w:rPr>
          <w:color w:val="231F20"/>
        </w:rPr>
        <w:t>y</w:t>
      </w:r>
      <w:r>
        <w:rPr>
          <w:color w:val="231F20"/>
          <w:spacing w:val="-3"/>
        </w:rPr>
        <w:t> </w:t>
      </w:r>
      <w:r>
        <w:rPr>
          <w:color w:val="231F20"/>
        </w:rPr>
        <w:t>los mecanismos de atención, pero conforme fuimos detectando</w:t>
      </w:r>
      <w:r>
        <w:rPr>
          <w:color w:val="231F20"/>
          <w:spacing w:val="-4"/>
        </w:rPr>
        <w:t> </w:t>
      </w:r>
      <w:r>
        <w:rPr>
          <w:color w:val="231F20"/>
        </w:rPr>
        <w:t>la</w:t>
      </w:r>
      <w:r>
        <w:rPr>
          <w:color w:val="231F20"/>
          <w:spacing w:val="-1"/>
        </w:rPr>
        <w:t> </w:t>
      </w:r>
      <w:r>
        <w:rPr>
          <w:color w:val="231F20"/>
        </w:rPr>
        <w:t>importan- cia</w:t>
      </w:r>
      <w:r>
        <w:rPr>
          <w:color w:val="231F20"/>
          <w:spacing w:val="-5"/>
        </w:rPr>
        <w:t> </w:t>
      </w:r>
      <w:r>
        <w:rPr>
          <w:color w:val="231F20"/>
        </w:rPr>
        <w:t>del</w:t>
      </w:r>
      <w:r>
        <w:rPr>
          <w:color w:val="231F20"/>
          <w:spacing w:val="-5"/>
        </w:rPr>
        <w:t> </w:t>
      </w:r>
      <w:r>
        <w:rPr>
          <w:color w:val="231F20"/>
        </w:rPr>
        <w:t>tema</w:t>
      </w:r>
      <w:r>
        <w:rPr>
          <w:color w:val="231F20"/>
          <w:spacing w:val="-5"/>
        </w:rPr>
        <w:t> </w:t>
      </w:r>
      <w:r>
        <w:rPr>
          <w:color w:val="231F20"/>
        </w:rPr>
        <w:t>dimos</w:t>
      </w:r>
      <w:r>
        <w:rPr>
          <w:color w:val="231F20"/>
          <w:spacing w:val="-5"/>
        </w:rPr>
        <w:t> </w:t>
      </w:r>
      <w:r>
        <w:rPr>
          <w:color w:val="231F20"/>
        </w:rPr>
        <w:t>cierto</w:t>
      </w:r>
      <w:r>
        <w:rPr>
          <w:color w:val="231F20"/>
          <w:spacing w:val="-5"/>
        </w:rPr>
        <w:t> </w:t>
      </w:r>
      <w:r>
        <w:rPr>
          <w:color w:val="231F20"/>
        </w:rPr>
        <w:t>espacio</w:t>
      </w:r>
      <w:r>
        <w:rPr>
          <w:color w:val="231F20"/>
          <w:spacing w:val="-5"/>
        </w:rPr>
        <w:t> </w:t>
      </w:r>
      <w:r>
        <w:rPr>
          <w:color w:val="231F20"/>
        </w:rPr>
        <w:t>a</w:t>
      </w:r>
      <w:r>
        <w:rPr>
          <w:color w:val="231F20"/>
          <w:spacing w:val="-5"/>
        </w:rPr>
        <w:t> </w:t>
      </w:r>
      <w:r>
        <w:rPr>
          <w:color w:val="231F20"/>
        </w:rPr>
        <w:t>éste.</w:t>
      </w:r>
      <w:r>
        <w:rPr>
          <w:color w:val="231F20"/>
          <w:spacing w:val="-5"/>
        </w:rPr>
        <w:t> </w:t>
      </w:r>
      <w:r>
        <w:rPr>
          <w:color w:val="231F20"/>
        </w:rPr>
        <w:t>De</w:t>
      </w:r>
      <w:r>
        <w:rPr>
          <w:color w:val="231F20"/>
          <w:spacing w:val="-5"/>
        </w:rPr>
        <w:t> </w:t>
      </w:r>
      <w:r>
        <w:rPr>
          <w:color w:val="231F20"/>
        </w:rPr>
        <w:t>allí</w:t>
      </w:r>
      <w:r>
        <w:rPr>
          <w:color w:val="231F20"/>
          <w:spacing w:val="-5"/>
        </w:rPr>
        <w:t> </w:t>
      </w:r>
      <w:r>
        <w:rPr>
          <w:color w:val="231F20"/>
        </w:rPr>
        <w:t>que,</w:t>
      </w:r>
      <w:r>
        <w:rPr>
          <w:color w:val="231F20"/>
          <w:spacing w:val="-5"/>
        </w:rPr>
        <w:t> </w:t>
      </w:r>
      <w:r>
        <w:rPr>
          <w:color w:val="231F20"/>
        </w:rPr>
        <w:t>después</w:t>
      </w:r>
      <w:r>
        <w:rPr>
          <w:color w:val="231F20"/>
          <w:spacing w:val="-5"/>
        </w:rPr>
        <w:t> </w:t>
      </w:r>
      <w:r>
        <w:rPr>
          <w:color w:val="231F20"/>
        </w:rPr>
        <w:t>de</w:t>
      </w:r>
      <w:r>
        <w:rPr>
          <w:color w:val="231F20"/>
          <w:spacing w:val="-5"/>
        </w:rPr>
        <w:t> </w:t>
      </w:r>
      <w:r>
        <w:rPr>
          <w:color w:val="231F20"/>
        </w:rPr>
        <w:t>transcri- bir</w:t>
      </w:r>
      <w:r>
        <w:rPr>
          <w:color w:val="231F20"/>
          <w:spacing w:val="-4"/>
        </w:rPr>
        <w:t> </w:t>
      </w:r>
      <w:r>
        <w:rPr>
          <w:color w:val="231F20"/>
        </w:rPr>
        <w:t>el</w:t>
      </w:r>
      <w:r>
        <w:rPr>
          <w:color w:val="231F20"/>
          <w:spacing w:val="-4"/>
        </w:rPr>
        <w:t> </w:t>
      </w:r>
      <w:r>
        <w:rPr>
          <w:color w:val="231F20"/>
        </w:rPr>
        <w:t>total</w:t>
      </w:r>
      <w:r>
        <w:rPr>
          <w:color w:val="231F20"/>
          <w:spacing w:val="-5"/>
        </w:rPr>
        <w:t> </w:t>
      </w:r>
      <w:r>
        <w:rPr>
          <w:color w:val="231F20"/>
        </w:rPr>
        <w:t>de</w:t>
      </w:r>
      <w:r>
        <w:rPr>
          <w:color w:val="231F20"/>
          <w:spacing w:val="-4"/>
        </w:rPr>
        <w:t> </w:t>
      </w:r>
      <w:r>
        <w:rPr>
          <w:color w:val="231F20"/>
        </w:rPr>
        <w:t>las</w:t>
      </w:r>
      <w:r>
        <w:rPr>
          <w:color w:val="231F20"/>
          <w:spacing w:val="-4"/>
        </w:rPr>
        <w:t> </w:t>
      </w:r>
      <w:r>
        <w:rPr>
          <w:color w:val="231F20"/>
        </w:rPr>
        <w:t>entrevistas</w:t>
      </w:r>
      <w:r>
        <w:rPr>
          <w:color w:val="231F20"/>
          <w:spacing w:val="-5"/>
        </w:rPr>
        <w:t> </w:t>
      </w:r>
      <w:r>
        <w:rPr>
          <w:color w:val="231F20"/>
        </w:rPr>
        <w:t>encontráramos</w:t>
      </w:r>
      <w:r>
        <w:rPr>
          <w:color w:val="231F20"/>
          <w:spacing w:val="-5"/>
        </w:rPr>
        <w:t> </w:t>
      </w:r>
      <w:r>
        <w:rPr>
          <w:color w:val="231F20"/>
        </w:rPr>
        <w:t>una</w:t>
      </w:r>
      <w:r>
        <w:rPr>
          <w:color w:val="231F20"/>
          <w:spacing w:val="-4"/>
        </w:rPr>
        <w:t> </w:t>
      </w:r>
      <w:r>
        <w:rPr>
          <w:color w:val="231F20"/>
        </w:rPr>
        <w:t>marcada</w:t>
      </w:r>
      <w:r>
        <w:rPr>
          <w:color w:val="231F20"/>
          <w:spacing w:val="-5"/>
        </w:rPr>
        <w:t> </w:t>
      </w:r>
      <w:r>
        <w:rPr>
          <w:color w:val="231F20"/>
        </w:rPr>
        <w:t>diferencia</w:t>
      </w:r>
      <w:r>
        <w:rPr>
          <w:color w:val="231F20"/>
          <w:spacing w:val="-5"/>
        </w:rPr>
        <w:t> </w:t>
      </w:r>
      <w:r>
        <w:rPr>
          <w:color w:val="231F20"/>
        </w:rPr>
        <w:t>en</w:t>
      </w:r>
      <w:r>
        <w:rPr>
          <w:color w:val="231F20"/>
          <w:spacing w:val="-4"/>
        </w:rPr>
        <w:t> </w:t>
      </w:r>
      <w:r>
        <w:rPr>
          <w:color w:val="231F20"/>
        </w:rPr>
        <w:t>el</w:t>
      </w:r>
    </w:p>
    <w:p>
      <w:pPr>
        <w:pStyle w:val="BodyText"/>
        <w:spacing w:before="1"/>
        <w:ind w:left="110"/>
        <w:jc w:val="both"/>
      </w:pPr>
      <w:r>
        <w:rPr>
          <w:color w:val="231F20"/>
        </w:rPr>
        <w:t>tratamiento del tema.</w:t>
      </w:r>
    </w:p>
    <w:p>
      <w:pPr>
        <w:pStyle w:val="BodyText"/>
        <w:spacing w:line="249" w:lineRule="auto" w:before="10"/>
        <w:ind w:left="110" w:right="111" w:firstLine="283"/>
        <w:jc w:val="both"/>
      </w:pPr>
      <w:r>
        <w:rPr>
          <w:color w:val="231F20"/>
        </w:rPr>
        <w:t>Las</w:t>
      </w:r>
      <w:r>
        <w:rPr>
          <w:color w:val="231F20"/>
          <w:spacing w:val="-9"/>
        </w:rPr>
        <w:t> </w:t>
      </w:r>
      <w:r>
        <w:rPr>
          <w:color w:val="231F20"/>
        </w:rPr>
        <w:t>entrevistas</w:t>
      </w:r>
      <w:r>
        <w:rPr>
          <w:color w:val="231F20"/>
          <w:spacing w:val="-10"/>
        </w:rPr>
        <w:t> </w:t>
      </w:r>
      <w:r>
        <w:rPr>
          <w:color w:val="231F20"/>
        </w:rPr>
        <w:t>fueron</w:t>
      </w:r>
      <w:r>
        <w:rPr>
          <w:color w:val="231F20"/>
          <w:spacing w:val="-9"/>
        </w:rPr>
        <w:t> </w:t>
      </w:r>
      <w:r>
        <w:rPr>
          <w:color w:val="231F20"/>
        </w:rPr>
        <w:t>realizadas</w:t>
      </w:r>
      <w:r>
        <w:rPr>
          <w:color w:val="231F20"/>
          <w:spacing w:val="-9"/>
        </w:rPr>
        <w:t> </w:t>
      </w:r>
      <w:r>
        <w:rPr>
          <w:color w:val="231F20"/>
        </w:rPr>
        <w:t>en</w:t>
      </w:r>
      <w:r>
        <w:rPr>
          <w:color w:val="231F20"/>
          <w:spacing w:val="-9"/>
        </w:rPr>
        <w:t> </w:t>
      </w:r>
      <w:r>
        <w:rPr>
          <w:color w:val="231F20"/>
        </w:rPr>
        <w:t>distintos</w:t>
      </w:r>
      <w:r>
        <w:rPr>
          <w:color w:val="231F20"/>
          <w:spacing w:val="-9"/>
        </w:rPr>
        <w:t> </w:t>
      </w:r>
      <w:r>
        <w:rPr>
          <w:color w:val="231F20"/>
        </w:rPr>
        <w:t>espacios,</w:t>
      </w:r>
      <w:r>
        <w:rPr>
          <w:color w:val="231F20"/>
          <w:spacing w:val="-10"/>
        </w:rPr>
        <w:t> </w:t>
      </w:r>
      <w:r>
        <w:rPr>
          <w:color w:val="231F20"/>
        </w:rPr>
        <w:t>aunque</w:t>
      </w:r>
      <w:r>
        <w:rPr>
          <w:color w:val="231F20"/>
          <w:spacing w:val="-9"/>
        </w:rPr>
        <w:t> </w:t>
      </w:r>
      <w:r>
        <w:rPr>
          <w:color w:val="231F20"/>
        </w:rPr>
        <w:t>por</w:t>
      </w:r>
      <w:r>
        <w:rPr>
          <w:color w:val="231F20"/>
          <w:spacing w:val="-9"/>
        </w:rPr>
        <w:t> </w:t>
      </w:r>
      <w:r>
        <w:rPr>
          <w:color w:val="231F20"/>
        </w:rPr>
        <w:t>las dimensiones mayores de la institución pública, hubo menores interven- ciones ambientales en éstas. En algunos casos porque los entrevistados nos invitaban a acudir a lugares más aislados (como a sus oficinas) y en algunos otros porque el resto de sus compañeros evitaban interrumpir o hacer acciones ruidosas cuando veían la</w:t>
      </w:r>
      <w:r>
        <w:rPr>
          <w:color w:val="231F20"/>
          <w:spacing w:val="-2"/>
        </w:rPr>
        <w:t> </w:t>
      </w:r>
      <w:r>
        <w:rPr>
          <w:color w:val="231F20"/>
        </w:rPr>
        <w:t>entrevista.</w:t>
      </w:r>
    </w:p>
    <w:p>
      <w:pPr>
        <w:pStyle w:val="BodyText"/>
        <w:spacing w:line="249" w:lineRule="auto" w:before="1"/>
        <w:ind w:left="110" w:right="111" w:firstLine="283"/>
        <w:jc w:val="both"/>
      </w:pPr>
      <w:r>
        <w:rPr>
          <w:color w:val="231F20"/>
        </w:rPr>
        <w:t>En todos los casos, la mecánica fue similar: primeramente se  explicó a los  integrantes  del  personal  elegido  el  motivo  de  nues-  tra</w:t>
      </w:r>
      <w:r>
        <w:rPr>
          <w:color w:val="231F20"/>
          <w:spacing w:val="25"/>
        </w:rPr>
        <w:t> </w:t>
      </w:r>
      <w:r>
        <w:rPr>
          <w:color w:val="231F20"/>
        </w:rPr>
        <w:t>visita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institución</w:t>
      </w:r>
      <w:r>
        <w:rPr>
          <w:color w:val="231F20"/>
          <w:spacing w:val="25"/>
        </w:rPr>
        <w:t> </w:t>
      </w:r>
      <w:r>
        <w:rPr>
          <w:color w:val="231F20"/>
        </w:rPr>
        <w:t>y</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rPr>
        <w:t>persona</w:t>
      </w:r>
      <w:r>
        <w:rPr>
          <w:color w:val="231F20"/>
          <w:spacing w:val="25"/>
        </w:rPr>
        <w:t> </w:t>
      </w:r>
      <w:r>
        <w:rPr>
          <w:color w:val="231F20"/>
        </w:rPr>
        <w:t>en</w:t>
      </w:r>
      <w:r>
        <w:rPr>
          <w:color w:val="231F20"/>
          <w:spacing w:val="25"/>
        </w:rPr>
        <w:t> </w:t>
      </w:r>
      <w:r>
        <w:rPr>
          <w:color w:val="231F20"/>
        </w:rPr>
        <w:t>particular.</w:t>
      </w:r>
      <w:r>
        <w:rPr>
          <w:color w:val="231F20"/>
          <w:spacing w:val="25"/>
        </w:rPr>
        <w:t> </w:t>
      </w:r>
      <w:r>
        <w:rPr>
          <w:color w:val="231F20"/>
        </w:rPr>
        <w:t>Posteriormente</w:t>
      </w:r>
    </w:p>
    <w:p>
      <w:pPr>
        <w:pStyle w:val="BodyText"/>
        <w:spacing w:line="249" w:lineRule="auto" w:before="1"/>
        <w:ind w:left="110" w:right="111"/>
        <w:jc w:val="both"/>
      </w:pPr>
      <w:r>
        <w:rPr>
          <w:color w:val="231F20"/>
        </w:rPr>
        <w:t>―para</w:t>
      </w:r>
      <w:r>
        <w:rPr>
          <w:color w:val="231F20"/>
          <w:spacing w:val="-8"/>
        </w:rPr>
        <w:t> </w:t>
      </w:r>
      <w:r>
        <w:rPr>
          <w:color w:val="231F20"/>
        </w:rPr>
        <w:t>generar</w:t>
      </w:r>
      <w:r>
        <w:rPr>
          <w:color w:val="231F20"/>
          <w:spacing w:val="-8"/>
        </w:rPr>
        <w:t> </w:t>
      </w:r>
      <w:r>
        <w:rPr>
          <w:color w:val="231F20"/>
        </w:rPr>
        <w:t>un</w:t>
      </w:r>
      <w:r>
        <w:rPr>
          <w:color w:val="231F20"/>
          <w:spacing w:val="-8"/>
        </w:rPr>
        <w:t> </w:t>
      </w:r>
      <w:r>
        <w:rPr>
          <w:color w:val="231F20"/>
        </w:rPr>
        <w:t>clima</w:t>
      </w:r>
      <w:r>
        <w:rPr>
          <w:color w:val="231F20"/>
          <w:spacing w:val="-8"/>
        </w:rPr>
        <w:t> </w:t>
      </w:r>
      <w:r>
        <w:rPr>
          <w:color w:val="231F20"/>
        </w:rPr>
        <w:t>de</w:t>
      </w:r>
      <w:r>
        <w:rPr>
          <w:color w:val="231F20"/>
          <w:spacing w:val="-8"/>
        </w:rPr>
        <w:t> </w:t>
      </w:r>
      <w:r>
        <w:rPr>
          <w:color w:val="231F20"/>
        </w:rPr>
        <w:t>confianza</w:t>
      </w:r>
      <w:r>
        <w:rPr>
          <w:color w:val="231F20"/>
          <w:spacing w:val="-8"/>
        </w:rPr>
        <w:t> </w:t>
      </w:r>
      <w:r>
        <w:rPr>
          <w:color w:val="231F20"/>
        </w:rPr>
        <w:t>y</w:t>
      </w:r>
      <w:r>
        <w:rPr>
          <w:color w:val="231F20"/>
          <w:spacing w:val="-8"/>
        </w:rPr>
        <w:t> </w:t>
      </w:r>
      <w:r>
        <w:rPr>
          <w:color w:val="231F20"/>
        </w:rPr>
        <w:t>romper</w:t>
      </w:r>
      <w:r>
        <w:rPr>
          <w:color w:val="231F20"/>
          <w:spacing w:val="-8"/>
        </w:rPr>
        <w:t> </w:t>
      </w:r>
      <w:r>
        <w:rPr>
          <w:color w:val="231F20"/>
        </w:rPr>
        <w:t>el</w:t>
      </w:r>
      <w:r>
        <w:rPr>
          <w:color w:val="231F20"/>
          <w:spacing w:val="-8"/>
        </w:rPr>
        <w:t> </w:t>
      </w:r>
      <w:r>
        <w:rPr>
          <w:color w:val="231F20"/>
        </w:rPr>
        <w:t>hielo―</w:t>
      </w:r>
      <w:r>
        <w:rPr>
          <w:color w:val="231F20"/>
          <w:spacing w:val="-8"/>
        </w:rPr>
        <w:t> </w:t>
      </w:r>
      <w:r>
        <w:rPr>
          <w:color w:val="231F20"/>
        </w:rPr>
        <w:t>se</w:t>
      </w:r>
      <w:r>
        <w:rPr>
          <w:color w:val="231F20"/>
          <w:spacing w:val="-8"/>
        </w:rPr>
        <w:t> </w:t>
      </w:r>
      <w:r>
        <w:rPr>
          <w:color w:val="231F20"/>
        </w:rPr>
        <w:t>propuso</w:t>
      </w:r>
      <w:r>
        <w:rPr>
          <w:color w:val="231F20"/>
          <w:spacing w:val="-8"/>
        </w:rPr>
        <w:t> </w:t>
      </w:r>
      <w:r>
        <w:rPr>
          <w:color w:val="231F20"/>
        </w:rPr>
        <w:t>que nos</w:t>
      </w:r>
      <w:r>
        <w:rPr>
          <w:color w:val="231F20"/>
          <w:spacing w:val="-8"/>
        </w:rPr>
        <w:t> </w:t>
      </w:r>
      <w:r>
        <w:rPr>
          <w:color w:val="231F20"/>
        </w:rPr>
        <w:t>platicaran</w:t>
      </w:r>
      <w:r>
        <w:rPr>
          <w:color w:val="231F20"/>
          <w:spacing w:val="-8"/>
        </w:rPr>
        <w:t> </w:t>
      </w:r>
      <w:r>
        <w:rPr>
          <w:color w:val="231F20"/>
        </w:rPr>
        <w:t>un</w:t>
      </w:r>
      <w:r>
        <w:rPr>
          <w:color w:val="231F20"/>
          <w:spacing w:val="-8"/>
        </w:rPr>
        <w:t> </w:t>
      </w:r>
      <w:r>
        <w:rPr>
          <w:color w:val="231F20"/>
        </w:rPr>
        <w:t>día</w:t>
      </w:r>
      <w:r>
        <w:rPr>
          <w:color w:val="231F20"/>
          <w:spacing w:val="-8"/>
        </w:rPr>
        <w:t> </w:t>
      </w:r>
      <w:r>
        <w:rPr>
          <w:color w:val="231F20"/>
        </w:rPr>
        <w:t>típico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institución.</w:t>
      </w:r>
      <w:r>
        <w:rPr>
          <w:color w:val="231F20"/>
          <w:spacing w:val="-8"/>
        </w:rPr>
        <w:t> </w:t>
      </w:r>
      <w:r>
        <w:rPr>
          <w:color w:val="231F20"/>
        </w:rPr>
        <w:t>Luego</w:t>
      </w:r>
      <w:r>
        <w:rPr>
          <w:color w:val="231F20"/>
          <w:spacing w:val="-8"/>
        </w:rPr>
        <w:t> </w:t>
      </w:r>
      <w:r>
        <w:rPr>
          <w:color w:val="231F20"/>
        </w:rPr>
        <w:t>se</w:t>
      </w:r>
      <w:r>
        <w:rPr>
          <w:color w:val="231F20"/>
          <w:spacing w:val="-8"/>
        </w:rPr>
        <w:t> </w:t>
      </w:r>
      <w:r>
        <w:rPr>
          <w:color w:val="231F20"/>
        </w:rPr>
        <w:t>pasó</w:t>
      </w:r>
      <w:r>
        <w:rPr>
          <w:color w:val="231F20"/>
          <w:spacing w:val="-8"/>
        </w:rPr>
        <w:t> </w:t>
      </w:r>
      <w:r>
        <w:rPr>
          <w:color w:val="231F20"/>
        </w:rPr>
        <w:t>a</w:t>
      </w:r>
      <w:r>
        <w:rPr>
          <w:color w:val="231F20"/>
          <w:spacing w:val="-8"/>
        </w:rPr>
        <w:t> </w:t>
      </w:r>
      <w:r>
        <w:rPr>
          <w:color w:val="231F20"/>
        </w:rPr>
        <w:t>tratar</w:t>
      </w:r>
      <w:r>
        <w:rPr>
          <w:color w:val="231F20"/>
          <w:spacing w:val="-8"/>
        </w:rPr>
        <w:t> </w:t>
      </w:r>
      <w:r>
        <w:rPr>
          <w:color w:val="231F20"/>
        </w:rPr>
        <w:t>temas como la organización y funcionamiento institucional, así como las opi- niones</w:t>
      </w:r>
      <w:r>
        <w:rPr>
          <w:color w:val="231F20"/>
          <w:spacing w:val="-6"/>
        </w:rPr>
        <w:t> </w:t>
      </w:r>
      <w:r>
        <w:rPr>
          <w:color w:val="231F20"/>
        </w:rPr>
        <w:t>que</w:t>
      </w:r>
      <w:r>
        <w:rPr>
          <w:color w:val="231F20"/>
          <w:spacing w:val="-6"/>
        </w:rPr>
        <w:t> </w:t>
      </w:r>
      <w:r>
        <w:rPr>
          <w:color w:val="231F20"/>
        </w:rPr>
        <w:t>tenían</w:t>
      </w:r>
      <w:r>
        <w:rPr>
          <w:color w:val="231F20"/>
          <w:spacing w:val="-6"/>
        </w:rPr>
        <w:t> </w:t>
      </w:r>
      <w:r>
        <w:rPr>
          <w:color w:val="231F20"/>
        </w:rPr>
        <w:t>sobre</w:t>
      </w:r>
      <w:r>
        <w:rPr>
          <w:color w:val="231F20"/>
          <w:spacing w:val="-6"/>
        </w:rPr>
        <w:t> </w:t>
      </w:r>
      <w:r>
        <w:rPr>
          <w:color w:val="231F20"/>
        </w:rPr>
        <w:t>los</w:t>
      </w:r>
      <w:r>
        <w:rPr>
          <w:color w:val="231F20"/>
          <w:spacing w:val="-6"/>
        </w:rPr>
        <w:t> </w:t>
      </w:r>
      <w:r>
        <w:rPr>
          <w:color w:val="231F20"/>
        </w:rPr>
        <w:t>niños</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razones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internamiento.</w:t>
      </w:r>
      <w:r>
        <w:rPr>
          <w:color w:val="231F20"/>
          <w:spacing w:val="-6"/>
        </w:rPr>
        <w:t> </w:t>
      </w:r>
      <w:r>
        <w:rPr>
          <w:color w:val="231F20"/>
        </w:rPr>
        <w:t>Des- pués</w:t>
      </w:r>
      <w:r>
        <w:rPr>
          <w:color w:val="231F20"/>
          <w:spacing w:val="-8"/>
        </w:rPr>
        <w:t> </w:t>
      </w:r>
      <w:r>
        <w:rPr>
          <w:color w:val="231F20"/>
        </w:rPr>
        <w:t>de</w:t>
      </w:r>
      <w:r>
        <w:rPr>
          <w:color w:val="231F20"/>
          <w:spacing w:val="-8"/>
        </w:rPr>
        <w:t> </w:t>
      </w:r>
      <w:r>
        <w:rPr>
          <w:color w:val="231F20"/>
        </w:rPr>
        <w:t>ello,</w:t>
      </w:r>
      <w:r>
        <w:rPr>
          <w:color w:val="231F20"/>
          <w:spacing w:val="-8"/>
        </w:rPr>
        <w:t> </w:t>
      </w:r>
      <w:r>
        <w:rPr>
          <w:color w:val="231F20"/>
        </w:rPr>
        <w:t>se</w:t>
      </w:r>
      <w:r>
        <w:rPr>
          <w:color w:val="231F20"/>
          <w:spacing w:val="-8"/>
        </w:rPr>
        <w:t> </w:t>
      </w:r>
      <w:r>
        <w:rPr>
          <w:color w:val="231F20"/>
        </w:rPr>
        <w:t>abundó</w:t>
      </w:r>
      <w:r>
        <w:rPr>
          <w:color w:val="231F20"/>
          <w:spacing w:val="-8"/>
        </w:rPr>
        <w:t> </w:t>
      </w:r>
      <w:r>
        <w:rPr>
          <w:color w:val="231F20"/>
        </w:rPr>
        <w:t>sobre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significaba</w:t>
      </w:r>
      <w:r>
        <w:rPr>
          <w:color w:val="231F20"/>
          <w:spacing w:val="-8"/>
        </w:rPr>
        <w:t> </w:t>
      </w:r>
      <w:r>
        <w:rPr>
          <w:color w:val="231F20"/>
        </w:rPr>
        <w:t>para</w:t>
      </w:r>
      <w:r>
        <w:rPr>
          <w:color w:val="231F20"/>
          <w:spacing w:val="-8"/>
        </w:rPr>
        <w:t> </w:t>
      </w:r>
      <w:r>
        <w:rPr>
          <w:color w:val="231F20"/>
        </w:rPr>
        <w:t>cada</w:t>
      </w:r>
      <w:r>
        <w:rPr>
          <w:color w:val="231F20"/>
          <w:spacing w:val="-8"/>
        </w:rPr>
        <w:t> </w:t>
      </w:r>
      <w:r>
        <w:rPr>
          <w:color w:val="231F20"/>
        </w:rPr>
        <w:t>uno</w:t>
      </w:r>
      <w:r>
        <w:rPr>
          <w:color w:val="231F20"/>
          <w:spacing w:val="-8"/>
        </w:rPr>
        <w:t> </w:t>
      </w:r>
      <w:r>
        <w:rPr>
          <w:color w:val="231F20"/>
        </w:rPr>
        <w:t>trabajar</w:t>
      </w:r>
      <w:r>
        <w:rPr>
          <w:color w:val="231F20"/>
          <w:spacing w:val="-8"/>
        </w:rPr>
        <w:t> </w:t>
      </w:r>
      <w:r>
        <w:rPr>
          <w:color w:val="231F20"/>
        </w:rPr>
        <w:t>en las</w:t>
      </w:r>
      <w:r>
        <w:rPr>
          <w:color w:val="231F20"/>
          <w:spacing w:val="-7"/>
        </w:rPr>
        <w:t> </w:t>
      </w:r>
      <w:r>
        <w:rPr>
          <w:color w:val="231F20"/>
        </w:rPr>
        <w:t>instituciones</w:t>
      </w:r>
      <w:r>
        <w:rPr>
          <w:color w:val="231F20"/>
          <w:spacing w:val="-8"/>
        </w:rPr>
        <w:t> </w:t>
      </w:r>
      <w:r>
        <w:rPr>
          <w:color w:val="231F20"/>
        </w:rPr>
        <w:t>y</w:t>
      </w:r>
      <w:r>
        <w:rPr>
          <w:color w:val="231F20"/>
          <w:spacing w:val="-7"/>
        </w:rPr>
        <w:t> </w:t>
      </w:r>
      <w:r>
        <w:rPr>
          <w:color w:val="231F20"/>
        </w:rPr>
        <w:t>particularmente</w:t>
      </w:r>
      <w:r>
        <w:rPr>
          <w:color w:val="231F20"/>
          <w:spacing w:val="-7"/>
        </w:rPr>
        <w:t> </w:t>
      </w:r>
      <w:r>
        <w:rPr>
          <w:color w:val="231F20"/>
        </w:rPr>
        <w:t>con</w:t>
      </w:r>
      <w:r>
        <w:rPr>
          <w:color w:val="231F20"/>
          <w:spacing w:val="-7"/>
        </w:rPr>
        <w:t> </w:t>
      </w:r>
      <w:r>
        <w:rPr>
          <w:color w:val="231F20"/>
        </w:rPr>
        <w:t>niños</w:t>
      </w:r>
      <w:r>
        <w:rPr>
          <w:color w:val="231F20"/>
          <w:spacing w:val="-7"/>
        </w:rPr>
        <w:t> </w:t>
      </w:r>
      <w:r>
        <w:rPr>
          <w:color w:val="231F20"/>
        </w:rPr>
        <w:t>abandonados,</w:t>
      </w:r>
      <w:r>
        <w:rPr>
          <w:color w:val="231F20"/>
          <w:spacing w:val="-8"/>
        </w:rPr>
        <w:t> </w:t>
      </w:r>
      <w:r>
        <w:rPr>
          <w:color w:val="231F20"/>
        </w:rPr>
        <w:t>maltratados</w:t>
      </w:r>
      <w:r>
        <w:rPr>
          <w:color w:val="231F20"/>
          <w:spacing w:val="-8"/>
        </w:rPr>
        <w:t> </w:t>
      </w:r>
      <w:r>
        <w:rPr>
          <w:color w:val="231F20"/>
        </w:rPr>
        <w:t>y en orfandad, así como los proyectos que tenían dentro y fuera de su ins- titución, en el corto, mediano y largo plazo. Se concluyó solicitando</w:t>
      </w:r>
      <w:r>
        <w:rPr>
          <w:color w:val="231F20"/>
          <w:spacing w:val="-22"/>
        </w:rPr>
        <w:t> </w:t>
      </w:r>
      <w:r>
        <w:rPr>
          <w:color w:val="231F20"/>
        </w:rPr>
        <w:t>que indicaran lo que cambiarían si tuvieran los medios para</w:t>
      </w:r>
      <w:r>
        <w:rPr>
          <w:color w:val="231F20"/>
          <w:spacing w:val="-7"/>
        </w:rPr>
        <w:t> </w:t>
      </w:r>
      <w:r>
        <w:rPr>
          <w:color w:val="231F20"/>
        </w:rPr>
        <w:t>ello.</w:t>
      </w:r>
    </w:p>
    <w:p>
      <w:pPr>
        <w:pStyle w:val="BodyText"/>
        <w:spacing w:line="249" w:lineRule="auto" w:before="1"/>
        <w:ind w:left="110" w:right="111" w:firstLine="283"/>
        <w:jc w:val="both"/>
      </w:pPr>
      <w:r>
        <w:rPr>
          <w:color w:val="231F20"/>
        </w:rPr>
        <w:t>A lo anterior, debemos agregar que las entrevistas fueran transcritas en su totalidad para codificarlas y analizarlas en forma manual, utilizan- do la propuesta de Strauss y Corbin (2002) de la teoría fundamentada que, además de ayudarnos a interpretar lo que habíamos detectado de primera mano, nos permitió identificar otros elementos que</w:t>
      </w:r>
      <w:r>
        <w:rPr>
          <w:color w:val="231F20"/>
          <w:spacing w:val="-26"/>
        </w:rPr>
        <w:t> </w:t>
      </w:r>
      <w:r>
        <w:rPr>
          <w:color w:val="231F20"/>
        </w:rPr>
        <w:t>posibilitaron triangular o reforzar nuestras primeras</w:t>
      </w:r>
      <w:r>
        <w:rPr>
          <w:color w:val="231F20"/>
          <w:spacing w:val="-1"/>
        </w:rPr>
        <w:t> </w:t>
      </w:r>
      <w:r>
        <w:rPr>
          <w:color w:val="231F20"/>
        </w:rPr>
        <w:t>ideas.</w:t>
      </w:r>
    </w:p>
    <w:p>
      <w:pPr>
        <w:spacing w:after="0" w:line="249" w:lineRule="auto"/>
        <w:jc w:val="both"/>
        <w:sectPr>
          <w:pgSz w:w="7770" w:h="11740"/>
          <w:pgMar w:header="0" w:footer="474" w:top="840" w:bottom="740" w:left="740" w:right="1020"/>
        </w:sectPr>
      </w:pPr>
    </w:p>
    <w:p>
      <w:pPr>
        <w:spacing w:before="47"/>
        <w:ind w:left="113" w:right="0" w:firstLine="0"/>
        <w:jc w:val="both"/>
        <w:rPr>
          <w:b/>
          <w:sz w:val="24"/>
        </w:rPr>
      </w:pPr>
      <w:r>
        <w:rPr>
          <w:b/>
          <w:w w:val="75"/>
          <w:sz w:val="24"/>
        </w:rPr>
        <w:t>Un </w:t>
      </w:r>
      <w:r>
        <w:rPr>
          <w:b/>
          <w:i/>
          <w:w w:val="75"/>
          <w:sz w:val="24"/>
        </w:rPr>
        <w:t>continuum </w:t>
      </w:r>
      <w:r>
        <w:rPr>
          <w:b/>
          <w:w w:val="75"/>
          <w:sz w:val="24"/>
        </w:rPr>
        <w:t>laboral, distintas concepciones</w:t>
      </w:r>
    </w:p>
    <w:p>
      <w:pPr>
        <w:pStyle w:val="BodyText"/>
        <w:spacing w:line="249" w:lineRule="auto" w:before="171"/>
        <w:ind w:left="113" w:right="108"/>
        <w:jc w:val="both"/>
      </w:pPr>
      <w:r>
        <w:rPr>
          <w:color w:val="231F20"/>
        </w:rPr>
        <w:t>Cuando el personal de las instituciones asistenciales estudiadas habla de lo que significa su trabajo, aparecen ciertos temas que parecen similares a lo lejos. Sin embargo, si se analizan detenidamente sus narrativas por grupos, se pueden distinguir diferencias sutiles, pero importantes, que complejizan la idea de lo que significa el trabajo para este personal. Por ello,</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siguientes</w:t>
      </w:r>
      <w:r>
        <w:rPr>
          <w:color w:val="231F20"/>
          <w:spacing w:val="-11"/>
        </w:rPr>
        <w:t> </w:t>
      </w:r>
      <w:r>
        <w:rPr>
          <w:color w:val="231F20"/>
        </w:rPr>
        <w:t>apartados</w:t>
      </w:r>
      <w:r>
        <w:rPr>
          <w:color w:val="231F20"/>
          <w:spacing w:val="-12"/>
        </w:rPr>
        <w:t> </w:t>
      </w:r>
      <w:r>
        <w:rPr>
          <w:color w:val="231F20"/>
        </w:rPr>
        <w:t>trataremos</w:t>
      </w:r>
      <w:r>
        <w:rPr>
          <w:color w:val="231F20"/>
          <w:spacing w:val="-12"/>
        </w:rPr>
        <w:t> </w:t>
      </w:r>
      <w:r>
        <w:rPr>
          <w:color w:val="231F20"/>
        </w:rPr>
        <w:t>de</w:t>
      </w:r>
      <w:r>
        <w:rPr>
          <w:color w:val="231F20"/>
          <w:spacing w:val="-12"/>
        </w:rPr>
        <w:t> </w:t>
      </w:r>
      <w:r>
        <w:rPr>
          <w:color w:val="231F20"/>
        </w:rPr>
        <w:t>evidenciar</w:t>
      </w:r>
      <w:r>
        <w:rPr>
          <w:color w:val="231F20"/>
          <w:spacing w:val="-12"/>
        </w:rPr>
        <w:t> </w:t>
      </w:r>
      <w:r>
        <w:rPr>
          <w:color w:val="231F20"/>
        </w:rPr>
        <w:t>esta</w:t>
      </w:r>
      <w:r>
        <w:rPr>
          <w:color w:val="231F20"/>
          <w:spacing w:val="-12"/>
        </w:rPr>
        <w:t> </w:t>
      </w:r>
      <w:r>
        <w:rPr>
          <w:color w:val="231F20"/>
        </w:rPr>
        <w:t>situación,</w:t>
      </w:r>
      <w:r>
        <w:rPr>
          <w:color w:val="231F20"/>
          <w:spacing w:val="-11"/>
        </w:rPr>
        <w:t> </w:t>
      </w:r>
      <w:r>
        <w:rPr>
          <w:color w:val="231F20"/>
        </w:rPr>
        <w:t>a partir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interpretación</w:t>
      </w:r>
      <w:r>
        <w:rPr>
          <w:color w:val="231F20"/>
          <w:spacing w:val="-4"/>
        </w:rPr>
        <w:t> </w:t>
      </w:r>
      <w:r>
        <w:rPr>
          <w:color w:val="231F20"/>
        </w:rPr>
        <w:t>de</w:t>
      </w:r>
      <w:r>
        <w:rPr>
          <w:color w:val="231F20"/>
          <w:spacing w:val="-4"/>
        </w:rPr>
        <w:t> </w:t>
      </w:r>
      <w:r>
        <w:rPr>
          <w:color w:val="231F20"/>
        </w:rPr>
        <w:t>tres</w:t>
      </w:r>
      <w:r>
        <w:rPr>
          <w:color w:val="231F20"/>
          <w:spacing w:val="-4"/>
        </w:rPr>
        <w:t> </w:t>
      </w:r>
      <w:r>
        <w:rPr>
          <w:color w:val="231F20"/>
        </w:rPr>
        <w:t>grandes</w:t>
      </w:r>
      <w:r>
        <w:rPr>
          <w:color w:val="231F20"/>
          <w:spacing w:val="-4"/>
        </w:rPr>
        <w:t> </w:t>
      </w:r>
      <w:r>
        <w:rPr>
          <w:color w:val="231F20"/>
        </w:rPr>
        <w:t>temas</w:t>
      </w:r>
      <w:r>
        <w:rPr>
          <w:color w:val="231F20"/>
          <w:spacing w:val="-4"/>
        </w:rPr>
        <w:t> </w:t>
      </w:r>
      <w:r>
        <w:rPr>
          <w:color w:val="231F20"/>
        </w:rPr>
        <w:t>identificados</w:t>
      </w:r>
      <w:r>
        <w:rPr>
          <w:color w:val="231F20"/>
          <w:spacing w:val="-4"/>
        </w:rPr>
        <w:t> </w:t>
      </w:r>
      <w:r>
        <w:rPr>
          <w:color w:val="231F20"/>
        </w:rPr>
        <w:t>en</w:t>
      </w:r>
      <w:r>
        <w:rPr>
          <w:color w:val="231F20"/>
          <w:spacing w:val="-4"/>
        </w:rPr>
        <w:t> </w:t>
      </w:r>
      <w:r>
        <w:rPr>
          <w:color w:val="231F20"/>
        </w:rPr>
        <w:t>nuestras entrevistas donde aparecen precisamente distintas</w:t>
      </w:r>
      <w:r>
        <w:rPr>
          <w:color w:val="231F20"/>
          <w:spacing w:val="-11"/>
        </w:rPr>
        <w:t> </w:t>
      </w:r>
      <w:r>
        <w:rPr>
          <w:color w:val="231F20"/>
        </w:rPr>
        <w:t>significaciones.</w:t>
      </w:r>
    </w:p>
    <w:p>
      <w:pPr>
        <w:pStyle w:val="Heading5"/>
        <w:rPr>
          <w:i/>
        </w:rPr>
      </w:pPr>
      <w:r>
        <w:rPr>
          <w:i/>
          <w:w w:val="80"/>
        </w:rPr>
        <w:t>El trabajo como un medio</w:t>
      </w:r>
    </w:p>
    <w:p>
      <w:pPr>
        <w:pStyle w:val="BodyText"/>
        <w:spacing w:line="249" w:lineRule="auto" w:before="171"/>
        <w:ind w:left="113" w:right="108"/>
        <w:jc w:val="both"/>
      </w:pPr>
      <w:r>
        <w:rPr>
          <w:color w:val="231F20"/>
        </w:rPr>
        <w:t>Un primer tema identificado en los relatos vertidos por el personal en- trevistado es el relativo a su concepción del trabajo. De acuerdo con los relatos analizados, todo el personal asistencial concibe que su trabajo en los establecimientos asistenciales es un medio, un medio que sin embar- go tiene varios significados.</w:t>
      </w:r>
    </w:p>
    <w:p>
      <w:pPr>
        <w:pStyle w:val="BodyText"/>
        <w:spacing w:line="249" w:lineRule="auto" w:before="114"/>
        <w:ind w:left="397" w:right="108"/>
        <w:jc w:val="both"/>
      </w:pPr>
      <w:r>
        <w:rPr>
          <w:color w:val="231F20"/>
        </w:rPr>
        <w:t>[...] para mí [trabajar aquí], significa mi vida; porque además de for- marme personalmente y llevar adelante mis proyectos, me permite ayudar a estos niñitos que no tienen más apoyo que el que se les da aquí (Especialista, institución pública).</w:t>
      </w:r>
    </w:p>
    <w:p>
      <w:pPr>
        <w:pStyle w:val="BodyText"/>
        <w:spacing w:line="249" w:lineRule="auto" w:before="114"/>
        <w:ind w:left="397" w:right="108"/>
        <w:jc w:val="both"/>
      </w:pPr>
      <w:r>
        <w:rPr>
          <w:color w:val="231F20"/>
        </w:rPr>
        <w:t>¿Qué</w:t>
      </w:r>
      <w:r>
        <w:rPr>
          <w:color w:val="231F20"/>
          <w:spacing w:val="-8"/>
        </w:rPr>
        <w:t> </w:t>
      </w:r>
      <w:r>
        <w:rPr>
          <w:color w:val="231F20"/>
        </w:rPr>
        <w:t>significa</w:t>
      </w:r>
      <w:r>
        <w:rPr>
          <w:color w:val="231F20"/>
          <w:spacing w:val="-8"/>
        </w:rPr>
        <w:t> </w:t>
      </w:r>
      <w:r>
        <w:rPr>
          <w:color w:val="231F20"/>
        </w:rPr>
        <w:t>para</w:t>
      </w:r>
      <w:r>
        <w:rPr>
          <w:color w:val="231F20"/>
          <w:spacing w:val="-8"/>
        </w:rPr>
        <w:t> </w:t>
      </w:r>
      <w:r>
        <w:rPr>
          <w:color w:val="231F20"/>
        </w:rPr>
        <w:t>mi</w:t>
      </w:r>
      <w:r>
        <w:rPr>
          <w:color w:val="231F20"/>
          <w:spacing w:val="-8"/>
        </w:rPr>
        <w:t> </w:t>
      </w:r>
      <w:r>
        <w:rPr>
          <w:color w:val="231F20"/>
        </w:rPr>
        <w:t>trabajar</w:t>
      </w:r>
      <w:r>
        <w:rPr>
          <w:color w:val="231F20"/>
          <w:spacing w:val="-8"/>
        </w:rPr>
        <w:t> </w:t>
      </w:r>
      <w:r>
        <w:rPr>
          <w:color w:val="231F20"/>
        </w:rPr>
        <w:t>aquí?</w:t>
      </w:r>
      <w:r>
        <w:rPr>
          <w:color w:val="231F20"/>
          <w:spacing w:val="-8"/>
        </w:rPr>
        <w:t> </w:t>
      </w:r>
      <w:r>
        <w:rPr>
          <w:color w:val="231F20"/>
        </w:rPr>
        <w:t>Significa</w:t>
      </w:r>
      <w:r>
        <w:rPr>
          <w:color w:val="231F20"/>
          <w:spacing w:val="-8"/>
        </w:rPr>
        <w:t> </w:t>
      </w:r>
      <w:r>
        <w:rPr>
          <w:color w:val="231F20"/>
        </w:rPr>
        <w:t>mucho.</w:t>
      </w:r>
      <w:r>
        <w:rPr>
          <w:color w:val="231F20"/>
          <w:spacing w:val="-8"/>
        </w:rPr>
        <w:t> </w:t>
      </w:r>
      <w:r>
        <w:rPr>
          <w:color w:val="231F20"/>
        </w:rPr>
        <w:t>Significa</w:t>
      </w:r>
      <w:r>
        <w:rPr>
          <w:color w:val="231F20"/>
          <w:spacing w:val="-8"/>
        </w:rPr>
        <w:t> </w:t>
      </w:r>
      <w:r>
        <w:rPr>
          <w:color w:val="231F20"/>
        </w:rPr>
        <w:t>pon- er en práctica lo que aprendí, hacer lo que me gusta y ayudar a estos niños que lo necesitan [...] (Cuidadora, institución</w:t>
      </w:r>
      <w:r>
        <w:rPr>
          <w:color w:val="231F20"/>
          <w:spacing w:val="-2"/>
        </w:rPr>
        <w:t> </w:t>
      </w:r>
      <w:r>
        <w:rPr>
          <w:color w:val="231F20"/>
        </w:rPr>
        <w:t>privada).</w:t>
      </w:r>
    </w:p>
    <w:p>
      <w:pPr>
        <w:pStyle w:val="BodyText"/>
        <w:spacing w:line="249" w:lineRule="auto" w:before="114"/>
        <w:ind w:left="397" w:right="108"/>
        <w:jc w:val="both"/>
      </w:pPr>
      <w:r>
        <w:rPr>
          <w:color w:val="231F20"/>
        </w:rPr>
        <w:t>[...] Lo que significa trabajar aquí [...]. Es una buena pregunta. Es</w:t>
      </w:r>
      <w:r>
        <w:rPr>
          <w:color w:val="231F20"/>
          <w:spacing w:val="-11"/>
        </w:rPr>
        <w:t> </w:t>
      </w:r>
      <w:r>
        <w:rPr>
          <w:color w:val="231F20"/>
        </w:rPr>
        <w:t>re- alizarme en la vida y ayudar a realizarse a otros. Sí, es ayudar a</w:t>
      </w:r>
      <w:r>
        <w:rPr>
          <w:color w:val="231F20"/>
          <w:spacing w:val="-30"/>
        </w:rPr>
        <w:t> </w:t>
      </w:r>
      <w:r>
        <w:rPr>
          <w:color w:val="231F20"/>
        </w:rPr>
        <w:t>estos pequeñitos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tienen</w:t>
      </w:r>
      <w:r>
        <w:rPr>
          <w:color w:val="231F20"/>
          <w:spacing w:val="-10"/>
        </w:rPr>
        <w:t> </w:t>
      </w:r>
      <w:r>
        <w:rPr>
          <w:color w:val="231F20"/>
        </w:rPr>
        <w:t>quién</w:t>
      </w:r>
      <w:r>
        <w:rPr>
          <w:color w:val="231F20"/>
          <w:spacing w:val="-10"/>
        </w:rPr>
        <w:t> </w:t>
      </w:r>
      <w:r>
        <w:rPr>
          <w:color w:val="231F20"/>
        </w:rPr>
        <w:t>los</w:t>
      </w:r>
      <w:r>
        <w:rPr>
          <w:color w:val="231F20"/>
          <w:spacing w:val="-10"/>
        </w:rPr>
        <w:t> </w:t>
      </w:r>
      <w:r>
        <w:rPr>
          <w:color w:val="231F20"/>
        </w:rPr>
        <w:t>quiera</w:t>
      </w:r>
      <w:r>
        <w:rPr>
          <w:color w:val="231F20"/>
          <w:spacing w:val="-10"/>
        </w:rPr>
        <w:t> </w:t>
      </w:r>
      <w:r>
        <w:rPr>
          <w:color w:val="231F20"/>
        </w:rPr>
        <w:t>y</w:t>
      </w:r>
      <w:r>
        <w:rPr>
          <w:color w:val="231F20"/>
          <w:spacing w:val="-10"/>
        </w:rPr>
        <w:t> </w:t>
      </w:r>
      <w:r>
        <w:rPr>
          <w:color w:val="231F20"/>
        </w:rPr>
        <w:t>salir</w:t>
      </w:r>
      <w:r>
        <w:rPr>
          <w:color w:val="231F20"/>
          <w:spacing w:val="-10"/>
        </w:rPr>
        <w:t> </w:t>
      </w:r>
      <w:r>
        <w:rPr>
          <w:color w:val="231F20"/>
        </w:rPr>
        <w:t>adelante</w:t>
      </w:r>
      <w:r>
        <w:rPr>
          <w:color w:val="231F20"/>
          <w:spacing w:val="-10"/>
        </w:rPr>
        <w:t> </w:t>
      </w:r>
      <w:r>
        <w:rPr>
          <w:color w:val="231F20"/>
        </w:rPr>
        <w:t>(Cuidadora, institución</w:t>
      </w:r>
      <w:r>
        <w:rPr>
          <w:color w:val="231F20"/>
          <w:spacing w:val="-1"/>
        </w:rPr>
        <w:t> </w:t>
      </w:r>
      <w:r>
        <w:rPr>
          <w:color w:val="231F20"/>
        </w:rPr>
        <w:t>pública).</w:t>
      </w:r>
    </w:p>
    <w:p>
      <w:pPr>
        <w:pStyle w:val="BodyText"/>
        <w:spacing w:line="249" w:lineRule="auto" w:before="114"/>
        <w:ind w:left="113" w:right="107" w:firstLine="283"/>
        <w:jc w:val="both"/>
      </w:pPr>
      <w:r>
        <w:rPr>
          <w:color w:val="231F20"/>
        </w:rPr>
        <w:t>Estos significados pueden diferenciarse e interpretarse si se ordenan y analizan en función de los niveles jerárquicos del personal asistencial, pues existen ciertas constantes en cada nivel que ayudan a ello.</w:t>
      </w:r>
    </w:p>
    <w:p>
      <w:pPr>
        <w:pStyle w:val="BodyText"/>
        <w:spacing w:line="249" w:lineRule="auto" w:before="1"/>
        <w:ind w:left="113" w:right="108" w:firstLine="283"/>
        <w:jc w:val="both"/>
      </w:pPr>
      <w:r>
        <w:rPr>
          <w:color w:val="231F20"/>
        </w:rPr>
        <w:t>En el caso de los directivos, por ejemplo, hay dos concepciones que sobresalen</w:t>
      </w:r>
      <w:r>
        <w:rPr>
          <w:color w:val="231F20"/>
          <w:spacing w:val="-7"/>
        </w:rPr>
        <w:t> </w:t>
      </w:r>
      <w:r>
        <w:rPr>
          <w:color w:val="231F20"/>
        </w:rPr>
        <w:t>en</w:t>
      </w:r>
      <w:r>
        <w:rPr>
          <w:color w:val="231F20"/>
          <w:spacing w:val="-8"/>
        </w:rPr>
        <w:t> </w:t>
      </w:r>
      <w:r>
        <w:rPr>
          <w:color w:val="231F20"/>
        </w:rPr>
        <w:t>todos</w:t>
      </w:r>
      <w:r>
        <w:rPr>
          <w:color w:val="231F20"/>
          <w:spacing w:val="-8"/>
        </w:rPr>
        <w:t> </w:t>
      </w:r>
      <w:r>
        <w:rPr>
          <w:color w:val="231F20"/>
        </w:rPr>
        <w:t>sus</w:t>
      </w:r>
      <w:r>
        <w:rPr>
          <w:color w:val="231F20"/>
          <w:spacing w:val="-8"/>
        </w:rPr>
        <w:t> </w:t>
      </w:r>
      <w:r>
        <w:rPr>
          <w:color w:val="231F20"/>
        </w:rPr>
        <w:t>relatos,</w:t>
      </w:r>
      <w:r>
        <w:rPr>
          <w:color w:val="231F20"/>
          <w:spacing w:val="-8"/>
        </w:rPr>
        <w:t> </w:t>
      </w:r>
      <w:r>
        <w:rPr>
          <w:color w:val="231F20"/>
        </w:rPr>
        <w:t>las</w:t>
      </w:r>
      <w:r>
        <w:rPr>
          <w:color w:val="231F20"/>
          <w:spacing w:val="-8"/>
        </w:rPr>
        <w:t> </w:t>
      </w:r>
      <w:r>
        <w:rPr>
          <w:color w:val="231F20"/>
        </w:rPr>
        <w:t>cuales</w:t>
      </w:r>
      <w:r>
        <w:rPr>
          <w:color w:val="231F20"/>
          <w:spacing w:val="-8"/>
        </w:rPr>
        <w:t> </w:t>
      </w:r>
      <w:r>
        <w:rPr>
          <w:color w:val="231F20"/>
        </w:rPr>
        <w:t>remiten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institución</w:t>
      </w:r>
      <w:r>
        <w:rPr>
          <w:color w:val="231F20"/>
          <w:spacing w:val="-9"/>
        </w:rPr>
        <w:t> </w:t>
      </w:r>
      <w:r>
        <w:rPr>
          <w:color w:val="231F20"/>
        </w:rPr>
        <w:t>pública y privada, respectivamente: una que concibe al trabajo como un medio para demostrar compromiso y responsabilidad, y otra, que lo visualiza como un medio para realizarse en la vida y recibir la gracia</w:t>
      </w:r>
      <w:r>
        <w:rPr>
          <w:color w:val="231F20"/>
          <w:spacing w:val="-3"/>
        </w:rPr>
        <w:t> </w:t>
      </w:r>
      <w:r>
        <w:rPr>
          <w:color w:val="231F20"/>
        </w:rPr>
        <w:t>divina.</w:t>
      </w:r>
    </w:p>
    <w:p>
      <w:pPr>
        <w:pStyle w:val="BodyText"/>
        <w:spacing w:before="114"/>
        <w:ind w:left="461"/>
        <w:jc w:val="both"/>
      </w:pPr>
      <w:r>
        <w:rPr>
          <w:color w:val="231F20"/>
        </w:rPr>
        <w:t>En lo personal [...] para mí trabajar en esta institución significa   un</w:t>
      </w:r>
    </w:p>
    <w:p>
      <w:pPr>
        <w:spacing w:after="0"/>
        <w:jc w:val="both"/>
        <w:sectPr>
          <w:footerReference w:type="default" r:id="rId313"/>
          <w:pgSz w:w="7770" w:h="11740"/>
          <w:pgMar w:footer="474" w:header="0" w:top="840" w:bottom="660" w:left="1020" w:right="740"/>
          <w:pgNumType w:start="311"/>
        </w:sectPr>
      </w:pPr>
    </w:p>
    <w:p>
      <w:pPr>
        <w:pStyle w:val="BodyText"/>
        <w:spacing w:line="249" w:lineRule="auto" w:before="60"/>
        <w:ind w:left="393" w:right="111"/>
        <w:jc w:val="both"/>
      </w:pPr>
      <w:r>
        <w:rPr>
          <w:color w:val="231F20"/>
        </w:rPr>
        <w:t>gran reto, mucho compromiso y responsabilidad [...]. </w:t>
      </w:r>
      <w:r>
        <w:rPr>
          <w:color w:val="231F20"/>
          <w:spacing w:val="-11"/>
        </w:rPr>
        <w:t>Yo </w:t>
      </w:r>
      <w:r>
        <w:rPr>
          <w:color w:val="231F20"/>
        </w:rPr>
        <w:t>soy abo- gado de formación, cuando me invitaron, pensé qué cosas tendré</w:t>
      </w:r>
      <w:r>
        <w:rPr>
          <w:color w:val="231F20"/>
          <w:spacing w:val="-15"/>
        </w:rPr>
        <w:t> </w:t>
      </w:r>
      <w:r>
        <w:rPr>
          <w:color w:val="231F20"/>
        </w:rPr>
        <w:t>que hacer, pero después me di cuenta que puedo hacer muchas cosas y lo hago con todo gusto. Sobre todo porque va de por medio mi profe- sionalismo y mi agradecimiento a quienes me invitaron. No puedo fallarles.</w:t>
      </w:r>
      <w:r>
        <w:rPr>
          <w:color w:val="231F20"/>
          <w:spacing w:val="-19"/>
        </w:rPr>
        <w:t> </w:t>
      </w:r>
      <w:r>
        <w:rPr>
          <w:color w:val="231F20"/>
        </w:rPr>
        <w:t>Ahora</w:t>
      </w:r>
      <w:r>
        <w:rPr>
          <w:color w:val="231F20"/>
          <w:spacing w:val="-8"/>
        </w:rPr>
        <w:t> </w:t>
      </w:r>
      <w:r>
        <w:rPr>
          <w:color w:val="231F20"/>
        </w:rPr>
        <w:t>[...]</w:t>
      </w:r>
      <w:r>
        <w:rPr>
          <w:color w:val="231F20"/>
          <w:spacing w:val="-8"/>
        </w:rPr>
        <w:t> </w:t>
      </w:r>
      <w:r>
        <w:rPr>
          <w:color w:val="231F20"/>
        </w:rPr>
        <w:t>trabajar</w:t>
      </w:r>
      <w:r>
        <w:rPr>
          <w:color w:val="231F20"/>
          <w:spacing w:val="-9"/>
        </w:rPr>
        <w:t> </w:t>
      </w:r>
      <w:r>
        <w:rPr>
          <w:color w:val="231F20"/>
        </w:rPr>
        <w:t>aquí</w:t>
      </w:r>
      <w:r>
        <w:rPr>
          <w:color w:val="231F20"/>
          <w:spacing w:val="-8"/>
        </w:rPr>
        <w:t> </w:t>
      </w:r>
      <w:r>
        <w:rPr>
          <w:color w:val="231F20"/>
        </w:rPr>
        <w:t>también</w:t>
      </w:r>
      <w:r>
        <w:rPr>
          <w:color w:val="231F20"/>
          <w:spacing w:val="-9"/>
        </w:rPr>
        <w:t> </w:t>
      </w:r>
      <w:r>
        <w:rPr>
          <w:color w:val="231F20"/>
        </w:rPr>
        <w:t>es</w:t>
      </w:r>
      <w:r>
        <w:rPr>
          <w:color w:val="231F20"/>
          <w:spacing w:val="-8"/>
        </w:rPr>
        <w:t> </w:t>
      </w:r>
      <w:r>
        <w:rPr>
          <w:color w:val="231F20"/>
        </w:rPr>
        <w:t>de</w:t>
      </w:r>
      <w:r>
        <w:rPr>
          <w:color w:val="231F20"/>
          <w:spacing w:val="-8"/>
        </w:rPr>
        <w:t> </w:t>
      </w:r>
      <w:r>
        <w:rPr>
          <w:color w:val="231F20"/>
        </w:rPr>
        <w:t>mucho</w:t>
      </w:r>
      <w:r>
        <w:rPr>
          <w:color w:val="231F20"/>
          <w:spacing w:val="-8"/>
        </w:rPr>
        <w:t> </w:t>
      </w:r>
      <w:r>
        <w:rPr>
          <w:color w:val="231F20"/>
        </w:rPr>
        <w:t>compromiso</w:t>
      </w:r>
      <w:r>
        <w:rPr>
          <w:color w:val="231F20"/>
          <w:spacing w:val="-9"/>
        </w:rPr>
        <w:t> </w:t>
      </w:r>
      <w:r>
        <w:rPr>
          <w:color w:val="231F20"/>
        </w:rPr>
        <w:t>y responsabilidad</w:t>
      </w:r>
      <w:r>
        <w:rPr>
          <w:color w:val="231F20"/>
          <w:spacing w:val="-6"/>
        </w:rPr>
        <w:t> </w:t>
      </w:r>
      <w:r>
        <w:rPr>
          <w:color w:val="231F20"/>
        </w:rPr>
        <w:t>porque,</w:t>
      </w:r>
      <w:r>
        <w:rPr>
          <w:color w:val="231F20"/>
          <w:spacing w:val="-6"/>
        </w:rPr>
        <w:t> </w:t>
      </w:r>
      <w:r>
        <w:rPr>
          <w:color w:val="231F20"/>
        </w:rPr>
        <w:t>como</w:t>
      </w:r>
      <w:r>
        <w:rPr>
          <w:color w:val="231F20"/>
          <w:spacing w:val="-6"/>
        </w:rPr>
        <w:t> </w:t>
      </w:r>
      <w:r>
        <w:rPr>
          <w:color w:val="231F20"/>
        </w:rPr>
        <w:t>entenderás,</w:t>
      </w:r>
      <w:r>
        <w:rPr>
          <w:color w:val="231F20"/>
          <w:spacing w:val="-7"/>
        </w:rPr>
        <w:t> </w:t>
      </w:r>
      <w:r>
        <w:rPr>
          <w:color w:val="231F20"/>
        </w:rPr>
        <w:t>lo</w:t>
      </w:r>
      <w:r>
        <w:rPr>
          <w:color w:val="231F20"/>
          <w:spacing w:val="-6"/>
        </w:rPr>
        <w:t> </w:t>
      </w:r>
      <w:r>
        <w:rPr>
          <w:color w:val="231F20"/>
        </w:rPr>
        <w:t>que</w:t>
      </w:r>
      <w:r>
        <w:rPr>
          <w:color w:val="231F20"/>
          <w:spacing w:val="-6"/>
        </w:rPr>
        <w:t> </w:t>
      </w:r>
      <w:r>
        <w:rPr>
          <w:color w:val="231F20"/>
        </w:rPr>
        <w:t>haga</w:t>
      </w:r>
      <w:r>
        <w:rPr>
          <w:color w:val="231F20"/>
          <w:spacing w:val="-6"/>
        </w:rPr>
        <w:t> </w:t>
      </w:r>
      <w:r>
        <w:rPr>
          <w:color w:val="231F20"/>
        </w:rPr>
        <w:t>afecta</w:t>
      </w:r>
      <w:r>
        <w:rPr>
          <w:color w:val="231F20"/>
          <w:spacing w:val="-6"/>
        </w:rPr>
        <w:t> </w:t>
      </w:r>
      <w:r>
        <w:rPr>
          <w:color w:val="231F20"/>
        </w:rPr>
        <w:t>positiva o negativamente en los niños[...] (Directivo, institución</w:t>
      </w:r>
      <w:r>
        <w:rPr>
          <w:color w:val="231F20"/>
          <w:spacing w:val="-3"/>
        </w:rPr>
        <w:t> </w:t>
      </w:r>
      <w:r>
        <w:rPr>
          <w:color w:val="231F20"/>
        </w:rPr>
        <w:t>pública).</w:t>
      </w:r>
    </w:p>
    <w:p>
      <w:pPr>
        <w:pStyle w:val="BodyText"/>
        <w:spacing w:line="249" w:lineRule="auto" w:before="114"/>
        <w:ind w:left="393" w:right="111"/>
        <w:jc w:val="both"/>
      </w:pPr>
      <w:r>
        <w:rPr>
          <w:color w:val="231F20"/>
        </w:rPr>
        <w:t>tengo un compromiso aquí, para mí, mi trabajo es eso, trabajo y responsabilidad ante mis superiores y la gente (Directivo, nota de campo).</w:t>
      </w:r>
    </w:p>
    <w:p>
      <w:pPr>
        <w:pStyle w:val="BodyText"/>
        <w:spacing w:line="249" w:lineRule="auto" w:before="114"/>
        <w:ind w:left="393" w:right="111" w:firstLine="60"/>
        <w:jc w:val="both"/>
      </w:pPr>
      <w:r>
        <w:rPr>
          <w:color w:val="231F20"/>
        </w:rPr>
        <w:t>[...] es realmente una fortuna [trabajar en la institución]. De hecho, realmente</w:t>
      </w:r>
      <w:r>
        <w:rPr>
          <w:color w:val="231F20"/>
          <w:spacing w:val="-6"/>
        </w:rPr>
        <w:t> </w:t>
      </w:r>
      <w:r>
        <w:rPr>
          <w:color w:val="231F20"/>
        </w:rPr>
        <w:t>me</w:t>
      </w:r>
      <w:r>
        <w:rPr>
          <w:color w:val="231F20"/>
          <w:spacing w:val="-6"/>
        </w:rPr>
        <w:t> </w:t>
      </w:r>
      <w:r>
        <w:rPr>
          <w:color w:val="231F20"/>
        </w:rPr>
        <w:t>considero</w:t>
      </w:r>
      <w:r>
        <w:rPr>
          <w:color w:val="231F20"/>
          <w:spacing w:val="-6"/>
        </w:rPr>
        <w:t> </w:t>
      </w:r>
      <w:r>
        <w:rPr>
          <w:color w:val="231F20"/>
        </w:rPr>
        <w:t>afortunada</w:t>
      </w:r>
      <w:r>
        <w:rPr>
          <w:color w:val="231F20"/>
          <w:spacing w:val="-6"/>
        </w:rPr>
        <w:t> </w:t>
      </w:r>
      <w:r>
        <w:rPr>
          <w:color w:val="231F20"/>
        </w:rPr>
        <w:t>de</w:t>
      </w:r>
      <w:r>
        <w:rPr>
          <w:color w:val="231F20"/>
          <w:spacing w:val="-6"/>
        </w:rPr>
        <w:t> </w:t>
      </w:r>
      <w:r>
        <w:rPr>
          <w:color w:val="231F20"/>
        </w:rPr>
        <w:t>estar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lugar</w:t>
      </w:r>
      <w:r>
        <w:rPr>
          <w:color w:val="231F20"/>
          <w:spacing w:val="-6"/>
        </w:rPr>
        <w:t> </w:t>
      </w:r>
      <w:r>
        <w:rPr>
          <w:color w:val="231F20"/>
        </w:rPr>
        <w:t>que</w:t>
      </w:r>
      <w:r>
        <w:rPr>
          <w:color w:val="231F20"/>
          <w:spacing w:val="-6"/>
        </w:rPr>
        <w:t> </w:t>
      </w:r>
      <w:r>
        <w:rPr>
          <w:color w:val="231F20"/>
          <w:spacing w:val="-3"/>
        </w:rPr>
        <w:t>estoy.</w:t>
      </w:r>
      <w:r>
        <w:rPr>
          <w:color w:val="231F20"/>
          <w:spacing w:val="-6"/>
        </w:rPr>
        <w:t> </w:t>
      </w:r>
      <w:r>
        <w:rPr>
          <w:color w:val="231F20"/>
        </w:rPr>
        <w:t>[...] La casa, como ya te habrás dado cuenta, es católica, yo soy católica [...]. </w:t>
      </w:r>
      <w:r>
        <w:rPr>
          <w:color w:val="231F20"/>
          <w:spacing w:val="-11"/>
        </w:rPr>
        <w:t>Yo </w:t>
      </w:r>
      <w:r>
        <w:rPr>
          <w:color w:val="231F20"/>
        </w:rPr>
        <w:t>trabajo con las niñas, por el gusto de hacer, no por el dinero. Incluso ni me pagan, mi cargo es más honorario. Pero lo hago con gusto porque me siento comprometida con Dios, con la gente, para que</w:t>
      </w:r>
      <w:r>
        <w:rPr>
          <w:color w:val="231F20"/>
          <w:spacing w:val="-6"/>
        </w:rPr>
        <w:t> </w:t>
      </w:r>
      <w:r>
        <w:rPr>
          <w:color w:val="231F20"/>
        </w:rPr>
        <w:t>haya</w:t>
      </w:r>
      <w:r>
        <w:rPr>
          <w:color w:val="231F20"/>
          <w:spacing w:val="-6"/>
        </w:rPr>
        <w:t> </w:t>
      </w:r>
      <w:r>
        <w:rPr>
          <w:color w:val="231F20"/>
        </w:rPr>
        <w:t>un</w:t>
      </w:r>
      <w:r>
        <w:rPr>
          <w:color w:val="231F20"/>
          <w:spacing w:val="-6"/>
        </w:rPr>
        <w:t> </w:t>
      </w:r>
      <w:r>
        <w:rPr>
          <w:color w:val="231F20"/>
        </w:rPr>
        <w:t>mejor</w:t>
      </w:r>
      <w:r>
        <w:rPr>
          <w:color w:val="231F20"/>
          <w:spacing w:val="-6"/>
        </w:rPr>
        <w:t> </w:t>
      </w:r>
      <w:r>
        <w:rPr>
          <w:color w:val="231F20"/>
        </w:rPr>
        <w:t>mundo.</w:t>
      </w:r>
      <w:r>
        <w:rPr>
          <w:color w:val="231F20"/>
          <w:spacing w:val="-6"/>
        </w:rPr>
        <w:t> </w:t>
      </w:r>
      <w:r>
        <w:rPr>
          <w:color w:val="231F20"/>
        </w:rPr>
        <w:t>Claro,</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hago</w:t>
      </w:r>
      <w:r>
        <w:rPr>
          <w:color w:val="231F20"/>
          <w:spacing w:val="-6"/>
        </w:rPr>
        <w:t> </w:t>
      </w:r>
      <w:r>
        <w:rPr>
          <w:color w:val="231F20"/>
        </w:rPr>
        <w:t>apenas</w:t>
      </w:r>
      <w:r>
        <w:rPr>
          <w:color w:val="231F20"/>
          <w:spacing w:val="-6"/>
        </w:rPr>
        <w:t> </w:t>
      </w:r>
      <w:r>
        <w:rPr>
          <w:color w:val="231F20"/>
        </w:rPr>
        <w:t>se</w:t>
      </w:r>
      <w:r>
        <w:rPr>
          <w:color w:val="231F20"/>
          <w:spacing w:val="-6"/>
        </w:rPr>
        <w:t> </w:t>
      </w:r>
      <w:r>
        <w:rPr>
          <w:color w:val="231F20"/>
        </w:rPr>
        <w:t>ve,</w:t>
      </w:r>
      <w:r>
        <w:rPr>
          <w:color w:val="231F20"/>
          <w:spacing w:val="-6"/>
        </w:rPr>
        <w:t> </w:t>
      </w:r>
      <w:r>
        <w:rPr>
          <w:color w:val="231F20"/>
        </w:rPr>
        <w:t>pero</w:t>
      </w:r>
      <w:r>
        <w:rPr>
          <w:color w:val="231F20"/>
          <w:spacing w:val="-6"/>
        </w:rPr>
        <w:t> </w:t>
      </w:r>
      <w:r>
        <w:rPr>
          <w:color w:val="231F20"/>
        </w:rPr>
        <w:t>sólo Dios y la gente que me conoce lo reconoce (Directiva, institución privada).</w:t>
      </w:r>
    </w:p>
    <w:p>
      <w:pPr>
        <w:pStyle w:val="BodyText"/>
        <w:spacing w:line="249" w:lineRule="auto" w:before="114"/>
        <w:ind w:left="393" w:right="111"/>
        <w:jc w:val="both"/>
      </w:pPr>
      <w:r>
        <w:rPr>
          <w:color w:val="231F20"/>
        </w:rPr>
        <w:t>en</w:t>
      </w:r>
      <w:r>
        <w:rPr>
          <w:color w:val="231F20"/>
          <w:spacing w:val="-4"/>
        </w:rPr>
        <w:t> </w:t>
      </w:r>
      <w:r>
        <w:rPr>
          <w:color w:val="231F20"/>
        </w:rPr>
        <w:t>la</w:t>
      </w:r>
      <w:r>
        <w:rPr>
          <w:color w:val="231F20"/>
          <w:spacing w:val="-3"/>
        </w:rPr>
        <w:t> </w:t>
      </w:r>
      <w:r>
        <w:rPr>
          <w:color w:val="231F20"/>
        </w:rPr>
        <w:t>entrevista</w:t>
      </w:r>
      <w:r>
        <w:rPr>
          <w:color w:val="231F20"/>
          <w:spacing w:val="-4"/>
        </w:rPr>
        <w:t> </w:t>
      </w:r>
      <w:r>
        <w:rPr>
          <w:color w:val="231F20"/>
        </w:rPr>
        <w:t>[te</w:t>
      </w:r>
      <w:r>
        <w:rPr>
          <w:color w:val="231F20"/>
          <w:spacing w:val="-4"/>
        </w:rPr>
        <w:t> </w:t>
      </w:r>
      <w:r>
        <w:rPr>
          <w:color w:val="231F20"/>
        </w:rPr>
        <w:t>lo</w:t>
      </w:r>
      <w:r>
        <w:rPr>
          <w:color w:val="231F20"/>
          <w:spacing w:val="-4"/>
        </w:rPr>
        <w:t> </w:t>
      </w:r>
      <w:r>
        <w:rPr>
          <w:color w:val="231F20"/>
        </w:rPr>
        <w:t>dije].</w:t>
      </w:r>
      <w:r>
        <w:rPr>
          <w:color w:val="231F20"/>
          <w:spacing w:val="-4"/>
        </w:rPr>
        <w:t> </w:t>
      </w:r>
      <w:r>
        <w:rPr>
          <w:color w:val="231F20"/>
        </w:rPr>
        <w:t>Me</w:t>
      </w:r>
      <w:r>
        <w:rPr>
          <w:color w:val="231F20"/>
          <w:spacing w:val="-3"/>
        </w:rPr>
        <w:t> </w:t>
      </w:r>
      <w:r>
        <w:rPr>
          <w:color w:val="231F20"/>
        </w:rPr>
        <w:t>siento</w:t>
      </w:r>
      <w:r>
        <w:rPr>
          <w:color w:val="231F20"/>
          <w:spacing w:val="-3"/>
        </w:rPr>
        <w:t> </w:t>
      </w:r>
      <w:r>
        <w:rPr>
          <w:color w:val="231F20"/>
        </w:rPr>
        <w:t>muy</w:t>
      </w:r>
      <w:r>
        <w:rPr>
          <w:color w:val="231F20"/>
          <w:spacing w:val="-4"/>
        </w:rPr>
        <w:t> </w:t>
      </w:r>
      <w:r>
        <w:rPr>
          <w:color w:val="231F20"/>
        </w:rPr>
        <w:t>bien,</w:t>
      </w:r>
      <w:r>
        <w:rPr>
          <w:color w:val="231F20"/>
          <w:spacing w:val="-4"/>
        </w:rPr>
        <w:t> muy,</w:t>
      </w:r>
      <w:r>
        <w:rPr>
          <w:color w:val="231F20"/>
          <w:spacing w:val="-3"/>
        </w:rPr>
        <w:t> </w:t>
      </w:r>
      <w:r>
        <w:rPr>
          <w:color w:val="231F20"/>
        </w:rPr>
        <w:t>pero</w:t>
      </w:r>
      <w:r>
        <w:rPr>
          <w:color w:val="231F20"/>
          <w:spacing w:val="-3"/>
        </w:rPr>
        <w:t> </w:t>
      </w:r>
      <w:r>
        <w:rPr>
          <w:color w:val="231F20"/>
        </w:rPr>
        <w:t>muy</w:t>
      </w:r>
      <w:r>
        <w:rPr>
          <w:color w:val="231F20"/>
          <w:spacing w:val="-4"/>
        </w:rPr>
        <w:t> </w:t>
      </w:r>
      <w:r>
        <w:rPr>
          <w:color w:val="231F20"/>
        </w:rPr>
        <w:t>afor- tunada, porque lo hago por ellas y por mi fe, por mi Dios. Dios lo sabe,</w:t>
      </w:r>
      <w:r>
        <w:rPr>
          <w:color w:val="231F20"/>
          <w:spacing w:val="-11"/>
        </w:rPr>
        <w:t> </w:t>
      </w:r>
      <w:r>
        <w:rPr>
          <w:color w:val="231F20"/>
        </w:rPr>
        <w:t>por</w:t>
      </w:r>
      <w:r>
        <w:rPr>
          <w:color w:val="231F20"/>
          <w:spacing w:val="-11"/>
        </w:rPr>
        <w:t> </w:t>
      </w:r>
      <w:r>
        <w:rPr>
          <w:color w:val="231F20"/>
        </w:rPr>
        <w:t>eso</w:t>
      </w:r>
      <w:r>
        <w:rPr>
          <w:color w:val="231F20"/>
          <w:spacing w:val="-11"/>
        </w:rPr>
        <w:t> </w:t>
      </w:r>
      <w:r>
        <w:rPr>
          <w:color w:val="231F20"/>
        </w:rPr>
        <w:t>lo</w:t>
      </w:r>
      <w:r>
        <w:rPr>
          <w:color w:val="231F20"/>
          <w:spacing w:val="-11"/>
        </w:rPr>
        <w:t> </w:t>
      </w:r>
      <w:r>
        <w:rPr>
          <w:color w:val="231F20"/>
        </w:rPr>
        <w:t>hago</w:t>
      </w:r>
      <w:r>
        <w:rPr>
          <w:color w:val="231F20"/>
          <w:spacing w:val="-11"/>
        </w:rPr>
        <w:t> </w:t>
      </w:r>
      <w:r>
        <w:rPr>
          <w:color w:val="231F20"/>
        </w:rPr>
        <w:t>[Mi]</w:t>
      </w:r>
      <w:r>
        <w:rPr>
          <w:color w:val="231F20"/>
          <w:spacing w:val="-11"/>
        </w:rPr>
        <w:t> </w:t>
      </w:r>
      <w:r>
        <w:rPr>
          <w:color w:val="231F20"/>
        </w:rPr>
        <w:t>trabajo</w:t>
      </w:r>
      <w:r>
        <w:rPr>
          <w:color w:val="231F20"/>
          <w:spacing w:val="-12"/>
        </w:rPr>
        <w:t> </w:t>
      </w:r>
      <w:r>
        <w:rPr>
          <w:color w:val="231F20"/>
        </w:rPr>
        <w:t>significa</w:t>
      </w:r>
      <w:r>
        <w:rPr>
          <w:color w:val="231F20"/>
          <w:spacing w:val="-11"/>
        </w:rPr>
        <w:t> </w:t>
      </w:r>
      <w:r>
        <w:rPr>
          <w:color w:val="231F20"/>
        </w:rPr>
        <w:t>amor,</w:t>
      </w:r>
      <w:r>
        <w:rPr>
          <w:color w:val="231F20"/>
          <w:spacing w:val="-11"/>
        </w:rPr>
        <w:t> </w:t>
      </w:r>
      <w:r>
        <w:rPr>
          <w:color w:val="231F20"/>
        </w:rPr>
        <w:t>amor</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rPr>
        <w:t>demás, como lo dice Dios (Directiva, nota de</w:t>
      </w:r>
      <w:r>
        <w:rPr>
          <w:color w:val="231F20"/>
          <w:spacing w:val="-5"/>
        </w:rPr>
        <w:t> </w:t>
      </w:r>
      <w:r>
        <w:rPr>
          <w:color w:val="231F20"/>
        </w:rPr>
        <w:t>campo).</w:t>
      </w:r>
    </w:p>
    <w:p>
      <w:pPr>
        <w:pStyle w:val="BodyText"/>
        <w:spacing w:line="249" w:lineRule="auto" w:before="114"/>
        <w:ind w:left="110" w:right="111" w:firstLine="283"/>
        <w:jc w:val="both"/>
      </w:pPr>
      <w:r>
        <w:rPr>
          <w:color w:val="231F20"/>
        </w:rPr>
        <w:t>Pero ¿a qué se deben estas concepciones? Si hacemos un análisis de- tenido de lo que dicen las “palabras” arriba transcritas, podemos decir que</w:t>
      </w:r>
      <w:r>
        <w:rPr>
          <w:color w:val="231F20"/>
          <w:spacing w:val="-6"/>
        </w:rPr>
        <w:t> </w:t>
      </w:r>
      <w:r>
        <w:rPr>
          <w:color w:val="231F20"/>
        </w:rPr>
        <w:t>a</w:t>
      </w:r>
      <w:r>
        <w:rPr>
          <w:color w:val="231F20"/>
          <w:spacing w:val="-6"/>
        </w:rPr>
        <w:t> </w:t>
      </w:r>
      <w:r>
        <w:rPr>
          <w:color w:val="231F20"/>
        </w:rPr>
        <w:t>dos</w:t>
      </w:r>
      <w:r>
        <w:rPr>
          <w:color w:val="231F20"/>
          <w:spacing w:val="-6"/>
        </w:rPr>
        <w:t> </w:t>
      </w:r>
      <w:r>
        <w:rPr>
          <w:color w:val="231F20"/>
        </w:rPr>
        <w:t>cosas</w:t>
      </w:r>
      <w:r>
        <w:rPr>
          <w:color w:val="231F20"/>
          <w:spacing w:val="-6"/>
        </w:rPr>
        <w:t> </w:t>
      </w:r>
      <w:r>
        <w:rPr>
          <w:color w:val="231F20"/>
        </w:rPr>
        <w:t>particularmente</w:t>
      </w:r>
      <w:r>
        <w:rPr>
          <w:color w:val="231F20"/>
          <w:spacing w:val="-6"/>
        </w:rPr>
        <w:t> </w:t>
      </w:r>
      <w:r>
        <w:rPr>
          <w:color w:val="231F20"/>
        </w:rPr>
        <w:t>notables</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nivel,</w:t>
      </w:r>
      <w:r>
        <w:rPr>
          <w:color w:val="231F20"/>
          <w:spacing w:val="-6"/>
        </w:rPr>
        <w:t> </w:t>
      </w:r>
      <w:r>
        <w:rPr>
          <w:color w:val="231F20"/>
        </w:rPr>
        <w:t>una</w:t>
      </w:r>
      <w:r>
        <w:rPr>
          <w:color w:val="231F20"/>
          <w:spacing w:val="-6"/>
        </w:rPr>
        <w:t> </w:t>
      </w:r>
      <w:r>
        <w:rPr>
          <w:color w:val="231F20"/>
        </w:rPr>
        <w:t>más</w:t>
      </w:r>
      <w:r>
        <w:rPr>
          <w:color w:val="231F20"/>
          <w:spacing w:val="-6"/>
        </w:rPr>
        <w:t> </w:t>
      </w:r>
      <w:r>
        <w:rPr>
          <w:color w:val="231F20"/>
        </w:rPr>
        <w:t>clara</w:t>
      </w:r>
      <w:r>
        <w:rPr>
          <w:color w:val="231F20"/>
          <w:spacing w:val="-6"/>
        </w:rPr>
        <w:t> </w:t>
      </w:r>
      <w:r>
        <w:rPr>
          <w:color w:val="231F20"/>
        </w:rPr>
        <w:t>que otra. En principio, al hecho de que los directivos valoran, más que otro grupo,</w:t>
      </w:r>
      <w:r>
        <w:rPr>
          <w:color w:val="231F20"/>
          <w:spacing w:val="-5"/>
        </w:rPr>
        <w:t> </w:t>
      </w:r>
      <w:r>
        <w:rPr>
          <w:color w:val="231F20"/>
        </w:rPr>
        <w:t>cuestiones</w:t>
      </w:r>
      <w:r>
        <w:rPr>
          <w:color w:val="231F20"/>
          <w:spacing w:val="-6"/>
        </w:rPr>
        <w:t> </w:t>
      </w:r>
      <w:r>
        <w:rPr>
          <w:color w:val="231F20"/>
        </w:rPr>
        <w:t>sociales</w:t>
      </w:r>
      <w:r>
        <w:rPr>
          <w:color w:val="231F20"/>
          <w:spacing w:val="-5"/>
        </w:rPr>
        <w:t> </w:t>
      </w:r>
      <w:r>
        <w:rPr>
          <w:color w:val="231F20"/>
        </w:rPr>
        <w:t>consideradas</w:t>
      </w:r>
      <w:r>
        <w:rPr>
          <w:color w:val="231F20"/>
          <w:spacing w:val="-6"/>
        </w:rPr>
        <w:t> </w:t>
      </w:r>
      <w:r>
        <w:rPr>
          <w:color w:val="231F20"/>
        </w:rPr>
        <w:t>importantes</w:t>
      </w:r>
      <w:r>
        <w:rPr>
          <w:color w:val="231F20"/>
          <w:spacing w:val="-6"/>
        </w:rPr>
        <w:t> </w:t>
      </w:r>
      <w:r>
        <w:rPr>
          <w:color w:val="231F20"/>
        </w:rPr>
        <w:t>para</w:t>
      </w:r>
      <w:r>
        <w:rPr>
          <w:color w:val="231F20"/>
          <w:spacing w:val="-5"/>
        </w:rPr>
        <w:t> </w:t>
      </w:r>
      <w:r>
        <w:rPr>
          <w:color w:val="231F20"/>
        </w:rPr>
        <w:t>ellos</w:t>
      </w:r>
      <w:r>
        <w:rPr>
          <w:color w:val="231F20"/>
          <w:spacing w:val="-5"/>
        </w:rPr>
        <w:t> </w:t>
      </w:r>
      <w:r>
        <w:rPr>
          <w:color w:val="231F20"/>
        </w:rPr>
        <w:t>como</w:t>
      </w:r>
      <w:r>
        <w:rPr>
          <w:color w:val="231F20"/>
          <w:spacing w:val="-5"/>
        </w:rPr>
        <w:t> </w:t>
      </w:r>
      <w:r>
        <w:rPr>
          <w:color w:val="231F20"/>
        </w:rPr>
        <w:t>son las</w:t>
      </w:r>
      <w:r>
        <w:rPr>
          <w:color w:val="231F20"/>
          <w:spacing w:val="-4"/>
        </w:rPr>
        <w:t> </w:t>
      </w:r>
      <w:r>
        <w:rPr>
          <w:color w:val="231F20"/>
        </w:rPr>
        <w:t>redes</w:t>
      </w:r>
      <w:r>
        <w:rPr>
          <w:color w:val="231F20"/>
          <w:spacing w:val="-4"/>
        </w:rPr>
        <w:t> </w:t>
      </w:r>
      <w:r>
        <w:rPr>
          <w:color w:val="231F20"/>
        </w:rPr>
        <w:t>sociales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compromisos</w:t>
      </w:r>
      <w:r>
        <w:rPr>
          <w:color w:val="231F20"/>
          <w:spacing w:val="-5"/>
        </w:rPr>
        <w:t> </w:t>
      </w:r>
      <w:r>
        <w:rPr>
          <w:color w:val="231F20"/>
        </w:rPr>
        <w:t>morales</w:t>
      </w:r>
      <w:r>
        <w:rPr>
          <w:color w:val="231F20"/>
          <w:spacing w:val="-5"/>
        </w:rPr>
        <w:t> </w:t>
      </w:r>
      <w:r>
        <w:rPr>
          <w:color w:val="231F20"/>
        </w:rPr>
        <w:t>o</w:t>
      </w:r>
      <w:r>
        <w:rPr>
          <w:color w:val="231F20"/>
          <w:spacing w:val="-4"/>
        </w:rPr>
        <w:t> </w:t>
      </w:r>
      <w:r>
        <w:rPr>
          <w:color w:val="231F20"/>
        </w:rPr>
        <w:t>religiosos.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del directivo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institución</w:t>
      </w:r>
      <w:r>
        <w:rPr>
          <w:color w:val="231F20"/>
          <w:spacing w:val="-10"/>
        </w:rPr>
        <w:t> </w:t>
      </w:r>
      <w:r>
        <w:rPr>
          <w:color w:val="231F20"/>
        </w:rPr>
        <w:t>pública,</w:t>
      </w:r>
      <w:r>
        <w:rPr>
          <w:color w:val="231F20"/>
          <w:spacing w:val="-10"/>
        </w:rPr>
        <w:t> </w:t>
      </w:r>
      <w:r>
        <w:rPr>
          <w:color w:val="231F20"/>
        </w:rPr>
        <w:t>por</w:t>
      </w:r>
      <w:r>
        <w:rPr>
          <w:color w:val="231F20"/>
          <w:spacing w:val="-10"/>
        </w:rPr>
        <w:t> </w:t>
      </w:r>
      <w:r>
        <w:rPr>
          <w:color w:val="231F20"/>
        </w:rPr>
        <w:t>ejemplo,</w:t>
      </w:r>
      <w:r>
        <w:rPr>
          <w:color w:val="231F20"/>
          <w:spacing w:val="-10"/>
        </w:rPr>
        <w:t> </w:t>
      </w:r>
      <w:r>
        <w:rPr>
          <w:color w:val="231F20"/>
        </w:rPr>
        <w:t>sus</w:t>
      </w:r>
      <w:r>
        <w:rPr>
          <w:color w:val="231F20"/>
          <w:spacing w:val="-10"/>
        </w:rPr>
        <w:t> </w:t>
      </w:r>
      <w:r>
        <w:rPr>
          <w:color w:val="231F20"/>
        </w:rPr>
        <w:t>relatos</w:t>
      </w:r>
      <w:r>
        <w:rPr>
          <w:color w:val="231F20"/>
          <w:spacing w:val="-10"/>
        </w:rPr>
        <w:t> </w:t>
      </w:r>
      <w:r>
        <w:rPr>
          <w:color w:val="231F20"/>
        </w:rPr>
        <w:t>dejan</w:t>
      </w:r>
      <w:r>
        <w:rPr>
          <w:color w:val="231F20"/>
          <w:spacing w:val="-10"/>
        </w:rPr>
        <w:t> </w:t>
      </w:r>
      <w:r>
        <w:rPr>
          <w:color w:val="231F20"/>
        </w:rPr>
        <w:t>entrever que</w:t>
      </w:r>
      <w:r>
        <w:rPr>
          <w:color w:val="231F20"/>
          <w:spacing w:val="-10"/>
        </w:rPr>
        <w:t> </w:t>
      </w:r>
      <w:r>
        <w:rPr>
          <w:color w:val="231F20"/>
        </w:rPr>
        <w:t>su</w:t>
      </w:r>
      <w:r>
        <w:rPr>
          <w:color w:val="231F20"/>
          <w:spacing w:val="-10"/>
        </w:rPr>
        <w:t> </w:t>
      </w:r>
      <w:r>
        <w:rPr>
          <w:color w:val="231F20"/>
        </w:rPr>
        <w:t>concepción</w:t>
      </w:r>
      <w:r>
        <w:rPr>
          <w:color w:val="231F20"/>
          <w:spacing w:val="-10"/>
        </w:rPr>
        <w:t> </w:t>
      </w:r>
      <w:r>
        <w:rPr>
          <w:color w:val="231F20"/>
        </w:rPr>
        <w:t>del</w:t>
      </w:r>
      <w:r>
        <w:rPr>
          <w:color w:val="231F20"/>
          <w:spacing w:val="-10"/>
        </w:rPr>
        <w:t> </w:t>
      </w:r>
      <w:r>
        <w:rPr>
          <w:color w:val="231F20"/>
        </w:rPr>
        <w:t>trabajo</w:t>
      </w:r>
      <w:r>
        <w:rPr>
          <w:color w:val="231F20"/>
          <w:spacing w:val="-10"/>
        </w:rPr>
        <w:t> </w:t>
      </w:r>
      <w:r>
        <w:rPr>
          <w:color w:val="231F20"/>
        </w:rPr>
        <w:t>está</w:t>
      </w:r>
      <w:r>
        <w:rPr>
          <w:color w:val="231F20"/>
          <w:spacing w:val="-10"/>
        </w:rPr>
        <w:t> </w:t>
      </w:r>
      <w:r>
        <w:rPr>
          <w:color w:val="231F20"/>
        </w:rPr>
        <w:t>supeditada</w:t>
      </w:r>
      <w:r>
        <w:rPr>
          <w:color w:val="231F20"/>
          <w:spacing w:val="-10"/>
        </w:rPr>
        <w:t> </w:t>
      </w:r>
      <w:r>
        <w:rPr>
          <w:color w:val="231F20"/>
        </w:rPr>
        <w:t>al</w:t>
      </w:r>
      <w:r>
        <w:rPr>
          <w:color w:val="231F20"/>
          <w:spacing w:val="-10"/>
        </w:rPr>
        <w:t> </w:t>
      </w:r>
      <w:r>
        <w:rPr>
          <w:color w:val="231F20"/>
        </w:rPr>
        <w:t>motivo</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integración laboral a la institución asistencial, el cual, presumiblemente, es resul- tado de una relación política. Esto lo lleva a plantear que su trabajo es un medio para mostrar su compromiso, que creemos es un compromiso hacia quienes lo designaron, como una manera de reciprocar el apoyo otorgado.</w:t>
      </w:r>
      <w:r>
        <w:rPr>
          <w:color w:val="231F20"/>
          <w:spacing w:val="-8"/>
        </w:rPr>
        <w:t> </w:t>
      </w:r>
      <w:r>
        <w:rPr>
          <w:color w:val="231F20"/>
          <w:spacing w:val="-5"/>
        </w:rPr>
        <w:t>Tan</w:t>
      </w:r>
      <w:r>
        <w:rPr>
          <w:color w:val="231F20"/>
          <w:spacing w:val="-4"/>
        </w:rPr>
        <w:t> </w:t>
      </w:r>
      <w:r>
        <w:rPr>
          <w:color w:val="231F20"/>
        </w:rPr>
        <w:t>es</w:t>
      </w:r>
      <w:r>
        <w:rPr>
          <w:color w:val="231F20"/>
          <w:spacing w:val="-4"/>
        </w:rPr>
        <w:t> </w:t>
      </w:r>
      <w:r>
        <w:rPr>
          <w:color w:val="231F20"/>
        </w:rPr>
        <w:t>así,</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relatos</w:t>
      </w:r>
      <w:r>
        <w:rPr>
          <w:color w:val="231F20"/>
          <w:spacing w:val="-4"/>
        </w:rPr>
        <w:t> </w:t>
      </w:r>
      <w:r>
        <w:rPr>
          <w:color w:val="231F20"/>
        </w:rPr>
        <w:t>indica</w:t>
      </w:r>
      <w:r>
        <w:rPr>
          <w:color w:val="231F20"/>
          <w:spacing w:val="-4"/>
        </w:rPr>
        <w:t> </w:t>
      </w:r>
      <w:r>
        <w:rPr>
          <w:color w:val="231F20"/>
        </w:rPr>
        <w:t>la</w:t>
      </w:r>
      <w:r>
        <w:rPr>
          <w:color w:val="231F20"/>
          <w:spacing w:val="-4"/>
        </w:rPr>
        <w:t> </w:t>
      </w:r>
      <w:r>
        <w:rPr>
          <w:color w:val="231F20"/>
        </w:rPr>
        <w:t>necesidad</w:t>
      </w:r>
      <w:r>
        <w:rPr>
          <w:color w:val="231F20"/>
          <w:spacing w:val="-4"/>
        </w:rPr>
        <w:t> </w:t>
      </w:r>
      <w:r>
        <w:rPr>
          <w:color w:val="231F20"/>
        </w:rPr>
        <w:t>de</w:t>
      </w:r>
      <w:r>
        <w:rPr>
          <w:color w:val="231F20"/>
          <w:spacing w:val="-4"/>
        </w:rPr>
        <w:t> </w:t>
      </w:r>
      <w:r>
        <w:rPr>
          <w:color w:val="231F20"/>
        </w:rPr>
        <w:t>“no fallarles”.</w:t>
      </w:r>
      <w:r>
        <w:rPr>
          <w:color w:val="231F20"/>
          <w:spacing w:val="-4"/>
        </w:rPr>
        <w:t> </w:t>
      </w:r>
      <w:r>
        <w:rPr>
          <w:color w:val="231F20"/>
        </w:rPr>
        <w:t>Por</w:t>
      </w:r>
      <w:r>
        <w:rPr>
          <w:color w:val="231F20"/>
          <w:spacing w:val="-4"/>
        </w:rPr>
        <w:t> </w:t>
      </w:r>
      <w:r>
        <w:rPr>
          <w:color w:val="231F20"/>
        </w:rPr>
        <w:t>otra</w:t>
      </w:r>
      <w:r>
        <w:rPr>
          <w:color w:val="231F20"/>
          <w:spacing w:val="-4"/>
        </w:rPr>
        <w:t> </w:t>
      </w:r>
      <w:r>
        <w:rPr>
          <w:color w:val="231F20"/>
        </w:rPr>
        <w:t>parte,</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directiva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institución</w:t>
      </w:r>
      <w:r>
        <w:rPr>
          <w:color w:val="231F20"/>
          <w:spacing w:val="-5"/>
        </w:rPr>
        <w:t> </w:t>
      </w:r>
      <w:r>
        <w:rPr>
          <w:color w:val="231F20"/>
        </w:rPr>
        <w:t>pri- vada, sus relatos muestran que su concepción del trabajo está </w:t>
      </w:r>
      <w:r>
        <w:rPr>
          <w:color w:val="231F20"/>
          <w:spacing w:val="6"/>
        </w:rPr>
        <w:t> </w:t>
      </w:r>
      <w:r>
        <w:rPr>
          <w:color w:val="231F20"/>
        </w:rPr>
        <w:t>vinculada</w:t>
      </w:r>
    </w:p>
    <w:p>
      <w:pPr>
        <w:spacing w:after="0" w:line="249" w:lineRule="auto"/>
        <w:jc w:val="both"/>
        <w:sectPr>
          <w:pgSz w:w="7770" w:h="11740"/>
          <w:pgMar w:header="0" w:footer="474" w:top="840" w:bottom="740" w:left="740" w:right="1020"/>
        </w:sectPr>
      </w:pPr>
    </w:p>
    <w:p>
      <w:pPr>
        <w:pStyle w:val="BodyText"/>
        <w:spacing w:line="249" w:lineRule="auto" w:before="60"/>
        <w:ind w:left="113" w:right="109"/>
        <w:jc w:val="both"/>
      </w:pPr>
      <w:r>
        <w:rPr>
          <w:color w:val="231F20"/>
        </w:rPr>
        <w:t>con</w:t>
      </w:r>
      <w:r>
        <w:rPr>
          <w:color w:val="231F20"/>
          <w:spacing w:val="-6"/>
        </w:rPr>
        <w:t> </w:t>
      </w:r>
      <w:r>
        <w:rPr>
          <w:color w:val="231F20"/>
        </w:rPr>
        <w:t>ideas</w:t>
      </w:r>
      <w:r>
        <w:rPr>
          <w:color w:val="231F20"/>
          <w:spacing w:val="-6"/>
        </w:rPr>
        <w:t> </w:t>
      </w:r>
      <w:r>
        <w:rPr>
          <w:color w:val="231F20"/>
        </w:rPr>
        <w:t>de</w:t>
      </w:r>
      <w:r>
        <w:rPr>
          <w:color w:val="231F20"/>
          <w:spacing w:val="-6"/>
        </w:rPr>
        <w:t> </w:t>
      </w:r>
      <w:r>
        <w:rPr>
          <w:color w:val="231F20"/>
        </w:rPr>
        <w:t>autorrealización</w:t>
      </w:r>
      <w:r>
        <w:rPr>
          <w:color w:val="231F20"/>
          <w:spacing w:val="-7"/>
        </w:rPr>
        <w:t> </w:t>
      </w:r>
      <w:r>
        <w:rPr>
          <w:color w:val="231F20"/>
        </w:rPr>
        <w:t>que</w:t>
      </w:r>
      <w:r>
        <w:rPr>
          <w:color w:val="231F20"/>
          <w:spacing w:val="-6"/>
        </w:rPr>
        <w:t> </w:t>
      </w:r>
      <w:r>
        <w:rPr>
          <w:color w:val="231F20"/>
        </w:rPr>
        <w:t>maneja</w:t>
      </w:r>
      <w:r>
        <w:rPr>
          <w:color w:val="231F20"/>
          <w:spacing w:val="-6"/>
        </w:rPr>
        <w:t> </w:t>
      </w:r>
      <w:r>
        <w:rPr>
          <w:color w:val="231F20"/>
        </w:rPr>
        <w:t>y</w:t>
      </w:r>
      <w:r>
        <w:rPr>
          <w:color w:val="231F20"/>
          <w:spacing w:val="-6"/>
        </w:rPr>
        <w:t> </w:t>
      </w:r>
      <w:r>
        <w:rPr>
          <w:color w:val="231F20"/>
        </w:rPr>
        <w:t>profesa,</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tienen</w:t>
      </w:r>
      <w:r>
        <w:rPr>
          <w:color w:val="231F20"/>
          <w:spacing w:val="-6"/>
        </w:rPr>
        <w:t> </w:t>
      </w:r>
      <w:r>
        <w:rPr>
          <w:color w:val="231F20"/>
        </w:rPr>
        <w:t>una impronta religiosa. Por lo tanto su concepción del trabajo, retoma estas ideas para visualizarlo como un medio que le permita realizarse en la vida y recibir la gracia divina.</w:t>
      </w:r>
    </w:p>
    <w:p>
      <w:pPr>
        <w:pStyle w:val="BodyText"/>
        <w:spacing w:line="249" w:lineRule="auto" w:before="1"/>
        <w:ind w:left="113" w:right="107" w:firstLine="283"/>
        <w:jc w:val="both"/>
      </w:pPr>
      <w:r>
        <w:rPr>
          <w:color w:val="231F20"/>
        </w:rPr>
        <w:t>Ahora bien, las concepciones anteriores también pueden deberse al nivel socioeconómico de ambos directivos, el cual puede inferirse como alto, lo que los lleva a considerar asuntos más subjetivos que materiales en</w:t>
      </w:r>
      <w:r>
        <w:rPr>
          <w:color w:val="231F20"/>
          <w:spacing w:val="-11"/>
        </w:rPr>
        <w:t> </w:t>
      </w:r>
      <w:r>
        <w:rPr>
          <w:color w:val="231F20"/>
        </w:rPr>
        <w:t>sus</w:t>
      </w:r>
      <w:r>
        <w:rPr>
          <w:color w:val="231F20"/>
          <w:spacing w:val="-10"/>
        </w:rPr>
        <w:t> </w:t>
      </w:r>
      <w:r>
        <w:rPr>
          <w:color w:val="231F20"/>
        </w:rPr>
        <w:t>concepciones</w:t>
      </w:r>
      <w:r>
        <w:rPr>
          <w:color w:val="231F20"/>
          <w:spacing w:val="-11"/>
        </w:rPr>
        <w:t> </w:t>
      </w:r>
      <w:r>
        <w:rPr>
          <w:color w:val="231F20"/>
        </w:rPr>
        <w:t>laborales.</w:t>
      </w:r>
      <w:r>
        <w:rPr>
          <w:color w:val="231F20"/>
          <w:spacing w:val="-19"/>
        </w:rPr>
        <w:t> </w:t>
      </w:r>
      <w:r>
        <w:rPr>
          <w:color w:val="231F20"/>
        </w:rPr>
        <w:t>Y</w:t>
      </w:r>
      <w:r>
        <w:rPr>
          <w:color w:val="231F20"/>
          <w:spacing w:val="-18"/>
        </w:rPr>
        <w:t> </w:t>
      </w:r>
      <w:r>
        <w:rPr>
          <w:color w:val="231F20"/>
        </w:rPr>
        <w:t>es</w:t>
      </w:r>
      <w:r>
        <w:rPr>
          <w:color w:val="231F20"/>
          <w:spacing w:val="-11"/>
        </w:rPr>
        <w:t> </w:t>
      </w:r>
      <w:r>
        <w:rPr>
          <w:color w:val="231F20"/>
        </w:rPr>
        <w:t>que,</w:t>
      </w:r>
      <w:r>
        <w:rPr>
          <w:color w:val="231F20"/>
          <w:spacing w:val="-11"/>
        </w:rPr>
        <w:t> </w:t>
      </w:r>
      <w:r>
        <w:rPr>
          <w:color w:val="231F20"/>
        </w:rPr>
        <w:t>para</w:t>
      </w:r>
      <w:r>
        <w:rPr>
          <w:color w:val="231F20"/>
          <w:spacing w:val="-11"/>
        </w:rPr>
        <w:t> </w:t>
      </w:r>
      <w:r>
        <w:rPr>
          <w:color w:val="231F20"/>
        </w:rPr>
        <w:t>parafrasear</w:t>
      </w:r>
      <w:r>
        <w:rPr>
          <w:color w:val="231F20"/>
          <w:spacing w:val="-11"/>
        </w:rPr>
        <w:t> </w:t>
      </w:r>
      <w:r>
        <w:rPr>
          <w:color w:val="231F20"/>
        </w:rPr>
        <w:t>a</w:t>
      </w:r>
      <w:r>
        <w:rPr>
          <w:color w:val="231F20"/>
          <w:spacing w:val="-11"/>
        </w:rPr>
        <w:t> </w:t>
      </w:r>
      <w:r>
        <w:rPr>
          <w:color w:val="231F20"/>
        </w:rPr>
        <w:t>Castel</w:t>
      </w:r>
      <w:r>
        <w:rPr>
          <w:color w:val="231F20"/>
          <w:spacing w:val="-11"/>
        </w:rPr>
        <w:t> </w:t>
      </w:r>
      <w:r>
        <w:rPr>
          <w:color w:val="231F20"/>
        </w:rPr>
        <w:t>(1995), cuando</w:t>
      </w:r>
      <w:r>
        <w:rPr>
          <w:color w:val="231F20"/>
          <w:spacing w:val="-8"/>
        </w:rPr>
        <w:t> </w:t>
      </w:r>
      <w:r>
        <w:rPr>
          <w:color w:val="231F20"/>
        </w:rPr>
        <w:t>los</w:t>
      </w:r>
      <w:r>
        <w:rPr>
          <w:color w:val="231F20"/>
          <w:spacing w:val="-8"/>
        </w:rPr>
        <w:t> </w:t>
      </w:r>
      <w:r>
        <w:rPr>
          <w:color w:val="231F20"/>
        </w:rPr>
        <w:t>sujetos</w:t>
      </w:r>
      <w:r>
        <w:rPr>
          <w:color w:val="231F20"/>
          <w:spacing w:val="-8"/>
        </w:rPr>
        <w:t> </w:t>
      </w:r>
      <w:r>
        <w:rPr>
          <w:color w:val="231F20"/>
        </w:rPr>
        <w:t>están</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zona</w:t>
      </w:r>
      <w:r>
        <w:rPr>
          <w:color w:val="231F20"/>
          <w:spacing w:val="-8"/>
        </w:rPr>
        <w:t> </w:t>
      </w:r>
      <w:r>
        <w:rPr>
          <w:color w:val="231F20"/>
        </w:rPr>
        <w:t>de</w:t>
      </w:r>
      <w:r>
        <w:rPr>
          <w:color w:val="231F20"/>
          <w:spacing w:val="-8"/>
        </w:rPr>
        <w:t> </w:t>
      </w:r>
      <w:r>
        <w:rPr>
          <w:color w:val="231F20"/>
        </w:rPr>
        <w:t>integración</w:t>
      </w:r>
      <w:r>
        <w:rPr>
          <w:color w:val="231F20"/>
          <w:spacing w:val="-9"/>
        </w:rPr>
        <w:t> </w:t>
      </w:r>
      <w:r>
        <w:rPr>
          <w:color w:val="231F20"/>
        </w:rPr>
        <w:t>―con</w:t>
      </w:r>
      <w:r>
        <w:rPr>
          <w:color w:val="231F20"/>
          <w:spacing w:val="-8"/>
        </w:rPr>
        <w:t> </w:t>
      </w:r>
      <w:r>
        <w:rPr>
          <w:color w:val="231F20"/>
        </w:rPr>
        <w:t>trabajo</w:t>
      </w:r>
      <w:r>
        <w:rPr>
          <w:color w:val="231F20"/>
          <w:spacing w:val="-9"/>
        </w:rPr>
        <w:t> </w:t>
      </w:r>
      <w:r>
        <w:rPr>
          <w:color w:val="231F20"/>
        </w:rPr>
        <w:t>estable y</w:t>
      </w:r>
      <w:r>
        <w:rPr>
          <w:color w:val="231F20"/>
          <w:spacing w:val="-11"/>
        </w:rPr>
        <w:t> </w:t>
      </w:r>
      <w:r>
        <w:rPr>
          <w:color w:val="231F20"/>
        </w:rPr>
        <w:t>sólidos</w:t>
      </w:r>
      <w:r>
        <w:rPr>
          <w:color w:val="231F20"/>
          <w:spacing w:val="-11"/>
        </w:rPr>
        <w:t> </w:t>
      </w:r>
      <w:r>
        <w:rPr>
          <w:color w:val="231F20"/>
        </w:rPr>
        <w:t>vínculos</w:t>
      </w:r>
      <w:r>
        <w:rPr>
          <w:color w:val="231F20"/>
          <w:spacing w:val="-11"/>
        </w:rPr>
        <w:t> </w:t>
      </w:r>
      <w:r>
        <w:rPr>
          <w:color w:val="231F20"/>
        </w:rPr>
        <w:t>relacionales―</w:t>
      </w:r>
      <w:r>
        <w:rPr>
          <w:color w:val="231F20"/>
          <w:spacing w:val="-11"/>
        </w:rPr>
        <w:t> </w:t>
      </w:r>
      <w:r>
        <w:rPr>
          <w:color w:val="231F20"/>
        </w:rPr>
        <w:t>tienden</w:t>
      </w:r>
      <w:r>
        <w:rPr>
          <w:color w:val="231F20"/>
          <w:spacing w:val="-11"/>
        </w:rPr>
        <w:t> </w:t>
      </w:r>
      <w:r>
        <w:rPr>
          <w:color w:val="231F20"/>
        </w:rPr>
        <w:t>a</w:t>
      </w:r>
      <w:r>
        <w:rPr>
          <w:color w:val="231F20"/>
          <w:spacing w:val="-11"/>
        </w:rPr>
        <w:t> </w:t>
      </w:r>
      <w:r>
        <w:rPr>
          <w:color w:val="231F20"/>
        </w:rPr>
        <w:t>no</w:t>
      </w:r>
      <w:r>
        <w:rPr>
          <w:color w:val="231F20"/>
          <w:spacing w:val="-11"/>
        </w:rPr>
        <w:t> </w:t>
      </w:r>
      <w:r>
        <w:rPr>
          <w:color w:val="231F20"/>
        </w:rPr>
        <w:t>pensar</w:t>
      </w:r>
      <w:r>
        <w:rPr>
          <w:color w:val="231F20"/>
          <w:spacing w:val="-11"/>
        </w:rPr>
        <w:t> </w:t>
      </w:r>
      <w:r>
        <w:rPr>
          <w:color w:val="231F20"/>
        </w:rPr>
        <w:t>en</w:t>
      </w:r>
      <w:r>
        <w:rPr>
          <w:color w:val="231F20"/>
          <w:spacing w:val="-11"/>
        </w:rPr>
        <w:t> </w:t>
      </w:r>
      <w:r>
        <w:rPr>
          <w:color w:val="231F20"/>
        </w:rPr>
        <w:t>temas</w:t>
      </w:r>
      <w:r>
        <w:rPr>
          <w:color w:val="231F20"/>
          <w:spacing w:val="-11"/>
        </w:rPr>
        <w:t> </w:t>
      </w:r>
      <w:r>
        <w:rPr>
          <w:color w:val="231F20"/>
        </w:rPr>
        <w:t>materiales de su trabajo, sino en cuestiones más inmateriales del mismo. Situación que,</w:t>
      </w:r>
      <w:r>
        <w:rPr>
          <w:color w:val="231F20"/>
          <w:spacing w:val="-7"/>
        </w:rPr>
        <w:t> </w:t>
      </w:r>
      <w:r>
        <w:rPr>
          <w:color w:val="231F20"/>
        </w:rPr>
        <w:t>como</w:t>
      </w:r>
      <w:r>
        <w:rPr>
          <w:color w:val="231F20"/>
          <w:spacing w:val="-8"/>
        </w:rPr>
        <w:t> </w:t>
      </w:r>
      <w:r>
        <w:rPr>
          <w:color w:val="231F20"/>
        </w:rPr>
        <w:t>veremos</w:t>
      </w:r>
      <w:r>
        <w:rPr>
          <w:color w:val="231F20"/>
          <w:spacing w:val="-7"/>
        </w:rPr>
        <w:t> </w:t>
      </w:r>
      <w:r>
        <w:rPr>
          <w:color w:val="231F20"/>
        </w:rPr>
        <w:t>más</w:t>
      </w:r>
      <w:r>
        <w:rPr>
          <w:color w:val="231F20"/>
          <w:spacing w:val="-8"/>
        </w:rPr>
        <w:t> </w:t>
      </w:r>
      <w:r>
        <w:rPr>
          <w:color w:val="231F20"/>
        </w:rPr>
        <w:t>adelante,</w:t>
      </w:r>
      <w:r>
        <w:rPr>
          <w:color w:val="231F20"/>
          <w:spacing w:val="-7"/>
        </w:rPr>
        <w:t> </w:t>
      </w:r>
      <w:r>
        <w:rPr>
          <w:color w:val="231F20"/>
        </w:rPr>
        <w:t>se</w:t>
      </w:r>
      <w:r>
        <w:rPr>
          <w:color w:val="231F20"/>
          <w:spacing w:val="-7"/>
        </w:rPr>
        <w:t> </w:t>
      </w:r>
      <w:r>
        <w:rPr>
          <w:color w:val="231F20"/>
        </w:rPr>
        <w:t>va</w:t>
      </w:r>
      <w:r>
        <w:rPr>
          <w:color w:val="231F20"/>
          <w:spacing w:val="-7"/>
        </w:rPr>
        <w:t> </w:t>
      </w:r>
      <w:r>
        <w:rPr>
          <w:color w:val="231F20"/>
        </w:rPr>
        <w:t>diluyendo</w:t>
      </w:r>
      <w:r>
        <w:rPr>
          <w:color w:val="231F20"/>
          <w:spacing w:val="-7"/>
        </w:rPr>
        <w:t> </w:t>
      </w:r>
      <w:r>
        <w:rPr>
          <w:color w:val="231F20"/>
        </w:rPr>
        <w:t>conforme</w:t>
      </w:r>
      <w:r>
        <w:rPr>
          <w:color w:val="231F20"/>
          <w:spacing w:val="-8"/>
        </w:rPr>
        <w:t> </w:t>
      </w:r>
      <w:r>
        <w:rPr>
          <w:color w:val="231F20"/>
        </w:rPr>
        <w:t>van</w:t>
      </w:r>
      <w:r>
        <w:rPr>
          <w:color w:val="231F20"/>
          <w:spacing w:val="-7"/>
        </w:rPr>
        <w:t> </w:t>
      </w:r>
      <w:r>
        <w:rPr>
          <w:color w:val="231F20"/>
        </w:rPr>
        <w:t>bajando los niveles socioeconómicos, donde la precarización laboral, los contra- tos</w:t>
      </w:r>
      <w:r>
        <w:rPr>
          <w:color w:val="231F20"/>
          <w:spacing w:val="-6"/>
        </w:rPr>
        <w:t> </w:t>
      </w:r>
      <w:r>
        <w:rPr>
          <w:color w:val="231F20"/>
        </w:rPr>
        <w:t>condicionados</w:t>
      </w:r>
      <w:r>
        <w:rPr>
          <w:color w:val="231F20"/>
          <w:spacing w:val="-6"/>
        </w:rPr>
        <w:t> </w:t>
      </w:r>
      <w:r>
        <w:rPr>
          <w:color w:val="231F20"/>
        </w:rPr>
        <w:t>o</w:t>
      </w:r>
      <w:r>
        <w:rPr>
          <w:color w:val="231F20"/>
          <w:spacing w:val="-6"/>
        </w:rPr>
        <w:t> </w:t>
      </w:r>
      <w:r>
        <w:rPr>
          <w:color w:val="231F20"/>
        </w:rPr>
        <w:t>por</w:t>
      </w:r>
      <w:r>
        <w:rPr>
          <w:color w:val="231F20"/>
          <w:spacing w:val="-6"/>
        </w:rPr>
        <w:t> </w:t>
      </w:r>
      <w:r>
        <w:rPr>
          <w:color w:val="231F20"/>
        </w:rPr>
        <w:t>honorarios,</w:t>
      </w:r>
      <w:r>
        <w:rPr>
          <w:color w:val="231F20"/>
          <w:spacing w:val="-6"/>
        </w:rPr>
        <w:t> </w:t>
      </w:r>
      <w:r>
        <w:rPr>
          <w:color w:val="231F20"/>
        </w:rPr>
        <w:t>hacen</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personas</w:t>
      </w:r>
      <w:r>
        <w:rPr>
          <w:color w:val="231F20"/>
          <w:spacing w:val="-6"/>
        </w:rPr>
        <w:t> </w:t>
      </w:r>
      <w:r>
        <w:rPr>
          <w:color w:val="231F20"/>
        </w:rPr>
        <w:t>visualicen</w:t>
      </w:r>
      <w:r>
        <w:rPr>
          <w:color w:val="231F20"/>
          <w:spacing w:val="-6"/>
        </w:rPr>
        <w:t> </w:t>
      </w:r>
      <w:r>
        <w:rPr>
          <w:color w:val="231F20"/>
        </w:rPr>
        <w:t>su vida en riesgo o con</w:t>
      </w:r>
      <w:r>
        <w:rPr>
          <w:color w:val="231F20"/>
          <w:spacing w:val="-2"/>
        </w:rPr>
        <w:t> </w:t>
      </w:r>
      <w:r>
        <w:rPr>
          <w:color w:val="231F20"/>
        </w:rPr>
        <w:t>vulnerabilidades.</w:t>
      </w:r>
    </w:p>
    <w:p>
      <w:pPr>
        <w:pStyle w:val="BodyText"/>
        <w:spacing w:line="249" w:lineRule="auto" w:before="1"/>
        <w:ind w:left="113" w:right="107" w:firstLine="283"/>
        <w:jc w:val="both"/>
      </w:pPr>
      <w:r>
        <w:rPr>
          <w:color w:val="231F20"/>
        </w:rPr>
        <w:t>Con</w:t>
      </w:r>
      <w:r>
        <w:rPr>
          <w:color w:val="231F20"/>
          <w:spacing w:val="-9"/>
        </w:rPr>
        <w:t> </w:t>
      </w:r>
      <w:r>
        <w:rPr>
          <w:color w:val="231F20"/>
        </w:rPr>
        <w:t>base</w:t>
      </w:r>
      <w:r>
        <w:rPr>
          <w:color w:val="231F20"/>
          <w:spacing w:val="-9"/>
        </w:rPr>
        <w:t> </w:t>
      </w:r>
      <w:r>
        <w:rPr>
          <w:color w:val="231F20"/>
        </w:rPr>
        <w:t>en</w:t>
      </w:r>
      <w:r>
        <w:rPr>
          <w:color w:val="231F20"/>
          <w:spacing w:val="-9"/>
        </w:rPr>
        <w:t> </w:t>
      </w:r>
      <w:r>
        <w:rPr>
          <w:color w:val="231F20"/>
        </w:rPr>
        <w:t>lo</w:t>
      </w:r>
      <w:r>
        <w:rPr>
          <w:color w:val="231F20"/>
          <w:spacing w:val="-9"/>
        </w:rPr>
        <w:t> </w:t>
      </w:r>
      <w:r>
        <w:rPr>
          <w:color w:val="231F20"/>
        </w:rPr>
        <w:t>anterior,</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decir</w:t>
      </w:r>
      <w:r>
        <w:rPr>
          <w:color w:val="231F20"/>
          <w:spacing w:val="-9"/>
        </w:rPr>
        <w:t> </w:t>
      </w:r>
      <w:r>
        <w:rPr>
          <w:color w:val="231F20"/>
        </w:rPr>
        <w:t>entonces</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concepciones del</w:t>
      </w:r>
      <w:r>
        <w:rPr>
          <w:color w:val="231F20"/>
          <w:spacing w:val="-10"/>
        </w:rPr>
        <w:t> </w:t>
      </w:r>
      <w:r>
        <w:rPr>
          <w:color w:val="231F20"/>
        </w:rPr>
        <w:t>trabajo</w:t>
      </w:r>
      <w:r>
        <w:rPr>
          <w:color w:val="231F20"/>
          <w:spacing w:val="-10"/>
        </w:rPr>
        <w:t> </w:t>
      </w:r>
      <w:r>
        <w:rPr>
          <w:color w:val="231F20"/>
        </w:rPr>
        <w:t>que</w:t>
      </w:r>
      <w:r>
        <w:rPr>
          <w:color w:val="231F20"/>
          <w:spacing w:val="-10"/>
        </w:rPr>
        <w:t> </w:t>
      </w:r>
      <w:r>
        <w:rPr>
          <w:color w:val="231F20"/>
        </w:rPr>
        <w:t>manejan</w:t>
      </w:r>
      <w:r>
        <w:rPr>
          <w:color w:val="231F20"/>
          <w:spacing w:val="-10"/>
        </w:rPr>
        <w:t> </w:t>
      </w:r>
      <w:r>
        <w:rPr>
          <w:color w:val="231F20"/>
        </w:rPr>
        <w:t>los</w:t>
      </w:r>
      <w:r>
        <w:rPr>
          <w:color w:val="231F20"/>
          <w:spacing w:val="-10"/>
        </w:rPr>
        <w:t> </w:t>
      </w:r>
      <w:r>
        <w:rPr>
          <w:color w:val="231F20"/>
        </w:rPr>
        <w:t>directivos</w:t>
      </w:r>
      <w:r>
        <w:rPr>
          <w:color w:val="231F20"/>
          <w:spacing w:val="-10"/>
        </w:rPr>
        <w:t> </w:t>
      </w:r>
      <w:r>
        <w:rPr>
          <w:color w:val="231F20"/>
        </w:rPr>
        <w:t>confirman</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algunos</w:t>
      </w:r>
      <w:r>
        <w:rPr>
          <w:color w:val="231F20"/>
          <w:spacing w:val="-10"/>
        </w:rPr>
        <w:t> </w:t>
      </w:r>
      <w:r>
        <w:rPr>
          <w:color w:val="231F20"/>
        </w:rPr>
        <w:t>analistas del tema del trabajo (Díaz </w:t>
      </w:r>
      <w:r>
        <w:rPr>
          <w:i/>
          <w:color w:val="231F20"/>
        </w:rPr>
        <w:t>et al</w:t>
      </w:r>
      <w:r>
        <w:rPr>
          <w:color w:val="231F20"/>
        </w:rPr>
        <w:t>., 2005) han destacado sobre los niveles superiores: que entre éstos predominan visiones más expresivas o post- materiales sobre su trabajo, sea por sus reciprocidades, por las ideas que manejan o por su condición socioeconómica</w:t>
      </w:r>
      <w:r>
        <w:rPr>
          <w:color w:val="231F20"/>
          <w:spacing w:val="-15"/>
        </w:rPr>
        <w:t> </w:t>
      </w:r>
      <w:r>
        <w:rPr>
          <w:color w:val="231F20"/>
        </w:rPr>
        <w:t>holgada.</w:t>
      </w:r>
    </w:p>
    <w:p>
      <w:pPr>
        <w:pStyle w:val="BodyText"/>
        <w:spacing w:line="249" w:lineRule="auto" w:before="1"/>
        <w:ind w:left="113" w:right="107" w:firstLine="283"/>
        <w:jc w:val="both"/>
      </w:pPr>
      <w:r>
        <w:rPr>
          <w:color w:val="231F20"/>
        </w:rPr>
        <w:t>Una situación distinta, se  presenta  entre  el  personal  especializa- do cuya jerarquía es menor al de los directivos. Sin embargo como en   la institución privada no logramos entrevistar a alguien de este gru-    po, los análisis siguientes toman como base los datos obtenidos de la institución pública, suponiendo, con las reservas que implica, que pueden  ser  extensibles  a  la  privada.  En  general  para  este </w:t>
      </w:r>
      <w:r>
        <w:rPr>
          <w:color w:val="231F20"/>
          <w:spacing w:val="47"/>
        </w:rPr>
        <w:t> </w:t>
      </w:r>
      <w:r>
        <w:rPr>
          <w:color w:val="231F20"/>
        </w:rPr>
        <w:t>personal</w:t>
      </w:r>
    </w:p>
    <w:p>
      <w:pPr>
        <w:pStyle w:val="BodyText"/>
        <w:spacing w:line="249" w:lineRule="auto" w:before="1"/>
        <w:ind w:left="113" w:right="108"/>
        <w:jc w:val="both"/>
      </w:pPr>
      <w:r>
        <w:rPr>
          <w:color w:val="231F20"/>
        </w:rPr>
        <w:t>―donde se incluyen psicólogas, trabajadoras sociales y pedagogas― el trabajo es concebido como un medio para poner en práctica sus conoci- mientos y servir a la sociedad aunque muy desgastante.</w:t>
      </w:r>
    </w:p>
    <w:p>
      <w:pPr>
        <w:pStyle w:val="BodyText"/>
        <w:spacing w:line="249" w:lineRule="auto" w:before="114"/>
        <w:ind w:left="397" w:right="101"/>
        <w:jc w:val="both"/>
      </w:pPr>
      <w:r>
        <w:rPr>
          <w:color w:val="231F20"/>
        </w:rPr>
        <w:t>¿Qué significa para mí trabajar en la institución? Pues yo digo que  es todo, es un privilegio, una fortuna porque ayudas a los niños, pero también es desgastante. Los niños que llegan son niños, digamos, maltratados, física, psicológicamente y hasta moralmente.  [...]  Y eso te motiva, porque solamente tienes que poner en práctica lo que aprendiste [...]. Pero te repito, también es desgastante, porque te llega a tu </w:t>
      </w:r>
      <w:r>
        <w:rPr>
          <w:color w:val="231F20"/>
          <w:spacing w:val="-3"/>
        </w:rPr>
        <w:t>ser, </w:t>
      </w:r>
      <w:r>
        <w:rPr>
          <w:color w:val="231F20"/>
        </w:rPr>
        <w:t>porque son muchos, porque no es fácil atenderlos a todos, porque se necesita más [...] [y eso] te desgasta, físicamente, intelectualmente [...] socialmente (Trabajadora social, institución pública).</w:t>
      </w:r>
    </w:p>
    <w:p>
      <w:pPr>
        <w:spacing w:after="0" w:line="249" w:lineRule="auto"/>
        <w:jc w:val="both"/>
        <w:sectPr>
          <w:footerReference w:type="default" r:id="rId314"/>
          <w:pgSz w:w="7770" w:h="11740"/>
          <w:pgMar w:footer="474" w:header="0" w:top="840" w:bottom="660" w:left="1020" w:right="740"/>
          <w:pgNumType w:start="313"/>
        </w:sectPr>
      </w:pPr>
    </w:p>
    <w:p>
      <w:pPr>
        <w:pStyle w:val="BodyText"/>
        <w:spacing w:line="249" w:lineRule="auto" w:before="60"/>
        <w:ind w:left="393" w:right="110"/>
        <w:jc w:val="both"/>
      </w:pPr>
      <w:r>
        <w:rPr>
          <w:color w:val="231F20"/>
        </w:rPr>
        <w:t>Esto es muy bonito, te permite crecer y ayudar a la gente. </w:t>
      </w:r>
      <w:r>
        <w:rPr>
          <w:color w:val="231F20"/>
          <w:spacing w:val="-11"/>
        </w:rPr>
        <w:t>Yo </w:t>
      </w:r>
      <w:r>
        <w:rPr>
          <w:color w:val="231F20"/>
        </w:rPr>
        <w:t>me siento</w:t>
      </w:r>
      <w:r>
        <w:rPr>
          <w:color w:val="231F20"/>
          <w:spacing w:val="-12"/>
        </w:rPr>
        <w:t> </w:t>
      </w:r>
      <w:r>
        <w:rPr>
          <w:color w:val="231F20"/>
        </w:rPr>
        <w:t>muy</w:t>
      </w:r>
      <w:r>
        <w:rPr>
          <w:color w:val="231F20"/>
          <w:spacing w:val="-12"/>
        </w:rPr>
        <w:t> </w:t>
      </w:r>
      <w:r>
        <w:rPr>
          <w:color w:val="231F20"/>
        </w:rPr>
        <w:t>satisfecha</w:t>
      </w:r>
      <w:r>
        <w:rPr>
          <w:color w:val="231F20"/>
          <w:spacing w:val="-11"/>
        </w:rPr>
        <w:t> </w:t>
      </w:r>
      <w:r>
        <w:rPr>
          <w:color w:val="231F20"/>
        </w:rPr>
        <w:t>con</w:t>
      </w:r>
      <w:r>
        <w:rPr>
          <w:color w:val="231F20"/>
          <w:spacing w:val="-12"/>
        </w:rPr>
        <w:t> </w:t>
      </w:r>
      <w:r>
        <w:rPr>
          <w:color w:val="231F20"/>
        </w:rPr>
        <w:t>mi</w:t>
      </w:r>
      <w:r>
        <w:rPr>
          <w:color w:val="231F20"/>
          <w:spacing w:val="-12"/>
        </w:rPr>
        <w:t> </w:t>
      </w:r>
      <w:r>
        <w:rPr>
          <w:color w:val="231F20"/>
        </w:rPr>
        <w:t>labor,</w:t>
      </w:r>
      <w:r>
        <w:rPr>
          <w:color w:val="231F20"/>
          <w:spacing w:val="-12"/>
        </w:rPr>
        <w:t> </w:t>
      </w:r>
      <w:r>
        <w:rPr>
          <w:color w:val="231F20"/>
        </w:rPr>
        <w:t>porque</w:t>
      </w:r>
      <w:r>
        <w:rPr>
          <w:color w:val="231F20"/>
          <w:spacing w:val="-12"/>
        </w:rPr>
        <w:t> </w:t>
      </w:r>
      <w:r>
        <w:rPr>
          <w:color w:val="231F20"/>
        </w:rPr>
        <w:t>para</w:t>
      </w:r>
      <w:r>
        <w:rPr>
          <w:color w:val="231F20"/>
          <w:spacing w:val="-12"/>
        </w:rPr>
        <w:t> </w:t>
      </w:r>
      <w:r>
        <w:rPr>
          <w:color w:val="231F20"/>
        </w:rPr>
        <w:t>mí,</w:t>
      </w:r>
      <w:r>
        <w:rPr>
          <w:color w:val="231F20"/>
          <w:spacing w:val="-12"/>
        </w:rPr>
        <w:t> </w:t>
      </w:r>
      <w:r>
        <w:rPr>
          <w:color w:val="231F20"/>
        </w:rPr>
        <w:t>el</w:t>
      </w:r>
      <w:r>
        <w:rPr>
          <w:color w:val="231F20"/>
          <w:spacing w:val="-12"/>
        </w:rPr>
        <w:t> </w:t>
      </w:r>
      <w:r>
        <w:rPr>
          <w:color w:val="231F20"/>
        </w:rPr>
        <w:t>trabajo</w:t>
      </w:r>
      <w:r>
        <w:rPr>
          <w:color w:val="231F20"/>
          <w:spacing w:val="-12"/>
        </w:rPr>
        <w:t> </w:t>
      </w:r>
      <w:r>
        <w:rPr>
          <w:color w:val="231F20"/>
        </w:rPr>
        <w:t>es</w:t>
      </w:r>
      <w:r>
        <w:rPr>
          <w:color w:val="231F20"/>
          <w:spacing w:val="-12"/>
        </w:rPr>
        <w:t> </w:t>
      </w:r>
      <w:r>
        <w:rPr>
          <w:color w:val="231F20"/>
        </w:rPr>
        <w:t>dedi- cación a hacer lo que sabes, pero muchas veces sólo haces lo que puedes, pues no te apoyan o no hay recursos (Psicóloga, institución pública).</w:t>
      </w:r>
    </w:p>
    <w:p>
      <w:pPr>
        <w:pStyle w:val="BodyText"/>
        <w:spacing w:line="249" w:lineRule="auto" w:before="114"/>
        <w:ind w:left="393" w:right="111"/>
        <w:jc w:val="both"/>
      </w:pPr>
      <w:r>
        <w:rPr>
          <w:color w:val="231F20"/>
        </w:rPr>
        <w:t>[...] es un mecanismo para contribuir un poco de lo que la sociedad me ha dado, representado por la universidad. Esto no es fácil, re- quiere mucha dedicación y mucha paciencia, paciencia sobre todo, porque a veces haces cosas prácticamente con lo poco que tienes [en recursos] (Psicóloga, institución pública).</w:t>
      </w:r>
    </w:p>
    <w:p>
      <w:pPr>
        <w:pStyle w:val="BodyText"/>
        <w:spacing w:line="249" w:lineRule="auto" w:before="114"/>
        <w:ind w:left="393" w:right="111"/>
        <w:jc w:val="both"/>
      </w:pPr>
      <w:r>
        <w:rPr>
          <w:color w:val="231F20"/>
        </w:rPr>
        <w:t>Para mi trabajar en el establecimiento es como regresar un poquito de lo que me dieron mis maestros, pero sería mucho más fructífero y más</w:t>
      </w:r>
      <w:r>
        <w:rPr>
          <w:color w:val="231F20"/>
          <w:spacing w:val="-8"/>
        </w:rPr>
        <w:t> </w:t>
      </w:r>
      <w:r>
        <w:rPr>
          <w:color w:val="231F20"/>
        </w:rPr>
        <w:t>intenso</w:t>
      </w:r>
      <w:r>
        <w:rPr>
          <w:color w:val="231F20"/>
          <w:spacing w:val="-9"/>
        </w:rPr>
        <w:t> </w:t>
      </w:r>
      <w:r>
        <w:rPr>
          <w:color w:val="231F20"/>
        </w:rPr>
        <w:t>si</w:t>
      </w:r>
      <w:r>
        <w:rPr>
          <w:color w:val="231F20"/>
          <w:spacing w:val="-8"/>
        </w:rPr>
        <w:t> </w:t>
      </w:r>
      <w:r>
        <w:rPr>
          <w:color w:val="231F20"/>
        </w:rPr>
        <w:t>no</w:t>
      </w:r>
      <w:r>
        <w:rPr>
          <w:color w:val="231F20"/>
          <w:spacing w:val="-8"/>
        </w:rPr>
        <w:t> </w:t>
      </w:r>
      <w:r>
        <w:rPr>
          <w:color w:val="231F20"/>
        </w:rPr>
        <w:t>hubiera</w:t>
      </w:r>
      <w:r>
        <w:rPr>
          <w:color w:val="231F20"/>
          <w:spacing w:val="-8"/>
        </w:rPr>
        <w:t> </w:t>
      </w:r>
      <w:r>
        <w:rPr>
          <w:color w:val="231F20"/>
        </w:rPr>
        <w:t>ciertos</w:t>
      </w:r>
      <w:r>
        <w:rPr>
          <w:color w:val="231F20"/>
          <w:spacing w:val="-9"/>
        </w:rPr>
        <w:t> </w:t>
      </w:r>
      <w:r>
        <w:rPr>
          <w:color w:val="231F20"/>
        </w:rPr>
        <w:t>vicios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especialistas</w:t>
      </w:r>
      <w:r>
        <w:rPr>
          <w:color w:val="231F20"/>
          <w:spacing w:val="-9"/>
        </w:rPr>
        <w:t> </w:t>
      </w:r>
      <w:r>
        <w:rPr>
          <w:color w:val="231F20"/>
        </w:rPr>
        <w:t>tuviéramos más</w:t>
      </w:r>
      <w:r>
        <w:rPr>
          <w:color w:val="231F20"/>
          <w:spacing w:val="-15"/>
        </w:rPr>
        <w:t> </w:t>
      </w:r>
      <w:r>
        <w:rPr>
          <w:color w:val="231F20"/>
        </w:rPr>
        <w:t>recursos</w:t>
      </w:r>
      <w:r>
        <w:rPr>
          <w:color w:val="231F20"/>
          <w:spacing w:val="-15"/>
        </w:rPr>
        <w:t> </w:t>
      </w:r>
      <w:r>
        <w:rPr>
          <w:color w:val="231F20"/>
        </w:rPr>
        <w:t>(Trabajadora</w:t>
      </w:r>
      <w:r>
        <w:rPr>
          <w:color w:val="231F20"/>
          <w:spacing w:val="-15"/>
        </w:rPr>
        <w:t> </w:t>
      </w:r>
      <w:r>
        <w:rPr>
          <w:color w:val="231F20"/>
        </w:rPr>
        <w:t>social,</w:t>
      </w:r>
      <w:r>
        <w:rPr>
          <w:color w:val="231F20"/>
          <w:spacing w:val="-14"/>
        </w:rPr>
        <w:t> </w:t>
      </w:r>
      <w:r>
        <w:rPr>
          <w:color w:val="231F20"/>
        </w:rPr>
        <w:t>nota</w:t>
      </w:r>
      <w:r>
        <w:rPr>
          <w:color w:val="231F20"/>
          <w:spacing w:val="-15"/>
        </w:rPr>
        <w:t> </w:t>
      </w:r>
      <w:r>
        <w:rPr>
          <w:color w:val="231F20"/>
        </w:rPr>
        <w:t>de</w:t>
      </w:r>
      <w:r>
        <w:rPr>
          <w:color w:val="231F20"/>
          <w:spacing w:val="-15"/>
        </w:rPr>
        <w:t> </w:t>
      </w:r>
      <w:r>
        <w:rPr>
          <w:color w:val="231F20"/>
        </w:rPr>
        <w:t>campo,</w:t>
      </w:r>
      <w:r>
        <w:rPr>
          <w:color w:val="231F20"/>
          <w:spacing w:val="-15"/>
        </w:rPr>
        <w:t> </w:t>
      </w:r>
      <w:r>
        <w:rPr>
          <w:color w:val="231F20"/>
        </w:rPr>
        <w:t>institución</w:t>
      </w:r>
      <w:r>
        <w:rPr>
          <w:color w:val="231F20"/>
          <w:spacing w:val="-15"/>
        </w:rPr>
        <w:t> </w:t>
      </w:r>
      <w:r>
        <w:rPr>
          <w:color w:val="231F20"/>
        </w:rPr>
        <w:t>pública).</w:t>
      </w:r>
    </w:p>
    <w:p>
      <w:pPr>
        <w:pStyle w:val="BodyText"/>
        <w:spacing w:line="249" w:lineRule="auto" w:before="114"/>
        <w:ind w:left="110" w:right="110" w:firstLine="283"/>
        <w:jc w:val="both"/>
      </w:pPr>
      <w:r>
        <w:rPr>
          <w:color w:val="231F20"/>
        </w:rPr>
        <w:t>Si hacemos el mismo ejercicio anterior, de leer detenidamente lo</w:t>
      </w:r>
      <w:r>
        <w:rPr>
          <w:color w:val="231F20"/>
          <w:spacing w:val="-21"/>
        </w:rPr>
        <w:t> </w:t>
      </w:r>
      <w:r>
        <w:rPr>
          <w:color w:val="231F20"/>
        </w:rPr>
        <w:t>que dicen las “palabras” del personal especializado de las citas transcritas, podemos sugerir que esta significación laboral puede deberse a dos ra- zones por lo menos: por un lado, al desencuentro que se presenta entre lo que puede hacer el personal y lo que hace en la realidad </w:t>
      </w:r>
      <w:r>
        <w:rPr>
          <w:color w:val="231F20"/>
          <w:spacing w:val="-7"/>
        </w:rPr>
        <w:t>y, </w:t>
      </w:r>
      <w:r>
        <w:rPr>
          <w:color w:val="231F20"/>
        </w:rPr>
        <w:t>por otro,   y muy vinculado a la anterior, al poder limitado con que cuenta en sus instituciones.</w:t>
      </w:r>
      <w:r>
        <w:rPr>
          <w:color w:val="231F20"/>
          <w:spacing w:val="-12"/>
        </w:rPr>
        <w:t> </w:t>
      </w:r>
      <w:r>
        <w:rPr>
          <w:color w:val="231F20"/>
        </w:rPr>
        <w:t>Por</w:t>
      </w:r>
      <w:r>
        <w:rPr>
          <w:color w:val="231F20"/>
          <w:spacing w:val="-11"/>
        </w:rPr>
        <w:t> </w:t>
      </w:r>
      <w:r>
        <w:rPr>
          <w:color w:val="231F20"/>
        </w:rPr>
        <w:t>lo</w:t>
      </w:r>
      <w:r>
        <w:rPr>
          <w:color w:val="231F20"/>
          <w:spacing w:val="-11"/>
        </w:rPr>
        <w:t> </w:t>
      </w:r>
      <w:r>
        <w:rPr>
          <w:color w:val="231F20"/>
        </w:rPr>
        <w:t>referente</w:t>
      </w:r>
      <w:r>
        <w:rPr>
          <w:color w:val="231F20"/>
          <w:spacing w:val="-11"/>
        </w:rPr>
        <w:t> </w:t>
      </w:r>
      <w:r>
        <w:rPr>
          <w:color w:val="231F20"/>
        </w:rPr>
        <w:t>al</w:t>
      </w:r>
      <w:r>
        <w:rPr>
          <w:color w:val="231F20"/>
          <w:spacing w:val="-11"/>
        </w:rPr>
        <w:t> </w:t>
      </w:r>
      <w:r>
        <w:rPr>
          <w:color w:val="231F20"/>
        </w:rPr>
        <w:t>desencuentro,</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rPr>
        <w:t>manifestar</w:t>
      </w:r>
      <w:r>
        <w:rPr>
          <w:color w:val="231F20"/>
          <w:spacing w:val="-11"/>
        </w:rPr>
        <w:t> </w:t>
      </w:r>
      <w:r>
        <w:rPr>
          <w:color w:val="231F20"/>
        </w:rPr>
        <w:t>que</w:t>
      </w:r>
      <w:r>
        <w:rPr>
          <w:color w:val="231F20"/>
          <w:spacing w:val="-11"/>
        </w:rPr>
        <w:t> </w:t>
      </w:r>
      <w:r>
        <w:rPr>
          <w:color w:val="231F20"/>
        </w:rPr>
        <w:t>el personal especializado identifica que su trabajo en las instituciones asis- tenciales,</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trabajo</w:t>
      </w:r>
      <w:r>
        <w:rPr>
          <w:color w:val="231F20"/>
          <w:spacing w:val="-5"/>
        </w:rPr>
        <w:t> </w:t>
      </w:r>
      <w:r>
        <w:rPr>
          <w:color w:val="231F20"/>
        </w:rPr>
        <w:t>donde</w:t>
      </w:r>
      <w:r>
        <w:rPr>
          <w:color w:val="231F20"/>
          <w:spacing w:val="-5"/>
        </w:rPr>
        <w:t> </w:t>
      </w:r>
      <w:r>
        <w:rPr>
          <w:color w:val="231F20"/>
        </w:rPr>
        <w:t>puede</w:t>
      </w:r>
      <w:r>
        <w:rPr>
          <w:color w:val="231F20"/>
          <w:spacing w:val="-5"/>
        </w:rPr>
        <w:t> </w:t>
      </w:r>
      <w:r>
        <w:rPr>
          <w:color w:val="231F20"/>
        </w:rPr>
        <w:t>poner</w:t>
      </w:r>
      <w:r>
        <w:rPr>
          <w:color w:val="231F20"/>
          <w:spacing w:val="-5"/>
        </w:rPr>
        <w:t> </w:t>
      </w:r>
      <w:r>
        <w:rPr>
          <w:color w:val="231F20"/>
        </w:rPr>
        <w:t>en</w:t>
      </w:r>
      <w:r>
        <w:rPr>
          <w:color w:val="231F20"/>
          <w:spacing w:val="-5"/>
        </w:rPr>
        <w:t> </w:t>
      </w:r>
      <w:r>
        <w:rPr>
          <w:color w:val="231F20"/>
        </w:rPr>
        <w:t>práctica</w:t>
      </w:r>
      <w:r>
        <w:rPr>
          <w:color w:val="231F20"/>
          <w:spacing w:val="-5"/>
        </w:rPr>
        <w:t> </w:t>
      </w:r>
      <w:r>
        <w:rPr>
          <w:color w:val="231F20"/>
        </w:rPr>
        <w:t>los</w:t>
      </w:r>
      <w:r>
        <w:rPr>
          <w:color w:val="231F20"/>
          <w:spacing w:val="-5"/>
        </w:rPr>
        <w:t> </w:t>
      </w:r>
      <w:r>
        <w:rPr>
          <w:color w:val="231F20"/>
        </w:rPr>
        <w:t>conocimientos adquiridos en su formación para beneficiar a la niñez y a la sociedad, pero también paradójicamente es donde más percibe sus límites, por no poder atender a cada niño como debiera, sea por el número limitado que tiene como personal o por la gran cantidad de niños con que cuenta su institución. Por otro lado, por lo que respecta al poder limitado, se pue- de sostener que aunque el personal especializado entiende que su labor puede contribuir a una mejor sociedad, cuidando y atendiendo a niños “maltratados, física, psicológicamente y hasta moralmente”, esta contri- bución podría ser mayor si hubiera más apoyo para ello. </w:t>
      </w:r>
      <w:r>
        <w:rPr>
          <w:color w:val="231F20"/>
          <w:spacing w:val="-5"/>
        </w:rPr>
        <w:t>Tan </w:t>
      </w:r>
      <w:r>
        <w:rPr>
          <w:color w:val="231F20"/>
        </w:rPr>
        <w:t>es así, que algún miembro del personal habla de acabar con “vicios institucionales” para alentar</w:t>
      </w:r>
      <w:r>
        <w:rPr>
          <w:color w:val="231F20"/>
          <w:spacing w:val="-1"/>
        </w:rPr>
        <w:t> </w:t>
      </w:r>
      <w:r>
        <w:rPr>
          <w:color w:val="231F20"/>
        </w:rPr>
        <w:t>aquello.</w:t>
      </w:r>
    </w:p>
    <w:p>
      <w:pPr>
        <w:pStyle w:val="BodyText"/>
        <w:spacing w:line="249" w:lineRule="auto" w:before="1"/>
        <w:ind w:left="110" w:right="111" w:firstLine="283"/>
        <w:jc w:val="both"/>
      </w:pPr>
      <w:r>
        <w:rPr>
          <w:color w:val="231F20"/>
        </w:rPr>
        <w:t>Así, si resumimos lo mencionado hasta el momento, se puede decir que el personal especializado concibe su trabajo como un medio para poner en práctica sus conocimientos y servir a la sociedad pero desgas- tante,</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hecho</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encuentra</w:t>
      </w:r>
      <w:r>
        <w:rPr>
          <w:color w:val="231F20"/>
          <w:spacing w:val="-10"/>
        </w:rPr>
        <w:t> </w:t>
      </w:r>
      <w:r>
        <w:rPr>
          <w:color w:val="231F20"/>
        </w:rPr>
        <w:t>paradojas</w:t>
      </w:r>
      <w:r>
        <w:rPr>
          <w:color w:val="231F20"/>
          <w:spacing w:val="-10"/>
        </w:rPr>
        <w:t> </w:t>
      </w:r>
      <w:r>
        <w:rPr>
          <w:color w:val="231F20"/>
        </w:rPr>
        <w:t>que</w:t>
      </w:r>
      <w:r>
        <w:rPr>
          <w:color w:val="231F20"/>
          <w:spacing w:val="-10"/>
        </w:rPr>
        <w:t> </w:t>
      </w:r>
      <w:r>
        <w:rPr>
          <w:color w:val="231F20"/>
        </w:rPr>
        <w:t>limita</w:t>
      </w:r>
      <w:r>
        <w:rPr>
          <w:color w:val="231F20"/>
          <w:spacing w:val="-10"/>
        </w:rPr>
        <w:t> </w:t>
      </w:r>
      <w:r>
        <w:rPr>
          <w:color w:val="231F20"/>
        </w:rPr>
        <w:t>su</w:t>
      </w:r>
      <w:r>
        <w:rPr>
          <w:color w:val="231F20"/>
          <w:spacing w:val="-10"/>
        </w:rPr>
        <w:t> </w:t>
      </w:r>
      <w:r>
        <w:rPr>
          <w:color w:val="231F20"/>
        </w:rPr>
        <w:t>participación o atención a los niños, llegando incluso a desmotivarse moralmente. </w:t>
      </w:r>
      <w:r>
        <w:rPr>
          <w:color w:val="231F20"/>
          <w:spacing w:val="5"/>
        </w:rPr>
        <w:t> </w:t>
      </w:r>
      <w:r>
        <w:rPr>
          <w:color w:val="231F20"/>
        </w:rPr>
        <w:t>Lo</w:t>
      </w:r>
    </w:p>
    <w:p>
      <w:pPr>
        <w:spacing w:after="0" w:line="249" w:lineRule="auto"/>
        <w:jc w:val="both"/>
        <w:sectPr>
          <w:pgSz w:w="7770" w:h="11740"/>
          <w:pgMar w:header="0" w:footer="474" w:top="840" w:bottom="740" w:left="740" w:right="1020"/>
        </w:sectPr>
      </w:pPr>
    </w:p>
    <w:p>
      <w:pPr>
        <w:pStyle w:val="BodyText"/>
        <w:spacing w:line="249" w:lineRule="auto" w:before="60"/>
        <w:ind w:left="113" w:right="107"/>
        <w:jc w:val="both"/>
      </w:pPr>
      <w:r>
        <w:rPr>
          <w:color w:val="231F20"/>
        </w:rPr>
        <w:t>cual, si lo situamos en un contexto mayor, es común dentro de las ins- tituciones públicas quienes normalmente ven acotadas sus capacidades de atención, por las condiciones estructurales de ajuste presupuestal que se vive desde hace varios años, pero incluso también por las lógicas o reglas internas que se manejan en ellas (De la Garza, 2011). </w:t>
      </w:r>
      <w:r>
        <w:rPr>
          <w:color w:val="231F20"/>
          <w:spacing w:val="-5"/>
        </w:rPr>
        <w:t>Tal </w:t>
      </w:r>
      <w:r>
        <w:rPr>
          <w:color w:val="231F20"/>
        </w:rPr>
        <w:t>como lo explicitaría una especialista a su manera.</w:t>
      </w:r>
    </w:p>
    <w:p>
      <w:pPr>
        <w:pStyle w:val="BodyText"/>
        <w:spacing w:line="249" w:lineRule="auto" w:before="114"/>
        <w:ind w:left="397" w:right="107"/>
        <w:jc w:val="both"/>
      </w:pPr>
      <w:r>
        <w:rPr>
          <w:color w:val="231F20"/>
        </w:rPr>
        <w:t>[...] Aquí hago las dos cosas que me gustan: desarrollar mi profesión y servir a estos niños que, al final, es lo mismo que servir a la socie- dad. Pero como pasa en México siempre [...] aquí también se cuecen habas como decía mi abuelita, porque cuando quieres hacer de más te bloquean y eso te acaba, te desgasta. Incluso, por allí, alguien me dijo un día, llévatela tranquila porque si no, te van a poner a trabajar de más y eso pues no te deja. Pero pues de allí en adelante, todo bien [...] todo me encanta (Pedagoga, institución pública).</w:t>
      </w:r>
    </w:p>
    <w:p>
      <w:pPr>
        <w:pStyle w:val="BodyText"/>
        <w:spacing w:line="249" w:lineRule="auto" w:before="114"/>
        <w:ind w:left="113" w:right="108" w:firstLine="283"/>
        <w:jc w:val="both"/>
      </w:pPr>
      <w:r>
        <w:rPr>
          <w:color w:val="231F20"/>
        </w:rPr>
        <w:t>Finalmente, otras significaciones del trabajo como un medio se pre- sentan entre el personal operativo, el cual normalmente lleva a cabo ac- ciones de poca especialidad con los niños. El trabajo entre este sector   es concebido esencialmente como un medio para allegarse de recursos, aunque no en un sentido meramente</w:t>
      </w:r>
      <w:r>
        <w:rPr>
          <w:color w:val="231F20"/>
          <w:spacing w:val="-9"/>
        </w:rPr>
        <w:t> </w:t>
      </w:r>
      <w:r>
        <w:rPr>
          <w:color w:val="231F20"/>
        </w:rPr>
        <w:t>instrumental.</w:t>
      </w:r>
    </w:p>
    <w:p>
      <w:pPr>
        <w:pStyle w:val="BodyText"/>
        <w:spacing w:line="249" w:lineRule="auto" w:before="114"/>
        <w:ind w:left="397" w:right="107" w:firstLine="58"/>
        <w:jc w:val="both"/>
      </w:pPr>
      <w:r>
        <w:rPr>
          <w:color w:val="231F20"/>
        </w:rPr>
        <w:t>[...] para mí, mi trabajo es un privilegio. Quién no quisiera estar en mi</w:t>
      </w:r>
      <w:r>
        <w:rPr>
          <w:color w:val="231F20"/>
          <w:spacing w:val="-10"/>
        </w:rPr>
        <w:t> </w:t>
      </w:r>
      <w:r>
        <w:rPr>
          <w:color w:val="231F20"/>
        </w:rPr>
        <w:t>lugar.</w:t>
      </w:r>
      <w:r>
        <w:rPr>
          <w:color w:val="231F20"/>
          <w:spacing w:val="-10"/>
        </w:rPr>
        <w:t> </w:t>
      </w:r>
      <w:r>
        <w:rPr>
          <w:color w:val="231F20"/>
        </w:rPr>
        <w:t>Se</w:t>
      </w:r>
      <w:r>
        <w:rPr>
          <w:color w:val="231F20"/>
          <w:spacing w:val="-10"/>
        </w:rPr>
        <w:t> </w:t>
      </w:r>
      <w:r>
        <w:rPr>
          <w:color w:val="231F20"/>
        </w:rPr>
        <w:t>gana</w:t>
      </w:r>
      <w:r>
        <w:rPr>
          <w:color w:val="231F20"/>
          <w:spacing w:val="-10"/>
        </w:rPr>
        <w:t> </w:t>
      </w:r>
      <w:r>
        <w:rPr>
          <w:color w:val="231F20"/>
        </w:rPr>
        <w:t>poco,</w:t>
      </w:r>
      <w:r>
        <w:rPr>
          <w:color w:val="231F20"/>
          <w:spacing w:val="-10"/>
        </w:rPr>
        <w:t> </w:t>
      </w:r>
      <w:r>
        <w:rPr>
          <w:color w:val="231F20"/>
        </w:rPr>
        <w:t>pero</w:t>
      </w:r>
      <w:r>
        <w:rPr>
          <w:color w:val="231F20"/>
          <w:spacing w:val="-10"/>
        </w:rPr>
        <w:t> </w:t>
      </w:r>
      <w:r>
        <w:rPr>
          <w:color w:val="231F20"/>
        </w:rPr>
        <w:t>es</w:t>
      </w:r>
      <w:r>
        <w:rPr>
          <w:color w:val="231F20"/>
          <w:spacing w:val="-10"/>
        </w:rPr>
        <w:t> </w:t>
      </w:r>
      <w:r>
        <w:rPr>
          <w:color w:val="231F20"/>
        </w:rPr>
        <w:t>seguro,</w:t>
      </w:r>
      <w:r>
        <w:rPr>
          <w:color w:val="231F20"/>
          <w:spacing w:val="-10"/>
        </w:rPr>
        <w:t> </w:t>
      </w:r>
      <w:r>
        <w:rPr>
          <w:color w:val="231F20"/>
        </w:rPr>
        <w:t>por</w:t>
      </w:r>
      <w:r>
        <w:rPr>
          <w:color w:val="231F20"/>
          <w:spacing w:val="-10"/>
        </w:rPr>
        <w:t> </w:t>
      </w:r>
      <w:r>
        <w:rPr>
          <w:color w:val="231F20"/>
        </w:rPr>
        <w:t>eso</w:t>
      </w:r>
      <w:r>
        <w:rPr>
          <w:color w:val="231F20"/>
          <w:spacing w:val="-10"/>
        </w:rPr>
        <w:t> </w:t>
      </w:r>
      <w:r>
        <w:rPr>
          <w:color w:val="231F20"/>
        </w:rPr>
        <w:t>me</w:t>
      </w:r>
      <w:r>
        <w:rPr>
          <w:color w:val="231F20"/>
          <w:spacing w:val="-10"/>
        </w:rPr>
        <w:t> </w:t>
      </w:r>
      <w:r>
        <w:rPr>
          <w:color w:val="231F20"/>
        </w:rPr>
        <w:t>siento</w:t>
      </w:r>
      <w:r>
        <w:rPr>
          <w:color w:val="231F20"/>
          <w:spacing w:val="-10"/>
        </w:rPr>
        <w:t> </w:t>
      </w:r>
      <w:r>
        <w:rPr>
          <w:color w:val="231F20"/>
        </w:rPr>
        <w:t>privilegiada y siempre busco conservarlo. Mi hermano [por ejemplo] quisiera es- tar en mi lugar, él es doctor y no tiene trabajo. También me siento privilegiada porque contribuyes con un granito de arena para sacar adelante a estos niños que, sin duda, nos necesitan, [que] merecen mucha atención [...] (Auxiliar, institución</w:t>
      </w:r>
      <w:r>
        <w:rPr>
          <w:color w:val="231F20"/>
          <w:spacing w:val="-12"/>
        </w:rPr>
        <w:t> </w:t>
      </w:r>
      <w:r>
        <w:rPr>
          <w:color w:val="231F20"/>
        </w:rPr>
        <w:t>pública).</w:t>
      </w:r>
    </w:p>
    <w:p>
      <w:pPr>
        <w:pStyle w:val="BodyText"/>
        <w:spacing w:line="249" w:lineRule="auto" w:before="114"/>
        <w:ind w:left="397" w:right="108"/>
        <w:jc w:val="both"/>
      </w:pPr>
      <w:r>
        <w:rPr>
          <w:color w:val="231F20"/>
        </w:rPr>
        <w:t>[Este trabajo] es lo mejor que me pudo pasar: me da de comer, me ayuda a sacar adelante a mi familia y ver por estos niños. Por es-   tos niños que conforme los conoces te das cuenta de todo el amor y cuidado que necesitan [...] yo estimo a todos, pero a dos en especial, porque me recuerdan a mis hermanitos. Ellos se dan cuenta y siem- pre, ya sabes, me buscan para platicar ¿No crees que son suficientes razones para decir que es formidable [mi trabajo]? (Auxiliar, insti- tución</w:t>
      </w:r>
      <w:r>
        <w:rPr>
          <w:color w:val="231F20"/>
          <w:spacing w:val="-1"/>
        </w:rPr>
        <w:t> </w:t>
      </w:r>
      <w:r>
        <w:rPr>
          <w:color w:val="231F20"/>
        </w:rPr>
        <w:t>pública).</w:t>
      </w:r>
    </w:p>
    <w:p>
      <w:pPr>
        <w:pStyle w:val="BodyText"/>
        <w:spacing w:line="249" w:lineRule="auto" w:before="114"/>
        <w:ind w:left="397" w:right="107"/>
        <w:jc w:val="both"/>
      </w:pPr>
      <w:r>
        <w:rPr>
          <w:color w:val="231F20"/>
        </w:rPr>
        <w:t>que te puedo decir, sobre lo que preguntas. Simplemente, para mi este</w:t>
      </w:r>
      <w:r>
        <w:rPr>
          <w:color w:val="231F20"/>
          <w:spacing w:val="-4"/>
        </w:rPr>
        <w:t> </w:t>
      </w:r>
      <w:r>
        <w:rPr>
          <w:color w:val="231F20"/>
        </w:rPr>
        <w:t>trabajo</w:t>
      </w:r>
      <w:r>
        <w:rPr>
          <w:color w:val="231F20"/>
          <w:spacing w:val="-4"/>
        </w:rPr>
        <w:t> </w:t>
      </w:r>
      <w:r>
        <w:rPr>
          <w:color w:val="231F20"/>
        </w:rPr>
        <w:t>es</w:t>
      </w:r>
      <w:r>
        <w:rPr>
          <w:color w:val="231F20"/>
          <w:spacing w:val="-4"/>
        </w:rPr>
        <w:t> </w:t>
      </w:r>
      <w:r>
        <w:rPr>
          <w:color w:val="231F20"/>
        </w:rPr>
        <w:t>mi</w:t>
      </w:r>
      <w:r>
        <w:rPr>
          <w:color w:val="231F20"/>
          <w:spacing w:val="-3"/>
        </w:rPr>
        <w:t> </w:t>
      </w:r>
      <w:r>
        <w:rPr>
          <w:color w:val="231F20"/>
        </w:rPr>
        <w:t>vida,</w:t>
      </w:r>
      <w:r>
        <w:rPr>
          <w:color w:val="231F20"/>
          <w:spacing w:val="-3"/>
        </w:rPr>
        <w:t> </w:t>
      </w:r>
      <w:r>
        <w:rPr>
          <w:color w:val="231F20"/>
        </w:rPr>
        <w:t>porque</w:t>
      </w:r>
      <w:r>
        <w:rPr>
          <w:color w:val="231F20"/>
          <w:spacing w:val="-3"/>
        </w:rPr>
        <w:t> </w:t>
      </w:r>
      <w:r>
        <w:rPr>
          <w:color w:val="231F20"/>
        </w:rPr>
        <w:t>con</w:t>
      </w:r>
      <w:r>
        <w:rPr>
          <w:color w:val="231F20"/>
          <w:spacing w:val="-4"/>
        </w:rPr>
        <w:t> </w:t>
      </w:r>
      <w:r>
        <w:rPr>
          <w:color w:val="231F20"/>
        </w:rPr>
        <w:t>él</w:t>
      </w:r>
      <w:r>
        <w:rPr>
          <w:color w:val="231F20"/>
          <w:spacing w:val="-3"/>
        </w:rPr>
        <w:t> </w:t>
      </w:r>
      <w:r>
        <w:rPr>
          <w:color w:val="231F20"/>
        </w:rPr>
        <w:t>he</w:t>
      </w:r>
      <w:r>
        <w:rPr>
          <w:color w:val="231F20"/>
          <w:spacing w:val="-3"/>
        </w:rPr>
        <w:t> </w:t>
      </w:r>
      <w:r>
        <w:rPr>
          <w:color w:val="231F20"/>
        </w:rPr>
        <w:t>salido</w:t>
      </w:r>
      <w:r>
        <w:rPr>
          <w:color w:val="231F20"/>
          <w:spacing w:val="-3"/>
        </w:rPr>
        <w:t> </w:t>
      </w:r>
      <w:r>
        <w:rPr>
          <w:color w:val="231F20"/>
        </w:rPr>
        <w:t>adelante</w:t>
      </w:r>
      <w:r>
        <w:rPr>
          <w:color w:val="231F20"/>
          <w:spacing w:val="-4"/>
        </w:rPr>
        <w:t> </w:t>
      </w:r>
      <w:r>
        <w:rPr>
          <w:color w:val="231F20"/>
        </w:rPr>
        <w:t>y</w:t>
      </w:r>
      <w:r>
        <w:rPr>
          <w:color w:val="231F20"/>
          <w:spacing w:val="-3"/>
        </w:rPr>
        <w:t> </w:t>
      </w:r>
      <w:r>
        <w:rPr>
          <w:color w:val="231F20"/>
        </w:rPr>
        <w:t>he</w:t>
      </w:r>
      <w:r>
        <w:rPr>
          <w:color w:val="231F20"/>
          <w:spacing w:val="-3"/>
        </w:rPr>
        <w:t> </w:t>
      </w:r>
      <w:r>
        <w:rPr>
          <w:color w:val="231F20"/>
        </w:rPr>
        <w:t>dado</w:t>
      </w:r>
      <w:r>
        <w:rPr>
          <w:color w:val="231F20"/>
          <w:spacing w:val="-3"/>
        </w:rPr>
        <w:t> </w:t>
      </w:r>
      <w:r>
        <w:rPr>
          <w:color w:val="231F20"/>
        </w:rPr>
        <w:t>de comer a mis hijos, además nunca tuve un trabajo que ayudara tanto  a los niños, como aquí que ayuda a las niñas, para que sean de bien (Chofer, institución</w:t>
      </w:r>
      <w:r>
        <w:rPr>
          <w:color w:val="231F20"/>
          <w:spacing w:val="-9"/>
        </w:rPr>
        <w:t> </w:t>
      </w:r>
      <w:r>
        <w:rPr>
          <w:color w:val="231F20"/>
        </w:rPr>
        <w:t>privada).</w:t>
      </w:r>
    </w:p>
    <w:p>
      <w:pPr>
        <w:spacing w:after="0" w:line="249" w:lineRule="auto"/>
        <w:jc w:val="both"/>
        <w:sectPr>
          <w:footerReference w:type="default" r:id="rId315"/>
          <w:pgSz w:w="7770" w:h="11740"/>
          <w:pgMar w:footer="474" w:header="0" w:top="840" w:bottom="660" w:left="1020" w:right="740"/>
          <w:pgNumType w:start="315"/>
        </w:sectPr>
      </w:pPr>
    </w:p>
    <w:p>
      <w:pPr>
        <w:pStyle w:val="BodyText"/>
        <w:spacing w:line="249" w:lineRule="auto" w:before="60"/>
        <w:ind w:left="110" w:right="111" w:firstLine="283"/>
        <w:jc w:val="both"/>
      </w:pPr>
      <w:r>
        <w:rPr>
          <w:color w:val="231F20"/>
        </w:rPr>
        <w:t>Sin ser muy explícitos en nuestros argumentos, se puede indicar que esta significación se deriva del hecho de que este personal habría conse- guido su trabajo casualmente o con mucho esfuerzo, sobre todo ante la situación de desempleo generalizada que aqueja al país. Tan es así, que algunos de ellos se asumen como afortunados cuando se comparan con personas cercanas a ellas que presumiblemente tendrían más posibilida- des al poseer un título profesional.</w:t>
      </w:r>
    </w:p>
    <w:p>
      <w:pPr>
        <w:pStyle w:val="BodyText"/>
        <w:spacing w:line="249" w:lineRule="auto" w:before="1"/>
        <w:ind w:left="110" w:right="111" w:firstLine="283"/>
        <w:jc w:val="both"/>
      </w:pPr>
      <w:r>
        <w:rPr>
          <w:color w:val="231F20"/>
        </w:rPr>
        <w:t>Esta valoración se puede entender más, si tomamos en cuenta algo conocido en nuestras incursiones investigativas en las instituciones asis- tenciales: que el grueso de este grupo habría vivido la experiencia de andar buscando empleo por varios días sin encontrarlo, antes de llegar a la</w:t>
      </w:r>
      <w:r>
        <w:rPr>
          <w:color w:val="231F20"/>
          <w:spacing w:val="-11"/>
        </w:rPr>
        <w:t> </w:t>
      </w:r>
      <w:r>
        <w:rPr>
          <w:color w:val="231F20"/>
        </w:rPr>
        <w:t>institución</w:t>
      </w:r>
      <w:r>
        <w:rPr>
          <w:color w:val="231F20"/>
          <w:spacing w:val="-11"/>
        </w:rPr>
        <w:t> </w:t>
      </w:r>
      <w:r>
        <w:rPr>
          <w:color w:val="231F20"/>
        </w:rPr>
        <w:t>donde</w:t>
      </w:r>
      <w:r>
        <w:rPr>
          <w:color w:val="231F20"/>
          <w:spacing w:val="-11"/>
        </w:rPr>
        <w:t> </w:t>
      </w:r>
      <w:r>
        <w:rPr>
          <w:color w:val="231F20"/>
        </w:rPr>
        <w:t>laboran.</w:t>
      </w:r>
      <w:r>
        <w:rPr>
          <w:color w:val="231F20"/>
          <w:spacing w:val="-11"/>
        </w:rPr>
        <w:t> </w:t>
      </w:r>
      <w:r>
        <w:rPr>
          <w:color w:val="231F20"/>
        </w:rPr>
        <w:t>Esta</w:t>
      </w:r>
      <w:r>
        <w:rPr>
          <w:color w:val="231F20"/>
          <w:spacing w:val="-11"/>
        </w:rPr>
        <w:t> </w:t>
      </w:r>
      <w:r>
        <w:rPr>
          <w:color w:val="231F20"/>
        </w:rPr>
        <w:t>condición,</w:t>
      </w:r>
      <w:r>
        <w:rPr>
          <w:color w:val="231F20"/>
          <w:spacing w:val="-11"/>
        </w:rPr>
        <w:t> </w:t>
      </w:r>
      <w:r>
        <w:rPr>
          <w:color w:val="231F20"/>
        </w:rPr>
        <w:t>que</w:t>
      </w:r>
      <w:r>
        <w:rPr>
          <w:color w:val="231F20"/>
          <w:spacing w:val="-11"/>
        </w:rPr>
        <w:t> </w:t>
      </w:r>
      <w:r>
        <w:rPr>
          <w:color w:val="231F20"/>
        </w:rPr>
        <w:t>como</w:t>
      </w:r>
      <w:r>
        <w:rPr>
          <w:color w:val="231F20"/>
          <w:spacing w:val="-11"/>
        </w:rPr>
        <w:t> </w:t>
      </w:r>
      <w:r>
        <w:rPr>
          <w:color w:val="231F20"/>
        </w:rPr>
        <w:t>decían</w:t>
      </w:r>
      <w:r>
        <w:rPr>
          <w:color w:val="231F20"/>
          <w:spacing w:val="-11"/>
        </w:rPr>
        <w:t> </w:t>
      </w:r>
      <w:r>
        <w:rPr>
          <w:color w:val="231F20"/>
        </w:rPr>
        <w:t>algunos</w:t>
      </w:r>
      <w:r>
        <w:rPr>
          <w:color w:val="231F20"/>
          <w:spacing w:val="-11"/>
        </w:rPr>
        <w:t> </w:t>
      </w:r>
      <w:r>
        <w:rPr>
          <w:color w:val="231F20"/>
        </w:rPr>
        <w:t>de ellos, los hacía sentir “miserables”, “inútiles”, “sin suerte” y hasta “con ganas de entrarle a otra cosa” en ese momento, los lleva ahora, ya con trabajo, a sentirse con capacidades y útiles para hacer algo.</w:t>
      </w:r>
      <w:r>
        <w:rPr>
          <w:color w:val="231F20"/>
          <w:spacing w:val="-23"/>
        </w:rPr>
        <w:t> </w:t>
      </w:r>
      <w:r>
        <w:rPr>
          <w:color w:val="231F20"/>
        </w:rPr>
        <w:t>Ciertamente, como</w:t>
      </w:r>
      <w:r>
        <w:rPr>
          <w:color w:val="231F20"/>
          <w:spacing w:val="-6"/>
        </w:rPr>
        <w:t> </w:t>
      </w:r>
      <w:r>
        <w:rPr>
          <w:color w:val="231F20"/>
        </w:rPr>
        <w:t>veremos</w:t>
      </w:r>
      <w:r>
        <w:rPr>
          <w:color w:val="231F20"/>
          <w:spacing w:val="-6"/>
        </w:rPr>
        <w:t> </w:t>
      </w:r>
      <w:r>
        <w:rPr>
          <w:color w:val="231F20"/>
        </w:rPr>
        <w:t>más</w:t>
      </w:r>
      <w:r>
        <w:rPr>
          <w:color w:val="231F20"/>
          <w:spacing w:val="-6"/>
        </w:rPr>
        <w:t> </w:t>
      </w:r>
      <w:r>
        <w:rPr>
          <w:color w:val="231F20"/>
        </w:rPr>
        <w:t>adelante,</w:t>
      </w:r>
      <w:r>
        <w:rPr>
          <w:color w:val="231F20"/>
          <w:spacing w:val="-6"/>
        </w:rPr>
        <w:t> </w:t>
      </w:r>
      <w:r>
        <w:rPr>
          <w:color w:val="231F20"/>
        </w:rPr>
        <w:t>estas</w:t>
      </w:r>
      <w:r>
        <w:rPr>
          <w:color w:val="231F20"/>
          <w:spacing w:val="-6"/>
        </w:rPr>
        <w:t> </w:t>
      </w:r>
      <w:r>
        <w:rPr>
          <w:color w:val="231F20"/>
        </w:rPr>
        <w:t>concepciones</w:t>
      </w:r>
      <w:r>
        <w:rPr>
          <w:color w:val="231F20"/>
          <w:spacing w:val="-6"/>
        </w:rPr>
        <w:t> </w:t>
      </w:r>
      <w:r>
        <w:rPr>
          <w:color w:val="231F20"/>
        </w:rPr>
        <w:t>se</w:t>
      </w:r>
      <w:r>
        <w:rPr>
          <w:color w:val="231F20"/>
          <w:spacing w:val="-6"/>
        </w:rPr>
        <w:t> </w:t>
      </w:r>
      <w:r>
        <w:rPr>
          <w:color w:val="231F20"/>
        </w:rPr>
        <w:t>muestran</w:t>
      </w:r>
      <w:r>
        <w:rPr>
          <w:color w:val="231F20"/>
          <w:spacing w:val="-6"/>
        </w:rPr>
        <w:t> </w:t>
      </w:r>
      <w:r>
        <w:rPr>
          <w:color w:val="231F20"/>
        </w:rPr>
        <w:t>también</w:t>
      </w:r>
      <w:r>
        <w:rPr>
          <w:color w:val="231F20"/>
          <w:spacing w:val="-6"/>
        </w:rPr>
        <w:t> </w:t>
      </w:r>
      <w:r>
        <w:rPr>
          <w:color w:val="231F20"/>
        </w:rPr>
        <w:t>un poco inestables entre este grupo particular, pues, a pesar de contar con trabajo, se sienten vulnerables por las condiciones en que están contra- tados.</w:t>
      </w:r>
    </w:p>
    <w:p>
      <w:pPr>
        <w:pStyle w:val="BodyText"/>
        <w:spacing w:line="249" w:lineRule="auto" w:before="1"/>
        <w:ind w:left="110" w:right="111" w:firstLine="283"/>
        <w:jc w:val="both"/>
      </w:pPr>
      <w:r>
        <w:rPr>
          <w:color w:val="231F20"/>
        </w:rPr>
        <w:t>En este sentido, cuando decimos que este grupo concibe su trabajo como un medio para allegarse de recursos, aunque no en un sentido me- ramente instrumental, lo planteamos porque creemos que, entiende que cada vez es más escaso el trabajo y el hecho de tenerlo actualmente, lo lleva a concebirse como afortunado, sin que esto implique que esté pen- sando solamente en obtener cosas materiales por medio de él.</w:t>
      </w:r>
    </w:p>
    <w:p>
      <w:pPr>
        <w:pStyle w:val="Heading5"/>
        <w:ind w:left="110"/>
        <w:rPr>
          <w:i/>
        </w:rPr>
      </w:pPr>
      <w:r>
        <w:rPr>
          <w:i/>
          <w:w w:val="75"/>
        </w:rPr>
        <w:t>La demanda que implica trabajar con los niños</w:t>
      </w:r>
    </w:p>
    <w:p>
      <w:pPr>
        <w:pStyle w:val="BodyText"/>
        <w:spacing w:line="249" w:lineRule="auto" w:before="171"/>
        <w:ind w:left="110" w:right="111"/>
        <w:jc w:val="both"/>
      </w:pPr>
      <w:r>
        <w:rPr>
          <w:color w:val="231F20"/>
        </w:rPr>
        <w:t>Los relatos del personal entrevistado no sólo muestran la importancia que tiene el trabajo para éste y las particularidades que adquiere en cada nivel jerárquico, sino también la demanda que implica trabajar con los niños</w:t>
      </w:r>
      <w:r>
        <w:rPr>
          <w:color w:val="231F20"/>
          <w:spacing w:val="-10"/>
        </w:rPr>
        <w:t> </w:t>
      </w:r>
      <w:r>
        <w:rPr>
          <w:color w:val="231F20"/>
        </w:rPr>
        <w:t>o</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algunas</w:t>
      </w:r>
      <w:r>
        <w:rPr>
          <w:color w:val="231F20"/>
          <w:spacing w:val="-10"/>
        </w:rPr>
        <w:t> </w:t>
      </w:r>
      <w:r>
        <w:rPr>
          <w:color w:val="231F20"/>
        </w:rPr>
        <w:t>entrevistadas</w:t>
      </w:r>
      <w:r>
        <w:rPr>
          <w:color w:val="231F20"/>
          <w:spacing w:val="-10"/>
        </w:rPr>
        <w:t> </w:t>
      </w:r>
      <w:r>
        <w:rPr>
          <w:color w:val="231F20"/>
        </w:rPr>
        <w:t>definen</w:t>
      </w:r>
      <w:r>
        <w:rPr>
          <w:color w:val="231F20"/>
          <w:spacing w:val="-10"/>
        </w:rPr>
        <w:t> </w:t>
      </w:r>
      <w:r>
        <w:rPr>
          <w:color w:val="231F20"/>
        </w:rPr>
        <w:t>como</w:t>
      </w:r>
      <w:r>
        <w:rPr>
          <w:color w:val="231F20"/>
          <w:spacing w:val="-10"/>
        </w:rPr>
        <w:t> </w:t>
      </w:r>
      <w:r>
        <w:rPr>
          <w:color w:val="231F20"/>
        </w:rPr>
        <w:t>dedicación</w:t>
      </w:r>
      <w:r>
        <w:rPr>
          <w:color w:val="231F20"/>
          <w:spacing w:val="-10"/>
        </w:rPr>
        <w:t> </w:t>
      </w:r>
      <w:r>
        <w:rPr>
          <w:color w:val="231F20"/>
        </w:rPr>
        <w:t>o</w:t>
      </w:r>
      <w:r>
        <w:rPr>
          <w:color w:val="231F20"/>
          <w:spacing w:val="-10"/>
        </w:rPr>
        <w:t> </w:t>
      </w:r>
      <w:r>
        <w:rPr>
          <w:color w:val="231F20"/>
        </w:rPr>
        <w:t>esfuerzo. Sobre</w:t>
      </w:r>
      <w:r>
        <w:rPr>
          <w:color w:val="231F20"/>
          <w:spacing w:val="-5"/>
        </w:rPr>
        <w:t> </w:t>
      </w:r>
      <w:r>
        <w:rPr>
          <w:color w:val="231F20"/>
        </w:rPr>
        <w:t>todo</w:t>
      </w:r>
      <w:r>
        <w:rPr>
          <w:color w:val="231F20"/>
          <w:spacing w:val="-5"/>
        </w:rPr>
        <w:t> </w:t>
      </w:r>
      <w:r>
        <w:rPr>
          <w:color w:val="231F20"/>
        </w:rPr>
        <w:t>porque</w:t>
      </w:r>
      <w:r>
        <w:rPr>
          <w:color w:val="231F20"/>
          <w:spacing w:val="-5"/>
        </w:rPr>
        <w:t> </w:t>
      </w:r>
      <w:r>
        <w:rPr>
          <w:color w:val="231F20"/>
        </w:rPr>
        <w:t>este</w:t>
      </w:r>
      <w:r>
        <w:rPr>
          <w:color w:val="231F20"/>
          <w:spacing w:val="-5"/>
        </w:rPr>
        <w:t> </w:t>
      </w:r>
      <w:r>
        <w:rPr>
          <w:color w:val="231F20"/>
        </w:rPr>
        <w:t>trabajo</w:t>
      </w:r>
      <w:r>
        <w:rPr>
          <w:color w:val="231F20"/>
          <w:spacing w:val="-6"/>
        </w:rPr>
        <w:t> </w:t>
      </w:r>
      <w:r>
        <w:rPr>
          <w:color w:val="231F20"/>
        </w:rPr>
        <w:t>requiere</w:t>
      </w:r>
      <w:r>
        <w:rPr>
          <w:color w:val="231F20"/>
          <w:spacing w:val="-5"/>
        </w:rPr>
        <w:t> </w:t>
      </w:r>
      <w:r>
        <w:rPr>
          <w:color w:val="231F20"/>
        </w:rPr>
        <w:t>un</w:t>
      </w:r>
      <w:r>
        <w:rPr>
          <w:color w:val="231F20"/>
          <w:spacing w:val="-5"/>
        </w:rPr>
        <w:t> </w:t>
      </w:r>
      <w:r>
        <w:rPr>
          <w:color w:val="231F20"/>
        </w:rPr>
        <w:t>fuerte</w:t>
      </w:r>
      <w:r>
        <w:rPr>
          <w:color w:val="231F20"/>
          <w:spacing w:val="-5"/>
        </w:rPr>
        <w:t> </w:t>
      </w:r>
      <w:r>
        <w:rPr>
          <w:color w:val="231F20"/>
        </w:rPr>
        <w:t>involucramiento</w:t>
      </w:r>
      <w:r>
        <w:rPr>
          <w:color w:val="231F20"/>
          <w:spacing w:val="-5"/>
        </w:rPr>
        <w:t> </w:t>
      </w:r>
      <w:r>
        <w:rPr>
          <w:color w:val="231F20"/>
        </w:rPr>
        <w:t>de</w:t>
      </w:r>
      <w:r>
        <w:rPr>
          <w:color w:val="231F20"/>
          <w:spacing w:val="-5"/>
        </w:rPr>
        <w:t> </w:t>
      </w:r>
      <w:r>
        <w:rPr>
          <w:color w:val="231F20"/>
        </w:rPr>
        <w:t>sus personas,</w:t>
      </w:r>
      <w:r>
        <w:rPr>
          <w:color w:val="231F20"/>
          <w:spacing w:val="-10"/>
        </w:rPr>
        <w:t> </w:t>
      </w:r>
      <w:r>
        <w:rPr>
          <w:color w:val="231F20"/>
        </w:rPr>
        <w:t>en</w:t>
      </w:r>
      <w:r>
        <w:rPr>
          <w:color w:val="231F20"/>
          <w:spacing w:val="-11"/>
        </w:rPr>
        <w:t> </w:t>
      </w:r>
      <w:r>
        <w:rPr>
          <w:color w:val="231F20"/>
        </w:rPr>
        <w:t>tanto</w:t>
      </w:r>
      <w:r>
        <w:rPr>
          <w:color w:val="231F20"/>
          <w:spacing w:val="-11"/>
        </w:rPr>
        <w:t> </w:t>
      </w:r>
      <w:r>
        <w:rPr>
          <w:color w:val="231F20"/>
        </w:rPr>
        <w:t>cuanto</w:t>
      </w:r>
      <w:r>
        <w:rPr>
          <w:color w:val="231F20"/>
          <w:spacing w:val="-11"/>
        </w:rPr>
        <w:t> </w:t>
      </w:r>
      <w:r>
        <w:rPr>
          <w:color w:val="231F20"/>
        </w:rPr>
        <w:t>trabajan</w:t>
      </w:r>
      <w:r>
        <w:rPr>
          <w:color w:val="231F20"/>
          <w:spacing w:val="-11"/>
        </w:rPr>
        <w:t> </w:t>
      </w:r>
      <w:r>
        <w:rPr>
          <w:color w:val="231F20"/>
        </w:rPr>
        <w:t>con</w:t>
      </w:r>
      <w:r>
        <w:rPr>
          <w:color w:val="231F20"/>
          <w:spacing w:val="-11"/>
        </w:rPr>
        <w:t> </w:t>
      </w:r>
      <w:r>
        <w:rPr>
          <w:color w:val="231F20"/>
        </w:rPr>
        <w:t>seres</w:t>
      </w:r>
      <w:r>
        <w:rPr>
          <w:color w:val="231F20"/>
          <w:spacing w:val="-10"/>
        </w:rPr>
        <w:t> </w:t>
      </w:r>
      <w:r>
        <w:rPr>
          <w:color w:val="231F20"/>
        </w:rPr>
        <w:t>humanos</w:t>
      </w:r>
      <w:r>
        <w:rPr>
          <w:color w:val="231F20"/>
          <w:spacing w:val="-10"/>
        </w:rPr>
        <w:t> </w:t>
      </w:r>
      <w:r>
        <w:rPr>
          <w:color w:val="231F20"/>
        </w:rPr>
        <w:t>que,</w:t>
      </w:r>
      <w:r>
        <w:rPr>
          <w:color w:val="231F20"/>
          <w:spacing w:val="-10"/>
        </w:rPr>
        <w:t> </w:t>
      </w:r>
      <w:r>
        <w:rPr>
          <w:color w:val="231F20"/>
        </w:rPr>
        <w:t>como</w:t>
      </w:r>
      <w:r>
        <w:rPr>
          <w:color w:val="231F20"/>
          <w:spacing w:val="-11"/>
        </w:rPr>
        <w:t> </w:t>
      </w:r>
      <w:r>
        <w:rPr>
          <w:color w:val="231F20"/>
        </w:rPr>
        <w:t>dice</w:t>
      </w:r>
      <w:r>
        <w:rPr>
          <w:color w:val="231F20"/>
          <w:spacing w:val="-10"/>
        </w:rPr>
        <w:t> </w:t>
      </w:r>
      <w:r>
        <w:rPr>
          <w:color w:val="231F20"/>
        </w:rPr>
        <w:t>una psicóloga, “normalmente han vivido cosas traumáticas para sus</w:t>
      </w:r>
      <w:r>
        <w:rPr>
          <w:color w:val="231F20"/>
          <w:spacing w:val="-21"/>
        </w:rPr>
        <w:t> </w:t>
      </w:r>
      <w:r>
        <w:rPr>
          <w:color w:val="231F20"/>
        </w:rPr>
        <w:t>edades”. Sin embargo, como ocurre con el tema anterior, este aspecto también es significado de distinta manera por el personal asistencial de acuerdo con sus jerarquías, pues las funciones particulares que realiza con los niños demandan tareas y acciones distintas. Por lo tanto, para dar cuenta de ello, seguiremos el mismo esquema anterior de empezar analizando los significados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directivos,</w:t>
      </w:r>
      <w:r>
        <w:rPr>
          <w:color w:val="231F20"/>
          <w:spacing w:val="-8"/>
        </w:rPr>
        <w:t> </w:t>
      </w:r>
      <w:r>
        <w:rPr>
          <w:color w:val="231F20"/>
        </w:rPr>
        <w:t>para</w:t>
      </w:r>
      <w:r>
        <w:rPr>
          <w:color w:val="231F20"/>
          <w:spacing w:val="-8"/>
        </w:rPr>
        <w:t> </w:t>
      </w:r>
      <w:r>
        <w:rPr>
          <w:color w:val="231F20"/>
        </w:rPr>
        <w:t>seguir</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personal</w:t>
      </w:r>
      <w:r>
        <w:rPr>
          <w:color w:val="231F20"/>
          <w:spacing w:val="-8"/>
        </w:rPr>
        <w:t> </w:t>
      </w:r>
      <w:r>
        <w:rPr>
          <w:color w:val="231F20"/>
        </w:rPr>
        <w:t>especializado</w:t>
      </w:r>
      <w:r>
        <w:rPr>
          <w:color w:val="231F20"/>
          <w:spacing w:val="-8"/>
        </w:rPr>
        <w:t> </w:t>
      </w:r>
      <w:r>
        <w:rPr>
          <w:color w:val="231F20"/>
        </w:rPr>
        <w:t>y</w:t>
      </w:r>
    </w:p>
    <w:p>
      <w:pPr>
        <w:spacing w:after="0" w:line="249" w:lineRule="auto"/>
        <w:jc w:val="both"/>
        <w:sectPr>
          <w:pgSz w:w="7770" w:h="11740"/>
          <w:pgMar w:header="0" w:footer="474" w:top="840" w:bottom="740" w:left="740" w:right="1020"/>
        </w:sectPr>
      </w:pPr>
    </w:p>
    <w:p>
      <w:pPr>
        <w:pStyle w:val="BodyText"/>
        <w:spacing w:before="60"/>
        <w:ind w:left="113"/>
      </w:pPr>
      <w:r>
        <w:rPr>
          <w:color w:val="231F20"/>
        </w:rPr>
        <w:t>concluir con el personal operativo de las instituciones investigadas.</w:t>
      </w:r>
    </w:p>
    <w:p>
      <w:pPr>
        <w:pStyle w:val="BodyText"/>
        <w:spacing w:line="249" w:lineRule="auto" w:before="10"/>
        <w:ind w:left="113" w:right="107" w:firstLine="283"/>
        <w:jc w:val="both"/>
      </w:pPr>
      <w:r>
        <w:rPr>
          <w:color w:val="231F20"/>
        </w:rPr>
        <w:t>En el caso de los directivos entrevistados, la demanda que implica trabajar en las instituciones asistenciales es concebida como algo</w:t>
      </w:r>
      <w:r>
        <w:rPr>
          <w:color w:val="231F20"/>
          <w:spacing w:val="-18"/>
        </w:rPr>
        <w:t> </w:t>
      </w:r>
      <w:r>
        <w:rPr>
          <w:color w:val="231F20"/>
        </w:rPr>
        <w:t>pesada pero positiva.</w:t>
      </w:r>
    </w:p>
    <w:p>
      <w:pPr>
        <w:pStyle w:val="BodyText"/>
        <w:spacing w:line="249" w:lineRule="auto" w:before="114"/>
        <w:ind w:left="397" w:right="107"/>
        <w:jc w:val="both"/>
      </w:pPr>
      <w:r>
        <w:rPr>
          <w:color w:val="231F20"/>
        </w:rPr>
        <w:t>[...] el trabajo implica grandes tareas y mucho, mucho tiempo. Sé a qué hora entro, pero no a qué hora salgo, siempre me esperan mu- chas cosas que resolver, pero me encanta, porque, como te decía, me ayuda</w:t>
      </w:r>
      <w:r>
        <w:rPr>
          <w:color w:val="231F20"/>
          <w:spacing w:val="-4"/>
        </w:rPr>
        <w:t> </w:t>
      </w:r>
      <w:r>
        <w:rPr>
          <w:color w:val="231F20"/>
        </w:rPr>
        <w:t>a</w:t>
      </w:r>
      <w:r>
        <w:rPr>
          <w:color w:val="231F20"/>
          <w:spacing w:val="-4"/>
        </w:rPr>
        <w:t> </w:t>
      </w:r>
      <w:r>
        <w:rPr>
          <w:color w:val="231F20"/>
        </w:rPr>
        <w:t>crecer</w:t>
      </w:r>
      <w:r>
        <w:rPr>
          <w:color w:val="231F20"/>
          <w:spacing w:val="-4"/>
        </w:rPr>
        <w:t> </w:t>
      </w:r>
      <w:r>
        <w:rPr>
          <w:color w:val="231F20"/>
        </w:rPr>
        <w:t>personal</w:t>
      </w:r>
      <w:r>
        <w:rPr>
          <w:color w:val="231F20"/>
          <w:spacing w:val="-4"/>
        </w:rPr>
        <w:t> </w:t>
      </w:r>
      <w:r>
        <w:rPr>
          <w:color w:val="231F20"/>
        </w:rPr>
        <w:t>y</w:t>
      </w:r>
      <w:r>
        <w:rPr>
          <w:color w:val="231F20"/>
          <w:spacing w:val="-4"/>
        </w:rPr>
        <w:t> </w:t>
      </w:r>
      <w:r>
        <w:rPr>
          <w:color w:val="231F20"/>
        </w:rPr>
        <w:t>profesionalmente,</w:t>
      </w:r>
      <w:r>
        <w:rPr>
          <w:color w:val="231F20"/>
          <w:spacing w:val="-4"/>
        </w:rPr>
        <w:t> </w:t>
      </w:r>
      <w:r>
        <w:rPr>
          <w:color w:val="231F20"/>
        </w:rPr>
        <w:t>ayudado</w:t>
      </w:r>
      <w:r>
        <w:rPr>
          <w:color w:val="231F20"/>
          <w:spacing w:val="-5"/>
        </w:rPr>
        <w:t> </w:t>
      </w:r>
      <w:r>
        <w:rPr>
          <w:color w:val="231F20"/>
        </w:rPr>
        <w:t>a</w:t>
      </w:r>
      <w:r>
        <w:rPr>
          <w:color w:val="231F20"/>
          <w:spacing w:val="-4"/>
        </w:rPr>
        <w:t> </w:t>
      </w:r>
      <w:r>
        <w:rPr>
          <w:color w:val="231F20"/>
        </w:rPr>
        <w:t>los</w:t>
      </w:r>
      <w:r>
        <w:rPr>
          <w:color w:val="231F20"/>
          <w:spacing w:val="-4"/>
        </w:rPr>
        <w:t> </w:t>
      </w:r>
      <w:r>
        <w:rPr>
          <w:color w:val="231F20"/>
        </w:rPr>
        <w:t>niños</w:t>
      </w:r>
      <w:r>
        <w:rPr>
          <w:color w:val="231F20"/>
          <w:spacing w:val="-4"/>
        </w:rPr>
        <w:t> </w:t>
      </w:r>
      <w:r>
        <w:rPr>
          <w:color w:val="231F20"/>
        </w:rPr>
        <w:t>[...]. Muchas</w:t>
      </w:r>
      <w:r>
        <w:rPr>
          <w:color w:val="231F20"/>
          <w:spacing w:val="-8"/>
        </w:rPr>
        <w:t> </w:t>
      </w:r>
      <w:r>
        <w:rPr>
          <w:color w:val="231F20"/>
        </w:rPr>
        <w:t>veces,</w:t>
      </w:r>
      <w:r>
        <w:rPr>
          <w:color w:val="231F20"/>
          <w:spacing w:val="-8"/>
        </w:rPr>
        <w:t> </w:t>
      </w:r>
      <w:r>
        <w:rPr>
          <w:color w:val="231F20"/>
        </w:rPr>
        <w:t>ni</w:t>
      </w:r>
      <w:r>
        <w:rPr>
          <w:color w:val="231F20"/>
          <w:spacing w:val="-8"/>
        </w:rPr>
        <w:t> </w:t>
      </w:r>
      <w:r>
        <w:rPr>
          <w:color w:val="231F20"/>
        </w:rPr>
        <w:t>voy</w:t>
      </w:r>
      <w:r>
        <w:rPr>
          <w:color w:val="231F20"/>
          <w:spacing w:val="-8"/>
        </w:rPr>
        <w:t> </w:t>
      </w:r>
      <w:r>
        <w:rPr>
          <w:color w:val="231F20"/>
        </w:rPr>
        <w:t>a</w:t>
      </w:r>
      <w:r>
        <w:rPr>
          <w:color w:val="231F20"/>
          <w:spacing w:val="-8"/>
        </w:rPr>
        <w:t> </w:t>
      </w:r>
      <w:r>
        <w:rPr>
          <w:color w:val="231F20"/>
        </w:rPr>
        <w:t>comer,</w:t>
      </w:r>
      <w:r>
        <w:rPr>
          <w:color w:val="231F20"/>
          <w:spacing w:val="-8"/>
        </w:rPr>
        <w:t> </w:t>
      </w:r>
      <w:r>
        <w:rPr>
          <w:color w:val="231F20"/>
        </w:rPr>
        <w:t>pero,</w:t>
      </w:r>
      <w:r>
        <w:rPr>
          <w:color w:val="231F20"/>
          <w:spacing w:val="-8"/>
        </w:rPr>
        <w:t> </w:t>
      </w:r>
      <w:r>
        <w:rPr>
          <w:color w:val="231F20"/>
        </w:rPr>
        <w:t>claro,</w:t>
      </w:r>
      <w:r>
        <w:rPr>
          <w:color w:val="231F20"/>
          <w:spacing w:val="-8"/>
        </w:rPr>
        <w:t> </w:t>
      </w:r>
      <w:r>
        <w:rPr>
          <w:color w:val="231F20"/>
        </w:rPr>
        <w:t>cuando</w:t>
      </w:r>
      <w:r>
        <w:rPr>
          <w:color w:val="231F20"/>
          <w:spacing w:val="-8"/>
        </w:rPr>
        <w:t> </w:t>
      </w:r>
      <w:r>
        <w:rPr>
          <w:color w:val="231F20"/>
        </w:rPr>
        <w:t>tengo</w:t>
      </w:r>
      <w:r>
        <w:rPr>
          <w:color w:val="231F20"/>
          <w:spacing w:val="-8"/>
        </w:rPr>
        <w:t> </w:t>
      </w:r>
      <w:r>
        <w:rPr>
          <w:color w:val="231F20"/>
        </w:rPr>
        <w:t>que</w:t>
      </w:r>
      <w:r>
        <w:rPr>
          <w:color w:val="231F20"/>
          <w:spacing w:val="-8"/>
        </w:rPr>
        <w:t> </w:t>
      </w:r>
      <w:r>
        <w:rPr>
          <w:color w:val="231F20"/>
          <w:spacing w:val="-2"/>
        </w:rPr>
        <w:t>salir,</w:t>
      </w:r>
      <w:r>
        <w:rPr>
          <w:color w:val="231F20"/>
          <w:spacing w:val="-8"/>
        </w:rPr>
        <w:t> </w:t>
      </w:r>
      <w:r>
        <w:rPr>
          <w:color w:val="231F20"/>
        </w:rPr>
        <w:t>no tengo problema alguno [...] (Directivo, institución</w:t>
      </w:r>
      <w:r>
        <w:rPr>
          <w:color w:val="231F20"/>
          <w:spacing w:val="-3"/>
        </w:rPr>
        <w:t> </w:t>
      </w:r>
      <w:r>
        <w:rPr>
          <w:color w:val="231F20"/>
        </w:rPr>
        <w:t>pública).</w:t>
      </w:r>
    </w:p>
    <w:p>
      <w:pPr>
        <w:pStyle w:val="BodyText"/>
        <w:spacing w:line="249" w:lineRule="auto" w:before="114"/>
        <w:ind w:left="397" w:right="108"/>
        <w:jc w:val="both"/>
      </w:pPr>
      <w:r>
        <w:rPr>
          <w:color w:val="231F20"/>
        </w:rPr>
        <w:t>En la oficina [de la institución] me la paso sacando los pendientes, siempre</w:t>
      </w:r>
      <w:r>
        <w:rPr>
          <w:color w:val="231F20"/>
          <w:spacing w:val="-10"/>
        </w:rPr>
        <w:t> </w:t>
      </w:r>
      <w:r>
        <w:rPr>
          <w:color w:val="231F20"/>
        </w:rPr>
        <w:t>pensando</w:t>
      </w:r>
      <w:r>
        <w:rPr>
          <w:color w:val="231F20"/>
          <w:spacing w:val="-11"/>
        </w:rPr>
        <w:t> </w:t>
      </w:r>
      <w:r>
        <w:rPr>
          <w:color w:val="231F20"/>
        </w:rPr>
        <w:t>en</w:t>
      </w:r>
      <w:r>
        <w:rPr>
          <w:color w:val="231F20"/>
          <w:spacing w:val="-11"/>
        </w:rPr>
        <w:t> </w:t>
      </w:r>
      <w:r>
        <w:rPr>
          <w:color w:val="231F20"/>
        </w:rPr>
        <w:t>ellas</w:t>
      </w:r>
      <w:r>
        <w:rPr>
          <w:color w:val="231F20"/>
          <w:spacing w:val="-11"/>
        </w:rPr>
        <w:t> </w:t>
      </w:r>
      <w:r>
        <w:rPr>
          <w:color w:val="231F20"/>
        </w:rPr>
        <w:t>[las</w:t>
      </w:r>
      <w:r>
        <w:rPr>
          <w:color w:val="231F20"/>
          <w:spacing w:val="-11"/>
        </w:rPr>
        <w:t> </w:t>
      </w:r>
      <w:r>
        <w:rPr>
          <w:color w:val="231F20"/>
        </w:rPr>
        <w:t>niñas].</w:t>
      </w:r>
      <w:r>
        <w:rPr>
          <w:color w:val="231F20"/>
          <w:spacing w:val="-11"/>
        </w:rPr>
        <w:t> </w:t>
      </w:r>
      <w:r>
        <w:rPr>
          <w:color w:val="231F20"/>
        </w:rPr>
        <w:t>Esto</w:t>
      </w:r>
      <w:r>
        <w:rPr>
          <w:color w:val="231F20"/>
          <w:spacing w:val="-11"/>
        </w:rPr>
        <w:t> </w:t>
      </w:r>
      <w:r>
        <w:rPr>
          <w:color w:val="231F20"/>
        </w:rPr>
        <w:t>me</w:t>
      </w:r>
      <w:r>
        <w:rPr>
          <w:color w:val="231F20"/>
          <w:spacing w:val="-11"/>
        </w:rPr>
        <w:t> </w:t>
      </w:r>
      <w:r>
        <w:rPr>
          <w:color w:val="231F20"/>
        </w:rPr>
        <w:t>mantiene</w:t>
      </w:r>
      <w:r>
        <w:rPr>
          <w:color w:val="231F20"/>
          <w:spacing w:val="-11"/>
        </w:rPr>
        <w:t> </w:t>
      </w:r>
      <w:r>
        <w:rPr>
          <w:color w:val="231F20"/>
        </w:rPr>
        <w:t>ocupada</w:t>
      </w:r>
      <w:r>
        <w:rPr>
          <w:color w:val="231F20"/>
          <w:spacing w:val="-11"/>
        </w:rPr>
        <w:t> </w:t>
      </w:r>
      <w:r>
        <w:rPr>
          <w:color w:val="231F20"/>
        </w:rPr>
        <w:t>más de</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tendría</w:t>
      </w:r>
      <w:r>
        <w:rPr>
          <w:color w:val="231F20"/>
          <w:spacing w:val="-5"/>
        </w:rPr>
        <w:t> </w:t>
      </w:r>
      <w:r>
        <w:rPr>
          <w:color w:val="231F20"/>
        </w:rPr>
        <w:t>que</w:t>
      </w:r>
      <w:r>
        <w:rPr>
          <w:color w:val="231F20"/>
          <w:spacing w:val="-5"/>
        </w:rPr>
        <w:t> </w:t>
      </w:r>
      <w:r>
        <w:rPr>
          <w:color w:val="231F20"/>
        </w:rPr>
        <w:t>estar</w:t>
      </w:r>
      <w:r>
        <w:rPr>
          <w:color w:val="231F20"/>
          <w:spacing w:val="-5"/>
        </w:rPr>
        <w:t> </w:t>
      </w:r>
      <w:r>
        <w:rPr>
          <w:color w:val="231F20"/>
        </w:rPr>
        <w:t>aquí,</w:t>
      </w:r>
      <w:r>
        <w:rPr>
          <w:color w:val="231F20"/>
          <w:spacing w:val="-5"/>
        </w:rPr>
        <w:t> </w:t>
      </w:r>
      <w:r>
        <w:rPr>
          <w:color w:val="231F20"/>
        </w:rPr>
        <w:t>incluso,</w:t>
      </w:r>
      <w:r>
        <w:rPr>
          <w:color w:val="231F20"/>
          <w:spacing w:val="-5"/>
        </w:rPr>
        <w:t> </w:t>
      </w:r>
      <w:r>
        <w:rPr>
          <w:color w:val="231F20"/>
        </w:rPr>
        <w:t>me</w:t>
      </w:r>
      <w:r>
        <w:rPr>
          <w:color w:val="231F20"/>
          <w:spacing w:val="-5"/>
        </w:rPr>
        <w:t> </w:t>
      </w:r>
      <w:r>
        <w:rPr>
          <w:color w:val="231F20"/>
        </w:rPr>
        <w:t>ha</w:t>
      </w:r>
      <w:r>
        <w:rPr>
          <w:color w:val="231F20"/>
          <w:spacing w:val="-5"/>
        </w:rPr>
        <w:t> </w:t>
      </w:r>
      <w:r>
        <w:rPr>
          <w:color w:val="231F20"/>
        </w:rPr>
        <w:t>alejado</w:t>
      </w:r>
      <w:r>
        <w:rPr>
          <w:color w:val="231F20"/>
          <w:spacing w:val="-5"/>
        </w:rPr>
        <w:t> </w:t>
      </w:r>
      <w:r>
        <w:rPr>
          <w:color w:val="231F20"/>
        </w:rPr>
        <w:t>de</w:t>
      </w:r>
      <w:r>
        <w:rPr>
          <w:color w:val="231F20"/>
          <w:spacing w:val="-5"/>
        </w:rPr>
        <w:t> </w:t>
      </w:r>
      <w:r>
        <w:rPr>
          <w:color w:val="231F20"/>
        </w:rPr>
        <w:t>mi</w:t>
      </w:r>
      <w:r>
        <w:rPr>
          <w:color w:val="231F20"/>
          <w:spacing w:val="-5"/>
        </w:rPr>
        <w:t> </w:t>
      </w:r>
      <w:r>
        <w:rPr>
          <w:color w:val="231F20"/>
        </w:rPr>
        <w:t>familia, pero lo hago con gusto porque esto es así, yo me pongo mi horario (Directiva, institución</w:t>
      </w:r>
      <w:r>
        <w:rPr>
          <w:color w:val="231F20"/>
          <w:spacing w:val="-1"/>
        </w:rPr>
        <w:t> </w:t>
      </w:r>
      <w:r>
        <w:rPr>
          <w:color w:val="231F20"/>
        </w:rPr>
        <w:t>privada).</w:t>
      </w:r>
    </w:p>
    <w:p>
      <w:pPr>
        <w:pStyle w:val="BodyText"/>
        <w:spacing w:line="249" w:lineRule="auto" w:before="114"/>
        <w:ind w:left="113" w:right="107" w:firstLine="283"/>
        <w:jc w:val="both"/>
      </w:pPr>
      <w:r>
        <w:rPr>
          <w:color w:val="231F20"/>
        </w:rPr>
        <w:t>Si tomamos en cuenta lo que dicen las dos citas anteriores, se puede conjeturar que esta valoración se puede deber a dos cuestiones. En prin- cipio a la reglamentación formal-informal que se maneja en las institu- ciones</w:t>
      </w:r>
      <w:r>
        <w:rPr>
          <w:color w:val="231F20"/>
          <w:spacing w:val="-5"/>
        </w:rPr>
        <w:t> </w:t>
      </w:r>
      <w:r>
        <w:rPr>
          <w:color w:val="231F20"/>
        </w:rPr>
        <w:t>que,</w:t>
      </w:r>
      <w:r>
        <w:rPr>
          <w:color w:val="231F20"/>
          <w:spacing w:val="-5"/>
        </w:rPr>
        <w:t> </w:t>
      </w:r>
      <w:r>
        <w:rPr>
          <w:color w:val="231F20"/>
        </w:rPr>
        <w:t>como</w:t>
      </w:r>
      <w:r>
        <w:rPr>
          <w:color w:val="231F20"/>
          <w:spacing w:val="-5"/>
        </w:rPr>
        <w:t> </w:t>
      </w:r>
      <w:r>
        <w:rPr>
          <w:color w:val="231F20"/>
        </w:rPr>
        <w:t>indicaría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Garza</w:t>
      </w:r>
      <w:r>
        <w:rPr>
          <w:color w:val="231F20"/>
          <w:spacing w:val="-4"/>
        </w:rPr>
        <w:t> </w:t>
      </w:r>
      <w:r>
        <w:rPr>
          <w:color w:val="231F20"/>
        </w:rPr>
        <w:t>(2009),</w:t>
      </w:r>
      <w:r>
        <w:rPr>
          <w:color w:val="231F20"/>
          <w:spacing w:val="-5"/>
        </w:rPr>
        <w:t> </w:t>
      </w:r>
      <w:r>
        <w:rPr>
          <w:color w:val="231F20"/>
        </w:rPr>
        <w:t>lleva</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directivos entiendan</w:t>
      </w:r>
      <w:r>
        <w:rPr>
          <w:color w:val="231F20"/>
          <w:spacing w:val="-5"/>
        </w:rPr>
        <w:t> </w:t>
      </w:r>
      <w:r>
        <w:rPr>
          <w:color w:val="231F20"/>
        </w:rPr>
        <w:t>que,</w:t>
      </w:r>
      <w:r>
        <w:rPr>
          <w:color w:val="231F20"/>
          <w:spacing w:val="-4"/>
        </w:rPr>
        <w:t> </w:t>
      </w:r>
      <w:r>
        <w:rPr>
          <w:color w:val="231F20"/>
        </w:rPr>
        <w:t>si</w:t>
      </w:r>
      <w:r>
        <w:rPr>
          <w:color w:val="231F20"/>
          <w:spacing w:val="-4"/>
        </w:rPr>
        <w:t> </w:t>
      </w:r>
      <w:r>
        <w:rPr>
          <w:color w:val="231F20"/>
        </w:rPr>
        <w:t>bien</w:t>
      </w:r>
      <w:r>
        <w:rPr>
          <w:color w:val="231F20"/>
          <w:spacing w:val="-4"/>
        </w:rPr>
        <w:t> </w:t>
      </w:r>
      <w:r>
        <w:rPr>
          <w:color w:val="231F20"/>
        </w:rPr>
        <w:t>su</w:t>
      </w:r>
      <w:r>
        <w:rPr>
          <w:color w:val="231F20"/>
          <w:spacing w:val="-4"/>
        </w:rPr>
        <w:t> </w:t>
      </w:r>
      <w:r>
        <w:rPr>
          <w:color w:val="231F20"/>
        </w:rPr>
        <w:t>trabajo</w:t>
      </w:r>
      <w:r>
        <w:rPr>
          <w:color w:val="231F20"/>
          <w:spacing w:val="-5"/>
        </w:rPr>
        <w:t> </w:t>
      </w:r>
      <w:r>
        <w:rPr>
          <w:color w:val="231F20"/>
        </w:rPr>
        <w:t>con</w:t>
      </w:r>
      <w:r>
        <w:rPr>
          <w:color w:val="231F20"/>
          <w:spacing w:val="-4"/>
        </w:rPr>
        <w:t> </w:t>
      </w:r>
      <w:r>
        <w:rPr>
          <w:color w:val="231F20"/>
        </w:rPr>
        <w:t>los</w:t>
      </w:r>
      <w:r>
        <w:rPr>
          <w:color w:val="231F20"/>
          <w:spacing w:val="-4"/>
        </w:rPr>
        <w:t> </w:t>
      </w:r>
      <w:r>
        <w:rPr>
          <w:color w:val="231F20"/>
        </w:rPr>
        <w:t>niños</w:t>
      </w:r>
      <w:r>
        <w:rPr>
          <w:color w:val="231F20"/>
          <w:spacing w:val="-4"/>
        </w:rPr>
        <w:t> </w:t>
      </w:r>
      <w:r>
        <w:rPr>
          <w:color w:val="231F20"/>
        </w:rPr>
        <w:t>implica</w:t>
      </w:r>
      <w:r>
        <w:rPr>
          <w:color w:val="231F20"/>
          <w:spacing w:val="-5"/>
        </w:rPr>
        <w:t> </w:t>
      </w:r>
      <w:r>
        <w:rPr>
          <w:color w:val="231F20"/>
        </w:rPr>
        <w:t>pasar</w:t>
      </w:r>
      <w:r>
        <w:rPr>
          <w:color w:val="231F20"/>
          <w:spacing w:val="-4"/>
        </w:rPr>
        <w:t> </w:t>
      </w:r>
      <w:r>
        <w:rPr>
          <w:color w:val="231F20"/>
        </w:rPr>
        <w:t>varias</w:t>
      </w:r>
      <w:r>
        <w:rPr>
          <w:color w:val="231F20"/>
          <w:spacing w:val="-4"/>
        </w:rPr>
        <w:t> </w:t>
      </w:r>
      <w:r>
        <w:rPr>
          <w:color w:val="231F20"/>
        </w:rPr>
        <w:t>horas en su oficina, incluso por encima de su horario oficial, tienen la posibi- lidad, a manera de resarcimiento o compensación, de parar cuando deci- dan, de dejar tareas pendientes o, simplemente, de salir cuando lo crean conveniente, haciendo que su estancia en las instituciones sea menos rí- gida o absorbente </w:t>
      </w:r>
      <w:r>
        <w:rPr>
          <w:color w:val="231F20"/>
          <w:spacing w:val="-7"/>
        </w:rPr>
        <w:t>y, </w:t>
      </w:r>
      <w:r>
        <w:rPr>
          <w:color w:val="231F20"/>
        </w:rPr>
        <w:t>por tanto, que su involucramiento no sea valorado negativamente. </w:t>
      </w:r>
      <w:r>
        <w:rPr>
          <w:color w:val="231F20"/>
          <w:spacing w:val="-5"/>
        </w:rPr>
        <w:t>Tan </w:t>
      </w:r>
      <w:r>
        <w:rPr>
          <w:color w:val="231F20"/>
        </w:rPr>
        <w:t>es así, que en la cita de la directiva de la institución privada,</w:t>
      </w:r>
      <w:r>
        <w:rPr>
          <w:color w:val="231F20"/>
          <w:spacing w:val="-4"/>
        </w:rPr>
        <w:t> </w:t>
      </w:r>
      <w:r>
        <w:rPr>
          <w:color w:val="231F20"/>
        </w:rPr>
        <w:t>se</w:t>
      </w:r>
      <w:r>
        <w:rPr>
          <w:color w:val="231F20"/>
          <w:spacing w:val="-4"/>
        </w:rPr>
        <w:t> </w:t>
      </w:r>
      <w:r>
        <w:rPr>
          <w:color w:val="231F20"/>
        </w:rPr>
        <w:t>menciona</w:t>
      </w:r>
      <w:r>
        <w:rPr>
          <w:color w:val="231F20"/>
          <w:spacing w:val="-4"/>
        </w:rPr>
        <w:t> </w:t>
      </w:r>
      <w:r>
        <w:rPr>
          <w:color w:val="231F20"/>
        </w:rPr>
        <w:t>que</w:t>
      </w:r>
      <w:r>
        <w:rPr>
          <w:color w:val="231F20"/>
          <w:spacing w:val="-4"/>
        </w:rPr>
        <w:t> </w:t>
      </w:r>
      <w:r>
        <w:rPr>
          <w:color w:val="231F20"/>
        </w:rPr>
        <w:t>“ella</w:t>
      </w:r>
      <w:r>
        <w:rPr>
          <w:color w:val="231F20"/>
          <w:spacing w:val="-4"/>
        </w:rPr>
        <w:t> </w:t>
      </w:r>
      <w:r>
        <w:rPr>
          <w:color w:val="231F20"/>
        </w:rPr>
        <w:t>se</w:t>
      </w:r>
      <w:r>
        <w:rPr>
          <w:color w:val="231F20"/>
          <w:spacing w:val="-4"/>
        </w:rPr>
        <w:t> </w:t>
      </w:r>
      <w:r>
        <w:rPr>
          <w:color w:val="231F20"/>
        </w:rPr>
        <w:t>ponía</w:t>
      </w:r>
      <w:r>
        <w:rPr>
          <w:color w:val="231F20"/>
          <w:spacing w:val="-4"/>
        </w:rPr>
        <w:t> </w:t>
      </w:r>
      <w:r>
        <w:rPr>
          <w:color w:val="231F20"/>
        </w:rPr>
        <w:t>su</w:t>
      </w:r>
      <w:r>
        <w:rPr>
          <w:color w:val="231F20"/>
          <w:spacing w:val="-4"/>
        </w:rPr>
        <w:t> </w:t>
      </w:r>
      <w:r>
        <w:rPr>
          <w:color w:val="231F20"/>
        </w:rPr>
        <w:t>horario</w:t>
      </w:r>
      <w:r>
        <w:rPr>
          <w:color w:val="231F20"/>
          <w:spacing w:val="-4"/>
        </w:rPr>
        <w:t> </w:t>
      </w:r>
      <w:r>
        <w:rPr>
          <w:color w:val="231F20"/>
        </w:rPr>
        <w:t>laboral”,</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cree- mos es un indicativo de ello y que evidentemente no puede reproducir</w:t>
      </w:r>
      <w:r>
        <w:rPr>
          <w:color w:val="231F20"/>
          <w:spacing w:val="-26"/>
        </w:rPr>
        <w:t> </w:t>
      </w:r>
      <w:r>
        <w:rPr>
          <w:color w:val="231F20"/>
        </w:rPr>
        <w:t>el resto del personal. En segundo lugar esta valoración se puede deber, a</w:t>
      </w:r>
      <w:r>
        <w:rPr>
          <w:color w:val="231F20"/>
          <w:spacing w:val="-27"/>
        </w:rPr>
        <w:t> </w:t>
      </w:r>
      <w:r>
        <w:rPr>
          <w:color w:val="231F20"/>
        </w:rPr>
        <w:t>lo que fuera de las entrevistas nos indicaban algunas informantes, a </w:t>
      </w:r>
      <w:r>
        <w:rPr>
          <w:color w:val="231F20"/>
          <w:spacing w:val="-2"/>
        </w:rPr>
        <w:t>saber, </w:t>
      </w:r>
      <w:r>
        <w:rPr>
          <w:color w:val="231F20"/>
        </w:rPr>
        <w:t>que los directivos a través de ello pueden obtener beneficios tangibles   e intangibles que de otro modo les resultaría difícil: como tejer redes sociales</w:t>
      </w:r>
      <w:r>
        <w:rPr>
          <w:color w:val="231F20"/>
          <w:spacing w:val="-8"/>
        </w:rPr>
        <w:t> </w:t>
      </w:r>
      <w:r>
        <w:rPr>
          <w:color w:val="231F20"/>
        </w:rPr>
        <w:t>con</w:t>
      </w:r>
      <w:r>
        <w:rPr>
          <w:color w:val="231F20"/>
          <w:spacing w:val="-9"/>
        </w:rPr>
        <w:t> </w:t>
      </w:r>
      <w:r>
        <w:rPr>
          <w:color w:val="231F20"/>
        </w:rPr>
        <w:t>otras</w:t>
      </w:r>
      <w:r>
        <w:rPr>
          <w:color w:val="231F20"/>
          <w:spacing w:val="-8"/>
        </w:rPr>
        <w:t> </w:t>
      </w:r>
      <w:r>
        <w:rPr>
          <w:color w:val="231F20"/>
        </w:rPr>
        <w:t>personas,</w:t>
      </w:r>
      <w:r>
        <w:rPr>
          <w:color w:val="231F20"/>
          <w:spacing w:val="-8"/>
        </w:rPr>
        <w:t> </w:t>
      </w:r>
      <w:r>
        <w:rPr>
          <w:color w:val="231F20"/>
        </w:rPr>
        <w:t>conocer</w:t>
      </w:r>
      <w:r>
        <w:rPr>
          <w:color w:val="231F20"/>
          <w:spacing w:val="-9"/>
        </w:rPr>
        <w:t> </w:t>
      </w:r>
      <w:r>
        <w:rPr>
          <w:color w:val="231F20"/>
        </w:rPr>
        <w:t>situaciones</w:t>
      </w:r>
      <w:r>
        <w:rPr>
          <w:color w:val="231F20"/>
          <w:spacing w:val="-8"/>
        </w:rPr>
        <w:t> </w:t>
      </w:r>
      <w:r>
        <w:rPr>
          <w:color w:val="231F20"/>
        </w:rPr>
        <w:t>importantes</w:t>
      </w:r>
      <w:r>
        <w:rPr>
          <w:color w:val="231F20"/>
          <w:spacing w:val="-9"/>
        </w:rPr>
        <w:t> </w:t>
      </w:r>
      <w:r>
        <w:rPr>
          <w:color w:val="231F20"/>
        </w:rPr>
        <w:t>para</w:t>
      </w:r>
      <w:r>
        <w:rPr>
          <w:color w:val="231F20"/>
          <w:spacing w:val="-8"/>
        </w:rPr>
        <w:t> </w:t>
      </w:r>
      <w:r>
        <w:rPr>
          <w:color w:val="231F20"/>
        </w:rPr>
        <w:t>ellos</w:t>
      </w:r>
      <w:r>
        <w:rPr>
          <w:color w:val="231F20"/>
          <w:spacing w:val="-9"/>
        </w:rPr>
        <w:t> </w:t>
      </w:r>
      <w:r>
        <w:rPr>
          <w:color w:val="231F20"/>
        </w:rPr>
        <w:t>e, incluso, firmar convenios con otras instituciones que les puede redituar en capital político o social e, incluso,</w:t>
      </w:r>
      <w:r>
        <w:rPr>
          <w:color w:val="231F20"/>
          <w:spacing w:val="-9"/>
        </w:rPr>
        <w:t> </w:t>
      </w:r>
      <w:r>
        <w:rPr>
          <w:color w:val="231F20"/>
        </w:rPr>
        <w:t>económico.</w:t>
      </w:r>
    </w:p>
    <w:p>
      <w:pPr>
        <w:pStyle w:val="BodyText"/>
        <w:spacing w:line="249" w:lineRule="auto" w:before="1"/>
        <w:ind w:left="113" w:right="108" w:firstLine="283"/>
        <w:jc w:val="both"/>
      </w:pPr>
      <w:r>
        <w:rPr>
          <w:color w:val="231F20"/>
        </w:rPr>
        <w:t>Ciertamente, hay momentos en que esta valoración parece relativi- zarse, como cuando sacrifican algún convivio con sus familias o tienen que decidir alguna acción que puede repercutir en la institución o en su propia</w:t>
      </w:r>
      <w:r>
        <w:rPr>
          <w:color w:val="231F20"/>
          <w:spacing w:val="-6"/>
        </w:rPr>
        <w:t> </w:t>
      </w:r>
      <w:r>
        <w:rPr>
          <w:color w:val="231F20"/>
        </w:rPr>
        <w:t>reputación,</w:t>
      </w:r>
      <w:r>
        <w:rPr>
          <w:color w:val="231F20"/>
          <w:spacing w:val="-6"/>
        </w:rPr>
        <w:t> </w:t>
      </w:r>
      <w:r>
        <w:rPr>
          <w:color w:val="231F20"/>
        </w:rPr>
        <w:t>pero</w:t>
      </w:r>
      <w:r>
        <w:rPr>
          <w:color w:val="231F20"/>
          <w:spacing w:val="-6"/>
        </w:rPr>
        <w:t> </w:t>
      </w:r>
      <w:r>
        <w:rPr>
          <w:color w:val="231F20"/>
        </w:rPr>
        <w:t>cuando</w:t>
      </w:r>
      <w:r>
        <w:rPr>
          <w:color w:val="231F20"/>
          <w:spacing w:val="-6"/>
        </w:rPr>
        <w:t> </w:t>
      </w:r>
      <w:r>
        <w:rPr>
          <w:color w:val="231F20"/>
        </w:rPr>
        <w:t>ocurre</w:t>
      </w:r>
      <w:r>
        <w:rPr>
          <w:color w:val="231F20"/>
          <w:spacing w:val="-6"/>
        </w:rPr>
        <w:t> </w:t>
      </w:r>
      <w:r>
        <w:rPr>
          <w:color w:val="231F20"/>
        </w:rPr>
        <w:t>esto</w:t>
      </w:r>
      <w:r>
        <w:rPr>
          <w:color w:val="231F20"/>
          <w:spacing w:val="-6"/>
        </w:rPr>
        <w:t> </w:t>
      </w:r>
      <w:r>
        <w:rPr>
          <w:color w:val="231F20"/>
        </w:rPr>
        <w:t>normalmente</w:t>
      </w:r>
      <w:r>
        <w:rPr>
          <w:color w:val="231F20"/>
          <w:spacing w:val="-6"/>
        </w:rPr>
        <w:t> </w:t>
      </w:r>
      <w:r>
        <w:rPr>
          <w:color w:val="231F20"/>
        </w:rPr>
        <w:t>llegan</w:t>
      </w:r>
      <w:r>
        <w:rPr>
          <w:color w:val="231F20"/>
          <w:spacing w:val="-6"/>
        </w:rPr>
        <w:t> </w:t>
      </w:r>
      <w:r>
        <w:rPr>
          <w:color w:val="231F20"/>
        </w:rPr>
        <w:t>a</w:t>
      </w:r>
      <w:r>
        <w:rPr>
          <w:color w:val="231F20"/>
          <w:spacing w:val="-6"/>
        </w:rPr>
        <w:t> </w:t>
      </w:r>
      <w:r>
        <w:rPr>
          <w:color w:val="231F20"/>
        </w:rPr>
        <w:t>utilizar</w:t>
      </w:r>
    </w:p>
    <w:p>
      <w:pPr>
        <w:spacing w:after="0" w:line="249" w:lineRule="auto"/>
        <w:jc w:val="both"/>
        <w:sectPr>
          <w:footerReference w:type="default" r:id="rId316"/>
          <w:pgSz w:w="7770" w:h="11740"/>
          <w:pgMar w:footer="474" w:header="0" w:top="840" w:bottom="660" w:left="1020" w:right="740"/>
          <w:pgNumType w:start="317"/>
        </w:sectPr>
      </w:pPr>
    </w:p>
    <w:p>
      <w:pPr>
        <w:pStyle w:val="BodyText"/>
        <w:spacing w:line="249" w:lineRule="auto" w:before="60"/>
        <w:ind w:left="110" w:right="107"/>
      </w:pPr>
      <w:r>
        <w:rPr>
          <w:color w:val="231F20"/>
        </w:rPr>
        <w:t>otro momento para recuperarlo. De modo que la connotación positiva que le dan a su involucramiento parece no alterarse.</w:t>
      </w:r>
    </w:p>
    <w:p>
      <w:pPr>
        <w:pStyle w:val="BodyText"/>
        <w:spacing w:line="249" w:lineRule="auto" w:before="114"/>
        <w:ind w:left="393" w:right="111"/>
        <w:jc w:val="both"/>
      </w:pPr>
      <w:r>
        <w:rPr>
          <w:color w:val="231F20"/>
        </w:rPr>
        <w:t>Como te decía yo previamente, esto me ha costado en algunas oc- asiones no estar con mi familia, pero no hay problema, porque es por las niñas, además, cuando quiera yo, puedo estar con mi familia. Como te decía yo, también, yo me pongo mis horarios (Directiva, institución</w:t>
      </w:r>
      <w:r>
        <w:rPr>
          <w:color w:val="231F20"/>
          <w:spacing w:val="-1"/>
        </w:rPr>
        <w:t> </w:t>
      </w:r>
      <w:r>
        <w:rPr>
          <w:color w:val="231F20"/>
        </w:rPr>
        <w:t>privada).</w:t>
      </w:r>
    </w:p>
    <w:p>
      <w:pPr>
        <w:pStyle w:val="BodyText"/>
        <w:spacing w:line="249" w:lineRule="auto" w:before="114"/>
        <w:ind w:left="110" w:right="111" w:firstLine="283"/>
        <w:jc w:val="both"/>
      </w:pPr>
      <w:r>
        <w:rPr>
          <w:color w:val="231F20"/>
        </w:rPr>
        <w:t>Ahora, es importante entender que aunque la estancia laboral de los directivos les puede permitir obtener ciertos beneficios, tangibles e in- tangibles, ello no significa que las visiones expresivas sobre su trabajo transiten</w:t>
      </w:r>
      <w:r>
        <w:rPr>
          <w:color w:val="231F20"/>
          <w:spacing w:val="-8"/>
        </w:rPr>
        <w:t> </w:t>
      </w:r>
      <w:r>
        <w:rPr>
          <w:color w:val="231F20"/>
        </w:rPr>
        <w:t>a</w:t>
      </w:r>
      <w:r>
        <w:rPr>
          <w:color w:val="231F20"/>
          <w:spacing w:val="-7"/>
        </w:rPr>
        <w:t> </w:t>
      </w:r>
      <w:r>
        <w:rPr>
          <w:color w:val="231F20"/>
        </w:rPr>
        <w:t>modos</w:t>
      </w:r>
      <w:r>
        <w:rPr>
          <w:color w:val="231F20"/>
          <w:spacing w:val="-7"/>
        </w:rPr>
        <w:t> </w:t>
      </w:r>
      <w:r>
        <w:rPr>
          <w:color w:val="231F20"/>
        </w:rPr>
        <w:t>más</w:t>
      </w:r>
      <w:r>
        <w:rPr>
          <w:color w:val="231F20"/>
          <w:spacing w:val="-7"/>
        </w:rPr>
        <w:t> </w:t>
      </w:r>
      <w:r>
        <w:rPr>
          <w:color w:val="231F20"/>
        </w:rPr>
        <w:t>utilitarios,</w:t>
      </w:r>
      <w:r>
        <w:rPr>
          <w:color w:val="231F20"/>
          <w:spacing w:val="-7"/>
        </w:rPr>
        <w:t> </w:t>
      </w:r>
      <w:r>
        <w:rPr>
          <w:color w:val="231F20"/>
        </w:rPr>
        <w:t>pues</w:t>
      </w:r>
      <w:r>
        <w:rPr>
          <w:color w:val="231F20"/>
          <w:spacing w:val="-7"/>
        </w:rPr>
        <w:t> </w:t>
      </w:r>
      <w:r>
        <w:rPr>
          <w:color w:val="231F20"/>
        </w:rPr>
        <w:t>para</w:t>
      </w:r>
      <w:r>
        <w:rPr>
          <w:color w:val="231F20"/>
          <w:spacing w:val="-7"/>
        </w:rPr>
        <w:t> </w:t>
      </w:r>
      <w:r>
        <w:rPr>
          <w:color w:val="231F20"/>
        </w:rPr>
        <w:t>ellos</w:t>
      </w:r>
      <w:r>
        <w:rPr>
          <w:color w:val="231F20"/>
          <w:spacing w:val="-7"/>
        </w:rPr>
        <w:t> </w:t>
      </w:r>
      <w:r>
        <w:rPr>
          <w:color w:val="231F20"/>
        </w:rPr>
        <w:t>normalmente</w:t>
      </w:r>
      <w:r>
        <w:rPr>
          <w:color w:val="231F20"/>
          <w:spacing w:val="-7"/>
        </w:rPr>
        <w:t> </w:t>
      </w:r>
      <w:r>
        <w:rPr>
          <w:color w:val="231F20"/>
        </w:rPr>
        <w:t>establecer relaciones con otros grupos es parte de la lógica asistencial que manejan (Bourdieu, 2001). Lo que implica que las visiones expresivas o inmate- riales del trabajo siguen</w:t>
      </w:r>
      <w:r>
        <w:rPr>
          <w:color w:val="231F20"/>
          <w:spacing w:val="-6"/>
        </w:rPr>
        <w:t> </w:t>
      </w:r>
      <w:r>
        <w:rPr>
          <w:color w:val="231F20"/>
        </w:rPr>
        <w:t>primando.</w:t>
      </w:r>
    </w:p>
    <w:p>
      <w:pPr>
        <w:pStyle w:val="BodyText"/>
        <w:spacing w:line="249" w:lineRule="auto" w:before="1"/>
        <w:ind w:left="110" w:right="111" w:firstLine="283"/>
        <w:jc w:val="both"/>
      </w:pPr>
      <w:r>
        <w:rPr>
          <w:color w:val="231F20"/>
        </w:rPr>
        <w:t>Una situación no muy diferente se presenta entre el personal espe- cializado. Para este personal, la demanda que le implica su trabajo es considerada como ambivalente, como algo positivo y negativo a la vez.</w:t>
      </w:r>
    </w:p>
    <w:p>
      <w:pPr>
        <w:pStyle w:val="BodyText"/>
        <w:spacing w:line="249" w:lineRule="auto" w:before="114"/>
        <w:ind w:left="393" w:right="111"/>
        <w:jc w:val="both"/>
      </w:pPr>
      <w:r>
        <w:rPr>
          <w:color w:val="231F20"/>
          <w:spacing w:val="-11"/>
        </w:rPr>
        <w:t>Ya </w:t>
      </w:r>
      <w:r>
        <w:rPr>
          <w:color w:val="231F20"/>
        </w:rPr>
        <w:t>te había dicho algo anteriormente ¿no? Es muy bonito estar aquí, lo</w:t>
      </w:r>
      <w:r>
        <w:rPr>
          <w:color w:val="231F20"/>
          <w:spacing w:val="-9"/>
        </w:rPr>
        <w:t> </w:t>
      </w:r>
      <w:r>
        <w:rPr>
          <w:color w:val="231F20"/>
        </w:rPr>
        <w:t>que</w:t>
      </w:r>
      <w:r>
        <w:rPr>
          <w:color w:val="231F20"/>
          <w:spacing w:val="-9"/>
        </w:rPr>
        <w:t> </w:t>
      </w:r>
      <w:r>
        <w:rPr>
          <w:color w:val="231F20"/>
        </w:rPr>
        <w:t>haces</w:t>
      </w:r>
      <w:r>
        <w:rPr>
          <w:color w:val="231F20"/>
          <w:spacing w:val="-9"/>
        </w:rPr>
        <w:t> </w:t>
      </w:r>
      <w:r>
        <w:rPr>
          <w:color w:val="231F20"/>
        </w:rPr>
        <w:t>como</w:t>
      </w:r>
      <w:r>
        <w:rPr>
          <w:color w:val="231F20"/>
          <w:spacing w:val="-9"/>
        </w:rPr>
        <w:t> </w:t>
      </w:r>
      <w:r>
        <w:rPr>
          <w:color w:val="231F20"/>
        </w:rPr>
        <w:t>profesional</w:t>
      </w:r>
      <w:r>
        <w:rPr>
          <w:color w:val="231F20"/>
          <w:spacing w:val="-9"/>
        </w:rPr>
        <w:t> </w:t>
      </w:r>
      <w:r>
        <w:rPr>
          <w:color w:val="231F20"/>
        </w:rPr>
        <w:t>es</w:t>
      </w:r>
      <w:r>
        <w:rPr>
          <w:color w:val="231F20"/>
          <w:spacing w:val="-9"/>
        </w:rPr>
        <w:t> </w:t>
      </w:r>
      <w:r>
        <w:rPr>
          <w:color w:val="231F20"/>
        </w:rPr>
        <w:t>muy</w:t>
      </w:r>
      <w:r>
        <w:rPr>
          <w:color w:val="231F20"/>
          <w:spacing w:val="-9"/>
        </w:rPr>
        <w:t> </w:t>
      </w:r>
      <w:r>
        <w:rPr>
          <w:color w:val="231F20"/>
        </w:rPr>
        <w:t>bonito</w:t>
      </w:r>
      <w:r>
        <w:rPr>
          <w:color w:val="231F20"/>
          <w:spacing w:val="-9"/>
        </w:rPr>
        <w:t> </w:t>
      </w:r>
      <w:r>
        <w:rPr>
          <w:color w:val="231F20"/>
        </w:rPr>
        <w:t>[...]</w:t>
      </w:r>
      <w:r>
        <w:rPr>
          <w:color w:val="231F20"/>
          <w:spacing w:val="-9"/>
        </w:rPr>
        <w:t> </w:t>
      </w:r>
      <w:r>
        <w:rPr>
          <w:color w:val="231F20"/>
        </w:rPr>
        <w:t>todo</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haces</w:t>
      </w:r>
      <w:r>
        <w:rPr>
          <w:color w:val="231F20"/>
          <w:spacing w:val="-9"/>
        </w:rPr>
        <w:t> </w:t>
      </w:r>
      <w:r>
        <w:rPr>
          <w:color w:val="231F20"/>
        </w:rPr>
        <w:t>es por ellos y eso no tiene precio. Pero también es bonito [por el</w:t>
      </w:r>
      <w:r>
        <w:rPr>
          <w:color w:val="231F20"/>
          <w:spacing w:val="-18"/>
        </w:rPr>
        <w:t> </w:t>
      </w:r>
      <w:r>
        <w:rPr>
          <w:color w:val="231F20"/>
        </w:rPr>
        <w:t>hecho] de que sabes [que] tu trabajo no queda con la revisión, atención o</w:t>
      </w:r>
      <w:r>
        <w:rPr>
          <w:color w:val="231F20"/>
          <w:spacing w:val="-20"/>
        </w:rPr>
        <w:t> </w:t>
      </w:r>
      <w:r>
        <w:rPr>
          <w:color w:val="231F20"/>
        </w:rPr>
        <w:t>se- guimiento que das a los niños. </w:t>
      </w:r>
      <w:r>
        <w:rPr>
          <w:color w:val="231F20"/>
          <w:spacing w:val="-12"/>
        </w:rPr>
        <w:t>Va </w:t>
      </w:r>
      <w:r>
        <w:rPr>
          <w:color w:val="231F20"/>
        </w:rPr>
        <w:t>más allá, les impacta en sus vidas, tu labor no queda en el horario (Pedagoga, institución</w:t>
      </w:r>
      <w:r>
        <w:rPr>
          <w:color w:val="231F20"/>
          <w:spacing w:val="-4"/>
        </w:rPr>
        <w:t> </w:t>
      </w:r>
      <w:r>
        <w:rPr>
          <w:color w:val="231F20"/>
        </w:rPr>
        <w:t>pública).</w:t>
      </w:r>
    </w:p>
    <w:p>
      <w:pPr>
        <w:pStyle w:val="BodyText"/>
        <w:spacing w:line="249" w:lineRule="auto" w:before="114"/>
        <w:ind w:left="393" w:right="112"/>
        <w:jc w:val="both"/>
      </w:pPr>
      <w:r>
        <w:rPr>
          <w:color w:val="231F20"/>
        </w:rPr>
        <w:t>Esto no es fácil, es absorbente y eso a veces no me gusta, a nadie  les gusta, pero estos niños así lo requieren y por eso me siento bien (Psicóloga, institución</w:t>
      </w:r>
      <w:r>
        <w:rPr>
          <w:color w:val="231F20"/>
          <w:spacing w:val="-1"/>
        </w:rPr>
        <w:t> </w:t>
      </w:r>
      <w:r>
        <w:rPr>
          <w:color w:val="231F20"/>
        </w:rPr>
        <w:t>pública).</w:t>
      </w:r>
    </w:p>
    <w:p>
      <w:pPr>
        <w:pStyle w:val="BodyText"/>
        <w:spacing w:line="249" w:lineRule="auto" w:before="114"/>
        <w:ind w:left="393" w:right="111"/>
        <w:jc w:val="both"/>
      </w:pPr>
      <w:r>
        <w:rPr>
          <w:color w:val="231F20"/>
          <w:spacing w:val="-11"/>
        </w:rPr>
        <w:t>Yo </w:t>
      </w:r>
      <w:r>
        <w:rPr>
          <w:color w:val="231F20"/>
        </w:rPr>
        <w:t>no le veo algún problema estar más tiempo del que nos corre- sponde.  El problema es que no te incentivan con nada. Si hubiera  un reconocimiento en este sentido, yo y muchas creo no dirían nada (Trabajadora social, institución</w:t>
      </w:r>
      <w:r>
        <w:rPr>
          <w:color w:val="231F20"/>
          <w:spacing w:val="-14"/>
        </w:rPr>
        <w:t> </w:t>
      </w:r>
      <w:r>
        <w:rPr>
          <w:color w:val="231F20"/>
        </w:rPr>
        <w:t>pública).</w:t>
      </w:r>
    </w:p>
    <w:p>
      <w:pPr>
        <w:pStyle w:val="BodyText"/>
        <w:spacing w:line="249" w:lineRule="auto" w:before="114"/>
        <w:ind w:left="110" w:right="111" w:firstLine="283"/>
        <w:jc w:val="both"/>
      </w:pPr>
      <w:r>
        <w:rPr>
          <w:color w:val="231F20"/>
        </w:rPr>
        <w:t>Esta concepción se puede interpretar como el resultado de dos</w:t>
      </w:r>
      <w:r>
        <w:rPr>
          <w:color w:val="231F20"/>
          <w:spacing w:val="-31"/>
        </w:rPr>
        <w:t> </w:t>
      </w:r>
      <w:r>
        <w:rPr>
          <w:color w:val="231F20"/>
        </w:rPr>
        <w:t>postu- ras que manejan los especialistas, las cuales se contraponen en determi- nados</w:t>
      </w:r>
      <w:r>
        <w:rPr>
          <w:color w:val="231F20"/>
          <w:spacing w:val="-6"/>
        </w:rPr>
        <w:t> </w:t>
      </w:r>
      <w:r>
        <w:rPr>
          <w:color w:val="231F20"/>
        </w:rPr>
        <w:t>momento.</w:t>
      </w:r>
      <w:r>
        <w:rPr>
          <w:color w:val="231F20"/>
          <w:spacing w:val="-6"/>
        </w:rPr>
        <w:t> </w:t>
      </w:r>
      <w:r>
        <w:rPr>
          <w:color w:val="231F20"/>
        </w:rPr>
        <w:t>Una</w:t>
      </w:r>
      <w:r>
        <w:rPr>
          <w:color w:val="231F20"/>
          <w:spacing w:val="-6"/>
        </w:rPr>
        <w:t> </w:t>
      </w:r>
      <w:r>
        <w:rPr>
          <w:color w:val="231F20"/>
        </w:rPr>
        <w:t>primera</w:t>
      </w:r>
      <w:r>
        <w:rPr>
          <w:color w:val="231F20"/>
          <w:spacing w:val="-6"/>
        </w:rPr>
        <w:t> </w:t>
      </w:r>
      <w:r>
        <w:rPr>
          <w:color w:val="231F20"/>
        </w:rPr>
        <w:t>postura</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lleva</w:t>
      </w:r>
      <w:r>
        <w:rPr>
          <w:color w:val="231F20"/>
          <w:spacing w:val="-6"/>
        </w:rPr>
        <w:t> </w:t>
      </w:r>
      <w:r>
        <w:rPr>
          <w:color w:val="231F20"/>
        </w:rPr>
        <w:t>a</w:t>
      </w:r>
      <w:r>
        <w:rPr>
          <w:color w:val="231F20"/>
          <w:spacing w:val="-6"/>
        </w:rPr>
        <w:t> </w:t>
      </w:r>
      <w:r>
        <w:rPr>
          <w:color w:val="231F20"/>
        </w:rPr>
        <w:t>pensar</w:t>
      </w:r>
      <w:r>
        <w:rPr>
          <w:color w:val="231F20"/>
          <w:spacing w:val="-6"/>
        </w:rPr>
        <w:t> </w:t>
      </w:r>
      <w:r>
        <w:rPr>
          <w:color w:val="231F20"/>
        </w:rPr>
        <w:t>que</w:t>
      </w:r>
      <w:r>
        <w:rPr>
          <w:color w:val="231F20"/>
          <w:spacing w:val="-6"/>
        </w:rPr>
        <w:t> </w:t>
      </w:r>
      <w:r>
        <w:rPr>
          <w:color w:val="231F20"/>
        </w:rPr>
        <w:t>sus</w:t>
      </w:r>
      <w:r>
        <w:rPr>
          <w:color w:val="231F20"/>
          <w:spacing w:val="-6"/>
        </w:rPr>
        <w:t> </w:t>
      </w:r>
      <w:r>
        <w:rPr>
          <w:color w:val="231F20"/>
        </w:rPr>
        <w:t>acti- vidades</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instituciones</w:t>
      </w:r>
      <w:r>
        <w:rPr>
          <w:color w:val="231F20"/>
          <w:spacing w:val="-5"/>
        </w:rPr>
        <w:t> </w:t>
      </w:r>
      <w:r>
        <w:rPr>
          <w:color w:val="231F20"/>
        </w:rPr>
        <w:t>impactan</w:t>
      </w:r>
      <w:r>
        <w:rPr>
          <w:color w:val="231F20"/>
          <w:spacing w:val="-5"/>
        </w:rPr>
        <w:t> </w:t>
      </w:r>
      <w:r>
        <w:rPr>
          <w:color w:val="231F20"/>
        </w:rPr>
        <w:t>realmente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niños,</w:t>
      </w:r>
      <w:r>
        <w:rPr>
          <w:color w:val="231F20"/>
          <w:spacing w:val="-4"/>
        </w:rPr>
        <w:t> </w:t>
      </w:r>
      <w:r>
        <w:rPr>
          <w:color w:val="231F20"/>
        </w:rPr>
        <w:t>a quienes conciben como sujetos con varias necesidades o problemas que atender; </w:t>
      </w:r>
      <w:r>
        <w:rPr>
          <w:color w:val="231F20"/>
          <w:spacing w:val="-7"/>
        </w:rPr>
        <w:t>y, </w:t>
      </w:r>
      <w:r>
        <w:rPr>
          <w:color w:val="231F20"/>
        </w:rPr>
        <w:t>otra más que los lleva a percibir que en muchos momentos tales</w:t>
      </w:r>
      <w:r>
        <w:rPr>
          <w:color w:val="231F20"/>
          <w:spacing w:val="22"/>
        </w:rPr>
        <w:t> </w:t>
      </w:r>
      <w:r>
        <w:rPr>
          <w:color w:val="231F20"/>
        </w:rPr>
        <w:t>actividades</w:t>
      </w:r>
      <w:r>
        <w:rPr>
          <w:color w:val="231F20"/>
          <w:spacing w:val="22"/>
        </w:rPr>
        <w:t> </w:t>
      </w:r>
      <w:r>
        <w:rPr>
          <w:color w:val="231F20"/>
        </w:rPr>
        <w:t>son</w:t>
      </w:r>
      <w:r>
        <w:rPr>
          <w:color w:val="231F20"/>
          <w:spacing w:val="23"/>
        </w:rPr>
        <w:t> </w:t>
      </w:r>
      <w:r>
        <w:rPr>
          <w:color w:val="231F20"/>
        </w:rPr>
        <w:t>tan</w:t>
      </w:r>
      <w:r>
        <w:rPr>
          <w:color w:val="231F20"/>
          <w:spacing w:val="22"/>
        </w:rPr>
        <w:t> </w:t>
      </w:r>
      <w:r>
        <w:rPr>
          <w:color w:val="231F20"/>
        </w:rPr>
        <w:t>demandantes</w:t>
      </w:r>
      <w:r>
        <w:rPr>
          <w:color w:val="231F20"/>
          <w:spacing w:val="23"/>
        </w:rPr>
        <w:t> </w:t>
      </w:r>
      <w:r>
        <w:rPr>
          <w:color w:val="231F20"/>
        </w:rPr>
        <w:t>que</w:t>
      </w:r>
      <w:r>
        <w:rPr>
          <w:color w:val="231F20"/>
          <w:spacing w:val="23"/>
        </w:rPr>
        <w:t> </w:t>
      </w:r>
      <w:r>
        <w:rPr>
          <w:color w:val="231F20"/>
        </w:rPr>
        <w:t>llegan</w:t>
      </w:r>
      <w:r>
        <w:rPr>
          <w:color w:val="231F20"/>
          <w:spacing w:val="22"/>
        </w:rPr>
        <w:t> </w:t>
      </w:r>
      <w:r>
        <w:rPr>
          <w:color w:val="231F20"/>
        </w:rPr>
        <w:t>a</w:t>
      </w:r>
      <w:r>
        <w:rPr>
          <w:color w:val="231F20"/>
          <w:spacing w:val="23"/>
        </w:rPr>
        <w:t> </w:t>
      </w:r>
      <w:r>
        <w:rPr>
          <w:color w:val="231F20"/>
        </w:rPr>
        <w:t>volver</w:t>
      </w:r>
      <w:r>
        <w:rPr>
          <w:color w:val="231F20"/>
          <w:spacing w:val="23"/>
        </w:rPr>
        <w:t> </w:t>
      </w:r>
      <w:r>
        <w:rPr>
          <w:color w:val="231F20"/>
        </w:rPr>
        <w:t>porosas</w:t>
      </w:r>
      <w:r>
        <w:rPr>
          <w:color w:val="231F20"/>
          <w:spacing w:val="22"/>
        </w:rPr>
        <w:t> </w:t>
      </w:r>
      <w:r>
        <w:rPr>
          <w:color w:val="231F20"/>
        </w:rPr>
        <w:t>las</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fronteras entre el trabajo y su vida y no existen incentivos que los com- pensen.</w:t>
      </w:r>
      <w:r>
        <w:rPr>
          <w:color w:val="231F20"/>
          <w:spacing w:val="-5"/>
        </w:rPr>
        <w:t> </w:t>
      </w:r>
      <w:r>
        <w:rPr>
          <w:color w:val="231F20"/>
        </w:rPr>
        <w:t>Dicho</w:t>
      </w:r>
      <w:r>
        <w:rPr>
          <w:color w:val="231F20"/>
          <w:spacing w:val="-5"/>
        </w:rPr>
        <w:t> </w:t>
      </w:r>
      <w:r>
        <w:rPr>
          <w:color w:val="231F20"/>
        </w:rPr>
        <w:t>de</w:t>
      </w:r>
      <w:r>
        <w:rPr>
          <w:color w:val="231F20"/>
          <w:spacing w:val="-5"/>
        </w:rPr>
        <w:t> </w:t>
      </w:r>
      <w:r>
        <w:rPr>
          <w:color w:val="231F20"/>
        </w:rPr>
        <w:t>otra</w:t>
      </w:r>
      <w:r>
        <w:rPr>
          <w:color w:val="231F20"/>
          <w:spacing w:val="-5"/>
        </w:rPr>
        <w:t> </w:t>
      </w:r>
      <w:r>
        <w:rPr>
          <w:color w:val="231F20"/>
        </w:rPr>
        <w:t>manera,</w:t>
      </w:r>
      <w:r>
        <w:rPr>
          <w:color w:val="231F20"/>
          <w:spacing w:val="-6"/>
        </w:rPr>
        <w:t> </w:t>
      </w:r>
      <w:r>
        <w:rPr>
          <w:color w:val="231F20"/>
        </w:rPr>
        <w:t>se</w:t>
      </w:r>
      <w:r>
        <w:rPr>
          <w:color w:val="231F20"/>
          <w:spacing w:val="-5"/>
        </w:rPr>
        <w:t> </w:t>
      </w:r>
      <w:r>
        <w:rPr>
          <w:color w:val="231F20"/>
        </w:rPr>
        <w:t>puede</w:t>
      </w:r>
      <w:r>
        <w:rPr>
          <w:color w:val="231F20"/>
          <w:spacing w:val="-5"/>
        </w:rPr>
        <w:t> </w:t>
      </w:r>
      <w:r>
        <w:rPr>
          <w:color w:val="231F20"/>
        </w:rPr>
        <w:t>interpretar</w:t>
      </w:r>
      <w:r>
        <w:rPr>
          <w:color w:val="231F20"/>
          <w:spacing w:val="-6"/>
        </w:rPr>
        <w:t> </w:t>
      </w:r>
      <w:r>
        <w:rPr>
          <w:color w:val="231F20"/>
        </w:rPr>
        <w:t>como</w:t>
      </w:r>
      <w:r>
        <w:rPr>
          <w:color w:val="231F20"/>
          <w:spacing w:val="-6"/>
        </w:rPr>
        <w:t> </w:t>
      </w:r>
      <w:r>
        <w:rPr>
          <w:color w:val="231F20"/>
        </w:rPr>
        <w:t>el</w:t>
      </w:r>
      <w:r>
        <w:rPr>
          <w:color w:val="231F20"/>
          <w:spacing w:val="-5"/>
        </w:rPr>
        <w:t> </w:t>
      </w:r>
      <w:r>
        <w:rPr>
          <w:color w:val="231F20"/>
        </w:rPr>
        <w:t>resultado</w:t>
      </w:r>
      <w:r>
        <w:rPr>
          <w:color w:val="231F20"/>
          <w:spacing w:val="-5"/>
        </w:rPr>
        <w:t> </w:t>
      </w:r>
      <w:r>
        <w:rPr>
          <w:color w:val="231F20"/>
        </w:rPr>
        <w:t>del convencimiento</w:t>
      </w:r>
      <w:r>
        <w:rPr>
          <w:color w:val="231F20"/>
          <w:spacing w:val="-5"/>
        </w:rPr>
        <w:t> </w:t>
      </w:r>
      <w:r>
        <w:rPr>
          <w:color w:val="231F20"/>
        </w:rPr>
        <w:t>que</w:t>
      </w:r>
      <w:r>
        <w:rPr>
          <w:color w:val="231F20"/>
          <w:spacing w:val="-4"/>
        </w:rPr>
        <w:t> </w:t>
      </w:r>
      <w:r>
        <w:rPr>
          <w:color w:val="231F20"/>
        </w:rPr>
        <w:t>tiene</w:t>
      </w:r>
      <w:r>
        <w:rPr>
          <w:color w:val="231F20"/>
          <w:spacing w:val="-5"/>
        </w:rPr>
        <w:t> </w:t>
      </w:r>
      <w:r>
        <w:rPr>
          <w:color w:val="231F20"/>
        </w:rPr>
        <w:t>este</w:t>
      </w:r>
      <w:r>
        <w:rPr>
          <w:color w:val="231F20"/>
          <w:spacing w:val="-5"/>
        </w:rPr>
        <w:t> </w:t>
      </w:r>
      <w:r>
        <w:rPr>
          <w:color w:val="231F20"/>
        </w:rPr>
        <w:t>personal</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sus</w:t>
      </w:r>
      <w:r>
        <w:rPr>
          <w:color w:val="231F20"/>
          <w:spacing w:val="-4"/>
        </w:rPr>
        <w:t> </w:t>
      </w:r>
      <w:r>
        <w:rPr>
          <w:color w:val="231F20"/>
        </w:rPr>
        <w:t>acciones</w:t>
      </w:r>
      <w:r>
        <w:rPr>
          <w:color w:val="231F20"/>
          <w:spacing w:val="-5"/>
        </w:rPr>
        <w:t> </w:t>
      </w:r>
      <w:r>
        <w:rPr>
          <w:color w:val="231F20"/>
        </w:rPr>
        <w:t>ayudan</w:t>
      </w:r>
      <w:r>
        <w:rPr>
          <w:color w:val="231F20"/>
          <w:spacing w:val="-5"/>
        </w:rPr>
        <w:t> </w:t>
      </w:r>
      <w:r>
        <w:rPr>
          <w:color w:val="231F20"/>
        </w:rPr>
        <w:t>a</w:t>
      </w:r>
      <w:r>
        <w:rPr>
          <w:color w:val="231F20"/>
          <w:spacing w:val="-4"/>
        </w:rPr>
        <w:t> </w:t>
      </w:r>
      <w:r>
        <w:rPr>
          <w:color w:val="231F20"/>
        </w:rPr>
        <w:t>los niños,</w:t>
      </w:r>
      <w:r>
        <w:rPr>
          <w:color w:val="231F20"/>
          <w:spacing w:val="-9"/>
        </w:rPr>
        <w:t> </w:t>
      </w:r>
      <w:r>
        <w:rPr>
          <w:color w:val="231F20"/>
        </w:rPr>
        <w:t>aunque</w:t>
      </w:r>
      <w:r>
        <w:rPr>
          <w:color w:val="231F20"/>
          <w:spacing w:val="-10"/>
        </w:rPr>
        <w:t> </w:t>
      </w:r>
      <w:r>
        <w:rPr>
          <w:color w:val="231F20"/>
        </w:rPr>
        <w:t>al</w:t>
      </w:r>
      <w:r>
        <w:rPr>
          <w:color w:val="231F20"/>
          <w:spacing w:val="-9"/>
        </w:rPr>
        <w:t> </w:t>
      </w:r>
      <w:r>
        <w:rPr>
          <w:color w:val="231F20"/>
        </w:rPr>
        <w:t>hacerlo</w:t>
      </w:r>
      <w:r>
        <w:rPr>
          <w:color w:val="231F20"/>
          <w:spacing w:val="-9"/>
        </w:rPr>
        <w:t> </w:t>
      </w:r>
      <w:r>
        <w:rPr>
          <w:color w:val="231F20"/>
        </w:rPr>
        <w:t>pueden</w:t>
      </w:r>
      <w:r>
        <w:rPr>
          <w:color w:val="231F20"/>
          <w:spacing w:val="-9"/>
        </w:rPr>
        <w:t> </w:t>
      </w:r>
      <w:r>
        <w:rPr>
          <w:color w:val="231F20"/>
        </w:rPr>
        <w:t>ver</w:t>
      </w:r>
      <w:r>
        <w:rPr>
          <w:color w:val="231F20"/>
          <w:spacing w:val="-9"/>
        </w:rPr>
        <w:t> </w:t>
      </w:r>
      <w:r>
        <w:rPr>
          <w:color w:val="231F20"/>
        </w:rPr>
        <w:t>invadida</w:t>
      </w:r>
      <w:r>
        <w:rPr>
          <w:color w:val="231F20"/>
          <w:spacing w:val="-10"/>
        </w:rPr>
        <w:t> </w:t>
      </w:r>
      <w:r>
        <w:rPr>
          <w:color w:val="231F20"/>
        </w:rPr>
        <w:t>su</w:t>
      </w:r>
      <w:r>
        <w:rPr>
          <w:color w:val="231F20"/>
          <w:spacing w:val="-9"/>
        </w:rPr>
        <w:t> </w:t>
      </w:r>
      <w:r>
        <w:rPr>
          <w:color w:val="231F20"/>
        </w:rPr>
        <w:t>vida</w:t>
      </w:r>
      <w:r>
        <w:rPr>
          <w:color w:val="231F20"/>
          <w:spacing w:val="-9"/>
        </w:rPr>
        <w:t> </w:t>
      </w:r>
      <w:r>
        <w:rPr>
          <w:color w:val="231F20"/>
        </w:rPr>
        <w:t>personal,</w:t>
      </w:r>
      <w:r>
        <w:rPr>
          <w:color w:val="231F20"/>
          <w:spacing w:val="-9"/>
        </w:rPr>
        <w:t> </w:t>
      </w:r>
      <w:r>
        <w:rPr>
          <w:color w:val="231F20"/>
        </w:rPr>
        <w:t>sin</w:t>
      </w:r>
      <w:r>
        <w:rPr>
          <w:color w:val="231F20"/>
          <w:spacing w:val="-9"/>
        </w:rPr>
        <w:t> </w:t>
      </w:r>
      <w:r>
        <w:rPr>
          <w:color w:val="231F20"/>
        </w:rPr>
        <w:t>recibir alguna compensación de parte de su institución (Díaz </w:t>
      </w:r>
      <w:r>
        <w:rPr>
          <w:i/>
          <w:color w:val="231F20"/>
        </w:rPr>
        <w:t>et al</w:t>
      </w:r>
      <w:r>
        <w:rPr>
          <w:color w:val="231F20"/>
        </w:rPr>
        <w:t>.,</w:t>
      </w:r>
      <w:r>
        <w:rPr>
          <w:color w:val="231F20"/>
          <w:spacing w:val="-6"/>
        </w:rPr>
        <w:t> </w:t>
      </w:r>
      <w:r>
        <w:rPr>
          <w:color w:val="231F20"/>
        </w:rPr>
        <w:t>2005).</w:t>
      </w:r>
    </w:p>
    <w:p>
      <w:pPr>
        <w:pStyle w:val="BodyText"/>
        <w:spacing w:line="249" w:lineRule="auto" w:before="1"/>
        <w:ind w:left="113" w:right="108" w:firstLine="283"/>
        <w:jc w:val="both"/>
      </w:pPr>
      <w:r>
        <w:rPr>
          <w:color w:val="231F20"/>
        </w:rPr>
        <w:t>Cierto es que esta valoración tiene un cierto aire utilitario, pero, más que</w:t>
      </w:r>
      <w:r>
        <w:rPr>
          <w:color w:val="231F20"/>
          <w:spacing w:val="-4"/>
        </w:rPr>
        <w:t> </w:t>
      </w:r>
      <w:r>
        <w:rPr>
          <w:color w:val="231F20"/>
        </w:rPr>
        <w:t>mostrar</w:t>
      </w:r>
      <w:r>
        <w:rPr>
          <w:color w:val="231F20"/>
          <w:spacing w:val="-4"/>
        </w:rPr>
        <w:t> </w:t>
      </w:r>
      <w:r>
        <w:rPr>
          <w:color w:val="231F20"/>
        </w:rPr>
        <w:t>una</w:t>
      </w:r>
      <w:r>
        <w:rPr>
          <w:color w:val="231F20"/>
          <w:spacing w:val="-4"/>
        </w:rPr>
        <w:t> </w:t>
      </w:r>
      <w:r>
        <w:rPr>
          <w:color w:val="231F20"/>
        </w:rPr>
        <w:t>actitud</w:t>
      </w:r>
      <w:r>
        <w:rPr>
          <w:color w:val="231F20"/>
          <w:spacing w:val="-4"/>
        </w:rPr>
        <w:t> </w:t>
      </w:r>
      <w:r>
        <w:rPr>
          <w:color w:val="231F20"/>
        </w:rPr>
        <w:t>cínica</w:t>
      </w:r>
      <w:r>
        <w:rPr>
          <w:color w:val="231F20"/>
          <w:spacing w:val="-4"/>
        </w:rPr>
        <w:t> </w:t>
      </w:r>
      <w:r>
        <w:rPr>
          <w:color w:val="231F20"/>
        </w:rPr>
        <w:t>o</w:t>
      </w:r>
      <w:r>
        <w:rPr>
          <w:color w:val="231F20"/>
          <w:spacing w:val="-4"/>
        </w:rPr>
        <w:t> </w:t>
      </w:r>
      <w:r>
        <w:rPr>
          <w:color w:val="231F20"/>
        </w:rPr>
        <w:t>interesada</w:t>
      </w:r>
      <w:r>
        <w:rPr>
          <w:color w:val="231F20"/>
          <w:spacing w:val="-5"/>
        </w:rPr>
        <w:t> </w:t>
      </w:r>
      <w:r>
        <w:rPr>
          <w:color w:val="231F20"/>
        </w:rPr>
        <w:t>del</w:t>
      </w:r>
      <w:r>
        <w:rPr>
          <w:color w:val="231F20"/>
          <w:spacing w:val="-4"/>
        </w:rPr>
        <w:t> </w:t>
      </w:r>
      <w:r>
        <w:rPr>
          <w:color w:val="231F20"/>
        </w:rPr>
        <w:t>tipo</w:t>
      </w:r>
      <w:r>
        <w:rPr>
          <w:color w:val="231F20"/>
          <w:spacing w:val="-4"/>
        </w:rPr>
        <w:t> </w:t>
      </w:r>
      <w:r>
        <w:rPr>
          <w:i/>
          <w:color w:val="231F20"/>
        </w:rPr>
        <w:t>rational</w:t>
      </w:r>
      <w:r>
        <w:rPr>
          <w:i/>
          <w:color w:val="231F20"/>
          <w:spacing w:val="-3"/>
        </w:rPr>
        <w:t> </w:t>
      </w:r>
      <w:r>
        <w:rPr>
          <w:i/>
          <w:color w:val="231F20"/>
        </w:rPr>
        <w:t>choice</w:t>
      </w:r>
      <w:r>
        <w:rPr>
          <w:color w:val="231F20"/>
        </w:rPr>
        <w:t>,</w:t>
      </w:r>
      <w:r>
        <w:rPr>
          <w:color w:val="231F20"/>
          <w:spacing w:val="-4"/>
        </w:rPr>
        <w:t> </w:t>
      </w:r>
      <w:r>
        <w:rPr>
          <w:color w:val="231F20"/>
        </w:rPr>
        <w:t>don- de los sujetos tratarían siempre de maximizar sus beneficios a cambio</w:t>
      </w:r>
      <w:r>
        <w:rPr>
          <w:color w:val="231F20"/>
          <w:spacing w:val="-34"/>
        </w:rPr>
        <w:t> </w:t>
      </w:r>
      <w:r>
        <w:rPr>
          <w:color w:val="231F20"/>
        </w:rPr>
        <w:t>de algo, parece evidenciar una actitud del sentido común que apela a una retribución e incluso a un sentimiento de justicia, frente a una situación que conciben como anormal. Sobre todo porque para varios integrantes de este personal, trabajar más horas de lo que están obligadas, implica modificar</w:t>
      </w:r>
      <w:r>
        <w:rPr>
          <w:color w:val="231F20"/>
          <w:spacing w:val="-7"/>
        </w:rPr>
        <w:t> </w:t>
      </w:r>
      <w:r>
        <w:rPr>
          <w:color w:val="231F20"/>
        </w:rPr>
        <w:t>sus</w:t>
      </w:r>
      <w:r>
        <w:rPr>
          <w:color w:val="231F20"/>
          <w:spacing w:val="-7"/>
        </w:rPr>
        <w:t> </w:t>
      </w:r>
      <w:r>
        <w:rPr>
          <w:color w:val="231F20"/>
        </w:rPr>
        <w:t>rutinas</w:t>
      </w:r>
      <w:r>
        <w:rPr>
          <w:color w:val="231F20"/>
          <w:spacing w:val="-7"/>
        </w:rPr>
        <w:t> </w:t>
      </w:r>
      <w:r>
        <w:rPr>
          <w:color w:val="231F20"/>
        </w:rPr>
        <w:t>de</w:t>
      </w:r>
      <w:r>
        <w:rPr>
          <w:color w:val="231F20"/>
          <w:spacing w:val="-7"/>
        </w:rPr>
        <w:t> </w:t>
      </w:r>
      <w:r>
        <w:rPr>
          <w:color w:val="231F20"/>
        </w:rPr>
        <w:t>vida,</w:t>
      </w:r>
      <w:r>
        <w:rPr>
          <w:color w:val="231F20"/>
          <w:spacing w:val="-7"/>
        </w:rPr>
        <w:t> </w:t>
      </w:r>
      <w:r>
        <w:rPr>
          <w:color w:val="231F20"/>
        </w:rPr>
        <w:t>como</w:t>
      </w:r>
      <w:r>
        <w:rPr>
          <w:color w:val="231F20"/>
          <w:spacing w:val="-7"/>
        </w:rPr>
        <w:t> </w:t>
      </w:r>
      <w:r>
        <w:rPr>
          <w:color w:val="231F20"/>
        </w:rPr>
        <w:t>“ir</w:t>
      </w:r>
      <w:r>
        <w:rPr>
          <w:color w:val="231F20"/>
          <w:spacing w:val="-7"/>
        </w:rPr>
        <w:t> </w:t>
      </w:r>
      <w:r>
        <w:rPr>
          <w:color w:val="231F20"/>
        </w:rPr>
        <w:t>por</w:t>
      </w:r>
      <w:r>
        <w:rPr>
          <w:color w:val="231F20"/>
          <w:spacing w:val="-7"/>
        </w:rPr>
        <w:t> </w:t>
      </w:r>
      <w:r>
        <w:rPr>
          <w:color w:val="231F20"/>
        </w:rPr>
        <w:t>sus</w:t>
      </w:r>
      <w:r>
        <w:rPr>
          <w:color w:val="231F20"/>
          <w:spacing w:val="-7"/>
        </w:rPr>
        <w:t> </w:t>
      </w:r>
      <w:r>
        <w:rPr>
          <w:color w:val="231F20"/>
        </w:rPr>
        <w:t>niños”,</w:t>
      </w:r>
      <w:r>
        <w:rPr>
          <w:color w:val="231F20"/>
          <w:spacing w:val="-7"/>
        </w:rPr>
        <w:t> </w:t>
      </w:r>
      <w:r>
        <w:rPr>
          <w:color w:val="231F20"/>
        </w:rPr>
        <w:t>“llegar</w:t>
      </w:r>
      <w:r>
        <w:rPr>
          <w:color w:val="231F20"/>
          <w:spacing w:val="-7"/>
        </w:rPr>
        <w:t> </w:t>
      </w:r>
      <w:r>
        <w:rPr>
          <w:color w:val="231F20"/>
        </w:rPr>
        <w:t>a</w:t>
      </w:r>
      <w:r>
        <w:rPr>
          <w:color w:val="231F20"/>
          <w:spacing w:val="-7"/>
        </w:rPr>
        <w:t> </w:t>
      </w:r>
      <w:r>
        <w:rPr>
          <w:color w:val="231F20"/>
        </w:rPr>
        <w:t>sus</w:t>
      </w:r>
      <w:r>
        <w:rPr>
          <w:color w:val="231F20"/>
          <w:spacing w:val="-7"/>
        </w:rPr>
        <w:t> </w:t>
      </w:r>
      <w:r>
        <w:rPr>
          <w:color w:val="231F20"/>
        </w:rPr>
        <w:t>casas para preparar su comida” o “apoyar a sus hijos en sus tareas”. Esta valo- ración</w:t>
      </w:r>
      <w:r>
        <w:rPr>
          <w:color w:val="231F20"/>
          <w:spacing w:val="-5"/>
        </w:rPr>
        <w:t> </w:t>
      </w:r>
      <w:r>
        <w:rPr>
          <w:color w:val="231F20"/>
        </w:rPr>
        <w:t>ambivalente,</w:t>
      </w:r>
      <w:r>
        <w:rPr>
          <w:color w:val="231F20"/>
          <w:spacing w:val="-5"/>
        </w:rPr>
        <w:t> </w:t>
      </w:r>
      <w:r>
        <w:rPr>
          <w:color w:val="231F20"/>
        </w:rPr>
        <w:t>entonces,</w:t>
      </w:r>
      <w:r>
        <w:rPr>
          <w:color w:val="231F20"/>
          <w:spacing w:val="-5"/>
        </w:rPr>
        <w:t> </w:t>
      </w:r>
      <w:r>
        <w:rPr>
          <w:color w:val="231F20"/>
        </w:rPr>
        <w:t>no</w:t>
      </w:r>
      <w:r>
        <w:rPr>
          <w:color w:val="231F20"/>
          <w:spacing w:val="-5"/>
        </w:rPr>
        <w:t> </w:t>
      </w:r>
      <w:r>
        <w:rPr>
          <w:color w:val="231F20"/>
        </w:rPr>
        <w:t>hace</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reflejar</w:t>
      </w:r>
      <w:r>
        <w:rPr>
          <w:color w:val="231F20"/>
          <w:spacing w:val="-5"/>
        </w:rPr>
        <w:t> </w:t>
      </w:r>
      <w:r>
        <w:rPr>
          <w:color w:val="231F20"/>
        </w:rPr>
        <w:t>una</w:t>
      </w:r>
      <w:r>
        <w:rPr>
          <w:color w:val="231F20"/>
          <w:spacing w:val="-5"/>
        </w:rPr>
        <w:t> </w:t>
      </w:r>
      <w:r>
        <w:rPr>
          <w:color w:val="231F20"/>
        </w:rPr>
        <w:t>postura</w:t>
      </w:r>
      <w:r>
        <w:rPr>
          <w:color w:val="231F20"/>
          <w:spacing w:val="-5"/>
        </w:rPr>
        <w:t> </w:t>
      </w:r>
      <w:r>
        <w:rPr>
          <w:color w:val="231F20"/>
        </w:rPr>
        <w:t>prác- tica</w:t>
      </w:r>
      <w:r>
        <w:rPr>
          <w:color w:val="231F20"/>
          <w:spacing w:val="-6"/>
        </w:rPr>
        <w:t> </w:t>
      </w:r>
      <w:r>
        <w:rPr>
          <w:color w:val="231F20"/>
        </w:rPr>
        <w:t>del</w:t>
      </w:r>
      <w:r>
        <w:rPr>
          <w:color w:val="231F20"/>
          <w:spacing w:val="-5"/>
        </w:rPr>
        <w:t> </w:t>
      </w:r>
      <w:r>
        <w:rPr>
          <w:color w:val="231F20"/>
        </w:rPr>
        <w:t>personal</w:t>
      </w:r>
      <w:r>
        <w:rPr>
          <w:color w:val="231F20"/>
          <w:spacing w:val="-5"/>
        </w:rPr>
        <w:t> </w:t>
      </w:r>
      <w:r>
        <w:rPr>
          <w:color w:val="231F20"/>
        </w:rPr>
        <w:t>especializado</w:t>
      </w:r>
      <w:r>
        <w:rPr>
          <w:color w:val="231F20"/>
          <w:spacing w:val="-6"/>
        </w:rPr>
        <w:t> </w:t>
      </w:r>
      <w:r>
        <w:rPr>
          <w:color w:val="231F20"/>
        </w:rPr>
        <w:t>que,</w:t>
      </w:r>
      <w:r>
        <w:rPr>
          <w:color w:val="231F20"/>
          <w:spacing w:val="-5"/>
        </w:rPr>
        <w:t> </w:t>
      </w:r>
      <w:r>
        <w:rPr>
          <w:color w:val="231F20"/>
        </w:rPr>
        <w:t>como</w:t>
      </w:r>
      <w:r>
        <w:rPr>
          <w:color w:val="231F20"/>
          <w:spacing w:val="-6"/>
        </w:rPr>
        <w:t> </w:t>
      </w:r>
      <w:r>
        <w:rPr>
          <w:color w:val="231F20"/>
        </w:rPr>
        <w:t>diría</w:t>
      </w:r>
      <w:r>
        <w:rPr>
          <w:color w:val="231F20"/>
          <w:spacing w:val="-5"/>
        </w:rPr>
        <w:t> </w:t>
      </w:r>
      <w:r>
        <w:rPr>
          <w:color w:val="231F20"/>
        </w:rPr>
        <w:t>Bourdieu</w:t>
      </w:r>
      <w:r>
        <w:rPr>
          <w:color w:val="231F20"/>
          <w:spacing w:val="-5"/>
        </w:rPr>
        <w:t> </w:t>
      </w:r>
      <w:r>
        <w:rPr>
          <w:color w:val="231F20"/>
        </w:rPr>
        <w:t>(2001),</w:t>
      </w:r>
      <w:r>
        <w:rPr>
          <w:color w:val="231F20"/>
          <w:spacing w:val="-5"/>
        </w:rPr>
        <w:t> </w:t>
      </w:r>
      <w:r>
        <w:rPr>
          <w:color w:val="231F20"/>
        </w:rPr>
        <w:t>apela</w:t>
      </w:r>
      <w:r>
        <w:rPr>
          <w:color w:val="231F20"/>
          <w:spacing w:val="-6"/>
        </w:rPr>
        <w:t> </w:t>
      </w:r>
      <w:r>
        <w:rPr>
          <w:color w:val="231F20"/>
        </w:rPr>
        <w:t>al conocimiento, pero también a las necesidades de los</w:t>
      </w:r>
      <w:r>
        <w:rPr>
          <w:color w:val="231F20"/>
          <w:spacing w:val="-12"/>
        </w:rPr>
        <w:t> </w:t>
      </w:r>
      <w:r>
        <w:rPr>
          <w:color w:val="231F20"/>
        </w:rPr>
        <w:t>sujetos.</w:t>
      </w:r>
    </w:p>
    <w:p>
      <w:pPr>
        <w:pStyle w:val="BodyText"/>
        <w:spacing w:line="249" w:lineRule="auto" w:before="1"/>
        <w:ind w:left="113" w:right="108" w:firstLine="283"/>
        <w:jc w:val="both"/>
      </w:pPr>
      <w:r>
        <w:rPr>
          <w:color w:val="231F20"/>
        </w:rPr>
        <w:t>Finalmente, el personal operativo de las instituciones concibe que la demanda</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trabajo</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instituciones</w:t>
      </w:r>
      <w:r>
        <w:rPr>
          <w:color w:val="231F20"/>
          <w:spacing w:val="-10"/>
        </w:rPr>
        <w:t> </w:t>
      </w:r>
      <w:r>
        <w:rPr>
          <w:color w:val="231F20"/>
        </w:rPr>
        <w:t>es</w:t>
      </w:r>
      <w:r>
        <w:rPr>
          <w:color w:val="231F20"/>
          <w:spacing w:val="-9"/>
        </w:rPr>
        <w:t> </w:t>
      </w:r>
      <w:r>
        <w:rPr>
          <w:color w:val="231F20"/>
        </w:rPr>
        <w:t>desgastante</w:t>
      </w:r>
      <w:r>
        <w:rPr>
          <w:color w:val="231F20"/>
          <w:spacing w:val="-9"/>
        </w:rPr>
        <w:t> </w:t>
      </w:r>
      <w:r>
        <w:rPr>
          <w:color w:val="231F20"/>
        </w:rPr>
        <w:t>emocionalmen- te hablando. </w:t>
      </w:r>
      <w:r>
        <w:rPr>
          <w:color w:val="231F20"/>
          <w:spacing w:val="-5"/>
        </w:rPr>
        <w:t>Tal </w:t>
      </w:r>
      <w:r>
        <w:rPr>
          <w:color w:val="231F20"/>
        </w:rPr>
        <w:t>como se muestran en las siguientes</w:t>
      </w:r>
      <w:r>
        <w:rPr>
          <w:color w:val="231F20"/>
          <w:spacing w:val="-12"/>
        </w:rPr>
        <w:t> </w:t>
      </w:r>
      <w:r>
        <w:rPr>
          <w:color w:val="231F20"/>
        </w:rPr>
        <w:t>palabras:</w:t>
      </w:r>
    </w:p>
    <w:p>
      <w:pPr>
        <w:pStyle w:val="BodyText"/>
        <w:spacing w:line="249" w:lineRule="auto" w:before="114"/>
        <w:ind w:left="397" w:right="107" w:firstLine="80"/>
        <w:jc w:val="both"/>
      </w:pPr>
      <w:r>
        <w:rPr>
          <w:color w:val="231F20"/>
        </w:rPr>
        <w:t>[...] demanda mucho trabajo, mucha atención, yo diría: es absor- bente.</w:t>
      </w:r>
      <w:r>
        <w:rPr>
          <w:color w:val="231F20"/>
          <w:spacing w:val="-8"/>
        </w:rPr>
        <w:t> </w:t>
      </w:r>
      <w:r>
        <w:rPr>
          <w:color w:val="231F20"/>
        </w:rPr>
        <w:t>Tienes</w:t>
      </w:r>
      <w:r>
        <w:rPr>
          <w:color w:val="231F20"/>
          <w:spacing w:val="-4"/>
        </w:rPr>
        <w:t> </w:t>
      </w:r>
      <w:r>
        <w:rPr>
          <w:color w:val="231F20"/>
        </w:rPr>
        <w:t>que</w:t>
      </w:r>
      <w:r>
        <w:rPr>
          <w:color w:val="231F20"/>
          <w:spacing w:val="-4"/>
        </w:rPr>
        <w:t> </w:t>
      </w:r>
      <w:r>
        <w:rPr>
          <w:color w:val="231F20"/>
        </w:rPr>
        <w:t>aprender</w:t>
      </w:r>
      <w:r>
        <w:rPr>
          <w:color w:val="231F20"/>
          <w:spacing w:val="-4"/>
        </w:rPr>
        <w:t> </w:t>
      </w:r>
      <w:r>
        <w:rPr>
          <w:color w:val="231F20"/>
        </w:rPr>
        <w:t>a</w:t>
      </w:r>
      <w:r>
        <w:rPr>
          <w:color w:val="231F20"/>
          <w:spacing w:val="-4"/>
        </w:rPr>
        <w:t> </w:t>
      </w:r>
      <w:r>
        <w:rPr>
          <w:color w:val="231F20"/>
        </w:rPr>
        <w:t>controlar</w:t>
      </w:r>
      <w:r>
        <w:rPr>
          <w:color w:val="231F20"/>
          <w:spacing w:val="-4"/>
        </w:rPr>
        <w:t> </w:t>
      </w:r>
      <w:r>
        <w:rPr>
          <w:color w:val="231F20"/>
        </w:rPr>
        <w:t>tus</w:t>
      </w:r>
      <w:r>
        <w:rPr>
          <w:color w:val="231F20"/>
          <w:spacing w:val="-4"/>
        </w:rPr>
        <w:t> </w:t>
      </w:r>
      <w:r>
        <w:rPr>
          <w:color w:val="231F20"/>
        </w:rPr>
        <w:t>emociones,</w:t>
      </w:r>
      <w:r>
        <w:rPr>
          <w:color w:val="231F20"/>
          <w:spacing w:val="-5"/>
        </w:rPr>
        <w:t> </w:t>
      </w:r>
      <w:r>
        <w:rPr>
          <w:color w:val="231F20"/>
        </w:rPr>
        <w:t>porque</w:t>
      </w:r>
      <w:r>
        <w:rPr>
          <w:color w:val="231F20"/>
          <w:spacing w:val="-4"/>
        </w:rPr>
        <w:t> </w:t>
      </w:r>
      <w:r>
        <w:rPr>
          <w:color w:val="231F20"/>
        </w:rPr>
        <w:t>si</w:t>
      </w:r>
      <w:r>
        <w:rPr>
          <w:color w:val="231F20"/>
          <w:spacing w:val="-4"/>
        </w:rPr>
        <w:t> </w:t>
      </w:r>
      <w:r>
        <w:rPr>
          <w:color w:val="231F20"/>
        </w:rPr>
        <w:t>no</w:t>
      </w:r>
      <w:r>
        <w:rPr>
          <w:color w:val="231F20"/>
          <w:spacing w:val="-4"/>
        </w:rPr>
        <w:t> </w:t>
      </w:r>
      <w:r>
        <w:rPr>
          <w:color w:val="231F20"/>
        </w:rPr>
        <w:t>te afecta sus situaciones. Tienes que atender a los niños, pero también aguantar</w:t>
      </w:r>
      <w:r>
        <w:rPr>
          <w:color w:val="231F20"/>
          <w:spacing w:val="-10"/>
        </w:rPr>
        <w:t> </w:t>
      </w:r>
      <w:r>
        <w:rPr>
          <w:color w:val="231F20"/>
        </w:rPr>
        <w:t>sus</w:t>
      </w:r>
      <w:r>
        <w:rPr>
          <w:color w:val="231F20"/>
          <w:spacing w:val="-9"/>
        </w:rPr>
        <w:t> </w:t>
      </w:r>
      <w:r>
        <w:rPr>
          <w:color w:val="231F20"/>
        </w:rPr>
        <w:t>humores</w:t>
      </w:r>
      <w:r>
        <w:rPr>
          <w:color w:val="231F20"/>
          <w:spacing w:val="-9"/>
        </w:rPr>
        <w:t> </w:t>
      </w:r>
      <w:r>
        <w:rPr>
          <w:color w:val="231F20"/>
        </w:rPr>
        <w:t>y</w:t>
      </w:r>
      <w:r>
        <w:rPr>
          <w:color w:val="231F20"/>
          <w:spacing w:val="-9"/>
        </w:rPr>
        <w:t> </w:t>
      </w:r>
      <w:r>
        <w:rPr>
          <w:color w:val="231F20"/>
        </w:rPr>
        <w:t>berrinches.</w:t>
      </w:r>
      <w:r>
        <w:rPr>
          <w:color w:val="231F20"/>
          <w:spacing w:val="-9"/>
        </w:rPr>
        <w:t> </w:t>
      </w:r>
      <w:r>
        <w:rPr>
          <w:color w:val="231F20"/>
        </w:rPr>
        <w:t>Por</w:t>
      </w:r>
      <w:r>
        <w:rPr>
          <w:color w:val="231F20"/>
          <w:spacing w:val="-9"/>
        </w:rPr>
        <w:t> </w:t>
      </w:r>
      <w:r>
        <w:rPr>
          <w:color w:val="231F20"/>
        </w:rPr>
        <w:t>eso</w:t>
      </w:r>
      <w:r>
        <w:rPr>
          <w:color w:val="231F20"/>
          <w:spacing w:val="-10"/>
        </w:rPr>
        <w:t> </w:t>
      </w:r>
      <w:r>
        <w:rPr>
          <w:color w:val="231F20"/>
        </w:rPr>
        <w:t>quien</w:t>
      </w:r>
      <w:r>
        <w:rPr>
          <w:color w:val="231F20"/>
          <w:spacing w:val="-9"/>
        </w:rPr>
        <w:t> </w:t>
      </w:r>
      <w:r>
        <w:rPr>
          <w:color w:val="231F20"/>
        </w:rPr>
        <w:t>está</w:t>
      </w:r>
      <w:r>
        <w:rPr>
          <w:color w:val="231F20"/>
          <w:spacing w:val="-10"/>
        </w:rPr>
        <w:t> </w:t>
      </w:r>
      <w:r>
        <w:rPr>
          <w:color w:val="231F20"/>
        </w:rPr>
        <w:t>aquí</w:t>
      </w:r>
      <w:r>
        <w:rPr>
          <w:color w:val="231F20"/>
          <w:spacing w:val="-10"/>
        </w:rPr>
        <w:t> </w:t>
      </w:r>
      <w:r>
        <w:rPr>
          <w:color w:val="231F20"/>
        </w:rPr>
        <w:t>debe</w:t>
      </w:r>
      <w:r>
        <w:rPr>
          <w:color w:val="231F20"/>
          <w:spacing w:val="-9"/>
        </w:rPr>
        <w:t> </w:t>
      </w:r>
      <w:r>
        <w:rPr>
          <w:color w:val="231F20"/>
        </w:rPr>
        <w:t>tener vocación, debe ser una persona comprometida porque son varios los niños y varios sus problemas [...] (Cuidadora, institución</w:t>
      </w:r>
      <w:r>
        <w:rPr>
          <w:color w:val="231F20"/>
          <w:spacing w:val="-3"/>
        </w:rPr>
        <w:t> </w:t>
      </w:r>
      <w:r>
        <w:rPr>
          <w:color w:val="231F20"/>
        </w:rPr>
        <w:t>pública).</w:t>
      </w:r>
    </w:p>
    <w:p>
      <w:pPr>
        <w:pStyle w:val="BodyText"/>
        <w:spacing w:line="249" w:lineRule="auto" w:before="114"/>
        <w:ind w:left="397" w:right="107"/>
        <w:jc w:val="both"/>
      </w:pPr>
      <w:r>
        <w:rPr>
          <w:color w:val="231F20"/>
        </w:rPr>
        <w:t>Más</w:t>
      </w:r>
      <w:r>
        <w:rPr>
          <w:color w:val="231F20"/>
          <w:spacing w:val="-7"/>
        </w:rPr>
        <w:t> </w:t>
      </w:r>
      <w:r>
        <w:rPr>
          <w:color w:val="231F20"/>
        </w:rPr>
        <w:t>que</w:t>
      </w:r>
      <w:r>
        <w:rPr>
          <w:color w:val="231F20"/>
          <w:spacing w:val="-7"/>
        </w:rPr>
        <w:t> </w:t>
      </w:r>
      <w:r>
        <w:rPr>
          <w:color w:val="231F20"/>
        </w:rPr>
        <w:t>difícil,</w:t>
      </w:r>
      <w:r>
        <w:rPr>
          <w:color w:val="231F20"/>
          <w:spacing w:val="-7"/>
        </w:rPr>
        <w:t> </w:t>
      </w:r>
      <w:r>
        <w:rPr>
          <w:color w:val="231F20"/>
        </w:rPr>
        <w:t>es</w:t>
      </w:r>
      <w:r>
        <w:rPr>
          <w:color w:val="231F20"/>
          <w:spacing w:val="-7"/>
        </w:rPr>
        <w:t> </w:t>
      </w:r>
      <w:r>
        <w:rPr>
          <w:color w:val="231F20"/>
        </w:rPr>
        <w:t>desgastante</w:t>
      </w:r>
      <w:r>
        <w:rPr>
          <w:color w:val="231F20"/>
          <w:spacing w:val="-7"/>
        </w:rPr>
        <w:t> </w:t>
      </w:r>
      <w:r>
        <w:rPr>
          <w:color w:val="231F20"/>
        </w:rPr>
        <w:t>física</w:t>
      </w:r>
      <w:r>
        <w:rPr>
          <w:color w:val="231F20"/>
          <w:spacing w:val="-7"/>
        </w:rPr>
        <w:t> </w:t>
      </w:r>
      <w:r>
        <w:rPr>
          <w:color w:val="231F20"/>
        </w:rPr>
        <w:t>y</w:t>
      </w:r>
      <w:r>
        <w:rPr>
          <w:color w:val="231F20"/>
          <w:spacing w:val="-7"/>
        </w:rPr>
        <w:t> </w:t>
      </w:r>
      <w:r>
        <w:rPr>
          <w:color w:val="231F20"/>
        </w:rPr>
        <w:t>emocionalmente,</w:t>
      </w:r>
      <w:r>
        <w:rPr>
          <w:color w:val="231F20"/>
          <w:spacing w:val="-8"/>
        </w:rPr>
        <w:t> </w:t>
      </w:r>
      <w:r>
        <w:rPr>
          <w:color w:val="231F20"/>
        </w:rPr>
        <w:t>porque</w:t>
      </w:r>
      <w:r>
        <w:rPr>
          <w:color w:val="231F20"/>
          <w:spacing w:val="-7"/>
        </w:rPr>
        <w:t> </w:t>
      </w:r>
      <w:r>
        <w:rPr>
          <w:color w:val="231F20"/>
        </w:rPr>
        <w:t>estas niñas tienen muchas necesidades, muchas carencias, que no siempre son las mismas: que necesitan amor, cariño, apoyo psicológico, edu- cativo, en fin, muchas cosas necesitan y eso te desgasta [...] también porque [...] no faltan los conflictos con algunas de las compañeras, [...] que porque una u otra cosa [...] (Cuidadora, institución</w:t>
      </w:r>
      <w:r>
        <w:rPr>
          <w:color w:val="231F20"/>
          <w:spacing w:val="-2"/>
        </w:rPr>
        <w:t> </w:t>
      </w:r>
      <w:r>
        <w:rPr>
          <w:color w:val="231F20"/>
        </w:rPr>
        <w:t>privada).</w:t>
      </w:r>
    </w:p>
    <w:p>
      <w:pPr>
        <w:pStyle w:val="BodyText"/>
        <w:spacing w:line="249" w:lineRule="auto" w:before="114"/>
        <w:ind w:left="113" w:right="108" w:firstLine="283"/>
        <w:jc w:val="both"/>
      </w:pPr>
      <w:r>
        <w:rPr>
          <w:color w:val="231F20"/>
        </w:rPr>
        <w:t>Lo anterior se puede entender como consecuencia del desgaste emo- cional que se tiene con los niños, pero también de los conflictos</w:t>
      </w:r>
      <w:r>
        <w:rPr>
          <w:color w:val="231F20"/>
          <w:spacing w:val="-13"/>
        </w:rPr>
        <w:t> </w:t>
      </w:r>
      <w:r>
        <w:rPr>
          <w:color w:val="231F20"/>
        </w:rPr>
        <w:t>internos que enfrentan. Por lo que respecta a la primera cuestión, normalmente</w:t>
      </w:r>
      <w:r>
        <w:rPr>
          <w:color w:val="231F20"/>
          <w:spacing w:val="-15"/>
        </w:rPr>
        <w:t> </w:t>
      </w:r>
      <w:r>
        <w:rPr>
          <w:color w:val="231F20"/>
        </w:rPr>
        <w:t>el personal operativo entiende ―quizás no de manera tan reflexiva como se podría pensar― que su trabajo en las instituciones asistenciales</w:t>
      </w:r>
      <w:r>
        <w:rPr>
          <w:color w:val="231F20"/>
          <w:spacing w:val="-13"/>
        </w:rPr>
        <w:t> </w:t>
      </w:r>
      <w:r>
        <w:rPr>
          <w:color w:val="231F20"/>
        </w:rPr>
        <w:t>supo- ne necesariamente un contacto con diferentes niños que por lo general tienen</w:t>
      </w:r>
      <w:r>
        <w:rPr>
          <w:color w:val="231F20"/>
          <w:spacing w:val="18"/>
        </w:rPr>
        <w:t> </w:t>
      </w:r>
      <w:r>
        <w:rPr>
          <w:color w:val="231F20"/>
        </w:rPr>
        <w:t>una</w:t>
      </w:r>
      <w:r>
        <w:rPr>
          <w:color w:val="231F20"/>
          <w:spacing w:val="18"/>
        </w:rPr>
        <w:t> </w:t>
      </w:r>
      <w:r>
        <w:rPr>
          <w:color w:val="231F20"/>
        </w:rPr>
        <w:t>“historia</w:t>
      </w:r>
      <w:r>
        <w:rPr>
          <w:color w:val="231F20"/>
          <w:spacing w:val="18"/>
        </w:rPr>
        <w:t> </w:t>
      </w:r>
      <w:r>
        <w:rPr>
          <w:color w:val="231F20"/>
        </w:rPr>
        <w:t>desgarradora”,</w:t>
      </w:r>
      <w:r>
        <w:rPr>
          <w:color w:val="231F20"/>
          <w:spacing w:val="18"/>
        </w:rPr>
        <w:t> </w:t>
      </w:r>
      <w:r>
        <w:rPr>
          <w:color w:val="231F20"/>
        </w:rPr>
        <w:t>lo</w:t>
      </w:r>
      <w:r>
        <w:rPr>
          <w:color w:val="231F20"/>
          <w:spacing w:val="18"/>
        </w:rPr>
        <w:t> </w:t>
      </w:r>
      <w:r>
        <w:rPr>
          <w:color w:val="231F20"/>
        </w:rPr>
        <w:t>cual,</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paso</w:t>
      </w:r>
      <w:r>
        <w:rPr>
          <w:color w:val="231F20"/>
          <w:spacing w:val="18"/>
        </w:rPr>
        <w:t> </w:t>
      </w:r>
      <w:r>
        <w:rPr>
          <w:color w:val="231F20"/>
        </w:rPr>
        <w:t>del</w:t>
      </w:r>
      <w:r>
        <w:rPr>
          <w:color w:val="231F20"/>
          <w:spacing w:val="18"/>
        </w:rPr>
        <w:t> </w:t>
      </w:r>
      <w:r>
        <w:rPr>
          <w:color w:val="231F20"/>
        </w:rPr>
        <w:t>tiempo,</w:t>
      </w:r>
      <w:r>
        <w:rPr>
          <w:color w:val="231F20"/>
          <w:spacing w:val="18"/>
        </w:rPr>
        <w:t> </w:t>
      </w:r>
      <w:r>
        <w:rPr>
          <w:color w:val="231F20"/>
        </w:rPr>
        <w:t>va</w:t>
      </w:r>
    </w:p>
    <w:p>
      <w:pPr>
        <w:spacing w:after="0" w:line="249" w:lineRule="auto"/>
        <w:jc w:val="both"/>
        <w:sectPr>
          <w:footerReference w:type="default" r:id="rId317"/>
          <w:pgSz w:w="7770" w:h="11740"/>
          <w:pgMar w:footer="474" w:header="0" w:top="840" w:bottom="660" w:left="1020" w:right="740"/>
          <w:pgNumType w:start="319"/>
        </w:sectPr>
      </w:pPr>
    </w:p>
    <w:p>
      <w:pPr>
        <w:pStyle w:val="BodyText"/>
        <w:spacing w:line="249" w:lineRule="auto" w:before="60"/>
        <w:ind w:left="110" w:right="111"/>
        <w:jc w:val="both"/>
      </w:pPr>
      <w:r>
        <w:rPr>
          <w:color w:val="231F20"/>
        </w:rPr>
        <w:t>haciéndolos</w:t>
      </w:r>
      <w:r>
        <w:rPr>
          <w:color w:val="231F20"/>
          <w:spacing w:val="-5"/>
        </w:rPr>
        <w:t> </w:t>
      </w:r>
      <w:r>
        <w:rPr>
          <w:color w:val="231F20"/>
        </w:rPr>
        <w:t>más</w:t>
      </w:r>
      <w:r>
        <w:rPr>
          <w:color w:val="231F20"/>
          <w:spacing w:val="-6"/>
        </w:rPr>
        <w:t> </w:t>
      </w:r>
      <w:r>
        <w:rPr>
          <w:color w:val="231F20"/>
        </w:rPr>
        <w:t>fuertes</w:t>
      </w:r>
      <w:r>
        <w:rPr>
          <w:color w:val="231F20"/>
          <w:spacing w:val="-5"/>
        </w:rPr>
        <w:t> </w:t>
      </w:r>
      <w:r>
        <w:rPr>
          <w:color w:val="231F20"/>
        </w:rPr>
        <w:t>frente</w:t>
      </w:r>
      <w:r>
        <w:rPr>
          <w:color w:val="231F20"/>
          <w:spacing w:val="-5"/>
        </w:rPr>
        <w:t> </w:t>
      </w:r>
      <w:r>
        <w:rPr>
          <w:color w:val="231F20"/>
        </w:rPr>
        <w:t>a</w:t>
      </w:r>
      <w:r>
        <w:rPr>
          <w:color w:val="231F20"/>
          <w:spacing w:val="-5"/>
        </w:rPr>
        <w:t> </w:t>
      </w:r>
      <w:r>
        <w:rPr>
          <w:color w:val="231F20"/>
        </w:rPr>
        <w:t>casos</w:t>
      </w:r>
      <w:r>
        <w:rPr>
          <w:color w:val="231F20"/>
          <w:spacing w:val="-6"/>
        </w:rPr>
        <w:t> </w:t>
      </w:r>
      <w:r>
        <w:rPr>
          <w:color w:val="231F20"/>
        </w:rPr>
        <w:t>de</w:t>
      </w:r>
      <w:r>
        <w:rPr>
          <w:color w:val="231F20"/>
          <w:spacing w:val="-5"/>
        </w:rPr>
        <w:t> </w:t>
      </w:r>
      <w:r>
        <w:rPr>
          <w:color w:val="231F20"/>
        </w:rPr>
        <w:t>niños</w:t>
      </w:r>
      <w:r>
        <w:rPr>
          <w:color w:val="231F20"/>
          <w:spacing w:val="-5"/>
        </w:rPr>
        <w:t> </w:t>
      </w:r>
      <w:r>
        <w:rPr>
          <w:color w:val="231F20"/>
        </w:rPr>
        <w:t>que</w:t>
      </w:r>
      <w:r>
        <w:rPr>
          <w:color w:val="231F20"/>
          <w:spacing w:val="-5"/>
        </w:rPr>
        <w:t> </w:t>
      </w:r>
      <w:r>
        <w:rPr>
          <w:color w:val="231F20"/>
        </w:rPr>
        <w:t>van</w:t>
      </w:r>
      <w:r>
        <w:rPr>
          <w:color w:val="231F20"/>
          <w:spacing w:val="-5"/>
        </w:rPr>
        <w:t> </w:t>
      </w:r>
      <w:r>
        <w:rPr>
          <w:color w:val="231F20"/>
        </w:rPr>
        <w:t>conociendo</w:t>
      </w:r>
      <w:r>
        <w:rPr>
          <w:color w:val="231F20"/>
          <w:spacing w:val="-6"/>
        </w:rPr>
        <w:t> </w:t>
      </w:r>
      <w:r>
        <w:rPr>
          <w:color w:val="231F20"/>
        </w:rPr>
        <w:t>pau- latinamente, sin embargo, y pese a los cursos de preparación que llegan a</w:t>
      </w:r>
      <w:r>
        <w:rPr>
          <w:color w:val="231F20"/>
          <w:spacing w:val="-3"/>
        </w:rPr>
        <w:t> </w:t>
      </w:r>
      <w:r>
        <w:rPr>
          <w:color w:val="231F20"/>
        </w:rPr>
        <w:t>recibir,</w:t>
      </w:r>
      <w:r>
        <w:rPr>
          <w:color w:val="231F20"/>
          <w:spacing w:val="-3"/>
        </w:rPr>
        <w:t> </w:t>
      </w:r>
      <w:r>
        <w:rPr>
          <w:color w:val="231F20"/>
        </w:rPr>
        <w:t>no</w:t>
      </w:r>
      <w:r>
        <w:rPr>
          <w:color w:val="231F20"/>
          <w:spacing w:val="-3"/>
        </w:rPr>
        <w:t> </w:t>
      </w:r>
      <w:r>
        <w:rPr>
          <w:color w:val="231F20"/>
        </w:rPr>
        <w:t>faltan</w:t>
      </w:r>
      <w:r>
        <w:rPr>
          <w:color w:val="231F20"/>
          <w:spacing w:val="-3"/>
        </w:rPr>
        <w:t> </w:t>
      </w:r>
      <w:r>
        <w:rPr>
          <w:color w:val="231F20"/>
        </w:rPr>
        <w:t>los</w:t>
      </w:r>
      <w:r>
        <w:rPr>
          <w:color w:val="231F20"/>
          <w:spacing w:val="-3"/>
        </w:rPr>
        <w:t> </w:t>
      </w:r>
      <w:r>
        <w:rPr>
          <w:color w:val="231F20"/>
        </w:rPr>
        <w:t>momentos</w:t>
      </w:r>
      <w:r>
        <w:rPr>
          <w:color w:val="231F20"/>
          <w:spacing w:val="-3"/>
        </w:rPr>
        <w:t> </w:t>
      </w:r>
      <w:r>
        <w:rPr>
          <w:color w:val="231F20"/>
        </w:rPr>
        <w:t>en</w:t>
      </w:r>
      <w:r>
        <w:rPr>
          <w:color w:val="231F20"/>
          <w:spacing w:val="-3"/>
        </w:rPr>
        <w:t> </w:t>
      </w:r>
      <w:r>
        <w:rPr>
          <w:color w:val="231F20"/>
        </w:rPr>
        <w:t>que</w:t>
      </w:r>
      <w:r>
        <w:rPr>
          <w:color w:val="231F20"/>
          <w:spacing w:val="-3"/>
        </w:rPr>
        <w:t> </w:t>
      </w:r>
      <w:r>
        <w:rPr>
          <w:color w:val="231F20"/>
        </w:rPr>
        <w:t>el</w:t>
      </w:r>
      <w:r>
        <w:rPr>
          <w:color w:val="231F20"/>
          <w:spacing w:val="-3"/>
        </w:rPr>
        <w:t> </w:t>
      </w:r>
      <w:r>
        <w:rPr>
          <w:color w:val="231F20"/>
        </w:rPr>
        <w:t>personal</w:t>
      </w:r>
      <w:r>
        <w:rPr>
          <w:color w:val="231F20"/>
          <w:spacing w:val="-3"/>
        </w:rPr>
        <w:t> </w:t>
      </w:r>
      <w:r>
        <w:rPr>
          <w:color w:val="231F20"/>
        </w:rPr>
        <w:t>se</w:t>
      </w:r>
      <w:r>
        <w:rPr>
          <w:color w:val="231F20"/>
          <w:spacing w:val="-3"/>
        </w:rPr>
        <w:t> </w:t>
      </w:r>
      <w:r>
        <w:rPr>
          <w:color w:val="231F20"/>
        </w:rPr>
        <w:t>ve</w:t>
      </w:r>
      <w:r>
        <w:rPr>
          <w:color w:val="231F20"/>
          <w:spacing w:val="-3"/>
        </w:rPr>
        <w:t> </w:t>
      </w:r>
      <w:r>
        <w:rPr>
          <w:color w:val="231F20"/>
        </w:rPr>
        <w:t>rebasado</w:t>
      </w:r>
      <w:r>
        <w:rPr>
          <w:color w:val="231F20"/>
          <w:spacing w:val="-3"/>
        </w:rPr>
        <w:t> </w:t>
      </w:r>
      <w:r>
        <w:rPr>
          <w:color w:val="231F20"/>
        </w:rPr>
        <w:t>emo- cionalmente,</w:t>
      </w:r>
      <w:r>
        <w:rPr>
          <w:color w:val="231F20"/>
          <w:spacing w:val="-7"/>
        </w:rPr>
        <w:t> </w:t>
      </w:r>
      <w:r>
        <w:rPr>
          <w:color w:val="231F20"/>
        </w:rPr>
        <w:t>como</w:t>
      </w:r>
      <w:r>
        <w:rPr>
          <w:color w:val="231F20"/>
          <w:spacing w:val="-7"/>
        </w:rPr>
        <w:t> </w:t>
      </w:r>
      <w:r>
        <w:rPr>
          <w:color w:val="231F20"/>
        </w:rPr>
        <w:t>nos</w:t>
      </w:r>
      <w:r>
        <w:rPr>
          <w:color w:val="231F20"/>
          <w:spacing w:val="-7"/>
        </w:rPr>
        <w:t> </w:t>
      </w:r>
      <w:r>
        <w:rPr>
          <w:color w:val="231F20"/>
        </w:rPr>
        <w:t>decía</w:t>
      </w:r>
      <w:r>
        <w:rPr>
          <w:color w:val="231F20"/>
          <w:spacing w:val="-7"/>
        </w:rPr>
        <w:t> </w:t>
      </w:r>
      <w:r>
        <w:rPr>
          <w:color w:val="231F20"/>
        </w:rPr>
        <w:t>una</w:t>
      </w:r>
      <w:r>
        <w:rPr>
          <w:color w:val="231F20"/>
          <w:spacing w:val="-6"/>
        </w:rPr>
        <w:t> </w:t>
      </w:r>
      <w:r>
        <w:rPr>
          <w:color w:val="231F20"/>
        </w:rPr>
        <w:t>psicóloga</w:t>
      </w:r>
      <w:r>
        <w:rPr>
          <w:color w:val="231F20"/>
          <w:spacing w:val="-7"/>
        </w:rPr>
        <w:t> </w:t>
      </w:r>
      <w:r>
        <w:rPr>
          <w:color w:val="231F20"/>
        </w:rPr>
        <w:t>de</w:t>
      </w:r>
      <w:r>
        <w:rPr>
          <w:color w:val="231F20"/>
          <w:spacing w:val="-6"/>
        </w:rPr>
        <w:t> </w:t>
      </w:r>
      <w:r>
        <w:rPr>
          <w:color w:val="231F20"/>
        </w:rPr>
        <w:t>manera</w:t>
      </w:r>
      <w:r>
        <w:rPr>
          <w:color w:val="231F20"/>
          <w:spacing w:val="-7"/>
        </w:rPr>
        <w:t> </w:t>
      </w:r>
      <w:r>
        <w:rPr>
          <w:color w:val="231F20"/>
        </w:rPr>
        <w:t>muy</w:t>
      </w:r>
      <w:r>
        <w:rPr>
          <w:color w:val="231F20"/>
          <w:spacing w:val="-7"/>
        </w:rPr>
        <w:t> </w:t>
      </w:r>
      <w:r>
        <w:rPr>
          <w:color w:val="231F20"/>
        </w:rPr>
        <w:t>contundente. Esto hace que cuando se le pregunta a algún miembro del mismo sobre la demanda que implica su trabajo, siempre diga que es abrumadora y con una fuerte impronta emocional. Por otro lado, por lo referente a los conflictos internos, no es infrecuente que este personal tenga</w:t>
      </w:r>
      <w:r>
        <w:rPr>
          <w:color w:val="231F20"/>
          <w:spacing w:val="-29"/>
        </w:rPr>
        <w:t> </w:t>
      </w:r>
      <w:r>
        <w:rPr>
          <w:color w:val="231F20"/>
        </w:rPr>
        <w:t>desencuen- tros cotidianos con diferentes actores, incluyendo los niños y los</w:t>
      </w:r>
      <w:r>
        <w:rPr>
          <w:color w:val="231F20"/>
          <w:spacing w:val="-31"/>
        </w:rPr>
        <w:t> </w:t>
      </w:r>
      <w:r>
        <w:rPr>
          <w:color w:val="231F20"/>
        </w:rPr>
        <w:t>propios integrantes del personal. La primera cita, por ejemplo, da cuenta que el personal operativo tiene que soportar las actitudes poco amables o cola- borativas de los niños. Las cuales, desde nuestra experiencia y desde los comentarios</w:t>
      </w:r>
      <w:r>
        <w:rPr>
          <w:color w:val="231F20"/>
          <w:spacing w:val="-8"/>
        </w:rPr>
        <w:t> </w:t>
      </w:r>
      <w:r>
        <w:rPr>
          <w:color w:val="231F20"/>
        </w:rPr>
        <w:t>hechos</w:t>
      </w:r>
      <w:r>
        <w:rPr>
          <w:color w:val="231F20"/>
          <w:spacing w:val="-7"/>
        </w:rPr>
        <w:t> </w:t>
      </w:r>
      <w:r>
        <w:rPr>
          <w:color w:val="231F20"/>
        </w:rPr>
        <w:t>por</w:t>
      </w:r>
      <w:r>
        <w:rPr>
          <w:color w:val="231F20"/>
          <w:spacing w:val="-7"/>
        </w:rPr>
        <w:t> </w:t>
      </w:r>
      <w:r>
        <w:rPr>
          <w:color w:val="231F20"/>
        </w:rPr>
        <w:t>distintos</w:t>
      </w:r>
      <w:r>
        <w:rPr>
          <w:color w:val="231F20"/>
          <w:spacing w:val="-8"/>
        </w:rPr>
        <w:t> </w:t>
      </w:r>
      <w:r>
        <w:rPr>
          <w:color w:val="231F20"/>
        </w:rPr>
        <w:t>integrantes,</w:t>
      </w:r>
      <w:r>
        <w:rPr>
          <w:color w:val="231F20"/>
          <w:spacing w:val="-8"/>
        </w:rPr>
        <w:t> </w:t>
      </w:r>
      <w:r>
        <w:rPr>
          <w:color w:val="231F20"/>
        </w:rPr>
        <w:t>no</w:t>
      </w:r>
      <w:r>
        <w:rPr>
          <w:color w:val="231F20"/>
          <w:spacing w:val="-7"/>
        </w:rPr>
        <w:t> </w:t>
      </w:r>
      <w:r>
        <w:rPr>
          <w:color w:val="231F20"/>
        </w:rPr>
        <w:t>llegan</w:t>
      </w:r>
      <w:r>
        <w:rPr>
          <w:color w:val="231F20"/>
          <w:spacing w:val="-8"/>
        </w:rPr>
        <w:t> </w:t>
      </w:r>
      <w:r>
        <w:rPr>
          <w:color w:val="231F20"/>
        </w:rPr>
        <w:t>a</w:t>
      </w:r>
      <w:r>
        <w:rPr>
          <w:color w:val="231F20"/>
          <w:spacing w:val="-8"/>
        </w:rPr>
        <w:t> </w:t>
      </w:r>
      <w:r>
        <w:rPr>
          <w:color w:val="231F20"/>
        </w:rPr>
        <w:t>ser</w:t>
      </w:r>
      <w:r>
        <w:rPr>
          <w:color w:val="231F20"/>
          <w:spacing w:val="-7"/>
        </w:rPr>
        <w:t> </w:t>
      </w:r>
      <w:r>
        <w:rPr>
          <w:color w:val="231F20"/>
        </w:rPr>
        <w:t>ocasionales. Por</w:t>
      </w:r>
      <w:r>
        <w:rPr>
          <w:color w:val="231F20"/>
          <w:spacing w:val="-10"/>
        </w:rPr>
        <w:t> </w:t>
      </w:r>
      <w:r>
        <w:rPr>
          <w:color w:val="231F20"/>
        </w:rPr>
        <w:t>su</w:t>
      </w:r>
      <w:r>
        <w:rPr>
          <w:color w:val="231F20"/>
          <w:spacing w:val="-10"/>
        </w:rPr>
        <w:t> </w:t>
      </w:r>
      <w:r>
        <w:rPr>
          <w:color w:val="231F20"/>
        </w:rPr>
        <w:t>parte,</w:t>
      </w:r>
      <w:r>
        <w:rPr>
          <w:color w:val="231F20"/>
          <w:spacing w:val="-10"/>
        </w:rPr>
        <w:t> </w:t>
      </w:r>
      <w:r>
        <w:rPr>
          <w:color w:val="231F20"/>
        </w:rPr>
        <w:t>la</w:t>
      </w:r>
      <w:r>
        <w:rPr>
          <w:color w:val="231F20"/>
          <w:spacing w:val="-10"/>
        </w:rPr>
        <w:t> </w:t>
      </w:r>
      <w:r>
        <w:rPr>
          <w:color w:val="231F20"/>
        </w:rPr>
        <w:t>segunda</w:t>
      </w:r>
      <w:r>
        <w:rPr>
          <w:color w:val="231F20"/>
          <w:spacing w:val="-10"/>
        </w:rPr>
        <w:t> </w:t>
      </w:r>
      <w:r>
        <w:rPr>
          <w:color w:val="231F20"/>
        </w:rPr>
        <w:t>cita,</w:t>
      </w:r>
      <w:r>
        <w:rPr>
          <w:color w:val="231F20"/>
          <w:spacing w:val="-10"/>
        </w:rPr>
        <w:t> </w:t>
      </w:r>
      <w:r>
        <w:rPr>
          <w:color w:val="231F20"/>
        </w:rPr>
        <w:t>muestra</w:t>
      </w:r>
      <w:r>
        <w:rPr>
          <w:color w:val="231F20"/>
          <w:spacing w:val="-11"/>
        </w:rPr>
        <w:t> </w:t>
      </w:r>
      <w:r>
        <w:rPr>
          <w:color w:val="231F20"/>
        </w:rPr>
        <w:t>que</w:t>
      </w:r>
      <w:r>
        <w:rPr>
          <w:color w:val="231F20"/>
          <w:spacing w:val="-10"/>
        </w:rPr>
        <w:t> </w:t>
      </w:r>
      <w:r>
        <w:rPr>
          <w:color w:val="231F20"/>
        </w:rPr>
        <w:t>las</w:t>
      </w:r>
      <w:r>
        <w:rPr>
          <w:color w:val="231F20"/>
          <w:spacing w:val="-10"/>
        </w:rPr>
        <w:t> </w:t>
      </w:r>
      <w:r>
        <w:rPr>
          <w:color w:val="231F20"/>
        </w:rPr>
        <w:t>diferencias</w:t>
      </w:r>
      <w:r>
        <w:rPr>
          <w:color w:val="231F20"/>
          <w:spacing w:val="-10"/>
        </w:rPr>
        <w:t> </w:t>
      </w:r>
      <w:r>
        <w:rPr>
          <w:color w:val="231F20"/>
        </w:rPr>
        <w:t>entre</w:t>
      </w:r>
      <w:r>
        <w:rPr>
          <w:color w:val="231F20"/>
          <w:spacing w:val="-10"/>
        </w:rPr>
        <w:t> </w:t>
      </w:r>
      <w:r>
        <w:rPr>
          <w:color w:val="231F20"/>
        </w:rPr>
        <w:t>el</w:t>
      </w:r>
      <w:r>
        <w:rPr>
          <w:color w:val="231F20"/>
          <w:spacing w:val="-10"/>
        </w:rPr>
        <w:t> </w:t>
      </w:r>
      <w:r>
        <w:rPr>
          <w:color w:val="231F20"/>
        </w:rPr>
        <w:t>personal no llegan a faltar, sobre todo cuando toman posturas en torno a</w:t>
      </w:r>
      <w:r>
        <w:rPr>
          <w:color w:val="231F20"/>
          <w:spacing w:val="-19"/>
        </w:rPr>
        <w:t> </w:t>
      </w:r>
      <w:r>
        <w:rPr>
          <w:color w:val="231F20"/>
        </w:rPr>
        <w:t>algo.</w:t>
      </w:r>
    </w:p>
    <w:p>
      <w:pPr>
        <w:pStyle w:val="BodyText"/>
        <w:spacing w:line="249" w:lineRule="auto" w:before="1"/>
        <w:ind w:left="110" w:right="111" w:firstLine="283"/>
        <w:jc w:val="both"/>
      </w:pPr>
      <w:r>
        <w:rPr>
          <w:color w:val="231F20"/>
        </w:rPr>
        <w:t>Ahora, es importante indicar que aunque nunca tuvimos la oportuni- dad de entrevistar a alguien del personal que no manifestara una postura desgastante</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trabajo,</w:t>
      </w:r>
      <w:r>
        <w:rPr>
          <w:color w:val="231F20"/>
          <w:spacing w:val="-4"/>
        </w:rPr>
        <w:t> </w:t>
      </w:r>
      <w:r>
        <w:rPr>
          <w:color w:val="231F20"/>
        </w:rPr>
        <w:t>supimos</w:t>
      </w:r>
      <w:r>
        <w:rPr>
          <w:color w:val="231F20"/>
          <w:spacing w:val="-3"/>
        </w:rPr>
        <w:t> </w:t>
      </w:r>
      <w:r>
        <w:rPr>
          <w:color w:val="231F20"/>
        </w:rPr>
        <w:t>por</w:t>
      </w:r>
      <w:r>
        <w:rPr>
          <w:color w:val="231F20"/>
          <w:spacing w:val="-4"/>
        </w:rPr>
        <w:t> </w:t>
      </w:r>
      <w:r>
        <w:rPr>
          <w:color w:val="231F20"/>
        </w:rPr>
        <w:t>medio</w:t>
      </w:r>
      <w:r>
        <w:rPr>
          <w:color w:val="231F20"/>
          <w:spacing w:val="-4"/>
        </w:rPr>
        <w:t> </w:t>
      </w:r>
      <w:r>
        <w:rPr>
          <w:color w:val="231F20"/>
        </w:rPr>
        <w:t>de</w:t>
      </w:r>
      <w:r>
        <w:rPr>
          <w:color w:val="231F20"/>
          <w:spacing w:val="-4"/>
        </w:rPr>
        <w:t> </w:t>
      </w:r>
      <w:r>
        <w:rPr>
          <w:color w:val="231F20"/>
        </w:rPr>
        <w:t>comentarios</w:t>
      </w:r>
      <w:r>
        <w:rPr>
          <w:color w:val="231F20"/>
          <w:spacing w:val="-4"/>
        </w:rPr>
        <w:t> </w:t>
      </w:r>
      <w:r>
        <w:rPr>
          <w:color w:val="231F20"/>
        </w:rPr>
        <w:t>de</w:t>
      </w:r>
      <w:r>
        <w:rPr>
          <w:color w:val="231F20"/>
          <w:spacing w:val="-4"/>
        </w:rPr>
        <w:t> </w:t>
      </w:r>
      <w:r>
        <w:rPr>
          <w:color w:val="231F20"/>
        </w:rPr>
        <w:t>algunos miembros,</w:t>
      </w:r>
      <w:r>
        <w:rPr>
          <w:color w:val="231F20"/>
          <w:spacing w:val="-6"/>
        </w:rPr>
        <w:t> </w:t>
      </w:r>
      <w:r>
        <w:rPr>
          <w:color w:val="231F20"/>
        </w:rPr>
        <w:t>de</w:t>
      </w:r>
      <w:r>
        <w:rPr>
          <w:color w:val="231F20"/>
          <w:spacing w:val="-5"/>
        </w:rPr>
        <w:t> </w:t>
      </w:r>
      <w:r>
        <w:rPr>
          <w:color w:val="231F20"/>
        </w:rPr>
        <w:t>personas</w:t>
      </w:r>
      <w:r>
        <w:rPr>
          <w:color w:val="231F20"/>
          <w:spacing w:val="-5"/>
        </w:rPr>
        <w:t> </w:t>
      </w:r>
      <w:r>
        <w:rPr>
          <w:color w:val="231F20"/>
        </w:rPr>
        <w:t>que</w:t>
      </w:r>
      <w:r>
        <w:rPr>
          <w:color w:val="231F20"/>
          <w:spacing w:val="-5"/>
        </w:rPr>
        <w:t> </w:t>
      </w:r>
      <w:r>
        <w:rPr>
          <w:color w:val="231F20"/>
        </w:rPr>
        <w:t>manejan</w:t>
      </w:r>
      <w:r>
        <w:rPr>
          <w:color w:val="231F20"/>
          <w:spacing w:val="-5"/>
        </w:rPr>
        <w:t> </w:t>
      </w:r>
      <w:r>
        <w:rPr>
          <w:color w:val="231F20"/>
        </w:rPr>
        <w:t>ello.</w:t>
      </w:r>
      <w:r>
        <w:rPr>
          <w:color w:val="231F20"/>
          <w:spacing w:val="-16"/>
        </w:rPr>
        <w:t> </w:t>
      </w:r>
      <w:r>
        <w:rPr>
          <w:color w:val="231F20"/>
        </w:rPr>
        <w:t>A</w:t>
      </w:r>
      <w:r>
        <w:rPr>
          <w:color w:val="231F20"/>
          <w:spacing w:val="-16"/>
        </w:rPr>
        <w:t> </w:t>
      </w:r>
      <w:r>
        <w:rPr>
          <w:color w:val="231F20"/>
        </w:rPr>
        <w:t>decir</w:t>
      </w:r>
      <w:r>
        <w:rPr>
          <w:color w:val="231F20"/>
          <w:spacing w:val="-5"/>
        </w:rPr>
        <w:t> </w:t>
      </w:r>
      <w:r>
        <w:rPr>
          <w:color w:val="231F20"/>
        </w:rPr>
        <w:t>de</w:t>
      </w:r>
      <w:r>
        <w:rPr>
          <w:color w:val="231F20"/>
          <w:spacing w:val="-5"/>
        </w:rPr>
        <w:t> </w:t>
      </w:r>
      <w:r>
        <w:rPr>
          <w:color w:val="231F20"/>
        </w:rPr>
        <w:t>ellos,</w:t>
      </w:r>
      <w:r>
        <w:rPr>
          <w:color w:val="231F20"/>
          <w:spacing w:val="-5"/>
        </w:rPr>
        <w:t> </w:t>
      </w:r>
      <w:r>
        <w:rPr>
          <w:color w:val="231F20"/>
        </w:rPr>
        <w:t>quienes</w:t>
      </w:r>
      <w:r>
        <w:rPr>
          <w:color w:val="231F20"/>
          <w:spacing w:val="-5"/>
        </w:rPr>
        <w:t> </w:t>
      </w:r>
      <w:r>
        <w:rPr>
          <w:color w:val="231F20"/>
        </w:rPr>
        <w:t>hacen esto se debe “normalmente a que no tienen familia a quien mantener”,  lo cual resulta en parte coincidente con lo que detectamos en otra insti- tución pública del Estado de México donde, pese a existir actividades laborales de cuarenta y ocho horas consecutivas por veinticuatro de des- canso, había personas –llamadas auxiliares o “mamis”- que concebían que su trabajo no era absorbente, por el contrario, era su vida, pues al  no haberse casado, había adoptado simbólicamente el rol de madres de varios de los</w:t>
      </w:r>
      <w:r>
        <w:rPr>
          <w:color w:val="231F20"/>
          <w:spacing w:val="-1"/>
        </w:rPr>
        <w:t> </w:t>
      </w:r>
      <w:r>
        <w:rPr>
          <w:color w:val="231F20"/>
        </w:rPr>
        <w:t>niños.</w:t>
      </w:r>
    </w:p>
    <w:p>
      <w:pPr>
        <w:pStyle w:val="BodyText"/>
        <w:spacing w:line="249" w:lineRule="auto" w:before="1"/>
        <w:ind w:left="110" w:right="111" w:firstLine="283"/>
        <w:jc w:val="both"/>
      </w:pPr>
      <w:r>
        <w:rPr>
          <w:color w:val="231F20"/>
        </w:rPr>
        <w:t>No queremos cerrar este micro-apartado sin mencionar algo del con- texto</w:t>
      </w:r>
      <w:r>
        <w:rPr>
          <w:color w:val="231F20"/>
          <w:spacing w:val="-4"/>
        </w:rPr>
        <w:t> </w:t>
      </w:r>
      <w:r>
        <w:rPr>
          <w:color w:val="231F20"/>
        </w:rPr>
        <w:t>estructural</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condición</w:t>
      </w:r>
      <w:r>
        <w:rPr>
          <w:color w:val="231F20"/>
          <w:spacing w:val="-4"/>
        </w:rPr>
        <w:t> </w:t>
      </w:r>
      <w:r>
        <w:rPr>
          <w:color w:val="231F20"/>
        </w:rPr>
        <w:t>laboral</w:t>
      </w:r>
      <w:r>
        <w:rPr>
          <w:color w:val="231F20"/>
          <w:spacing w:val="-4"/>
        </w:rPr>
        <w:t> </w:t>
      </w:r>
      <w:r>
        <w:rPr>
          <w:color w:val="231F20"/>
        </w:rPr>
        <w:t>de</w:t>
      </w:r>
      <w:r>
        <w:rPr>
          <w:color w:val="231F20"/>
          <w:spacing w:val="-4"/>
        </w:rPr>
        <w:t> </w:t>
      </w:r>
      <w:r>
        <w:rPr>
          <w:color w:val="231F20"/>
        </w:rPr>
        <w:t>algunos</w:t>
      </w:r>
      <w:r>
        <w:rPr>
          <w:color w:val="231F20"/>
          <w:spacing w:val="-4"/>
        </w:rPr>
        <w:t> </w:t>
      </w:r>
      <w:r>
        <w:rPr>
          <w:color w:val="231F20"/>
        </w:rPr>
        <w:t>miembros</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per- sonal, que también influye en su concepción sobre la demanda de su trabajo.</w:t>
      </w:r>
      <w:r>
        <w:rPr>
          <w:color w:val="231F20"/>
          <w:spacing w:val="-9"/>
        </w:rPr>
        <w:t> </w:t>
      </w:r>
      <w:r>
        <w:rPr>
          <w:color w:val="231F20"/>
        </w:rPr>
        <w:t>Durante</w:t>
      </w:r>
      <w:r>
        <w:rPr>
          <w:color w:val="231F20"/>
          <w:spacing w:val="-8"/>
        </w:rPr>
        <w:t> </w:t>
      </w:r>
      <w:r>
        <w:rPr>
          <w:color w:val="231F20"/>
        </w:rPr>
        <w:t>nuestras</w:t>
      </w:r>
      <w:r>
        <w:rPr>
          <w:color w:val="231F20"/>
          <w:spacing w:val="-9"/>
        </w:rPr>
        <w:t> </w:t>
      </w:r>
      <w:r>
        <w:rPr>
          <w:color w:val="231F20"/>
        </w:rPr>
        <w:t>visitas</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instituciones,</w:t>
      </w:r>
      <w:r>
        <w:rPr>
          <w:color w:val="231F20"/>
          <w:spacing w:val="-10"/>
        </w:rPr>
        <w:t> </w:t>
      </w:r>
      <w:r>
        <w:rPr>
          <w:color w:val="231F20"/>
        </w:rPr>
        <w:t>pudimos</w:t>
      </w:r>
      <w:r>
        <w:rPr>
          <w:color w:val="231F20"/>
          <w:spacing w:val="-9"/>
        </w:rPr>
        <w:t> </w:t>
      </w:r>
      <w:r>
        <w:rPr>
          <w:color w:val="231F20"/>
        </w:rPr>
        <w:t>conocer</w:t>
      </w:r>
      <w:r>
        <w:rPr>
          <w:color w:val="231F20"/>
          <w:spacing w:val="-9"/>
        </w:rPr>
        <w:t> </w:t>
      </w:r>
      <w:r>
        <w:rPr>
          <w:color w:val="231F20"/>
        </w:rPr>
        <w:t>que varios miembros manifestaban cierta resignación frente a lo que veían en sus instituciones, desde órdenes que para ellos podrían ser no justas hasta travesuras de algunos de los niños. Cuando les comentamos algo al respecto, una respuesta fue muy significativa en ese momento: “me tengo que aguantar, si no a dónde voy”. Esta respuesta nos remite a algo concreto: que quienes se ubican en los niveles jerárquicos más bajos, se ven obligados ―muchas veces contra su voluntad― a soportar las dis- tintas situaciones cotidianas, con tal de mantener su empleo. Pues bien, si tomamos en cuenta esta situación, se puede suponer que el   </w:t>
      </w:r>
      <w:r>
        <w:rPr>
          <w:color w:val="231F20"/>
          <w:spacing w:val="10"/>
        </w:rPr>
        <w:t> </w:t>
      </w:r>
      <w:r>
        <w:rPr>
          <w:color w:val="231F20"/>
        </w:rPr>
        <w:t>desgaste</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emocional, no sólo deriva de los casos de niños conocidos y los conflic- tos internos con sus pares, sino también de la impotencia que siente al soportar distintas situaciones que le afectan.</w:t>
      </w:r>
    </w:p>
    <w:p>
      <w:pPr>
        <w:pStyle w:val="Heading4"/>
      </w:pPr>
      <w:r>
        <w:rPr>
          <w:w w:val="75"/>
        </w:rPr>
        <w:t>El futuro dentro o fuera de las instituciones</w:t>
      </w:r>
    </w:p>
    <w:p>
      <w:pPr>
        <w:pStyle w:val="BodyText"/>
        <w:spacing w:line="249" w:lineRule="auto" w:before="171"/>
        <w:ind w:left="113" w:right="108"/>
        <w:jc w:val="both"/>
      </w:pPr>
      <w:r>
        <w:rPr>
          <w:color w:val="231F20"/>
        </w:rPr>
        <w:t>Un último tema que sobresale de los relatos del personal entrevistado y que se vincula con todo lo anterior, es el relativo a su futuro laboral. El cual, al igual que los dos anteriores, también presenta ciertos matices en función de los niveles jerárquicos. Veamos.</w:t>
      </w:r>
    </w:p>
    <w:p>
      <w:pPr>
        <w:pStyle w:val="BodyText"/>
        <w:spacing w:line="249" w:lineRule="auto" w:before="1"/>
        <w:ind w:left="113" w:right="107" w:firstLine="283"/>
        <w:jc w:val="both"/>
      </w:pPr>
      <w:r>
        <w:rPr>
          <w:color w:val="231F20"/>
        </w:rPr>
        <w:t>En el caso de los directivos, sobresalen dos posturas ciertamente opuestas: una que ubica su futuro laboral fuera de su lugar de trabajo y otra más que lo plantea dentro, las cuales corresponden a los directivos entrevistados de la institución pública y privada, respectivamente.</w:t>
      </w:r>
    </w:p>
    <w:p>
      <w:pPr>
        <w:pStyle w:val="BodyText"/>
        <w:spacing w:line="249" w:lineRule="auto" w:before="114"/>
        <w:ind w:left="397" w:right="108"/>
        <w:jc w:val="both"/>
      </w:pPr>
      <w:r>
        <w:rPr>
          <w:color w:val="231F20"/>
        </w:rPr>
        <w:t>[Como] ya te mencionaba, para mí trabajar aquí es un gran reto,</w:t>
      </w:r>
      <w:r>
        <w:rPr>
          <w:color w:val="231F20"/>
          <w:spacing w:val="-26"/>
        </w:rPr>
        <w:t> </w:t>
      </w:r>
      <w:r>
        <w:rPr>
          <w:color w:val="231F20"/>
        </w:rPr>
        <w:t>pero también te mencionaba que a mí me invitaron, eso significa que no puedo pensar en quedarme mucho tiempo aquí. Esta [institución]   es pública y tú sabes cada rato hay cambios, entonces aunque yo quisiera quedarme mucho tiempo, sé que esto no pasará [...]. Claro que cuando eso pase, seguramente me pondré triste, pero es así, es</w:t>
      </w:r>
      <w:r>
        <w:rPr>
          <w:color w:val="231F20"/>
          <w:spacing w:val="-20"/>
        </w:rPr>
        <w:t> </w:t>
      </w:r>
      <w:r>
        <w:rPr>
          <w:color w:val="231F20"/>
        </w:rPr>
        <w:t>la lógica (Directivo, institución</w:t>
      </w:r>
      <w:r>
        <w:rPr>
          <w:color w:val="231F20"/>
          <w:spacing w:val="-2"/>
        </w:rPr>
        <w:t> </w:t>
      </w:r>
      <w:r>
        <w:rPr>
          <w:color w:val="231F20"/>
        </w:rPr>
        <w:t>pública).</w:t>
      </w:r>
    </w:p>
    <w:p>
      <w:pPr>
        <w:pStyle w:val="BodyText"/>
        <w:spacing w:line="249" w:lineRule="auto" w:before="114"/>
        <w:ind w:left="397" w:right="107"/>
        <w:jc w:val="both"/>
      </w:pPr>
      <w:r>
        <w:rPr>
          <w:color w:val="231F20"/>
        </w:rPr>
        <w:t>[...] mi vida en los últimos años ha estado ligada a la casa [la insti- tución] mi marido es parte del patronato y yo he estado participando activamente [...] cuando me nombraron directora me sentí alagada y haré</w:t>
      </w:r>
      <w:r>
        <w:rPr>
          <w:color w:val="231F20"/>
          <w:spacing w:val="-10"/>
        </w:rPr>
        <w:t> </w:t>
      </w:r>
      <w:r>
        <w:rPr>
          <w:color w:val="231F20"/>
        </w:rPr>
        <w:t>mi</w:t>
      </w:r>
      <w:r>
        <w:rPr>
          <w:color w:val="231F20"/>
          <w:spacing w:val="-10"/>
        </w:rPr>
        <w:t> </w:t>
      </w:r>
      <w:r>
        <w:rPr>
          <w:color w:val="231F20"/>
        </w:rPr>
        <w:t>mejor</w:t>
      </w:r>
      <w:r>
        <w:rPr>
          <w:color w:val="231F20"/>
          <w:spacing w:val="-11"/>
        </w:rPr>
        <w:t> </w:t>
      </w:r>
      <w:r>
        <w:rPr>
          <w:color w:val="231F20"/>
        </w:rPr>
        <w:t>esfuerzo</w:t>
      </w:r>
      <w:r>
        <w:rPr>
          <w:color w:val="231F20"/>
          <w:spacing w:val="-11"/>
        </w:rPr>
        <w:t> </w:t>
      </w:r>
      <w:r>
        <w:rPr>
          <w:color w:val="231F20"/>
        </w:rPr>
        <w:t>hasta</w:t>
      </w:r>
      <w:r>
        <w:rPr>
          <w:color w:val="231F20"/>
          <w:spacing w:val="-10"/>
        </w:rPr>
        <w:t> </w:t>
      </w:r>
      <w:r>
        <w:rPr>
          <w:color w:val="231F20"/>
        </w:rPr>
        <w:t>que</w:t>
      </w:r>
      <w:r>
        <w:rPr>
          <w:color w:val="231F20"/>
          <w:spacing w:val="-10"/>
        </w:rPr>
        <w:t> </w:t>
      </w:r>
      <w:r>
        <w:rPr>
          <w:color w:val="231F20"/>
        </w:rPr>
        <w:t>pueda</w:t>
      </w:r>
      <w:r>
        <w:rPr>
          <w:color w:val="231F20"/>
          <w:spacing w:val="-10"/>
        </w:rPr>
        <w:t> </w:t>
      </w:r>
      <w:r>
        <w:rPr>
          <w:color w:val="231F20"/>
        </w:rPr>
        <w:t>[...]</w:t>
      </w:r>
      <w:r>
        <w:rPr>
          <w:color w:val="231F20"/>
          <w:spacing w:val="-10"/>
        </w:rPr>
        <w:t> </w:t>
      </w:r>
      <w:r>
        <w:rPr>
          <w:color w:val="231F20"/>
        </w:rPr>
        <w:t>Siempre</w:t>
      </w:r>
      <w:r>
        <w:rPr>
          <w:color w:val="231F20"/>
          <w:spacing w:val="-10"/>
        </w:rPr>
        <w:t> </w:t>
      </w:r>
      <w:r>
        <w:rPr>
          <w:color w:val="231F20"/>
        </w:rPr>
        <w:t>debe</w:t>
      </w:r>
      <w:r>
        <w:rPr>
          <w:color w:val="231F20"/>
          <w:spacing w:val="-10"/>
        </w:rPr>
        <w:t> </w:t>
      </w:r>
      <w:r>
        <w:rPr>
          <w:color w:val="231F20"/>
        </w:rPr>
        <w:t>haber</w:t>
      </w:r>
      <w:r>
        <w:rPr>
          <w:color w:val="231F20"/>
          <w:spacing w:val="-10"/>
        </w:rPr>
        <w:t> </w:t>
      </w:r>
      <w:r>
        <w:rPr>
          <w:color w:val="231F20"/>
        </w:rPr>
        <w:t>cam- bios</w:t>
      </w:r>
      <w:r>
        <w:rPr>
          <w:color w:val="231F20"/>
          <w:spacing w:val="-6"/>
        </w:rPr>
        <w:t> </w:t>
      </w:r>
      <w:r>
        <w:rPr>
          <w:color w:val="231F20"/>
        </w:rPr>
        <w:t>pero</w:t>
      </w:r>
      <w:r>
        <w:rPr>
          <w:color w:val="231F20"/>
          <w:spacing w:val="-6"/>
        </w:rPr>
        <w:t> </w:t>
      </w:r>
      <w:r>
        <w:rPr>
          <w:color w:val="231F20"/>
        </w:rPr>
        <w:t>no</w:t>
      </w:r>
      <w:r>
        <w:rPr>
          <w:color w:val="231F20"/>
          <w:spacing w:val="-6"/>
        </w:rPr>
        <w:t> </w:t>
      </w:r>
      <w:r>
        <w:rPr>
          <w:color w:val="231F20"/>
        </w:rPr>
        <w:t>lo</w:t>
      </w:r>
      <w:r>
        <w:rPr>
          <w:color w:val="231F20"/>
          <w:spacing w:val="-6"/>
        </w:rPr>
        <w:t> </w:t>
      </w:r>
      <w:r>
        <w:rPr>
          <w:color w:val="231F20"/>
        </w:rPr>
        <w:t>veo</w:t>
      </w:r>
      <w:r>
        <w:rPr>
          <w:color w:val="231F20"/>
          <w:spacing w:val="-6"/>
        </w:rPr>
        <w:t> </w:t>
      </w:r>
      <w:r>
        <w:rPr>
          <w:color w:val="231F20"/>
        </w:rPr>
        <w:t>cerca,</w:t>
      </w:r>
      <w:r>
        <w:rPr>
          <w:color w:val="231F20"/>
          <w:spacing w:val="-6"/>
        </w:rPr>
        <w:t> </w:t>
      </w:r>
      <w:r>
        <w:rPr>
          <w:color w:val="231F20"/>
        </w:rPr>
        <w:t>eso</w:t>
      </w:r>
      <w:r>
        <w:rPr>
          <w:color w:val="231F20"/>
          <w:spacing w:val="-6"/>
        </w:rPr>
        <w:t> </w:t>
      </w:r>
      <w:r>
        <w:rPr>
          <w:color w:val="231F20"/>
        </w:rPr>
        <w:t>lo</w:t>
      </w:r>
      <w:r>
        <w:rPr>
          <w:color w:val="231F20"/>
          <w:spacing w:val="-6"/>
        </w:rPr>
        <w:t> </w:t>
      </w:r>
      <w:r>
        <w:rPr>
          <w:color w:val="231F20"/>
        </w:rPr>
        <w:t>conozco,</w:t>
      </w:r>
      <w:r>
        <w:rPr>
          <w:color w:val="231F20"/>
          <w:spacing w:val="-6"/>
        </w:rPr>
        <w:t> </w:t>
      </w:r>
      <w:r>
        <w:rPr>
          <w:color w:val="231F20"/>
        </w:rPr>
        <w:t>además</w:t>
      </w:r>
      <w:r>
        <w:rPr>
          <w:color w:val="231F20"/>
          <w:spacing w:val="-6"/>
        </w:rPr>
        <w:t> </w:t>
      </w:r>
      <w:r>
        <w:rPr>
          <w:color w:val="231F20"/>
        </w:rPr>
        <w:t>[cuando</w:t>
      </w:r>
      <w:r>
        <w:rPr>
          <w:color w:val="231F20"/>
          <w:spacing w:val="-6"/>
        </w:rPr>
        <w:t> </w:t>
      </w:r>
      <w:r>
        <w:rPr>
          <w:color w:val="231F20"/>
        </w:rPr>
        <w:t>ocurra]</w:t>
      </w:r>
      <w:r>
        <w:rPr>
          <w:color w:val="231F20"/>
          <w:spacing w:val="-6"/>
        </w:rPr>
        <w:t> </w:t>
      </w:r>
      <w:r>
        <w:rPr>
          <w:color w:val="231F20"/>
        </w:rPr>
        <w:t>yo siempre estaré ligada de una manera o de otra (Directiva, institución privada).</w:t>
      </w:r>
    </w:p>
    <w:p>
      <w:pPr>
        <w:pStyle w:val="BodyText"/>
        <w:spacing w:line="249" w:lineRule="auto" w:before="114"/>
        <w:ind w:left="113" w:right="107" w:firstLine="283"/>
        <w:jc w:val="both"/>
      </w:pPr>
      <w:r>
        <w:rPr>
          <w:color w:val="231F20"/>
        </w:rPr>
        <w:t>Pero, ¿a qué se deben estas posturas? Si se leen detenidamente cada una de las citas de entrevistas y se ponen en contexto, se puede decir que al conocimiento de las de reglas formales e informales (Díaz </w:t>
      </w:r>
      <w:r>
        <w:rPr>
          <w:i/>
          <w:color w:val="231F20"/>
        </w:rPr>
        <w:t>et al</w:t>
      </w:r>
      <w:r>
        <w:rPr>
          <w:color w:val="231F20"/>
        </w:rPr>
        <w:t>., 2005) que implícitamente manejan los directivos y que los lleva a asu- mir que pueden o no durar en sus trabajos. En el caso del directivo de   la institución pública, por ejemplo, éste sabe ―quizás por su travesía institucional, por sus redes sociales o por cualquier otra razón― que su arribo a la institución deviene de una invitación, por lo que intuye que de la misma manera puede llegar alguien distinto a ocupar su lugar. Por su parte, la directiva conoce, a partir de su experiencia, que su estancia como</w:t>
      </w:r>
      <w:r>
        <w:rPr>
          <w:color w:val="231F20"/>
          <w:spacing w:val="-4"/>
        </w:rPr>
        <w:t> </w:t>
      </w:r>
      <w:r>
        <w:rPr>
          <w:color w:val="231F20"/>
        </w:rPr>
        <w:t>directora</w:t>
      </w:r>
      <w:r>
        <w:rPr>
          <w:color w:val="231F20"/>
          <w:spacing w:val="-4"/>
        </w:rPr>
        <w:t> </w:t>
      </w:r>
      <w:r>
        <w:rPr>
          <w:color w:val="231F20"/>
        </w:rPr>
        <w:t>no</w:t>
      </w:r>
      <w:r>
        <w:rPr>
          <w:color w:val="231F20"/>
          <w:spacing w:val="-4"/>
        </w:rPr>
        <w:t> </w:t>
      </w:r>
      <w:r>
        <w:rPr>
          <w:color w:val="231F20"/>
        </w:rPr>
        <w:t>estará</w:t>
      </w:r>
      <w:r>
        <w:rPr>
          <w:color w:val="231F20"/>
          <w:spacing w:val="-4"/>
        </w:rPr>
        <w:t> </w:t>
      </w:r>
      <w:r>
        <w:rPr>
          <w:color w:val="231F20"/>
        </w:rPr>
        <w:t>en</w:t>
      </w:r>
      <w:r>
        <w:rPr>
          <w:color w:val="231F20"/>
          <w:spacing w:val="-4"/>
        </w:rPr>
        <w:t> </w:t>
      </w:r>
      <w:r>
        <w:rPr>
          <w:color w:val="231F20"/>
        </w:rPr>
        <w:t>duda</w:t>
      </w:r>
      <w:r>
        <w:rPr>
          <w:color w:val="231F20"/>
          <w:spacing w:val="-4"/>
        </w:rPr>
        <w:t> </w:t>
      </w:r>
      <w:r>
        <w:rPr>
          <w:color w:val="231F20"/>
        </w:rPr>
        <w:t>durante</w:t>
      </w:r>
      <w:r>
        <w:rPr>
          <w:color w:val="231F20"/>
          <w:spacing w:val="-4"/>
        </w:rPr>
        <w:t> </w:t>
      </w:r>
      <w:r>
        <w:rPr>
          <w:color w:val="231F20"/>
        </w:rPr>
        <w:t>mucho</w:t>
      </w:r>
      <w:r>
        <w:rPr>
          <w:color w:val="231F20"/>
          <w:spacing w:val="-4"/>
        </w:rPr>
        <w:t> </w:t>
      </w:r>
      <w:r>
        <w:rPr>
          <w:color w:val="231F20"/>
        </w:rPr>
        <w:t>tiempo,</w:t>
      </w:r>
      <w:r>
        <w:rPr>
          <w:color w:val="231F20"/>
          <w:spacing w:val="-5"/>
        </w:rPr>
        <w:t> </w:t>
      </w:r>
      <w:r>
        <w:rPr>
          <w:color w:val="231F20"/>
        </w:rPr>
        <w:t>a</w:t>
      </w:r>
      <w:r>
        <w:rPr>
          <w:color w:val="231F20"/>
          <w:spacing w:val="-4"/>
        </w:rPr>
        <w:t> </w:t>
      </w:r>
      <w:r>
        <w:rPr>
          <w:color w:val="231F20"/>
        </w:rPr>
        <w:t>menos</w:t>
      </w:r>
      <w:r>
        <w:rPr>
          <w:color w:val="231F20"/>
          <w:spacing w:val="-4"/>
        </w:rPr>
        <w:t> </w:t>
      </w:r>
      <w:r>
        <w:rPr>
          <w:color w:val="231F20"/>
        </w:rPr>
        <w:t>que</w:t>
      </w:r>
      <w:r>
        <w:rPr>
          <w:color w:val="231F20"/>
          <w:spacing w:val="-4"/>
        </w:rPr>
        <w:t> </w:t>
      </w:r>
      <w:r>
        <w:rPr>
          <w:color w:val="231F20"/>
        </w:rPr>
        <w:t>se</w:t>
      </w:r>
    </w:p>
    <w:p>
      <w:pPr>
        <w:spacing w:after="0" w:line="249" w:lineRule="auto"/>
        <w:jc w:val="both"/>
        <w:sectPr>
          <w:footerReference w:type="default" r:id="rId318"/>
          <w:pgSz w:w="7770" w:h="11740"/>
          <w:pgMar w:footer="474" w:header="0" w:top="840" w:bottom="660" w:left="1020" w:right="740"/>
          <w:pgNumType w:start="321"/>
        </w:sectPr>
      </w:pPr>
    </w:p>
    <w:p>
      <w:pPr>
        <w:pStyle w:val="BodyText"/>
        <w:spacing w:line="249" w:lineRule="auto" w:before="60"/>
        <w:ind w:left="110" w:right="104"/>
      </w:pPr>
      <w:r>
        <w:rPr>
          <w:color w:val="231F20"/>
        </w:rPr>
        <w:t>presente una situación extraordinaria dentro de la institución, sobre todo porque su implicación en ella así se lo ha mostrado.</w:t>
      </w:r>
    </w:p>
    <w:p>
      <w:pPr>
        <w:pStyle w:val="BodyText"/>
        <w:spacing w:line="249" w:lineRule="auto" w:before="1"/>
        <w:ind w:left="110" w:right="111" w:firstLine="283"/>
        <w:jc w:val="both"/>
      </w:pPr>
      <w:r>
        <w:rPr>
          <w:color w:val="231F20"/>
        </w:rPr>
        <w:t>Es importante considerar empero que, a diferencia del resto del per- sonal entrevistado, los directivos de ambas instituciones parecen no preocuparles el hecho de poder dejar de laborar en las instituciones, lo más que indican son cuestiones de tristeza natural derivada de su cam- bio. Lo cual se puede interpretar como una confianza en su capital so- cial, político y evidentemente económico con que cuentan. Y es que, si recordamos lo mencionado previamente, los directivos serían parte de esos</w:t>
      </w:r>
      <w:r>
        <w:rPr>
          <w:color w:val="231F20"/>
          <w:spacing w:val="-7"/>
        </w:rPr>
        <w:t> </w:t>
      </w:r>
      <w:r>
        <w:rPr>
          <w:color w:val="231F20"/>
        </w:rPr>
        <w:t>grupo</w:t>
      </w:r>
      <w:r>
        <w:rPr>
          <w:color w:val="231F20"/>
          <w:spacing w:val="-6"/>
        </w:rPr>
        <w:t> </w:t>
      </w:r>
      <w:r>
        <w:rPr>
          <w:color w:val="231F20"/>
        </w:rPr>
        <w:t>que</w:t>
      </w:r>
      <w:r>
        <w:rPr>
          <w:color w:val="231F20"/>
          <w:spacing w:val="-6"/>
        </w:rPr>
        <w:t> </w:t>
      </w:r>
      <w:r>
        <w:rPr>
          <w:color w:val="231F20"/>
        </w:rPr>
        <w:t>están</w:t>
      </w:r>
      <w:r>
        <w:rPr>
          <w:color w:val="231F20"/>
          <w:spacing w:val="-7"/>
        </w:rPr>
        <w:t> </w:t>
      </w:r>
      <w:r>
        <w:rPr>
          <w:color w:val="231F20"/>
        </w:rPr>
        <w:t>ubicados</w:t>
      </w:r>
      <w:r>
        <w:rPr>
          <w:color w:val="231F20"/>
          <w:spacing w:val="-6"/>
        </w:rPr>
        <w:t> </w:t>
      </w:r>
      <w:r>
        <w:rPr>
          <w:color w:val="231F20"/>
        </w:rPr>
        <w:t>en</w:t>
      </w:r>
      <w:r>
        <w:rPr>
          <w:color w:val="231F20"/>
          <w:spacing w:val="-7"/>
        </w:rPr>
        <w:t> </w:t>
      </w:r>
      <w:r>
        <w:rPr>
          <w:color w:val="231F20"/>
        </w:rPr>
        <w:t>una</w:t>
      </w:r>
      <w:r>
        <w:rPr>
          <w:color w:val="231F20"/>
          <w:spacing w:val="-6"/>
        </w:rPr>
        <w:t> </w:t>
      </w:r>
      <w:r>
        <w:rPr>
          <w:color w:val="231F20"/>
        </w:rPr>
        <w:t>zona</w:t>
      </w:r>
      <w:r>
        <w:rPr>
          <w:color w:val="231F20"/>
          <w:spacing w:val="-7"/>
        </w:rPr>
        <w:t> </w:t>
      </w:r>
      <w:r>
        <w:rPr>
          <w:color w:val="231F20"/>
        </w:rPr>
        <w:t>de</w:t>
      </w:r>
      <w:r>
        <w:rPr>
          <w:color w:val="231F20"/>
          <w:spacing w:val="-6"/>
        </w:rPr>
        <w:t> </w:t>
      </w:r>
      <w:r>
        <w:rPr>
          <w:color w:val="231F20"/>
        </w:rPr>
        <w:t>integración</w:t>
      </w:r>
      <w:r>
        <w:rPr>
          <w:color w:val="231F20"/>
          <w:spacing w:val="-7"/>
        </w:rPr>
        <w:t> </w:t>
      </w:r>
      <w:r>
        <w:rPr>
          <w:color w:val="231F20"/>
        </w:rPr>
        <w:t>(Castel,</w:t>
      </w:r>
      <w:r>
        <w:rPr>
          <w:color w:val="231F20"/>
          <w:spacing w:val="-6"/>
        </w:rPr>
        <w:t> </w:t>
      </w:r>
      <w:r>
        <w:rPr>
          <w:color w:val="231F20"/>
        </w:rPr>
        <w:t>1995), donde</w:t>
      </w:r>
      <w:r>
        <w:rPr>
          <w:color w:val="231F20"/>
          <w:spacing w:val="-7"/>
        </w:rPr>
        <w:t> </w:t>
      </w:r>
      <w:r>
        <w:rPr>
          <w:color w:val="231F20"/>
        </w:rPr>
        <w:t>sus</w:t>
      </w:r>
      <w:r>
        <w:rPr>
          <w:color w:val="231F20"/>
          <w:spacing w:val="-7"/>
        </w:rPr>
        <w:t> </w:t>
      </w:r>
      <w:r>
        <w:rPr>
          <w:color w:val="231F20"/>
        </w:rPr>
        <w:t>vínculos</w:t>
      </w:r>
      <w:r>
        <w:rPr>
          <w:color w:val="231F20"/>
          <w:spacing w:val="-7"/>
        </w:rPr>
        <w:t> </w:t>
      </w:r>
      <w:r>
        <w:rPr>
          <w:color w:val="231F20"/>
        </w:rPr>
        <w:t>relacionales,</w:t>
      </w:r>
      <w:r>
        <w:rPr>
          <w:color w:val="231F20"/>
          <w:spacing w:val="-7"/>
        </w:rPr>
        <w:t> </w:t>
      </w:r>
      <w:r>
        <w:rPr>
          <w:color w:val="231F20"/>
        </w:rPr>
        <w:t>por</w:t>
      </w:r>
      <w:r>
        <w:rPr>
          <w:color w:val="231F20"/>
          <w:spacing w:val="-7"/>
        </w:rPr>
        <w:t> </w:t>
      </w:r>
      <w:r>
        <w:rPr>
          <w:color w:val="231F20"/>
        </w:rPr>
        <w:t>un</w:t>
      </w:r>
      <w:r>
        <w:rPr>
          <w:color w:val="231F20"/>
          <w:spacing w:val="-7"/>
        </w:rPr>
        <w:t> </w:t>
      </w:r>
      <w:r>
        <w:rPr>
          <w:color w:val="231F20"/>
        </w:rPr>
        <w:t>lado,</w:t>
      </w:r>
      <w:r>
        <w:rPr>
          <w:color w:val="231F20"/>
          <w:spacing w:val="-7"/>
        </w:rPr>
        <w:t> </w:t>
      </w:r>
      <w:r>
        <w:rPr>
          <w:color w:val="231F20"/>
        </w:rPr>
        <w:t>y</w:t>
      </w:r>
      <w:r>
        <w:rPr>
          <w:color w:val="231F20"/>
          <w:spacing w:val="-7"/>
        </w:rPr>
        <w:t> </w:t>
      </w:r>
      <w:r>
        <w:rPr>
          <w:color w:val="231F20"/>
        </w:rPr>
        <w:t>su</w:t>
      </w:r>
      <w:r>
        <w:rPr>
          <w:color w:val="231F20"/>
          <w:spacing w:val="-7"/>
        </w:rPr>
        <w:t> </w:t>
      </w:r>
      <w:r>
        <w:rPr>
          <w:color w:val="231F20"/>
        </w:rPr>
        <w:t>holgada</w:t>
      </w:r>
      <w:r>
        <w:rPr>
          <w:color w:val="231F20"/>
          <w:spacing w:val="-7"/>
        </w:rPr>
        <w:t> </w:t>
      </w:r>
      <w:r>
        <w:rPr>
          <w:color w:val="231F20"/>
        </w:rPr>
        <w:t>economía,</w:t>
      </w:r>
      <w:r>
        <w:rPr>
          <w:color w:val="231F20"/>
          <w:spacing w:val="-7"/>
        </w:rPr>
        <w:t> </w:t>
      </w:r>
      <w:r>
        <w:rPr>
          <w:color w:val="231F20"/>
        </w:rPr>
        <w:t>por otro,</w:t>
      </w:r>
      <w:r>
        <w:rPr>
          <w:color w:val="231F20"/>
          <w:spacing w:val="-7"/>
        </w:rPr>
        <w:t> </w:t>
      </w:r>
      <w:r>
        <w:rPr>
          <w:color w:val="231F20"/>
        </w:rPr>
        <w:t>harían</w:t>
      </w:r>
      <w:r>
        <w:rPr>
          <w:color w:val="231F20"/>
          <w:spacing w:val="-7"/>
        </w:rPr>
        <w:t> </w:t>
      </w:r>
      <w:r>
        <w:rPr>
          <w:color w:val="231F20"/>
        </w:rPr>
        <w:t>que</w:t>
      </w:r>
      <w:r>
        <w:rPr>
          <w:color w:val="231F20"/>
          <w:spacing w:val="-7"/>
        </w:rPr>
        <w:t> </w:t>
      </w:r>
      <w:r>
        <w:rPr>
          <w:color w:val="231F20"/>
        </w:rPr>
        <w:t>éstos</w:t>
      </w:r>
      <w:r>
        <w:rPr>
          <w:color w:val="231F20"/>
          <w:spacing w:val="-7"/>
        </w:rPr>
        <w:t> </w:t>
      </w:r>
      <w:r>
        <w:rPr>
          <w:color w:val="231F20"/>
        </w:rPr>
        <w:t>no</w:t>
      </w:r>
      <w:r>
        <w:rPr>
          <w:color w:val="231F20"/>
          <w:spacing w:val="-7"/>
        </w:rPr>
        <w:t> </w:t>
      </w:r>
      <w:r>
        <w:rPr>
          <w:color w:val="231F20"/>
        </w:rPr>
        <w:t>ofrecieran</w:t>
      </w:r>
      <w:r>
        <w:rPr>
          <w:color w:val="231F20"/>
          <w:spacing w:val="-7"/>
        </w:rPr>
        <w:t> </w:t>
      </w:r>
      <w:r>
        <w:rPr>
          <w:color w:val="231F20"/>
        </w:rPr>
        <w:t>mucha</w:t>
      </w:r>
      <w:r>
        <w:rPr>
          <w:color w:val="231F20"/>
          <w:spacing w:val="-7"/>
        </w:rPr>
        <w:t> </w:t>
      </w:r>
      <w:r>
        <w:rPr>
          <w:color w:val="231F20"/>
        </w:rPr>
        <w:t>atención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posible</w:t>
      </w:r>
      <w:r>
        <w:rPr>
          <w:color w:val="231F20"/>
          <w:spacing w:val="-7"/>
        </w:rPr>
        <w:t> </w:t>
      </w:r>
      <w:r>
        <w:rPr>
          <w:color w:val="231F20"/>
        </w:rPr>
        <w:t>salida</w:t>
      </w:r>
      <w:r>
        <w:rPr>
          <w:color w:val="231F20"/>
          <w:spacing w:val="-7"/>
        </w:rPr>
        <w:t> </w:t>
      </w:r>
      <w:r>
        <w:rPr>
          <w:color w:val="231F20"/>
        </w:rPr>
        <w:t>de sus</w:t>
      </w:r>
      <w:r>
        <w:rPr>
          <w:color w:val="231F20"/>
          <w:spacing w:val="-2"/>
        </w:rPr>
        <w:t> </w:t>
      </w:r>
      <w:r>
        <w:rPr>
          <w:color w:val="231F20"/>
        </w:rPr>
        <w:t>instituciones.</w:t>
      </w:r>
    </w:p>
    <w:p>
      <w:pPr>
        <w:pStyle w:val="BodyText"/>
        <w:spacing w:line="249" w:lineRule="auto" w:before="1"/>
        <w:ind w:left="37" w:right="111" w:firstLine="283"/>
        <w:jc w:val="right"/>
      </w:pPr>
      <w:r>
        <w:rPr>
          <w:color w:val="231F20"/>
        </w:rPr>
        <w:t>Por otro lado, entre el personal especializado destaca una postura dis- tinta sobre su futuro en las instituciones. Con excepción de una integran- te de la institución pública, que no se ve trabajando por mucho tiempo en la misma institución, el resto considera que su futuro laboral está en ella.</w:t>
      </w:r>
    </w:p>
    <w:p>
      <w:pPr>
        <w:pStyle w:val="BodyText"/>
        <w:spacing w:line="249" w:lineRule="auto" w:before="114"/>
        <w:ind w:left="393" w:right="111"/>
        <w:jc w:val="both"/>
      </w:pPr>
      <w:r>
        <w:rPr>
          <w:color w:val="231F20"/>
          <w:spacing w:val="-11"/>
        </w:rPr>
        <w:t>Yo</w:t>
      </w:r>
      <w:r>
        <w:rPr>
          <w:color w:val="231F20"/>
          <w:spacing w:val="-4"/>
        </w:rPr>
        <w:t> </w:t>
      </w:r>
      <w:r>
        <w:rPr>
          <w:color w:val="231F20"/>
        </w:rPr>
        <w:t>no</w:t>
      </w:r>
      <w:r>
        <w:rPr>
          <w:color w:val="231F20"/>
          <w:spacing w:val="-4"/>
        </w:rPr>
        <w:t> </w:t>
      </w:r>
      <w:r>
        <w:rPr>
          <w:color w:val="231F20"/>
        </w:rPr>
        <w:t>me</w:t>
      </w:r>
      <w:r>
        <w:rPr>
          <w:color w:val="231F20"/>
          <w:spacing w:val="-4"/>
        </w:rPr>
        <w:t> </w:t>
      </w:r>
      <w:r>
        <w:rPr>
          <w:color w:val="231F20"/>
        </w:rPr>
        <w:t>hago</w:t>
      </w:r>
      <w:r>
        <w:rPr>
          <w:color w:val="231F20"/>
          <w:spacing w:val="-4"/>
        </w:rPr>
        <w:t> </w:t>
      </w:r>
      <w:r>
        <w:rPr>
          <w:color w:val="231F20"/>
        </w:rPr>
        <w:t>en</w:t>
      </w:r>
      <w:r>
        <w:rPr>
          <w:color w:val="231F20"/>
          <w:spacing w:val="-5"/>
        </w:rPr>
        <w:t> </w:t>
      </w:r>
      <w:r>
        <w:rPr>
          <w:color w:val="231F20"/>
        </w:rPr>
        <w:t>otro</w:t>
      </w:r>
      <w:r>
        <w:rPr>
          <w:color w:val="231F20"/>
          <w:spacing w:val="-4"/>
        </w:rPr>
        <w:t> </w:t>
      </w:r>
      <w:r>
        <w:rPr>
          <w:color w:val="231F20"/>
        </w:rPr>
        <w:t>lugar</w:t>
      </w:r>
      <w:r>
        <w:rPr>
          <w:color w:val="231F20"/>
          <w:spacing w:val="-5"/>
        </w:rPr>
        <w:t> </w:t>
      </w:r>
      <w:r>
        <w:rPr>
          <w:color w:val="231F20"/>
        </w:rPr>
        <w:t>en</w:t>
      </w:r>
      <w:r>
        <w:rPr>
          <w:color w:val="231F20"/>
          <w:spacing w:val="-5"/>
        </w:rPr>
        <w:t> </w:t>
      </w:r>
      <w:r>
        <w:rPr>
          <w:color w:val="231F20"/>
        </w:rPr>
        <w:t>estos</w:t>
      </w:r>
      <w:r>
        <w:rPr>
          <w:color w:val="231F20"/>
          <w:spacing w:val="-5"/>
        </w:rPr>
        <w:t> </w:t>
      </w:r>
      <w:r>
        <w:rPr>
          <w:color w:val="231F20"/>
        </w:rPr>
        <w:t>momentos.</w:t>
      </w:r>
      <w:r>
        <w:rPr>
          <w:color w:val="231F20"/>
          <w:spacing w:val="-5"/>
        </w:rPr>
        <w:t> </w:t>
      </w:r>
      <w:r>
        <w:rPr>
          <w:color w:val="231F20"/>
        </w:rPr>
        <w:t>Las</w:t>
      </w:r>
      <w:r>
        <w:rPr>
          <w:color w:val="231F20"/>
          <w:spacing w:val="-5"/>
        </w:rPr>
        <w:t> </w:t>
      </w:r>
      <w:r>
        <w:rPr>
          <w:color w:val="231F20"/>
        </w:rPr>
        <w:t>cosas</w:t>
      </w:r>
      <w:r>
        <w:rPr>
          <w:color w:val="231F20"/>
          <w:spacing w:val="-5"/>
        </w:rPr>
        <w:t> </w:t>
      </w:r>
      <w:r>
        <w:rPr>
          <w:color w:val="231F20"/>
        </w:rPr>
        <w:t>que</w:t>
      </w:r>
      <w:r>
        <w:rPr>
          <w:color w:val="231F20"/>
          <w:spacing w:val="-4"/>
        </w:rPr>
        <w:t> </w:t>
      </w:r>
      <w:r>
        <w:rPr>
          <w:color w:val="231F20"/>
        </w:rPr>
        <w:t>hago, me llenan mucho y me hacen sentir mejor. Si tú me preguntas hasta cuándo</w:t>
      </w:r>
      <w:r>
        <w:rPr>
          <w:color w:val="231F20"/>
          <w:spacing w:val="-10"/>
        </w:rPr>
        <w:t> </w:t>
      </w:r>
      <w:r>
        <w:rPr>
          <w:color w:val="231F20"/>
        </w:rPr>
        <w:t>me</w:t>
      </w:r>
      <w:r>
        <w:rPr>
          <w:color w:val="231F20"/>
          <w:spacing w:val="-9"/>
        </w:rPr>
        <w:t> </w:t>
      </w:r>
      <w:r>
        <w:rPr>
          <w:color w:val="231F20"/>
        </w:rPr>
        <w:t>gustaría</w:t>
      </w:r>
      <w:r>
        <w:rPr>
          <w:color w:val="231F20"/>
          <w:spacing w:val="-9"/>
        </w:rPr>
        <w:t> </w:t>
      </w:r>
      <w:r>
        <w:rPr>
          <w:color w:val="231F20"/>
        </w:rPr>
        <w:t>trabajar,</w:t>
      </w:r>
      <w:r>
        <w:rPr>
          <w:color w:val="231F20"/>
          <w:spacing w:val="-9"/>
        </w:rPr>
        <w:t> </w:t>
      </w:r>
      <w:r>
        <w:rPr>
          <w:color w:val="231F20"/>
        </w:rPr>
        <w:t>te</w:t>
      </w:r>
      <w:r>
        <w:rPr>
          <w:color w:val="231F20"/>
          <w:spacing w:val="-9"/>
        </w:rPr>
        <w:t> </w:t>
      </w:r>
      <w:r>
        <w:rPr>
          <w:color w:val="231F20"/>
        </w:rPr>
        <w:t>diría</w:t>
      </w:r>
      <w:r>
        <w:rPr>
          <w:color w:val="231F20"/>
          <w:spacing w:val="-9"/>
        </w:rPr>
        <w:t> </w:t>
      </w:r>
      <w:r>
        <w:rPr>
          <w:color w:val="231F20"/>
        </w:rPr>
        <w:t>por</w:t>
      </w:r>
      <w:r>
        <w:rPr>
          <w:color w:val="231F20"/>
          <w:spacing w:val="-9"/>
        </w:rPr>
        <w:t> </w:t>
      </w:r>
      <w:r>
        <w:rPr>
          <w:color w:val="231F20"/>
        </w:rPr>
        <w:t>muchos</w:t>
      </w:r>
      <w:r>
        <w:rPr>
          <w:color w:val="231F20"/>
          <w:spacing w:val="-10"/>
        </w:rPr>
        <w:t> </w:t>
      </w:r>
      <w:r>
        <w:rPr>
          <w:color w:val="231F20"/>
        </w:rPr>
        <w:t>años,</w:t>
      </w:r>
      <w:r>
        <w:rPr>
          <w:color w:val="231F20"/>
          <w:spacing w:val="-10"/>
        </w:rPr>
        <w:t> </w:t>
      </w:r>
      <w:r>
        <w:rPr>
          <w:color w:val="231F20"/>
        </w:rPr>
        <w:t>aunque</w:t>
      </w:r>
      <w:r>
        <w:rPr>
          <w:color w:val="231F20"/>
          <w:spacing w:val="-10"/>
        </w:rPr>
        <w:t> </w:t>
      </w:r>
      <w:r>
        <w:rPr>
          <w:color w:val="231F20"/>
        </w:rPr>
        <w:t>a</w:t>
      </w:r>
      <w:r>
        <w:rPr>
          <w:color w:val="231F20"/>
          <w:spacing w:val="-9"/>
        </w:rPr>
        <w:t> </w:t>
      </w:r>
      <w:r>
        <w:rPr>
          <w:color w:val="231F20"/>
        </w:rPr>
        <w:t>veces uno no sabe (Trabajadora social, nota de campo, institución</w:t>
      </w:r>
      <w:r>
        <w:rPr>
          <w:color w:val="231F20"/>
          <w:spacing w:val="-35"/>
        </w:rPr>
        <w:t> </w:t>
      </w:r>
      <w:r>
        <w:rPr>
          <w:color w:val="231F20"/>
        </w:rPr>
        <w:t>pública).</w:t>
      </w:r>
    </w:p>
    <w:p>
      <w:pPr>
        <w:pStyle w:val="BodyText"/>
        <w:spacing w:line="249" w:lineRule="auto" w:before="114"/>
        <w:ind w:left="393" w:right="111"/>
        <w:jc w:val="both"/>
      </w:pPr>
      <w:r>
        <w:rPr>
          <w:color w:val="231F20"/>
        </w:rPr>
        <w:t>Igual que me decías de otra mis compañeras, yo me veo por muchos años</w:t>
      </w:r>
      <w:r>
        <w:rPr>
          <w:color w:val="231F20"/>
          <w:spacing w:val="-9"/>
        </w:rPr>
        <w:t> </w:t>
      </w:r>
      <w:r>
        <w:rPr>
          <w:color w:val="231F20"/>
        </w:rPr>
        <w:t>acá.</w:t>
      </w:r>
      <w:r>
        <w:rPr>
          <w:color w:val="231F20"/>
          <w:spacing w:val="-8"/>
        </w:rPr>
        <w:t> </w:t>
      </w:r>
      <w:r>
        <w:rPr>
          <w:color w:val="231F20"/>
        </w:rPr>
        <w:t>Puedo</w:t>
      </w:r>
      <w:r>
        <w:rPr>
          <w:color w:val="231F20"/>
          <w:spacing w:val="-8"/>
        </w:rPr>
        <w:t> </w:t>
      </w:r>
      <w:r>
        <w:rPr>
          <w:color w:val="231F20"/>
        </w:rPr>
        <w:t>estar</w:t>
      </w:r>
      <w:r>
        <w:rPr>
          <w:color w:val="231F20"/>
          <w:spacing w:val="-9"/>
        </w:rPr>
        <w:t> </w:t>
      </w:r>
      <w:r>
        <w:rPr>
          <w:color w:val="231F20"/>
        </w:rPr>
        <w:t>ayudando</w:t>
      </w:r>
      <w:r>
        <w:rPr>
          <w:color w:val="231F20"/>
          <w:spacing w:val="-9"/>
        </w:rPr>
        <w:t> </w:t>
      </w:r>
      <w:r>
        <w:rPr>
          <w:color w:val="231F20"/>
        </w:rPr>
        <w:t>a</w:t>
      </w:r>
      <w:r>
        <w:rPr>
          <w:color w:val="231F20"/>
          <w:spacing w:val="-8"/>
        </w:rPr>
        <w:t> </w:t>
      </w:r>
      <w:r>
        <w:rPr>
          <w:color w:val="231F20"/>
        </w:rPr>
        <w:t>estos</w:t>
      </w:r>
      <w:r>
        <w:rPr>
          <w:color w:val="231F20"/>
          <w:spacing w:val="-9"/>
        </w:rPr>
        <w:t> </w:t>
      </w:r>
      <w:r>
        <w:rPr>
          <w:color w:val="231F20"/>
        </w:rPr>
        <w:t>pequeñitos</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que</w:t>
      </w:r>
      <w:r>
        <w:rPr>
          <w:color w:val="231F20"/>
          <w:spacing w:val="-8"/>
        </w:rPr>
        <w:t> </w:t>
      </w:r>
      <w:r>
        <w:rPr>
          <w:color w:val="231F20"/>
        </w:rPr>
        <w:t>aprendí en mi licenciatura (Psicóloga, institución</w:t>
      </w:r>
      <w:r>
        <w:rPr>
          <w:color w:val="231F20"/>
          <w:spacing w:val="-3"/>
        </w:rPr>
        <w:t> </w:t>
      </w:r>
      <w:r>
        <w:rPr>
          <w:color w:val="231F20"/>
        </w:rPr>
        <w:t>pública).</w:t>
      </w:r>
    </w:p>
    <w:p>
      <w:pPr>
        <w:pStyle w:val="BodyText"/>
        <w:spacing w:line="249" w:lineRule="auto" w:before="114"/>
        <w:ind w:left="393" w:right="110"/>
        <w:jc w:val="both"/>
      </w:pPr>
      <w:r>
        <w:rPr>
          <w:color w:val="231F20"/>
        </w:rPr>
        <w:t>Yo tengo la camiseta puesta, yo no me hago en otro lado, haciendo otras cosas, aquí tengo muchos años y quiero más. Aquí están mis proyectos, pero el futuro uno no lo sabe (Pedagoga, nota de campo, institución pública).</w:t>
      </w:r>
    </w:p>
    <w:p>
      <w:pPr>
        <w:pStyle w:val="BodyText"/>
        <w:spacing w:line="249" w:lineRule="auto" w:before="114"/>
        <w:ind w:left="393" w:right="111"/>
        <w:jc w:val="both"/>
      </w:pPr>
      <w:r>
        <w:rPr>
          <w:color w:val="231F20"/>
        </w:rPr>
        <w:t>[...] El tiempo que tengo de trabajar con los niños [seis años] ya me encariñé con dos que los abandonaron sus papás. Desde que llegué como que les caí bien y me llaman [...] yo deseo estar mucho tiempo aquí</w:t>
      </w:r>
      <w:r>
        <w:rPr>
          <w:color w:val="231F20"/>
          <w:spacing w:val="-9"/>
        </w:rPr>
        <w:t> </w:t>
      </w:r>
      <w:r>
        <w:rPr>
          <w:color w:val="231F20"/>
        </w:rPr>
        <w:t>para</w:t>
      </w:r>
      <w:r>
        <w:rPr>
          <w:color w:val="231F20"/>
          <w:spacing w:val="-9"/>
        </w:rPr>
        <w:t> </w:t>
      </w:r>
      <w:r>
        <w:rPr>
          <w:color w:val="231F20"/>
        </w:rPr>
        <w:t>velar</w:t>
      </w:r>
      <w:r>
        <w:rPr>
          <w:color w:val="231F20"/>
          <w:spacing w:val="-9"/>
        </w:rPr>
        <w:t> </w:t>
      </w:r>
      <w:r>
        <w:rPr>
          <w:color w:val="231F20"/>
        </w:rPr>
        <w:t>por</w:t>
      </w:r>
      <w:r>
        <w:rPr>
          <w:color w:val="231F20"/>
          <w:spacing w:val="-9"/>
        </w:rPr>
        <w:t> </w:t>
      </w:r>
      <w:r>
        <w:rPr>
          <w:color w:val="231F20"/>
        </w:rPr>
        <w:t>ellos</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los</w:t>
      </w:r>
      <w:r>
        <w:rPr>
          <w:color w:val="231F20"/>
          <w:spacing w:val="-9"/>
        </w:rPr>
        <w:t> </w:t>
      </w:r>
      <w:r>
        <w:rPr>
          <w:color w:val="231F20"/>
        </w:rPr>
        <w:t>demás,</w:t>
      </w:r>
      <w:r>
        <w:rPr>
          <w:color w:val="231F20"/>
          <w:spacing w:val="-9"/>
        </w:rPr>
        <w:t> </w:t>
      </w:r>
      <w:r>
        <w:rPr>
          <w:color w:val="231F20"/>
        </w:rPr>
        <w:t>pero</w:t>
      </w:r>
      <w:r>
        <w:rPr>
          <w:color w:val="231F20"/>
          <w:spacing w:val="-9"/>
        </w:rPr>
        <w:t> </w:t>
      </w:r>
      <w:r>
        <w:rPr>
          <w:color w:val="231F20"/>
        </w:rPr>
        <w:t>a</w:t>
      </w:r>
      <w:r>
        <w:rPr>
          <w:color w:val="231F20"/>
          <w:spacing w:val="-9"/>
        </w:rPr>
        <w:t> </w:t>
      </w:r>
      <w:r>
        <w:rPr>
          <w:color w:val="231F20"/>
        </w:rPr>
        <w:t>veces</w:t>
      </w:r>
      <w:r>
        <w:rPr>
          <w:color w:val="231F20"/>
          <w:spacing w:val="-9"/>
        </w:rPr>
        <w:t> </w:t>
      </w:r>
      <w:r>
        <w:rPr>
          <w:color w:val="231F20"/>
        </w:rPr>
        <w:t>las</w:t>
      </w:r>
      <w:r>
        <w:rPr>
          <w:color w:val="231F20"/>
          <w:spacing w:val="-9"/>
        </w:rPr>
        <w:t> </w:t>
      </w:r>
      <w:r>
        <w:rPr>
          <w:color w:val="231F20"/>
        </w:rPr>
        <w:t>condiciones que tienes no ayuda mucho [...]. Entonces [...], qué te puedo decir, si me dijeran [...] hay un mejor trabajo en equis lugar, yo no lo descar- taría y vería si me iría [...]. Me dolería mucho, sobre todo por los ni- ños, pero también tengo una familia (Psicóloga, institución</w:t>
      </w:r>
      <w:r>
        <w:rPr>
          <w:color w:val="231F20"/>
          <w:spacing w:val="-4"/>
        </w:rPr>
        <w:t> </w:t>
      </w:r>
      <w:r>
        <w:rPr>
          <w:color w:val="231F20"/>
        </w:rPr>
        <w:t>pública).</w:t>
      </w:r>
    </w:p>
    <w:p>
      <w:pPr>
        <w:pStyle w:val="BodyText"/>
        <w:spacing w:line="249" w:lineRule="auto" w:before="114"/>
        <w:ind w:left="110" w:right="111" w:firstLine="283"/>
        <w:jc w:val="both"/>
      </w:pPr>
      <w:r>
        <w:rPr>
          <w:color w:val="231F20"/>
        </w:rPr>
        <w:t>Lo anterior se puede entender acudiendo a lo manifestado en las lí- neas previas. Si leemos cada una de ellas y en conjunto podemos inferir</w:t>
      </w:r>
    </w:p>
    <w:p>
      <w:pPr>
        <w:spacing w:after="0" w:line="249" w:lineRule="auto"/>
        <w:jc w:val="both"/>
        <w:sectPr>
          <w:pgSz w:w="7770" w:h="11740"/>
          <w:pgMar w:header="0" w:footer="474" w:top="840" w:bottom="740" w:left="740" w:right="1020"/>
        </w:sectPr>
      </w:pPr>
    </w:p>
    <w:p>
      <w:pPr>
        <w:pStyle w:val="BodyText"/>
        <w:spacing w:line="249" w:lineRule="auto" w:before="60"/>
        <w:ind w:left="113" w:right="107"/>
        <w:jc w:val="both"/>
      </w:pPr>
      <w:r>
        <w:rPr>
          <w:color w:val="231F20"/>
        </w:rPr>
        <w:t>que ello se debe a que conciben que, si bien su empleo les absorbe en demasía y a veces no les dota de los recursos necesarios para sus activi- dades, les da la posibilidad de desarrollarse profesionalmente, ayudar a los</w:t>
      </w:r>
      <w:r>
        <w:rPr>
          <w:color w:val="231F20"/>
          <w:spacing w:val="-8"/>
        </w:rPr>
        <w:t> </w:t>
      </w:r>
      <w:r>
        <w:rPr>
          <w:color w:val="231F20"/>
        </w:rPr>
        <w:t>niños</w:t>
      </w:r>
      <w:r>
        <w:rPr>
          <w:color w:val="231F20"/>
          <w:spacing w:val="-8"/>
        </w:rPr>
        <w:t> </w:t>
      </w:r>
      <w:r>
        <w:rPr>
          <w:color w:val="231F20"/>
        </w:rPr>
        <w:t>y</w:t>
      </w:r>
      <w:r>
        <w:rPr>
          <w:color w:val="231F20"/>
          <w:spacing w:val="-8"/>
        </w:rPr>
        <w:t> </w:t>
      </w:r>
      <w:r>
        <w:rPr>
          <w:color w:val="231F20"/>
        </w:rPr>
        <w:t>llevar</w:t>
      </w:r>
      <w:r>
        <w:rPr>
          <w:color w:val="231F20"/>
          <w:spacing w:val="-9"/>
        </w:rPr>
        <w:t> </w:t>
      </w:r>
      <w:r>
        <w:rPr>
          <w:color w:val="231F20"/>
        </w:rPr>
        <w:t>a</w:t>
      </w:r>
      <w:r>
        <w:rPr>
          <w:color w:val="231F20"/>
          <w:spacing w:val="-8"/>
        </w:rPr>
        <w:t> </w:t>
      </w:r>
      <w:r>
        <w:rPr>
          <w:color w:val="231F20"/>
        </w:rPr>
        <w:t>cabo</w:t>
      </w:r>
      <w:r>
        <w:rPr>
          <w:color w:val="231F20"/>
          <w:spacing w:val="-8"/>
        </w:rPr>
        <w:t> </w:t>
      </w:r>
      <w:r>
        <w:rPr>
          <w:color w:val="231F20"/>
        </w:rPr>
        <w:t>sus</w:t>
      </w:r>
      <w:r>
        <w:rPr>
          <w:color w:val="231F20"/>
          <w:spacing w:val="-8"/>
        </w:rPr>
        <w:t> </w:t>
      </w:r>
      <w:r>
        <w:rPr>
          <w:color w:val="231F20"/>
        </w:rPr>
        <w:t>proyectos</w:t>
      </w:r>
      <w:r>
        <w:rPr>
          <w:color w:val="231F20"/>
          <w:spacing w:val="-8"/>
        </w:rPr>
        <w:t> </w:t>
      </w:r>
      <w:r>
        <w:rPr>
          <w:color w:val="231F20"/>
        </w:rPr>
        <w:t>personales.</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tanto,</w:t>
      </w:r>
      <w:r>
        <w:rPr>
          <w:color w:val="231F20"/>
          <w:spacing w:val="-9"/>
        </w:rPr>
        <w:t> </w:t>
      </w:r>
      <w:r>
        <w:rPr>
          <w:color w:val="231F20"/>
        </w:rPr>
        <w:t>para</w:t>
      </w:r>
      <w:r>
        <w:rPr>
          <w:color w:val="231F20"/>
          <w:spacing w:val="-8"/>
        </w:rPr>
        <w:t> </w:t>
      </w:r>
      <w:r>
        <w:rPr>
          <w:color w:val="231F20"/>
        </w:rPr>
        <w:t>ellos su</w:t>
      </w:r>
      <w:r>
        <w:rPr>
          <w:color w:val="231F20"/>
          <w:spacing w:val="-6"/>
        </w:rPr>
        <w:t> </w:t>
      </w:r>
      <w:r>
        <w:rPr>
          <w:color w:val="231F20"/>
        </w:rPr>
        <w:t>futuro</w:t>
      </w:r>
      <w:r>
        <w:rPr>
          <w:color w:val="231F20"/>
          <w:spacing w:val="-6"/>
        </w:rPr>
        <w:t> </w:t>
      </w:r>
      <w:r>
        <w:rPr>
          <w:color w:val="231F20"/>
        </w:rPr>
        <w:t>laboral</w:t>
      </w:r>
      <w:r>
        <w:rPr>
          <w:color w:val="231F20"/>
          <w:spacing w:val="-7"/>
        </w:rPr>
        <w:t> </w:t>
      </w:r>
      <w:r>
        <w:rPr>
          <w:color w:val="231F20"/>
        </w:rPr>
        <w:t>no</w:t>
      </w:r>
      <w:r>
        <w:rPr>
          <w:color w:val="231F20"/>
          <w:spacing w:val="-6"/>
        </w:rPr>
        <w:t> </w:t>
      </w:r>
      <w:r>
        <w:rPr>
          <w:color w:val="231F20"/>
        </w:rPr>
        <w:t>puede</w:t>
      </w:r>
      <w:r>
        <w:rPr>
          <w:color w:val="231F20"/>
          <w:spacing w:val="-6"/>
        </w:rPr>
        <w:t> </w:t>
      </w:r>
      <w:r>
        <w:rPr>
          <w:color w:val="231F20"/>
        </w:rPr>
        <w:t>estar</w:t>
      </w:r>
      <w:r>
        <w:rPr>
          <w:color w:val="231F20"/>
          <w:spacing w:val="-6"/>
        </w:rPr>
        <w:t> </w:t>
      </w:r>
      <w:r>
        <w:rPr>
          <w:color w:val="231F20"/>
        </w:rPr>
        <w:t>en</w:t>
      </w:r>
      <w:r>
        <w:rPr>
          <w:color w:val="231F20"/>
          <w:spacing w:val="-6"/>
        </w:rPr>
        <w:t> </w:t>
      </w:r>
      <w:r>
        <w:rPr>
          <w:color w:val="231F20"/>
        </w:rPr>
        <w:t>otro</w:t>
      </w:r>
      <w:r>
        <w:rPr>
          <w:color w:val="231F20"/>
          <w:spacing w:val="-6"/>
        </w:rPr>
        <w:t> </w:t>
      </w:r>
      <w:r>
        <w:rPr>
          <w:color w:val="231F20"/>
        </w:rPr>
        <w:t>lado</w:t>
      </w:r>
      <w:r>
        <w:rPr>
          <w:color w:val="231F20"/>
          <w:spacing w:val="-6"/>
        </w:rPr>
        <w:t> </w:t>
      </w:r>
      <w:r>
        <w:rPr>
          <w:color w:val="231F20"/>
        </w:rPr>
        <w:t>más</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institución,</w:t>
      </w:r>
      <w:r>
        <w:rPr>
          <w:color w:val="231F20"/>
          <w:spacing w:val="-6"/>
        </w:rPr>
        <w:t> </w:t>
      </w:r>
      <w:r>
        <w:rPr>
          <w:color w:val="231F20"/>
        </w:rPr>
        <w:t>al menos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mediano</w:t>
      </w:r>
      <w:r>
        <w:rPr>
          <w:color w:val="231F20"/>
          <w:spacing w:val="-6"/>
        </w:rPr>
        <w:t> </w:t>
      </w:r>
      <w:r>
        <w:rPr>
          <w:color w:val="231F20"/>
        </w:rPr>
        <w:t>plazo,</w:t>
      </w:r>
      <w:r>
        <w:rPr>
          <w:color w:val="231F20"/>
          <w:spacing w:val="-6"/>
        </w:rPr>
        <w:t> </w:t>
      </w:r>
      <w:r>
        <w:rPr>
          <w:color w:val="231F20"/>
        </w:rPr>
        <w:t>pues</w:t>
      </w:r>
      <w:r>
        <w:rPr>
          <w:color w:val="231F20"/>
          <w:spacing w:val="-6"/>
        </w:rPr>
        <w:t> </w:t>
      </w:r>
      <w:r>
        <w:rPr>
          <w:color w:val="231F20"/>
        </w:rPr>
        <w:t>aunque</w:t>
      </w:r>
      <w:r>
        <w:rPr>
          <w:color w:val="231F20"/>
          <w:spacing w:val="-6"/>
        </w:rPr>
        <w:t> </w:t>
      </w:r>
      <w:r>
        <w:rPr>
          <w:color w:val="231F20"/>
        </w:rPr>
        <w:t>les</w:t>
      </w:r>
      <w:r>
        <w:rPr>
          <w:color w:val="231F20"/>
          <w:spacing w:val="-6"/>
        </w:rPr>
        <w:t> </w:t>
      </w:r>
      <w:r>
        <w:rPr>
          <w:color w:val="231F20"/>
        </w:rPr>
        <w:t>llega</w:t>
      </w:r>
      <w:r>
        <w:rPr>
          <w:color w:val="231F20"/>
          <w:spacing w:val="-6"/>
        </w:rPr>
        <w:t> </w:t>
      </w:r>
      <w:r>
        <w:rPr>
          <w:color w:val="231F20"/>
        </w:rPr>
        <w:t>a</w:t>
      </w:r>
      <w:r>
        <w:rPr>
          <w:color w:val="231F20"/>
          <w:spacing w:val="-6"/>
        </w:rPr>
        <w:t> </w:t>
      </w:r>
      <w:r>
        <w:rPr>
          <w:color w:val="231F20"/>
        </w:rPr>
        <w:t>faltar</w:t>
      </w:r>
      <w:r>
        <w:rPr>
          <w:color w:val="231F20"/>
          <w:spacing w:val="-6"/>
        </w:rPr>
        <w:t> </w:t>
      </w:r>
      <w:r>
        <w:rPr>
          <w:color w:val="231F20"/>
        </w:rPr>
        <w:t>recursos</w:t>
      </w:r>
      <w:r>
        <w:rPr>
          <w:color w:val="231F20"/>
          <w:spacing w:val="-6"/>
        </w:rPr>
        <w:t> </w:t>
      </w:r>
      <w:r>
        <w:rPr>
          <w:color w:val="231F20"/>
        </w:rPr>
        <w:t>tienen algunos básicos para</w:t>
      </w:r>
      <w:r>
        <w:rPr>
          <w:color w:val="231F20"/>
          <w:spacing w:val="-1"/>
        </w:rPr>
        <w:t> </w:t>
      </w:r>
      <w:r>
        <w:rPr>
          <w:color w:val="231F20"/>
        </w:rPr>
        <w:t>desarrollarse.</w:t>
      </w:r>
    </w:p>
    <w:p>
      <w:pPr>
        <w:pStyle w:val="BodyText"/>
        <w:spacing w:line="249" w:lineRule="auto" w:before="1"/>
        <w:ind w:left="113" w:right="107" w:firstLine="283"/>
        <w:jc w:val="both"/>
      </w:pPr>
      <w:r>
        <w:rPr>
          <w:color w:val="231F20"/>
        </w:rPr>
        <w:t>Sin embargo, y esto también es interesante, nadie se negaría a escu- char otra oferta laboral si les beneficiara sensiblemente. De hecho, una de las psicólogas así lo manifestaba: “qué te puedo decir, si me dijeran [...] hay un mejor trabajo en equis lugar, yo no lo descartaría y vería si me</w:t>
      </w:r>
      <w:r>
        <w:rPr>
          <w:color w:val="231F20"/>
          <w:spacing w:val="-9"/>
        </w:rPr>
        <w:t> </w:t>
      </w:r>
      <w:r>
        <w:rPr>
          <w:color w:val="231F20"/>
        </w:rPr>
        <w:t>iría”.</w:t>
      </w:r>
      <w:r>
        <w:rPr>
          <w:color w:val="231F20"/>
          <w:spacing w:val="-10"/>
        </w:rPr>
        <w:t> </w:t>
      </w:r>
      <w:r>
        <w:rPr>
          <w:color w:val="231F20"/>
        </w:rPr>
        <w:t>Ciertamente</w:t>
      </w:r>
      <w:r>
        <w:rPr>
          <w:color w:val="231F20"/>
          <w:spacing w:val="-9"/>
        </w:rPr>
        <w:t> </w:t>
      </w:r>
      <w:r>
        <w:rPr>
          <w:color w:val="231F20"/>
        </w:rPr>
        <w:t>desde</w:t>
      </w:r>
      <w:r>
        <w:rPr>
          <w:color w:val="231F20"/>
          <w:spacing w:val="-9"/>
        </w:rPr>
        <w:t> </w:t>
      </w:r>
      <w:r>
        <w:rPr>
          <w:color w:val="231F20"/>
        </w:rPr>
        <w:t>un</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vista</w:t>
      </w:r>
      <w:r>
        <w:rPr>
          <w:color w:val="231F20"/>
          <w:spacing w:val="-9"/>
        </w:rPr>
        <w:t> </w:t>
      </w:r>
      <w:r>
        <w:rPr>
          <w:color w:val="231F20"/>
        </w:rPr>
        <w:t>alejado</w:t>
      </w:r>
      <w:r>
        <w:rPr>
          <w:color w:val="231F20"/>
          <w:spacing w:val="-10"/>
        </w:rPr>
        <w:t> </w:t>
      </w:r>
      <w:r>
        <w:rPr>
          <w:color w:val="231F20"/>
        </w:rPr>
        <w:t>y</w:t>
      </w:r>
      <w:r>
        <w:rPr>
          <w:color w:val="231F20"/>
          <w:spacing w:val="-9"/>
        </w:rPr>
        <w:t> </w:t>
      </w:r>
      <w:r>
        <w:rPr>
          <w:color w:val="231F20"/>
        </w:rPr>
        <w:t>posmoderno,</w:t>
      </w:r>
      <w:r>
        <w:rPr>
          <w:color w:val="231F20"/>
          <w:spacing w:val="-9"/>
        </w:rPr>
        <w:t> </w:t>
      </w:r>
      <w:r>
        <w:rPr>
          <w:color w:val="231F20"/>
        </w:rPr>
        <w:t>esta última postura pareciera ser muestra fehaciente del desarraigo laboral que manejan muchos sujetos en la actualidad y que los lleva a cambiar de</w:t>
      </w:r>
      <w:r>
        <w:rPr>
          <w:color w:val="231F20"/>
          <w:spacing w:val="-7"/>
        </w:rPr>
        <w:t> </w:t>
      </w:r>
      <w:r>
        <w:rPr>
          <w:color w:val="231F20"/>
        </w:rPr>
        <w:t>empleo</w:t>
      </w:r>
      <w:r>
        <w:rPr>
          <w:color w:val="231F20"/>
          <w:spacing w:val="-7"/>
        </w:rPr>
        <w:t> </w:t>
      </w:r>
      <w:r>
        <w:rPr>
          <w:color w:val="231F20"/>
        </w:rPr>
        <w:t>tan</w:t>
      </w:r>
      <w:r>
        <w:rPr>
          <w:color w:val="231F20"/>
          <w:spacing w:val="-7"/>
        </w:rPr>
        <w:t> </w:t>
      </w:r>
      <w:r>
        <w:rPr>
          <w:color w:val="231F20"/>
        </w:rPr>
        <w:t>pronto</w:t>
      </w:r>
      <w:r>
        <w:rPr>
          <w:color w:val="231F20"/>
          <w:spacing w:val="-7"/>
        </w:rPr>
        <w:t> </w:t>
      </w:r>
      <w:r>
        <w:rPr>
          <w:color w:val="231F20"/>
        </w:rPr>
        <w:t>tienen</w:t>
      </w:r>
      <w:r>
        <w:rPr>
          <w:color w:val="231F20"/>
          <w:spacing w:val="-7"/>
        </w:rPr>
        <w:t> </w:t>
      </w:r>
      <w:r>
        <w:rPr>
          <w:color w:val="231F20"/>
        </w:rPr>
        <w:t>la</w:t>
      </w:r>
      <w:r>
        <w:rPr>
          <w:color w:val="231F20"/>
          <w:spacing w:val="-7"/>
        </w:rPr>
        <w:t> </w:t>
      </w:r>
      <w:r>
        <w:rPr>
          <w:color w:val="231F20"/>
        </w:rPr>
        <w:t>oportunidad;</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desde</w:t>
      </w:r>
      <w:r>
        <w:rPr>
          <w:color w:val="231F20"/>
          <w:spacing w:val="-7"/>
        </w:rPr>
        <w:t> </w:t>
      </w:r>
      <w:r>
        <w:rPr>
          <w:color w:val="231F20"/>
        </w:rPr>
        <w:t>un</w:t>
      </w:r>
      <w:r>
        <w:rPr>
          <w:color w:val="231F20"/>
          <w:spacing w:val="-7"/>
        </w:rPr>
        <w:t> </w:t>
      </w:r>
      <w:r>
        <w:rPr>
          <w:color w:val="231F20"/>
        </w:rPr>
        <w:t>punto de vista más cercano, podemos decir que en realidad es muestra de la capacidad de discernir que tiene el personal para tratar de afrontar las condiciones laborales cada vez más minimalistas o</w:t>
      </w:r>
      <w:r>
        <w:rPr>
          <w:color w:val="231F20"/>
          <w:spacing w:val="-5"/>
        </w:rPr>
        <w:t> </w:t>
      </w:r>
      <w:r>
        <w:rPr>
          <w:color w:val="231F20"/>
        </w:rPr>
        <w:t>precarias.</w:t>
      </w:r>
    </w:p>
    <w:p>
      <w:pPr>
        <w:pStyle w:val="BodyText"/>
        <w:spacing w:line="249" w:lineRule="auto" w:before="1"/>
        <w:ind w:left="113" w:right="107" w:firstLine="283"/>
        <w:jc w:val="both"/>
      </w:pPr>
      <w:r>
        <w:rPr>
          <w:color w:val="231F20"/>
        </w:rPr>
        <w:t>Por último, entre el personal operativo entrevistado sobresalen dos posturas más o menos discernibles sobre el tema en cuestión: por una parte,</w:t>
      </w:r>
      <w:r>
        <w:rPr>
          <w:color w:val="231F20"/>
          <w:spacing w:val="-7"/>
        </w:rPr>
        <w:t> </w:t>
      </w:r>
      <w:r>
        <w:rPr>
          <w:color w:val="231F20"/>
        </w:rPr>
        <w:t>una</w:t>
      </w:r>
      <w:r>
        <w:rPr>
          <w:color w:val="231F20"/>
          <w:spacing w:val="-7"/>
        </w:rPr>
        <w:t> </w:t>
      </w:r>
      <w:r>
        <w:rPr>
          <w:color w:val="231F20"/>
        </w:rPr>
        <w:t>postura</w:t>
      </w:r>
      <w:r>
        <w:rPr>
          <w:color w:val="231F20"/>
          <w:spacing w:val="-7"/>
        </w:rPr>
        <w:t> </w:t>
      </w:r>
      <w:r>
        <w:rPr>
          <w:color w:val="231F20"/>
        </w:rPr>
        <w:t>minoritaria</w:t>
      </w:r>
      <w:r>
        <w:rPr>
          <w:color w:val="231F20"/>
          <w:spacing w:val="-8"/>
        </w:rPr>
        <w:t> </w:t>
      </w:r>
      <w:r>
        <w:rPr>
          <w:color w:val="231F20"/>
        </w:rPr>
        <w:t>de</w:t>
      </w:r>
      <w:r>
        <w:rPr>
          <w:color w:val="231F20"/>
          <w:spacing w:val="-7"/>
        </w:rPr>
        <w:t> </w:t>
      </w:r>
      <w:r>
        <w:rPr>
          <w:color w:val="231F20"/>
        </w:rPr>
        <w:t>quien</w:t>
      </w:r>
      <w:r>
        <w:rPr>
          <w:color w:val="231F20"/>
          <w:spacing w:val="-7"/>
        </w:rPr>
        <w:t> </w:t>
      </w:r>
      <w:r>
        <w:rPr>
          <w:color w:val="231F20"/>
        </w:rPr>
        <w:t>concibe</w:t>
      </w:r>
      <w:r>
        <w:rPr>
          <w:color w:val="231F20"/>
          <w:spacing w:val="-7"/>
        </w:rPr>
        <w:t> </w:t>
      </w:r>
      <w:r>
        <w:rPr>
          <w:color w:val="231F20"/>
        </w:rPr>
        <w:t>que</w:t>
      </w:r>
      <w:r>
        <w:rPr>
          <w:color w:val="231F20"/>
          <w:spacing w:val="-7"/>
        </w:rPr>
        <w:t> </w:t>
      </w:r>
      <w:r>
        <w:rPr>
          <w:color w:val="231F20"/>
        </w:rPr>
        <w:t>su</w:t>
      </w:r>
      <w:r>
        <w:rPr>
          <w:color w:val="231F20"/>
          <w:spacing w:val="-7"/>
        </w:rPr>
        <w:t> </w:t>
      </w:r>
      <w:r>
        <w:rPr>
          <w:color w:val="231F20"/>
        </w:rPr>
        <w:t>futuro</w:t>
      </w:r>
      <w:r>
        <w:rPr>
          <w:color w:val="231F20"/>
          <w:spacing w:val="-7"/>
        </w:rPr>
        <w:t> </w:t>
      </w:r>
      <w:r>
        <w:rPr>
          <w:color w:val="231F20"/>
        </w:rPr>
        <w:t>laboral</w:t>
      </w:r>
      <w:r>
        <w:rPr>
          <w:color w:val="231F20"/>
          <w:spacing w:val="-7"/>
        </w:rPr>
        <w:t> </w:t>
      </w:r>
      <w:r>
        <w:rPr>
          <w:color w:val="231F20"/>
        </w:rPr>
        <w:t>está fuera de la institución </w:t>
      </w:r>
      <w:r>
        <w:rPr>
          <w:color w:val="231F20"/>
          <w:spacing w:val="-7"/>
        </w:rPr>
        <w:t>y, </w:t>
      </w:r>
      <w:r>
        <w:rPr>
          <w:color w:val="231F20"/>
        </w:rPr>
        <w:t>por otra, una postura mayoritaria de quien con- sidera que tal futuro ésta dentro de ella, aunque apunta a que se mejoren ciertas</w:t>
      </w:r>
      <w:r>
        <w:rPr>
          <w:color w:val="231F20"/>
          <w:spacing w:val="-1"/>
        </w:rPr>
        <w:t> </w:t>
      </w:r>
      <w:r>
        <w:rPr>
          <w:color w:val="231F20"/>
        </w:rPr>
        <w:t>condiciones.</w:t>
      </w:r>
    </w:p>
    <w:p>
      <w:pPr>
        <w:pStyle w:val="BodyText"/>
        <w:spacing w:line="249" w:lineRule="auto" w:before="114"/>
        <w:ind w:left="397" w:right="108"/>
        <w:jc w:val="both"/>
      </w:pPr>
      <w:r>
        <w:rPr>
          <w:color w:val="231F20"/>
        </w:rPr>
        <w:t>[...] repito, yo trabajo con mucho gusto, pero no creo, no, no</w:t>
      </w:r>
      <w:r>
        <w:rPr>
          <w:color w:val="231F20"/>
          <w:spacing w:val="-12"/>
        </w:rPr>
        <w:t> </w:t>
      </w:r>
      <w:r>
        <w:rPr>
          <w:color w:val="231F20"/>
        </w:rPr>
        <w:t>quisiera seguir así [...] me siento muy presionada, [si tú] estuvieras en mi lugar,</w:t>
      </w:r>
      <w:r>
        <w:rPr>
          <w:color w:val="231F20"/>
          <w:spacing w:val="-4"/>
        </w:rPr>
        <w:t> </w:t>
      </w:r>
      <w:r>
        <w:rPr>
          <w:color w:val="231F20"/>
        </w:rPr>
        <w:t>¿no</w:t>
      </w:r>
      <w:r>
        <w:rPr>
          <w:color w:val="231F20"/>
          <w:spacing w:val="-4"/>
        </w:rPr>
        <w:t> </w:t>
      </w:r>
      <w:r>
        <w:rPr>
          <w:color w:val="231F20"/>
        </w:rPr>
        <w:t>harías</w:t>
      </w:r>
      <w:r>
        <w:rPr>
          <w:color w:val="231F20"/>
          <w:spacing w:val="-4"/>
        </w:rPr>
        <w:t> </w:t>
      </w:r>
      <w:r>
        <w:rPr>
          <w:color w:val="231F20"/>
        </w:rPr>
        <w:t>los</w:t>
      </w:r>
      <w:r>
        <w:rPr>
          <w:color w:val="231F20"/>
          <w:spacing w:val="-4"/>
        </w:rPr>
        <w:t> </w:t>
      </w:r>
      <w:r>
        <w:rPr>
          <w:color w:val="231F20"/>
        </w:rPr>
        <w:t>mismo?,</w:t>
      </w:r>
      <w:r>
        <w:rPr>
          <w:color w:val="231F20"/>
          <w:spacing w:val="-4"/>
        </w:rPr>
        <w:t> </w:t>
      </w:r>
      <w:r>
        <w:rPr>
          <w:color w:val="231F20"/>
        </w:rPr>
        <w:t>aquí</w:t>
      </w:r>
      <w:r>
        <w:rPr>
          <w:color w:val="231F20"/>
          <w:spacing w:val="-4"/>
        </w:rPr>
        <w:t> </w:t>
      </w:r>
      <w:r>
        <w:rPr>
          <w:color w:val="231F20"/>
        </w:rPr>
        <w:t>casi</w:t>
      </w:r>
      <w:r>
        <w:rPr>
          <w:color w:val="231F20"/>
          <w:spacing w:val="-4"/>
        </w:rPr>
        <w:t> </w:t>
      </w:r>
      <w:r>
        <w:rPr>
          <w:color w:val="231F20"/>
        </w:rPr>
        <w:t>no</w:t>
      </w:r>
      <w:r>
        <w:rPr>
          <w:color w:val="231F20"/>
          <w:spacing w:val="-4"/>
        </w:rPr>
        <w:t> </w:t>
      </w:r>
      <w:r>
        <w:rPr>
          <w:color w:val="231F20"/>
        </w:rPr>
        <w:t>tengo</w:t>
      </w:r>
      <w:r>
        <w:rPr>
          <w:color w:val="231F20"/>
          <w:spacing w:val="-4"/>
        </w:rPr>
        <w:t> </w:t>
      </w:r>
      <w:r>
        <w:rPr>
          <w:color w:val="231F20"/>
        </w:rPr>
        <w:t>prestaciones</w:t>
      </w:r>
      <w:r>
        <w:rPr>
          <w:color w:val="231F20"/>
          <w:spacing w:val="-4"/>
        </w:rPr>
        <w:t> </w:t>
      </w:r>
      <w:r>
        <w:rPr>
          <w:color w:val="231F20"/>
        </w:rPr>
        <w:t>y</w:t>
      </w:r>
      <w:r>
        <w:rPr>
          <w:color w:val="231F20"/>
          <w:spacing w:val="-4"/>
        </w:rPr>
        <w:t> </w:t>
      </w:r>
      <w:r>
        <w:rPr>
          <w:color w:val="231F20"/>
        </w:rPr>
        <w:t>así,</w:t>
      </w:r>
      <w:r>
        <w:rPr>
          <w:color w:val="231F20"/>
          <w:spacing w:val="-4"/>
        </w:rPr>
        <w:t> </w:t>
      </w:r>
      <w:r>
        <w:rPr>
          <w:color w:val="231F20"/>
        </w:rPr>
        <w:t>sí es difícil, no puedes pensar en quedarte aquí, pues no creo que cam- bie mucho (Cuidadora, institución</w:t>
      </w:r>
      <w:r>
        <w:rPr>
          <w:color w:val="231F20"/>
          <w:spacing w:val="-2"/>
        </w:rPr>
        <w:t> </w:t>
      </w:r>
      <w:r>
        <w:rPr>
          <w:color w:val="231F20"/>
        </w:rPr>
        <w:t>privada)</w:t>
      </w:r>
    </w:p>
    <w:p>
      <w:pPr>
        <w:pStyle w:val="BodyText"/>
        <w:spacing w:line="249" w:lineRule="auto" w:before="114"/>
        <w:ind w:left="397" w:right="107"/>
        <w:jc w:val="both"/>
      </w:pPr>
      <w:r>
        <w:rPr>
          <w:color w:val="231F20"/>
        </w:rPr>
        <w:t>Sí</w:t>
      </w:r>
      <w:r>
        <w:rPr>
          <w:color w:val="231F20"/>
          <w:spacing w:val="-11"/>
        </w:rPr>
        <w:t> </w:t>
      </w:r>
      <w:r>
        <w:rPr>
          <w:color w:val="231F20"/>
        </w:rPr>
        <w:t>he</w:t>
      </w:r>
      <w:r>
        <w:rPr>
          <w:color w:val="231F20"/>
          <w:spacing w:val="-11"/>
        </w:rPr>
        <w:t> </w:t>
      </w:r>
      <w:r>
        <w:rPr>
          <w:color w:val="231F20"/>
        </w:rPr>
        <w:t>pensado</w:t>
      </w:r>
      <w:r>
        <w:rPr>
          <w:color w:val="231F20"/>
          <w:spacing w:val="-11"/>
        </w:rPr>
        <w:t> </w:t>
      </w:r>
      <w:r>
        <w:rPr>
          <w:color w:val="231F20"/>
        </w:rPr>
        <w:t>en</w:t>
      </w:r>
      <w:r>
        <w:rPr>
          <w:color w:val="231F20"/>
          <w:spacing w:val="-11"/>
        </w:rPr>
        <w:t> </w:t>
      </w:r>
      <w:r>
        <w:rPr>
          <w:color w:val="231F20"/>
        </w:rPr>
        <w:t>eso</w:t>
      </w:r>
      <w:r>
        <w:rPr>
          <w:color w:val="231F20"/>
          <w:spacing w:val="-11"/>
        </w:rPr>
        <w:t> </w:t>
      </w:r>
      <w:r>
        <w:rPr>
          <w:color w:val="231F20"/>
        </w:rPr>
        <w:t>[en</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dices].</w:t>
      </w:r>
      <w:r>
        <w:rPr>
          <w:color w:val="231F20"/>
          <w:spacing w:val="-11"/>
        </w:rPr>
        <w:t> </w:t>
      </w:r>
      <w:r>
        <w:rPr>
          <w:color w:val="231F20"/>
        </w:rPr>
        <w:t>Personalmente,</w:t>
      </w:r>
      <w:r>
        <w:rPr>
          <w:color w:val="231F20"/>
          <w:spacing w:val="-11"/>
        </w:rPr>
        <w:t> </w:t>
      </w:r>
      <w:r>
        <w:rPr>
          <w:color w:val="231F20"/>
        </w:rPr>
        <w:t>yo</w:t>
      </w:r>
      <w:r>
        <w:rPr>
          <w:color w:val="231F20"/>
          <w:spacing w:val="-11"/>
        </w:rPr>
        <w:t> </w:t>
      </w:r>
      <w:r>
        <w:rPr>
          <w:color w:val="231F20"/>
        </w:rPr>
        <w:t>no</w:t>
      </w:r>
      <w:r>
        <w:rPr>
          <w:color w:val="231F20"/>
          <w:spacing w:val="-11"/>
        </w:rPr>
        <w:t> </w:t>
      </w:r>
      <w:r>
        <w:rPr>
          <w:color w:val="231F20"/>
        </w:rPr>
        <w:t>quisiera, al menos en algunos años más, estar en otro lado [en otro trabajo], [pero] creo debe haber cambios [en nuestra situación laboral]. Si se presentan, yo estoy optimista [que así será] me quedaría por muchos años, aunque debemos ser realistas: cada vez hay menos trabajos</w:t>
      </w:r>
      <w:r>
        <w:rPr>
          <w:color w:val="231F20"/>
          <w:spacing w:val="-34"/>
        </w:rPr>
        <w:t> </w:t>
      </w:r>
      <w:r>
        <w:rPr>
          <w:color w:val="231F20"/>
        </w:rPr>
        <w:t>con todos los derechos [...] pero soy optimista (Cuidadora, institución pública).</w:t>
      </w:r>
    </w:p>
    <w:p>
      <w:pPr>
        <w:pStyle w:val="BodyText"/>
        <w:spacing w:line="249" w:lineRule="auto" w:before="114"/>
        <w:ind w:left="397" w:right="108"/>
        <w:jc w:val="both"/>
      </w:pPr>
      <w:r>
        <w:rPr>
          <w:color w:val="231F20"/>
          <w:spacing w:val="-11"/>
        </w:rPr>
        <w:t>Yo  </w:t>
      </w:r>
      <w:r>
        <w:rPr>
          <w:color w:val="231F20"/>
        </w:rPr>
        <w:t>sí me siento satisfecha con trabajar aquí, no gano mucho, pero   al fin y al cabo tengo trabajo. </w:t>
      </w:r>
      <w:r>
        <w:rPr>
          <w:color w:val="231F20"/>
          <w:spacing w:val="-7"/>
        </w:rPr>
        <w:t>Te </w:t>
      </w:r>
      <w:r>
        <w:rPr>
          <w:color w:val="231F20"/>
        </w:rPr>
        <w:t>encariñas con lo que haces. Sí me gustaría seguir aquí, aunque sí estaría excelente que mejoraran mi situación laboral (Cuidadora, nota de campo, institución</w:t>
      </w:r>
      <w:r>
        <w:rPr>
          <w:color w:val="231F20"/>
          <w:spacing w:val="-11"/>
        </w:rPr>
        <w:t> </w:t>
      </w:r>
      <w:r>
        <w:rPr>
          <w:color w:val="231F20"/>
        </w:rPr>
        <w:t>pública).</w:t>
      </w:r>
    </w:p>
    <w:p>
      <w:pPr>
        <w:spacing w:after="0" w:line="249" w:lineRule="auto"/>
        <w:jc w:val="both"/>
        <w:sectPr>
          <w:footerReference w:type="default" r:id="rId319"/>
          <w:pgSz w:w="7770" w:h="11740"/>
          <w:pgMar w:footer="474" w:header="0" w:top="840" w:bottom="660" w:left="1020" w:right="740"/>
          <w:pgNumType w:start="323"/>
        </w:sectPr>
      </w:pPr>
    </w:p>
    <w:p>
      <w:pPr>
        <w:pStyle w:val="BodyText"/>
        <w:spacing w:line="249" w:lineRule="auto" w:before="60"/>
        <w:ind w:left="393" w:right="111"/>
        <w:jc w:val="both"/>
      </w:pPr>
      <w:r>
        <w:rPr>
          <w:color w:val="231F20"/>
        </w:rPr>
        <w:t>Mi</w:t>
      </w:r>
      <w:r>
        <w:rPr>
          <w:color w:val="231F20"/>
          <w:spacing w:val="-8"/>
        </w:rPr>
        <w:t> </w:t>
      </w:r>
      <w:r>
        <w:rPr>
          <w:color w:val="231F20"/>
        </w:rPr>
        <w:t>futuro</w:t>
      </w:r>
      <w:r>
        <w:rPr>
          <w:color w:val="231F20"/>
          <w:spacing w:val="-8"/>
        </w:rPr>
        <w:t> </w:t>
      </w:r>
      <w:r>
        <w:rPr>
          <w:color w:val="231F20"/>
        </w:rPr>
        <w:t>está</w:t>
      </w:r>
      <w:r>
        <w:rPr>
          <w:color w:val="231F20"/>
          <w:spacing w:val="-8"/>
        </w:rPr>
        <w:t> </w:t>
      </w:r>
      <w:r>
        <w:rPr>
          <w:color w:val="231F20"/>
        </w:rPr>
        <w:t>aquí,</w:t>
      </w:r>
      <w:r>
        <w:rPr>
          <w:color w:val="231F20"/>
          <w:spacing w:val="-8"/>
        </w:rPr>
        <w:t> </w:t>
      </w:r>
      <w:r>
        <w:rPr>
          <w:color w:val="231F20"/>
        </w:rPr>
        <w:t>yo</w:t>
      </w:r>
      <w:r>
        <w:rPr>
          <w:color w:val="231F20"/>
          <w:spacing w:val="-8"/>
        </w:rPr>
        <w:t> </w:t>
      </w:r>
      <w:r>
        <w:rPr>
          <w:color w:val="231F20"/>
        </w:rPr>
        <w:t>me</w:t>
      </w:r>
      <w:r>
        <w:rPr>
          <w:color w:val="231F20"/>
          <w:spacing w:val="-8"/>
        </w:rPr>
        <w:t> </w:t>
      </w:r>
      <w:r>
        <w:rPr>
          <w:color w:val="231F20"/>
        </w:rPr>
        <w:t>siento</w:t>
      </w:r>
      <w:r>
        <w:rPr>
          <w:color w:val="231F20"/>
          <w:spacing w:val="-7"/>
        </w:rPr>
        <w:t> </w:t>
      </w:r>
      <w:r>
        <w:rPr>
          <w:color w:val="231F20"/>
        </w:rPr>
        <w:t>feliz,</w:t>
      </w:r>
      <w:r>
        <w:rPr>
          <w:color w:val="231F20"/>
          <w:spacing w:val="-8"/>
        </w:rPr>
        <w:t> </w:t>
      </w:r>
      <w:r>
        <w:rPr>
          <w:color w:val="231F20"/>
        </w:rPr>
        <w:t>pero</w:t>
      </w:r>
      <w:r>
        <w:rPr>
          <w:color w:val="231F20"/>
          <w:spacing w:val="-8"/>
        </w:rPr>
        <w:t> </w:t>
      </w:r>
      <w:r>
        <w:rPr>
          <w:color w:val="231F20"/>
        </w:rPr>
        <w:t>sí</w:t>
      </w:r>
      <w:r>
        <w:rPr>
          <w:color w:val="231F20"/>
          <w:spacing w:val="-8"/>
        </w:rPr>
        <w:t> </w:t>
      </w:r>
      <w:r>
        <w:rPr>
          <w:color w:val="231F20"/>
        </w:rPr>
        <w:t>desearía</w:t>
      </w:r>
      <w:r>
        <w:rPr>
          <w:color w:val="231F20"/>
          <w:spacing w:val="-8"/>
        </w:rPr>
        <w:t> </w:t>
      </w:r>
      <w:r>
        <w:rPr>
          <w:color w:val="231F20"/>
        </w:rPr>
        <w:t>mejores</w:t>
      </w:r>
      <w:r>
        <w:rPr>
          <w:color w:val="231F20"/>
          <w:spacing w:val="-8"/>
        </w:rPr>
        <w:t> </w:t>
      </w:r>
      <w:r>
        <w:rPr>
          <w:color w:val="231F20"/>
        </w:rPr>
        <w:t>situa- ciones</w:t>
      </w:r>
      <w:r>
        <w:rPr>
          <w:color w:val="231F20"/>
          <w:spacing w:val="-8"/>
        </w:rPr>
        <w:t> </w:t>
      </w:r>
      <w:r>
        <w:rPr>
          <w:color w:val="231F20"/>
        </w:rPr>
        <w:t>laborales,</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mejor,</w:t>
      </w:r>
      <w:r>
        <w:rPr>
          <w:color w:val="231F20"/>
          <w:spacing w:val="-8"/>
        </w:rPr>
        <w:t> </w:t>
      </w:r>
      <w:r>
        <w:rPr>
          <w:color w:val="231F20"/>
        </w:rPr>
        <w:t>un</w:t>
      </w:r>
      <w:r>
        <w:rPr>
          <w:color w:val="231F20"/>
          <w:spacing w:val="-8"/>
        </w:rPr>
        <w:t> </w:t>
      </w:r>
      <w:r>
        <w:rPr>
          <w:color w:val="231F20"/>
        </w:rPr>
        <w:t>mejor</w:t>
      </w:r>
      <w:r>
        <w:rPr>
          <w:color w:val="231F20"/>
          <w:spacing w:val="-8"/>
        </w:rPr>
        <w:t> </w:t>
      </w:r>
      <w:r>
        <w:rPr>
          <w:color w:val="231F20"/>
        </w:rPr>
        <w:t>salario.</w:t>
      </w:r>
      <w:r>
        <w:rPr>
          <w:color w:val="231F20"/>
          <w:spacing w:val="-7"/>
        </w:rPr>
        <w:t> </w:t>
      </w:r>
      <w:r>
        <w:rPr>
          <w:color w:val="231F20"/>
        </w:rPr>
        <w:t>Esto</w:t>
      </w:r>
      <w:r>
        <w:rPr>
          <w:color w:val="231F20"/>
          <w:spacing w:val="-8"/>
        </w:rPr>
        <w:t> </w:t>
      </w:r>
      <w:r>
        <w:rPr>
          <w:color w:val="231F20"/>
        </w:rPr>
        <w:t>me</w:t>
      </w:r>
      <w:r>
        <w:rPr>
          <w:color w:val="231F20"/>
          <w:spacing w:val="-8"/>
        </w:rPr>
        <w:t> </w:t>
      </w:r>
      <w:r>
        <w:rPr>
          <w:color w:val="231F20"/>
        </w:rPr>
        <w:t>haría</w:t>
      </w:r>
      <w:r>
        <w:rPr>
          <w:color w:val="231F20"/>
          <w:spacing w:val="-8"/>
        </w:rPr>
        <w:t> </w:t>
      </w:r>
      <w:r>
        <w:rPr>
          <w:color w:val="231F20"/>
        </w:rPr>
        <w:t>más</w:t>
      </w:r>
      <w:r>
        <w:rPr>
          <w:color w:val="231F20"/>
          <w:spacing w:val="-8"/>
        </w:rPr>
        <w:t> </w:t>
      </w:r>
      <w:r>
        <w:rPr>
          <w:color w:val="231F20"/>
        </w:rPr>
        <w:t>feliz (Chofer, nota de campo, institución</w:t>
      </w:r>
      <w:r>
        <w:rPr>
          <w:color w:val="231F20"/>
          <w:spacing w:val="-10"/>
        </w:rPr>
        <w:t> </w:t>
      </w:r>
      <w:r>
        <w:rPr>
          <w:color w:val="231F20"/>
        </w:rPr>
        <w:t>privada).</w:t>
      </w:r>
    </w:p>
    <w:p>
      <w:pPr>
        <w:pStyle w:val="BodyText"/>
        <w:spacing w:line="249" w:lineRule="auto" w:before="114"/>
        <w:ind w:left="110" w:right="111" w:firstLine="283"/>
        <w:jc w:val="both"/>
      </w:pPr>
      <w:r>
        <w:rPr>
          <w:color w:val="231F20"/>
        </w:rPr>
        <w:t>Pero, ¿a qué se deben estas posturas? Haciendo la revisión de lo que dicen</w:t>
      </w:r>
      <w:r>
        <w:rPr>
          <w:color w:val="231F20"/>
          <w:spacing w:val="-5"/>
        </w:rPr>
        <w:t> </w:t>
      </w:r>
      <w:r>
        <w:rPr>
          <w:color w:val="231F20"/>
        </w:rPr>
        <w:t>las</w:t>
      </w:r>
      <w:r>
        <w:rPr>
          <w:color w:val="231F20"/>
          <w:spacing w:val="-5"/>
        </w:rPr>
        <w:t> </w:t>
      </w:r>
      <w:r>
        <w:rPr>
          <w:color w:val="231F20"/>
        </w:rPr>
        <w:t>citas,</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deducir</w:t>
      </w:r>
      <w:r>
        <w:rPr>
          <w:color w:val="231F20"/>
          <w:spacing w:val="-5"/>
        </w:rPr>
        <w:t> </w:t>
      </w:r>
      <w:r>
        <w:rPr>
          <w:color w:val="231F20"/>
        </w:rPr>
        <w:t>que</w:t>
      </w:r>
      <w:r>
        <w:rPr>
          <w:color w:val="231F20"/>
          <w:spacing w:val="-5"/>
        </w:rPr>
        <w:t> </w:t>
      </w:r>
      <w:r>
        <w:rPr>
          <w:color w:val="231F20"/>
        </w:rPr>
        <w:t>al</w:t>
      </w:r>
      <w:r>
        <w:rPr>
          <w:color w:val="231F20"/>
          <w:spacing w:val="-5"/>
        </w:rPr>
        <w:t> </w:t>
      </w:r>
      <w:r>
        <w:rPr>
          <w:color w:val="231F20"/>
        </w:rPr>
        <w:t>manejo</w:t>
      </w:r>
      <w:r>
        <w:rPr>
          <w:color w:val="231F20"/>
          <w:spacing w:val="-5"/>
        </w:rPr>
        <w:t> </w:t>
      </w:r>
      <w:r>
        <w:rPr>
          <w:color w:val="231F20"/>
        </w:rPr>
        <w:t>de</w:t>
      </w:r>
      <w:r>
        <w:rPr>
          <w:color w:val="231F20"/>
          <w:spacing w:val="-5"/>
        </w:rPr>
        <w:t> </w:t>
      </w:r>
      <w:r>
        <w:rPr>
          <w:color w:val="231F20"/>
        </w:rPr>
        <w:t>dos</w:t>
      </w:r>
      <w:r>
        <w:rPr>
          <w:color w:val="231F20"/>
          <w:spacing w:val="-5"/>
        </w:rPr>
        <w:t> </w:t>
      </w:r>
      <w:r>
        <w:rPr>
          <w:color w:val="231F20"/>
        </w:rPr>
        <w:t>perspectivas</w:t>
      </w:r>
      <w:r>
        <w:rPr>
          <w:color w:val="231F20"/>
          <w:spacing w:val="-5"/>
        </w:rPr>
        <w:t> </w:t>
      </w:r>
      <w:r>
        <w:rPr>
          <w:color w:val="231F20"/>
        </w:rPr>
        <w:t>sobre sus condiciones laborales: una más realista y pesimista a la vez, y otra más optimista, que corresponde a los que se ven fuera y dentro de la institución,</w:t>
      </w:r>
      <w:r>
        <w:rPr>
          <w:color w:val="231F20"/>
          <w:spacing w:val="-7"/>
        </w:rPr>
        <w:t> </w:t>
      </w:r>
      <w:r>
        <w:rPr>
          <w:color w:val="231F20"/>
        </w:rPr>
        <w:t>respectivamente.</w:t>
      </w:r>
      <w:r>
        <w:rPr>
          <w:color w:val="231F20"/>
          <w:spacing w:val="-7"/>
        </w:rPr>
        <w:t> </w:t>
      </w:r>
      <w:r>
        <w:rPr>
          <w:color w:val="231F20"/>
        </w:rPr>
        <w:t>En</w:t>
      </w:r>
      <w:r>
        <w:rPr>
          <w:color w:val="231F20"/>
          <w:spacing w:val="-7"/>
        </w:rPr>
        <w:t> </w:t>
      </w:r>
      <w:r>
        <w:rPr>
          <w:color w:val="231F20"/>
        </w:rPr>
        <w:t>efecto,</w:t>
      </w:r>
      <w:r>
        <w:rPr>
          <w:color w:val="231F20"/>
          <w:spacing w:val="-7"/>
        </w:rPr>
        <w:t> </w:t>
      </w:r>
      <w:r>
        <w:rPr>
          <w:color w:val="231F20"/>
        </w:rPr>
        <w:t>quien</w:t>
      </w:r>
      <w:r>
        <w:rPr>
          <w:color w:val="231F20"/>
          <w:spacing w:val="-7"/>
        </w:rPr>
        <w:t> </w:t>
      </w:r>
      <w:r>
        <w:rPr>
          <w:color w:val="231F20"/>
        </w:rPr>
        <w:t>maneja</w:t>
      </w:r>
      <w:r>
        <w:rPr>
          <w:color w:val="231F20"/>
          <w:spacing w:val="-7"/>
        </w:rPr>
        <w:t> </w:t>
      </w:r>
      <w:r>
        <w:rPr>
          <w:color w:val="231F20"/>
        </w:rPr>
        <w:t>la</w:t>
      </w:r>
      <w:r>
        <w:rPr>
          <w:color w:val="231F20"/>
          <w:spacing w:val="-7"/>
        </w:rPr>
        <w:t> </w:t>
      </w:r>
      <w:r>
        <w:rPr>
          <w:color w:val="231F20"/>
        </w:rPr>
        <w:t>primera</w:t>
      </w:r>
      <w:r>
        <w:rPr>
          <w:color w:val="231F20"/>
          <w:spacing w:val="-7"/>
        </w:rPr>
        <w:t> </w:t>
      </w:r>
      <w:r>
        <w:rPr>
          <w:color w:val="231F20"/>
        </w:rPr>
        <w:t>postura, básicamente lo hace desde una perspectiva realista y pesimista a la vez. Realista en el sentido de que ubica que su situación laboral carece de las condiciones</w:t>
      </w:r>
      <w:r>
        <w:rPr>
          <w:color w:val="231F20"/>
          <w:spacing w:val="-4"/>
        </w:rPr>
        <w:t> </w:t>
      </w:r>
      <w:r>
        <w:rPr>
          <w:color w:val="231F20"/>
        </w:rPr>
        <w:t>básica</w:t>
      </w:r>
      <w:r>
        <w:rPr>
          <w:color w:val="231F20"/>
          <w:spacing w:val="-4"/>
        </w:rPr>
        <w:t> </w:t>
      </w:r>
      <w:r>
        <w:rPr>
          <w:color w:val="231F20"/>
        </w:rPr>
        <w:t>para</w:t>
      </w:r>
      <w:r>
        <w:rPr>
          <w:color w:val="231F20"/>
          <w:spacing w:val="-4"/>
        </w:rPr>
        <w:t> </w:t>
      </w:r>
      <w:r>
        <w:rPr>
          <w:color w:val="231F20"/>
        </w:rPr>
        <w:t>su</w:t>
      </w:r>
      <w:r>
        <w:rPr>
          <w:color w:val="231F20"/>
          <w:spacing w:val="-4"/>
        </w:rPr>
        <w:t> </w:t>
      </w:r>
      <w:r>
        <w:rPr>
          <w:color w:val="231F20"/>
        </w:rPr>
        <w:t>seguridad</w:t>
      </w:r>
      <w:r>
        <w:rPr>
          <w:color w:val="231F20"/>
          <w:spacing w:val="-3"/>
        </w:rPr>
        <w:t> </w:t>
      </w:r>
      <w:r>
        <w:rPr>
          <w:color w:val="231F20"/>
        </w:rPr>
        <w:t>y</w:t>
      </w:r>
      <w:r>
        <w:rPr>
          <w:color w:val="231F20"/>
          <w:spacing w:val="-4"/>
        </w:rPr>
        <w:t> </w:t>
      </w:r>
      <w:r>
        <w:rPr>
          <w:color w:val="231F20"/>
        </w:rPr>
        <w:t>pesimista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sentido</w:t>
      </w:r>
      <w:r>
        <w:rPr>
          <w:color w:val="231F20"/>
          <w:spacing w:val="-3"/>
        </w:rPr>
        <w:t> </w:t>
      </w:r>
      <w:r>
        <w:rPr>
          <w:color w:val="231F20"/>
        </w:rPr>
        <w:t>de</w:t>
      </w:r>
      <w:r>
        <w:rPr>
          <w:color w:val="231F20"/>
          <w:spacing w:val="-4"/>
        </w:rPr>
        <w:t> </w:t>
      </w:r>
      <w:r>
        <w:rPr>
          <w:color w:val="231F20"/>
        </w:rPr>
        <w:t>que</w:t>
      </w:r>
      <w:r>
        <w:rPr>
          <w:color w:val="231F20"/>
          <w:spacing w:val="-4"/>
        </w:rPr>
        <w:t> </w:t>
      </w:r>
      <w:r>
        <w:rPr>
          <w:color w:val="231F20"/>
        </w:rPr>
        <w:t>no esperan que cambie la situación. Es decir, en términos de Castel (1995), lo</w:t>
      </w:r>
      <w:r>
        <w:rPr>
          <w:color w:val="231F20"/>
          <w:spacing w:val="-8"/>
        </w:rPr>
        <w:t> </w:t>
      </w:r>
      <w:r>
        <w:rPr>
          <w:color w:val="231F20"/>
        </w:rPr>
        <w:t>hace</w:t>
      </w:r>
      <w:r>
        <w:rPr>
          <w:color w:val="231F20"/>
          <w:spacing w:val="-7"/>
        </w:rPr>
        <w:t> </w:t>
      </w:r>
      <w:r>
        <w:rPr>
          <w:color w:val="231F20"/>
        </w:rPr>
        <w:t>bajo</w:t>
      </w:r>
      <w:r>
        <w:rPr>
          <w:color w:val="231F20"/>
          <w:spacing w:val="-7"/>
        </w:rPr>
        <w:t> </w:t>
      </w:r>
      <w:r>
        <w:rPr>
          <w:color w:val="231F20"/>
        </w:rPr>
        <w:t>un</w:t>
      </w:r>
      <w:r>
        <w:rPr>
          <w:color w:val="231F20"/>
          <w:spacing w:val="-7"/>
        </w:rPr>
        <w:t> </w:t>
      </w:r>
      <w:r>
        <w:rPr>
          <w:color w:val="231F20"/>
        </w:rPr>
        <w:t>discurso</w:t>
      </w:r>
      <w:r>
        <w:rPr>
          <w:color w:val="231F20"/>
          <w:spacing w:val="-7"/>
        </w:rPr>
        <w:t> </w:t>
      </w:r>
      <w:r>
        <w:rPr>
          <w:color w:val="231F20"/>
        </w:rPr>
        <w:t>de</w:t>
      </w:r>
      <w:r>
        <w:rPr>
          <w:color w:val="231F20"/>
          <w:spacing w:val="-7"/>
        </w:rPr>
        <w:t> </w:t>
      </w:r>
      <w:r>
        <w:rPr>
          <w:color w:val="231F20"/>
        </w:rPr>
        <w:t>conciencia</w:t>
      </w:r>
      <w:r>
        <w:rPr>
          <w:color w:val="231F20"/>
          <w:spacing w:val="-8"/>
        </w:rPr>
        <w:t> </w:t>
      </w:r>
      <w:r>
        <w:rPr>
          <w:color w:val="231F20"/>
        </w:rPr>
        <w:t>que</w:t>
      </w:r>
      <w:r>
        <w:rPr>
          <w:color w:val="231F20"/>
          <w:spacing w:val="-7"/>
        </w:rPr>
        <w:t> </w:t>
      </w:r>
      <w:r>
        <w:rPr>
          <w:color w:val="231F20"/>
        </w:rPr>
        <w:t>haría</w:t>
      </w:r>
      <w:r>
        <w:rPr>
          <w:color w:val="231F20"/>
          <w:spacing w:val="-7"/>
        </w:rPr>
        <w:t> </w:t>
      </w:r>
      <w:r>
        <w:rPr>
          <w:color w:val="231F20"/>
        </w:rPr>
        <w:t>suponer</w:t>
      </w:r>
      <w:r>
        <w:rPr>
          <w:color w:val="231F20"/>
          <w:spacing w:val="-7"/>
        </w:rPr>
        <w:t> </w:t>
      </w:r>
      <w:r>
        <w:rPr>
          <w:color w:val="231F20"/>
        </w:rPr>
        <w:t>que</w:t>
      </w:r>
      <w:r>
        <w:rPr>
          <w:color w:val="231F20"/>
          <w:spacing w:val="-7"/>
        </w:rPr>
        <w:t> </w:t>
      </w:r>
      <w:r>
        <w:rPr>
          <w:color w:val="231F20"/>
        </w:rPr>
        <w:t>vive</w:t>
      </w:r>
      <w:r>
        <w:rPr>
          <w:color w:val="231F20"/>
          <w:spacing w:val="-7"/>
        </w:rPr>
        <w:t> </w:t>
      </w:r>
      <w:r>
        <w:rPr>
          <w:color w:val="231F20"/>
        </w:rPr>
        <w:t>en</w:t>
      </w:r>
      <w:r>
        <w:rPr>
          <w:color w:val="231F20"/>
          <w:spacing w:val="-8"/>
        </w:rPr>
        <w:t> </w:t>
      </w:r>
      <w:r>
        <w:rPr>
          <w:color w:val="231F20"/>
        </w:rPr>
        <w:t>una zona inestable, donde se conjuga cierta precariedad y fragilidad de los soportes</w:t>
      </w:r>
      <w:r>
        <w:rPr>
          <w:color w:val="231F20"/>
          <w:spacing w:val="-10"/>
        </w:rPr>
        <w:t> </w:t>
      </w:r>
      <w:r>
        <w:rPr>
          <w:color w:val="231F20"/>
        </w:rPr>
        <w:t>de</w:t>
      </w:r>
      <w:r>
        <w:rPr>
          <w:color w:val="231F20"/>
          <w:spacing w:val="-11"/>
        </w:rPr>
        <w:t> </w:t>
      </w:r>
      <w:r>
        <w:rPr>
          <w:color w:val="231F20"/>
        </w:rPr>
        <w:t>atención,</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lleva</w:t>
      </w:r>
      <w:r>
        <w:rPr>
          <w:color w:val="231F20"/>
          <w:spacing w:val="-11"/>
        </w:rPr>
        <w:t> </w:t>
      </w:r>
      <w:r>
        <w:rPr>
          <w:color w:val="231F20"/>
        </w:rPr>
        <w:t>a</w:t>
      </w:r>
      <w:r>
        <w:rPr>
          <w:color w:val="231F20"/>
          <w:spacing w:val="-11"/>
        </w:rPr>
        <w:t> </w:t>
      </w:r>
      <w:r>
        <w:rPr>
          <w:color w:val="231F20"/>
        </w:rPr>
        <w:t>plantear</w:t>
      </w:r>
      <w:r>
        <w:rPr>
          <w:color w:val="231F20"/>
          <w:spacing w:val="-11"/>
        </w:rPr>
        <w:t> </w:t>
      </w:r>
      <w:r>
        <w:rPr>
          <w:color w:val="231F20"/>
        </w:rPr>
        <w:t>la</w:t>
      </w:r>
      <w:r>
        <w:rPr>
          <w:color w:val="231F20"/>
          <w:spacing w:val="-11"/>
        </w:rPr>
        <w:t> </w:t>
      </w:r>
      <w:r>
        <w:rPr>
          <w:color w:val="231F20"/>
        </w:rPr>
        <w:t>posibilidad</w:t>
      </w:r>
      <w:r>
        <w:rPr>
          <w:color w:val="231F20"/>
          <w:spacing w:val="-11"/>
        </w:rPr>
        <w:t> </w:t>
      </w:r>
      <w:r>
        <w:rPr>
          <w:color w:val="231F20"/>
        </w:rPr>
        <w:t>de</w:t>
      </w:r>
      <w:r>
        <w:rPr>
          <w:color w:val="231F20"/>
          <w:spacing w:val="-11"/>
        </w:rPr>
        <w:t> </w:t>
      </w:r>
      <w:r>
        <w:rPr>
          <w:color w:val="231F20"/>
        </w:rPr>
        <w:t>buscar</w:t>
      </w:r>
      <w:r>
        <w:rPr>
          <w:color w:val="231F20"/>
          <w:spacing w:val="-11"/>
        </w:rPr>
        <w:t> </w:t>
      </w:r>
      <w:r>
        <w:rPr>
          <w:color w:val="231F20"/>
        </w:rPr>
        <w:t>otro trabajo.</w:t>
      </w:r>
      <w:r>
        <w:rPr>
          <w:color w:val="231F20"/>
          <w:spacing w:val="-7"/>
        </w:rPr>
        <w:t> </w:t>
      </w:r>
      <w:r>
        <w:rPr>
          <w:color w:val="231F20"/>
        </w:rPr>
        <w:t>Lo</w:t>
      </w:r>
      <w:r>
        <w:rPr>
          <w:color w:val="231F20"/>
          <w:spacing w:val="-7"/>
        </w:rPr>
        <w:t> </w:t>
      </w:r>
      <w:r>
        <w:rPr>
          <w:color w:val="231F20"/>
        </w:rPr>
        <w:t>llamativo</w:t>
      </w:r>
      <w:r>
        <w:rPr>
          <w:color w:val="231F20"/>
          <w:spacing w:val="-7"/>
        </w:rPr>
        <w:t> </w:t>
      </w:r>
      <w:r>
        <w:rPr>
          <w:color w:val="231F20"/>
        </w:rPr>
        <w:t>es</w:t>
      </w:r>
      <w:r>
        <w:rPr>
          <w:color w:val="231F20"/>
          <w:spacing w:val="-7"/>
        </w:rPr>
        <w:t> </w:t>
      </w:r>
      <w:r>
        <w:rPr>
          <w:color w:val="231F20"/>
        </w:rPr>
        <w:t>que</w:t>
      </w:r>
      <w:r>
        <w:rPr>
          <w:color w:val="231F20"/>
          <w:spacing w:val="-6"/>
        </w:rPr>
        <w:t> </w:t>
      </w:r>
      <w:r>
        <w:rPr>
          <w:color w:val="231F20"/>
        </w:rPr>
        <w:t>cuando</w:t>
      </w:r>
      <w:r>
        <w:rPr>
          <w:color w:val="231F20"/>
          <w:spacing w:val="-7"/>
        </w:rPr>
        <w:t> </w:t>
      </w:r>
      <w:r>
        <w:rPr>
          <w:color w:val="231F20"/>
        </w:rPr>
        <w:t>se</w:t>
      </w:r>
      <w:r>
        <w:rPr>
          <w:color w:val="231F20"/>
          <w:spacing w:val="-6"/>
        </w:rPr>
        <w:t> </w:t>
      </w:r>
      <w:r>
        <w:rPr>
          <w:color w:val="231F20"/>
        </w:rPr>
        <w:t>pregunta</w:t>
      </w:r>
      <w:r>
        <w:rPr>
          <w:color w:val="231F20"/>
          <w:spacing w:val="-6"/>
        </w:rPr>
        <w:t> </w:t>
      </w:r>
      <w:r>
        <w:rPr>
          <w:color w:val="231F20"/>
        </w:rPr>
        <w:t>de</w:t>
      </w:r>
      <w:r>
        <w:rPr>
          <w:color w:val="231F20"/>
          <w:spacing w:val="-6"/>
        </w:rPr>
        <w:t> </w:t>
      </w:r>
      <w:r>
        <w:rPr>
          <w:color w:val="231F20"/>
        </w:rPr>
        <w:t>¿a</w:t>
      </w:r>
      <w:r>
        <w:rPr>
          <w:color w:val="231F20"/>
          <w:spacing w:val="-6"/>
        </w:rPr>
        <w:t> </w:t>
      </w:r>
      <w:r>
        <w:rPr>
          <w:color w:val="231F20"/>
        </w:rPr>
        <w:t>dónde</w:t>
      </w:r>
      <w:r>
        <w:rPr>
          <w:color w:val="231F20"/>
          <w:spacing w:val="-6"/>
        </w:rPr>
        <w:t> </w:t>
      </w:r>
      <w:r>
        <w:rPr>
          <w:color w:val="231F20"/>
        </w:rPr>
        <w:t>iría?,</w:t>
      </w:r>
      <w:r>
        <w:rPr>
          <w:color w:val="231F20"/>
          <w:spacing w:val="-7"/>
        </w:rPr>
        <w:t> </w:t>
      </w:r>
      <w:r>
        <w:rPr>
          <w:color w:val="231F20"/>
        </w:rPr>
        <w:t>la</w:t>
      </w:r>
      <w:r>
        <w:rPr>
          <w:color w:val="231F20"/>
          <w:spacing w:val="-6"/>
        </w:rPr>
        <w:t> </w:t>
      </w:r>
      <w:r>
        <w:rPr>
          <w:color w:val="231F20"/>
        </w:rPr>
        <w:t>ma- yoría del personal que maneja esta postura contesta que a un lugar don- de tengan mejores condiciones, lo cual indicaría que también tiene una lectura del panorama laboral diversificado que, si bien parece cada vez más</w:t>
      </w:r>
      <w:r>
        <w:rPr>
          <w:color w:val="231F20"/>
          <w:spacing w:val="-5"/>
        </w:rPr>
        <w:t> </w:t>
      </w:r>
      <w:r>
        <w:rPr>
          <w:color w:val="231F20"/>
        </w:rPr>
        <w:t>precarizado,</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homogéneo,</w:t>
      </w:r>
      <w:r>
        <w:rPr>
          <w:color w:val="231F20"/>
          <w:spacing w:val="-5"/>
        </w:rPr>
        <w:t> </w:t>
      </w:r>
      <w:r>
        <w:rPr>
          <w:color w:val="231F20"/>
        </w:rPr>
        <w:t>sino</w:t>
      </w:r>
      <w:r>
        <w:rPr>
          <w:color w:val="231F20"/>
          <w:spacing w:val="-5"/>
        </w:rPr>
        <w:t> </w:t>
      </w:r>
      <w:r>
        <w:rPr>
          <w:color w:val="231F20"/>
        </w:rPr>
        <w:t>que</w:t>
      </w:r>
      <w:r>
        <w:rPr>
          <w:color w:val="231F20"/>
          <w:spacing w:val="-5"/>
        </w:rPr>
        <w:t> </w:t>
      </w:r>
      <w:r>
        <w:rPr>
          <w:color w:val="231F20"/>
        </w:rPr>
        <w:t>pueden</w:t>
      </w:r>
      <w:r>
        <w:rPr>
          <w:color w:val="231F20"/>
          <w:spacing w:val="-5"/>
        </w:rPr>
        <w:t> </w:t>
      </w:r>
      <w:r>
        <w:rPr>
          <w:color w:val="231F20"/>
        </w:rPr>
        <w:t>haber</w:t>
      </w:r>
      <w:r>
        <w:rPr>
          <w:color w:val="231F20"/>
          <w:spacing w:val="-5"/>
        </w:rPr>
        <w:t> </w:t>
      </w:r>
      <w:r>
        <w:rPr>
          <w:color w:val="231F20"/>
        </w:rPr>
        <w:t>archipiélagos menos vulnerables donde se puede acomodar, laboralmente</w:t>
      </w:r>
      <w:r>
        <w:rPr>
          <w:color w:val="231F20"/>
          <w:spacing w:val="-12"/>
        </w:rPr>
        <w:t> </w:t>
      </w:r>
      <w:r>
        <w:rPr>
          <w:color w:val="231F20"/>
        </w:rPr>
        <w:t>hablando.</w:t>
      </w:r>
    </w:p>
    <w:p>
      <w:pPr>
        <w:pStyle w:val="BodyText"/>
        <w:spacing w:line="249" w:lineRule="auto" w:before="1"/>
        <w:ind w:left="110" w:right="111" w:firstLine="283"/>
        <w:jc w:val="both"/>
      </w:pPr>
      <w:r>
        <w:rPr>
          <w:color w:val="231F20"/>
        </w:rPr>
        <w:t>Por su parte, quien maneja la segunda postura lo hace bajo una pers- pectiva menos pesimista. En efecto, considera que aunque le ha pasado por la mente cambiar de espacio de trabajo, cree que al interior de sus instituciones se pueden hacer ajustes para que el personal pueda conti- nuar laborando. Lo anterior se puede interpretar como la intensión de seguir contando con la seguridad que ofrece un trabajo al personal, una seguridad que, si bien parece ya no tener un carácter ontológico, ofrece la posibilidad de realizar cosas y de mantenerse en un estatus, tal como lo indicaban algunas de las personas entrevistadas. Lo cual desde nues- tro punto de vista más que ser característico de los trabajadores de las instituciones asistenciales, es transversal entre los grupos que viven o  se acercan a zonas de vulnerabilidad, como diría Castel (1995), cuyas condiciones no les impide estar</w:t>
      </w:r>
      <w:r>
        <w:rPr>
          <w:color w:val="231F20"/>
          <w:spacing w:val="-4"/>
        </w:rPr>
        <w:t> </w:t>
      </w:r>
      <w:r>
        <w:rPr>
          <w:color w:val="231F20"/>
        </w:rPr>
        <w:t>esperanzados.</w:t>
      </w:r>
    </w:p>
    <w:p>
      <w:pPr>
        <w:pStyle w:val="Heading4"/>
        <w:ind w:left="110"/>
      </w:pPr>
      <w:r>
        <w:rPr>
          <w:w w:val="75"/>
        </w:rPr>
        <w:t>Consideraciones finales</w:t>
      </w:r>
    </w:p>
    <w:p>
      <w:pPr>
        <w:pStyle w:val="BodyText"/>
        <w:spacing w:line="249" w:lineRule="auto" w:before="171"/>
        <w:ind w:left="110" w:right="111"/>
        <w:jc w:val="both"/>
      </w:pPr>
      <w:r>
        <w:rPr>
          <w:color w:val="231F20"/>
        </w:rPr>
        <w:t>A lo largo de este escrito hemos tratado de discernir los significados   del trabajo que emergen de los relatos del personal de dos instituciones asistenciales del centro de México. En términos más concretos,  </w:t>
      </w:r>
      <w:r>
        <w:rPr>
          <w:color w:val="231F20"/>
          <w:spacing w:val="43"/>
        </w:rPr>
        <w:t> </w:t>
      </w:r>
      <w:r>
        <w:rPr>
          <w:color w:val="231F20"/>
        </w:rPr>
        <w:t>hemos</w:t>
      </w:r>
    </w:p>
    <w:p>
      <w:pPr>
        <w:spacing w:after="0" w:line="249" w:lineRule="auto"/>
        <w:jc w:val="both"/>
        <w:sectPr>
          <w:pgSz w:w="7770" w:h="11740"/>
          <w:pgMar w:header="0" w:footer="474" w:top="840" w:bottom="740" w:left="740" w:right="1020"/>
        </w:sectPr>
      </w:pPr>
    </w:p>
    <w:p>
      <w:pPr>
        <w:pStyle w:val="BodyText"/>
        <w:spacing w:line="249" w:lineRule="auto" w:before="60"/>
        <w:ind w:left="113" w:right="108"/>
        <w:jc w:val="both"/>
      </w:pPr>
      <w:r>
        <w:rPr>
          <w:color w:val="231F20"/>
        </w:rPr>
        <w:t>buscado interpretar la manera en que directivos, personal especializa-  do y operativo significan su trabajo en estas instituciones y explican la demanda que les implica y el futuro laboral que proyecta dentro o fuera de ellas. Esto nos ha permitido identificar ―según creemos― algunos sentidos otorgados al trabajo que normalmente son pasados por alto en las investigaciones sobre estos</w:t>
      </w:r>
      <w:r>
        <w:rPr>
          <w:color w:val="231F20"/>
          <w:spacing w:val="-7"/>
        </w:rPr>
        <w:t> </w:t>
      </w:r>
      <w:r>
        <w:rPr>
          <w:color w:val="231F20"/>
        </w:rPr>
        <w:t>establecimientos.</w:t>
      </w:r>
    </w:p>
    <w:p>
      <w:pPr>
        <w:pStyle w:val="BodyText"/>
        <w:spacing w:line="249" w:lineRule="auto" w:before="1"/>
        <w:ind w:left="113" w:right="108" w:firstLine="283"/>
        <w:jc w:val="both"/>
      </w:pPr>
      <w:r>
        <w:rPr>
          <w:color w:val="231F20"/>
        </w:rPr>
        <w:t>No obstante, no hemos podido contrastar suficientemente algunas ideas del trabajo destacadas por autores especialistas en el tema, para identificar si se reproducen o no en estas instituciones. Por lo tanto,</w:t>
      </w:r>
      <w:r>
        <w:rPr>
          <w:color w:val="231F20"/>
          <w:spacing w:val="-11"/>
        </w:rPr>
        <w:t> </w:t>
      </w:r>
      <w:r>
        <w:rPr>
          <w:color w:val="231F20"/>
        </w:rPr>
        <w:t>para concluir</w:t>
      </w:r>
      <w:r>
        <w:rPr>
          <w:color w:val="231F20"/>
          <w:spacing w:val="-5"/>
        </w:rPr>
        <w:t> </w:t>
      </w:r>
      <w:r>
        <w:rPr>
          <w:color w:val="231F20"/>
        </w:rPr>
        <w:t>el</w:t>
      </w:r>
      <w:r>
        <w:rPr>
          <w:color w:val="231F20"/>
          <w:spacing w:val="-4"/>
        </w:rPr>
        <w:t> </w:t>
      </w:r>
      <w:r>
        <w:rPr>
          <w:color w:val="231F20"/>
        </w:rPr>
        <w:t>escrito,</w:t>
      </w:r>
      <w:r>
        <w:rPr>
          <w:color w:val="231F20"/>
          <w:spacing w:val="-4"/>
        </w:rPr>
        <w:t> </w:t>
      </w:r>
      <w:r>
        <w:rPr>
          <w:color w:val="231F20"/>
        </w:rPr>
        <w:t>quisiéramos</w:t>
      </w:r>
      <w:r>
        <w:rPr>
          <w:color w:val="231F20"/>
          <w:spacing w:val="-4"/>
        </w:rPr>
        <w:t> </w:t>
      </w:r>
      <w:r>
        <w:rPr>
          <w:color w:val="231F20"/>
        </w:rPr>
        <w:t>hacer</w:t>
      </w:r>
      <w:r>
        <w:rPr>
          <w:color w:val="231F20"/>
          <w:spacing w:val="-4"/>
        </w:rPr>
        <w:t> </w:t>
      </w:r>
      <w:r>
        <w:rPr>
          <w:color w:val="231F20"/>
        </w:rPr>
        <w:t>el</w:t>
      </w:r>
      <w:r>
        <w:rPr>
          <w:color w:val="231F20"/>
          <w:spacing w:val="-4"/>
        </w:rPr>
        <w:t> </w:t>
      </w:r>
      <w:r>
        <w:rPr>
          <w:color w:val="231F20"/>
        </w:rPr>
        <w:t>ejercicio</w:t>
      </w:r>
      <w:r>
        <w:rPr>
          <w:color w:val="231F20"/>
          <w:spacing w:val="-5"/>
        </w:rPr>
        <w:t> </w:t>
      </w:r>
      <w:r>
        <w:rPr>
          <w:color w:val="231F20"/>
        </w:rPr>
        <w:t>con</w:t>
      </w:r>
      <w:r>
        <w:rPr>
          <w:color w:val="231F20"/>
          <w:spacing w:val="-4"/>
        </w:rPr>
        <w:t> </w:t>
      </w:r>
      <w:r>
        <w:rPr>
          <w:color w:val="231F20"/>
        </w:rPr>
        <w:t>tres</w:t>
      </w:r>
      <w:r>
        <w:rPr>
          <w:color w:val="231F20"/>
          <w:spacing w:val="-4"/>
        </w:rPr>
        <w:t> </w:t>
      </w:r>
      <w:r>
        <w:rPr>
          <w:color w:val="231F20"/>
        </w:rPr>
        <w:t>ideas</w:t>
      </w:r>
      <w:r>
        <w:rPr>
          <w:color w:val="231F20"/>
          <w:spacing w:val="-4"/>
        </w:rPr>
        <w:t> </w:t>
      </w:r>
      <w:r>
        <w:rPr>
          <w:color w:val="231F20"/>
        </w:rPr>
        <w:t>transver- sales.</w:t>
      </w:r>
    </w:p>
    <w:p>
      <w:pPr>
        <w:pStyle w:val="BodyText"/>
        <w:spacing w:line="249" w:lineRule="auto" w:before="1"/>
        <w:ind w:left="113" w:right="107" w:firstLine="283"/>
        <w:jc w:val="both"/>
      </w:pPr>
      <w:r>
        <w:rPr>
          <w:color w:val="231F20"/>
        </w:rPr>
        <w:t>Una de las ideas planteadas por diversos autores reconocidos, es aquella que indica que hay una relación más o menos estrecha entre los niveles jerárquicos alto y las posturas positivas en torno al empleo. De acuerdo con lo mostrado en este escrito, esta idea también se reproduce en los contextos asistenciales, donde existen jerarquías muy marcadas. En el caso de los directivos entrevistados </w:t>
      </w:r>
      <w:r>
        <w:rPr>
          <w:color w:val="231F20"/>
          <w:spacing w:val="-7"/>
        </w:rPr>
        <w:t>y, </w:t>
      </w:r>
      <w:r>
        <w:rPr>
          <w:color w:val="231F20"/>
        </w:rPr>
        <w:t>de manera particular, de la directiva de la institución privada, se pudo dilucidar que su trabajo lo perciben como algo que rebasa el sentido netamente económico, pues para ellos apunta a una cuestión más de auto-realización personal. Lo cual evidentemente es resultado de su propia posición económica, pero también de elementos sociales y culturales a la cual le otorgan un valor central. No obstante, las posturas positivas también se logran observar en los niveles más bajos del personal entrevistado, aunque con ciertas particularidades. Lo que nos lleva a indicar que aunque las expresiones positivas</w:t>
      </w:r>
      <w:r>
        <w:rPr>
          <w:color w:val="231F20"/>
          <w:spacing w:val="-9"/>
        </w:rPr>
        <w:t> </w:t>
      </w:r>
      <w:r>
        <w:rPr>
          <w:color w:val="231F20"/>
        </w:rPr>
        <w:t>del</w:t>
      </w:r>
      <w:r>
        <w:rPr>
          <w:color w:val="231F20"/>
          <w:spacing w:val="-9"/>
        </w:rPr>
        <w:t> </w:t>
      </w:r>
      <w:r>
        <w:rPr>
          <w:color w:val="231F20"/>
        </w:rPr>
        <w:t>trabajo</w:t>
      </w:r>
      <w:r>
        <w:rPr>
          <w:color w:val="231F20"/>
          <w:spacing w:val="-9"/>
        </w:rPr>
        <w:t> </w:t>
      </w:r>
      <w:r>
        <w:rPr>
          <w:color w:val="231F20"/>
        </w:rPr>
        <w:t>se</w:t>
      </w:r>
      <w:r>
        <w:rPr>
          <w:color w:val="231F20"/>
          <w:spacing w:val="-9"/>
        </w:rPr>
        <w:t> </w:t>
      </w:r>
      <w:r>
        <w:rPr>
          <w:color w:val="231F20"/>
        </w:rPr>
        <w:t>siguen</w:t>
      </w:r>
      <w:r>
        <w:rPr>
          <w:color w:val="231F20"/>
          <w:spacing w:val="-9"/>
        </w:rPr>
        <w:t> </w:t>
      </w:r>
      <w:r>
        <w:rPr>
          <w:color w:val="231F20"/>
        </w:rPr>
        <w:t>manejando</w:t>
      </w:r>
      <w:r>
        <w:rPr>
          <w:color w:val="231F20"/>
          <w:spacing w:val="-10"/>
        </w:rPr>
        <w:t> </w:t>
      </w:r>
      <w:r>
        <w:rPr>
          <w:color w:val="231F20"/>
        </w:rPr>
        <w:t>entre</w:t>
      </w:r>
      <w:r>
        <w:rPr>
          <w:color w:val="231F20"/>
          <w:spacing w:val="-9"/>
        </w:rPr>
        <w:t> </w:t>
      </w:r>
      <w:r>
        <w:rPr>
          <w:color w:val="231F20"/>
        </w:rPr>
        <w:t>los</w:t>
      </w:r>
      <w:r>
        <w:rPr>
          <w:color w:val="231F20"/>
          <w:spacing w:val="-9"/>
        </w:rPr>
        <w:t> </w:t>
      </w:r>
      <w:r>
        <w:rPr>
          <w:color w:val="231F20"/>
        </w:rPr>
        <w:t>niveles</w:t>
      </w:r>
      <w:r>
        <w:rPr>
          <w:color w:val="231F20"/>
          <w:spacing w:val="-9"/>
        </w:rPr>
        <w:t> </w:t>
      </w:r>
      <w:r>
        <w:rPr>
          <w:color w:val="231F20"/>
        </w:rPr>
        <w:t>superiores,</w:t>
      </w:r>
      <w:r>
        <w:rPr>
          <w:color w:val="231F20"/>
          <w:spacing w:val="-8"/>
        </w:rPr>
        <w:t> </w:t>
      </w:r>
      <w:r>
        <w:rPr>
          <w:color w:val="231F20"/>
        </w:rPr>
        <w:t>no son exclusivas de estos sectores en las instituciones</w:t>
      </w:r>
      <w:r>
        <w:rPr>
          <w:color w:val="231F20"/>
          <w:spacing w:val="-14"/>
        </w:rPr>
        <w:t> </w:t>
      </w:r>
      <w:r>
        <w:rPr>
          <w:color w:val="231F20"/>
        </w:rPr>
        <w:t>asistenciales.</w:t>
      </w:r>
    </w:p>
    <w:p>
      <w:pPr>
        <w:pStyle w:val="BodyText"/>
        <w:spacing w:line="249" w:lineRule="auto" w:before="1"/>
        <w:ind w:left="113" w:right="108" w:firstLine="283"/>
        <w:jc w:val="both"/>
      </w:pPr>
      <w:r>
        <w:rPr>
          <w:color w:val="231F20"/>
        </w:rPr>
        <w:t>Otra</w:t>
      </w:r>
      <w:r>
        <w:rPr>
          <w:color w:val="231F20"/>
          <w:spacing w:val="-8"/>
        </w:rPr>
        <w:t> </w:t>
      </w:r>
      <w:r>
        <w:rPr>
          <w:color w:val="231F20"/>
        </w:rPr>
        <w:t>idea</w:t>
      </w:r>
      <w:r>
        <w:rPr>
          <w:color w:val="231F20"/>
          <w:spacing w:val="-8"/>
        </w:rPr>
        <w:t> </w:t>
      </w:r>
      <w:r>
        <w:rPr>
          <w:color w:val="231F20"/>
        </w:rPr>
        <w:t>planteada</w:t>
      </w:r>
      <w:r>
        <w:rPr>
          <w:color w:val="231F20"/>
          <w:spacing w:val="-8"/>
        </w:rPr>
        <w:t> </w:t>
      </w:r>
      <w:r>
        <w:rPr>
          <w:color w:val="231F20"/>
        </w:rPr>
        <w:t>por</w:t>
      </w:r>
      <w:r>
        <w:rPr>
          <w:color w:val="231F20"/>
          <w:spacing w:val="-8"/>
        </w:rPr>
        <w:t> </w:t>
      </w:r>
      <w:r>
        <w:rPr>
          <w:color w:val="231F20"/>
        </w:rPr>
        <w:t>algunos</w:t>
      </w:r>
      <w:r>
        <w:rPr>
          <w:color w:val="231F20"/>
          <w:spacing w:val="-8"/>
        </w:rPr>
        <w:t> </w:t>
      </w:r>
      <w:r>
        <w:rPr>
          <w:color w:val="231F20"/>
        </w:rPr>
        <w:t>seguidores</w:t>
      </w:r>
      <w:r>
        <w:rPr>
          <w:color w:val="231F20"/>
          <w:spacing w:val="-7"/>
        </w:rPr>
        <w:t> </w:t>
      </w:r>
      <w:r>
        <w:rPr>
          <w:color w:val="231F20"/>
        </w:rPr>
        <w:t>de</w:t>
      </w:r>
      <w:r>
        <w:rPr>
          <w:color w:val="231F20"/>
          <w:spacing w:val="-8"/>
        </w:rPr>
        <w:t> </w:t>
      </w:r>
      <w:r>
        <w:rPr>
          <w:color w:val="231F20"/>
        </w:rPr>
        <w:t>ciertos</w:t>
      </w:r>
      <w:r>
        <w:rPr>
          <w:color w:val="231F20"/>
          <w:spacing w:val="-8"/>
        </w:rPr>
        <w:t> </w:t>
      </w:r>
      <w:r>
        <w:rPr>
          <w:color w:val="231F20"/>
        </w:rPr>
        <w:t>autores</w:t>
      </w:r>
      <w:r>
        <w:rPr>
          <w:color w:val="231F20"/>
          <w:spacing w:val="-8"/>
        </w:rPr>
        <w:t> </w:t>
      </w:r>
      <w:r>
        <w:rPr>
          <w:color w:val="231F20"/>
        </w:rPr>
        <w:t>posmo- dernos</w:t>
      </w:r>
      <w:r>
        <w:rPr>
          <w:color w:val="231F20"/>
          <w:spacing w:val="-9"/>
        </w:rPr>
        <w:t> </w:t>
      </w:r>
      <w:r>
        <w:rPr>
          <w:color w:val="231F20"/>
        </w:rPr>
        <w:t>consideran</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mayor</w:t>
      </w:r>
      <w:r>
        <w:rPr>
          <w:color w:val="231F20"/>
          <w:spacing w:val="-9"/>
        </w:rPr>
        <w:t> </w:t>
      </w:r>
      <w:r>
        <w:rPr>
          <w:color w:val="231F20"/>
        </w:rPr>
        <w:t>precariedad</w:t>
      </w:r>
      <w:r>
        <w:rPr>
          <w:color w:val="231F20"/>
          <w:spacing w:val="-9"/>
        </w:rPr>
        <w:t> </w:t>
      </w:r>
      <w:r>
        <w:rPr>
          <w:color w:val="231F20"/>
        </w:rPr>
        <w:t>y</w:t>
      </w:r>
      <w:r>
        <w:rPr>
          <w:color w:val="231F20"/>
          <w:spacing w:val="-9"/>
        </w:rPr>
        <w:t> </w:t>
      </w:r>
      <w:r>
        <w:rPr>
          <w:color w:val="231F20"/>
        </w:rPr>
        <w:t>flexibilidad</w:t>
      </w:r>
      <w:r>
        <w:rPr>
          <w:color w:val="231F20"/>
          <w:spacing w:val="-9"/>
        </w:rPr>
        <w:t> </w:t>
      </w:r>
      <w:r>
        <w:rPr>
          <w:color w:val="231F20"/>
        </w:rPr>
        <w:t>laboral,</w:t>
      </w:r>
      <w:r>
        <w:rPr>
          <w:color w:val="231F20"/>
          <w:spacing w:val="-9"/>
        </w:rPr>
        <w:t> </w:t>
      </w:r>
      <w:r>
        <w:rPr>
          <w:color w:val="231F20"/>
        </w:rPr>
        <w:t>habría menos identidad laboral. Con base en los argumentos expuestos y los datos obtenidos en nuestra investigación, podemos decir que esta idea no es del todo reproducible entre el personal asistencial, pues, si bien existen</w:t>
      </w:r>
      <w:r>
        <w:rPr>
          <w:color w:val="231F20"/>
          <w:spacing w:val="-5"/>
        </w:rPr>
        <w:t> </w:t>
      </w:r>
      <w:r>
        <w:rPr>
          <w:color w:val="231F20"/>
        </w:rPr>
        <w:t>algunas</w:t>
      </w:r>
      <w:r>
        <w:rPr>
          <w:color w:val="231F20"/>
          <w:spacing w:val="-5"/>
        </w:rPr>
        <w:t> </w:t>
      </w:r>
      <w:r>
        <w:rPr>
          <w:color w:val="231F20"/>
        </w:rPr>
        <w:t>integrantes</w:t>
      </w:r>
      <w:r>
        <w:rPr>
          <w:color w:val="231F20"/>
          <w:spacing w:val="-5"/>
        </w:rPr>
        <w:t> </w:t>
      </w:r>
      <w:r>
        <w:rPr>
          <w:color w:val="231F20"/>
        </w:rPr>
        <w:t>que</w:t>
      </w:r>
      <w:r>
        <w:rPr>
          <w:color w:val="231F20"/>
          <w:spacing w:val="-5"/>
        </w:rPr>
        <w:t> </w:t>
      </w:r>
      <w:r>
        <w:rPr>
          <w:color w:val="231F20"/>
        </w:rPr>
        <w:t>plantean</w:t>
      </w:r>
      <w:r>
        <w:rPr>
          <w:color w:val="231F20"/>
          <w:spacing w:val="-5"/>
        </w:rPr>
        <w:t> </w:t>
      </w:r>
      <w:r>
        <w:rPr>
          <w:color w:val="231F20"/>
        </w:rPr>
        <w:t>su</w:t>
      </w:r>
      <w:r>
        <w:rPr>
          <w:color w:val="231F20"/>
          <w:spacing w:val="-5"/>
        </w:rPr>
        <w:t> </w:t>
      </w:r>
      <w:r>
        <w:rPr>
          <w:color w:val="231F20"/>
        </w:rPr>
        <w:t>intención</w:t>
      </w:r>
      <w:r>
        <w:rPr>
          <w:color w:val="231F20"/>
          <w:spacing w:val="-5"/>
        </w:rPr>
        <w:t> </w:t>
      </w:r>
      <w:r>
        <w:rPr>
          <w:color w:val="231F20"/>
        </w:rPr>
        <w:t>de</w:t>
      </w:r>
      <w:r>
        <w:rPr>
          <w:color w:val="231F20"/>
          <w:spacing w:val="-5"/>
        </w:rPr>
        <w:t> </w:t>
      </w:r>
      <w:r>
        <w:rPr>
          <w:color w:val="231F20"/>
        </w:rPr>
        <w:t>dejar</w:t>
      </w:r>
      <w:r>
        <w:rPr>
          <w:color w:val="231F20"/>
          <w:spacing w:val="-5"/>
        </w:rPr>
        <w:t> </w:t>
      </w:r>
      <w:r>
        <w:rPr>
          <w:color w:val="231F20"/>
        </w:rPr>
        <w:t>su</w:t>
      </w:r>
      <w:r>
        <w:rPr>
          <w:color w:val="231F20"/>
          <w:spacing w:val="-5"/>
        </w:rPr>
        <w:t> </w:t>
      </w:r>
      <w:r>
        <w:rPr>
          <w:color w:val="231F20"/>
        </w:rPr>
        <w:t>trabajo, tan pronto tengan la posibilidad, existen otras que manifiestan lo con- trario sugiriendo únicamente algunos cambios para mejorar su situación laboral. Ciertamente hay casos de personas que plantean cuestiones más pragmáticas y utilitarias, entre ellas más recursos, pero como lo mencio- namos en el trabajo, ello más bien es resultado de un sentido práctico de las personas que de desarraigo</w:t>
      </w:r>
      <w:r>
        <w:rPr>
          <w:color w:val="231F20"/>
          <w:spacing w:val="-1"/>
        </w:rPr>
        <w:t> </w:t>
      </w:r>
      <w:r>
        <w:rPr>
          <w:color w:val="231F20"/>
        </w:rPr>
        <w:t>laboral.</w:t>
      </w:r>
    </w:p>
    <w:p>
      <w:pPr>
        <w:pStyle w:val="BodyText"/>
        <w:spacing w:before="1"/>
        <w:ind w:left="397"/>
      </w:pPr>
      <w:r>
        <w:rPr>
          <w:color w:val="231F20"/>
        </w:rPr>
        <w:t>La última idea que queremos contrastar y que desde nuestra    postu-</w:t>
      </w:r>
    </w:p>
    <w:p>
      <w:pPr>
        <w:spacing w:after="0"/>
        <w:sectPr>
          <w:footerReference w:type="default" r:id="rId320"/>
          <w:pgSz w:w="7770" w:h="11740"/>
          <w:pgMar w:footer="474" w:header="0" w:top="840" w:bottom="660" w:left="1020" w:right="740"/>
          <w:pgNumType w:start="325"/>
        </w:sectPr>
      </w:pPr>
    </w:p>
    <w:p>
      <w:pPr>
        <w:pStyle w:val="BodyText"/>
        <w:spacing w:line="249" w:lineRule="auto" w:before="60"/>
        <w:ind w:left="110" w:right="111"/>
        <w:jc w:val="both"/>
      </w:pPr>
      <w:r>
        <w:rPr>
          <w:color w:val="231F20"/>
        </w:rPr>
        <w:t>ra teórica nos mostrábamos reacios a manejar es la de la pérdida de la centralidad del trabajo. En este escrito, no la logramos identificar ello, en tanto que el personal entrevistado lo ubicaba como un medio para algo: para desarrollarse, para poner en práctica sus conocimientos, para atender a sus familias, etc. Por ejemplo, en el apartado referente al futu- ro laboral de los entrevistados, encontramos que, a pesar de existir vo- ces inconformes con su trabajo, ninguno desconoce su importancia para desarrollarse, cumplir con sus objetivos o realizarse. Esto nos lleva a manifestar que la tesis destacada por los teóricos de la posmodernidad, sobre la pérdida de la centralidad del trabajo, parece más apresurada</w:t>
      </w:r>
      <w:r>
        <w:rPr>
          <w:color w:val="231F20"/>
          <w:spacing w:val="-26"/>
        </w:rPr>
        <w:t> </w:t>
      </w:r>
      <w:r>
        <w:rPr>
          <w:color w:val="231F20"/>
        </w:rPr>
        <w:t>que sostenible, al menos en estas</w:t>
      </w:r>
      <w:r>
        <w:rPr>
          <w:color w:val="231F20"/>
          <w:spacing w:val="-13"/>
        </w:rPr>
        <w:t> </w:t>
      </w:r>
      <w:r>
        <w:rPr>
          <w:color w:val="231F20"/>
        </w:rPr>
        <w:t>instituciones.</w:t>
      </w:r>
    </w:p>
    <w:p>
      <w:pPr>
        <w:pStyle w:val="BodyText"/>
        <w:spacing w:before="9"/>
        <w:rPr>
          <w:sz w:val="15"/>
        </w:rPr>
      </w:pPr>
    </w:p>
    <w:p>
      <w:pPr>
        <w:pStyle w:val="Heading4"/>
        <w:spacing w:before="1"/>
        <w:ind w:left="110"/>
      </w:pPr>
      <w:r>
        <w:rPr>
          <w:w w:val="85"/>
        </w:rPr>
        <w:t>Bibliografía</w:t>
      </w:r>
    </w:p>
    <w:p>
      <w:pPr>
        <w:spacing w:line="254" w:lineRule="auto" w:before="167"/>
        <w:ind w:left="110" w:right="111" w:firstLine="0"/>
        <w:jc w:val="both"/>
        <w:rPr>
          <w:sz w:val="18"/>
        </w:rPr>
      </w:pPr>
      <w:r>
        <w:rPr>
          <w:color w:val="231F20"/>
          <w:sz w:val="18"/>
        </w:rPr>
        <w:t>Arteaga, Nelson (2008) “Vulnerabilidad y desafiliación social en la obra de Ro- bert Castel”, en </w:t>
      </w:r>
      <w:r>
        <w:rPr>
          <w:i/>
          <w:color w:val="231F20"/>
          <w:sz w:val="18"/>
        </w:rPr>
        <w:t>Sociológica</w:t>
      </w:r>
      <w:r>
        <w:rPr>
          <w:color w:val="231F20"/>
          <w:sz w:val="18"/>
        </w:rPr>
        <w:t>, núm. 68, México.</w:t>
      </w:r>
    </w:p>
    <w:p>
      <w:pPr>
        <w:spacing w:before="57"/>
        <w:ind w:left="110" w:right="0" w:firstLine="0"/>
        <w:jc w:val="both"/>
        <w:rPr>
          <w:sz w:val="18"/>
        </w:rPr>
      </w:pPr>
      <w:r>
        <w:rPr>
          <w:color w:val="231F20"/>
          <w:sz w:val="18"/>
        </w:rPr>
        <w:t>Bourdieu, Pierre (2001) </w:t>
      </w:r>
      <w:r>
        <w:rPr>
          <w:i/>
          <w:color w:val="231F20"/>
          <w:sz w:val="18"/>
        </w:rPr>
        <w:t>El sentido práctico</w:t>
      </w:r>
      <w:r>
        <w:rPr>
          <w:color w:val="231F20"/>
          <w:sz w:val="18"/>
        </w:rPr>
        <w:t>, Barcelona: Taurús.</w:t>
      </w:r>
    </w:p>
    <w:p>
      <w:pPr>
        <w:spacing w:line="254" w:lineRule="auto" w:before="69"/>
        <w:ind w:left="110" w:right="112" w:firstLine="0"/>
        <w:jc w:val="both"/>
        <w:rPr>
          <w:sz w:val="18"/>
        </w:rPr>
      </w:pPr>
      <w:r>
        <w:rPr>
          <w:color w:val="231F20"/>
          <w:sz w:val="18"/>
        </w:rPr>
        <w:t>Castel, Robert (1995) </w:t>
      </w:r>
      <w:r>
        <w:rPr>
          <w:i/>
          <w:color w:val="231F20"/>
          <w:sz w:val="18"/>
        </w:rPr>
        <w:t>Las metamorfosis de la cuestión social: una crónica del </w:t>
      </w:r>
      <w:r>
        <w:rPr>
          <w:i/>
          <w:color w:val="231F20"/>
          <w:sz w:val="18"/>
        </w:rPr>
        <w:t>salariado</w:t>
      </w:r>
      <w:r>
        <w:rPr>
          <w:color w:val="231F20"/>
          <w:sz w:val="18"/>
        </w:rPr>
        <w:t>, Buenos Aires: Paidós.</w:t>
      </w:r>
    </w:p>
    <w:p>
      <w:pPr>
        <w:spacing w:before="57"/>
        <w:ind w:left="110" w:right="0" w:firstLine="0"/>
        <w:jc w:val="both"/>
        <w:rPr>
          <w:sz w:val="18"/>
        </w:rPr>
      </w:pPr>
      <w:r>
        <w:rPr>
          <w:color w:val="231F20"/>
          <w:sz w:val="18"/>
        </w:rPr>
        <w:t>Elias, Norbert (1998) </w:t>
      </w:r>
      <w:r>
        <w:rPr>
          <w:i/>
          <w:color w:val="231F20"/>
          <w:sz w:val="18"/>
        </w:rPr>
        <w:t>Sociología fundamental</w:t>
      </w:r>
      <w:r>
        <w:rPr>
          <w:color w:val="231F20"/>
          <w:sz w:val="18"/>
        </w:rPr>
        <w:t>, Barcelona: Gedisa.</w:t>
      </w:r>
    </w:p>
    <w:p>
      <w:pPr>
        <w:spacing w:line="254" w:lineRule="auto" w:before="69"/>
        <w:ind w:left="110" w:right="111" w:firstLine="0"/>
        <w:jc w:val="both"/>
        <w:rPr>
          <w:sz w:val="18"/>
        </w:rPr>
      </w:pP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Garza,</w:t>
      </w:r>
      <w:r>
        <w:rPr>
          <w:color w:val="231F20"/>
          <w:spacing w:val="-6"/>
          <w:sz w:val="18"/>
        </w:rPr>
        <w:t> </w:t>
      </w:r>
      <w:r>
        <w:rPr>
          <w:color w:val="231F20"/>
          <w:sz w:val="18"/>
        </w:rPr>
        <w:t>Enrique</w:t>
      </w:r>
      <w:r>
        <w:rPr>
          <w:color w:val="231F20"/>
          <w:spacing w:val="-6"/>
          <w:sz w:val="18"/>
        </w:rPr>
        <w:t> </w:t>
      </w:r>
      <w:r>
        <w:rPr>
          <w:color w:val="231F20"/>
          <w:sz w:val="18"/>
        </w:rPr>
        <w:t>(2007)</w:t>
      </w:r>
      <w:r>
        <w:rPr>
          <w:color w:val="231F20"/>
          <w:spacing w:val="-6"/>
          <w:sz w:val="18"/>
        </w:rPr>
        <w:t> </w:t>
      </w:r>
      <w:r>
        <w:rPr>
          <w:color w:val="231F20"/>
          <w:sz w:val="18"/>
        </w:rPr>
        <w:t>“La</w:t>
      </w:r>
      <w:r>
        <w:rPr>
          <w:color w:val="231F20"/>
          <w:spacing w:val="-6"/>
          <w:sz w:val="18"/>
        </w:rPr>
        <w:t> </w:t>
      </w:r>
      <w:r>
        <w:rPr>
          <w:color w:val="231F20"/>
          <w:sz w:val="18"/>
        </w:rPr>
        <w:t>evolución</w:t>
      </w:r>
      <w:r>
        <w:rPr>
          <w:color w:val="231F20"/>
          <w:spacing w:val="-6"/>
          <w:sz w:val="18"/>
        </w:rPr>
        <w:t> </w:t>
      </w:r>
      <w:r>
        <w:rPr>
          <w:color w:val="231F20"/>
          <w:sz w:val="18"/>
        </w:rPr>
        <w:t>reciente</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z w:val="18"/>
        </w:rPr>
        <w:t>significados</w:t>
      </w:r>
      <w:r>
        <w:rPr>
          <w:color w:val="231F20"/>
          <w:spacing w:val="-6"/>
          <w:sz w:val="18"/>
        </w:rPr>
        <w:t> </w:t>
      </w:r>
      <w:r>
        <w:rPr>
          <w:color w:val="231F20"/>
          <w:sz w:val="18"/>
        </w:rPr>
        <w:t>del</w:t>
      </w:r>
      <w:r>
        <w:rPr>
          <w:color w:val="231F20"/>
          <w:spacing w:val="-6"/>
          <w:sz w:val="18"/>
        </w:rPr>
        <w:t> </w:t>
      </w:r>
      <w:r>
        <w:rPr>
          <w:color w:val="231F20"/>
          <w:sz w:val="18"/>
        </w:rPr>
        <w:t>traba- jo en los enfoques contemporáneos”, en </w:t>
      </w:r>
      <w:r>
        <w:rPr>
          <w:i/>
          <w:color w:val="231F20"/>
          <w:sz w:val="18"/>
        </w:rPr>
        <w:t>Revista de trabajo</w:t>
      </w:r>
      <w:r>
        <w:rPr>
          <w:color w:val="231F20"/>
          <w:sz w:val="18"/>
        </w:rPr>
        <w:t>, núm. 4,</w:t>
      </w:r>
      <w:r>
        <w:rPr>
          <w:color w:val="231F20"/>
          <w:spacing w:val="-23"/>
          <w:sz w:val="18"/>
        </w:rPr>
        <w:t> </w:t>
      </w:r>
      <w:r>
        <w:rPr>
          <w:color w:val="231F20"/>
          <w:sz w:val="18"/>
        </w:rPr>
        <w:t>Argentina.</w:t>
      </w:r>
    </w:p>
    <w:p>
      <w:pPr>
        <w:spacing w:line="254" w:lineRule="auto" w:before="57"/>
        <w:ind w:left="110" w:right="111" w:firstLine="0"/>
        <w:jc w:val="both"/>
        <w:rPr>
          <w:sz w:val="18"/>
        </w:rPr>
      </w:pPr>
      <w:r>
        <w:rPr>
          <w:color w:val="231F20"/>
          <w:sz w:val="18"/>
        </w:rPr>
        <w:t>De la Garza, Enrique (2009) “El trabajo no clásico y los conceptos de produc- ción, control, relación laboral y mercado de trabajo”, en </w:t>
      </w:r>
      <w:r>
        <w:rPr>
          <w:i/>
          <w:color w:val="231F20"/>
          <w:sz w:val="18"/>
        </w:rPr>
        <w:t>Sociología del trabajo</w:t>
      </w:r>
      <w:r>
        <w:rPr>
          <w:color w:val="231F20"/>
          <w:sz w:val="18"/>
        </w:rPr>
        <w:t>, Madrid.</w:t>
      </w:r>
    </w:p>
    <w:p>
      <w:pPr>
        <w:spacing w:line="254" w:lineRule="auto" w:before="57"/>
        <w:ind w:left="110" w:right="111" w:firstLine="0"/>
        <w:jc w:val="both"/>
        <w:rPr>
          <w:sz w:val="18"/>
        </w:rPr>
      </w:pP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Garza,</w:t>
      </w:r>
      <w:r>
        <w:rPr>
          <w:color w:val="231F20"/>
          <w:spacing w:val="-6"/>
          <w:sz w:val="18"/>
        </w:rPr>
        <w:t> </w:t>
      </w:r>
      <w:r>
        <w:rPr>
          <w:color w:val="231F20"/>
          <w:sz w:val="18"/>
        </w:rPr>
        <w:t>Enrique</w:t>
      </w:r>
      <w:r>
        <w:rPr>
          <w:color w:val="231F20"/>
          <w:spacing w:val="-7"/>
          <w:sz w:val="18"/>
        </w:rPr>
        <w:t> </w:t>
      </w:r>
      <w:r>
        <w:rPr>
          <w:i/>
          <w:color w:val="231F20"/>
          <w:sz w:val="18"/>
        </w:rPr>
        <w:t>et</w:t>
      </w:r>
      <w:r>
        <w:rPr>
          <w:i/>
          <w:color w:val="231F20"/>
          <w:spacing w:val="-6"/>
          <w:sz w:val="18"/>
        </w:rPr>
        <w:t> </w:t>
      </w:r>
      <w:r>
        <w:rPr>
          <w:i/>
          <w:color w:val="231F20"/>
          <w:sz w:val="18"/>
        </w:rPr>
        <w:t>al</w:t>
      </w:r>
      <w:r>
        <w:rPr>
          <w:color w:val="231F20"/>
          <w:sz w:val="18"/>
        </w:rPr>
        <w:t>.</w:t>
      </w:r>
      <w:r>
        <w:rPr>
          <w:color w:val="231F20"/>
          <w:spacing w:val="-6"/>
          <w:sz w:val="18"/>
        </w:rPr>
        <w:t> </w:t>
      </w:r>
      <w:r>
        <w:rPr>
          <w:color w:val="231F20"/>
          <w:sz w:val="18"/>
        </w:rPr>
        <w:t>(2011)</w:t>
      </w:r>
      <w:r>
        <w:rPr>
          <w:color w:val="231F20"/>
          <w:spacing w:val="-6"/>
          <w:sz w:val="18"/>
        </w:rPr>
        <w:t> </w:t>
      </w:r>
      <w:r>
        <w:rPr>
          <w:color w:val="231F20"/>
          <w:sz w:val="18"/>
        </w:rPr>
        <w:t>“Crítica</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razón</w:t>
      </w:r>
      <w:r>
        <w:rPr>
          <w:color w:val="231F20"/>
          <w:spacing w:val="-6"/>
          <w:sz w:val="18"/>
        </w:rPr>
        <w:t> </w:t>
      </w:r>
      <w:r>
        <w:rPr>
          <w:color w:val="231F20"/>
          <w:sz w:val="18"/>
        </w:rPr>
        <w:t>para-posmoderna</w:t>
      </w:r>
      <w:r>
        <w:rPr>
          <w:color w:val="231F20"/>
          <w:spacing w:val="-6"/>
          <w:sz w:val="18"/>
        </w:rPr>
        <w:t> </w:t>
      </w:r>
      <w:r>
        <w:rPr>
          <w:color w:val="231F20"/>
          <w:sz w:val="18"/>
        </w:rPr>
        <w:t>(Sennet, Bauman, Beck), en </w:t>
      </w:r>
      <w:r>
        <w:rPr>
          <w:i/>
          <w:color w:val="231F20"/>
          <w:spacing w:val="-3"/>
          <w:sz w:val="18"/>
        </w:rPr>
        <w:t>Trabajo </w:t>
      </w:r>
      <w:r>
        <w:rPr>
          <w:i/>
          <w:color w:val="231F20"/>
          <w:sz w:val="18"/>
        </w:rPr>
        <w:t>no clásico, organización y acción colectiva</w:t>
      </w:r>
      <w:r>
        <w:rPr>
          <w:color w:val="231F20"/>
          <w:sz w:val="18"/>
        </w:rPr>
        <w:t>, </w:t>
      </w:r>
      <w:r>
        <w:rPr>
          <w:color w:val="231F20"/>
          <w:spacing w:val="-4"/>
          <w:sz w:val="18"/>
        </w:rPr>
        <w:t>Tomo</w:t>
      </w:r>
      <w:r>
        <w:rPr>
          <w:color w:val="231F20"/>
          <w:spacing w:val="-31"/>
          <w:sz w:val="18"/>
        </w:rPr>
        <w:t> </w:t>
      </w:r>
      <w:r>
        <w:rPr>
          <w:color w:val="231F20"/>
          <w:sz w:val="18"/>
        </w:rPr>
        <w:t>I, México: Plaza y</w:t>
      </w:r>
      <w:r>
        <w:rPr>
          <w:color w:val="231F20"/>
          <w:spacing w:val="-13"/>
          <w:sz w:val="18"/>
        </w:rPr>
        <w:t> </w:t>
      </w:r>
      <w:r>
        <w:rPr>
          <w:color w:val="231F20"/>
          <w:spacing w:val="-3"/>
          <w:sz w:val="18"/>
        </w:rPr>
        <w:t>Valdés.</w:t>
      </w:r>
    </w:p>
    <w:p>
      <w:pPr>
        <w:spacing w:line="254" w:lineRule="auto" w:before="57"/>
        <w:ind w:left="110" w:right="111" w:firstLine="0"/>
        <w:jc w:val="both"/>
        <w:rPr>
          <w:sz w:val="18"/>
        </w:rPr>
      </w:pPr>
      <w:r>
        <w:rPr>
          <w:color w:val="231F20"/>
          <w:sz w:val="18"/>
        </w:rPr>
        <w:t>Díaz, Ximena, Lorena Godoy y Antonio Stecher (2005) “Significados del traba- jo, identidad y ciudadanía. La experiencia de hombres y mujeres en un mercado laboral flexible”, en </w:t>
      </w:r>
      <w:r>
        <w:rPr>
          <w:i/>
          <w:color w:val="231F20"/>
          <w:sz w:val="18"/>
        </w:rPr>
        <w:t>Cuadernos de investigación</w:t>
      </w:r>
      <w:r>
        <w:rPr>
          <w:color w:val="231F20"/>
          <w:sz w:val="18"/>
        </w:rPr>
        <w:t>, núm. 3, Santiago de Chile.</w:t>
      </w:r>
    </w:p>
    <w:p>
      <w:pPr>
        <w:spacing w:line="254" w:lineRule="auto" w:before="57"/>
        <w:ind w:left="110" w:right="111" w:firstLine="0"/>
        <w:jc w:val="both"/>
        <w:rPr>
          <w:sz w:val="18"/>
        </w:rPr>
      </w:pPr>
      <w:r>
        <w:rPr>
          <w:color w:val="231F20"/>
          <w:sz w:val="18"/>
        </w:rPr>
        <w:t>Garretón, Manuel (2000) </w:t>
      </w:r>
      <w:r>
        <w:rPr>
          <w:i/>
          <w:color w:val="231F20"/>
          <w:sz w:val="18"/>
        </w:rPr>
        <w:t>La sociedad en que vivi(re)mos</w:t>
      </w:r>
      <w:r>
        <w:rPr>
          <w:color w:val="231F20"/>
          <w:sz w:val="18"/>
        </w:rPr>
        <w:t>, Santiago de Chile: LOM Ediciones.</w:t>
      </w:r>
    </w:p>
    <w:p>
      <w:pPr>
        <w:spacing w:line="254" w:lineRule="auto" w:before="57"/>
        <w:ind w:left="110" w:right="111" w:firstLine="0"/>
        <w:jc w:val="both"/>
        <w:rPr>
          <w:sz w:val="18"/>
        </w:rPr>
      </w:pPr>
      <w:r>
        <w:rPr>
          <w:color w:val="231F20"/>
          <w:sz w:val="18"/>
        </w:rPr>
        <w:t>Guadarrama, Rocío, Alfredo Hualde y Silvia López (2012) “Precariedad laboral y heterogeneidad ocupacional: una propuesta teórica-metodológica”, en </w:t>
      </w:r>
      <w:r>
        <w:rPr>
          <w:i/>
          <w:color w:val="231F20"/>
          <w:sz w:val="18"/>
        </w:rPr>
        <w:t>Revista </w:t>
      </w:r>
      <w:r>
        <w:rPr>
          <w:i/>
          <w:color w:val="231F20"/>
          <w:sz w:val="18"/>
        </w:rPr>
        <w:t>Mexicana de Sociología</w:t>
      </w:r>
      <w:r>
        <w:rPr>
          <w:color w:val="231F20"/>
          <w:sz w:val="18"/>
        </w:rPr>
        <w:t>, núm. 2, México.</w:t>
      </w:r>
    </w:p>
    <w:p>
      <w:pPr>
        <w:spacing w:line="254" w:lineRule="auto" w:before="57"/>
        <w:ind w:left="110" w:right="111" w:firstLine="0"/>
        <w:jc w:val="both"/>
        <w:rPr>
          <w:sz w:val="18"/>
        </w:rPr>
      </w:pPr>
      <w:r>
        <w:rPr>
          <w:color w:val="231F20"/>
          <w:sz w:val="18"/>
        </w:rPr>
        <w:t>Liebel, Manfred (2006) </w:t>
      </w:r>
      <w:r>
        <w:rPr>
          <w:i/>
          <w:color w:val="231F20"/>
          <w:sz w:val="18"/>
        </w:rPr>
        <w:t>Paternalismo, participación y protagonismo infantil</w:t>
      </w:r>
      <w:r>
        <w:rPr>
          <w:color w:val="231F20"/>
          <w:sz w:val="18"/>
        </w:rPr>
        <w:t>, en </w:t>
      </w:r>
      <w:hyperlink r:id="rId321">
        <w:r>
          <w:rPr>
            <w:color w:val="231F20"/>
            <w:sz w:val="18"/>
          </w:rPr>
          <w:t>www.sename.gov.cl/wsename/otros/Paternalismo_manfred_liebel.pdf</w:t>
        </w:r>
      </w:hyperlink>
    </w:p>
    <w:p>
      <w:pPr>
        <w:spacing w:line="254" w:lineRule="auto" w:before="57"/>
        <w:ind w:left="110" w:right="112" w:firstLine="0"/>
        <w:jc w:val="both"/>
        <w:rPr>
          <w:sz w:val="18"/>
        </w:rPr>
      </w:pPr>
      <w:r>
        <w:rPr>
          <w:color w:val="231F20"/>
          <w:sz w:val="18"/>
        </w:rPr>
        <w:t>Litichever, Cecilia (2012) “Trayectorias institucionales de jóvenes en situación de calle”, en </w:t>
      </w:r>
      <w:r>
        <w:rPr>
          <w:i/>
          <w:color w:val="231F20"/>
          <w:sz w:val="18"/>
        </w:rPr>
        <w:t>Perfiles Latinoamericanos</w:t>
      </w:r>
      <w:r>
        <w:rPr>
          <w:color w:val="231F20"/>
          <w:sz w:val="18"/>
        </w:rPr>
        <w:t>, núm. 40, México.</w:t>
      </w:r>
    </w:p>
    <w:p>
      <w:pPr>
        <w:spacing w:after="0" w:line="254" w:lineRule="auto"/>
        <w:jc w:val="both"/>
        <w:rPr>
          <w:sz w:val="18"/>
        </w:rPr>
        <w:sectPr>
          <w:pgSz w:w="7770" w:h="11740"/>
          <w:pgMar w:header="0" w:footer="474" w:top="840" w:bottom="740" w:left="740" w:right="1020"/>
        </w:sectPr>
      </w:pPr>
    </w:p>
    <w:p>
      <w:pPr>
        <w:spacing w:line="254" w:lineRule="auto" w:before="65"/>
        <w:ind w:left="113" w:right="108" w:firstLine="0"/>
        <w:jc w:val="both"/>
        <w:rPr>
          <w:sz w:val="18"/>
        </w:rPr>
      </w:pPr>
      <w:r>
        <w:rPr>
          <w:color w:val="231F20"/>
          <w:sz w:val="18"/>
        </w:rPr>
        <w:t>Llobet, Valeria (2010) </w:t>
      </w:r>
      <w:r>
        <w:rPr>
          <w:i/>
          <w:color w:val="231F20"/>
          <w:sz w:val="18"/>
        </w:rPr>
        <w:t>¿Fábrica de niños? Las instituciones en la era de los de- </w:t>
      </w:r>
      <w:r>
        <w:rPr>
          <w:i/>
          <w:color w:val="231F20"/>
          <w:sz w:val="18"/>
        </w:rPr>
        <w:t>rechos de la infancia</w:t>
      </w:r>
      <w:r>
        <w:rPr>
          <w:color w:val="231F20"/>
          <w:sz w:val="18"/>
        </w:rPr>
        <w:t>, Buenos Aires: Nobeduc.</w:t>
      </w:r>
    </w:p>
    <w:p>
      <w:pPr>
        <w:spacing w:line="254" w:lineRule="auto" w:before="57"/>
        <w:ind w:left="113" w:right="108" w:firstLine="0"/>
        <w:jc w:val="both"/>
        <w:rPr>
          <w:sz w:val="18"/>
        </w:rPr>
      </w:pPr>
      <w:r>
        <w:rPr>
          <w:color w:val="231F20"/>
          <w:sz w:val="18"/>
        </w:rPr>
        <w:t>Osorio, Abraham (2011) </w:t>
      </w:r>
      <w:r>
        <w:rPr>
          <w:i/>
          <w:color w:val="231F20"/>
          <w:sz w:val="18"/>
        </w:rPr>
        <w:t>La gubernamentalidad de la infancia en riesgo en Mé- </w:t>
      </w:r>
      <w:r>
        <w:rPr>
          <w:i/>
          <w:color w:val="231F20"/>
          <w:sz w:val="18"/>
        </w:rPr>
        <w:t>xico, 1977-2010</w:t>
      </w:r>
      <w:r>
        <w:rPr>
          <w:color w:val="231F20"/>
          <w:sz w:val="18"/>
        </w:rPr>
        <w:t>, tesis de doctorado en Investigación en Ciencias Sociales con mención en Sociología, México: Flacso.</w:t>
      </w:r>
    </w:p>
    <w:p>
      <w:pPr>
        <w:spacing w:line="254" w:lineRule="auto" w:before="57"/>
        <w:ind w:left="113" w:right="108" w:firstLine="0"/>
        <w:jc w:val="both"/>
        <w:rPr>
          <w:sz w:val="18"/>
        </w:rPr>
      </w:pPr>
      <w:r>
        <w:rPr>
          <w:color w:val="231F20"/>
          <w:sz w:val="18"/>
        </w:rPr>
        <w:t>Reygadas, Luis (2010) “Introducción. Trabajos atípicos, trabajos precarios:</w:t>
      </w:r>
      <w:r>
        <w:rPr>
          <w:color w:val="231F20"/>
          <w:spacing w:val="-19"/>
          <w:sz w:val="18"/>
        </w:rPr>
        <w:t> </w:t>
      </w:r>
      <w:r>
        <w:rPr>
          <w:color w:val="231F20"/>
          <w:sz w:val="18"/>
        </w:rPr>
        <w:t>¿dos caras de una misma moneda?, en </w:t>
      </w:r>
      <w:r>
        <w:rPr>
          <w:i/>
          <w:color w:val="231F20"/>
          <w:sz w:val="18"/>
        </w:rPr>
        <w:t>Trabajos atípicos y precarización del empleo</w:t>
      </w:r>
      <w:r>
        <w:rPr>
          <w:color w:val="231F20"/>
          <w:sz w:val="18"/>
        </w:rPr>
        <w:t>, México: El Colegio de</w:t>
      </w:r>
      <w:r>
        <w:rPr>
          <w:color w:val="231F20"/>
          <w:spacing w:val="-13"/>
          <w:sz w:val="18"/>
        </w:rPr>
        <w:t> </w:t>
      </w:r>
      <w:r>
        <w:rPr>
          <w:color w:val="231F20"/>
          <w:sz w:val="18"/>
        </w:rPr>
        <w:t>México.</w:t>
      </w:r>
    </w:p>
    <w:p>
      <w:pPr>
        <w:spacing w:line="254" w:lineRule="auto" w:before="57"/>
        <w:ind w:left="113" w:right="108" w:firstLine="0"/>
        <w:jc w:val="both"/>
        <w:rPr>
          <w:sz w:val="18"/>
        </w:rPr>
      </w:pPr>
      <w:r>
        <w:rPr>
          <w:color w:val="231F20"/>
          <w:sz w:val="18"/>
        </w:rPr>
        <w:t>Stecher, Antonio (2000) “Notas sobre psicología, transición y subjetividad”, en </w:t>
      </w:r>
      <w:r>
        <w:rPr>
          <w:i/>
          <w:color w:val="231F20"/>
          <w:sz w:val="18"/>
        </w:rPr>
        <w:t>Dialectos en transición. Política y subjetividad en el Chile actual</w:t>
      </w:r>
      <w:r>
        <w:rPr>
          <w:color w:val="231F20"/>
          <w:sz w:val="18"/>
        </w:rPr>
        <w:t>, Santiago de Chile.</w:t>
      </w:r>
    </w:p>
    <w:p>
      <w:pPr>
        <w:spacing w:line="254" w:lineRule="auto" w:before="57"/>
        <w:ind w:left="113" w:right="107" w:firstLine="0"/>
        <w:jc w:val="both"/>
        <w:rPr>
          <w:sz w:val="18"/>
        </w:rPr>
      </w:pPr>
      <w:r>
        <w:rPr>
          <w:color w:val="231F20"/>
          <w:sz w:val="18"/>
        </w:rPr>
        <w:t>Strauss, Anselm y Juliet Corbin (2002) </w:t>
      </w:r>
      <w:r>
        <w:rPr>
          <w:i/>
          <w:color w:val="231F20"/>
          <w:sz w:val="18"/>
        </w:rPr>
        <w:t>Bases de la investigación cualitativa. </w:t>
      </w:r>
      <w:r>
        <w:rPr>
          <w:i/>
          <w:color w:val="231F20"/>
          <w:sz w:val="18"/>
        </w:rPr>
        <w:t>Técnicas y procedimientos para desarrollar la teoría fundamentada</w:t>
      </w:r>
      <w:r>
        <w:rPr>
          <w:color w:val="231F20"/>
          <w:sz w:val="18"/>
        </w:rPr>
        <w:t>, Antioquía: Universidad de Antioquia.</w:t>
      </w:r>
    </w:p>
    <w:p>
      <w:pPr>
        <w:spacing w:after="0" w:line="254" w:lineRule="auto"/>
        <w:jc w:val="both"/>
        <w:rPr>
          <w:sz w:val="18"/>
        </w:rPr>
        <w:sectPr>
          <w:footerReference w:type="default" r:id="rId322"/>
          <w:pgSz w:w="7770" w:h="11740"/>
          <w:pgMar w:footer="474" w:header="0" w:top="840" w:bottom="660" w:left="1020" w:right="74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4"/>
        </w:rPr>
      </w:pPr>
    </w:p>
    <w:p>
      <w:pPr>
        <w:spacing w:line="261" w:lineRule="auto" w:before="79"/>
        <w:ind w:left="1576" w:right="1857" w:firstLine="0"/>
        <w:jc w:val="both"/>
        <w:rPr>
          <w:sz w:val="16"/>
        </w:rPr>
      </w:pPr>
      <w:r>
        <w:rPr>
          <w:i/>
          <w:color w:val="231F20"/>
          <w:sz w:val="16"/>
        </w:rPr>
        <w:t>Trabajo global y desigualdades</w:t>
      </w:r>
      <w:r>
        <w:rPr>
          <w:i/>
          <w:color w:val="231F20"/>
          <w:spacing w:val="-17"/>
          <w:sz w:val="16"/>
        </w:rPr>
        <w:t> </w:t>
      </w:r>
      <w:r>
        <w:rPr>
          <w:i/>
          <w:color w:val="231F20"/>
          <w:sz w:val="16"/>
        </w:rPr>
        <w:t>en </w:t>
      </w:r>
      <w:r>
        <w:rPr>
          <w:i/>
          <w:color w:val="231F20"/>
          <w:sz w:val="16"/>
        </w:rPr>
        <w:t>el mercado laboral </w:t>
      </w:r>
      <w:r>
        <w:rPr>
          <w:color w:val="231F20"/>
          <w:sz w:val="16"/>
        </w:rPr>
        <w:t>se terminó de imprimir en enero de 2016 en la imprenta Editorial Cigome, S.A. de</w:t>
      </w:r>
      <w:r>
        <w:rPr>
          <w:color w:val="231F20"/>
          <w:spacing w:val="-8"/>
          <w:sz w:val="16"/>
        </w:rPr>
        <w:t> </w:t>
      </w:r>
      <w:r>
        <w:rPr>
          <w:color w:val="231F20"/>
          <w:spacing w:val="-5"/>
          <w:sz w:val="16"/>
        </w:rPr>
        <w:t>C.V.,</w:t>
      </w:r>
      <w:r>
        <w:rPr>
          <w:color w:val="231F20"/>
          <w:spacing w:val="-8"/>
          <w:sz w:val="16"/>
        </w:rPr>
        <w:t> </w:t>
      </w:r>
      <w:r>
        <w:rPr>
          <w:color w:val="231F20"/>
          <w:sz w:val="16"/>
        </w:rPr>
        <w:t>vialidad</w:t>
      </w:r>
      <w:r>
        <w:rPr>
          <w:color w:val="231F20"/>
          <w:spacing w:val="-15"/>
          <w:sz w:val="16"/>
        </w:rPr>
        <w:t> </w:t>
      </w:r>
      <w:r>
        <w:rPr>
          <w:color w:val="231F20"/>
          <w:sz w:val="16"/>
        </w:rPr>
        <w:t>Alfredo</w:t>
      </w:r>
      <w:r>
        <w:rPr>
          <w:color w:val="231F20"/>
          <w:spacing w:val="-7"/>
          <w:sz w:val="16"/>
        </w:rPr>
        <w:t> </w:t>
      </w:r>
      <w:r>
        <w:rPr>
          <w:color w:val="231F20"/>
          <w:sz w:val="16"/>
        </w:rPr>
        <w:t>del</w:t>
      </w:r>
      <w:r>
        <w:rPr>
          <w:color w:val="231F20"/>
          <w:spacing w:val="-8"/>
          <w:sz w:val="16"/>
        </w:rPr>
        <w:t> </w:t>
      </w:r>
      <w:r>
        <w:rPr>
          <w:color w:val="231F20"/>
          <w:sz w:val="16"/>
        </w:rPr>
        <w:t>Mazo 1524, Exhda. La Magdalena, C. </w:t>
      </w:r>
      <w:r>
        <w:rPr>
          <w:color w:val="231F20"/>
          <w:spacing w:val="-9"/>
          <w:sz w:val="16"/>
        </w:rPr>
        <w:t>P. </w:t>
      </w:r>
      <w:r>
        <w:rPr>
          <w:color w:val="231F20"/>
          <w:sz w:val="16"/>
        </w:rPr>
        <w:t>50010, Toluca, México, con un ti- raje de 100 ejemplares.</w:t>
      </w:r>
    </w:p>
    <w:p>
      <w:pPr>
        <w:spacing w:after="0" w:line="261" w:lineRule="auto"/>
        <w:jc w:val="both"/>
        <w:rPr>
          <w:sz w:val="16"/>
        </w:rPr>
        <w:sectPr>
          <w:footerReference w:type="default" r:id="rId323"/>
          <w:pgSz w:w="7770" w:h="11740"/>
          <w:pgMar w:footer="0" w:header="0" w:top="1080" w:bottom="280" w:left="1060" w:right="1060"/>
        </w:sectPr>
      </w:pPr>
    </w:p>
    <w:p>
      <w:pPr>
        <w:pStyle w:val="BodyText"/>
        <w:ind w:right="-40"/>
      </w:pPr>
      <w:r>
        <w:rPr/>
        <w:drawing>
          <wp:inline distT="0" distB="0" distL="0" distR="0">
            <wp:extent cx="4895088" cy="7394448"/>
            <wp:effectExtent l="0" t="0" r="0" b="0"/>
            <wp:docPr id="7" name="image115.jpeg" descr=""/>
            <wp:cNvGraphicFramePr>
              <a:graphicFrameLocks noChangeAspect="1"/>
            </wp:cNvGraphicFramePr>
            <a:graphic>
              <a:graphicData uri="http://schemas.openxmlformats.org/drawingml/2006/picture">
                <pic:pic>
                  <pic:nvPicPr>
                    <pic:cNvPr id="8" name="image115.jpeg"/>
                    <pic:cNvPicPr/>
                  </pic:nvPicPr>
                  <pic:blipFill>
                    <a:blip r:embed="rId325" cstate="print"/>
                    <a:stretch>
                      <a:fillRect/>
                    </a:stretch>
                  </pic:blipFill>
                  <pic:spPr>
                    <a:xfrm>
                      <a:off x="0" y="0"/>
                      <a:ext cx="4895088" cy="7394448"/>
                    </a:xfrm>
                    <a:prstGeom prst="rect">
                      <a:avLst/>
                    </a:prstGeom>
                  </pic:spPr>
                </pic:pic>
              </a:graphicData>
            </a:graphic>
          </wp:inline>
        </w:drawing>
      </w:r>
      <w:r>
        <w:rPr/>
      </w:r>
    </w:p>
    <w:sectPr>
      <w:footerReference w:type="default" r:id="rId324"/>
      <w:pgSz w:w="7710" w:h="1165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 w:name="Courier New">
    <w:altName w:val="Courier New"/>
    <w:charset w:val="0"/>
    <w:family w:val="modern"/>
    <w:pitch w:val="fixed"/>
  </w:font>
  <w:font w:name="Arial">
    <w:altName w:val="Arial"/>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192.173203pt;margin-top:547.808411pt;width:9pt;height:12pt;mso-position-horizontal-relative:page;mso-position-vertical-relative:page;z-index:-336880"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6736"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21</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91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179</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88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181</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86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183</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84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185</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81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187</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79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189</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76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191</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74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193</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72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195</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69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197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6712"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23</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8pt;height:12pt;mso-position-horizontal-relative:page;mso-position-vertical-relative:page;z-index:-334672" type="#_x0000_t202" filled="false" stroked="false">
          <v:textbox inset="0,0,0,0">
            <w:txbxContent>
              <w:p>
                <w:pPr>
                  <w:pStyle w:val="BodyText"/>
                  <w:spacing w:line="224" w:lineRule="exact"/>
                  <w:ind w:left="40" w:right="-20"/>
                </w:pPr>
                <w:r>
                  <w:rPr/>
                  <w:fldChar w:fldCharType="begin"/>
                </w:r>
                <w:r>
                  <w:rPr>
                    <w:color w:val="231F20"/>
                  </w:rPr>
                  <w:instrText> PAGE </w:instrText>
                </w:r>
                <w:r>
                  <w:rPr/>
                  <w:fldChar w:fldCharType="separate"/>
                </w:r>
                <w:r>
                  <w:rPr/>
                  <w:t>19</w:t>
                </w:r>
                <w:r>
                  <w:rPr/>
                  <w:fldChar w:fldCharType="end"/>
                </w:r>
                <w:r>
                  <w:rPr>
                    <w:color w:val="231F20"/>
                  </w:rPr>
                  <w:t>9</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64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201</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62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203</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60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205</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57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207</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55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209</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2.950pt;height:16.3pt;mso-position-horizontal-relative:page;mso-position-vertical-relative:page;z-index:-334528"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212</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50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213</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48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215</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45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217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6688"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25</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43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219</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40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221</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7pt;height:12pt;mso-position-horizontal-relative:page;mso-position-vertical-relative:page;z-index:-334384" type="#_x0000_t202" filled="false" stroked="false">
          <v:textbox inset="0,0,0,0">
            <w:txbxContent>
              <w:p>
                <w:pPr>
                  <w:pStyle w:val="BodyText"/>
                  <w:spacing w:line="224" w:lineRule="exact"/>
                  <w:ind w:left="20"/>
                </w:pPr>
                <w:r>
                  <w:rPr>
                    <w:color w:val="231F20"/>
                  </w:rPr>
                  <w:t>223</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36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227</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33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229</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31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231</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28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233</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6664"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27</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26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235</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24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237</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21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239</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19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241</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16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243</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14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245</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7pt;height:12pt;mso-position-horizontal-relative:page;mso-position-vertical-relative:page;z-index:-334120" type="#_x0000_t202" filled="false" stroked="false">
          <v:textbox inset="0,0,0,0">
            <w:txbxContent>
              <w:p>
                <w:pPr>
                  <w:pStyle w:val="BodyText"/>
                  <w:spacing w:line="224" w:lineRule="exact"/>
                  <w:ind w:left="20"/>
                </w:pPr>
                <w:r>
                  <w:rPr>
                    <w:color w:val="231F20"/>
                  </w:rPr>
                  <w:t>247</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09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249</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07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6640"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29</w:t>
                </w:r>
                <w:r>
                  <w:rPr/>
                  <w:fldChar w:fldCharType="end"/>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04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253</w:t>
                </w:r>
                <w:r>
                  <w:rPr/>
                  <w:fldChar w:fldCharType="end"/>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02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255</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00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257</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97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259</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95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261</w:t>
                </w:r>
                <w:r>
                  <w:rPr/>
                  <w:fldChar w:fldCharType="end"/>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92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263</w:t>
                </w:r>
                <w:r>
                  <w:rPr/>
                  <w:fldChar w:fldCharType="end"/>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90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265</w:t>
                </w:r>
                <w:r>
                  <w:rPr/>
                  <w:fldChar w:fldCharType="end"/>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88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267</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85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269</w:t>
                </w:r>
                <w:r>
                  <w:rPr/>
                  <w:fldChar w:fldCharType="end"/>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83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271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6616"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31</w:t>
                </w:r>
                <w:r>
                  <w:rPr/>
                  <w:fldChar w:fldCharType="end"/>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80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273</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7pt;height:12pt;mso-position-horizontal-relative:page;mso-position-vertical-relative:page;z-index:-333784" type="#_x0000_t202" filled="false" stroked="false">
          <v:textbox inset="0,0,0,0">
            <w:txbxContent>
              <w:p>
                <w:pPr>
                  <w:pStyle w:val="BodyText"/>
                  <w:spacing w:line="224" w:lineRule="exact"/>
                  <w:ind w:left="20"/>
                </w:pPr>
                <w:r>
                  <w:rPr>
                    <w:color w:val="231F20"/>
                  </w:rPr>
                  <w:t>275</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76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277</w:t>
                </w:r>
                <w:r>
                  <w:rPr/>
                  <w:fldChar w:fldCharType="end"/>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73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279</w:t>
                </w:r>
                <w:r>
                  <w:rPr/>
                  <w:fldChar w:fldCharType="end"/>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71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281</w:t>
                </w:r>
                <w:r>
                  <w:rPr/>
                  <w:fldChar w:fldCharType="end"/>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68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283</w:t>
                </w:r>
                <w:r>
                  <w:rPr/>
                  <w:fldChar w:fldCharType="end"/>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66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285</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64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287</w:t>
                </w:r>
                <w:r>
                  <w:rPr/>
                  <w:fldChar w:fldCharType="end"/>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61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289</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6592"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33</w:t>
                </w:r>
                <w:r>
                  <w:rPr/>
                  <w:fldChar w:fldCharType="end"/>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59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291</w:t>
                </w:r>
                <w:r>
                  <w:rPr/>
                  <w:fldChar w:fldCharType="end"/>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56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293</w:t>
                </w:r>
                <w:r>
                  <w:rPr/>
                  <w:fldChar w:fldCharType="end"/>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354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297</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352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299</w:t>
                </w:r>
                <w:r>
                  <w:rPr/>
                  <w:fldChar w:fldCharType="end"/>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8.527603pt;margin-top:547.808411pt;width:17pt;height:12pt;mso-position-horizontal-relative:page;mso-position-vertical-relative:page;z-index:-333496" type="#_x0000_t202" filled="false" stroked="false">
          <v:textbox inset="0,0,0,0">
            <w:txbxContent>
              <w:p>
                <w:pPr>
                  <w:pStyle w:val="BodyText"/>
                  <w:spacing w:line="224" w:lineRule="exact"/>
                  <w:ind w:left="20"/>
                </w:pPr>
                <w:r>
                  <w:rPr>
                    <w:color w:val="231F20"/>
                  </w:rPr>
                  <w:t>300</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47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301</w:t>
                </w:r>
                <w:r>
                  <w:rPr/>
                  <w:fldChar w:fldCharType="end"/>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7pt;height:12pt;mso-position-horizontal-relative:page;mso-position-vertical-relative:page;z-index:-333448" type="#_x0000_t202" filled="false" stroked="false">
          <v:textbox inset="0,0,0,0">
            <w:txbxContent>
              <w:p>
                <w:pPr>
                  <w:pStyle w:val="BodyText"/>
                  <w:spacing w:line="224" w:lineRule="exact"/>
                  <w:ind w:left="20"/>
                </w:pPr>
                <w:r>
                  <w:rPr>
                    <w:color w:val="231F20"/>
                  </w:rPr>
                  <w:t>303</w:t>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42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305</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6568"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35</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40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307</w:t>
                </w:r>
                <w:r>
                  <w:rPr/>
                  <w:fldChar w:fldCharType="end"/>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37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309</w:t>
                </w:r>
                <w:r>
                  <w:rPr/>
                  <w:fldChar w:fldCharType="end"/>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2.950pt;height:16.3pt;mso-position-horizontal-relative:page;mso-position-vertical-relative:page;z-index:-333352"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312</w:t>
                </w:r>
                <w:r>
                  <w:rPr/>
                  <w:fldChar w:fldCharType="end"/>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32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313</w:t>
                </w:r>
                <w:r>
                  <w:rPr/>
                  <w:fldChar w:fldCharType="end"/>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30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315</w:t>
                </w:r>
                <w:r>
                  <w:rPr/>
                  <w:fldChar w:fldCharType="end"/>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28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317</w:t>
                </w:r>
                <w:r>
                  <w:rPr/>
                  <w:fldChar w:fldCharType="end"/>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25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319</w:t>
                </w:r>
                <w:r>
                  <w:rPr/>
                  <w:fldChar w:fldCharType="end"/>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23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321</w:t>
                </w:r>
                <w:r>
                  <w:rPr/>
                  <w:fldChar w:fldCharType="end"/>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20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323</w:t>
                </w:r>
                <w:r>
                  <w:rPr/>
                  <w:fldChar w:fldCharType="end"/>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318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325</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2pt;height:12pt;mso-position-horizontal-relative:page;mso-position-vertical-relative:page;z-index:-336544" type="#_x0000_t202" filled="false" stroked="false">
          <v:textbox inset="0,0,0,0">
            <w:txbxContent>
              <w:p>
                <w:pPr>
                  <w:pStyle w:val="BodyText"/>
                  <w:spacing w:line="224" w:lineRule="exact"/>
                  <w:ind w:left="20" w:right="-100"/>
                </w:pPr>
                <w:r>
                  <w:rPr>
                    <w:color w:val="231F20"/>
                  </w:rPr>
                  <w:t>37</w:t>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7pt;height:12pt;mso-position-horizontal-relative:page;mso-position-vertical-relative:page;z-index:-333160" type="#_x0000_t202" filled="false" stroked="false">
          <v:textbox inset="0,0,0,0">
            <w:txbxContent>
              <w:p>
                <w:pPr>
                  <w:pStyle w:val="BodyText"/>
                  <w:spacing w:line="224" w:lineRule="exact"/>
                  <w:ind w:left="20"/>
                </w:pPr>
                <w:r>
                  <w:rPr>
                    <w:color w:val="231F20"/>
                  </w:rPr>
                  <w:t>327</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9pt;height:12pt;mso-position-horizontal-relative:page;mso-position-vertical-relative:page;z-index:-336856"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9</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520"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39</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496"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41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472"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43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448"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45</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424"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47</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400"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49</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376"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51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352"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53</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328"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55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2.7pt;height:12pt;mso-position-horizontal-relative:page;mso-position-vertical-relative:page;z-index:-336304" type="#_x0000_t202" filled="false" stroked="false">
          <v:textbox inset="0,0,0,0">
            <w:txbxContent>
              <w:p>
                <w:pPr>
                  <w:pStyle w:val="BodyText"/>
                  <w:spacing w:line="224" w:lineRule="exact"/>
                  <w:ind w:left="40" w:right="-6"/>
                </w:pPr>
                <w:r>
                  <w:rPr/>
                  <w:fldChar w:fldCharType="begin"/>
                </w:r>
                <w:r>
                  <w:rPr>
                    <w:color w:val="231F20"/>
                  </w:rPr>
                  <w:instrText> PAGE </w:instrText>
                </w:r>
                <w:r>
                  <w:rPr/>
                  <w:fldChar w:fldCharType="separate"/>
                </w:r>
                <w:r>
                  <w:rPr/>
                  <w:t>57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3.3pt;height:12pt;mso-position-horizontal-relative:page;mso-position-vertical-relative:page;z-index:-336832"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2.7pt;height:12pt;mso-position-horizontal-relative:page;mso-position-vertical-relative:page;z-index:-336280" type="#_x0000_t202" filled="false" stroked="false">
          <v:textbox inset="0,0,0,0">
            <w:txbxContent>
              <w:p>
                <w:pPr>
                  <w:pStyle w:val="BodyText"/>
                  <w:spacing w:line="224" w:lineRule="exact"/>
                  <w:ind w:left="40" w:right="-6"/>
                </w:pPr>
                <w:r>
                  <w:rPr/>
                  <w:fldChar w:fldCharType="begin"/>
                </w:r>
                <w:r>
                  <w:rPr>
                    <w:color w:val="231F20"/>
                  </w:rPr>
                  <w:instrText> PAGE </w:instrText>
                </w:r>
                <w:r>
                  <w:rPr/>
                  <w:fldChar w:fldCharType="separate"/>
                </w:r>
                <w:r>
                  <w:rPr/>
                  <w:t>59</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47.808411pt;width:10.7pt;height:12pt;mso-position-horizontal-relative:page;mso-position-vertical-relative:page;z-index:-336256" type="#_x0000_t202" filled="false" stroked="false">
          <v:textbox inset="0,0,0,0">
            <w:txbxContent>
              <w:p>
                <w:pPr>
                  <w:pStyle w:val="BodyText"/>
                  <w:spacing w:line="224" w:lineRule="exact"/>
                  <w:ind w:left="20" w:right="-1"/>
                </w:pPr>
                <w:r>
                  <w:rPr>
                    <w:color w:val="231F20"/>
                    <w:spacing w:val="-13"/>
                  </w:rPr>
                  <w:t>61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2.7pt;height:12pt;mso-position-horizontal-relative:page;mso-position-vertical-relative:page;z-index:-336232" type="#_x0000_t202" filled="false" stroked="false">
          <v:textbox inset="0,0,0,0">
            <w:txbxContent>
              <w:p>
                <w:pPr>
                  <w:pStyle w:val="BodyText"/>
                  <w:spacing w:line="224" w:lineRule="exact"/>
                  <w:ind w:left="40" w:right="-6"/>
                </w:pPr>
                <w:r>
                  <w:rPr/>
                  <w:fldChar w:fldCharType="begin"/>
                </w:r>
                <w:r>
                  <w:rPr>
                    <w:color w:val="231F20"/>
                  </w:rPr>
                  <w:instrText> PAGE </w:instrText>
                </w:r>
                <w:r>
                  <w:rPr/>
                  <w:fldChar w:fldCharType="separate"/>
                </w:r>
                <w:r>
                  <w:rPr/>
                  <w:t>63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47.808411pt;width:10.7pt;height:12pt;mso-position-horizontal-relative:page;mso-position-vertical-relative:page;z-index:-336208" type="#_x0000_t202" filled="false" stroked="false">
          <v:textbox inset="0,0,0,0">
            <w:txbxContent>
              <w:p>
                <w:pPr>
                  <w:pStyle w:val="BodyText"/>
                  <w:spacing w:line="224" w:lineRule="exact"/>
                  <w:ind w:left="20" w:right="-1"/>
                </w:pPr>
                <w:r>
                  <w:rPr>
                    <w:color w:val="231F20"/>
                    <w:spacing w:val="-13"/>
                  </w:rPr>
                  <w:t>65</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2.7pt;height:12pt;mso-position-horizontal-relative:page;mso-position-vertical-relative:page;z-index:-336184" type="#_x0000_t202" filled="false" stroked="false">
          <v:textbox inset="0,0,0,0">
            <w:txbxContent>
              <w:p>
                <w:pPr>
                  <w:pStyle w:val="BodyText"/>
                  <w:spacing w:line="224" w:lineRule="exact"/>
                  <w:ind w:left="40" w:right="-6"/>
                </w:pPr>
                <w:r>
                  <w:rPr/>
                  <w:fldChar w:fldCharType="begin"/>
                </w:r>
                <w:r>
                  <w:rPr>
                    <w:color w:val="231F20"/>
                  </w:rPr>
                  <w:instrText> PAGE </w:instrText>
                </w:r>
                <w:r>
                  <w:rPr/>
                  <w:fldChar w:fldCharType="separate"/>
                </w:r>
                <w:r>
                  <w:rPr/>
                  <w:t>67</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2.7pt;height:12pt;mso-position-horizontal-relative:page;mso-position-vertical-relative:page;z-index:-336160" type="#_x0000_t202" filled="false" stroked="false">
          <v:textbox inset="0,0,0,0">
            <w:txbxContent>
              <w:p>
                <w:pPr>
                  <w:pStyle w:val="BodyText"/>
                  <w:spacing w:line="224" w:lineRule="exact"/>
                  <w:ind w:left="40" w:right="-6"/>
                </w:pPr>
                <w:r>
                  <w:rPr/>
                  <w:fldChar w:fldCharType="begin"/>
                </w:r>
                <w:r>
                  <w:rPr>
                    <w:color w:val="231F20"/>
                  </w:rPr>
                  <w:instrText> PAGE </w:instrText>
                </w:r>
                <w:r>
                  <w:rPr/>
                  <w:fldChar w:fldCharType="separate"/>
                </w:r>
                <w:r>
                  <w:rPr/>
                  <w:t>69</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2.7pt;height:12pt;mso-position-horizontal-relative:page;mso-position-vertical-relative:page;z-index:-336136" type="#_x0000_t202" filled="false" stroked="false">
          <v:textbox inset="0,0,0,0">
            <w:txbxContent>
              <w:p>
                <w:pPr>
                  <w:pStyle w:val="BodyText"/>
                  <w:spacing w:line="224" w:lineRule="exact"/>
                  <w:ind w:left="40" w:right="-6"/>
                </w:pPr>
                <w:r>
                  <w:rPr/>
                  <w:fldChar w:fldCharType="begin"/>
                </w:r>
                <w:r>
                  <w:rPr>
                    <w:color w:val="231F20"/>
                  </w:rPr>
                  <w:instrText> PAGE </w:instrText>
                </w:r>
                <w:r>
                  <w:rPr/>
                  <w:fldChar w:fldCharType="separate"/>
                </w:r>
                <w:r>
                  <w:rPr/>
                  <w:t>71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47.808411pt;width:14pt;height:12pt;mso-position-horizontal-relative:page;mso-position-vertical-relative:page;z-index:-336808"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13</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14pt;height:12pt;mso-position-horizontal-relative:page;mso-position-vertical-relative:page;z-index:-336112"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74</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14pt;height:12pt;mso-position-horizontal-relative:page;mso-position-vertical-relative:page;z-index:-336088"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76</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14pt;height:12pt;mso-position-horizontal-relative:page;mso-position-vertical-relative:page;z-index:-336064"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78</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14pt;height:12pt;mso-position-horizontal-relative:page;mso-position-vertical-relative:page;z-index:-336040"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80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59.528pt;margin-top:540.425964pt;width:295.37pt;height:31.748pt;mso-position-horizontal-relative:page;mso-position-vertical-relative:page;z-index:-336016" filled="true" fillcolor="#ffffff" stroked="false">
          <v:fill type="solid"/>
          <w10:wrap type="none"/>
        </v:rect>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5992"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85</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5968"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87</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5944"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89</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5920"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91</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5896"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93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47.808411pt;width:12pt;height:12pt;mso-position-horizontal-relative:page;mso-position-vertical-relative:page;z-index:-336784" type="#_x0000_t202" filled="false" stroked="false">
          <v:textbox inset="0,0,0,0">
            <w:txbxContent>
              <w:p>
                <w:pPr>
                  <w:pStyle w:val="BodyText"/>
                  <w:spacing w:line="224" w:lineRule="exact"/>
                  <w:ind w:left="20" w:right="-100"/>
                </w:pPr>
                <w:r>
                  <w:rPr>
                    <w:color w:val="231F20"/>
                  </w:rPr>
                  <w:t>15</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5872"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95</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2pt;height:12pt;mso-position-horizontal-relative:page;mso-position-vertical-relative:page;z-index:-335848" type="#_x0000_t202" filled="false" stroked="false">
          <v:textbox inset="0,0,0,0">
            <w:txbxContent>
              <w:p>
                <w:pPr>
                  <w:pStyle w:val="BodyText"/>
                  <w:spacing w:line="224" w:lineRule="exact"/>
                  <w:ind w:left="20" w:right="-100"/>
                </w:pPr>
                <w:r>
                  <w:rPr>
                    <w:color w:val="231F20"/>
                  </w:rPr>
                  <w:t>97</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582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103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580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105</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577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107</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575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109</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1.55pt;height:16.3pt;mso-position-horizontal-relative:page;mso-position-vertical-relative:page;z-index:-335728" type="#_x0000_t202" filled="false" stroked="false">
          <v:textbox inset="0,0,0,0">
            <w:txbxContent>
              <w:p>
                <w:pPr>
                  <w:pStyle w:val="BodyText"/>
                  <w:spacing w:before="79"/>
                  <w:ind w:left="332" w:right="-21"/>
                </w:pPr>
                <w:r>
                  <w:rPr/>
                  <w:fldChar w:fldCharType="begin"/>
                </w:r>
                <w:r>
                  <w:rPr>
                    <w:color w:val="231F20"/>
                  </w:rPr>
                  <w:instrText> PAGE </w:instrText>
                </w:r>
                <w:r>
                  <w:rPr/>
                  <w:fldChar w:fldCharType="separate"/>
                </w:r>
                <w:r>
                  <w:rPr/>
                  <w:t>111</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2.3pt;height:16.3pt;mso-position-horizontal-relative:page;mso-position-vertical-relative:page;z-index:-335704" type="#_x0000_t202" filled="false" stroked="false">
          <v:textbox inset="0,0,0,0">
            <w:txbxContent>
              <w:p>
                <w:pPr>
                  <w:pStyle w:val="BodyText"/>
                  <w:spacing w:before="79"/>
                  <w:ind w:left="332" w:right="-6"/>
                </w:pPr>
                <w:r>
                  <w:rPr/>
                  <w:fldChar w:fldCharType="begin"/>
                </w:r>
                <w:r>
                  <w:rPr>
                    <w:color w:val="231F20"/>
                  </w:rPr>
                  <w:instrText> PAGE </w:instrText>
                </w:r>
                <w:r>
                  <w:rPr/>
                  <w:fldChar w:fldCharType="separate"/>
                </w:r>
                <w:r>
                  <w:rPr/>
                  <w:t>113</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2.3pt;height:16.3pt;mso-position-horizontal-relative:page;mso-position-vertical-relative:page;z-index:-335680" type="#_x0000_t202" filled="false" stroked="false">
          <v:textbox inset="0,0,0,0">
            <w:txbxContent>
              <w:p>
                <w:pPr>
                  <w:pStyle w:val="BodyText"/>
                  <w:spacing w:before="79"/>
                  <w:ind w:left="332" w:right="-6"/>
                </w:pPr>
                <w:r>
                  <w:rPr/>
                  <w:fldChar w:fldCharType="begin"/>
                </w:r>
                <w:r>
                  <w:rPr>
                    <w:color w:val="231F20"/>
                  </w:rPr>
                  <w:instrText> PAGE </w:instrText>
                </w:r>
                <w:r>
                  <w:rPr/>
                  <w:fldChar w:fldCharType="separate"/>
                </w:r>
                <w:r>
                  <w:rPr/>
                  <w:t>115</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2.3pt;height:16.3pt;mso-position-horizontal-relative:page;mso-position-vertical-relative:page;z-index:-335656" type="#_x0000_t202" filled="false" stroked="false">
          <v:textbox inset="0,0,0,0">
            <w:txbxContent>
              <w:p>
                <w:pPr>
                  <w:pStyle w:val="BodyText"/>
                  <w:spacing w:before="79"/>
                  <w:ind w:left="332" w:right="-6"/>
                </w:pPr>
                <w:r>
                  <w:rPr/>
                  <w:fldChar w:fldCharType="begin"/>
                </w:r>
                <w:r>
                  <w:rPr>
                    <w:color w:val="231F20"/>
                  </w:rPr>
                  <w:instrText> PAGE </w:instrText>
                </w:r>
                <w:r>
                  <w:rPr/>
                  <w:fldChar w:fldCharType="separate"/>
                </w:r>
                <w:r>
                  <w:rPr/>
                  <w:t>117</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2.3pt;height:16.3pt;mso-position-horizontal-relative:page;mso-position-vertical-relative:page;z-index:-335632" type="#_x0000_t202" filled="false" stroked="false">
          <v:textbox inset="0,0,0,0">
            <w:txbxContent>
              <w:p>
                <w:pPr>
                  <w:pStyle w:val="BodyText"/>
                  <w:spacing w:before="79"/>
                  <w:ind w:left="332" w:right="-6"/>
                </w:pPr>
                <w:r>
                  <w:rPr/>
                  <w:fldChar w:fldCharType="begin"/>
                </w:r>
                <w:r>
                  <w:rPr>
                    <w:color w:val="231F20"/>
                  </w:rPr>
                  <w:instrText> PAGE </w:instrText>
                </w:r>
                <w:r>
                  <w:rPr/>
                  <w:fldChar w:fldCharType="separate"/>
                </w:r>
                <w:r>
                  <w:rPr/>
                  <w:t>119</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560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121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558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125</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556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127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553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129</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177.527603pt;margin-top:547.808411pt;width:33.65pt;height:16.3pt;mso-position-horizontal-relative:page;mso-position-vertical-relative:page;z-index:-33551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131</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48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133</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46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135</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44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137</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41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139</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7pt;height:12pt;mso-position-horizontal-relative:page;mso-position-vertical-relative:page;z-index:-335392" type="#_x0000_t202" filled="false" stroked="false">
          <v:textbox inset="0,0,0,0">
            <w:txbxContent>
              <w:p>
                <w:pPr>
                  <w:pStyle w:val="BodyText"/>
                  <w:spacing w:line="224" w:lineRule="exact"/>
                  <w:ind w:left="20"/>
                </w:pPr>
                <w:r>
                  <w:rPr>
                    <w:color w:val="231F20"/>
                  </w:rPr>
                  <w:t>141</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36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143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34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147</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32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149</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29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151</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27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153</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24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155</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224"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157</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20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159</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17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161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2.173203pt;margin-top:552.060425pt;width:14pt;height:12pt;mso-position-horizontal-relative:page;mso-position-vertical-relative:page;z-index:-336760" type="#_x0000_t202" filled="false" stroked="false">
          <v:textbox inset="0,0,0,0">
            <w:txbxContent>
              <w:p>
                <w:pPr>
                  <w:pStyle w:val="BodyText"/>
                  <w:spacing w:line="224" w:lineRule="exact"/>
                  <w:ind w:left="40"/>
                </w:pPr>
                <w:r>
                  <w:rPr/>
                  <w:fldChar w:fldCharType="begin"/>
                </w:r>
                <w:r>
                  <w:rPr>
                    <w:color w:val="231F20"/>
                  </w:rPr>
                  <w:instrText> PAGE </w:instrText>
                </w:r>
                <w:r>
                  <w:rPr/>
                  <w:fldChar w:fldCharType="separate"/>
                </w:r>
                <w:r>
                  <w:rPr/>
                  <w:t>19</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15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163</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12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165</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7pt;height:12pt;mso-position-horizontal-relative:page;mso-position-vertical-relative:page;z-index:-335104" type="#_x0000_t202" filled="false" stroked="false">
          <v:textbox inset="0,0,0,0">
            <w:txbxContent>
              <w:p>
                <w:pPr>
                  <w:pStyle w:val="BodyText"/>
                  <w:spacing w:line="224" w:lineRule="exact"/>
                  <w:ind w:left="20"/>
                </w:pPr>
                <w:r>
                  <w:rPr>
                    <w:color w:val="231F20"/>
                  </w:rPr>
                  <w:t>167</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70042pt;margin-top:440.912933pt;width:297.650pt;height:.1pt;mso-position-horizontal-relative:page;mso-position-vertical-relative:page;z-index:-335080" coordorigin="765,8818" coordsize="5953,0" path="m765,8818l4204,8818m4204,8818l4213,8818m4213,8818l4936,8818m4936,8818l4945,8818m4945,8818l6718,8818e" filled="false" stroked="true" strokeweight=".481pt" strokecolor="#000000">
          <v:path arrowok="t"/>
          <w10:wrap type="none"/>
        </v:shape>
      </w:pict>
    </w:r>
    <w:r>
      <w:rPr/>
      <w:pict>
        <v:shape style="position:absolute;margin-left:178.527603pt;margin-top:547.808411pt;width:17pt;height:12pt;mso-position-horizontal-relative:page;mso-position-vertical-relative:page;z-index:-335056" type="#_x0000_t202" filled="false" stroked="false">
          <v:textbox inset="0,0,0,0">
            <w:txbxContent>
              <w:p>
                <w:pPr>
                  <w:pStyle w:val="BodyText"/>
                  <w:spacing w:line="224" w:lineRule="exact"/>
                  <w:ind w:left="20"/>
                </w:pPr>
                <w:r>
                  <w:rPr>
                    <w:color w:val="231F20"/>
                  </w:rPr>
                  <w:t>168</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032"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169</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5008"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171</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3.173203pt;margin-top:552.060425pt;width:17pt;height:12pt;mso-position-horizontal-relative:page;mso-position-vertical-relative:page;z-index:-334984" type="#_x0000_t202" filled="false" stroked="false">
          <v:textbox inset="0,0,0,0">
            <w:txbxContent>
              <w:p>
                <w:pPr>
                  <w:pStyle w:val="BodyText"/>
                  <w:spacing w:line="224" w:lineRule="exact"/>
                  <w:ind w:left="20"/>
                </w:pPr>
                <w:r>
                  <w:rPr>
                    <w:color w:val="231F20"/>
                  </w:rPr>
                  <w:t>173</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960"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175</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7.527603pt;margin-top:547.808411pt;width:33.65pt;height:16.3pt;mso-position-horizontal-relative:page;mso-position-vertical-relative:page;z-index:-334936" type="#_x0000_t202" filled="false" stroked="false">
          <v:textbox inset="0,0,0,0">
            <w:txbxContent>
              <w:p>
                <w:pPr>
                  <w:pStyle w:val="BodyText"/>
                  <w:spacing w:before="79"/>
                  <w:ind w:left="332"/>
                </w:pPr>
                <w:r>
                  <w:rPr/>
                  <w:fldChar w:fldCharType="begin"/>
                </w:r>
                <w:r>
                  <w:rPr>
                    <w:color w:val="231F20"/>
                  </w:rPr>
                  <w:instrText> PAGE </w:instrText>
                </w:r>
                <w:r>
                  <w:rPr/>
                  <w:fldChar w:fldCharType="separate"/>
                </w:r>
                <w:r>
                  <w:rPr/>
                  <w:t>177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bullet"/>
      <w:lvlText w:val="•"/>
      <w:lvlJc w:val="left"/>
      <w:pPr>
        <w:ind w:left="479" w:hanging="360"/>
      </w:pPr>
      <w:rPr>
        <w:rFonts w:hint="default" w:ascii="Times New Roman" w:hAnsi="Times New Roman" w:eastAsia="Times New Roman" w:cs="Times New Roman"/>
        <w:color w:val="231F20"/>
        <w:w w:val="99"/>
        <w:sz w:val="20"/>
        <w:szCs w:val="20"/>
      </w:rPr>
    </w:lvl>
    <w:lvl w:ilvl="1">
      <w:start w:val="1"/>
      <w:numFmt w:val="bullet"/>
      <w:lvlText w:val="•"/>
      <w:lvlJc w:val="left"/>
      <w:pPr>
        <w:ind w:left="1058" w:hanging="360"/>
      </w:pPr>
      <w:rPr>
        <w:rFonts w:hint="default"/>
      </w:rPr>
    </w:lvl>
    <w:lvl w:ilvl="2">
      <w:start w:val="1"/>
      <w:numFmt w:val="bullet"/>
      <w:lvlText w:val="•"/>
      <w:lvlJc w:val="left"/>
      <w:pPr>
        <w:ind w:left="1637" w:hanging="360"/>
      </w:pPr>
      <w:rPr>
        <w:rFonts w:hint="default"/>
      </w:rPr>
    </w:lvl>
    <w:lvl w:ilvl="3">
      <w:start w:val="1"/>
      <w:numFmt w:val="bullet"/>
      <w:lvlText w:val="•"/>
      <w:lvlJc w:val="left"/>
      <w:pPr>
        <w:ind w:left="2216" w:hanging="360"/>
      </w:pPr>
      <w:rPr>
        <w:rFonts w:hint="default"/>
      </w:rPr>
    </w:lvl>
    <w:lvl w:ilvl="4">
      <w:start w:val="1"/>
      <w:numFmt w:val="bullet"/>
      <w:lvlText w:val="•"/>
      <w:lvlJc w:val="left"/>
      <w:pPr>
        <w:ind w:left="2794" w:hanging="360"/>
      </w:pPr>
      <w:rPr>
        <w:rFonts w:hint="default"/>
      </w:rPr>
    </w:lvl>
    <w:lvl w:ilvl="5">
      <w:start w:val="1"/>
      <w:numFmt w:val="bullet"/>
      <w:lvlText w:val="•"/>
      <w:lvlJc w:val="left"/>
      <w:pPr>
        <w:ind w:left="3373" w:hanging="360"/>
      </w:pPr>
      <w:rPr>
        <w:rFonts w:hint="default"/>
      </w:rPr>
    </w:lvl>
    <w:lvl w:ilvl="6">
      <w:start w:val="1"/>
      <w:numFmt w:val="bullet"/>
      <w:lvlText w:val="•"/>
      <w:lvlJc w:val="left"/>
      <w:pPr>
        <w:ind w:left="3952" w:hanging="360"/>
      </w:pPr>
      <w:rPr>
        <w:rFonts w:hint="default"/>
      </w:rPr>
    </w:lvl>
    <w:lvl w:ilvl="7">
      <w:start w:val="1"/>
      <w:numFmt w:val="bullet"/>
      <w:lvlText w:val="•"/>
      <w:lvlJc w:val="left"/>
      <w:pPr>
        <w:ind w:left="4530" w:hanging="360"/>
      </w:pPr>
      <w:rPr>
        <w:rFonts w:hint="default"/>
      </w:rPr>
    </w:lvl>
    <w:lvl w:ilvl="8">
      <w:start w:val="1"/>
      <w:numFmt w:val="bullet"/>
      <w:lvlText w:val="•"/>
      <w:lvlJc w:val="left"/>
      <w:pPr>
        <w:ind w:left="5109" w:hanging="360"/>
      </w:pPr>
      <w:rPr>
        <w:rFonts w:hint="default"/>
      </w:rPr>
    </w:lvl>
  </w:abstractNum>
  <w:abstractNum w:abstractNumId="8">
    <w:multiLevelType w:val="hybridMultilevel"/>
    <w:lvl w:ilvl="0">
      <w:start w:val="1"/>
      <w:numFmt w:val="bullet"/>
      <w:lvlText w:val="•"/>
      <w:lvlJc w:val="left"/>
      <w:pPr>
        <w:ind w:left="470" w:hanging="360"/>
      </w:pPr>
      <w:rPr>
        <w:rFonts w:hint="default" w:ascii="Times New Roman" w:hAnsi="Times New Roman" w:eastAsia="Times New Roman" w:cs="Times New Roman"/>
        <w:i/>
        <w:color w:val="231F20"/>
        <w:w w:val="99"/>
        <w:sz w:val="20"/>
        <w:szCs w:val="20"/>
      </w:rPr>
    </w:lvl>
    <w:lvl w:ilvl="1">
      <w:start w:val="1"/>
      <w:numFmt w:val="bullet"/>
      <w:lvlText w:val="•"/>
      <w:lvlJc w:val="left"/>
      <w:pPr>
        <w:ind w:left="1032" w:hanging="360"/>
      </w:pPr>
      <w:rPr>
        <w:rFonts w:hint="default"/>
      </w:rPr>
    </w:lvl>
    <w:lvl w:ilvl="2">
      <w:start w:val="1"/>
      <w:numFmt w:val="bullet"/>
      <w:lvlText w:val="•"/>
      <w:lvlJc w:val="left"/>
      <w:pPr>
        <w:ind w:left="1585" w:hanging="360"/>
      </w:pPr>
      <w:rPr>
        <w:rFonts w:hint="default"/>
      </w:rPr>
    </w:lvl>
    <w:lvl w:ilvl="3">
      <w:start w:val="1"/>
      <w:numFmt w:val="bullet"/>
      <w:lvlText w:val="•"/>
      <w:lvlJc w:val="left"/>
      <w:pPr>
        <w:ind w:left="2138" w:hanging="360"/>
      </w:pPr>
      <w:rPr>
        <w:rFonts w:hint="default"/>
      </w:rPr>
    </w:lvl>
    <w:lvl w:ilvl="4">
      <w:start w:val="1"/>
      <w:numFmt w:val="bullet"/>
      <w:lvlText w:val="•"/>
      <w:lvlJc w:val="left"/>
      <w:pPr>
        <w:ind w:left="2690" w:hanging="360"/>
      </w:pPr>
      <w:rPr>
        <w:rFonts w:hint="default"/>
      </w:rPr>
    </w:lvl>
    <w:lvl w:ilvl="5">
      <w:start w:val="1"/>
      <w:numFmt w:val="bullet"/>
      <w:lvlText w:val="•"/>
      <w:lvlJc w:val="left"/>
      <w:pPr>
        <w:ind w:left="3243" w:hanging="360"/>
      </w:pPr>
      <w:rPr>
        <w:rFonts w:hint="default"/>
      </w:rPr>
    </w:lvl>
    <w:lvl w:ilvl="6">
      <w:start w:val="1"/>
      <w:numFmt w:val="bullet"/>
      <w:lvlText w:val="•"/>
      <w:lvlJc w:val="left"/>
      <w:pPr>
        <w:ind w:left="3796" w:hanging="360"/>
      </w:pPr>
      <w:rPr>
        <w:rFonts w:hint="default"/>
      </w:rPr>
    </w:lvl>
    <w:lvl w:ilvl="7">
      <w:start w:val="1"/>
      <w:numFmt w:val="bullet"/>
      <w:lvlText w:val="•"/>
      <w:lvlJc w:val="left"/>
      <w:pPr>
        <w:ind w:left="4348" w:hanging="360"/>
      </w:pPr>
      <w:rPr>
        <w:rFonts w:hint="default"/>
      </w:rPr>
    </w:lvl>
    <w:lvl w:ilvl="8">
      <w:start w:val="1"/>
      <w:numFmt w:val="bullet"/>
      <w:lvlText w:val="•"/>
      <w:lvlJc w:val="left"/>
      <w:pPr>
        <w:ind w:left="4901" w:hanging="360"/>
      </w:pPr>
      <w:rPr>
        <w:rFonts w:hint="default"/>
      </w:rPr>
    </w:lvl>
  </w:abstractNum>
  <w:abstractNum w:abstractNumId="7">
    <w:multiLevelType w:val="hybridMultilevel"/>
    <w:lvl w:ilvl="0">
      <w:start w:val="1"/>
      <w:numFmt w:val="bullet"/>
      <w:lvlText w:val="•"/>
      <w:lvlJc w:val="left"/>
      <w:pPr>
        <w:ind w:left="470" w:hanging="360"/>
      </w:pPr>
      <w:rPr>
        <w:rFonts w:hint="default" w:ascii="Times New Roman" w:hAnsi="Times New Roman" w:eastAsia="Times New Roman" w:cs="Times New Roman"/>
        <w:color w:val="231F20"/>
        <w:w w:val="99"/>
        <w:sz w:val="20"/>
        <w:szCs w:val="20"/>
      </w:rPr>
    </w:lvl>
    <w:lvl w:ilvl="1">
      <w:start w:val="1"/>
      <w:numFmt w:val="bullet"/>
      <w:lvlText w:val="•"/>
      <w:lvlJc w:val="left"/>
      <w:pPr>
        <w:ind w:left="1032" w:hanging="360"/>
      </w:pPr>
      <w:rPr>
        <w:rFonts w:hint="default"/>
      </w:rPr>
    </w:lvl>
    <w:lvl w:ilvl="2">
      <w:start w:val="1"/>
      <w:numFmt w:val="bullet"/>
      <w:lvlText w:val="•"/>
      <w:lvlJc w:val="left"/>
      <w:pPr>
        <w:ind w:left="1585" w:hanging="360"/>
      </w:pPr>
      <w:rPr>
        <w:rFonts w:hint="default"/>
      </w:rPr>
    </w:lvl>
    <w:lvl w:ilvl="3">
      <w:start w:val="1"/>
      <w:numFmt w:val="bullet"/>
      <w:lvlText w:val="•"/>
      <w:lvlJc w:val="left"/>
      <w:pPr>
        <w:ind w:left="2138" w:hanging="360"/>
      </w:pPr>
      <w:rPr>
        <w:rFonts w:hint="default"/>
      </w:rPr>
    </w:lvl>
    <w:lvl w:ilvl="4">
      <w:start w:val="1"/>
      <w:numFmt w:val="bullet"/>
      <w:lvlText w:val="•"/>
      <w:lvlJc w:val="left"/>
      <w:pPr>
        <w:ind w:left="2690" w:hanging="360"/>
      </w:pPr>
      <w:rPr>
        <w:rFonts w:hint="default"/>
      </w:rPr>
    </w:lvl>
    <w:lvl w:ilvl="5">
      <w:start w:val="1"/>
      <w:numFmt w:val="bullet"/>
      <w:lvlText w:val="•"/>
      <w:lvlJc w:val="left"/>
      <w:pPr>
        <w:ind w:left="3243" w:hanging="360"/>
      </w:pPr>
      <w:rPr>
        <w:rFonts w:hint="default"/>
      </w:rPr>
    </w:lvl>
    <w:lvl w:ilvl="6">
      <w:start w:val="1"/>
      <w:numFmt w:val="bullet"/>
      <w:lvlText w:val="•"/>
      <w:lvlJc w:val="left"/>
      <w:pPr>
        <w:ind w:left="3796" w:hanging="360"/>
      </w:pPr>
      <w:rPr>
        <w:rFonts w:hint="default"/>
      </w:rPr>
    </w:lvl>
    <w:lvl w:ilvl="7">
      <w:start w:val="1"/>
      <w:numFmt w:val="bullet"/>
      <w:lvlText w:val="•"/>
      <w:lvlJc w:val="left"/>
      <w:pPr>
        <w:ind w:left="4348" w:hanging="360"/>
      </w:pPr>
      <w:rPr>
        <w:rFonts w:hint="default"/>
      </w:rPr>
    </w:lvl>
    <w:lvl w:ilvl="8">
      <w:start w:val="1"/>
      <w:numFmt w:val="bullet"/>
      <w:lvlText w:val="•"/>
      <w:lvlJc w:val="left"/>
      <w:pPr>
        <w:ind w:left="4901" w:hanging="360"/>
      </w:pPr>
      <w:rPr>
        <w:rFonts w:hint="default"/>
      </w:rPr>
    </w:lvl>
  </w:abstractNum>
  <w:abstractNum w:abstractNumId="6">
    <w:multiLevelType w:val="hybridMultilevel"/>
    <w:lvl w:ilvl="0">
      <w:start w:val="81"/>
      <w:numFmt w:val="decimal"/>
      <w:lvlText w:val="%1"/>
      <w:lvlJc w:val="left"/>
      <w:pPr>
        <w:ind w:left="821" w:hanging="639"/>
        <w:jc w:val="left"/>
      </w:pPr>
      <w:rPr>
        <w:rFonts w:hint="default" w:ascii="Times New Roman" w:hAnsi="Times New Roman" w:eastAsia="Times New Roman" w:cs="Times New Roman"/>
        <w:spacing w:val="0"/>
        <w:w w:val="103"/>
        <w:sz w:val="19"/>
        <w:szCs w:val="19"/>
      </w:rPr>
    </w:lvl>
    <w:lvl w:ilvl="1">
      <w:start w:val="1"/>
      <w:numFmt w:val="bullet"/>
      <w:lvlText w:val="•"/>
      <w:lvlJc w:val="left"/>
      <w:pPr>
        <w:ind w:left="1362" w:hanging="639"/>
      </w:pPr>
      <w:rPr>
        <w:rFonts w:hint="default"/>
      </w:rPr>
    </w:lvl>
    <w:lvl w:ilvl="2">
      <w:start w:val="1"/>
      <w:numFmt w:val="bullet"/>
      <w:lvlText w:val="•"/>
      <w:lvlJc w:val="left"/>
      <w:pPr>
        <w:ind w:left="1905" w:hanging="639"/>
      </w:pPr>
      <w:rPr>
        <w:rFonts w:hint="default"/>
      </w:rPr>
    </w:lvl>
    <w:lvl w:ilvl="3">
      <w:start w:val="1"/>
      <w:numFmt w:val="bullet"/>
      <w:lvlText w:val="•"/>
      <w:lvlJc w:val="left"/>
      <w:pPr>
        <w:ind w:left="2448" w:hanging="639"/>
      </w:pPr>
      <w:rPr>
        <w:rFonts w:hint="default"/>
      </w:rPr>
    </w:lvl>
    <w:lvl w:ilvl="4">
      <w:start w:val="1"/>
      <w:numFmt w:val="bullet"/>
      <w:lvlText w:val="•"/>
      <w:lvlJc w:val="left"/>
      <w:pPr>
        <w:ind w:left="2990" w:hanging="639"/>
      </w:pPr>
      <w:rPr>
        <w:rFonts w:hint="default"/>
      </w:rPr>
    </w:lvl>
    <w:lvl w:ilvl="5">
      <w:start w:val="1"/>
      <w:numFmt w:val="bullet"/>
      <w:lvlText w:val="•"/>
      <w:lvlJc w:val="left"/>
      <w:pPr>
        <w:ind w:left="3533" w:hanging="639"/>
      </w:pPr>
      <w:rPr>
        <w:rFonts w:hint="default"/>
      </w:rPr>
    </w:lvl>
    <w:lvl w:ilvl="6">
      <w:start w:val="1"/>
      <w:numFmt w:val="bullet"/>
      <w:lvlText w:val="•"/>
      <w:lvlJc w:val="left"/>
      <w:pPr>
        <w:ind w:left="4076" w:hanging="639"/>
      </w:pPr>
      <w:rPr>
        <w:rFonts w:hint="default"/>
      </w:rPr>
    </w:lvl>
    <w:lvl w:ilvl="7">
      <w:start w:val="1"/>
      <w:numFmt w:val="bullet"/>
      <w:lvlText w:val="•"/>
      <w:lvlJc w:val="left"/>
      <w:pPr>
        <w:ind w:left="4618" w:hanging="639"/>
      </w:pPr>
      <w:rPr>
        <w:rFonts w:hint="default"/>
      </w:rPr>
    </w:lvl>
    <w:lvl w:ilvl="8">
      <w:start w:val="1"/>
      <w:numFmt w:val="bullet"/>
      <w:lvlText w:val="•"/>
      <w:lvlJc w:val="left"/>
      <w:pPr>
        <w:ind w:left="5161" w:hanging="639"/>
      </w:pPr>
      <w:rPr>
        <w:rFonts w:hint="default"/>
      </w:rPr>
    </w:lvl>
  </w:abstractNum>
  <w:abstractNum w:abstractNumId="5">
    <w:multiLevelType w:val="hybridMultilevel"/>
    <w:lvl w:ilvl="0">
      <w:start w:val="71"/>
      <w:numFmt w:val="decimal"/>
      <w:lvlText w:val="%1"/>
      <w:lvlJc w:val="left"/>
      <w:pPr>
        <w:ind w:left="821" w:hanging="639"/>
        <w:jc w:val="left"/>
      </w:pPr>
      <w:rPr>
        <w:rFonts w:hint="default" w:ascii="Times New Roman" w:hAnsi="Times New Roman" w:eastAsia="Times New Roman" w:cs="Times New Roman"/>
        <w:spacing w:val="0"/>
        <w:w w:val="103"/>
        <w:sz w:val="19"/>
        <w:szCs w:val="19"/>
      </w:rPr>
    </w:lvl>
    <w:lvl w:ilvl="1">
      <w:start w:val="1"/>
      <w:numFmt w:val="bullet"/>
      <w:lvlText w:val="•"/>
      <w:lvlJc w:val="left"/>
      <w:pPr>
        <w:ind w:left="1362" w:hanging="639"/>
      </w:pPr>
      <w:rPr>
        <w:rFonts w:hint="default"/>
      </w:rPr>
    </w:lvl>
    <w:lvl w:ilvl="2">
      <w:start w:val="1"/>
      <w:numFmt w:val="bullet"/>
      <w:lvlText w:val="•"/>
      <w:lvlJc w:val="left"/>
      <w:pPr>
        <w:ind w:left="1905" w:hanging="639"/>
      </w:pPr>
      <w:rPr>
        <w:rFonts w:hint="default"/>
      </w:rPr>
    </w:lvl>
    <w:lvl w:ilvl="3">
      <w:start w:val="1"/>
      <w:numFmt w:val="bullet"/>
      <w:lvlText w:val="•"/>
      <w:lvlJc w:val="left"/>
      <w:pPr>
        <w:ind w:left="2448" w:hanging="639"/>
      </w:pPr>
      <w:rPr>
        <w:rFonts w:hint="default"/>
      </w:rPr>
    </w:lvl>
    <w:lvl w:ilvl="4">
      <w:start w:val="1"/>
      <w:numFmt w:val="bullet"/>
      <w:lvlText w:val="•"/>
      <w:lvlJc w:val="left"/>
      <w:pPr>
        <w:ind w:left="2990" w:hanging="639"/>
      </w:pPr>
      <w:rPr>
        <w:rFonts w:hint="default"/>
      </w:rPr>
    </w:lvl>
    <w:lvl w:ilvl="5">
      <w:start w:val="1"/>
      <w:numFmt w:val="bullet"/>
      <w:lvlText w:val="•"/>
      <w:lvlJc w:val="left"/>
      <w:pPr>
        <w:ind w:left="3533" w:hanging="639"/>
      </w:pPr>
      <w:rPr>
        <w:rFonts w:hint="default"/>
      </w:rPr>
    </w:lvl>
    <w:lvl w:ilvl="6">
      <w:start w:val="1"/>
      <w:numFmt w:val="bullet"/>
      <w:lvlText w:val="•"/>
      <w:lvlJc w:val="left"/>
      <w:pPr>
        <w:ind w:left="4076" w:hanging="639"/>
      </w:pPr>
      <w:rPr>
        <w:rFonts w:hint="default"/>
      </w:rPr>
    </w:lvl>
    <w:lvl w:ilvl="7">
      <w:start w:val="1"/>
      <w:numFmt w:val="bullet"/>
      <w:lvlText w:val="•"/>
      <w:lvlJc w:val="left"/>
      <w:pPr>
        <w:ind w:left="4618" w:hanging="639"/>
      </w:pPr>
      <w:rPr>
        <w:rFonts w:hint="default"/>
      </w:rPr>
    </w:lvl>
    <w:lvl w:ilvl="8">
      <w:start w:val="1"/>
      <w:numFmt w:val="bullet"/>
      <w:lvlText w:val="•"/>
      <w:lvlJc w:val="left"/>
      <w:pPr>
        <w:ind w:left="5161" w:hanging="639"/>
      </w:pPr>
      <w:rPr>
        <w:rFonts w:hint="default"/>
      </w:rPr>
    </w:lvl>
  </w:abstractNum>
  <w:abstractNum w:abstractNumId="4">
    <w:multiLevelType w:val="hybridMultilevel"/>
    <w:lvl w:ilvl="0">
      <w:start w:val="52"/>
      <w:numFmt w:val="decimal"/>
      <w:lvlText w:val="%1"/>
      <w:lvlJc w:val="left"/>
      <w:pPr>
        <w:ind w:left="821" w:hanging="639"/>
        <w:jc w:val="left"/>
      </w:pPr>
      <w:rPr>
        <w:rFonts w:hint="default" w:ascii="Times New Roman" w:hAnsi="Times New Roman" w:eastAsia="Times New Roman" w:cs="Times New Roman"/>
        <w:spacing w:val="0"/>
        <w:w w:val="103"/>
        <w:sz w:val="19"/>
        <w:szCs w:val="19"/>
      </w:rPr>
    </w:lvl>
    <w:lvl w:ilvl="1">
      <w:start w:val="1"/>
      <w:numFmt w:val="bullet"/>
      <w:lvlText w:val="•"/>
      <w:lvlJc w:val="left"/>
      <w:pPr>
        <w:ind w:left="1362" w:hanging="639"/>
      </w:pPr>
      <w:rPr>
        <w:rFonts w:hint="default"/>
      </w:rPr>
    </w:lvl>
    <w:lvl w:ilvl="2">
      <w:start w:val="1"/>
      <w:numFmt w:val="bullet"/>
      <w:lvlText w:val="•"/>
      <w:lvlJc w:val="left"/>
      <w:pPr>
        <w:ind w:left="1905" w:hanging="639"/>
      </w:pPr>
      <w:rPr>
        <w:rFonts w:hint="default"/>
      </w:rPr>
    </w:lvl>
    <w:lvl w:ilvl="3">
      <w:start w:val="1"/>
      <w:numFmt w:val="bullet"/>
      <w:lvlText w:val="•"/>
      <w:lvlJc w:val="left"/>
      <w:pPr>
        <w:ind w:left="2448" w:hanging="639"/>
      </w:pPr>
      <w:rPr>
        <w:rFonts w:hint="default"/>
      </w:rPr>
    </w:lvl>
    <w:lvl w:ilvl="4">
      <w:start w:val="1"/>
      <w:numFmt w:val="bullet"/>
      <w:lvlText w:val="•"/>
      <w:lvlJc w:val="left"/>
      <w:pPr>
        <w:ind w:left="2990" w:hanging="639"/>
      </w:pPr>
      <w:rPr>
        <w:rFonts w:hint="default"/>
      </w:rPr>
    </w:lvl>
    <w:lvl w:ilvl="5">
      <w:start w:val="1"/>
      <w:numFmt w:val="bullet"/>
      <w:lvlText w:val="•"/>
      <w:lvlJc w:val="left"/>
      <w:pPr>
        <w:ind w:left="3533" w:hanging="639"/>
      </w:pPr>
      <w:rPr>
        <w:rFonts w:hint="default"/>
      </w:rPr>
    </w:lvl>
    <w:lvl w:ilvl="6">
      <w:start w:val="1"/>
      <w:numFmt w:val="bullet"/>
      <w:lvlText w:val="•"/>
      <w:lvlJc w:val="left"/>
      <w:pPr>
        <w:ind w:left="4076" w:hanging="639"/>
      </w:pPr>
      <w:rPr>
        <w:rFonts w:hint="default"/>
      </w:rPr>
    </w:lvl>
    <w:lvl w:ilvl="7">
      <w:start w:val="1"/>
      <w:numFmt w:val="bullet"/>
      <w:lvlText w:val="•"/>
      <w:lvlJc w:val="left"/>
      <w:pPr>
        <w:ind w:left="4618" w:hanging="639"/>
      </w:pPr>
      <w:rPr>
        <w:rFonts w:hint="default"/>
      </w:rPr>
    </w:lvl>
    <w:lvl w:ilvl="8">
      <w:start w:val="1"/>
      <w:numFmt w:val="bullet"/>
      <w:lvlText w:val="•"/>
      <w:lvlJc w:val="left"/>
      <w:pPr>
        <w:ind w:left="5161" w:hanging="639"/>
      </w:pPr>
      <w:rPr>
        <w:rFonts w:hint="default"/>
      </w:rPr>
    </w:lvl>
  </w:abstractNum>
  <w:abstractNum w:abstractNumId="3">
    <w:multiLevelType w:val="hybridMultilevel"/>
    <w:lvl w:ilvl="0">
      <w:start w:val="61"/>
      <w:numFmt w:val="decimal"/>
      <w:lvlText w:val="%1"/>
      <w:lvlJc w:val="left"/>
      <w:pPr>
        <w:ind w:left="821" w:hanging="639"/>
        <w:jc w:val="left"/>
      </w:pPr>
      <w:rPr>
        <w:rFonts w:hint="default" w:ascii="Times New Roman" w:hAnsi="Times New Roman" w:eastAsia="Times New Roman" w:cs="Times New Roman"/>
        <w:spacing w:val="0"/>
        <w:w w:val="103"/>
        <w:position w:val="-11"/>
        <w:sz w:val="19"/>
        <w:szCs w:val="19"/>
      </w:rPr>
    </w:lvl>
    <w:lvl w:ilvl="1">
      <w:start w:val="1"/>
      <w:numFmt w:val="bullet"/>
      <w:lvlText w:val="•"/>
      <w:lvlJc w:val="left"/>
      <w:pPr>
        <w:ind w:left="1362" w:hanging="639"/>
      </w:pPr>
      <w:rPr>
        <w:rFonts w:hint="default"/>
      </w:rPr>
    </w:lvl>
    <w:lvl w:ilvl="2">
      <w:start w:val="1"/>
      <w:numFmt w:val="bullet"/>
      <w:lvlText w:val="•"/>
      <w:lvlJc w:val="left"/>
      <w:pPr>
        <w:ind w:left="1905" w:hanging="639"/>
      </w:pPr>
      <w:rPr>
        <w:rFonts w:hint="default"/>
      </w:rPr>
    </w:lvl>
    <w:lvl w:ilvl="3">
      <w:start w:val="1"/>
      <w:numFmt w:val="bullet"/>
      <w:lvlText w:val="•"/>
      <w:lvlJc w:val="left"/>
      <w:pPr>
        <w:ind w:left="2448" w:hanging="639"/>
      </w:pPr>
      <w:rPr>
        <w:rFonts w:hint="default"/>
      </w:rPr>
    </w:lvl>
    <w:lvl w:ilvl="4">
      <w:start w:val="1"/>
      <w:numFmt w:val="bullet"/>
      <w:lvlText w:val="•"/>
      <w:lvlJc w:val="left"/>
      <w:pPr>
        <w:ind w:left="2990" w:hanging="639"/>
      </w:pPr>
      <w:rPr>
        <w:rFonts w:hint="default"/>
      </w:rPr>
    </w:lvl>
    <w:lvl w:ilvl="5">
      <w:start w:val="1"/>
      <w:numFmt w:val="bullet"/>
      <w:lvlText w:val="•"/>
      <w:lvlJc w:val="left"/>
      <w:pPr>
        <w:ind w:left="3533" w:hanging="639"/>
      </w:pPr>
      <w:rPr>
        <w:rFonts w:hint="default"/>
      </w:rPr>
    </w:lvl>
    <w:lvl w:ilvl="6">
      <w:start w:val="1"/>
      <w:numFmt w:val="bullet"/>
      <w:lvlText w:val="•"/>
      <w:lvlJc w:val="left"/>
      <w:pPr>
        <w:ind w:left="4076" w:hanging="639"/>
      </w:pPr>
      <w:rPr>
        <w:rFonts w:hint="default"/>
      </w:rPr>
    </w:lvl>
    <w:lvl w:ilvl="7">
      <w:start w:val="1"/>
      <w:numFmt w:val="bullet"/>
      <w:lvlText w:val="•"/>
      <w:lvlJc w:val="left"/>
      <w:pPr>
        <w:ind w:left="4618" w:hanging="639"/>
      </w:pPr>
      <w:rPr>
        <w:rFonts w:hint="default"/>
      </w:rPr>
    </w:lvl>
    <w:lvl w:ilvl="8">
      <w:start w:val="1"/>
      <w:numFmt w:val="bullet"/>
      <w:lvlText w:val="•"/>
      <w:lvlJc w:val="left"/>
      <w:pPr>
        <w:ind w:left="5161" w:hanging="639"/>
      </w:pPr>
      <w:rPr>
        <w:rFonts w:hint="default"/>
      </w:rPr>
    </w:lvl>
  </w:abstractNum>
  <w:abstractNum w:abstractNumId="2">
    <w:multiLevelType w:val="hybridMultilevel"/>
    <w:lvl w:ilvl="0">
      <w:start w:val="11"/>
      <w:numFmt w:val="decimal"/>
      <w:lvlText w:val="%1"/>
      <w:lvlJc w:val="left"/>
      <w:pPr>
        <w:ind w:left="821" w:hanging="639"/>
        <w:jc w:val="left"/>
      </w:pPr>
      <w:rPr>
        <w:rFonts w:hint="default" w:ascii="Times New Roman" w:hAnsi="Times New Roman" w:eastAsia="Times New Roman" w:cs="Times New Roman"/>
        <w:spacing w:val="0"/>
        <w:w w:val="103"/>
        <w:sz w:val="19"/>
        <w:szCs w:val="19"/>
      </w:rPr>
    </w:lvl>
    <w:lvl w:ilvl="1">
      <w:start w:val="1"/>
      <w:numFmt w:val="bullet"/>
      <w:lvlText w:val="•"/>
      <w:lvlJc w:val="left"/>
      <w:pPr>
        <w:ind w:left="1362" w:hanging="639"/>
      </w:pPr>
      <w:rPr>
        <w:rFonts w:hint="default"/>
      </w:rPr>
    </w:lvl>
    <w:lvl w:ilvl="2">
      <w:start w:val="1"/>
      <w:numFmt w:val="bullet"/>
      <w:lvlText w:val="•"/>
      <w:lvlJc w:val="left"/>
      <w:pPr>
        <w:ind w:left="1905" w:hanging="639"/>
      </w:pPr>
      <w:rPr>
        <w:rFonts w:hint="default"/>
      </w:rPr>
    </w:lvl>
    <w:lvl w:ilvl="3">
      <w:start w:val="1"/>
      <w:numFmt w:val="bullet"/>
      <w:lvlText w:val="•"/>
      <w:lvlJc w:val="left"/>
      <w:pPr>
        <w:ind w:left="2448" w:hanging="639"/>
      </w:pPr>
      <w:rPr>
        <w:rFonts w:hint="default"/>
      </w:rPr>
    </w:lvl>
    <w:lvl w:ilvl="4">
      <w:start w:val="1"/>
      <w:numFmt w:val="bullet"/>
      <w:lvlText w:val="•"/>
      <w:lvlJc w:val="left"/>
      <w:pPr>
        <w:ind w:left="2990" w:hanging="639"/>
      </w:pPr>
      <w:rPr>
        <w:rFonts w:hint="default"/>
      </w:rPr>
    </w:lvl>
    <w:lvl w:ilvl="5">
      <w:start w:val="1"/>
      <w:numFmt w:val="bullet"/>
      <w:lvlText w:val="•"/>
      <w:lvlJc w:val="left"/>
      <w:pPr>
        <w:ind w:left="3533" w:hanging="639"/>
      </w:pPr>
      <w:rPr>
        <w:rFonts w:hint="default"/>
      </w:rPr>
    </w:lvl>
    <w:lvl w:ilvl="6">
      <w:start w:val="1"/>
      <w:numFmt w:val="bullet"/>
      <w:lvlText w:val="•"/>
      <w:lvlJc w:val="left"/>
      <w:pPr>
        <w:ind w:left="4076" w:hanging="639"/>
      </w:pPr>
      <w:rPr>
        <w:rFonts w:hint="default"/>
      </w:rPr>
    </w:lvl>
    <w:lvl w:ilvl="7">
      <w:start w:val="1"/>
      <w:numFmt w:val="bullet"/>
      <w:lvlText w:val="•"/>
      <w:lvlJc w:val="left"/>
      <w:pPr>
        <w:ind w:left="4618" w:hanging="639"/>
      </w:pPr>
      <w:rPr>
        <w:rFonts w:hint="default"/>
      </w:rPr>
    </w:lvl>
    <w:lvl w:ilvl="8">
      <w:start w:val="1"/>
      <w:numFmt w:val="bullet"/>
      <w:lvlText w:val="•"/>
      <w:lvlJc w:val="left"/>
      <w:pPr>
        <w:ind w:left="5161" w:hanging="639"/>
      </w:pPr>
      <w:rPr>
        <w:rFonts w:hint="default"/>
      </w:rPr>
    </w:lvl>
  </w:abstractNum>
  <w:abstractNum w:abstractNumId="1">
    <w:multiLevelType w:val="hybridMultilevel"/>
    <w:lvl w:ilvl="0">
      <w:start w:val="1"/>
      <w:numFmt w:val="lowerLetter"/>
      <w:lvlText w:val="%1."/>
      <w:lvlJc w:val="left"/>
      <w:pPr>
        <w:ind w:left="473" w:hanging="360"/>
        <w:jc w:val="left"/>
      </w:pPr>
      <w:rPr>
        <w:rFonts w:hint="default" w:ascii="Times New Roman" w:hAnsi="Times New Roman" w:eastAsia="Times New Roman" w:cs="Times New Roman"/>
        <w:color w:val="231F20"/>
        <w:spacing w:val="-12"/>
        <w:w w:val="100"/>
        <w:sz w:val="20"/>
        <w:szCs w:val="20"/>
      </w:rPr>
    </w:lvl>
    <w:lvl w:ilvl="1">
      <w:start w:val="1"/>
      <w:numFmt w:val="bullet"/>
      <w:lvlText w:val=""/>
      <w:lvlJc w:val="left"/>
      <w:pPr>
        <w:ind w:left="804" w:hanging="360"/>
      </w:pPr>
      <w:rPr>
        <w:rFonts w:hint="default" w:ascii="Symbol" w:hAnsi="Symbol" w:eastAsia="Symbol" w:cs="Symbol"/>
        <w:w w:val="103"/>
        <w:sz w:val="19"/>
        <w:szCs w:val="19"/>
      </w:rPr>
    </w:lvl>
    <w:lvl w:ilvl="2">
      <w:start w:val="1"/>
      <w:numFmt w:val="bullet"/>
      <w:lvlText w:val="o"/>
      <w:lvlJc w:val="left"/>
      <w:pPr>
        <w:ind w:left="1524" w:hanging="360"/>
      </w:pPr>
      <w:rPr>
        <w:rFonts w:hint="default" w:ascii="Courier New" w:hAnsi="Courier New" w:eastAsia="Courier New" w:cs="Courier New"/>
        <w:w w:val="103"/>
        <w:sz w:val="19"/>
        <w:szCs w:val="19"/>
      </w:rPr>
    </w:lvl>
    <w:lvl w:ilvl="3">
      <w:start w:val="1"/>
      <w:numFmt w:val="bullet"/>
      <w:lvlText w:val="•"/>
      <w:lvlJc w:val="left"/>
      <w:pPr>
        <w:ind w:left="2000" w:hanging="360"/>
      </w:pPr>
      <w:rPr>
        <w:rFonts w:hint="default"/>
      </w:rPr>
    </w:lvl>
    <w:lvl w:ilvl="4">
      <w:start w:val="1"/>
      <w:numFmt w:val="bullet"/>
      <w:lvlText w:val="•"/>
      <w:lvlJc w:val="left"/>
      <w:pPr>
        <w:ind w:left="2481" w:hanging="360"/>
      </w:pPr>
      <w:rPr>
        <w:rFonts w:hint="default"/>
      </w:rPr>
    </w:lvl>
    <w:lvl w:ilvl="5">
      <w:start w:val="1"/>
      <w:numFmt w:val="bullet"/>
      <w:lvlText w:val="•"/>
      <w:lvlJc w:val="left"/>
      <w:pPr>
        <w:ind w:left="2962" w:hanging="360"/>
      </w:pPr>
      <w:rPr>
        <w:rFonts w:hint="default"/>
      </w:rPr>
    </w:lvl>
    <w:lvl w:ilvl="6">
      <w:start w:val="1"/>
      <w:numFmt w:val="bullet"/>
      <w:lvlText w:val="•"/>
      <w:lvlJc w:val="left"/>
      <w:pPr>
        <w:ind w:left="3443" w:hanging="360"/>
      </w:pPr>
      <w:rPr>
        <w:rFonts w:hint="default"/>
      </w:rPr>
    </w:lvl>
    <w:lvl w:ilvl="7">
      <w:start w:val="1"/>
      <w:numFmt w:val="bullet"/>
      <w:lvlText w:val="•"/>
      <w:lvlJc w:val="left"/>
      <w:pPr>
        <w:ind w:left="3924" w:hanging="360"/>
      </w:pPr>
      <w:rPr>
        <w:rFonts w:hint="default"/>
      </w:rPr>
    </w:lvl>
    <w:lvl w:ilvl="8">
      <w:start w:val="1"/>
      <w:numFmt w:val="bullet"/>
      <w:lvlText w:val="•"/>
      <w:lvlJc w:val="left"/>
      <w:pPr>
        <w:ind w:left="4405" w:hanging="360"/>
      </w:pPr>
      <w:rPr>
        <w:rFonts w:hint="default"/>
      </w:rPr>
    </w:lvl>
  </w:abstractNum>
  <w:abstractNum w:abstractNumId="0">
    <w:multiLevelType w:val="hybridMultilevel"/>
    <w:lvl w:ilvl="0">
      <w:start w:val="1"/>
      <w:numFmt w:val="decimal"/>
      <w:lvlText w:val="%1."/>
      <w:lvlJc w:val="left"/>
      <w:pPr>
        <w:ind w:left="470" w:hanging="360"/>
        <w:jc w:val="left"/>
      </w:pPr>
      <w:rPr>
        <w:rFonts w:hint="default" w:ascii="Times New Roman" w:hAnsi="Times New Roman" w:eastAsia="Times New Roman" w:cs="Times New Roman"/>
        <w:color w:val="231F20"/>
        <w:spacing w:val="-7"/>
        <w:w w:val="98"/>
        <w:sz w:val="20"/>
        <w:szCs w:val="20"/>
      </w:rPr>
    </w:lvl>
    <w:lvl w:ilvl="1">
      <w:start w:val="1"/>
      <w:numFmt w:val="bullet"/>
      <w:lvlText w:val="•"/>
      <w:lvlJc w:val="left"/>
      <w:pPr>
        <w:ind w:left="1032" w:hanging="360"/>
      </w:pPr>
      <w:rPr>
        <w:rFonts w:hint="default"/>
      </w:rPr>
    </w:lvl>
    <w:lvl w:ilvl="2">
      <w:start w:val="1"/>
      <w:numFmt w:val="bullet"/>
      <w:lvlText w:val="•"/>
      <w:lvlJc w:val="left"/>
      <w:pPr>
        <w:ind w:left="1585" w:hanging="360"/>
      </w:pPr>
      <w:rPr>
        <w:rFonts w:hint="default"/>
      </w:rPr>
    </w:lvl>
    <w:lvl w:ilvl="3">
      <w:start w:val="1"/>
      <w:numFmt w:val="bullet"/>
      <w:lvlText w:val="•"/>
      <w:lvlJc w:val="left"/>
      <w:pPr>
        <w:ind w:left="2138" w:hanging="360"/>
      </w:pPr>
      <w:rPr>
        <w:rFonts w:hint="default"/>
      </w:rPr>
    </w:lvl>
    <w:lvl w:ilvl="4">
      <w:start w:val="1"/>
      <w:numFmt w:val="bullet"/>
      <w:lvlText w:val="•"/>
      <w:lvlJc w:val="left"/>
      <w:pPr>
        <w:ind w:left="2690" w:hanging="360"/>
      </w:pPr>
      <w:rPr>
        <w:rFonts w:hint="default"/>
      </w:rPr>
    </w:lvl>
    <w:lvl w:ilvl="5">
      <w:start w:val="1"/>
      <w:numFmt w:val="bullet"/>
      <w:lvlText w:val="•"/>
      <w:lvlJc w:val="left"/>
      <w:pPr>
        <w:ind w:left="3243" w:hanging="360"/>
      </w:pPr>
      <w:rPr>
        <w:rFonts w:hint="default"/>
      </w:rPr>
    </w:lvl>
    <w:lvl w:ilvl="6">
      <w:start w:val="1"/>
      <w:numFmt w:val="bullet"/>
      <w:lvlText w:val="•"/>
      <w:lvlJc w:val="left"/>
      <w:pPr>
        <w:ind w:left="3796" w:hanging="360"/>
      </w:pPr>
      <w:rPr>
        <w:rFonts w:hint="default"/>
      </w:rPr>
    </w:lvl>
    <w:lvl w:ilvl="7">
      <w:start w:val="1"/>
      <w:numFmt w:val="bullet"/>
      <w:lvlText w:val="•"/>
      <w:lvlJc w:val="left"/>
      <w:pPr>
        <w:ind w:left="4348" w:hanging="360"/>
      </w:pPr>
      <w:rPr>
        <w:rFonts w:hint="default"/>
      </w:rPr>
    </w:lvl>
    <w:lvl w:ilvl="8">
      <w:start w:val="1"/>
      <w:numFmt w:val="bullet"/>
      <w:lvlText w:val="•"/>
      <w:lvlJc w:val="left"/>
      <w:pPr>
        <w:ind w:left="4901" w:hanging="360"/>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before="85" w:line="400" w:lineRule="exact"/>
      <w:ind w:left="2654"/>
      <w:outlineLvl w:val="1"/>
    </w:pPr>
    <w:rPr>
      <w:rFonts w:ascii="Times New Roman" w:hAnsi="Times New Roman" w:eastAsia="Times New Roman" w:cs="Times New Roman"/>
      <w:sz w:val="40"/>
      <w:szCs w:val="40"/>
    </w:rPr>
  </w:style>
  <w:style w:styleId="Heading2" w:type="paragraph">
    <w:name w:val="Heading 2"/>
    <w:basedOn w:val="Normal"/>
    <w:uiPriority w:val="1"/>
    <w:qFormat/>
    <w:pPr>
      <w:spacing w:before="90" w:line="360" w:lineRule="exact"/>
      <w:ind w:left="41" w:right="107"/>
      <w:jc w:val="right"/>
      <w:outlineLvl w:val="2"/>
    </w:pPr>
    <w:rPr>
      <w:rFonts w:ascii="Times New Roman" w:hAnsi="Times New Roman" w:eastAsia="Times New Roman" w:cs="Times New Roman"/>
      <w:sz w:val="36"/>
      <w:szCs w:val="36"/>
    </w:rPr>
  </w:style>
  <w:style w:styleId="Heading3" w:type="paragraph">
    <w:name w:val="Heading 3"/>
    <w:basedOn w:val="Normal"/>
    <w:uiPriority w:val="1"/>
    <w:qFormat/>
    <w:pPr>
      <w:ind w:left="41"/>
      <w:outlineLvl w:val="3"/>
    </w:pPr>
    <w:rPr>
      <w:rFonts w:ascii="Times New Roman" w:hAnsi="Times New Roman" w:eastAsia="Times New Roman" w:cs="Times New Roman"/>
      <w:sz w:val="26"/>
      <w:szCs w:val="26"/>
    </w:rPr>
  </w:style>
  <w:style w:styleId="Heading4" w:type="paragraph">
    <w:name w:val="Heading 4"/>
    <w:basedOn w:val="Normal"/>
    <w:uiPriority w:val="1"/>
    <w:qFormat/>
    <w:pPr>
      <w:spacing w:before="134"/>
      <w:ind w:left="113"/>
      <w:jc w:val="both"/>
      <w:outlineLvl w:val="4"/>
    </w:pPr>
    <w:rPr>
      <w:rFonts w:ascii="Times New Roman" w:hAnsi="Times New Roman" w:eastAsia="Times New Roman" w:cs="Times New Roman"/>
      <w:b/>
      <w:bCs/>
      <w:sz w:val="24"/>
      <w:szCs w:val="24"/>
    </w:rPr>
  </w:style>
  <w:style w:styleId="Heading5" w:type="paragraph">
    <w:name w:val="Heading 5"/>
    <w:basedOn w:val="Normal"/>
    <w:uiPriority w:val="1"/>
    <w:qFormat/>
    <w:pPr>
      <w:spacing w:before="134"/>
      <w:ind w:left="113"/>
      <w:jc w:val="both"/>
      <w:outlineLvl w:val="5"/>
    </w:pPr>
    <w:rPr>
      <w:rFonts w:ascii="Times New Roman" w:hAnsi="Times New Roman" w:eastAsia="Times New Roman" w:cs="Times New Roman"/>
      <w:i/>
      <w:sz w:val="24"/>
      <w:szCs w:val="24"/>
    </w:rPr>
  </w:style>
  <w:style w:styleId="Heading6" w:type="paragraph">
    <w:name w:val="Heading 6"/>
    <w:basedOn w:val="Normal"/>
    <w:uiPriority w:val="1"/>
    <w:qFormat/>
    <w:pPr>
      <w:ind w:left="738"/>
      <w:outlineLvl w:val="6"/>
    </w:pPr>
    <w:rPr>
      <w:rFonts w:ascii="Times New Roman" w:hAnsi="Times New Roman" w:eastAsia="Times New Roman" w:cs="Times New Roman"/>
      <w:sz w:val="22"/>
      <w:szCs w:val="22"/>
    </w:rPr>
  </w:style>
  <w:style w:styleId="ListParagraph" w:type="paragraph">
    <w:name w:val="List Paragraph"/>
    <w:basedOn w:val="Normal"/>
    <w:uiPriority w:val="1"/>
    <w:qFormat/>
    <w:pPr>
      <w:spacing w:before="1"/>
      <w:ind w:left="473" w:hanging="360"/>
      <w:jc w:val="both"/>
    </w:pPr>
    <w:rPr>
      <w:rFonts w:ascii="Times New Roman" w:hAnsi="Times New Roman" w:eastAsia="Times New Roman" w:cs="Times New Roman"/>
    </w:rPr>
  </w:style>
  <w:style w:styleId="TableParagraph" w:type="paragraph">
    <w:name w:val="Table Paragraph"/>
    <w:basedOn w:val="Normal"/>
    <w:uiPriority w:val="1"/>
    <w:qFormat/>
    <w:pPr>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image" Target="media/image5.jpeg"/><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footer" Target="footer18.xml"/><Relationship Id="rId28" Type="http://schemas.openxmlformats.org/officeDocument/2006/relationships/footer" Target="footer19.xml"/><Relationship Id="rId29" Type="http://schemas.openxmlformats.org/officeDocument/2006/relationships/footer" Target="footer20.xml"/><Relationship Id="rId30" Type="http://schemas.openxmlformats.org/officeDocument/2006/relationships/footer" Target="footer21.xml"/><Relationship Id="rId31" Type="http://schemas.openxmlformats.org/officeDocument/2006/relationships/footer" Target="footer22.xml"/><Relationship Id="rId32" Type="http://schemas.openxmlformats.org/officeDocument/2006/relationships/footer" Target="footer23.xml"/><Relationship Id="rId33" Type="http://schemas.openxmlformats.org/officeDocument/2006/relationships/footer" Target="footer24.xml"/><Relationship Id="rId34" Type="http://schemas.openxmlformats.org/officeDocument/2006/relationships/footer" Target="footer25.xml"/><Relationship Id="rId35" Type="http://schemas.openxmlformats.org/officeDocument/2006/relationships/footer" Target="footer26.xml"/><Relationship Id="rId36" Type="http://schemas.openxmlformats.org/officeDocument/2006/relationships/hyperlink" Target="http://laborista.ilo.org/data_topic_S.html)" TargetMode="External"/><Relationship Id="rId37" Type="http://schemas.openxmlformats.org/officeDocument/2006/relationships/footer" Target="footer27.xml"/><Relationship Id="rId38" Type="http://schemas.openxmlformats.org/officeDocument/2006/relationships/hyperlink" Target="http://www.depeco.econo.unlp.edu.ar/sedlac/esp/index.php)" TargetMode="External"/><Relationship Id="rId39" Type="http://schemas.openxmlformats.org/officeDocument/2006/relationships/footer" Target="footer28.xml"/><Relationship Id="rId40" Type="http://schemas.openxmlformats.org/officeDocument/2006/relationships/hyperlink" Target="http://www.worksproject.com/" TargetMode="External"/><Relationship Id="rId41" Type="http://schemas.openxmlformats.org/officeDocument/2006/relationships/footer" Target="footer29.xml"/><Relationship Id="rId42" Type="http://schemas.openxmlformats.org/officeDocument/2006/relationships/footer" Target="footer30.xml"/><Relationship Id="rId43" Type="http://schemas.openxmlformats.org/officeDocument/2006/relationships/footer" Target="footer31.xml"/><Relationship Id="rId44" Type="http://schemas.openxmlformats.org/officeDocument/2006/relationships/footer" Target="footer32.xml"/><Relationship Id="rId45" Type="http://schemas.openxmlformats.org/officeDocument/2006/relationships/image" Target="media/image6.png"/><Relationship Id="rId46" Type="http://schemas.openxmlformats.org/officeDocument/2006/relationships/image" Target="media/image7.png"/><Relationship Id="rId47" Type="http://schemas.openxmlformats.org/officeDocument/2006/relationships/image" Target="media/image8.png"/><Relationship Id="rId48" Type="http://schemas.openxmlformats.org/officeDocument/2006/relationships/image" Target="media/image9.png"/><Relationship Id="rId49" Type="http://schemas.openxmlformats.org/officeDocument/2006/relationships/image" Target="media/image10.png"/><Relationship Id="rId50" Type="http://schemas.openxmlformats.org/officeDocument/2006/relationships/image" Target="media/image11.png"/><Relationship Id="rId51" Type="http://schemas.openxmlformats.org/officeDocument/2006/relationships/image" Target="media/image12.png"/><Relationship Id="rId52" Type="http://schemas.openxmlformats.org/officeDocument/2006/relationships/footer" Target="footer33.xml"/><Relationship Id="rId53" Type="http://schemas.openxmlformats.org/officeDocument/2006/relationships/footer" Target="footer34.xml"/><Relationship Id="rId54" Type="http://schemas.openxmlformats.org/officeDocument/2006/relationships/footer" Target="footer35.xml"/><Relationship Id="rId55" Type="http://schemas.openxmlformats.org/officeDocument/2006/relationships/hyperlink" Target="http://data.bls.gov/pdq/SurveyOutputServlet" TargetMode="External"/><Relationship Id="rId56" Type="http://schemas.openxmlformats.org/officeDocument/2006/relationships/hyperlink" Target="http://www.bea.gov/iTable/index_nipa.cfm" TargetMode="External"/><Relationship Id="rId57" Type="http://schemas.openxmlformats.org/officeDocument/2006/relationships/footer" Target="footer36.xml"/><Relationship Id="rId58" Type="http://schemas.openxmlformats.org/officeDocument/2006/relationships/footer" Target="footer37.xml"/><Relationship Id="rId59" Type="http://schemas.openxmlformats.org/officeDocument/2006/relationships/footer" Target="footer38.xml"/><Relationship Id="rId60" Type="http://schemas.openxmlformats.org/officeDocument/2006/relationships/footer" Target="footer39.xml"/><Relationship Id="rId61" Type="http://schemas.openxmlformats.org/officeDocument/2006/relationships/image" Target="media/image13.png"/><Relationship Id="rId62" Type="http://schemas.openxmlformats.org/officeDocument/2006/relationships/image" Target="media/image14.png"/><Relationship Id="rId63" Type="http://schemas.openxmlformats.org/officeDocument/2006/relationships/image" Target="media/image15.png"/><Relationship Id="rId64" Type="http://schemas.openxmlformats.org/officeDocument/2006/relationships/image" Target="media/image16.png"/><Relationship Id="rId65" Type="http://schemas.openxmlformats.org/officeDocument/2006/relationships/image" Target="media/image17.png"/><Relationship Id="rId66" Type="http://schemas.openxmlformats.org/officeDocument/2006/relationships/image" Target="media/image18.png"/><Relationship Id="rId67" Type="http://schemas.openxmlformats.org/officeDocument/2006/relationships/image" Target="media/image19.png"/><Relationship Id="rId68" Type="http://schemas.openxmlformats.org/officeDocument/2006/relationships/image" Target="media/image20.png"/><Relationship Id="rId69" Type="http://schemas.openxmlformats.org/officeDocument/2006/relationships/image" Target="media/image21.png"/><Relationship Id="rId70" Type="http://schemas.openxmlformats.org/officeDocument/2006/relationships/image" Target="media/image22.png"/><Relationship Id="rId71" Type="http://schemas.openxmlformats.org/officeDocument/2006/relationships/image" Target="media/image23.png"/><Relationship Id="rId72" Type="http://schemas.openxmlformats.org/officeDocument/2006/relationships/image" Target="media/image24.png"/><Relationship Id="rId73" Type="http://schemas.openxmlformats.org/officeDocument/2006/relationships/image" Target="media/image25.png"/><Relationship Id="rId74" Type="http://schemas.openxmlformats.org/officeDocument/2006/relationships/image" Target="media/image26.png"/><Relationship Id="rId75" Type="http://schemas.openxmlformats.org/officeDocument/2006/relationships/image" Target="media/image27.png"/><Relationship Id="rId76" Type="http://schemas.openxmlformats.org/officeDocument/2006/relationships/image" Target="media/image28.png"/><Relationship Id="rId77" Type="http://schemas.openxmlformats.org/officeDocument/2006/relationships/image" Target="media/image29.png"/><Relationship Id="rId78" Type="http://schemas.openxmlformats.org/officeDocument/2006/relationships/image" Target="media/image30.png"/><Relationship Id="rId79" Type="http://schemas.openxmlformats.org/officeDocument/2006/relationships/image" Target="media/image31.png"/><Relationship Id="rId80" Type="http://schemas.openxmlformats.org/officeDocument/2006/relationships/image" Target="media/image32.png"/><Relationship Id="rId81" Type="http://schemas.openxmlformats.org/officeDocument/2006/relationships/footer" Target="footer40.xml"/><Relationship Id="rId82" Type="http://schemas.openxmlformats.org/officeDocument/2006/relationships/footer" Target="footer41.xml"/><Relationship Id="rId83" Type="http://schemas.openxmlformats.org/officeDocument/2006/relationships/footer" Target="footer42.xml"/><Relationship Id="rId84" Type="http://schemas.openxmlformats.org/officeDocument/2006/relationships/hyperlink" Target="http://hispanos.about.com/od/" TargetMode="External"/><Relationship Id="rId85" Type="http://schemas.openxmlformats.org/officeDocument/2006/relationships/hyperlink" Target="http://www.jornada.unam.mx/2013/01/28/opinion/025o1mun" TargetMode="External"/><Relationship Id="rId86" Type="http://schemas.openxmlformats.org/officeDocument/2006/relationships/hyperlink" Target="http://www.jornada.unam.mx/2011/06/13/mundo/029o1mun" TargetMode="External"/><Relationship Id="rId87" Type="http://schemas.openxmlformats.org/officeDocument/2006/relationships/hyperlink" Target="http://migracion.jornada.com.mx/opinion/las-migraciones-internacionales-en-" TargetMode="External"/><Relationship Id="rId88" Type="http://schemas.openxmlformats.org/officeDocument/2006/relationships/hyperlink" Target="http://www.jornada.unam.mx/2012/12/06/economia/026n1eco" TargetMode="External"/><Relationship Id="rId89" Type="http://schemas.openxmlformats.org/officeDocument/2006/relationships/hyperlink" Target="http://www.vientosur.info/spip.php?article7843" TargetMode="External"/><Relationship Id="rId90" Type="http://schemas.openxmlformats.org/officeDocument/2006/relationships/footer" Target="footer43.xml"/><Relationship Id="rId91" Type="http://schemas.openxmlformats.org/officeDocument/2006/relationships/hyperlink" Target="http://www.lahaine.org/index.php?blog=3&amp;amp;p=38530" TargetMode="External"/><Relationship Id="rId92" Type="http://schemas.openxmlformats.org/officeDocument/2006/relationships/hyperlink" Target="http://www/" TargetMode="External"/><Relationship Id="rId93" Type="http://schemas.openxmlformats.org/officeDocument/2006/relationships/hyperlink" Target="http://www.jornada.unam.mx/2010/08/30/" TargetMode="External"/><Relationship Id="rId94" Type="http://schemas.openxmlformats.org/officeDocument/2006/relationships/hyperlink" Target="http://actualidad.rt.com/economia/view/50293-EE.UU.-vaticina-" TargetMode="External"/><Relationship Id="rId95" Type="http://schemas.openxmlformats.org/officeDocument/2006/relationships/hyperlink" Target="http://actualidad.rt.com/actua-" TargetMode="External"/><Relationship Id="rId96" Type="http://schemas.openxmlformats.org/officeDocument/2006/relationships/footer" Target="footer44.xml"/><Relationship Id="rId97" Type="http://schemas.openxmlformats.org/officeDocument/2006/relationships/footer" Target="footer45.xml"/><Relationship Id="rId98" Type="http://schemas.openxmlformats.org/officeDocument/2006/relationships/footer" Target="footer46.xml"/><Relationship Id="rId99" Type="http://schemas.openxmlformats.org/officeDocument/2006/relationships/footer" Target="footer47.xml"/><Relationship Id="rId100" Type="http://schemas.openxmlformats.org/officeDocument/2006/relationships/footer" Target="footer48.xml"/><Relationship Id="rId101" Type="http://schemas.openxmlformats.org/officeDocument/2006/relationships/footer" Target="footer49.xml"/><Relationship Id="rId102" Type="http://schemas.openxmlformats.org/officeDocument/2006/relationships/image" Target="media/image33.png"/><Relationship Id="rId103" Type="http://schemas.openxmlformats.org/officeDocument/2006/relationships/image" Target="media/image34.png"/><Relationship Id="rId104" Type="http://schemas.openxmlformats.org/officeDocument/2006/relationships/image" Target="media/image35.png"/><Relationship Id="rId105" Type="http://schemas.openxmlformats.org/officeDocument/2006/relationships/image" Target="media/image36.png"/><Relationship Id="rId106" Type="http://schemas.openxmlformats.org/officeDocument/2006/relationships/image" Target="media/image37.png"/><Relationship Id="rId107" Type="http://schemas.openxmlformats.org/officeDocument/2006/relationships/image" Target="media/image38.png"/><Relationship Id="rId108" Type="http://schemas.openxmlformats.org/officeDocument/2006/relationships/image" Target="media/image39.png"/><Relationship Id="rId109" Type="http://schemas.openxmlformats.org/officeDocument/2006/relationships/image" Target="media/image40.png"/><Relationship Id="rId110" Type="http://schemas.openxmlformats.org/officeDocument/2006/relationships/image" Target="media/image41.png"/><Relationship Id="rId111" Type="http://schemas.openxmlformats.org/officeDocument/2006/relationships/image" Target="media/image42.png"/><Relationship Id="rId112" Type="http://schemas.openxmlformats.org/officeDocument/2006/relationships/image" Target="media/image43.png"/><Relationship Id="rId113" Type="http://schemas.openxmlformats.org/officeDocument/2006/relationships/image" Target="media/image44.png"/><Relationship Id="rId114" Type="http://schemas.openxmlformats.org/officeDocument/2006/relationships/image" Target="media/image45.png"/><Relationship Id="rId115" Type="http://schemas.openxmlformats.org/officeDocument/2006/relationships/image" Target="media/image46.png"/><Relationship Id="rId116" Type="http://schemas.openxmlformats.org/officeDocument/2006/relationships/image" Target="media/image47.png"/><Relationship Id="rId117" Type="http://schemas.openxmlformats.org/officeDocument/2006/relationships/image" Target="media/image48.png"/><Relationship Id="rId118" Type="http://schemas.openxmlformats.org/officeDocument/2006/relationships/image" Target="media/image49.png"/><Relationship Id="rId119" Type="http://schemas.openxmlformats.org/officeDocument/2006/relationships/image" Target="media/image50.png"/><Relationship Id="rId120" Type="http://schemas.openxmlformats.org/officeDocument/2006/relationships/image" Target="media/image51.png"/><Relationship Id="rId121" Type="http://schemas.openxmlformats.org/officeDocument/2006/relationships/image" Target="media/image52.png"/><Relationship Id="rId122" Type="http://schemas.openxmlformats.org/officeDocument/2006/relationships/image" Target="media/image53.png"/><Relationship Id="rId123" Type="http://schemas.openxmlformats.org/officeDocument/2006/relationships/image" Target="media/image54.png"/><Relationship Id="rId124" Type="http://schemas.openxmlformats.org/officeDocument/2006/relationships/image" Target="media/image55.png"/><Relationship Id="rId125" Type="http://schemas.openxmlformats.org/officeDocument/2006/relationships/image" Target="media/image56.png"/><Relationship Id="rId126" Type="http://schemas.openxmlformats.org/officeDocument/2006/relationships/footer" Target="footer50.xml"/><Relationship Id="rId127" Type="http://schemas.openxmlformats.org/officeDocument/2006/relationships/footer" Target="footer51.xml"/><Relationship Id="rId128" Type="http://schemas.openxmlformats.org/officeDocument/2006/relationships/footer" Target="footer52.xml"/><Relationship Id="rId129" Type="http://schemas.openxmlformats.org/officeDocument/2006/relationships/footer" Target="footer53.xml"/><Relationship Id="rId130" Type="http://schemas.openxmlformats.org/officeDocument/2006/relationships/image" Target="media/image57.png"/><Relationship Id="rId131" Type="http://schemas.openxmlformats.org/officeDocument/2006/relationships/image" Target="media/image58.png"/><Relationship Id="rId132" Type="http://schemas.openxmlformats.org/officeDocument/2006/relationships/image" Target="media/image59.png"/><Relationship Id="rId133" Type="http://schemas.openxmlformats.org/officeDocument/2006/relationships/image" Target="media/image60.png"/><Relationship Id="rId134" Type="http://schemas.openxmlformats.org/officeDocument/2006/relationships/image" Target="media/image61.png"/><Relationship Id="rId135" Type="http://schemas.openxmlformats.org/officeDocument/2006/relationships/image" Target="media/image62.png"/><Relationship Id="rId136" Type="http://schemas.openxmlformats.org/officeDocument/2006/relationships/footer" Target="footer54.xml"/><Relationship Id="rId137" Type="http://schemas.openxmlformats.org/officeDocument/2006/relationships/footer" Target="footer55.xml"/><Relationship Id="rId138" Type="http://schemas.openxmlformats.org/officeDocument/2006/relationships/image" Target="media/image63.png"/><Relationship Id="rId139" Type="http://schemas.openxmlformats.org/officeDocument/2006/relationships/image" Target="media/image64.png"/><Relationship Id="rId140" Type="http://schemas.openxmlformats.org/officeDocument/2006/relationships/footer" Target="footer56.xml"/><Relationship Id="rId141" Type="http://schemas.openxmlformats.org/officeDocument/2006/relationships/footer" Target="footer57.xml"/><Relationship Id="rId142" Type="http://schemas.openxmlformats.org/officeDocument/2006/relationships/footer" Target="footer58.xml"/><Relationship Id="rId143" Type="http://schemas.openxmlformats.org/officeDocument/2006/relationships/footer" Target="footer59.xml"/><Relationship Id="rId144" Type="http://schemas.openxmlformats.org/officeDocument/2006/relationships/footer" Target="footer60.xml"/><Relationship Id="rId145" Type="http://schemas.openxmlformats.org/officeDocument/2006/relationships/footer" Target="footer61.xml"/><Relationship Id="rId146" Type="http://schemas.openxmlformats.org/officeDocument/2006/relationships/footer" Target="footer62.xml"/><Relationship Id="rId147" Type="http://schemas.openxmlformats.org/officeDocument/2006/relationships/footer" Target="footer63.xml"/><Relationship Id="rId148" Type="http://schemas.openxmlformats.org/officeDocument/2006/relationships/footer" Target="footer64.xml"/><Relationship Id="rId149" Type="http://schemas.openxmlformats.org/officeDocument/2006/relationships/footer" Target="footer65.xml"/><Relationship Id="rId150" Type="http://schemas.openxmlformats.org/officeDocument/2006/relationships/footer" Target="footer66.xml"/><Relationship Id="rId151" Type="http://schemas.openxmlformats.org/officeDocument/2006/relationships/footer" Target="footer67.xml"/><Relationship Id="rId152" Type="http://schemas.openxmlformats.org/officeDocument/2006/relationships/footer" Target="footer68.xml"/><Relationship Id="rId153" Type="http://schemas.openxmlformats.org/officeDocument/2006/relationships/footer" Target="footer69.xml"/><Relationship Id="rId154" Type="http://schemas.openxmlformats.org/officeDocument/2006/relationships/hyperlink" Target="http://mim.promexico.gob.mx/work/sites/mim/resou-" TargetMode="External"/><Relationship Id="rId155" Type="http://schemas.openxmlformats.org/officeDocument/2006/relationships/footer" Target="footer70.xml"/><Relationship Id="rId156" Type="http://schemas.openxmlformats.org/officeDocument/2006/relationships/footer" Target="footer71.xml"/><Relationship Id="rId157" Type="http://schemas.openxmlformats.org/officeDocument/2006/relationships/image" Target="media/image65.png"/><Relationship Id="rId158" Type="http://schemas.openxmlformats.org/officeDocument/2006/relationships/hyperlink" Target="http://www.bea.gov/" TargetMode="External"/><Relationship Id="rId159" Type="http://schemas.openxmlformats.org/officeDocument/2006/relationships/footer" Target="footer72.xml"/><Relationship Id="rId160" Type="http://schemas.openxmlformats.org/officeDocument/2006/relationships/image" Target="media/image66.jpeg"/><Relationship Id="rId161" Type="http://schemas.openxmlformats.org/officeDocument/2006/relationships/image" Target="media/image67.jpeg"/><Relationship Id="rId162" Type="http://schemas.openxmlformats.org/officeDocument/2006/relationships/image" Target="media/image68.png"/><Relationship Id="rId163" Type="http://schemas.openxmlformats.org/officeDocument/2006/relationships/image" Target="media/image69.jpeg"/><Relationship Id="rId164" Type="http://schemas.openxmlformats.org/officeDocument/2006/relationships/image" Target="media/image70.jpeg"/><Relationship Id="rId165" Type="http://schemas.openxmlformats.org/officeDocument/2006/relationships/image" Target="media/image71.png"/><Relationship Id="rId166" Type="http://schemas.openxmlformats.org/officeDocument/2006/relationships/image" Target="media/image72.png"/><Relationship Id="rId167" Type="http://schemas.openxmlformats.org/officeDocument/2006/relationships/image" Target="media/image73.png"/><Relationship Id="rId168" Type="http://schemas.openxmlformats.org/officeDocument/2006/relationships/image" Target="media/image74.png"/><Relationship Id="rId169" Type="http://schemas.openxmlformats.org/officeDocument/2006/relationships/footer" Target="footer73.xml"/><Relationship Id="rId170" Type="http://schemas.openxmlformats.org/officeDocument/2006/relationships/footer" Target="footer74.xml"/><Relationship Id="rId171" Type="http://schemas.openxmlformats.org/officeDocument/2006/relationships/image" Target="media/image75.png"/><Relationship Id="rId172" Type="http://schemas.openxmlformats.org/officeDocument/2006/relationships/image" Target="media/image76.png"/><Relationship Id="rId173" Type="http://schemas.openxmlformats.org/officeDocument/2006/relationships/image" Target="media/image77.png"/><Relationship Id="rId174" Type="http://schemas.openxmlformats.org/officeDocument/2006/relationships/image" Target="media/image78.png"/><Relationship Id="rId175" Type="http://schemas.openxmlformats.org/officeDocument/2006/relationships/image" Target="media/image79.png"/><Relationship Id="rId176" Type="http://schemas.openxmlformats.org/officeDocument/2006/relationships/image" Target="media/image80.png"/><Relationship Id="rId177" Type="http://schemas.openxmlformats.org/officeDocument/2006/relationships/image" Target="media/image81.png"/><Relationship Id="rId178" Type="http://schemas.openxmlformats.org/officeDocument/2006/relationships/image" Target="media/image82.png"/><Relationship Id="rId179" Type="http://schemas.openxmlformats.org/officeDocument/2006/relationships/image" Target="media/image83.png"/><Relationship Id="rId180" Type="http://schemas.openxmlformats.org/officeDocument/2006/relationships/image" Target="media/image84.png"/><Relationship Id="rId181" Type="http://schemas.openxmlformats.org/officeDocument/2006/relationships/footer" Target="footer75.xml"/><Relationship Id="rId182" Type="http://schemas.openxmlformats.org/officeDocument/2006/relationships/footer" Target="footer76.xml"/><Relationship Id="rId183" Type="http://schemas.openxmlformats.org/officeDocument/2006/relationships/footer" Target="footer77.xml"/><Relationship Id="rId184" Type="http://schemas.openxmlformats.org/officeDocument/2006/relationships/footer" Target="footer78.xml"/><Relationship Id="rId185" Type="http://schemas.openxmlformats.org/officeDocument/2006/relationships/footer" Target="footer79.xml"/><Relationship Id="rId186" Type="http://schemas.openxmlformats.org/officeDocument/2006/relationships/footer" Target="footer80.xml"/><Relationship Id="rId187" Type="http://schemas.openxmlformats.org/officeDocument/2006/relationships/footer" Target="footer81.xml"/><Relationship Id="rId188" Type="http://schemas.openxmlformats.org/officeDocument/2006/relationships/footer" Target="footer82.xml"/><Relationship Id="rId189" Type="http://schemas.openxmlformats.org/officeDocument/2006/relationships/footer" Target="footer83.xml"/><Relationship Id="rId190" Type="http://schemas.openxmlformats.org/officeDocument/2006/relationships/image" Target="media/image85.png"/><Relationship Id="rId191" Type="http://schemas.openxmlformats.org/officeDocument/2006/relationships/image" Target="media/image86.jpeg"/><Relationship Id="rId192" Type="http://schemas.openxmlformats.org/officeDocument/2006/relationships/image" Target="media/image87.png"/><Relationship Id="rId193" Type="http://schemas.openxmlformats.org/officeDocument/2006/relationships/image" Target="media/image88.jpeg"/><Relationship Id="rId194" Type="http://schemas.openxmlformats.org/officeDocument/2006/relationships/image" Target="media/image89.jpeg"/><Relationship Id="rId195" Type="http://schemas.openxmlformats.org/officeDocument/2006/relationships/image" Target="media/image90.png"/><Relationship Id="rId196" Type="http://schemas.openxmlformats.org/officeDocument/2006/relationships/image" Target="media/image91.jpeg"/><Relationship Id="rId197" Type="http://schemas.openxmlformats.org/officeDocument/2006/relationships/footer" Target="footer84.xml"/><Relationship Id="rId198" Type="http://schemas.openxmlformats.org/officeDocument/2006/relationships/footer" Target="footer85.xml"/><Relationship Id="rId199" Type="http://schemas.openxmlformats.org/officeDocument/2006/relationships/hyperlink" Target="http://pewhispanic.org/" TargetMode="External"/><Relationship Id="rId200" Type="http://schemas.openxmlformats.org/officeDocument/2006/relationships/hyperlink" Target="http://www.migrationpolicy.org/" TargetMode="External"/><Relationship Id="rId201" Type="http://schemas.openxmlformats.org/officeDocument/2006/relationships/footer" Target="footer86.xml"/><Relationship Id="rId202" Type="http://schemas.openxmlformats.org/officeDocument/2006/relationships/footer" Target="footer87.xml"/><Relationship Id="rId203" Type="http://schemas.openxmlformats.org/officeDocument/2006/relationships/footer" Target="footer88.xml"/><Relationship Id="rId204" Type="http://schemas.openxmlformats.org/officeDocument/2006/relationships/footer" Target="footer89.xml"/><Relationship Id="rId205" Type="http://schemas.openxmlformats.org/officeDocument/2006/relationships/footer" Target="footer90.xml"/><Relationship Id="rId206" Type="http://schemas.openxmlformats.org/officeDocument/2006/relationships/footer" Target="footer91.xml"/><Relationship Id="rId207" Type="http://schemas.openxmlformats.org/officeDocument/2006/relationships/footer" Target="footer92.xml"/><Relationship Id="rId208" Type="http://schemas.openxmlformats.org/officeDocument/2006/relationships/footer" Target="footer93.xml"/><Relationship Id="rId209" Type="http://schemas.openxmlformats.org/officeDocument/2006/relationships/footer" Target="footer94.xml"/><Relationship Id="rId210" Type="http://schemas.openxmlformats.org/officeDocument/2006/relationships/footer" Target="footer95.xml"/><Relationship Id="rId211" Type="http://schemas.openxmlformats.org/officeDocument/2006/relationships/footer" Target="footer96.xml"/><Relationship Id="rId212" Type="http://schemas.openxmlformats.org/officeDocument/2006/relationships/footer" Target="footer97.xml"/><Relationship Id="rId213" Type="http://schemas.openxmlformats.org/officeDocument/2006/relationships/image" Target="media/image92.png"/><Relationship Id="rId214" Type="http://schemas.openxmlformats.org/officeDocument/2006/relationships/image" Target="media/image93.png"/><Relationship Id="rId215" Type="http://schemas.openxmlformats.org/officeDocument/2006/relationships/image" Target="media/image94.png"/><Relationship Id="rId216" Type="http://schemas.openxmlformats.org/officeDocument/2006/relationships/image" Target="media/image95.png"/><Relationship Id="rId217" Type="http://schemas.openxmlformats.org/officeDocument/2006/relationships/image" Target="media/image96.png"/><Relationship Id="rId218" Type="http://schemas.openxmlformats.org/officeDocument/2006/relationships/image" Target="media/image97.png"/><Relationship Id="rId219" Type="http://schemas.openxmlformats.org/officeDocument/2006/relationships/image" Target="media/image98.png"/><Relationship Id="rId220" Type="http://schemas.openxmlformats.org/officeDocument/2006/relationships/image" Target="media/image99.png"/><Relationship Id="rId221" Type="http://schemas.openxmlformats.org/officeDocument/2006/relationships/image" Target="media/image100.png"/><Relationship Id="rId222" Type="http://schemas.openxmlformats.org/officeDocument/2006/relationships/image" Target="media/image101.png"/><Relationship Id="rId223" Type="http://schemas.openxmlformats.org/officeDocument/2006/relationships/image" Target="media/image102.png"/><Relationship Id="rId224" Type="http://schemas.openxmlformats.org/officeDocument/2006/relationships/image" Target="media/image103.png"/><Relationship Id="rId225" Type="http://schemas.openxmlformats.org/officeDocument/2006/relationships/image" Target="media/image104.png"/><Relationship Id="rId226" Type="http://schemas.openxmlformats.org/officeDocument/2006/relationships/image" Target="media/image105.png"/><Relationship Id="rId227" Type="http://schemas.openxmlformats.org/officeDocument/2006/relationships/image" Target="media/image106.png"/><Relationship Id="rId228" Type="http://schemas.openxmlformats.org/officeDocument/2006/relationships/footer" Target="footer98.xml"/><Relationship Id="rId229" Type="http://schemas.openxmlformats.org/officeDocument/2006/relationships/footer" Target="footer99.xml"/><Relationship Id="rId230" Type="http://schemas.openxmlformats.org/officeDocument/2006/relationships/footer" Target="footer100.xml"/><Relationship Id="rId231" Type="http://schemas.openxmlformats.org/officeDocument/2006/relationships/footer" Target="footer101.xml"/><Relationship Id="rId232" Type="http://schemas.openxmlformats.org/officeDocument/2006/relationships/footer" Target="footer102.xml"/><Relationship Id="rId233" Type="http://schemas.openxmlformats.org/officeDocument/2006/relationships/footer" Target="footer103.xml"/><Relationship Id="rId234" Type="http://schemas.openxmlformats.org/officeDocument/2006/relationships/footer" Target="footer104.xml"/><Relationship Id="rId235" Type="http://schemas.openxmlformats.org/officeDocument/2006/relationships/footer" Target="footer105.xml"/><Relationship Id="rId236" Type="http://schemas.openxmlformats.org/officeDocument/2006/relationships/footer" Target="footer106.xml"/><Relationship Id="rId237" Type="http://schemas.openxmlformats.org/officeDocument/2006/relationships/footer" Target="footer107.xml"/><Relationship Id="rId238" Type="http://schemas.openxmlformats.org/officeDocument/2006/relationships/footer" Target="footer108.xml"/><Relationship Id="rId239" Type="http://schemas.openxmlformats.org/officeDocument/2006/relationships/footer" Target="footer109.xml"/><Relationship Id="rId240" Type="http://schemas.openxmlformats.org/officeDocument/2006/relationships/footer" Target="footer110.xml"/><Relationship Id="rId241" Type="http://schemas.openxmlformats.org/officeDocument/2006/relationships/footer" Target="footer111.xml"/><Relationship Id="rId242" Type="http://schemas.openxmlformats.org/officeDocument/2006/relationships/hyperlink" Target="http://www.fundacionsol.cl/" TargetMode="External"/><Relationship Id="rId243" Type="http://schemas.openxmlformats.org/officeDocument/2006/relationships/footer" Target="footer112.xml"/><Relationship Id="rId244" Type="http://schemas.openxmlformats.org/officeDocument/2006/relationships/footer" Target="footer113.xml"/><Relationship Id="rId245" Type="http://schemas.openxmlformats.org/officeDocument/2006/relationships/footer" Target="footer114.xml"/><Relationship Id="rId246" Type="http://schemas.openxmlformats.org/officeDocument/2006/relationships/footer" Target="footer115.xml"/><Relationship Id="rId247" Type="http://schemas.openxmlformats.org/officeDocument/2006/relationships/footer" Target="footer116.xml"/><Relationship Id="rId248" Type="http://schemas.openxmlformats.org/officeDocument/2006/relationships/footer" Target="footer117.xml"/><Relationship Id="rId249" Type="http://schemas.openxmlformats.org/officeDocument/2006/relationships/footer" Target="footer118.xml"/><Relationship Id="rId250" Type="http://schemas.openxmlformats.org/officeDocument/2006/relationships/footer" Target="footer119.xml"/><Relationship Id="rId251" Type="http://schemas.openxmlformats.org/officeDocument/2006/relationships/footer" Target="footer120.xml"/><Relationship Id="rId252" Type="http://schemas.openxmlformats.org/officeDocument/2006/relationships/footer" Target="footer121.xml"/><Relationship Id="rId253" Type="http://schemas.openxmlformats.org/officeDocument/2006/relationships/hyperlink" Target="http://numero1.conlaa.com/archivos/562" TargetMode="External"/><Relationship Id="rId254" Type="http://schemas.openxmlformats.org/officeDocument/2006/relationships/footer" Target="footer122.xml"/><Relationship Id="rId255" Type="http://schemas.openxmlformats.org/officeDocument/2006/relationships/footer" Target="footer123.xml"/><Relationship Id="rId256" Type="http://schemas.openxmlformats.org/officeDocument/2006/relationships/footer" Target="footer124.xml"/><Relationship Id="rId257" Type="http://schemas.openxmlformats.org/officeDocument/2006/relationships/footer" Target="footer125.xml"/><Relationship Id="rId258" Type="http://schemas.openxmlformats.org/officeDocument/2006/relationships/footer" Target="footer126.xml"/><Relationship Id="rId259" Type="http://schemas.openxmlformats.org/officeDocument/2006/relationships/footer" Target="footer127.xml"/><Relationship Id="rId260" Type="http://schemas.openxmlformats.org/officeDocument/2006/relationships/footer" Target="footer128.xml"/><Relationship Id="rId261" Type="http://schemas.openxmlformats.org/officeDocument/2006/relationships/footer" Target="footer129.xml"/><Relationship Id="rId262" Type="http://schemas.openxmlformats.org/officeDocument/2006/relationships/footer" Target="footer130.xml"/><Relationship Id="rId263" Type="http://schemas.openxmlformats.org/officeDocument/2006/relationships/footer" Target="footer131.xml"/><Relationship Id="rId264" Type="http://schemas.openxmlformats.org/officeDocument/2006/relationships/footer" Target="footer132.xml"/><Relationship Id="rId265" Type="http://schemas.openxmlformats.org/officeDocument/2006/relationships/footer" Target="footer133.xml"/><Relationship Id="rId266" Type="http://schemas.openxmlformats.org/officeDocument/2006/relationships/footer" Target="footer134.xml"/><Relationship Id="rId267" Type="http://schemas.openxmlformats.org/officeDocument/2006/relationships/footer" Target="footer135.xml"/><Relationship Id="rId268" Type="http://schemas.openxmlformats.org/officeDocument/2006/relationships/footer" Target="footer136.xml"/><Relationship Id="rId269" Type="http://schemas.openxmlformats.org/officeDocument/2006/relationships/footer" Target="footer137.xml"/><Relationship Id="rId270" Type="http://schemas.openxmlformats.org/officeDocument/2006/relationships/footer" Target="footer138.xml"/><Relationship Id="rId271" Type="http://schemas.openxmlformats.org/officeDocument/2006/relationships/footer" Target="footer139.xml"/><Relationship Id="rId272" Type="http://schemas.openxmlformats.org/officeDocument/2006/relationships/footer" Target="footer140.xml"/><Relationship Id="rId273" Type="http://schemas.openxmlformats.org/officeDocument/2006/relationships/footer" Target="footer141.xml"/><Relationship Id="rId274" Type="http://schemas.openxmlformats.org/officeDocument/2006/relationships/footer" Target="footer142.xml"/><Relationship Id="rId275" Type="http://schemas.openxmlformats.org/officeDocument/2006/relationships/footer" Target="footer143.xml"/><Relationship Id="rId276" Type="http://schemas.openxmlformats.org/officeDocument/2006/relationships/footer" Target="footer144.xml"/><Relationship Id="rId277" Type="http://schemas.openxmlformats.org/officeDocument/2006/relationships/footer" Target="footer145.xml"/><Relationship Id="rId278" Type="http://schemas.openxmlformats.org/officeDocument/2006/relationships/footer" Target="footer146.xml"/><Relationship Id="rId279" Type="http://schemas.openxmlformats.org/officeDocument/2006/relationships/footer" Target="footer147.xml"/><Relationship Id="rId280" Type="http://schemas.openxmlformats.org/officeDocument/2006/relationships/footer" Target="footer148.xml"/><Relationship Id="rId281" Type="http://schemas.openxmlformats.org/officeDocument/2006/relationships/footer" Target="footer149.xml"/><Relationship Id="rId282" Type="http://schemas.openxmlformats.org/officeDocument/2006/relationships/footer" Target="footer150.xml"/><Relationship Id="rId283" Type="http://schemas.openxmlformats.org/officeDocument/2006/relationships/footer" Target="footer151.xml"/><Relationship Id="rId284" Type="http://schemas.openxmlformats.org/officeDocument/2006/relationships/footer" Target="footer152.xml"/><Relationship Id="rId285" Type="http://schemas.openxmlformats.org/officeDocument/2006/relationships/footer" Target="footer153.xml"/><Relationship Id="rId286" Type="http://schemas.openxmlformats.org/officeDocument/2006/relationships/footer" Target="footer154.xml"/><Relationship Id="rId287" Type="http://schemas.openxmlformats.org/officeDocument/2006/relationships/footer" Target="footer155.xml"/><Relationship Id="rId288" Type="http://schemas.openxmlformats.org/officeDocument/2006/relationships/footer" Target="footer156.xml"/><Relationship Id="rId289" Type="http://schemas.openxmlformats.org/officeDocument/2006/relationships/image" Target="media/image107.png"/><Relationship Id="rId290" Type="http://schemas.openxmlformats.org/officeDocument/2006/relationships/footer" Target="footer157.xml"/><Relationship Id="rId291" Type="http://schemas.openxmlformats.org/officeDocument/2006/relationships/footer" Target="footer158.xml"/><Relationship Id="rId292" Type="http://schemas.openxmlformats.org/officeDocument/2006/relationships/footer" Target="footer159.xml"/><Relationship Id="rId293" Type="http://schemas.openxmlformats.org/officeDocument/2006/relationships/footer" Target="footer160.xml"/><Relationship Id="rId294" Type="http://schemas.openxmlformats.org/officeDocument/2006/relationships/footer" Target="footer161.xml"/><Relationship Id="rId295" Type="http://schemas.openxmlformats.org/officeDocument/2006/relationships/footer" Target="footer162.xml"/><Relationship Id="rId296" Type="http://schemas.openxmlformats.org/officeDocument/2006/relationships/image" Target="media/image108.png"/><Relationship Id="rId297" Type="http://schemas.openxmlformats.org/officeDocument/2006/relationships/image" Target="media/image109.png"/><Relationship Id="rId298" Type="http://schemas.openxmlformats.org/officeDocument/2006/relationships/footer" Target="footer163.xml"/><Relationship Id="rId299" Type="http://schemas.openxmlformats.org/officeDocument/2006/relationships/image" Target="media/image110.png"/><Relationship Id="rId300" Type="http://schemas.openxmlformats.org/officeDocument/2006/relationships/image" Target="media/image111.png"/><Relationship Id="rId301" Type="http://schemas.openxmlformats.org/officeDocument/2006/relationships/image" Target="media/image112.png"/><Relationship Id="rId302" Type="http://schemas.openxmlformats.org/officeDocument/2006/relationships/image" Target="media/image113.png"/><Relationship Id="rId303" Type="http://schemas.openxmlformats.org/officeDocument/2006/relationships/image" Target="media/image114.png"/><Relationship Id="rId304" Type="http://schemas.openxmlformats.org/officeDocument/2006/relationships/footer" Target="footer164.xml"/><Relationship Id="rId305" Type="http://schemas.openxmlformats.org/officeDocument/2006/relationships/footer" Target="footer165.xml"/><Relationship Id="rId306" Type="http://schemas.openxmlformats.org/officeDocument/2006/relationships/footer" Target="footer166.xml"/><Relationship Id="rId307" Type="http://schemas.openxmlformats.org/officeDocument/2006/relationships/hyperlink" Target="http://www.nber.org/papers/w15345" TargetMode="External"/><Relationship Id="rId308" Type="http://schemas.openxmlformats.org/officeDocument/2006/relationships/footer" Target="footer167.xml"/><Relationship Id="rId309" Type="http://schemas.openxmlformats.org/officeDocument/2006/relationships/footer" Target="footer168.xml"/><Relationship Id="rId310" Type="http://schemas.openxmlformats.org/officeDocument/2006/relationships/footer" Target="footer169.xml"/><Relationship Id="rId311" Type="http://schemas.openxmlformats.org/officeDocument/2006/relationships/footer" Target="footer170.xml"/><Relationship Id="rId312" Type="http://schemas.openxmlformats.org/officeDocument/2006/relationships/footer" Target="footer171.xml"/><Relationship Id="rId313" Type="http://schemas.openxmlformats.org/officeDocument/2006/relationships/footer" Target="footer172.xml"/><Relationship Id="rId314" Type="http://schemas.openxmlformats.org/officeDocument/2006/relationships/footer" Target="footer173.xml"/><Relationship Id="rId315" Type="http://schemas.openxmlformats.org/officeDocument/2006/relationships/footer" Target="footer174.xml"/><Relationship Id="rId316" Type="http://schemas.openxmlformats.org/officeDocument/2006/relationships/footer" Target="footer175.xml"/><Relationship Id="rId317" Type="http://schemas.openxmlformats.org/officeDocument/2006/relationships/footer" Target="footer176.xml"/><Relationship Id="rId318" Type="http://schemas.openxmlformats.org/officeDocument/2006/relationships/footer" Target="footer177.xml"/><Relationship Id="rId319" Type="http://schemas.openxmlformats.org/officeDocument/2006/relationships/footer" Target="footer178.xml"/><Relationship Id="rId320" Type="http://schemas.openxmlformats.org/officeDocument/2006/relationships/footer" Target="footer179.xml"/><Relationship Id="rId321" Type="http://schemas.openxmlformats.org/officeDocument/2006/relationships/hyperlink" Target="http://www.sename.gov.cl/wsename/otros/Paternalismo_manfred_liebel.pdf" TargetMode="External"/><Relationship Id="rId322" Type="http://schemas.openxmlformats.org/officeDocument/2006/relationships/footer" Target="footer180.xml"/><Relationship Id="rId323" Type="http://schemas.openxmlformats.org/officeDocument/2006/relationships/footer" Target="footer181.xml"/><Relationship Id="rId324" Type="http://schemas.openxmlformats.org/officeDocument/2006/relationships/footer" Target="footer182.xml"/><Relationship Id="rId325" Type="http://schemas.openxmlformats.org/officeDocument/2006/relationships/image" Target="media/image115.jpeg"/><Relationship Id="rId3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2017-05-26T01:16:26Z</dcterms:created>
  <dcterms:modified xsi:type="dcterms:W3CDTF">2017-05-26T01:16:26Z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2016-02-18T00:00:00Z</vt:filetime>
  </property>
  <property fmtid="{D5CDD505-2E9C-101B-9397-08002B2CF9AE}" pid="3" name="Creator">
    <vt:lpwstr>Adobe InDesign CS5.5 (7.5.1)</vt:lpwstr>
  </property>
  <property fmtid="{D5CDD505-2E9C-101B-9397-08002B2CF9AE}" pid="4" name="LastSaved">
    <vt:filetime>2017-05-25T00:00:00Z</vt:filetime>
  </property>
</Properties>
</file>