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3A27" w:rsidRDefault="000D3A27" w:rsidP="000D3A27">
      <w:pPr>
        <w:rPr>
          <w:noProof/>
          <w:sz w:val="40"/>
          <w:szCs w:val="40"/>
        </w:rPr>
      </w:pPr>
    </w:p>
    <w:p w:rsidR="000D3A27" w:rsidRDefault="000D3A27" w:rsidP="000D3A27">
      <w:pPr>
        <w:rPr>
          <w:noProof/>
          <w:sz w:val="40"/>
          <w:szCs w:val="40"/>
        </w:rPr>
      </w:pPr>
      <w:r w:rsidRPr="000D3A27">
        <w:drawing>
          <wp:anchor distT="0" distB="0" distL="114300" distR="114300" simplePos="0" relativeHeight="251658240" behindDoc="0" locked="0" layoutInCell="1" allowOverlap="1">
            <wp:simplePos x="0" y="0"/>
            <wp:positionH relativeFrom="column">
              <wp:posOffset>-432435</wp:posOffset>
            </wp:positionH>
            <wp:positionV relativeFrom="paragraph">
              <wp:posOffset>330835</wp:posOffset>
            </wp:positionV>
            <wp:extent cx="1228725" cy="1042402"/>
            <wp:effectExtent l="0" t="0" r="0" b="5715"/>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extLst>
                        <a:ext uri="{28A0092B-C50C-407E-A947-70E740481C1C}">
                          <a14:useLocalDpi xmlns:a14="http://schemas.microsoft.com/office/drawing/2010/main" val="0"/>
                        </a:ext>
                      </a:extLst>
                    </a:blip>
                    <a:stretch>
                      <a:fillRect/>
                    </a:stretch>
                  </pic:blipFill>
                  <pic:spPr>
                    <a:xfrm>
                      <a:off x="0" y="0"/>
                      <a:ext cx="1228725" cy="1042402"/>
                    </a:xfrm>
                    <a:prstGeom prst="rect">
                      <a:avLst/>
                    </a:prstGeom>
                  </pic:spPr>
                </pic:pic>
              </a:graphicData>
            </a:graphic>
            <wp14:sizeRelH relativeFrom="page">
              <wp14:pctWidth>0</wp14:pctWidth>
            </wp14:sizeRelH>
            <wp14:sizeRelV relativeFrom="page">
              <wp14:pctHeight>0</wp14:pctHeight>
            </wp14:sizeRelV>
          </wp:anchor>
        </w:drawing>
      </w:r>
    </w:p>
    <w:p w:rsidR="00981617" w:rsidRDefault="000D3A27" w:rsidP="00981617">
      <w:pPr>
        <w:jc w:val="center"/>
        <w:rPr>
          <w:noProof/>
          <w:sz w:val="40"/>
          <w:szCs w:val="40"/>
        </w:rPr>
      </w:pPr>
      <w:r w:rsidRPr="000D3A27">
        <w:drawing>
          <wp:anchor distT="0" distB="0" distL="114300" distR="114300" simplePos="0" relativeHeight="251659264" behindDoc="0" locked="0" layoutInCell="1" allowOverlap="1">
            <wp:simplePos x="0" y="0"/>
            <wp:positionH relativeFrom="margin">
              <wp:align>right</wp:align>
            </wp:positionH>
            <wp:positionV relativeFrom="paragraph">
              <wp:posOffset>8890</wp:posOffset>
            </wp:positionV>
            <wp:extent cx="704215" cy="876300"/>
            <wp:effectExtent l="0" t="0" r="635"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cstate="print">
                      <a:extLst>
                        <a:ext uri="{28A0092B-C50C-407E-A947-70E740481C1C}">
                          <a14:useLocalDpi xmlns:a14="http://schemas.microsoft.com/office/drawing/2010/main" val="0"/>
                        </a:ext>
                      </a:extLst>
                    </a:blip>
                    <a:stretch>
                      <a:fillRect/>
                    </a:stretch>
                  </pic:blipFill>
                  <pic:spPr>
                    <a:xfrm>
                      <a:off x="0" y="0"/>
                      <a:ext cx="704215" cy="876300"/>
                    </a:xfrm>
                    <a:prstGeom prst="rect">
                      <a:avLst/>
                    </a:prstGeom>
                  </pic:spPr>
                </pic:pic>
              </a:graphicData>
            </a:graphic>
            <wp14:sizeRelH relativeFrom="page">
              <wp14:pctWidth>0</wp14:pctWidth>
            </wp14:sizeRelH>
            <wp14:sizeRelV relativeFrom="page">
              <wp14:pctHeight>0</wp14:pctHeight>
            </wp14:sizeRelV>
          </wp:anchor>
        </w:drawing>
      </w:r>
      <w:r w:rsidR="00981617">
        <w:rPr>
          <w:noProof/>
          <w:sz w:val="40"/>
          <w:szCs w:val="40"/>
        </w:rPr>
        <w:t>UNIVERSIDAD AUTÓNOMA  DEL ESTADO DE MÉXICO</w:t>
      </w:r>
    </w:p>
    <w:p w:rsidR="00981617" w:rsidRDefault="00981617" w:rsidP="00981617">
      <w:pPr>
        <w:jc w:val="center"/>
        <w:rPr>
          <w:noProof/>
          <w:sz w:val="40"/>
          <w:szCs w:val="40"/>
        </w:rPr>
      </w:pPr>
    </w:p>
    <w:p w:rsidR="00981617" w:rsidRDefault="000D3A27" w:rsidP="000D3A27">
      <w:pPr>
        <w:jc w:val="both"/>
        <w:rPr>
          <w:noProof/>
          <w:sz w:val="40"/>
          <w:szCs w:val="40"/>
        </w:rPr>
      </w:pPr>
      <w:r>
        <w:rPr>
          <w:noProof/>
          <w:sz w:val="40"/>
          <w:szCs w:val="40"/>
        </w:rPr>
        <w:t xml:space="preserve">                                                         </w:t>
      </w:r>
    </w:p>
    <w:p w:rsidR="00981617" w:rsidRDefault="00981617" w:rsidP="00981617">
      <w:pPr>
        <w:jc w:val="center"/>
        <w:rPr>
          <w:noProof/>
          <w:sz w:val="40"/>
          <w:szCs w:val="40"/>
        </w:rPr>
      </w:pPr>
      <w:r>
        <w:rPr>
          <w:noProof/>
          <w:sz w:val="40"/>
          <w:szCs w:val="40"/>
        </w:rPr>
        <w:t>FACULTAD DE INGENIERÍA</w:t>
      </w:r>
    </w:p>
    <w:p w:rsidR="00981617" w:rsidRDefault="00981617" w:rsidP="00981617">
      <w:pPr>
        <w:jc w:val="center"/>
        <w:rPr>
          <w:noProof/>
          <w:sz w:val="40"/>
          <w:szCs w:val="40"/>
        </w:rPr>
      </w:pPr>
    </w:p>
    <w:p w:rsidR="000D3A27" w:rsidRDefault="000D3A27" w:rsidP="00981617">
      <w:pPr>
        <w:jc w:val="center"/>
        <w:rPr>
          <w:noProof/>
          <w:sz w:val="40"/>
          <w:szCs w:val="40"/>
        </w:rPr>
      </w:pPr>
    </w:p>
    <w:p w:rsidR="00981617" w:rsidRDefault="00981617" w:rsidP="00981617">
      <w:pPr>
        <w:jc w:val="center"/>
        <w:rPr>
          <w:noProof/>
          <w:sz w:val="40"/>
          <w:szCs w:val="40"/>
        </w:rPr>
      </w:pPr>
      <w:r>
        <w:rPr>
          <w:noProof/>
          <w:sz w:val="40"/>
          <w:szCs w:val="40"/>
        </w:rPr>
        <w:t>INGENIERÍA EN SISTEMAS ENERGÉTICOS SUSTENTABLES</w:t>
      </w:r>
    </w:p>
    <w:p w:rsidR="00981617" w:rsidRDefault="00981617" w:rsidP="00981617">
      <w:pPr>
        <w:jc w:val="center"/>
        <w:rPr>
          <w:noProof/>
          <w:sz w:val="40"/>
          <w:szCs w:val="40"/>
        </w:rPr>
      </w:pPr>
    </w:p>
    <w:p w:rsidR="000D3A27" w:rsidRDefault="000D3A27" w:rsidP="00981617">
      <w:pPr>
        <w:jc w:val="center"/>
        <w:rPr>
          <w:noProof/>
          <w:sz w:val="40"/>
          <w:szCs w:val="40"/>
        </w:rPr>
      </w:pPr>
    </w:p>
    <w:p w:rsidR="00981617" w:rsidRDefault="00981617" w:rsidP="00981617">
      <w:pPr>
        <w:jc w:val="center"/>
        <w:rPr>
          <w:noProof/>
          <w:sz w:val="40"/>
          <w:szCs w:val="40"/>
        </w:rPr>
      </w:pPr>
      <w:r>
        <w:rPr>
          <w:noProof/>
          <w:sz w:val="40"/>
          <w:szCs w:val="40"/>
        </w:rPr>
        <w:t>GUÍA EXPLICATIVA PARA EL EMPLEO DEL MATERIAL</w:t>
      </w:r>
    </w:p>
    <w:p w:rsidR="00981617" w:rsidRDefault="00981617" w:rsidP="00981617">
      <w:pPr>
        <w:jc w:val="center"/>
        <w:rPr>
          <w:b/>
          <w:i/>
          <w:noProof/>
          <w:sz w:val="40"/>
          <w:szCs w:val="40"/>
        </w:rPr>
      </w:pPr>
      <w:r>
        <w:rPr>
          <w:b/>
          <w:i/>
          <w:noProof/>
          <w:sz w:val="40"/>
          <w:szCs w:val="40"/>
        </w:rPr>
        <w:t>Desarrollo sustentable</w:t>
      </w:r>
    </w:p>
    <w:p w:rsidR="00981617" w:rsidRDefault="00981617" w:rsidP="00981617">
      <w:pPr>
        <w:jc w:val="center"/>
        <w:rPr>
          <w:b/>
          <w:i/>
          <w:noProof/>
          <w:sz w:val="40"/>
          <w:szCs w:val="40"/>
        </w:rPr>
      </w:pPr>
    </w:p>
    <w:p w:rsidR="000D3A27" w:rsidRDefault="000D3A27" w:rsidP="00981617">
      <w:pPr>
        <w:jc w:val="center"/>
        <w:rPr>
          <w:b/>
          <w:i/>
          <w:noProof/>
          <w:sz w:val="40"/>
          <w:szCs w:val="40"/>
        </w:rPr>
      </w:pPr>
    </w:p>
    <w:p w:rsidR="00981617" w:rsidRPr="000C34C4" w:rsidRDefault="00981617" w:rsidP="000C34C4">
      <w:pPr>
        <w:jc w:val="right"/>
        <w:rPr>
          <w:b/>
          <w:i/>
          <w:noProof/>
          <w:sz w:val="40"/>
          <w:szCs w:val="40"/>
        </w:rPr>
      </w:pPr>
      <w:r>
        <w:rPr>
          <w:b/>
          <w:i/>
          <w:noProof/>
          <w:sz w:val="40"/>
          <w:szCs w:val="40"/>
        </w:rPr>
        <w:t>Dra. María Rosa Quintana Guerra</w:t>
      </w:r>
    </w:p>
    <w:p w:rsidR="00981617" w:rsidRDefault="00981617">
      <w:pPr>
        <w:rPr>
          <w:noProof/>
          <w:sz w:val="24"/>
          <w:szCs w:val="24"/>
        </w:rPr>
      </w:pPr>
    </w:p>
    <w:p w:rsidR="00981617" w:rsidRDefault="00981617">
      <w:pPr>
        <w:rPr>
          <w:noProof/>
          <w:sz w:val="24"/>
          <w:szCs w:val="24"/>
        </w:rPr>
      </w:pPr>
    </w:p>
    <w:p w:rsidR="00D47BD7" w:rsidRDefault="00D47BD7" w:rsidP="000C34C4">
      <w:pPr>
        <w:spacing w:line="360" w:lineRule="auto"/>
        <w:rPr>
          <w:rFonts w:ascii="Arial" w:hAnsi="Arial" w:cs="Arial"/>
          <w:noProof/>
          <w:sz w:val="24"/>
          <w:szCs w:val="24"/>
        </w:rPr>
      </w:pPr>
    </w:p>
    <w:p w:rsidR="00FD06D0" w:rsidRPr="00396B85" w:rsidRDefault="00FD06D0" w:rsidP="000C34C4">
      <w:pPr>
        <w:spacing w:line="360" w:lineRule="auto"/>
        <w:rPr>
          <w:rFonts w:ascii="Arial" w:hAnsi="Arial" w:cs="Arial"/>
          <w:b/>
          <w:noProof/>
          <w:sz w:val="24"/>
          <w:szCs w:val="24"/>
        </w:rPr>
      </w:pPr>
      <w:r w:rsidRPr="00396B85">
        <w:rPr>
          <w:rFonts w:ascii="Arial" w:hAnsi="Arial" w:cs="Arial"/>
          <w:b/>
          <w:noProof/>
          <w:sz w:val="24"/>
          <w:szCs w:val="24"/>
        </w:rPr>
        <w:t>INTRODUCCIÓN</w:t>
      </w:r>
    </w:p>
    <w:p w:rsidR="00FD06D0" w:rsidRPr="000C34C4" w:rsidRDefault="00FD06D0" w:rsidP="000C34C4">
      <w:pPr>
        <w:spacing w:line="360" w:lineRule="auto"/>
        <w:jc w:val="both"/>
        <w:rPr>
          <w:rFonts w:ascii="Arial" w:hAnsi="Arial" w:cs="Arial"/>
          <w:noProof/>
          <w:sz w:val="24"/>
          <w:szCs w:val="24"/>
        </w:rPr>
      </w:pPr>
      <w:r w:rsidRPr="000C34C4">
        <w:rPr>
          <w:rFonts w:ascii="Arial" w:hAnsi="Arial" w:cs="Arial"/>
          <w:noProof/>
          <w:sz w:val="24"/>
          <w:szCs w:val="24"/>
        </w:rPr>
        <w:t>Esta Unidad de Aprendizaje (UA) debe fortalecer en el alumno su vocación humana y profesional en la conciencia de la dignidad, el deber y el ejercicio de la libertad, a través del conocimiento de la ética y el entendimiento de las responsabilidades.</w:t>
      </w:r>
    </w:p>
    <w:p w:rsidR="00FD06D0" w:rsidRPr="000C34C4" w:rsidRDefault="00FD06D0" w:rsidP="000C34C4">
      <w:pPr>
        <w:spacing w:line="360" w:lineRule="auto"/>
        <w:jc w:val="both"/>
        <w:rPr>
          <w:rFonts w:ascii="Arial" w:hAnsi="Arial" w:cs="Arial"/>
          <w:noProof/>
          <w:sz w:val="24"/>
          <w:szCs w:val="24"/>
        </w:rPr>
      </w:pPr>
      <w:r w:rsidRPr="000C34C4">
        <w:rPr>
          <w:rFonts w:ascii="Arial" w:hAnsi="Arial" w:cs="Arial"/>
          <w:noProof/>
          <w:sz w:val="24"/>
          <w:szCs w:val="24"/>
        </w:rPr>
        <w:t>La UA pertenece al octavo periodo del mapa curricular y requiere ciertas nociones vistas en la unidad de aprendizaje de Crítica del Desarrollo Sustentable, aunque no esté específicamente seriada a ella.</w:t>
      </w:r>
    </w:p>
    <w:p w:rsidR="00FD06D0" w:rsidRPr="000C34C4" w:rsidRDefault="00FD06D0" w:rsidP="000C34C4">
      <w:pPr>
        <w:spacing w:line="360" w:lineRule="auto"/>
        <w:jc w:val="both"/>
        <w:rPr>
          <w:rFonts w:ascii="Arial" w:hAnsi="Arial" w:cs="Arial"/>
          <w:noProof/>
          <w:sz w:val="24"/>
          <w:szCs w:val="24"/>
        </w:rPr>
      </w:pPr>
      <w:r w:rsidRPr="000C34C4">
        <w:rPr>
          <w:rFonts w:ascii="Arial" w:hAnsi="Arial" w:cs="Arial"/>
          <w:noProof/>
          <w:sz w:val="24"/>
          <w:szCs w:val="24"/>
        </w:rPr>
        <w:t>Para su desarrollo, se estructura en cuatro Unidades Temáticas (UT) que parten del estudio de las generalidades de la ética, revisando su división, los métodos y la relación de la ética con otras ciencias, posteriormente se establece el concepto de desarrollo sustentable, para terminar con la relación entre ética, sociedad, profesión y trabajo con sus debidas responsabilidades.</w:t>
      </w:r>
    </w:p>
    <w:p w:rsidR="00FD06D0" w:rsidRPr="000C34C4" w:rsidRDefault="00FD06D0" w:rsidP="000C34C4">
      <w:pPr>
        <w:spacing w:line="360" w:lineRule="auto"/>
        <w:jc w:val="both"/>
        <w:rPr>
          <w:rFonts w:ascii="Arial" w:hAnsi="Arial" w:cs="Arial"/>
          <w:noProof/>
          <w:sz w:val="24"/>
          <w:szCs w:val="24"/>
        </w:rPr>
      </w:pPr>
      <w:r w:rsidRPr="000C34C4">
        <w:rPr>
          <w:rFonts w:ascii="Arial" w:hAnsi="Arial" w:cs="Arial"/>
          <w:noProof/>
          <w:sz w:val="24"/>
          <w:szCs w:val="24"/>
        </w:rPr>
        <w:t>Conforme al modelo institucional, basado en la teoría constructivista, que involucra el aprendizaje significativo y el desarrollo de competencias, se debe centrar la actividad de aprendizaje del alumno en tareas diseñadas por el docente, quien debe realizar el diseño didáctico, tanto de actividades individuales como de equipo, dando preferencia a trabajar sobre problemas, estudios de caso y proyectos a fin de que los alumnos apliquen conocimientos no sólo de la Unidad de Aprendizaje en cuestión sino también de otras.</w:t>
      </w:r>
    </w:p>
    <w:p w:rsidR="00FD06D0" w:rsidRPr="000C34C4" w:rsidRDefault="00FD06D0" w:rsidP="000C34C4">
      <w:pPr>
        <w:spacing w:line="360" w:lineRule="auto"/>
        <w:jc w:val="both"/>
        <w:rPr>
          <w:rFonts w:ascii="Arial" w:hAnsi="Arial" w:cs="Arial"/>
          <w:noProof/>
          <w:sz w:val="24"/>
          <w:szCs w:val="24"/>
        </w:rPr>
      </w:pPr>
      <w:r w:rsidRPr="000C34C4">
        <w:rPr>
          <w:rFonts w:ascii="Arial" w:hAnsi="Arial" w:cs="Arial"/>
          <w:noProof/>
          <w:sz w:val="24"/>
          <w:szCs w:val="24"/>
        </w:rPr>
        <w:t>La información proporcionada a los alumnos sea contextualizada y relacionada con la vida real, de manera que tenga presente la ética al ejercer su profesión y sea consciente de las implicaciones de sus actos a nivel personal, social y medio ambiental.</w:t>
      </w:r>
    </w:p>
    <w:p w:rsidR="00FD06D0" w:rsidRDefault="00FD06D0" w:rsidP="000C34C4">
      <w:pPr>
        <w:spacing w:line="360" w:lineRule="auto"/>
        <w:jc w:val="both"/>
        <w:rPr>
          <w:rFonts w:ascii="Arial" w:hAnsi="Arial" w:cs="Arial"/>
          <w:noProof/>
          <w:sz w:val="24"/>
          <w:szCs w:val="24"/>
        </w:rPr>
      </w:pPr>
    </w:p>
    <w:p w:rsidR="00D47BD7" w:rsidRDefault="00D47BD7" w:rsidP="000C34C4">
      <w:pPr>
        <w:spacing w:line="360" w:lineRule="auto"/>
        <w:jc w:val="both"/>
        <w:rPr>
          <w:rFonts w:ascii="Arial" w:hAnsi="Arial" w:cs="Arial"/>
          <w:noProof/>
          <w:sz w:val="24"/>
          <w:szCs w:val="24"/>
        </w:rPr>
      </w:pPr>
    </w:p>
    <w:p w:rsidR="00D47BD7" w:rsidRPr="000C34C4" w:rsidRDefault="00D47BD7" w:rsidP="000C34C4">
      <w:pPr>
        <w:spacing w:line="360" w:lineRule="auto"/>
        <w:jc w:val="both"/>
        <w:rPr>
          <w:rFonts w:ascii="Arial" w:hAnsi="Arial" w:cs="Arial"/>
          <w:noProof/>
          <w:sz w:val="24"/>
          <w:szCs w:val="24"/>
        </w:rPr>
      </w:pPr>
    </w:p>
    <w:p w:rsidR="0005587D" w:rsidRPr="00396B85" w:rsidRDefault="00D47BD7" w:rsidP="000C34C4">
      <w:pPr>
        <w:spacing w:line="360" w:lineRule="auto"/>
        <w:jc w:val="both"/>
        <w:rPr>
          <w:rFonts w:ascii="Arial" w:hAnsi="Arial" w:cs="Arial"/>
          <w:b/>
          <w:noProof/>
          <w:sz w:val="24"/>
          <w:szCs w:val="24"/>
        </w:rPr>
      </w:pPr>
      <w:r w:rsidRPr="00396B85">
        <w:rPr>
          <w:rFonts w:ascii="Arial" w:hAnsi="Arial" w:cs="Arial"/>
          <w:b/>
          <w:noProof/>
          <w:sz w:val="24"/>
          <w:szCs w:val="24"/>
        </w:rPr>
        <w:lastRenderedPageBreak/>
        <w:t>OBJETIVO DE LA UNIDAD DE APRENDIZAJE</w:t>
      </w:r>
    </w:p>
    <w:p w:rsidR="0005587D" w:rsidRPr="000C34C4" w:rsidRDefault="0005587D" w:rsidP="000C34C4">
      <w:pPr>
        <w:spacing w:line="360" w:lineRule="auto"/>
        <w:rPr>
          <w:rFonts w:ascii="Arial" w:hAnsi="Arial" w:cs="Arial"/>
          <w:noProof/>
          <w:sz w:val="24"/>
          <w:szCs w:val="24"/>
        </w:rPr>
      </w:pPr>
    </w:p>
    <w:p w:rsidR="0005587D" w:rsidRPr="000C34C4" w:rsidRDefault="00A51BB8" w:rsidP="000C34C4">
      <w:pPr>
        <w:spacing w:line="360" w:lineRule="auto"/>
        <w:jc w:val="center"/>
        <w:rPr>
          <w:rFonts w:ascii="Arial" w:hAnsi="Arial" w:cs="Arial"/>
          <w:noProof/>
          <w:sz w:val="24"/>
          <w:szCs w:val="24"/>
        </w:rPr>
      </w:pPr>
      <w:r w:rsidRPr="000C34C4">
        <w:rPr>
          <w:rFonts w:ascii="Arial" w:hAnsi="Arial" w:cs="Arial"/>
          <w:noProof/>
          <w:sz w:val="24"/>
          <w:szCs w:val="24"/>
        </w:rPr>
        <w:drawing>
          <wp:inline distT="0" distB="0" distL="0" distR="0" wp14:anchorId="686424B5" wp14:editId="4C4E9BFE">
            <wp:extent cx="5895975" cy="3299133"/>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18669" t="39373" r="20061" b="5774"/>
                    <a:stretch/>
                  </pic:blipFill>
                  <pic:spPr bwMode="auto">
                    <a:xfrm>
                      <a:off x="0" y="0"/>
                      <a:ext cx="5902329" cy="3302688"/>
                    </a:xfrm>
                    <a:prstGeom prst="rect">
                      <a:avLst/>
                    </a:prstGeom>
                    <a:ln>
                      <a:noFill/>
                    </a:ln>
                    <a:extLst>
                      <a:ext uri="{53640926-AAD7-44D8-BBD7-CCE9431645EC}">
                        <a14:shadowObscured xmlns:a14="http://schemas.microsoft.com/office/drawing/2010/main"/>
                      </a:ext>
                    </a:extLst>
                  </pic:spPr>
                </pic:pic>
              </a:graphicData>
            </a:graphic>
          </wp:inline>
        </w:drawing>
      </w:r>
    </w:p>
    <w:p w:rsidR="0005587D" w:rsidRPr="000C34C4" w:rsidRDefault="0005587D" w:rsidP="000C34C4">
      <w:pPr>
        <w:spacing w:line="360" w:lineRule="auto"/>
        <w:rPr>
          <w:rFonts w:ascii="Arial" w:hAnsi="Arial" w:cs="Arial"/>
          <w:sz w:val="24"/>
          <w:szCs w:val="24"/>
        </w:rPr>
      </w:pPr>
    </w:p>
    <w:p w:rsidR="0005587D" w:rsidRPr="00396B85" w:rsidRDefault="008924BB" w:rsidP="000C34C4">
      <w:pPr>
        <w:spacing w:line="360" w:lineRule="auto"/>
        <w:rPr>
          <w:rFonts w:ascii="Arial" w:hAnsi="Arial" w:cs="Arial"/>
          <w:b/>
          <w:sz w:val="24"/>
          <w:szCs w:val="24"/>
        </w:rPr>
      </w:pPr>
      <w:r>
        <w:rPr>
          <w:rFonts w:ascii="Arial" w:hAnsi="Arial" w:cs="Arial"/>
          <w:b/>
          <w:sz w:val="24"/>
          <w:szCs w:val="24"/>
        </w:rPr>
        <w:t>CON</w:t>
      </w:r>
      <w:r w:rsidR="004A026F">
        <w:rPr>
          <w:rFonts w:ascii="Arial" w:hAnsi="Arial" w:cs="Arial"/>
          <w:b/>
          <w:sz w:val="24"/>
          <w:szCs w:val="24"/>
        </w:rPr>
        <w:t xml:space="preserve">TENIDO DEL </w:t>
      </w:r>
      <w:bookmarkStart w:id="0" w:name="_GoBack"/>
      <w:bookmarkEnd w:id="0"/>
      <w:r>
        <w:rPr>
          <w:rFonts w:ascii="Arial" w:hAnsi="Arial" w:cs="Arial"/>
          <w:b/>
          <w:sz w:val="24"/>
          <w:szCs w:val="24"/>
        </w:rPr>
        <w:t>CURSO</w:t>
      </w:r>
    </w:p>
    <w:p w:rsidR="0005587D" w:rsidRPr="000C34C4" w:rsidRDefault="0005587D" w:rsidP="000C34C4">
      <w:pPr>
        <w:spacing w:line="360" w:lineRule="auto"/>
        <w:jc w:val="center"/>
        <w:rPr>
          <w:rFonts w:ascii="Arial" w:hAnsi="Arial" w:cs="Arial"/>
          <w:sz w:val="24"/>
          <w:szCs w:val="24"/>
        </w:rPr>
      </w:pPr>
      <w:r w:rsidRPr="000C34C4">
        <w:rPr>
          <w:rFonts w:ascii="Arial" w:hAnsi="Arial" w:cs="Arial"/>
          <w:noProof/>
          <w:sz w:val="24"/>
          <w:szCs w:val="24"/>
        </w:rPr>
        <w:drawing>
          <wp:inline distT="0" distB="0" distL="0" distR="0" wp14:anchorId="7A912BA5" wp14:editId="6592C645">
            <wp:extent cx="6629650" cy="300037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9514" t="29926" r="21695" b="27505"/>
                    <a:stretch/>
                  </pic:blipFill>
                  <pic:spPr bwMode="auto">
                    <a:xfrm>
                      <a:off x="0" y="0"/>
                      <a:ext cx="6641994" cy="3005962"/>
                    </a:xfrm>
                    <a:prstGeom prst="rect">
                      <a:avLst/>
                    </a:prstGeom>
                    <a:ln>
                      <a:noFill/>
                    </a:ln>
                    <a:extLst>
                      <a:ext uri="{53640926-AAD7-44D8-BBD7-CCE9431645EC}">
                        <a14:shadowObscured xmlns:a14="http://schemas.microsoft.com/office/drawing/2010/main"/>
                      </a:ext>
                    </a:extLst>
                  </pic:spPr>
                </pic:pic>
              </a:graphicData>
            </a:graphic>
          </wp:inline>
        </w:drawing>
      </w:r>
    </w:p>
    <w:p w:rsidR="0005587D" w:rsidRPr="00396B85" w:rsidRDefault="00D47BD7" w:rsidP="000C34C4">
      <w:pPr>
        <w:spacing w:line="360" w:lineRule="auto"/>
        <w:rPr>
          <w:rFonts w:ascii="Arial" w:hAnsi="Arial" w:cs="Arial"/>
          <w:b/>
          <w:sz w:val="24"/>
          <w:szCs w:val="24"/>
        </w:rPr>
      </w:pPr>
      <w:r w:rsidRPr="00396B85">
        <w:rPr>
          <w:rFonts w:ascii="Arial" w:hAnsi="Arial" w:cs="Arial"/>
          <w:b/>
          <w:sz w:val="24"/>
          <w:szCs w:val="24"/>
        </w:rPr>
        <w:lastRenderedPageBreak/>
        <w:t>MANEJO DEL MATERIAL</w:t>
      </w:r>
    </w:p>
    <w:p w:rsidR="00D47BD7" w:rsidRDefault="00D47BD7" w:rsidP="000C34C4">
      <w:pPr>
        <w:spacing w:line="360" w:lineRule="auto"/>
        <w:rPr>
          <w:rFonts w:ascii="Arial" w:hAnsi="Arial" w:cs="Arial"/>
          <w:sz w:val="24"/>
          <w:szCs w:val="24"/>
        </w:rPr>
      </w:pPr>
      <w:r>
        <w:rPr>
          <w:rFonts w:ascii="Arial" w:hAnsi="Arial" w:cs="Arial"/>
          <w:sz w:val="24"/>
          <w:szCs w:val="24"/>
        </w:rPr>
        <w:t xml:space="preserve">El presente material didáctico, presentaciones </w:t>
      </w:r>
      <w:proofErr w:type="spellStart"/>
      <w:r>
        <w:rPr>
          <w:rFonts w:ascii="Arial" w:hAnsi="Arial" w:cs="Arial"/>
          <w:sz w:val="24"/>
          <w:szCs w:val="24"/>
        </w:rPr>
        <w:t>proyectables</w:t>
      </w:r>
      <w:proofErr w:type="spellEnd"/>
      <w:r>
        <w:rPr>
          <w:rFonts w:ascii="Arial" w:hAnsi="Arial" w:cs="Arial"/>
          <w:sz w:val="24"/>
          <w:szCs w:val="24"/>
        </w:rPr>
        <w:t>, es sobre Desarrollo Sustentable.  Este tema se incluye en el programa de la Unidad de Aprendizaje de Ética para el Desarrollo Sustentable, en el programa de Ingeniería en Sistemas Energéticos sustentables, en la segunda unidad.</w:t>
      </w:r>
    </w:p>
    <w:p w:rsidR="00D47BD7" w:rsidRDefault="00D47BD7" w:rsidP="000C34C4">
      <w:pPr>
        <w:spacing w:line="360" w:lineRule="auto"/>
        <w:rPr>
          <w:rFonts w:ascii="Arial" w:hAnsi="Arial" w:cs="Arial"/>
          <w:sz w:val="24"/>
          <w:szCs w:val="24"/>
        </w:rPr>
      </w:pPr>
      <w:r>
        <w:rPr>
          <w:rFonts w:ascii="Arial" w:hAnsi="Arial" w:cs="Arial"/>
          <w:sz w:val="24"/>
          <w:szCs w:val="24"/>
        </w:rPr>
        <w:t>El material comienza con el concepto de Desarrollo Sustentable y termina con el análisis de los tres aspectos dela sustentabilidad: económico, social y ecológico.</w:t>
      </w:r>
    </w:p>
    <w:p w:rsidR="00D47BD7" w:rsidRDefault="00D47BD7" w:rsidP="000C34C4">
      <w:pPr>
        <w:spacing w:line="360" w:lineRule="auto"/>
        <w:rPr>
          <w:rFonts w:ascii="Arial" w:hAnsi="Arial" w:cs="Arial"/>
          <w:sz w:val="24"/>
          <w:szCs w:val="24"/>
        </w:rPr>
      </w:pPr>
      <w:r>
        <w:rPr>
          <w:rFonts w:ascii="Arial" w:hAnsi="Arial" w:cs="Arial"/>
          <w:sz w:val="24"/>
          <w:szCs w:val="24"/>
        </w:rPr>
        <w:t>Para su mejor visualización se divide en los siguientes temas:</w:t>
      </w:r>
    </w:p>
    <w:p w:rsidR="00D47BD7" w:rsidRDefault="002D0332" w:rsidP="000C34C4">
      <w:pPr>
        <w:spacing w:line="360" w:lineRule="auto"/>
        <w:rPr>
          <w:rFonts w:ascii="Arial" w:hAnsi="Arial" w:cs="Arial"/>
          <w:sz w:val="24"/>
          <w:szCs w:val="24"/>
        </w:rPr>
      </w:pPr>
      <w:r>
        <w:rPr>
          <w:rFonts w:ascii="Arial" w:hAnsi="Arial" w:cs="Arial"/>
          <w:sz w:val="24"/>
          <w:szCs w:val="24"/>
        </w:rPr>
        <w:t>2.1 Concepto de Desarrollo Sustentable</w:t>
      </w:r>
    </w:p>
    <w:p w:rsidR="002D0332" w:rsidRDefault="002D0332" w:rsidP="000C34C4">
      <w:pPr>
        <w:spacing w:line="360" w:lineRule="auto"/>
        <w:rPr>
          <w:rFonts w:ascii="Arial" w:hAnsi="Arial" w:cs="Arial"/>
          <w:sz w:val="24"/>
          <w:szCs w:val="24"/>
        </w:rPr>
      </w:pPr>
      <w:r>
        <w:rPr>
          <w:rFonts w:ascii="Arial" w:hAnsi="Arial" w:cs="Arial"/>
          <w:sz w:val="24"/>
          <w:szCs w:val="24"/>
        </w:rPr>
        <w:t>2.2 Reglas básicas para un Desarrollo Sustentable</w:t>
      </w:r>
    </w:p>
    <w:p w:rsidR="002D0332" w:rsidRDefault="002D0332" w:rsidP="000C34C4">
      <w:pPr>
        <w:spacing w:line="360" w:lineRule="auto"/>
        <w:rPr>
          <w:rFonts w:ascii="Arial" w:hAnsi="Arial" w:cs="Arial"/>
          <w:sz w:val="24"/>
          <w:szCs w:val="24"/>
        </w:rPr>
      </w:pPr>
      <w:r>
        <w:rPr>
          <w:rFonts w:ascii="Arial" w:hAnsi="Arial" w:cs="Arial"/>
          <w:sz w:val="24"/>
          <w:szCs w:val="24"/>
        </w:rPr>
        <w:t>2.3 Bienestar social, medio ambiente y bonanza económica</w:t>
      </w:r>
    </w:p>
    <w:p w:rsidR="002D0332" w:rsidRDefault="002D0332" w:rsidP="000C34C4">
      <w:pPr>
        <w:spacing w:line="360" w:lineRule="auto"/>
        <w:rPr>
          <w:rFonts w:ascii="Arial" w:hAnsi="Arial" w:cs="Arial"/>
          <w:sz w:val="24"/>
          <w:szCs w:val="24"/>
        </w:rPr>
      </w:pPr>
      <w:r>
        <w:rPr>
          <w:rFonts w:ascii="Arial" w:hAnsi="Arial" w:cs="Arial"/>
          <w:sz w:val="24"/>
          <w:szCs w:val="24"/>
        </w:rPr>
        <w:t>2.4 Decrecimiento</w:t>
      </w:r>
    </w:p>
    <w:p w:rsidR="002D0332" w:rsidRDefault="002D0332" w:rsidP="000C34C4">
      <w:pPr>
        <w:spacing w:line="360" w:lineRule="auto"/>
        <w:rPr>
          <w:rFonts w:ascii="Arial" w:hAnsi="Arial" w:cs="Arial"/>
          <w:sz w:val="24"/>
          <w:szCs w:val="24"/>
        </w:rPr>
      </w:pPr>
      <w:r>
        <w:rPr>
          <w:rFonts w:ascii="Arial" w:hAnsi="Arial" w:cs="Arial"/>
          <w:sz w:val="24"/>
          <w:szCs w:val="24"/>
        </w:rPr>
        <w:t>2.5 Sustentabilidad</w:t>
      </w:r>
    </w:p>
    <w:p w:rsidR="002D0332" w:rsidRDefault="002D0332" w:rsidP="000C34C4">
      <w:pPr>
        <w:spacing w:line="360" w:lineRule="auto"/>
        <w:rPr>
          <w:rFonts w:ascii="Arial" w:hAnsi="Arial" w:cs="Arial"/>
          <w:sz w:val="24"/>
          <w:szCs w:val="24"/>
        </w:rPr>
      </w:pPr>
      <w:r>
        <w:rPr>
          <w:rFonts w:ascii="Arial" w:hAnsi="Arial" w:cs="Arial"/>
          <w:sz w:val="24"/>
          <w:szCs w:val="24"/>
        </w:rPr>
        <w:tab/>
        <w:t>2.5.1 Aspecto económico</w:t>
      </w:r>
    </w:p>
    <w:p w:rsidR="002D0332" w:rsidRDefault="002D0332" w:rsidP="000C34C4">
      <w:pPr>
        <w:spacing w:line="360" w:lineRule="auto"/>
        <w:rPr>
          <w:rFonts w:ascii="Arial" w:hAnsi="Arial" w:cs="Arial"/>
          <w:sz w:val="24"/>
          <w:szCs w:val="24"/>
        </w:rPr>
      </w:pPr>
      <w:r>
        <w:rPr>
          <w:rFonts w:ascii="Arial" w:hAnsi="Arial" w:cs="Arial"/>
          <w:sz w:val="24"/>
          <w:szCs w:val="24"/>
        </w:rPr>
        <w:tab/>
        <w:t>2.5.2 Aspecto social</w:t>
      </w:r>
    </w:p>
    <w:p w:rsidR="002D0332" w:rsidRDefault="002D0332" w:rsidP="000C34C4">
      <w:pPr>
        <w:spacing w:line="360" w:lineRule="auto"/>
        <w:rPr>
          <w:rFonts w:ascii="Arial" w:hAnsi="Arial" w:cs="Arial"/>
          <w:sz w:val="24"/>
          <w:szCs w:val="24"/>
        </w:rPr>
      </w:pPr>
      <w:r>
        <w:rPr>
          <w:rFonts w:ascii="Arial" w:hAnsi="Arial" w:cs="Arial"/>
          <w:sz w:val="24"/>
          <w:szCs w:val="24"/>
        </w:rPr>
        <w:tab/>
        <w:t>2.5.3 Aspecto ambiental</w:t>
      </w:r>
    </w:p>
    <w:p w:rsidR="002D0332" w:rsidRDefault="002D0332" w:rsidP="000C34C4">
      <w:pPr>
        <w:spacing w:line="360" w:lineRule="auto"/>
        <w:rPr>
          <w:rFonts w:ascii="Arial" w:hAnsi="Arial" w:cs="Arial"/>
          <w:sz w:val="24"/>
          <w:szCs w:val="24"/>
        </w:rPr>
      </w:pPr>
      <w:r>
        <w:rPr>
          <w:rFonts w:ascii="Arial" w:hAnsi="Arial" w:cs="Arial"/>
          <w:sz w:val="24"/>
          <w:szCs w:val="24"/>
        </w:rPr>
        <w:t>2.6 Conclusiones</w:t>
      </w:r>
    </w:p>
    <w:p w:rsidR="0005587D" w:rsidRPr="000C34C4" w:rsidRDefault="0005587D" w:rsidP="000C34C4">
      <w:pPr>
        <w:spacing w:line="360" w:lineRule="auto"/>
        <w:rPr>
          <w:rFonts w:ascii="Arial" w:hAnsi="Arial" w:cs="Arial"/>
          <w:sz w:val="24"/>
          <w:szCs w:val="24"/>
        </w:rPr>
      </w:pPr>
    </w:p>
    <w:p w:rsidR="0005587D" w:rsidRPr="00396B85" w:rsidRDefault="00396B85" w:rsidP="000C34C4">
      <w:pPr>
        <w:spacing w:line="360" w:lineRule="auto"/>
        <w:rPr>
          <w:rFonts w:ascii="Arial" w:hAnsi="Arial" w:cs="Arial"/>
          <w:b/>
          <w:sz w:val="24"/>
          <w:szCs w:val="24"/>
        </w:rPr>
      </w:pPr>
      <w:r w:rsidRPr="00396B85">
        <w:rPr>
          <w:rFonts w:ascii="Arial" w:hAnsi="Arial" w:cs="Arial"/>
          <w:b/>
          <w:sz w:val="24"/>
          <w:szCs w:val="24"/>
        </w:rPr>
        <w:t>BIBLIOGRAFÍA</w:t>
      </w:r>
    </w:p>
    <w:p w:rsidR="00396B85" w:rsidRPr="00396B85" w:rsidRDefault="00396B85" w:rsidP="00396B85">
      <w:pPr>
        <w:spacing w:line="360" w:lineRule="auto"/>
        <w:rPr>
          <w:rFonts w:ascii="Arial" w:hAnsi="Arial" w:cs="Arial"/>
          <w:sz w:val="24"/>
          <w:szCs w:val="24"/>
        </w:rPr>
      </w:pPr>
      <w:r w:rsidRPr="00396B85">
        <w:rPr>
          <w:rFonts w:ascii="Arial" w:hAnsi="Arial" w:cs="Arial"/>
          <w:sz w:val="24"/>
          <w:szCs w:val="24"/>
        </w:rPr>
        <w:t>Herman, D. (2008), Desarrollo sustentable, definiciones principios y políticas. Argentina: Instituto Nacional de Tecnología Industrial.</w:t>
      </w:r>
    </w:p>
    <w:p w:rsidR="00396B85" w:rsidRPr="00396B85" w:rsidRDefault="00396B85" w:rsidP="00396B85">
      <w:pPr>
        <w:spacing w:line="360" w:lineRule="auto"/>
        <w:rPr>
          <w:rFonts w:ascii="Arial" w:hAnsi="Arial" w:cs="Arial"/>
          <w:sz w:val="24"/>
          <w:szCs w:val="24"/>
        </w:rPr>
      </w:pPr>
      <w:proofErr w:type="spellStart"/>
      <w:r w:rsidRPr="00396B85">
        <w:rPr>
          <w:rFonts w:ascii="Arial" w:hAnsi="Arial" w:cs="Arial"/>
          <w:sz w:val="24"/>
          <w:szCs w:val="24"/>
        </w:rPr>
        <w:t>Kliksberg</w:t>
      </w:r>
      <w:proofErr w:type="spellEnd"/>
      <w:r w:rsidRPr="00396B85">
        <w:rPr>
          <w:rFonts w:ascii="Arial" w:hAnsi="Arial" w:cs="Arial"/>
          <w:sz w:val="24"/>
          <w:szCs w:val="24"/>
        </w:rPr>
        <w:t xml:space="preserve"> B. (2002). Ética y desarrollo, la relación marginada. Buenos Aires, Argentina: El Ateneo y BID.</w:t>
      </w:r>
    </w:p>
    <w:p w:rsidR="00396B85" w:rsidRPr="00396B85" w:rsidRDefault="00396B85" w:rsidP="00396B85">
      <w:pPr>
        <w:spacing w:line="360" w:lineRule="auto"/>
        <w:rPr>
          <w:rFonts w:ascii="Arial" w:hAnsi="Arial" w:cs="Arial"/>
          <w:sz w:val="24"/>
          <w:szCs w:val="24"/>
        </w:rPr>
      </w:pPr>
      <w:proofErr w:type="spellStart"/>
      <w:r w:rsidRPr="00396B85">
        <w:rPr>
          <w:rFonts w:ascii="Arial" w:hAnsi="Arial" w:cs="Arial"/>
          <w:sz w:val="24"/>
          <w:szCs w:val="24"/>
        </w:rPr>
        <w:t>Vallaeys</w:t>
      </w:r>
      <w:proofErr w:type="spellEnd"/>
      <w:r w:rsidRPr="00396B85">
        <w:rPr>
          <w:rFonts w:ascii="Arial" w:hAnsi="Arial" w:cs="Arial"/>
          <w:sz w:val="24"/>
          <w:szCs w:val="24"/>
        </w:rPr>
        <w:t xml:space="preserve"> F. (2009). Responsabilidad Social Universitaria, manual de primeros pasos. México: Mc Graw-Hill Interamericana. </w:t>
      </w:r>
    </w:p>
    <w:p w:rsidR="00396B85" w:rsidRPr="00396B85" w:rsidRDefault="00396B85" w:rsidP="00396B85">
      <w:pPr>
        <w:spacing w:line="360" w:lineRule="auto"/>
        <w:rPr>
          <w:rFonts w:ascii="Arial" w:hAnsi="Arial" w:cs="Arial"/>
          <w:sz w:val="24"/>
          <w:szCs w:val="24"/>
        </w:rPr>
      </w:pPr>
      <w:r w:rsidRPr="00396B85">
        <w:rPr>
          <w:rFonts w:ascii="Arial" w:hAnsi="Arial" w:cs="Arial"/>
          <w:sz w:val="24"/>
          <w:szCs w:val="24"/>
        </w:rPr>
        <w:lastRenderedPageBreak/>
        <w:t>Villavicencio, M. (2011). Desarrollo sustentable en el contex</w:t>
      </w:r>
      <w:r>
        <w:rPr>
          <w:rFonts w:ascii="Arial" w:hAnsi="Arial" w:cs="Arial"/>
          <w:sz w:val="24"/>
          <w:szCs w:val="24"/>
        </w:rPr>
        <w:t>to actual, Edición electrónica.</w:t>
      </w:r>
    </w:p>
    <w:p w:rsidR="00396B85" w:rsidRPr="000C34C4" w:rsidRDefault="00396B85" w:rsidP="00396B85">
      <w:pPr>
        <w:spacing w:line="360" w:lineRule="auto"/>
        <w:rPr>
          <w:rFonts w:ascii="Arial" w:hAnsi="Arial" w:cs="Arial"/>
          <w:sz w:val="24"/>
          <w:szCs w:val="24"/>
        </w:rPr>
      </w:pPr>
      <w:r w:rsidRPr="00396B85">
        <w:rPr>
          <w:rFonts w:ascii="Arial" w:hAnsi="Arial" w:cs="Arial"/>
          <w:sz w:val="24"/>
          <w:szCs w:val="24"/>
        </w:rPr>
        <w:t>Villoro, L. (2000) Los linderos de la ética, México: Siglo XXI.</w:t>
      </w:r>
    </w:p>
    <w:p w:rsidR="0005587D" w:rsidRDefault="0005587D" w:rsidP="000C34C4">
      <w:pPr>
        <w:spacing w:line="360" w:lineRule="auto"/>
        <w:rPr>
          <w:rFonts w:ascii="Arial" w:hAnsi="Arial" w:cs="Arial"/>
        </w:rPr>
      </w:pPr>
    </w:p>
    <w:p w:rsidR="00396B85" w:rsidRDefault="00396B85" w:rsidP="000C34C4">
      <w:pPr>
        <w:spacing w:line="360" w:lineRule="auto"/>
        <w:rPr>
          <w:rFonts w:ascii="Arial" w:hAnsi="Arial" w:cs="Arial"/>
          <w:b/>
        </w:rPr>
      </w:pPr>
      <w:r>
        <w:rPr>
          <w:rFonts w:ascii="Arial" w:hAnsi="Arial" w:cs="Arial"/>
          <w:b/>
        </w:rPr>
        <w:t>REFERENCIA DE LAS IMÁGENES</w:t>
      </w:r>
    </w:p>
    <w:p w:rsidR="00396B85" w:rsidRPr="00396B85" w:rsidRDefault="00396B85" w:rsidP="00396B85">
      <w:pPr>
        <w:spacing w:line="360" w:lineRule="auto"/>
        <w:rPr>
          <w:rFonts w:ascii="Arial" w:hAnsi="Arial" w:cs="Arial"/>
        </w:rPr>
      </w:pPr>
      <w:r w:rsidRPr="00396B85">
        <w:rPr>
          <w:rFonts w:ascii="Arial" w:hAnsi="Arial" w:cs="Arial"/>
        </w:rPr>
        <w:t>http://blog.tecnoceano.com/?p=63</w:t>
      </w:r>
    </w:p>
    <w:p w:rsidR="00396B85" w:rsidRPr="00396B85" w:rsidRDefault="00396B85" w:rsidP="00396B85">
      <w:pPr>
        <w:spacing w:line="360" w:lineRule="auto"/>
        <w:rPr>
          <w:rFonts w:ascii="Arial" w:hAnsi="Arial" w:cs="Arial"/>
        </w:rPr>
      </w:pPr>
      <w:r w:rsidRPr="00396B85">
        <w:rPr>
          <w:rFonts w:ascii="Arial" w:hAnsi="Arial" w:cs="Arial"/>
        </w:rPr>
        <w:t>http://www.fhycs.unam.edu.ar/portada/category/diplomatura-en-desarrollo-sustentable/</w:t>
      </w:r>
    </w:p>
    <w:p w:rsidR="00396B85" w:rsidRPr="00396B85" w:rsidRDefault="00396B85" w:rsidP="00396B85">
      <w:pPr>
        <w:spacing w:line="360" w:lineRule="auto"/>
        <w:rPr>
          <w:rFonts w:ascii="Arial" w:hAnsi="Arial" w:cs="Arial"/>
        </w:rPr>
      </w:pPr>
      <w:r w:rsidRPr="00396B85">
        <w:rPr>
          <w:rFonts w:ascii="Arial" w:hAnsi="Arial" w:cs="Arial"/>
        </w:rPr>
        <w:t>https://www.gestion.org/rsc/49175/que-es-el-desarrollo-sustentable/</w:t>
      </w:r>
    </w:p>
    <w:p w:rsidR="00396B85" w:rsidRPr="00396B85" w:rsidRDefault="00396B85" w:rsidP="00396B85">
      <w:pPr>
        <w:spacing w:line="360" w:lineRule="auto"/>
        <w:rPr>
          <w:rFonts w:ascii="Arial" w:hAnsi="Arial" w:cs="Arial"/>
        </w:rPr>
      </w:pPr>
      <w:r w:rsidRPr="00396B85">
        <w:rPr>
          <w:rFonts w:ascii="Arial" w:hAnsi="Arial" w:cs="Arial"/>
        </w:rPr>
        <w:t>http://www.periodicodelbiencomun.com/propuestas-proyectos/el-decrecimiento-la-revolucion-del-ser-frente-al-tener/</w:t>
      </w:r>
    </w:p>
    <w:p w:rsidR="00396B85" w:rsidRPr="00396B85" w:rsidRDefault="00396B85" w:rsidP="00396B85">
      <w:pPr>
        <w:spacing w:line="360" w:lineRule="auto"/>
        <w:rPr>
          <w:rFonts w:ascii="Arial" w:hAnsi="Arial" w:cs="Arial"/>
        </w:rPr>
      </w:pPr>
      <w:r w:rsidRPr="00396B85">
        <w:rPr>
          <w:rFonts w:ascii="Arial" w:hAnsi="Arial" w:cs="Arial"/>
        </w:rPr>
        <w:t>http://www.rojoynegro.info/valladolid-2%C2%BA-picnic-el-decrecimiento</w:t>
      </w:r>
    </w:p>
    <w:p w:rsidR="00396B85" w:rsidRPr="00396B85" w:rsidRDefault="00396B85" w:rsidP="00396B85">
      <w:pPr>
        <w:spacing w:line="360" w:lineRule="auto"/>
        <w:rPr>
          <w:rFonts w:ascii="Arial" w:hAnsi="Arial" w:cs="Arial"/>
        </w:rPr>
      </w:pPr>
      <w:hyperlink r:id="rId9" w:history="1">
        <w:r w:rsidRPr="00396B85">
          <w:rPr>
            <w:rStyle w:val="Hipervnculo"/>
            <w:rFonts w:ascii="Arial" w:hAnsi="Arial" w:cs="Arial"/>
          </w:rPr>
          <w:t>http://www.davidhammerstein.com/article-7269291.html</w:t>
        </w:r>
      </w:hyperlink>
    </w:p>
    <w:p w:rsidR="00396B85" w:rsidRPr="00396B85" w:rsidRDefault="00396B85" w:rsidP="00396B85">
      <w:pPr>
        <w:spacing w:line="360" w:lineRule="auto"/>
        <w:rPr>
          <w:rFonts w:ascii="Arial" w:hAnsi="Arial" w:cs="Arial"/>
        </w:rPr>
      </w:pPr>
      <w:r w:rsidRPr="00396B85">
        <w:rPr>
          <w:rFonts w:ascii="Arial" w:hAnsi="Arial" w:cs="Arial"/>
        </w:rPr>
        <w:t>https://www.emaze.com/@AIWITROO</w:t>
      </w:r>
    </w:p>
    <w:p w:rsidR="00396B85" w:rsidRPr="00396B85" w:rsidRDefault="00396B85" w:rsidP="00396B85">
      <w:pPr>
        <w:spacing w:line="360" w:lineRule="auto"/>
        <w:rPr>
          <w:rFonts w:ascii="Arial" w:hAnsi="Arial" w:cs="Arial"/>
        </w:rPr>
      </w:pPr>
      <w:r w:rsidRPr="00396B85">
        <w:rPr>
          <w:rFonts w:ascii="Arial" w:hAnsi="Arial" w:cs="Arial"/>
        </w:rPr>
        <w:t>http://recursosnarurales.blogspot.mx/p/blog-pa</w:t>
      </w:r>
    </w:p>
    <w:p w:rsidR="00396B85" w:rsidRPr="00396B85" w:rsidRDefault="00396B85" w:rsidP="00396B85">
      <w:pPr>
        <w:spacing w:line="360" w:lineRule="auto"/>
        <w:rPr>
          <w:rFonts w:ascii="Arial" w:hAnsi="Arial" w:cs="Arial"/>
        </w:rPr>
      </w:pPr>
      <w:r w:rsidRPr="00396B85">
        <w:rPr>
          <w:rFonts w:ascii="Arial" w:hAnsi="Arial" w:cs="Arial"/>
        </w:rPr>
        <w:t>ge_16.html</w:t>
      </w:r>
    </w:p>
    <w:p w:rsidR="00396B85" w:rsidRPr="00396B85" w:rsidRDefault="00396B85" w:rsidP="00396B85">
      <w:pPr>
        <w:spacing w:line="360" w:lineRule="auto"/>
        <w:rPr>
          <w:rFonts w:ascii="Arial" w:hAnsi="Arial" w:cs="Arial"/>
        </w:rPr>
      </w:pPr>
      <w:r w:rsidRPr="00396B85">
        <w:rPr>
          <w:rFonts w:ascii="Arial" w:hAnsi="Arial" w:cs="Arial"/>
        </w:rPr>
        <w:t>https://www.vix.com/es/btg/curiosidades/4062/por-que-los-minerales-son-recursos-naturales-no-renovables</w:t>
      </w:r>
    </w:p>
    <w:p w:rsidR="00396B85" w:rsidRPr="00396B85" w:rsidRDefault="00396B85" w:rsidP="00396B85">
      <w:pPr>
        <w:spacing w:line="360" w:lineRule="auto"/>
        <w:rPr>
          <w:rFonts w:ascii="Arial" w:hAnsi="Arial" w:cs="Arial"/>
        </w:rPr>
      </w:pPr>
      <w:r w:rsidRPr="00396B85">
        <w:rPr>
          <w:rFonts w:ascii="Arial" w:hAnsi="Arial" w:cs="Arial"/>
        </w:rPr>
        <w:t>http://hsbnoticias.com/noticias/ciencia/ecolog%C3%ADa/los-10-mandamientos-de-la-sostenibilidad-ambiental-213638</w:t>
      </w:r>
    </w:p>
    <w:p w:rsidR="00396B85" w:rsidRPr="00396B85" w:rsidRDefault="00396B85" w:rsidP="00396B85">
      <w:pPr>
        <w:spacing w:line="360" w:lineRule="auto"/>
        <w:rPr>
          <w:rFonts w:ascii="Arial" w:hAnsi="Arial" w:cs="Arial"/>
        </w:rPr>
      </w:pPr>
      <w:r w:rsidRPr="00396B85">
        <w:rPr>
          <w:rFonts w:ascii="Arial" w:hAnsi="Arial" w:cs="Arial"/>
        </w:rPr>
        <w:t>http://www.un.org/sustainabledevelopment/es/</w:t>
      </w:r>
    </w:p>
    <w:p w:rsidR="00396B85" w:rsidRPr="00396B85" w:rsidRDefault="00396B85" w:rsidP="00396B85">
      <w:pPr>
        <w:spacing w:line="360" w:lineRule="auto"/>
        <w:rPr>
          <w:rFonts w:ascii="Arial" w:hAnsi="Arial" w:cs="Arial"/>
        </w:rPr>
      </w:pPr>
      <w:r w:rsidRPr="00396B85">
        <w:rPr>
          <w:rFonts w:ascii="Arial" w:hAnsi="Arial" w:cs="Arial"/>
        </w:rPr>
        <w:t>http://www.unfpa.org/es/sdg</w:t>
      </w:r>
    </w:p>
    <w:p w:rsidR="00396B85" w:rsidRPr="00396B85" w:rsidRDefault="00396B85" w:rsidP="00396B85">
      <w:pPr>
        <w:spacing w:line="360" w:lineRule="auto"/>
        <w:rPr>
          <w:rFonts w:ascii="Arial" w:hAnsi="Arial" w:cs="Arial"/>
          <w:b/>
        </w:rPr>
      </w:pPr>
    </w:p>
    <w:p w:rsidR="00396B85" w:rsidRPr="00396B85" w:rsidRDefault="00396B85" w:rsidP="00396B85">
      <w:pPr>
        <w:spacing w:line="360" w:lineRule="auto"/>
        <w:rPr>
          <w:rFonts w:ascii="Arial" w:hAnsi="Arial" w:cs="Arial"/>
          <w:b/>
        </w:rPr>
      </w:pPr>
    </w:p>
    <w:sectPr w:rsidR="00396B85" w:rsidRPr="00396B8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587D"/>
    <w:rsid w:val="0005587D"/>
    <w:rsid w:val="000C34C4"/>
    <w:rsid w:val="000D3A27"/>
    <w:rsid w:val="00227536"/>
    <w:rsid w:val="002D0332"/>
    <w:rsid w:val="003602ED"/>
    <w:rsid w:val="00396B85"/>
    <w:rsid w:val="004A026F"/>
    <w:rsid w:val="00546836"/>
    <w:rsid w:val="007F5FFF"/>
    <w:rsid w:val="008924BB"/>
    <w:rsid w:val="00981617"/>
    <w:rsid w:val="00A51BB8"/>
    <w:rsid w:val="00D47BD7"/>
    <w:rsid w:val="00FD06D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7581DB"/>
  <w15:chartTrackingRefBased/>
  <w15:docId w15:val="{4A0E748A-E953-418C-8099-77B4EAC82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396B85"/>
    <w:rPr>
      <w:color w:val="0563C1" w:themeColor="hyperlink"/>
      <w:u w:val="single"/>
    </w:rPr>
  </w:style>
  <w:style w:type="character" w:styleId="Mencionar">
    <w:name w:val="Mention"/>
    <w:basedOn w:val="Fuentedeprrafopredeter"/>
    <w:uiPriority w:val="99"/>
    <w:semiHidden/>
    <w:unhideWhenUsed/>
    <w:rsid w:val="00396B85"/>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davidhammerstein.com/article-7269291.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CEB9D9-130F-4321-A9E2-038DB6AFC4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Pages>
  <Words>648</Words>
  <Characters>3570</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ROSA QUINTANA GUERRA</dc:creator>
  <cp:keywords/>
  <dc:description/>
  <cp:lastModifiedBy>MARIA  ROSA QUINTANA GUERRA</cp:lastModifiedBy>
  <cp:revision>9</cp:revision>
  <dcterms:created xsi:type="dcterms:W3CDTF">2017-09-28T12:46:00Z</dcterms:created>
  <dcterms:modified xsi:type="dcterms:W3CDTF">2017-09-28T23:11:00Z</dcterms:modified>
</cp:coreProperties>
</file>