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37BD" w:rsidRDefault="000537BD" w:rsidP="008F3B53">
      <w:pPr>
        <w:spacing w:line="360" w:lineRule="auto"/>
        <w:jc w:val="center"/>
        <w:rPr>
          <w:rFonts w:ascii="Arial" w:hAnsi="Arial" w:cs="Arial"/>
          <w:b/>
          <w:sz w:val="24"/>
          <w:szCs w:val="24"/>
        </w:rPr>
      </w:pPr>
      <w:r w:rsidRPr="00661CE2">
        <w:rPr>
          <w:rFonts w:ascii="Arial" w:hAnsi="Arial" w:cs="Arial"/>
          <w:b/>
          <w:sz w:val="24"/>
          <w:szCs w:val="24"/>
        </w:rPr>
        <w:t>Revisión sistemática sobre los conocimientos, la percepción y las actitudes de los profesionales de la salud en farmacovigilancia</w:t>
      </w:r>
    </w:p>
    <w:p w:rsidR="000537BD" w:rsidRDefault="000537BD" w:rsidP="008F3B53">
      <w:pPr>
        <w:spacing w:line="360" w:lineRule="auto"/>
        <w:jc w:val="center"/>
        <w:rPr>
          <w:rFonts w:ascii="Arial" w:hAnsi="Arial" w:cs="Arial"/>
          <w:b/>
          <w:sz w:val="24"/>
          <w:szCs w:val="24"/>
        </w:rPr>
      </w:pPr>
    </w:p>
    <w:p w:rsidR="000537BD" w:rsidRPr="008F3B53" w:rsidRDefault="008F3B53" w:rsidP="008F3B53">
      <w:pPr>
        <w:spacing w:line="360" w:lineRule="auto"/>
        <w:jc w:val="center"/>
        <w:rPr>
          <w:rFonts w:ascii="Arial" w:hAnsi="Arial" w:cs="Arial"/>
          <w:b/>
          <w:sz w:val="24"/>
          <w:szCs w:val="24"/>
          <w:lang w:val="en-CA"/>
        </w:rPr>
      </w:pPr>
      <w:r>
        <w:rPr>
          <w:rFonts w:ascii="Arial" w:hAnsi="Arial" w:cs="Arial"/>
          <w:b/>
          <w:sz w:val="24"/>
          <w:szCs w:val="24"/>
          <w:lang w:val="en-CA"/>
        </w:rPr>
        <w:t>K</w:t>
      </w:r>
      <w:r w:rsidRPr="008F3B53">
        <w:rPr>
          <w:rFonts w:ascii="Arial" w:hAnsi="Arial" w:cs="Arial"/>
          <w:b/>
          <w:sz w:val="24"/>
          <w:szCs w:val="24"/>
          <w:lang w:val="en-CA"/>
        </w:rPr>
        <w:t>nowledge</w:t>
      </w:r>
      <w:r w:rsidR="000537BD" w:rsidRPr="008F3B53">
        <w:rPr>
          <w:rFonts w:ascii="Arial" w:hAnsi="Arial" w:cs="Arial"/>
          <w:b/>
          <w:sz w:val="24"/>
          <w:szCs w:val="24"/>
          <w:lang w:val="en-CA"/>
        </w:rPr>
        <w:t>, perceptions and attitudes of health professionals in pharmacovigilance</w:t>
      </w:r>
      <w:r>
        <w:rPr>
          <w:rFonts w:ascii="Arial" w:hAnsi="Arial" w:cs="Arial"/>
          <w:b/>
          <w:sz w:val="24"/>
          <w:szCs w:val="24"/>
          <w:lang w:val="en-CA"/>
        </w:rPr>
        <w:t>: a</w:t>
      </w:r>
      <w:r w:rsidRPr="008F3B53">
        <w:rPr>
          <w:rFonts w:ascii="Arial" w:hAnsi="Arial" w:cs="Arial"/>
          <w:b/>
          <w:sz w:val="24"/>
          <w:szCs w:val="24"/>
          <w:lang w:val="en-CA"/>
        </w:rPr>
        <w:t xml:space="preserve"> </w:t>
      </w:r>
      <w:r>
        <w:rPr>
          <w:rFonts w:ascii="Arial" w:hAnsi="Arial" w:cs="Arial"/>
          <w:b/>
          <w:sz w:val="24"/>
          <w:szCs w:val="24"/>
          <w:lang w:val="en-CA"/>
        </w:rPr>
        <w:t>systematic review</w:t>
      </w:r>
    </w:p>
    <w:p w:rsidR="000537BD" w:rsidRPr="008F3B53" w:rsidRDefault="000537BD" w:rsidP="008F3B53">
      <w:pPr>
        <w:spacing w:line="360" w:lineRule="auto"/>
        <w:jc w:val="center"/>
        <w:rPr>
          <w:rFonts w:ascii="Arial" w:hAnsi="Arial" w:cs="Arial"/>
          <w:b/>
          <w:sz w:val="24"/>
          <w:szCs w:val="24"/>
          <w:lang w:val="en-US"/>
        </w:rPr>
      </w:pPr>
    </w:p>
    <w:p w:rsidR="000537BD" w:rsidRDefault="000537BD" w:rsidP="008F3B53">
      <w:pPr>
        <w:spacing w:line="360" w:lineRule="auto"/>
        <w:jc w:val="both"/>
        <w:rPr>
          <w:rFonts w:ascii="Arial" w:hAnsi="Arial" w:cs="Arial"/>
          <w:b/>
          <w:sz w:val="24"/>
          <w:szCs w:val="24"/>
        </w:rPr>
      </w:pPr>
      <w:r>
        <w:rPr>
          <w:rFonts w:ascii="Arial" w:hAnsi="Arial" w:cs="Arial"/>
          <w:b/>
          <w:sz w:val="24"/>
          <w:szCs w:val="24"/>
        </w:rPr>
        <w:t xml:space="preserve">Clasificación del trabajo: </w:t>
      </w:r>
      <w:r w:rsidRPr="00C00788">
        <w:rPr>
          <w:rFonts w:ascii="Arial" w:hAnsi="Arial" w:cs="Arial"/>
          <w:sz w:val="24"/>
          <w:szCs w:val="24"/>
        </w:rPr>
        <w:t>revisión bibliográfica</w:t>
      </w:r>
    </w:p>
    <w:p w:rsidR="000537BD" w:rsidRDefault="000537BD" w:rsidP="008F3B53">
      <w:pPr>
        <w:spacing w:line="360" w:lineRule="auto"/>
        <w:jc w:val="both"/>
        <w:rPr>
          <w:rFonts w:ascii="Arial" w:hAnsi="Arial" w:cs="Arial"/>
          <w:b/>
          <w:sz w:val="24"/>
          <w:szCs w:val="24"/>
        </w:rPr>
      </w:pPr>
      <w:r>
        <w:rPr>
          <w:rFonts w:ascii="Arial" w:hAnsi="Arial" w:cs="Arial"/>
          <w:b/>
          <w:sz w:val="24"/>
          <w:szCs w:val="24"/>
        </w:rPr>
        <w:t xml:space="preserve">Autores: </w:t>
      </w:r>
    </w:p>
    <w:p w:rsidR="000537BD" w:rsidRPr="007A3179" w:rsidRDefault="000537BD" w:rsidP="008F3B53">
      <w:pPr>
        <w:spacing w:line="360" w:lineRule="auto"/>
        <w:jc w:val="both"/>
        <w:rPr>
          <w:rFonts w:ascii="Arial" w:hAnsi="Arial" w:cs="Arial"/>
          <w:sz w:val="24"/>
          <w:szCs w:val="24"/>
          <w:vertAlign w:val="superscript"/>
        </w:rPr>
      </w:pPr>
      <w:r w:rsidRPr="007A3179">
        <w:rPr>
          <w:rFonts w:ascii="Arial" w:hAnsi="Arial" w:cs="Arial"/>
          <w:sz w:val="24"/>
          <w:szCs w:val="24"/>
        </w:rPr>
        <w:t xml:space="preserve">Mata Maldonado Jesus </w:t>
      </w:r>
      <w:r w:rsidRPr="007A3179">
        <w:rPr>
          <w:rFonts w:ascii="Arial" w:hAnsi="Arial" w:cs="Arial"/>
          <w:sz w:val="24"/>
          <w:szCs w:val="24"/>
          <w:vertAlign w:val="superscript"/>
        </w:rPr>
        <w:t>a</w:t>
      </w:r>
    </w:p>
    <w:p w:rsidR="000537BD" w:rsidRPr="007A3179" w:rsidRDefault="000537BD" w:rsidP="008F3B53">
      <w:pPr>
        <w:spacing w:line="360" w:lineRule="auto"/>
        <w:jc w:val="both"/>
        <w:rPr>
          <w:rFonts w:ascii="Arial" w:hAnsi="Arial" w:cs="Arial"/>
          <w:sz w:val="24"/>
          <w:szCs w:val="24"/>
          <w:vertAlign w:val="superscript"/>
        </w:rPr>
      </w:pPr>
      <w:r w:rsidRPr="007A3179">
        <w:rPr>
          <w:rFonts w:ascii="Arial" w:hAnsi="Arial" w:cs="Arial"/>
          <w:sz w:val="24"/>
          <w:szCs w:val="24"/>
        </w:rPr>
        <w:t xml:space="preserve">Ortiz Reynoso Mariana </w:t>
      </w:r>
      <w:r w:rsidRPr="007A3179">
        <w:rPr>
          <w:rFonts w:ascii="Arial" w:hAnsi="Arial" w:cs="Arial"/>
          <w:sz w:val="24"/>
          <w:szCs w:val="24"/>
          <w:vertAlign w:val="superscript"/>
        </w:rPr>
        <w:t>b</w:t>
      </w:r>
    </w:p>
    <w:p w:rsidR="000537BD" w:rsidRPr="007A3179" w:rsidRDefault="000537BD" w:rsidP="008F3B53">
      <w:pPr>
        <w:spacing w:line="360" w:lineRule="auto"/>
        <w:jc w:val="both"/>
        <w:rPr>
          <w:rFonts w:ascii="Arial" w:hAnsi="Arial" w:cs="Arial"/>
          <w:sz w:val="24"/>
          <w:szCs w:val="24"/>
          <w:vertAlign w:val="superscript"/>
        </w:rPr>
      </w:pPr>
      <w:r w:rsidRPr="007A3179">
        <w:rPr>
          <w:rFonts w:ascii="Arial" w:hAnsi="Arial" w:cs="Arial"/>
          <w:sz w:val="24"/>
          <w:szCs w:val="24"/>
        </w:rPr>
        <w:t xml:space="preserve">Islas Flores Hariz </w:t>
      </w:r>
      <w:r w:rsidR="008F3B53">
        <w:rPr>
          <w:rFonts w:ascii="Arial" w:hAnsi="Arial" w:cs="Arial"/>
          <w:sz w:val="24"/>
          <w:szCs w:val="24"/>
          <w:vertAlign w:val="superscript"/>
        </w:rPr>
        <w:t>b</w:t>
      </w:r>
    </w:p>
    <w:p w:rsidR="000537BD" w:rsidRDefault="000537BD" w:rsidP="008F3B53">
      <w:pPr>
        <w:pStyle w:val="Prrafodelista"/>
        <w:numPr>
          <w:ilvl w:val="0"/>
          <w:numId w:val="3"/>
        </w:numPr>
        <w:spacing w:line="360" w:lineRule="auto"/>
        <w:jc w:val="both"/>
        <w:rPr>
          <w:rFonts w:ascii="Arial" w:hAnsi="Arial" w:cs="Arial"/>
          <w:sz w:val="24"/>
          <w:szCs w:val="24"/>
          <w:vertAlign w:val="superscript"/>
        </w:rPr>
      </w:pPr>
      <w:r>
        <w:rPr>
          <w:rFonts w:ascii="Arial" w:hAnsi="Arial" w:cs="Arial"/>
          <w:sz w:val="24"/>
          <w:szCs w:val="24"/>
          <w:vertAlign w:val="superscript"/>
        </w:rPr>
        <w:t xml:space="preserve">Profesor de asignatura. </w:t>
      </w:r>
      <w:r w:rsidRPr="00661CE2">
        <w:rPr>
          <w:rFonts w:ascii="Arial" w:hAnsi="Arial" w:cs="Arial"/>
          <w:sz w:val="24"/>
          <w:szCs w:val="24"/>
          <w:vertAlign w:val="superscript"/>
        </w:rPr>
        <w:t>Universidad Autónoma del Estado d</w:t>
      </w:r>
      <w:r>
        <w:rPr>
          <w:rFonts w:ascii="Arial" w:hAnsi="Arial" w:cs="Arial"/>
          <w:sz w:val="24"/>
          <w:szCs w:val="24"/>
          <w:vertAlign w:val="superscript"/>
        </w:rPr>
        <w:t>e México, Facultad de Química.</w:t>
      </w:r>
    </w:p>
    <w:p w:rsidR="008F3B53" w:rsidRDefault="000537BD" w:rsidP="008F3B53">
      <w:pPr>
        <w:pStyle w:val="Prrafodelista"/>
        <w:numPr>
          <w:ilvl w:val="0"/>
          <w:numId w:val="3"/>
        </w:numPr>
        <w:spacing w:line="360" w:lineRule="auto"/>
        <w:jc w:val="both"/>
        <w:rPr>
          <w:rFonts w:ascii="Arial" w:hAnsi="Arial" w:cs="Arial"/>
          <w:sz w:val="24"/>
          <w:szCs w:val="24"/>
          <w:vertAlign w:val="superscript"/>
        </w:rPr>
      </w:pPr>
      <w:r w:rsidRPr="008F3B53">
        <w:rPr>
          <w:rFonts w:ascii="Arial" w:hAnsi="Arial" w:cs="Arial"/>
          <w:sz w:val="24"/>
          <w:szCs w:val="24"/>
          <w:vertAlign w:val="superscript"/>
        </w:rPr>
        <w:t xml:space="preserve">Profesora de Tiempo Completo. Universidad Autónoma del Estado de México, Facultad de Química. </w:t>
      </w:r>
    </w:p>
    <w:p w:rsidR="000537BD" w:rsidRDefault="000537BD" w:rsidP="008F3B53">
      <w:pPr>
        <w:spacing w:line="360" w:lineRule="auto"/>
        <w:jc w:val="both"/>
        <w:rPr>
          <w:rFonts w:ascii="Arial" w:hAnsi="Arial" w:cs="Arial"/>
          <w:sz w:val="24"/>
          <w:szCs w:val="24"/>
        </w:rPr>
      </w:pPr>
      <w:r w:rsidRPr="00C00788">
        <w:rPr>
          <w:rFonts w:ascii="Arial" w:hAnsi="Arial" w:cs="Arial"/>
          <w:b/>
          <w:sz w:val="24"/>
          <w:szCs w:val="24"/>
        </w:rPr>
        <w:t xml:space="preserve">Autor responsable de la publicación: </w:t>
      </w:r>
    </w:p>
    <w:p w:rsidR="000537BD" w:rsidRDefault="008F3B53" w:rsidP="008F3B53">
      <w:pPr>
        <w:spacing w:line="360" w:lineRule="auto"/>
        <w:jc w:val="both"/>
        <w:rPr>
          <w:rFonts w:ascii="Arial" w:hAnsi="Arial" w:cs="Arial"/>
          <w:sz w:val="24"/>
          <w:szCs w:val="24"/>
        </w:rPr>
      </w:pPr>
      <w:r>
        <w:rPr>
          <w:rFonts w:ascii="Arial" w:hAnsi="Arial" w:cs="Arial"/>
          <w:sz w:val="24"/>
          <w:szCs w:val="24"/>
        </w:rPr>
        <w:t>Dra. Mariana Ortiz Reynoso</w:t>
      </w:r>
    </w:p>
    <w:p w:rsidR="000537BD" w:rsidRDefault="008F3B53" w:rsidP="008F3B53">
      <w:pPr>
        <w:spacing w:line="360" w:lineRule="auto"/>
        <w:jc w:val="both"/>
        <w:rPr>
          <w:rFonts w:ascii="Arial" w:hAnsi="Arial" w:cs="Arial"/>
          <w:sz w:val="24"/>
          <w:szCs w:val="24"/>
        </w:rPr>
      </w:pPr>
      <w:r>
        <w:rPr>
          <w:rFonts w:ascii="Arial" w:hAnsi="Arial" w:cs="Arial"/>
          <w:sz w:val="24"/>
          <w:szCs w:val="24"/>
        </w:rPr>
        <w:t>Paseo Colón esq. Paseo Tollocan s/n. Col. Residencial Colón. Toluca, Estado de México, CP 50120. Correo electrónico: mortizr@uaemex.mx</w:t>
      </w:r>
    </w:p>
    <w:p w:rsidR="000537BD" w:rsidRPr="00C00788" w:rsidRDefault="000537BD" w:rsidP="008F3B53">
      <w:pPr>
        <w:spacing w:line="360" w:lineRule="auto"/>
        <w:jc w:val="both"/>
        <w:rPr>
          <w:rFonts w:ascii="Arial" w:hAnsi="Arial" w:cs="Arial"/>
          <w:sz w:val="24"/>
          <w:szCs w:val="24"/>
        </w:rPr>
      </w:pPr>
    </w:p>
    <w:p w:rsidR="000537BD" w:rsidRPr="00661CE2" w:rsidRDefault="000537BD" w:rsidP="008F3B53">
      <w:pPr>
        <w:spacing w:line="360" w:lineRule="auto"/>
        <w:jc w:val="both"/>
        <w:rPr>
          <w:rFonts w:ascii="Arial" w:hAnsi="Arial" w:cs="Arial"/>
          <w:b/>
          <w:sz w:val="24"/>
          <w:szCs w:val="24"/>
        </w:rPr>
      </w:pPr>
      <w:r w:rsidRPr="00661CE2">
        <w:rPr>
          <w:rFonts w:ascii="Arial" w:hAnsi="Arial" w:cs="Arial"/>
          <w:b/>
          <w:sz w:val="24"/>
          <w:szCs w:val="24"/>
        </w:rPr>
        <w:t>Resumen</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 xml:space="preserve">La farmacovigilancia se implementó desde hace varias décadas para buscar, notificar y dar seguimiento a las reacciones adversas a los medicamentos, pero su abordaje en el mundo es todavía poco sistemático. Pese a los esfuerzos de la Organización Mundial de la Salud para alentar la notificación de las reacciones adversas a los medicamentos, existen variaciones de país a país, por lo que hace falta uniformar el nivel de capacitación en farmacovigilancia de los profesionales de la salud. En este trabajo se revisan los estudios recientes sobre la evaluación de conocimientos, actitudes y percepción en farmacovigilancia de los profesionales de </w:t>
      </w:r>
      <w:r w:rsidRPr="00661CE2">
        <w:rPr>
          <w:rFonts w:ascii="Arial" w:hAnsi="Arial" w:cs="Arial"/>
          <w:sz w:val="24"/>
          <w:szCs w:val="24"/>
        </w:rPr>
        <w:lastRenderedPageBreak/>
        <w:t xml:space="preserve">la salud </w:t>
      </w:r>
      <w:r w:rsidRPr="000537BD">
        <w:rPr>
          <w:rFonts w:ascii="Arial" w:hAnsi="Arial" w:cs="Arial"/>
          <w:sz w:val="24"/>
          <w:szCs w:val="24"/>
        </w:rPr>
        <w:t>en veinte países. Se</w:t>
      </w:r>
      <w:r w:rsidRPr="00661CE2">
        <w:rPr>
          <w:rFonts w:ascii="Arial" w:hAnsi="Arial" w:cs="Arial"/>
          <w:sz w:val="24"/>
          <w:szCs w:val="24"/>
        </w:rPr>
        <w:t xml:space="preserve"> observó que en todos los casos los encuestados tienen conocimientos deficientes y muestran actitudes de complacencia, ignorancia, indiferencia y lucrativa, entre otras.</w:t>
      </w:r>
    </w:p>
    <w:p w:rsidR="000537BD" w:rsidRPr="00661CE2" w:rsidRDefault="000537BD" w:rsidP="008F3B53">
      <w:pPr>
        <w:spacing w:line="360" w:lineRule="auto"/>
        <w:jc w:val="both"/>
        <w:rPr>
          <w:rFonts w:ascii="Arial" w:hAnsi="Arial" w:cs="Arial"/>
          <w:sz w:val="24"/>
          <w:szCs w:val="24"/>
        </w:rPr>
      </w:pPr>
      <w:r w:rsidRPr="00661CE2">
        <w:rPr>
          <w:rFonts w:ascii="Arial" w:hAnsi="Arial" w:cs="Arial"/>
          <w:i/>
          <w:sz w:val="24"/>
          <w:szCs w:val="24"/>
        </w:rPr>
        <w:t>Palabras clave:</w:t>
      </w:r>
      <w:r w:rsidRPr="00661CE2">
        <w:rPr>
          <w:rFonts w:ascii="Arial" w:hAnsi="Arial" w:cs="Arial"/>
          <w:sz w:val="24"/>
          <w:szCs w:val="24"/>
        </w:rPr>
        <w:t xml:space="preserve"> farmacovigilancia, reacción adversa a los medicamentos, evaluación de conocimientos y actitudes.</w:t>
      </w:r>
    </w:p>
    <w:p w:rsidR="000537BD" w:rsidRPr="00661CE2" w:rsidRDefault="000537BD" w:rsidP="008F3B53">
      <w:pPr>
        <w:spacing w:line="360" w:lineRule="auto"/>
        <w:jc w:val="both"/>
        <w:rPr>
          <w:rFonts w:ascii="Arial" w:hAnsi="Arial" w:cs="Arial"/>
          <w:sz w:val="24"/>
          <w:szCs w:val="24"/>
        </w:rPr>
        <w:sectPr w:rsidR="000537BD" w:rsidRPr="00661CE2" w:rsidSect="008F3B53">
          <w:footerReference w:type="even" r:id="rId7"/>
          <w:footerReference w:type="default" r:id="rId8"/>
          <w:pgSz w:w="12240" w:h="15840"/>
          <w:pgMar w:top="1417" w:right="1701" w:bottom="1417" w:left="1701" w:header="708" w:footer="708" w:gutter="0"/>
          <w:cols w:space="708"/>
          <w:docGrid w:linePitch="360"/>
        </w:sectPr>
      </w:pPr>
    </w:p>
    <w:p w:rsidR="000537BD" w:rsidRDefault="000537BD" w:rsidP="008F3B53">
      <w:pPr>
        <w:spacing w:line="360" w:lineRule="auto"/>
        <w:jc w:val="both"/>
        <w:rPr>
          <w:rFonts w:ascii="Arial" w:hAnsi="Arial" w:cs="Arial"/>
          <w:b/>
          <w:sz w:val="24"/>
          <w:szCs w:val="24"/>
        </w:rPr>
      </w:pPr>
    </w:p>
    <w:p w:rsidR="000537BD" w:rsidRPr="008F3B53" w:rsidRDefault="000537BD" w:rsidP="008F3B53">
      <w:pPr>
        <w:spacing w:line="360" w:lineRule="auto"/>
        <w:jc w:val="both"/>
        <w:rPr>
          <w:rFonts w:ascii="Arial" w:hAnsi="Arial" w:cs="Arial"/>
          <w:b/>
          <w:sz w:val="24"/>
          <w:szCs w:val="24"/>
          <w:lang w:val="en-US"/>
        </w:rPr>
      </w:pPr>
      <w:r w:rsidRPr="008F3B53">
        <w:rPr>
          <w:rFonts w:ascii="Arial" w:hAnsi="Arial" w:cs="Arial"/>
          <w:b/>
          <w:sz w:val="24"/>
          <w:szCs w:val="24"/>
          <w:lang w:val="en-US"/>
        </w:rPr>
        <w:t>Summary</w:t>
      </w:r>
    </w:p>
    <w:p w:rsidR="000537BD" w:rsidRPr="008F3B53" w:rsidRDefault="000537BD" w:rsidP="008F3B53">
      <w:pPr>
        <w:spacing w:line="360" w:lineRule="auto"/>
        <w:jc w:val="both"/>
        <w:rPr>
          <w:rFonts w:ascii="Arial" w:hAnsi="Arial" w:cs="Arial"/>
          <w:sz w:val="24"/>
          <w:szCs w:val="24"/>
          <w:lang w:val="en-US"/>
        </w:rPr>
      </w:pPr>
      <w:r w:rsidRPr="008F3B53">
        <w:rPr>
          <w:rFonts w:ascii="Arial" w:hAnsi="Arial" w:cs="Arial"/>
          <w:sz w:val="24"/>
          <w:szCs w:val="24"/>
          <w:lang w:val="en-US"/>
        </w:rPr>
        <w:t xml:space="preserve">Pharmacovigilance </w:t>
      </w:r>
      <w:r w:rsidR="008F3B53">
        <w:rPr>
          <w:rFonts w:ascii="Arial" w:hAnsi="Arial" w:cs="Arial"/>
          <w:sz w:val="24"/>
          <w:szCs w:val="24"/>
          <w:lang w:val="en-US"/>
        </w:rPr>
        <w:t>was</w:t>
      </w:r>
      <w:r w:rsidRPr="008F3B53">
        <w:rPr>
          <w:rFonts w:ascii="Arial" w:hAnsi="Arial" w:cs="Arial"/>
          <w:sz w:val="24"/>
          <w:szCs w:val="24"/>
          <w:lang w:val="en-US"/>
        </w:rPr>
        <w:t xml:space="preserve"> implemented several decades </w:t>
      </w:r>
      <w:r w:rsidR="008F3B53">
        <w:rPr>
          <w:rFonts w:ascii="Arial" w:hAnsi="Arial" w:cs="Arial"/>
          <w:sz w:val="24"/>
          <w:szCs w:val="24"/>
          <w:lang w:val="en-US"/>
        </w:rPr>
        <w:t xml:space="preserve">ago </w:t>
      </w:r>
      <w:r w:rsidRPr="008F3B53">
        <w:rPr>
          <w:rFonts w:ascii="Arial" w:hAnsi="Arial" w:cs="Arial"/>
          <w:sz w:val="24"/>
          <w:szCs w:val="24"/>
          <w:lang w:val="en-US"/>
        </w:rPr>
        <w:t xml:space="preserve">to find, report and follow up adverse drug reactions, but its approach </w:t>
      </w:r>
      <w:r w:rsidR="008F3B53">
        <w:rPr>
          <w:rFonts w:ascii="Arial" w:hAnsi="Arial" w:cs="Arial"/>
          <w:sz w:val="24"/>
          <w:szCs w:val="24"/>
          <w:lang w:val="en-US"/>
        </w:rPr>
        <w:t>with</w:t>
      </w:r>
      <w:r w:rsidRPr="008F3B53">
        <w:rPr>
          <w:rFonts w:ascii="Arial" w:hAnsi="Arial" w:cs="Arial"/>
          <w:sz w:val="24"/>
          <w:szCs w:val="24"/>
          <w:lang w:val="en-US"/>
        </w:rPr>
        <w:t>in the world is still unsystematic. Despite the efforts of the World Health Organization to encourage the</w:t>
      </w:r>
      <w:r w:rsidR="008F3B53">
        <w:rPr>
          <w:rFonts w:ascii="Arial" w:hAnsi="Arial" w:cs="Arial"/>
          <w:sz w:val="24"/>
          <w:szCs w:val="24"/>
          <w:lang w:val="en-US"/>
        </w:rPr>
        <w:t xml:space="preserve"> increasing in reporting</w:t>
      </w:r>
      <w:r w:rsidRPr="008F3B53">
        <w:rPr>
          <w:rFonts w:ascii="Arial" w:hAnsi="Arial" w:cs="Arial"/>
          <w:sz w:val="24"/>
          <w:szCs w:val="24"/>
          <w:lang w:val="en-US"/>
        </w:rPr>
        <w:t xml:space="preserve"> adverse drug reactions, there are </w:t>
      </w:r>
      <w:r w:rsidR="008F3B53">
        <w:rPr>
          <w:rFonts w:ascii="Arial" w:hAnsi="Arial" w:cs="Arial"/>
          <w:sz w:val="24"/>
          <w:szCs w:val="24"/>
          <w:lang w:val="en-US"/>
        </w:rPr>
        <w:t xml:space="preserve">significant </w:t>
      </w:r>
      <w:r w:rsidRPr="008F3B53">
        <w:rPr>
          <w:rFonts w:ascii="Arial" w:hAnsi="Arial" w:cs="Arial"/>
          <w:sz w:val="24"/>
          <w:szCs w:val="24"/>
          <w:lang w:val="en-US"/>
        </w:rPr>
        <w:t xml:space="preserve">variations from country to country, so there is a need to standardize pharmacovigilance training for health professionals. In this paper we review recent studies on the evaluation of knowledge, attitudes and perceptions in pharmacovigilance of health professionals in twenty countries. It was observed that in all cases the respondents </w:t>
      </w:r>
      <w:r w:rsidR="008F3B53">
        <w:rPr>
          <w:rFonts w:ascii="Arial" w:hAnsi="Arial" w:cs="Arial"/>
          <w:sz w:val="24"/>
          <w:szCs w:val="24"/>
          <w:lang w:val="en-US"/>
        </w:rPr>
        <w:t>show</w:t>
      </w:r>
      <w:r w:rsidRPr="008F3B53">
        <w:rPr>
          <w:rFonts w:ascii="Arial" w:hAnsi="Arial" w:cs="Arial"/>
          <w:sz w:val="24"/>
          <w:szCs w:val="24"/>
          <w:lang w:val="en-US"/>
        </w:rPr>
        <w:t xml:space="preserve"> poor knowledge and </w:t>
      </w:r>
      <w:r w:rsidR="008F3B53">
        <w:rPr>
          <w:rFonts w:ascii="Arial" w:hAnsi="Arial" w:cs="Arial"/>
          <w:sz w:val="24"/>
          <w:szCs w:val="24"/>
          <w:lang w:val="en-US"/>
        </w:rPr>
        <w:t xml:space="preserve">also </w:t>
      </w:r>
      <w:r w:rsidRPr="008F3B53">
        <w:rPr>
          <w:rFonts w:ascii="Arial" w:hAnsi="Arial" w:cs="Arial"/>
          <w:sz w:val="24"/>
          <w:szCs w:val="24"/>
          <w:lang w:val="en-US"/>
        </w:rPr>
        <w:t>complacency, ignorance, indifference and profit</w:t>
      </w:r>
      <w:r w:rsidR="008F3B53">
        <w:rPr>
          <w:rFonts w:ascii="Arial" w:hAnsi="Arial" w:cs="Arial"/>
          <w:sz w:val="24"/>
          <w:szCs w:val="24"/>
          <w:lang w:val="en-US"/>
        </w:rPr>
        <w:t xml:space="preserve"> related attitudes</w:t>
      </w:r>
      <w:r w:rsidRPr="008F3B53">
        <w:rPr>
          <w:rFonts w:ascii="Arial" w:hAnsi="Arial" w:cs="Arial"/>
          <w:sz w:val="24"/>
          <w:szCs w:val="24"/>
          <w:lang w:val="en-US"/>
        </w:rPr>
        <w:t>, among others.</w:t>
      </w:r>
    </w:p>
    <w:p w:rsidR="000537BD" w:rsidRPr="008F3B53" w:rsidRDefault="000537BD" w:rsidP="008F3B53">
      <w:pPr>
        <w:spacing w:line="360" w:lineRule="auto"/>
        <w:jc w:val="both"/>
        <w:rPr>
          <w:rFonts w:ascii="Arial" w:hAnsi="Arial" w:cs="Arial"/>
          <w:sz w:val="24"/>
          <w:szCs w:val="24"/>
          <w:lang w:val="en-US"/>
        </w:rPr>
      </w:pPr>
      <w:r w:rsidRPr="008F3B53">
        <w:rPr>
          <w:rFonts w:ascii="Arial" w:hAnsi="Arial" w:cs="Arial"/>
          <w:i/>
          <w:sz w:val="24"/>
          <w:szCs w:val="24"/>
          <w:lang w:val="en-US"/>
        </w:rPr>
        <w:t>Keywords:</w:t>
      </w:r>
      <w:r w:rsidRPr="008F3B53">
        <w:rPr>
          <w:rFonts w:ascii="Arial" w:hAnsi="Arial" w:cs="Arial"/>
          <w:sz w:val="24"/>
          <w:szCs w:val="24"/>
          <w:lang w:val="en-US"/>
        </w:rPr>
        <w:t xml:space="preserve"> pharmacovigilance, adverse drug reaction, knowledge </w:t>
      </w:r>
      <w:r w:rsidR="008F3B53">
        <w:rPr>
          <w:rFonts w:ascii="Arial" w:hAnsi="Arial" w:cs="Arial"/>
          <w:sz w:val="24"/>
          <w:szCs w:val="24"/>
          <w:lang w:val="en-US"/>
        </w:rPr>
        <w:t>and attitude</w:t>
      </w:r>
      <w:r w:rsidR="008F3B53" w:rsidRPr="008F3B53">
        <w:rPr>
          <w:rFonts w:ascii="Arial" w:hAnsi="Arial" w:cs="Arial"/>
          <w:sz w:val="24"/>
          <w:szCs w:val="24"/>
          <w:lang w:val="en-US"/>
        </w:rPr>
        <w:t xml:space="preserve"> assessment</w:t>
      </w:r>
      <w:r w:rsidRPr="008F3B53">
        <w:rPr>
          <w:rFonts w:ascii="Arial" w:hAnsi="Arial" w:cs="Arial"/>
          <w:sz w:val="24"/>
          <w:szCs w:val="24"/>
          <w:lang w:val="en-US"/>
        </w:rPr>
        <w:t>.</w:t>
      </w:r>
    </w:p>
    <w:p w:rsidR="000537BD" w:rsidRPr="008F3B53" w:rsidRDefault="000537BD" w:rsidP="008F3B53">
      <w:pPr>
        <w:spacing w:line="360" w:lineRule="auto"/>
        <w:jc w:val="both"/>
        <w:rPr>
          <w:rFonts w:ascii="Arial" w:hAnsi="Arial" w:cs="Arial"/>
          <w:b/>
          <w:sz w:val="24"/>
          <w:szCs w:val="24"/>
          <w:lang w:val="en-US"/>
        </w:rPr>
      </w:pPr>
    </w:p>
    <w:p w:rsidR="000537BD" w:rsidRPr="00661CE2" w:rsidRDefault="000537BD" w:rsidP="008F3B53">
      <w:pPr>
        <w:spacing w:line="360" w:lineRule="auto"/>
        <w:jc w:val="both"/>
        <w:rPr>
          <w:rFonts w:ascii="Arial" w:hAnsi="Arial" w:cs="Arial"/>
          <w:b/>
          <w:sz w:val="24"/>
          <w:szCs w:val="24"/>
        </w:rPr>
      </w:pPr>
      <w:r w:rsidRPr="00661CE2">
        <w:rPr>
          <w:rFonts w:ascii="Arial" w:hAnsi="Arial" w:cs="Arial"/>
          <w:b/>
          <w:sz w:val="24"/>
          <w:szCs w:val="24"/>
        </w:rPr>
        <w:t>Introducción</w:t>
      </w:r>
    </w:p>
    <w:p w:rsidR="000537BD" w:rsidRPr="00661CE2" w:rsidRDefault="000537BD" w:rsidP="008F3B53">
      <w:pPr>
        <w:spacing w:line="360" w:lineRule="auto"/>
        <w:jc w:val="both"/>
        <w:rPr>
          <w:rFonts w:ascii="Arial" w:hAnsi="Arial" w:cs="Arial"/>
          <w:sz w:val="24"/>
          <w:szCs w:val="24"/>
        </w:rPr>
      </w:pPr>
      <w:r>
        <w:rPr>
          <w:rFonts w:ascii="Arial" w:hAnsi="Arial" w:cs="Arial"/>
          <w:sz w:val="24"/>
          <w:szCs w:val="24"/>
        </w:rPr>
        <w:t>La seguridad de los medicamentos</w:t>
      </w:r>
      <w:r w:rsidRPr="00661CE2">
        <w:rPr>
          <w:rFonts w:ascii="Arial" w:hAnsi="Arial" w:cs="Arial"/>
          <w:sz w:val="24"/>
          <w:szCs w:val="24"/>
        </w:rPr>
        <w:t xml:space="preserve"> presenta grandes implicaciones para la salud de los pacientes y su abordaje corresponde a la farmacovigilancia (FV), definida por la Organización Mundial de la Salud (OMS) como “la ciencia y las actividades que versan sobre la detección, evaluación, comprensión y prevención de efectos adversos u otros problemas relacionados con los medicamentos”</w:t>
      </w:r>
      <w:r w:rsidRPr="00661CE2">
        <w:rPr>
          <w:rFonts w:ascii="Arial" w:hAnsi="Arial" w:cs="Arial"/>
          <w:b/>
          <w:sz w:val="24"/>
          <w:szCs w:val="24"/>
        </w:rPr>
        <w:t>.</w:t>
      </w:r>
      <w:r w:rsidRPr="000E3E5A">
        <w:rPr>
          <w:rFonts w:ascii="Arial" w:hAnsi="Arial" w:cs="Arial"/>
          <w:sz w:val="24"/>
          <w:szCs w:val="24"/>
          <w:vertAlign w:val="superscript"/>
        </w:rPr>
        <w:t>1</w:t>
      </w:r>
      <w:r w:rsidRPr="00661CE2">
        <w:rPr>
          <w:rFonts w:ascii="Arial" w:hAnsi="Arial" w:cs="Arial"/>
          <w:b/>
          <w:sz w:val="24"/>
          <w:szCs w:val="24"/>
        </w:rPr>
        <w:t xml:space="preserve"> </w:t>
      </w:r>
      <w:r w:rsidRPr="00661CE2">
        <w:rPr>
          <w:rFonts w:ascii="Arial" w:hAnsi="Arial" w:cs="Arial"/>
          <w:sz w:val="24"/>
          <w:szCs w:val="24"/>
        </w:rPr>
        <w:t>La FV incluye varias actividades como la evaluación de las reacciones adversas a los medicamentos (RAM), la elaboración de planes de gestión de riesgos e informes periódicos de seguridad y los estudios de seguridad post-comercialización (fase IV de los ensayos clínicos), entre otros.</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lastRenderedPageBreak/>
        <w:t>Las responsabilidades en relación a la FV son compartidas entre organismos reguladores, compañías farmacéuticas, hospitales y profesionales de la salud; estos últimos desempeñan un papel importante debido a la cercanía con los pacientes que le brinda su práctica clínica habitual. Una de las actividades de la FV es la presentación de informes de RAM; éstos benefician a sus instituciones en tanto ayudan a disminuir los efectos nocivos y reducir los casos de RAM, así como a controlar el costo de estos eventos</w:t>
      </w:r>
      <w:r w:rsidR="008F3B53">
        <w:rPr>
          <w:rFonts w:ascii="Arial" w:hAnsi="Arial" w:cs="Arial"/>
          <w:sz w:val="24"/>
          <w:szCs w:val="24"/>
        </w:rPr>
        <w:t>.</w:t>
      </w:r>
      <w:r>
        <w:rPr>
          <w:rFonts w:ascii="Arial" w:hAnsi="Arial" w:cs="Arial"/>
          <w:sz w:val="24"/>
          <w:szCs w:val="24"/>
          <w:vertAlign w:val="superscript"/>
        </w:rPr>
        <w:t>2</w:t>
      </w:r>
      <w:r w:rsidRPr="00661CE2">
        <w:rPr>
          <w:rFonts w:ascii="Arial" w:hAnsi="Arial" w:cs="Arial"/>
          <w:sz w:val="24"/>
          <w:szCs w:val="24"/>
        </w:rPr>
        <w:t xml:space="preserve"> Además, los profesionales de la salud tienen la responsabilidad de educar a sus iguales, a pacientes y a la sociedad respecto a la importancia de detectar y reportar las RAM. Por ello, enfermeros, médicos y farmacéuticos son piezas clave en el proceso de implementación </w:t>
      </w:r>
      <w:r>
        <w:rPr>
          <w:rFonts w:ascii="Arial" w:hAnsi="Arial" w:cs="Arial"/>
          <w:sz w:val="24"/>
          <w:szCs w:val="24"/>
        </w:rPr>
        <w:t xml:space="preserve">y desarrollo </w:t>
      </w:r>
      <w:r w:rsidRPr="00661CE2">
        <w:rPr>
          <w:rFonts w:ascii="Arial" w:hAnsi="Arial" w:cs="Arial"/>
          <w:sz w:val="24"/>
          <w:szCs w:val="24"/>
        </w:rPr>
        <w:t>de la FV.</w:t>
      </w:r>
    </w:p>
    <w:p w:rsidR="000537BD" w:rsidRPr="000E3E5A" w:rsidRDefault="000537BD" w:rsidP="008F3B53">
      <w:pPr>
        <w:spacing w:line="360" w:lineRule="auto"/>
        <w:jc w:val="both"/>
        <w:rPr>
          <w:rFonts w:ascii="Arial" w:hAnsi="Arial" w:cs="Arial"/>
          <w:sz w:val="24"/>
          <w:szCs w:val="24"/>
        </w:rPr>
      </w:pPr>
      <w:r w:rsidRPr="00661CE2">
        <w:rPr>
          <w:rFonts w:ascii="Arial" w:hAnsi="Arial" w:cs="Arial"/>
          <w:sz w:val="24"/>
          <w:szCs w:val="24"/>
        </w:rPr>
        <w:t>Si bien existen diferentes definiciones de una RAM, por consenso general se ha adoptado la proporcionada por la OMS en 2002, que es: “cualquier reacción nociva no intencionada que aparece a dosis normalmente empleadas en el ser humano para la profilaxis, el diagnóstico o el tratamiento o para la modificación de una función fisiológica”</w:t>
      </w:r>
      <w:r w:rsidR="008F3B53">
        <w:rPr>
          <w:rFonts w:ascii="Arial" w:hAnsi="Arial" w:cs="Arial"/>
          <w:sz w:val="24"/>
          <w:szCs w:val="24"/>
        </w:rPr>
        <w:t>.</w:t>
      </w:r>
      <w:r>
        <w:rPr>
          <w:rFonts w:ascii="Arial" w:hAnsi="Arial" w:cs="Arial"/>
          <w:sz w:val="24"/>
          <w:szCs w:val="24"/>
          <w:vertAlign w:val="superscript"/>
        </w:rPr>
        <w:t>3</w:t>
      </w:r>
    </w:p>
    <w:p w:rsidR="000537BD" w:rsidRPr="00661CE2" w:rsidRDefault="000537BD" w:rsidP="008F3B53">
      <w:pPr>
        <w:spacing w:line="360" w:lineRule="auto"/>
        <w:jc w:val="both"/>
        <w:rPr>
          <w:rFonts w:ascii="Arial" w:hAnsi="Arial" w:cs="Arial"/>
          <w:sz w:val="24"/>
          <w:szCs w:val="24"/>
        </w:rPr>
      </w:pPr>
      <w:r w:rsidRPr="000E3E5A">
        <w:rPr>
          <w:rFonts w:ascii="Arial" w:hAnsi="Arial" w:cs="Arial"/>
          <w:sz w:val="24"/>
          <w:szCs w:val="24"/>
        </w:rPr>
        <w:t xml:space="preserve">La conocida tragedia que trajo el consumo de mujeres embarazadas de talidomida en los años </w:t>
      </w:r>
      <w:r w:rsidR="00C319CD">
        <w:rPr>
          <w:rFonts w:ascii="Arial" w:hAnsi="Arial" w:cs="Arial"/>
          <w:sz w:val="24"/>
          <w:szCs w:val="24"/>
        </w:rPr>
        <w:t>sesenta</w:t>
      </w:r>
      <w:r w:rsidRPr="000E3E5A">
        <w:rPr>
          <w:rFonts w:ascii="Arial" w:hAnsi="Arial" w:cs="Arial"/>
          <w:sz w:val="24"/>
          <w:szCs w:val="24"/>
        </w:rPr>
        <w:t>, mostró al mundo que el uso de los medicamentos representa un riesgo unido al beneficio terapéutico.</w:t>
      </w:r>
      <w:r w:rsidRPr="000E3E5A">
        <w:rPr>
          <w:rFonts w:ascii="Arial" w:hAnsi="Arial" w:cs="Arial"/>
          <w:sz w:val="24"/>
          <w:szCs w:val="24"/>
          <w:vertAlign w:val="superscript"/>
        </w:rPr>
        <w:t>4</w:t>
      </w:r>
      <w:r w:rsidRPr="000E3E5A">
        <w:rPr>
          <w:rFonts w:ascii="Arial" w:hAnsi="Arial" w:cs="Arial"/>
          <w:sz w:val="24"/>
          <w:szCs w:val="24"/>
        </w:rPr>
        <w:t xml:space="preserve"> Desde entonces, se han diseñado varias metodologías para garantizar la eficacia, seguridad </w:t>
      </w:r>
      <w:r w:rsidR="008F3B53">
        <w:rPr>
          <w:rFonts w:ascii="Arial" w:hAnsi="Arial" w:cs="Arial"/>
          <w:sz w:val="24"/>
          <w:szCs w:val="24"/>
        </w:rPr>
        <w:t>y calidad de la farmacoterapia.</w:t>
      </w:r>
      <w:r w:rsidRPr="000E3E5A">
        <w:rPr>
          <w:rFonts w:ascii="Arial" w:hAnsi="Arial" w:cs="Arial"/>
          <w:sz w:val="24"/>
          <w:szCs w:val="24"/>
          <w:vertAlign w:val="superscript"/>
        </w:rPr>
        <w:t>4</w:t>
      </w:r>
    </w:p>
    <w:p w:rsidR="000537BD" w:rsidRPr="003838DA" w:rsidRDefault="000537BD" w:rsidP="008F3B53">
      <w:pPr>
        <w:spacing w:line="360" w:lineRule="auto"/>
        <w:jc w:val="both"/>
        <w:rPr>
          <w:rFonts w:ascii="Arial" w:hAnsi="Arial" w:cs="Arial"/>
          <w:sz w:val="24"/>
          <w:szCs w:val="24"/>
        </w:rPr>
      </w:pPr>
      <w:r w:rsidRPr="00661CE2">
        <w:rPr>
          <w:rFonts w:ascii="Arial" w:hAnsi="Arial" w:cs="Arial"/>
          <w:sz w:val="24"/>
          <w:szCs w:val="24"/>
        </w:rPr>
        <w:t>La morbilidad y la mortalidad debida</w:t>
      </w:r>
      <w:r>
        <w:rPr>
          <w:rFonts w:ascii="Arial" w:hAnsi="Arial" w:cs="Arial"/>
          <w:sz w:val="24"/>
          <w:szCs w:val="24"/>
        </w:rPr>
        <w:t>s</w:t>
      </w:r>
      <w:r w:rsidRPr="00661CE2">
        <w:rPr>
          <w:rFonts w:ascii="Arial" w:hAnsi="Arial" w:cs="Arial"/>
          <w:sz w:val="24"/>
          <w:szCs w:val="24"/>
        </w:rPr>
        <w:t xml:space="preserve"> a la farmacoterapia han sido reconocidas como un importante problema de salud pública. En los Estados Unidos de América (EUA), las RAM están entre las cuatro principales causas de muerte de pacientes hospitalizados y representan un incremento sustancial de costos de $1.56 a $4 billones de dólares por año.</w:t>
      </w:r>
      <w:r w:rsidRPr="00661CE2">
        <w:rPr>
          <w:rFonts w:ascii="Arial" w:hAnsi="Arial" w:cs="Arial"/>
          <w:sz w:val="24"/>
          <w:szCs w:val="24"/>
          <w:vertAlign w:val="superscript"/>
        </w:rPr>
        <w:t>5</w:t>
      </w:r>
      <w:r w:rsidRPr="00661CE2">
        <w:rPr>
          <w:rFonts w:ascii="Arial" w:hAnsi="Arial" w:cs="Arial"/>
          <w:sz w:val="24"/>
          <w:szCs w:val="24"/>
        </w:rPr>
        <w:t xml:space="preserve"> Situaciones similares ocurren en diversos países.</w:t>
      </w:r>
      <w:r w:rsidRPr="00661CE2">
        <w:rPr>
          <w:rFonts w:ascii="Arial" w:hAnsi="Arial" w:cs="Arial"/>
          <w:sz w:val="24"/>
          <w:szCs w:val="24"/>
          <w:vertAlign w:val="superscript"/>
        </w:rPr>
        <w:t>5-8</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La información sobre seguridad y RAM recolectada durante los ensayos clínicos es escasa, dadas las condiciones rigurosas y limitadas de los mismos; es por ello que los estudios post-comercialización son clave en la detección y caracterización de RAM poco frecuentes o que se presentan en grupos vulnerables por su edad, sexo o patologías concomitantes, entre otros.</w:t>
      </w:r>
      <w:r w:rsidRPr="00661CE2">
        <w:rPr>
          <w:rFonts w:ascii="Arial" w:hAnsi="Arial" w:cs="Arial"/>
          <w:sz w:val="24"/>
          <w:szCs w:val="24"/>
          <w:vertAlign w:val="superscript"/>
        </w:rPr>
        <w:t>9-10</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 xml:space="preserve">Si bien existen diversos métodos de notificación de RAM, el reporte espontáneo continúa siendo el más empleado puesto que no representa un gasto considerable y no requiere </w:t>
      </w:r>
      <w:r w:rsidRPr="00661CE2">
        <w:rPr>
          <w:rFonts w:ascii="Arial" w:hAnsi="Arial" w:cs="Arial"/>
          <w:sz w:val="24"/>
          <w:szCs w:val="24"/>
        </w:rPr>
        <w:lastRenderedPageBreak/>
        <w:t>demasiada logística; sin embargo, una de sus mayores limitaciones es precisamente que al ser realizado de manera voluntaria por los profesionales de la salud, la cantidad de reportes generados suele ser limitada.</w:t>
      </w:r>
      <w:r w:rsidRPr="00661CE2">
        <w:rPr>
          <w:rFonts w:ascii="Arial" w:hAnsi="Arial" w:cs="Arial"/>
          <w:sz w:val="24"/>
          <w:szCs w:val="24"/>
          <w:vertAlign w:val="superscript"/>
        </w:rPr>
        <w:t>11-13</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En años recientes, algunos países han promovido entre los pacientes el reporte de RAM, puesto que como lo muestra la experiencia de los Países Bajos y Portugal, los pacientes son una fuente de información importante para el monitoreo de la seguridad de los medicamentos.</w:t>
      </w:r>
      <w:r w:rsidRPr="00661CE2">
        <w:rPr>
          <w:rFonts w:ascii="Arial" w:hAnsi="Arial" w:cs="Arial"/>
          <w:sz w:val="24"/>
          <w:szCs w:val="24"/>
          <w:vertAlign w:val="superscript"/>
        </w:rPr>
        <w:t>14, 15</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Pese a los esfuerzos de la OMS por regular y monitorear las RAM en todo el mundo a través del Uppsala Monitoring Centre (UMC), que cuenta con 120 países miembros y 29 asociados,</w:t>
      </w:r>
      <w:r w:rsidRPr="00851BD7">
        <w:rPr>
          <w:rFonts w:ascii="Arial" w:hAnsi="Arial" w:cs="Arial"/>
          <w:sz w:val="24"/>
          <w:szCs w:val="24"/>
          <w:vertAlign w:val="superscript"/>
        </w:rPr>
        <w:t>16</w:t>
      </w:r>
      <w:r>
        <w:rPr>
          <w:rFonts w:ascii="Arial" w:hAnsi="Arial" w:cs="Arial"/>
          <w:sz w:val="24"/>
          <w:szCs w:val="24"/>
          <w:vertAlign w:val="superscript"/>
        </w:rPr>
        <w:t xml:space="preserve"> </w:t>
      </w:r>
      <w:r w:rsidRPr="00661CE2">
        <w:rPr>
          <w:rFonts w:ascii="Arial" w:hAnsi="Arial" w:cs="Arial"/>
          <w:sz w:val="24"/>
          <w:szCs w:val="24"/>
        </w:rPr>
        <w:t>en algunas regiones prevalece un desconocimiento generalizado de la FV y las RAM. Particularmente en algunas zonas de América y Asia la documentación de las RAM es relativamente reciente, pues fue hasta los años noventa cuando los países comenzaron a implantar sistemas de FV dependientes de sus organismos regulatorios.</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En el plano educativo, en la última década se ha logrado la inclusión de temas de FV, RAM y métodos de notificación en los planes de estudios de las carreras de ciencias de la salud, en un esfuerzo por formar a los futuros profesionales en este sentido.</w:t>
      </w:r>
      <w:r w:rsidRPr="00661CE2">
        <w:rPr>
          <w:rFonts w:ascii="Arial" w:hAnsi="Arial" w:cs="Arial"/>
          <w:sz w:val="24"/>
          <w:szCs w:val="24"/>
          <w:vertAlign w:val="superscript"/>
        </w:rPr>
        <w:t>17-19</w:t>
      </w:r>
      <w:r>
        <w:rPr>
          <w:rFonts w:ascii="Arial" w:hAnsi="Arial" w:cs="Arial"/>
          <w:sz w:val="24"/>
          <w:szCs w:val="24"/>
          <w:vertAlign w:val="superscript"/>
        </w:rPr>
        <w:t xml:space="preserve"> </w:t>
      </w:r>
      <w:r w:rsidRPr="00661CE2">
        <w:rPr>
          <w:rFonts w:ascii="Arial" w:hAnsi="Arial" w:cs="Arial"/>
          <w:sz w:val="24"/>
          <w:szCs w:val="24"/>
        </w:rPr>
        <w:t xml:space="preserve"> A nivel mundial, hay poca información disponible sobre el conocimiento y conciencia de los profesionales de la salud en torno a la FV.</w:t>
      </w:r>
      <w:r w:rsidRPr="00661CE2">
        <w:rPr>
          <w:rFonts w:ascii="Arial" w:hAnsi="Arial" w:cs="Arial"/>
          <w:sz w:val="24"/>
          <w:szCs w:val="24"/>
          <w:vertAlign w:val="superscript"/>
        </w:rPr>
        <w:t>20-50</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Este trabajo presenta una revisión sistémica de las publicaciones relativas a la evaluación de conocimientos, actitudes y percepción en FV de los profesionales de la salud. Específicamente, se busca obtener información sobre:</w:t>
      </w:r>
    </w:p>
    <w:p w:rsidR="000537BD" w:rsidRPr="00661CE2" w:rsidRDefault="000537BD" w:rsidP="008F3B53">
      <w:pPr>
        <w:pStyle w:val="Prrafodelista"/>
        <w:numPr>
          <w:ilvl w:val="0"/>
          <w:numId w:val="5"/>
        </w:numPr>
        <w:spacing w:line="360" w:lineRule="auto"/>
        <w:jc w:val="both"/>
        <w:rPr>
          <w:rFonts w:ascii="Arial" w:hAnsi="Arial" w:cs="Arial"/>
          <w:sz w:val="24"/>
          <w:szCs w:val="24"/>
        </w:rPr>
      </w:pPr>
      <w:r w:rsidRPr="00661CE2">
        <w:rPr>
          <w:rFonts w:ascii="Arial" w:hAnsi="Arial" w:cs="Arial"/>
          <w:sz w:val="24"/>
          <w:szCs w:val="24"/>
        </w:rPr>
        <w:t>Conocimientos en FV: definición y objetivos de la FV; ubicación y/o funciones de los Centros Nacionales de FV (CNFV) y el UMC; objetivo de los estudios post-comercialización de fármacos.</w:t>
      </w:r>
    </w:p>
    <w:p w:rsidR="000537BD" w:rsidRPr="00661CE2" w:rsidRDefault="000537BD" w:rsidP="008F3B53">
      <w:pPr>
        <w:pStyle w:val="Prrafodelista"/>
        <w:numPr>
          <w:ilvl w:val="0"/>
          <w:numId w:val="5"/>
        </w:numPr>
        <w:spacing w:line="360" w:lineRule="auto"/>
        <w:jc w:val="both"/>
        <w:rPr>
          <w:rFonts w:ascii="Arial" w:hAnsi="Arial" w:cs="Arial"/>
          <w:sz w:val="24"/>
          <w:szCs w:val="24"/>
        </w:rPr>
      </w:pPr>
      <w:r w:rsidRPr="00661CE2">
        <w:rPr>
          <w:rFonts w:ascii="Arial" w:hAnsi="Arial" w:cs="Arial"/>
          <w:sz w:val="24"/>
          <w:szCs w:val="24"/>
        </w:rPr>
        <w:t xml:space="preserve">Actitudes en FV: </w:t>
      </w:r>
      <w:r>
        <w:rPr>
          <w:rFonts w:ascii="Arial" w:hAnsi="Arial" w:cs="Arial"/>
          <w:sz w:val="24"/>
          <w:szCs w:val="24"/>
        </w:rPr>
        <w:t xml:space="preserve">posturas </w:t>
      </w:r>
      <w:r w:rsidRPr="00661CE2">
        <w:rPr>
          <w:rFonts w:ascii="Arial" w:hAnsi="Arial" w:cs="Arial"/>
          <w:sz w:val="24"/>
          <w:szCs w:val="24"/>
        </w:rPr>
        <w:t xml:space="preserve">adoptadas por los profesionales de la salud respecto a la FV y percepción del sistema de FV; agentes responsables de notificar; necesidad de reportar; profesionales de la salud obligados a reportar; inseguridad de establecer la causalidad de la RAM para su reporte; temor a reportar RAM bien conocidas, triviales o “absurdas”; creencia de que los medicamentos son </w:t>
      </w:r>
      <w:r w:rsidRPr="00661CE2">
        <w:rPr>
          <w:rFonts w:ascii="Arial" w:hAnsi="Arial" w:cs="Arial"/>
          <w:sz w:val="24"/>
          <w:szCs w:val="24"/>
        </w:rPr>
        <w:lastRenderedPageBreak/>
        <w:t>totalmente seguros; falta de tiempo o de remuneración económica por realizar reportes de RAM.</w:t>
      </w:r>
    </w:p>
    <w:p w:rsidR="000537BD" w:rsidRPr="00661CE2" w:rsidRDefault="000537BD" w:rsidP="008F3B53">
      <w:pPr>
        <w:pStyle w:val="Prrafodelista"/>
        <w:numPr>
          <w:ilvl w:val="0"/>
          <w:numId w:val="5"/>
        </w:numPr>
        <w:spacing w:line="360" w:lineRule="auto"/>
        <w:jc w:val="both"/>
        <w:rPr>
          <w:rFonts w:ascii="Arial" w:hAnsi="Arial" w:cs="Arial"/>
          <w:sz w:val="24"/>
          <w:szCs w:val="24"/>
        </w:rPr>
      </w:pPr>
      <w:r w:rsidRPr="00661CE2">
        <w:rPr>
          <w:rFonts w:ascii="Arial" w:hAnsi="Arial" w:cs="Arial"/>
          <w:sz w:val="24"/>
          <w:szCs w:val="24"/>
        </w:rPr>
        <w:t>Percepción en FV: tendencias en el reporte de RAM, procedimientos para el reporte correcto de RAM; recepción de información sobre las RAM, disponibilidad de los formatos para la notificación, retroalimentación y capacitación en FV y en el llenado de los formatos.</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Se encontraron 31 publicaciones referentes a 20 países, predominantemente asiáticos, europeos y africanos y sólo uno americano. La India es el país con mayor número de estudios al respecto (8), seguida de Nigeria (3) y Malasia (2) y Nepal (2). Los estudios, efectuados entre los años 2007 y 2016, son mayormente de tipo transversal e incluyen un tratamiento estadístico descriptivo y/o pruebas de correlación (Chi cuadrada) o de asociación (Kruskal-Wallis y t student). En un caso se emplea un análisis de regresión multivariable.</w:t>
      </w: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r w:rsidRPr="00661CE2">
        <w:rPr>
          <w:rFonts w:ascii="Arial" w:hAnsi="Arial" w:cs="Arial"/>
          <w:sz w:val="24"/>
          <w:szCs w:val="24"/>
        </w:rPr>
        <w:t>En todos los casos se procedió a la construcción y validación de los cuestionarios empleados o bien a la utilización de cuestionarios previamente reportados y a su adaptación a las condiciones del país de aplicación. La tabla 1 resume los detalles demográficos y de diseño de los estudios encontrados.</w:t>
      </w:r>
    </w:p>
    <w:p w:rsidR="000537BD" w:rsidRPr="00661CE2" w:rsidRDefault="000537BD" w:rsidP="008F3B53">
      <w:pPr>
        <w:spacing w:line="360" w:lineRule="auto"/>
        <w:jc w:val="center"/>
        <w:rPr>
          <w:rFonts w:ascii="Arial" w:hAnsi="Arial" w:cs="Arial"/>
          <w:i/>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Pr="00661CE2" w:rsidRDefault="000537BD" w:rsidP="008F3B53">
      <w:pPr>
        <w:spacing w:line="360" w:lineRule="auto"/>
        <w:jc w:val="center"/>
        <w:rPr>
          <w:rFonts w:ascii="Arial" w:hAnsi="Arial" w:cs="Arial"/>
          <w:i/>
          <w:sz w:val="24"/>
          <w:szCs w:val="24"/>
        </w:rPr>
      </w:pPr>
      <w:r w:rsidRPr="00661CE2">
        <w:rPr>
          <w:rFonts w:ascii="Arial" w:hAnsi="Arial" w:cs="Arial"/>
          <w:i/>
          <w:sz w:val="24"/>
          <w:szCs w:val="24"/>
        </w:rPr>
        <w:t>Tabla 1: Datos demográficos y diseño de los estudios en conocimientos, actitudes y percepción en FV publicados de 2007 al 2016.</w:t>
      </w:r>
    </w:p>
    <w:tbl>
      <w:tblPr>
        <w:tblStyle w:val="Tablaconcuadrcula"/>
        <w:tblW w:w="9772" w:type="dxa"/>
        <w:tblLayout w:type="fixed"/>
        <w:tblLook w:val="04A0" w:firstRow="1" w:lastRow="0" w:firstColumn="1" w:lastColumn="0" w:noHBand="0" w:noVBand="1"/>
      </w:tblPr>
      <w:tblGrid>
        <w:gridCol w:w="1412"/>
        <w:gridCol w:w="946"/>
        <w:gridCol w:w="670"/>
        <w:gridCol w:w="1159"/>
        <w:gridCol w:w="1246"/>
        <w:gridCol w:w="774"/>
        <w:gridCol w:w="1323"/>
        <w:gridCol w:w="1006"/>
        <w:gridCol w:w="1236"/>
      </w:tblGrid>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País</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Año de</w:t>
            </w:r>
          </w:p>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Publicación</w:t>
            </w:r>
          </w:p>
        </w:tc>
        <w:tc>
          <w:tcPr>
            <w:tcW w:w="670"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Ref.</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Periodo de tiempo</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Tam</w:t>
            </w:r>
            <w:r>
              <w:rPr>
                <w:rFonts w:ascii="Arial" w:hAnsi="Arial" w:cs="Arial"/>
                <w:sz w:val="24"/>
                <w:szCs w:val="24"/>
              </w:rPr>
              <w:t xml:space="preserve">año de muestra y profesionales </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Tipo de estudio</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Tipo de cuestionario, número de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R</w:t>
            </w:r>
            <w:r>
              <w:rPr>
                <w:rFonts w:ascii="Arial" w:hAnsi="Arial" w:cs="Arial"/>
                <w:sz w:val="24"/>
                <w:szCs w:val="24"/>
              </w:rPr>
              <w:t>ubros  evaluados en la encuesta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Tratamiento estadístico aplicado</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Arabia Saudita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2015</w:t>
            </w:r>
          </w:p>
          <w:p w:rsidR="000537BD" w:rsidRPr="00661CE2" w:rsidRDefault="000537BD" w:rsidP="008F3B53">
            <w:pPr>
              <w:spacing w:after="0" w:line="240" w:lineRule="auto"/>
              <w:jc w:val="center"/>
              <w:rPr>
                <w:rFonts w:ascii="Arial" w:hAnsi="Arial" w:cs="Arial"/>
                <w:sz w:val="24"/>
                <w:szCs w:val="24"/>
              </w:rPr>
            </w:pP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20</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w:t>
            </w:r>
            <w:r w:rsidRPr="00661CE2">
              <w:rPr>
                <w:rFonts w:ascii="Arial" w:hAnsi="Arial" w:cs="Arial"/>
                <w:sz w:val="24"/>
                <w:szCs w:val="24"/>
              </w:rPr>
              <w:t>oviembre-</w:t>
            </w:r>
            <w:r>
              <w:rPr>
                <w:rFonts w:ascii="Arial" w:hAnsi="Arial" w:cs="Arial"/>
                <w:sz w:val="24"/>
                <w:szCs w:val="24"/>
              </w:rPr>
              <w:t>D</w:t>
            </w:r>
            <w:r w:rsidRPr="00661CE2">
              <w:rPr>
                <w:rFonts w:ascii="Arial" w:hAnsi="Arial" w:cs="Arial"/>
                <w:sz w:val="24"/>
                <w:szCs w:val="24"/>
              </w:rPr>
              <w:t>iciembre 2012</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113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110</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106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3</w:t>
            </w:r>
          </w:p>
          <w:p w:rsidR="000537BD" w:rsidRPr="00661CE2" w:rsidRDefault="000537BD" w:rsidP="008F3B53">
            <w:pPr>
              <w:spacing w:after="0" w:line="240" w:lineRule="auto"/>
              <w:jc w:val="center"/>
              <w:rPr>
                <w:rFonts w:ascii="Arial" w:hAnsi="Arial" w:cs="Arial"/>
                <w:sz w:val="24"/>
                <w:szCs w:val="24"/>
              </w:rPr>
            </w:pP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18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Pr>
                <w:rFonts w:ascii="Arial" w:hAnsi="Arial" w:cs="Arial"/>
                <w:sz w:val="24"/>
                <w:szCs w:val="24"/>
              </w:rPr>
              <w:t xml:space="preserve">, </w:t>
            </w:r>
            <w:r w:rsidRPr="00661CE2">
              <w:rPr>
                <w:rFonts w:ascii="Arial" w:hAnsi="Arial" w:cs="Arial"/>
                <w:sz w:val="24"/>
                <w:szCs w:val="24"/>
              </w:rPr>
              <w:t xml:space="preserve">Fisher </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Bulgaria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2013</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21</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1 mes 2011</w:t>
            </w:r>
          </w:p>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135</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L</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sidRPr="00661CE2">
              <w:rPr>
                <w:rFonts w:ascii="Arial" w:hAnsi="Arial" w:cs="Arial"/>
                <w:sz w:val="24"/>
                <w:szCs w:val="24"/>
              </w:rPr>
              <w:t xml:space="preserve"> </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lastRenderedPageBreak/>
              <w:t>Cabo Verde República de</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2016</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22</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A</w:t>
            </w:r>
            <w:r w:rsidRPr="00661CE2">
              <w:rPr>
                <w:rFonts w:ascii="Arial" w:hAnsi="Arial" w:cs="Arial"/>
                <w:sz w:val="24"/>
                <w:szCs w:val="24"/>
              </w:rPr>
              <w:t>gosto 2015</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75</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Camerún</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2015</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23</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J</w:t>
            </w:r>
            <w:r w:rsidRPr="00661CE2">
              <w:rPr>
                <w:rFonts w:ascii="Arial" w:hAnsi="Arial" w:cs="Arial"/>
                <w:sz w:val="24"/>
                <w:szCs w:val="24"/>
              </w:rPr>
              <w:t xml:space="preserve">unio 2013- </w:t>
            </w:r>
            <w:r>
              <w:rPr>
                <w:rFonts w:ascii="Arial" w:hAnsi="Arial" w:cs="Arial"/>
                <w:sz w:val="24"/>
                <w:szCs w:val="24"/>
              </w:rPr>
              <w:t>F</w:t>
            </w:r>
            <w:r w:rsidRPr="00661CE2">
              <w:rPr>
                <w:rFonts w:ascii="Arial" w:hAnsi="Arial" w:cs="Arial"/>
                <w:sz w:val="24"/>
                <w:szCs w:val="24"/>
              </w:rPr>
              <w:t>ebrero 2015</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82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33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17</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17</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Proporciones  y Otts Radio</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China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2009</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24</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Julio- D</w:t>
            </w:r>
            <w:r w:rsidRPr="00661CE2">
              <w:rPr>
                <w:rFonts w:ascii="Arial" w:hAnsi="Arial" w:cs="Arial"/>
                <w:sz w:val="24"/>
                <w:szCs w:val="24"/>
              </w:rPr>
              <w:t>iciembre 2007</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246</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opción múltiple,</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student</w:t>
            </w:r>
            <w:r>
              <w:rPr>
                <w:rFonts w:ascii="Arial" w:hAnsi="Arial" w:cs="Arial"/>
                <w:sz w:val="24"/>
                <w:szCs w:val="24"/>
              </w:rPr>
              <w:t xml:space="preserve">, </w:t>
            </w:r>
            <w:r w:rsidRPr="00344833">
              <w:rPr>
                <w:rFonts w:ascii="Arial" w:hAnsi="Arial" w:cs="Arial"/>
                <w:sz w:val="24"/>
                <w:szCs w:val="24"/>
              </w:rPr>
              <w:t>χ²</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Chipre</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2016</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25</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71</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90</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98</w:t>
            </w:r>
          </w:p>
          <w:p w:rsidR="000537BD" w:rsidRPr="00661CE2" w:rsidRDefault="000537BD" w:rsidP="008F3B53">
            <w:pPr>
              <w:spacing w:after="0" w:line="240" w:lineRule="auto"/>
              <w:jc w:val="center"/>
              <w:rPr>
                <w:rFonts w:ascii="Arial" w:hAnsi="Arial" w:cs="Arial"/>
                <w:sz w:val="24"/>
                <w:szCs w:val="24"/>
              </w:rPr>
            </w:pP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preguntas abiertas, Likert 5 puntos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p>
        </w:tc>
      </w:tr>
      <w:tr w:rsidR="000537BD" w:rsidRPr="00661CE2" w:rsidTr="008F3B53">
        <w:tc>
          <w:tcPr>
            <w:tcW w:w="1412" w:type="dxa"/>
            <w:vMerge w:val="restart"/>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India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2016</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26</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E:180</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21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Pr>
                <w:rFonts w:ascii="Arial" w:hAnsi="Arial" w:cs="Arial"/>
                <w:sz w:val="24"/>
                <w:szCs w:val="24"/>
              </w:rPr>
              <w:t xml:space="preserve">, </w:t>
            </w:r>
            <w:r w:rsidRPr="00661CE2">
              <w:rPr>
                <w:rFonts w:ascii="Arial" w:hAnsi="Arial" w:cs="Arial"/>
                <w:sz w:val="24"/>
                <w:szCs w:val="24"/>
              </w:rPr>
              <w:t>Anova</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20</w:t>
            </w:r>
            <w:r>
              <w:rPr>
                <w:rFonts w:ascii="Arial" w:hAnsi="Arial" w:cs="Arial"/>
                <w:sz w:val="24"/>
                <w:szCs w:val="24"/>
              </w:rPr>
              <w:t>16</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27</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J</w:t>
            </w:r>
            <w:r w:rsidRPr="00661CE2">
              <w:rPr>
                <w:rFonts w:ascii="Arial" w:hAnsi="Arial" w:cs="Arial"/>
                <w:sz w:val="24"/>
                <w:szCs w:val="24"/>
              </w:rPr>
              <w:t>unio-</w:t>
            </w:r>
            <w:r>
              <w:rPr>
                <w:rFonts w:ascii="Arial" w:hAnsi="Arial" w:cs="Arial"/>
                <w:sz w:val="24"/>
                <w:szCs w:val="24"/>
              </w:rPr>
              <w:t>J</w:t>
            </w:r>
            <w:r w:rsidRPr="00661CE2">
              <w:rPr>
                <w:rFonts w:ascii="Arial" w:hAnsi="Arial" w:cs="Arial"/>
                <w:sz w:val="24"/>
                <w:szCs w:val="24"/>
              </w:rPr>
              <w:t>ulio 2014</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75</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17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sidRPr="00661CE2">
              <w:rPr>
                <w:rFonts w:ascii="Arial" w:hAnsi="Arial" w:cs="Arial"/>
                <w:sz w:val="24"/>
                <w:szCs w:val="24"/>
              </w:rPr>
              <w:t xml:space="preserve"> </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2015</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28</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J</w:t>
            </w:r>
            <w:r w:rsidRPr="00661CE2">
              <w:rPr>
                <w:rFonts w:ascii="Arial" w:hAnsi="Arial" w:cs="Arial"/>
                <w:sz w:val="24"/>
                <w:szCs w:val="24"/>
              </w:rPr>
              <w:t>ulio-</w:t>
            </w:r>
            <w:r>
              <w:rPr>
                <w:rFonts w:ascii="Arial" w:hAnsi="Arial" w:cs="Arial"/>
                <w:sz w:val="24"/>
                <w:szCs w:val="24"/>
              </w:rPr>
              <w:t>A</w:t>
            </w:r>
            <w:r w:rsidRPr="00661CE2">
              <w:rPr>
                <w:rFonts w:ascii="Arial" w:hAnsi="Arial" w:cs="Arial"/>
                <w:sz w:val="24"/>
                <w:szCs w:val="24"/>
              </w:rPr>
              <w:t>gosto 2014</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101</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22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2015</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29</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Junio-J</w:t>
            </w:r>
            <w:r w:rsidRPr="00661CE2">
              <w:rPr>
                <w:rFonts w:ascii="Arial" w:hAnsi="Arial" w:cs="Arial"/>
                <w:sz w:val="24"/>
                <w:szCs w:val="24"/>
              </w:rPr>
              <w:t>ulio 2013</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50</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7</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44</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20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r w:rsidRPr="00661CE2">
              <w:rPr>
                <w:rFonts w:ascii="Arial" w:hAnsi="Arial" w:cs="Arial"/>
                <w:sz w:val="24"/>
                <w:szCs w:val="24"/>
              </w:rPr>
              <w:t xml:space="preserve"> y coeficiente de correlación Spearman</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2015</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30</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436</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15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2012</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31</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Mayo-J</w:t>
            </w:r>
            <w:r w:rsidRPr="00661CE2">
              <w:rPr>
                <w:rFonts w:ascii="Arial" w:hAnsi="Arial" w:cs="Arial"/>
                <w:sz w:val="24"/>
                <w:szCs w:val="24"/>
              </w:rPr>
              <w:t>ulio 2012</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400</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33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2012</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32</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870</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2012</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33</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84</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preguntas abiertas y cerradas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lastRenderedPageBreak/>
              <w:t>Irán</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2009</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34</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M</w:t>
            </w:r>
            <w:r w:rsidRPr="00661CE2">
              <w:rPr>
                <w:rFonts w:ascii="Arial" w:hAnsi="Arial" w:cs="Arial"/>
                <w:sz w:val="24"/>
                <w:szCs w:val="24"/>
              </w:rPr>
              <w:t>ayo 2007</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110</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 xml:space="preserve">Italia </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2013</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35</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 mes</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552</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11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Japón</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2016</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36</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Enero-M</w:t>
            </w:r>
            <w:r w:rsidRPr="00661CE2">
              <w:rPr>
                <w:rFonts w:ascii="Arial" w:hAnsi="Arial" w:cs="Arial"/>
                <w:sz w:val="24"/>
                <w:szCs w:val="24"/>
              </w:rPr>
              <w:t>arzo 2013</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1851</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dicotómicos, Likert 5 puntos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Pr>
                <w:rFonts w:ascii="Arial" w:hAnsi="Arial" w:cs="Arial"/>
                <w:sz w:val="24"/>
                <w:szCs w:val="24"/>
              </w:rPr>
              <w:t xml:space="preserve">, </w:t>
            </w:r>
            <w:r w:rsidRPr="00661CE2">
              <w:rPr>
                <w:rFonts w:ascii="Arial" w:hAnsi="Arial" w:cs="Arial"/>
                <w:sz w:val="24"/>
                <w:szCs w:val="24"/>
              </w:rPr>
              <w:t>anál</w:t>
            </w:r>
            <w:r>
              <w:rPr>
                <w:rFonts w:ascii="Arial" w:hAnsi="Arial" w:cs="Arial"/>
                <w:sz w:val="24"/>
                <w:szCs w:val="24"/>
              </w:rPr>
              <w:t xml:space="preserve">isis de regresión multivariable, </w:t>
            </w:r>
            <w:r w:rsidRPr="00661CE2">
              <w:rPr>
                <w:rFonts w:ascii="Arial" w:hAnsi="Arial" w:cs="Arial"/>
                <w:sz w:val="24"/>
                <w:szCs w:val="24"/>
              </w:rPr>
              <w:t>Fisher</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Líbano</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2016</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37</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Febrero-Mayo 2015</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233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133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62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22</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33 ítems,  preguntas abiertas y cerradas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r w:rsidRPr="00661CE2">
              <w:rPr>
                <w:rFonts w:ascii="Arial" w:hAnsi="Arial" w:cs="Arial"/>
                <w:sz w:val="24"/>
                <w:szCs w:val="24"/>
              </w:rPr>
              <w:t>, análisis bivariado y multivariable</w:t>
            </w:r>
          </w:p>
        </w:tc>
      </w:tr>
      <w:tr w:rsidR="000537BD" w:rsidRPr="00661CE2" w:rsidTr="008F3B53">
        <w:tc>
          <w:tcPr>
            <w:tcW w:w="1412" w:type="dxa"/>
            <w:vMerge w:val="restart"/>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Malasia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2014</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38</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 meses</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104</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55 ítems, opción múltiple o Likert 5 puntos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Pr>
                <w:rFonts w:ascii="Arial" w:hAnsi="Arial" w:cs="Arial"/>
                <w:sz w:val="24"/>
                <w:szCs w:val="24"/>
              </w:rPr>
              <w:t xml:space="preserve">, </w:t>
            </w:r>
            <w:r w:rsidRPr="00661CE2">
              <w:rPr>
                <w:rFonts w:ascii="Arial" w:hAnsi="Arial" w:cs="Arial"/>
                <w:sz w:val="24"/>
                <w:szCs w:val="24"/>
              </w:rPr>
              <w:t>Fisher</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2011</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39</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Diciembre 2010- Enero 2011</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260</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25 ítems, opción múltiple, escala Likert 5 puntos, dicotómico (falso / verdadero).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r w:rsidRPr="00661CE2">
              <w:rPr>
                <w:rFonts w:ascii="Arial" w:hAnsi="Arial" w:cs="Arial"/>
                <w:sz w:val="24"/>
                <w:szCs w:val="24"/>
              </w:rPr>
              <w:t>,</w:t>
            </w:r>
            <w:r>
              <w:rPr>
                <w:rFonts w:ascii="Arial" w:hAnsi="Arial" w:cs="Arial"/>
                <w:sz w:val="24"/>
                <w:szCs w:val="24"/>
              </w:rPr>
              <w:t xml:space="preserve"> </w:t>
            </w: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Pr>
                <w:rFonts w:ascii="Arial" w:hAnsi="Arial" w:cs="Arial"/>
                <w:sz w:val="24"/>
                <w:szCs w:val="24"/>
              </w:rPr>
              <w:t>,</w:t>
            </w:r>
            <w:r w:rsidRPr="00661CE2">
              <w:rPr>
                <w:rFonts w:ascii="Arial" w:hAnsi="Arial" w:cs="Arial"/>
                <w:sz w:val="24"/>
                <w:szCs w:val="24"/>
              </w:rPr>
              <w:t xml:space="preserve"> T student, U de Mann-Whitney y Anova de 1 vía con Tukey. </w:t>
            </w:r>
          </w:p>
        </w:tc>
      </w:tr>
      <w:tr w:rsidR="000537BD" w:rsidRPr="00661CE2" w:rsidTr="008F3B53">
        <w:tc>
          <w:tcPr>
            <w:tcW w:w="1412" w:type="dxa"/>
            <w:vMerge w:val="restart"/>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Nepal</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2013</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40</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162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32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E:135</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25 ítems, opción múltiple</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Pr>
                <w:rFonts w:ascii="Arial" w:hAnsi="Arial" w:cs="Arial"/>
                <w:sz w:val="24"/>
                <w:szCs w:val="24"/>
              </w:rPr>
              <w:t xml:space="preserve">, </w:t>
            </w:r>
            <w:r w:rsidRPr="00661CE2">
              <w:rPr>
                <w:rFonts w:ascii="Arial" w:hAnsi="Arial" w:cs="Arial"/>
                <w:sz w:val="24"/>
                <w:szCs w:val="24"/>
              </w:rPr>
              <w:t>Kruskal-Wallis</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2013</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41</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M:162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E:135</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F:32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O:4</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18 ítems, opción múltiple</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r>
              <w:rPr>
                <w:rFonts w:ascii="Arial" w:hAnsi="Arial" w:cs="Arial"/>
                <w:sz w:val="24"/>
                <w:szCs w:val="24"/>
              </w:rPr>
              <w:t xml:space="preserve">, </w:t>
            </w:r>
            <w:r w:rsidRPr="00661CE2">
              <w:rPr>
                <w:rFonts w:ascii="Arial" w:hAnsi="Arial" w:cs="Arial"/>
                <w:sz w:val="24"/>
                <w:szCs w:val="24"/>
              </w:rPr>
              <w:t>Kruskal-Wallis</w:t>
            </w:r>
          </w:p>
        </w:tc>
      </w:tr>
      <w:tr w:rsidR="000537BD" w:rsidRPr="00661CE2" w:rsidTr="008F3B53">
        <w:tc>
          <w:tcPr>
            <w:tcW w:w="1412" w:type="dxa"/>
            <w:vMerge w:val="restart"/>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Nigeria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2015</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42</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 xml:space="preserve">Junio 2014- </w:t>
            </w:r>
            <w:r w:rsidRPr="00661CE2">
              <w:rPr>
                <w:rFonts w:ascii="Arial" w:hAnsi="Arial" w:cs="Arial"/>
                <w:sz w:val="24"/>
                <w:szCs w:val="24"/>
              </w:rPr>
              <w:lastRenderedPageBreak/>
              <w:t>Febrero 2015</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lastRenderedPageBreak/>
              <w:t>T: 108</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25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r w:rsidRPr="00661CE2">
              <w:rPr>
                <w:rFonts w:ascii="Arial" w:hAnsi="Arial" w:cs="Arial"/>
                <w:sz w:val="24"/>
                <w:szCs w:val="24"/>
              </w:rPr>
              <w:t xml:space="preserve"> y T student</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2011</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43</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Febrero-Julio 2009</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332</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Pr</w:t>
            </w:r>
          </w:p>
        </w:tc>
        <w:tc>
          <w:tcPr>
            <w:tcW w:w="1236" w:type="dxa"/>
          </w:tcPr>
          <w:p w:rsidR="000537BD" w:rsidRPr="00661CE2" w:rsidRDefault="000537BD" w:rsidP="008F3B53">
            <w:pPr>
              <w:spacing w:after="0" w:line="240" w:lineRule="auto"/>
              <w:jc w:val="center"/>
              <w:rPr>
                <w:rFonts w:ascii="Arial" w:hAnsi="Arial" w:cs="Arial"/>
                <w:sz w:val="24"/>
                <w:szCs w:val="24"/>
              </w:rPr>
            </w:pPr>
            <w:r w:rsidRPr="004B0317">
              <w:rPr>
                <w:rFonts w:ascii="Arial" w:hAnsi="Arial" w:cs="Arial"/>
                <w:sz w:val="24"/>
                <w:szCs w:val="24"/>
              </w:rPr>
              <w:t>ED, χ²</w:t>
            </w:r>
          </w:p>
        </w:tc>
      </w:tr>
      <w:tr w:rsidR="000537BD" w:rsidRPr="00661CE2" w:rsidTr="008F3B53">
        <w:tc>
          <w:tcPr>
            <w:tcW w:w="1412" w:type="dxa"/>
            <w:vMerge/>
            <w:vAlign w:val="center"/>
          </w:tcPr>
          <w:p w:rsidR="000537BD" w:rsidRPr="00661CE2" w:rsidRDefault="000537BD" w:rsidP="008F3B53">
            <w:pPr>
              <w:spacing w:after="0" w:line="240" w:lineRule="auto"/>
              <w:jc w:val="center"/>
              <w:rPr>
                <w:rFonts w:ascii="Arial" w:hAnsi="Arial" w:cs="Arial"/>
                <w:sz w:val="24"/>
                <w:szCs w:val="24"/>
              </w:rPr>
            </w:pP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2009</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44</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 mes</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99</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tcPr>
          <w:p w:rsidR="000537BD" w:rsidRPr="00661CE2" w:rsidRDefault="000537BD" w:rsidP="008F3B53">
            <w:pPr>
              <w:spacing w:after="0" w:line="240" w:lineRule="auto"/>
              <w:jc w:val="center"/>
              <w:rPr>
                <w:rFonts w:ascii="Arial" w:hAnsi="Arial" w:cs="Arial"/>
                <w:sz w:val="24"/>
                <w:szCs w:val="24"/>
              </w:rPr>
            </w:pPr>
            <w:r w:rsidRPr="004B0317">
              <w:rPr>
                <w:rFonts w:ascii="Arial" w:hAnsi="Arial" w:cs="Arial"/>
                <w:sz w:val="24"/>
                <w:szCs w:val="24"/>
              </w:rPr>
              <w:t>ED, χ²</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Noruega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2007</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45</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Septiembre- Diciembre 2004</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158</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antes y después de intervención educativa</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Portugal</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2012</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46</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30</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20</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30</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18 ítems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r w:rsidRPr="00661CE2">
              <w:rPr>
                <w:rFonts w:ascii="Arial" w:hAnsi="Arial" w:cs="Arial"/>
                <w:sz w:val="24"/>
                <w:szCs w:val="24"/>
              </w:rPr>
              <w:t>, Kruskal-Wallis y coeficiente de correlación interclase</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Suecia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2009</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47</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Mayo 2006</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651</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w:t>
            </w:r>
            <w:r>
              <w:rPr>
                <w:rFonts w:ascii="Arial" w:hAnsi="Arial" w:cs="Arial"/>
                <w:sz w:val="24"/>
                <w:szCs w:val="24"/>
              </w:rPr>
              <w:t xml:space="preserve">D, </w:t>
            </w:r>
            <w:r w:rsidRPr="00344833">
              <w:rPr>
                <w:rFonts w:ascii="Arial" w:hAnsi="Arial" w:cs="Arial"/>
                <w:sz w:val="24"/>
                <w:szCs w:val="24"/>
              </w:rPr>
              <w:t>χ²</w:t>
            </w:r>
          </w:p>
        </w:tc>
      </w:tr>
      <w:tr w:rsidR="000537BD" w:rsidRPr="008F3B53"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Sultanato de Omán</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2014</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48</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Abril-Junio 2012</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107</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21 ítems, opción múltiple y Likert 5 puntos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8F3B53" w:rsidRDefault="000537BD" w:rsidP="008F3B53">
            <w:pPr>
              <w:spacing w:after="0" w:line="240" w:lineRule="auto"/>
              <w:jc w:val="center"/>
              <w:rPr>
                <w:rFonts w:ascii="Arial" w:hAnsi="Arial" w:cs="Arial"/>
                <w:sz w:val="24"/>
                <w:szCs w:val="24"/>
                <w:lang w:val="en-US"/>
              </w:rPr>
            </w:pPr>
            <w:r w:rsidRPr="008F3B53">
              <w:rPr>
                <w:rFonts w:ascii="Arial" w:hAnsi="Arial" w:cs="Arial"/>
                <w:sz w:val="24"/>
                <w:szCs w:val="24"/>
                <w:lang w:val="en-US"/>
              </w:rPr>
              <w:t>ED, Kruskal-Wallis y U de Mann-Whitney</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Turquía</w:t>
            </w:r>
          </w:p>
        </w:tc>
        <w:tc>
          <w:tcPr>
            <w:tcW w:w="94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2008</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49</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Diciembre 2005- Junio 2006</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F:219</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25 ítems, opción múltiple y Likert 5 puntos</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ED</w:t>
            </w:r>
            <w:r w:rsidRPr="00661CE2">
              <w:rPr>
                <w:rFonts w:ascii="Arial" w:hAnsi="Arial" w:cs="Arial"/>
                <w:sz w:val="24"/>
                <w:szCs w:val="24"/>
              </w:rPr>
              <w:t xml:space="preserve">, </w:t>
            </w:r>
            <w:r w:rsidRPr="00344833">
              <w:rPr>
                <w:rFonts w:ascii="Arial" w:hAnsi="Arial" w:cs="Arial"/>
                <w:sz w:val="24"/>
                <w:szCs w:val="24"/>
              </w:rPr>
              <w:t>χ²</w:t>
            </w:r>
            <w:r>
              <w:rPr>
                <w:rFonts w:ascii="Arial" w:hAnsi="Arial" w:cs="Arial"/>
                <w:sz w:val="24"/>
                <w:szCs w:val="24"/>
              </w:rPr>
              <w:t xml:space="preserve">: </w:t>
            </w:r>
            <w:r w:rsidRPr="00661CE2">
              <w:rPr>
                <w:rFonts w:ascii="Arial" w:hAnsi="Arial" w:cs="Arial"/>
                <w:sz w:val="24"/>
                <w:szCs w:val="24"/>
              </w:rPr>
              <w:t xml:space="preserve">coeficiente de correlación de Pearson </w:t>
            </w:r>
          </w:p>
        </w:tc>
      </w:tr>
      <w:tr w:rsidR="000537BD" w:rsidRPr="00661CE2" w:rsidTr="008F3B53">
        <w:tc>
          <w:tcPr>
            <w:tcW w:w="1412"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Venezuela</w:t>
            </w:r>
          </w:p>
        </w:tc>
        <w:tc>
          <w:tcPr>
            <w:tcW w:w="946" w:type="dxa"/>
            <w:vAlign w:val="center"/>
          </w:tcPr>
          <w:p w:rsidR="000537BD" w:rsidRPr="00E8139D" w:rsidRDefault="000537BD" w:rsidP="008F3B53">
            <w:pPr>
              <w:spacing w:after="0" w:line="240" w:lineRule="auto"/>
              <w:jc w:val="center"/>
              <w:rPr>
                <w:rFonts w:ascii="Arial" w:hAnsi="Arial" w:cs="Arial"/>
                <w:sz w:val="24"/>
                <w:szCs w:val="24"/>
              </w:rPr>
            </w:pPr>
            <w:r>
              <w:rPr>
                <w:rFonts w:ascii="Arial" w:hAnsi="Arial" w:cs="Arial"/>
                <w:sz w:val="24"/>
                <w:szCs w:val="24"/>
              </w:rPr>
              <w:t>2011</w:t>
            </w:r>
          </w:p>
        </w:tc>
        <w:tc>
          <w:tcPr>
            <w:tcW w:w="670" w:type="dxa"/>
            <w:vAlign w:val="center"/>
          </w:tcPr>
          <w:p w:rsidR="000537BD" w:rsidRPr="00033EE5" w:rsidRDefault="000537BD" w:rsidP="008F3B53">
            <w:pPr>
              <w:spacing w:after="0" w:line="240" w:lineRule="auto"/>
              <w:jc w:val="center"/>
              <w:rPr>
                <w:rFonts w:ascii="Arial" w:hAnsi="Arial" w:cs="Arial"/>
                <w:sz w:val="24"/>
                <w:szCs w:val="24"/>
                <w:vertAlign w:val="superscript"/>
              </w:rPr>
            </w:pPr>
            <w:r w:rsidRPr="00033EE5">
              <w:rPr>
                <w:rFonts w:ascii="Arial" w:hAnsi="Arial" w:cs="Arial"/>
                <w:sz w:val="24"/>
                <w:szCs w:val="24"/>
                <w:vertAlign w:val="superscript"/>
              </w:rPr>
              <w:t>50</w:t>
            </w:r>
          </w:p>
        </w:tc>
        <w:tc>
          <w:tcPr>
            <w:tcW w:w="1159"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Abril-Junio 2007</w:t>
            </w:r>
          </w:p>
        </w:tc>
        <w:tc>
          <w:tcPr>
            <w:tcW w:w="124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515</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78</w:t>
            </w:r>
          </w:p>
        </w:tc>
        <w:tc>
          <w:tcPr>
            <w:tcW w:w="774"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w:t>
            </w:r>
          </w:p>
        </w:tc>
        <w:tc>
          <w:tcPr>
            <w:tcW w:w="1323"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Validado, conocimientos en notificación espontánea</w:t>
            </w:r>
          </w:p>
        </w:tc>
        <w:tc>
          <w:tcPr>
            <w:tcW w:w="1006" w:type="dxa"/>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w:t>
            </w:r>
          </w:p>
        </w:tc>
        <w:tc>
          <w:tcPr>
            <w:tcW w:w="1236" w:type="dxa"/>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 xml:space="preserve">ED, </w:t>
            </w:r>
            <w:r w:rsidRPr="00344833">
              <w:rPr>
                <w:rFonts w:ascii="Arial" w:hAnsi="Arial" w:cs="Arial"/>
                <w:sz w:val="24"/>
                <w:szCs w:val="24"/>
              </w:rPr>
              <w:t>χ²</w:t>
            </w:r>
            <w:r w:rsidRPr="00661CE2">
              <w:rPr>
                <w:rFonts w:ascii="Arial" w:hAnsi="Arial" w:cs="Arial"/>
                <w:sz w:val="24"/>
                <w:szCs w:val="24"/>
              </w:rPr>
              <w:t>, análisis de regresión</w:t>
            </w:r>
          </w:p>
        </w:tc>
      </w:tr>
    </w:tbl>
    <w:p w:rsidR="000537BD" w:rsidRDefault="000537BD" w:rsidP="008F3B53">
      <w:pPr>
        <w:spacing w:after="0" w:line="240" w:lineRule="auto"/>
        <w:jc w:val="both"/>
        <w:rPr>
          <w:rFonts w:ascii="Arial" w:hAnsi="Arial" w:cs="Arial"/>
          <w:sz w:val="24"/>
          <w:szCs w:val="24"/>
        </w:rPr>
      </w:pPr>
      <w:r>
        <w:rPr>
          <w:rFonts w:ascii="Arial" w:hAnsi="Arial" w:cs="Arial"/>
          <w:sz w:val="24"/>
          <w:szCs w:val="24"/>
        </w:rPr>
        <w:lastRenderedPageBreak/>
        <w:t xml:space="preserve">Abreviaturas: </w:t>
      </w:r>
      <w:r w:rsidRPr="00661CE2">
        <w:rPr>
          <w:rFonts w:ascii="Arial" w:hAnsi="Arial" w:cs="Arial"/>
          <w:sz w:val="24"/>
          <w:szCs w:val="24"/>
        </w:rPr>
        <w:t>M: médicos</w:t>
      </w:r>
      <w:r>
        <w:rPr>
          <w:rFonts w:ascii="Arial" w:hAnsi="Arial" w:cs="Arial"/>
          <w:sz w:val="24"/>
          <w:szCs w:val="24"/>
        </w:rPr>
        <w:t xml:space="preserve">, </w:t>
      </w:r>
      <w:r w:rsidRPr="00661CE2">
        <w:rPr>
          <w:rFonts w:ascii="Arial" w:hAnsi="Arial" w:cs="Arial"/>
          <w:sz w:val="24"/>
          <w:szCs w:val="24"/>
        </w:rPr>
        <w:t>F: farmacéuticos</w:t>
      </w:r>
      <w:r>
        <w:rPr>
          <w:rFonts w:ascii="Arial" w:hAnsi="Arial" w:cs="Arial"/>
          <w:sz w:val="24"/>
          <w:szCs w:val="24"/>
        </w:rPr>
        <w:t xml:space="preserve">, E: enfermeros,  </w:t>
      </w:r>
      <w:r w:rsidRPr="00661CE2">
        <w:rPr>
          <w:rFonts w:ascii="Arial" w:hAnsi="Arial" w:cs="Arial"/>
          <w:sz w:val="24"/>
          <w:szCs w:val="24"/>
        </w:rPr>
        <w:t>T: transversal</w:t>
      </w:r>
      <w:r>
        <w:rPr>
          <w:rFonts w:ascii="Arial" w:hAnsi="Arial" w:cs="Arial"/>
          <w:sz w:val="24"/>
          <w:szCs w:val="24"/>
        </w:rPr>
        <w:t xml:space="preserve">, </w:t>
      </w:r>
      <w:r w:rsidRPr="00661CE2">
        <w:rPr>
          <w:rFonts w:ascii="Arial" w:hAnsi="Arial" w:cs="Arial"/>
          <w:sz w:val="24"/>
          <w:szCs w:val="24"/>
        </w:rPr>
        <w:t>L: longitudinal</w:t>
      </w:r>
      <w:r>
        <w:rPr>
          <w:rFonts w:ascii="Arial" w:hAnsi="Arial" w:cs="Arial"/>
          <w:sz w:val="24"/>
          <w:szCs w:val="24"/>
        </w:rPr>
        <w:t xml:space="preserve">,  </w:t>
      </w:r>
      <w:r w:rsidRPr="00661CE2">
        <w:rPr>
          <w:rFonts w:ascii="Arial" w:hAnsi="Arial" w:cs="Arial"/>
          <w:sz w:val="24"/>
          <w:szCs w:val="24"/>
        </w:rPr>
        <w:t>C: conocimientos</w:t>
      </w:r>
      <w:r>
        <w:rPr>
          <w:rFonts w:ascii="Arial" w:hAnsi="Arial" w:cs="Arial"/>
          <w:sz w:val="24"/>
          <w:szCs w:val="24"/>
        </w:rPr>
        <w:t xml:space="preserve">, </w:t>
      </w:r>
      <w:r w:rsidRPr="00661CE2">
        <w:rPr>
          <w:rFonts w:ascii="Arial" w:hAnsi="Arial" w:cs="Arial"/>
          <w:sz w:val="24"/>
          <w:szCs w:val="24"/>
        </w:rPr>
        <w:t>A: actitudes</w:t>
      </w:r>
      <w:r>
        <w:rPr>
          <w:rFonts w:ascii="Arial" w:hAnsi="Arial" w:cs="Arial"/>
          <w:sz w:val="24"/>
          <w:szCs w:val="24"/>
        </w:rPr>
        <w:t xml:space="preserve">, </w:t>
      </w:r>
      <w:r w:rsidRPr="00661CE2">
        <w:rPr>
          <w:rFonts w:ascii="Arial" w:hAnsi="Arial" w:cs="Arial"/>
          <w:sz w:val="24"/>
          <w:szCs w:val="24"/>
        </w:rPr>
        <w:t>P: percepción</w:t>
      </w:r>
      <w:r>
        <w:rPr>
          <w:rFonts w:ascii="Arial" w:hAnsi="Arial" w:cs="Arial"/>
          <w:sz w:val="24"/>
          <w:szCs w:val="24"/>
        </w:rPr>
        <w:t>, Ref.</w:t>
      </w:r>
      <w:r w:rsidR="008F3B53">
        <w:rPr>
          <w:rFonts w:ascii="Arial" w:hAnsi="Arial" w:cs="Arial"/>
          <w:sz w:val="24"/>
          <w:szCs w:val="24"/>
        </w:rPr>
        <w:t>:</w:t>
      </w:r>
      <w:r>
        <w:rPr>
          <w:rFonts w:ascii="Arial" w:hAnsi="Arial" w:cs="Arial"/>
          <w:sz w:val="24"/>
          <w:szCs w:val="24"/>
        </w:rPr>
        <w:t xml:space="preserve"> referencia, ED: estadística descriptiva, </w:t>
      </w:r>
      <w:r w:rsidRPr="00344833">
        <w:rPr>
          <w:rFonts w:ascii="Arial" w:hAnsi="Arial" w:cs="Arial"/>
          <w:sz w:val="24"/>
          <w:szCs w:val="24"/>
        </w:rPr>
        <w:t>χ²</w:t>
      </w:r>
      <w:r>
        <w:rPr>
          <w:rFonts w:ascii="Arial" w:hAnsi="Arial" w:cs="Arial"/>
          <w:sz w:val="24"/>
          <w:szCs w:val="24"/>
        </w:rPr>
        <w:t>: chi cuadrada</w:t>
      </w:r>
    </w:p>
    <w:p w:rsidR="000537BD" w:rsidRDefault="000537BD" w:rsidP="008F3B53">
      <w:pPr>
        <w:spacing w:after="0" w:line="240" w:lineRule="auto"/>
        <w:jc w:val="both"/>
        <w:rPr>
          <w:rFonts w:ascii="Arial" w:hAnsi="Arial" w:cs="Arial"/>
          <w:sz w:val="24"/>
          <w:szCs w:val="24"/>
        </w:rPr>
      </w:pPr>
    </w:p>
    <w:p w:rsidR="000537BD" w:rsidRPr="00661CE2" w:rsidRDefault="000537BD" w:rsidP="008F3B53">
      <w:pPr>
        <w:spacing w:after="0" w:line="24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Default="000537BD" w:rsidP="008F3B53">
      <w:pPr>
        <w:spacing w:line="360" w:lineRule="auto"/>
        <w:ind w:firstLine="709"/>
        <w:jc w:val="both"/>
        <w:rPr>
          <w:rFonts w:ascii="Arial" w:hAnsi="Arial" w:cs="Arial"/>
          <w:b/>
          <w:i/>
          <w:sz w:val="24"/>
          <w:szCs w:val="24"/>
        </w:rPr>
      </w:pPr>
    </w:p>
    <w:p w:rsidR="000537BD" w:rsidRDefault="000537BD" w:rsidP="008F3B53">
      <w:pPr>
        <w:spacing w:line="360" w:lineRule="auto"/>
        <w:ind w:firstLine="709"/>
        <w:jc w:val="both"/>
        <w:rPr>
          <w:rFonts w:ascii="Arial" w:hAnsi="Arial" w:cs="Arial"/>
          <w:b/>
          <w:i/>
          <w:sz w:val="24"/>
          <w:szCs w:val="24"/>
        </w:rPr>
      </w:pPr>
      <w:r w:rsidRPr="00661CE2">
        <w:rPr>
          <w:rFonts w:ascii="Arial" w:hAnsi="Arial" w:cs="Arial"/>
          <w:b/>
          <w:i/>
          <w:sz w:val="24"/>
          <w:szCs w:val="24"/>
        </w:rPr>
        <w:t>Conocimientos en Farmacovigilancia</w:t>
      </w:r>
    </w:p>
    <w:p w:rsidR="000537BD" w:rsidRPr="00661CE2" w:rsidRDefault="000537BD" w:rsidP="008F3B53">
      <w:pPr>
        <w:spacing w:line="360" w:lineRule="auto"/>
        <w:ind w:firstLine="709"/>
        <w:jc w:val="both"/>
        <w:rPr>
          <w:rFonts w:ascii="Arial" w:hAnsi="Arial" w:cs="Arial"/>
          <w:b/>
          <w:i/>
          <w:sz w:val="24"/>
          <w:szCs w:val="24"/>
        </w:rPr>
      </w:pP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 xml:space="preserve">En los estudios en que se realizó la evaluación de conocimientos en FV (n=20) se encontró que hasta el 45.93% de los encuestados conocen los objetivos de la FV y el 51.86% de los profesionales sanitarios sabe la definición correcta de FV. Camerún e Italia son los países con mayor número de conocimientos (85 y 82%, respectivamente). </w:t>
      </w:r>
      <w:r>
        <w:rPr>
          <w:rFonts w:ascii="Arial" w:hAnsi="Arial" w:cs="Arial"/>
          <w:sz w:val="24"/>
          <w:szCs w:val="24"/>
        </w:rPr>
        <w:t xml:space="preserve">En contraste, </w:t>
      </w:r>
      <w:r w:rsidRPr="00661CE2">
        <w:rPr>
          <w:rFonts w:ascii="Arial" w:hAnsi="Arial" w:cs="Arial"/>
          <w:sz w:val="24"/>
          <w:szCs w:val="24"/>
        </w:rPr>
        <w:t>Nigeria, Turquía,  Chipre y Malasia obtuvieron los puntajes más bajos en este rubro (18, 17.2, 12, 11.6%, respectivamente). El 30.3% (n=8)  de la muestra estudiada identifica los objetivos y la utilidad de los estudios post-comercialización, entre ellos el monitoreo de RAM. Sólo un 39.27% (n=23) sabe de la existencia de sus respectivos centros de FV y/o sus funciones o bien en algún momento ha reportado RAM a los mismos; siendo Malasia (94%), el Sultanato de Omán (89%) e Irán (71%) los países donde más se reconocen los centros locales de FV. Pocos estudios (n=4) evaluaron si el profesional sanitario conoce la ubicación o funciones del UMC; pero en promedio únicamente el 26.42% sabe de su existencia.</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De forma generalizada, todos los estudios efectuados revelan que los conocimientos en materia de FV de los encuestados son limitados. La tabla 2 resume los datos obtenidos relativos al conocimiento de la FV en los estudios encontrados.</w:t>
      </w: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Pr="00661CE2" w:rsidRDefault="000537BD" w:rsidP="008F3B53">
      <w:pPr>
        <w:spacing w:line="360" w:lineRule="auto"/>
        <w:jc w:val="center"/>
        <w:rPr>
          <w:rFonts w:ascii="Arial" w:hAnsi="Arial" w:cs="Arial"/>
          <w:i/>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Pr="00661CE2" w:rsidRDefault="000537BD" w:rsidP="008F3B53">
      <w:pPr>
        <w:spacing w:line="360" w:lineRule="auto"/>
        <w:jc w:val="center"/>
        <w:rPr>
          <w:rFonts w:ascii="Arial" w:hAnsi="Arial" w:cs="Arial"/>
          <w:i/>
          <w:sz w:val="24"/>
          <w:szCs w:val="24"/>
        </w:rPr>
      </w:pPr>
      <w:r w:rsidRPr="00661CE2">
        <w:rPr>
          <w:rFonts w:ascii="Arial" w:hAnsi="Arial" w:cs="Arial"/>
          <w:i/>
          <w:sz w:val="24"/>
          <w:szCs w:val="24"/>
        </w:rPr>
        <w:t>Tabla 2: Conocimientos en FV de los encuestados en los estudios publicados de 2007 al 2016</w:t>
      </w:r>
    </w:p>
    <w:tbl>
      <w:tblPr>
        <w:tblStyle w:val="Tablaconcuadrcula"/>
        <w:tblW w:w="9775" w:type="dxa"/>
        <w:jc w:val="center"/>
        <w:tblLayout w:type="fixed"/>
        <w:tblLook w:val="04A0" w:firstRow="1" w:lastRow="0" w:firstColumn="1" w:lastColumn="0" w:noHBand="0" w:noVBand="1"/>
      </w:tblPr>
      <w:tblGrid>
        <w:gridCol w:w="1412"/>
        <w:gridCol w:w="567"/>
        <w:gridCol w:w="1418"/>
        <w:gridCol w:w="992"/>
        <w:gridCol w:w="1417"/>
        <w:gridCol w:w="1134"/>
        <w:gridCol w:w="1418"/>
        <w:gridCol w:w="1417"/>
      </w:tblGrid>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País</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Ref.</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Definición correcta de FV</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Objetivos de la FV</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Estudios post comercializ</w:t>
            </w:r>
            <w:r w:rsidRPr="00661CE2">
              <w:rPr>
                <w:rFonts w:ascii="Arial" w:hAnsi="Arial" w:cs="Arial"/>
                <w:sz w:val="24"/>
                <w:szCs w:val="24"/>
              </w:rPr>
              <w:lastRenderedPageBreak/>
              <w:t>ación y objetivos</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lastRenderedPageBreak/>
              <w:t xml:space="preserve">Conoce su CNFV y </w:t>
            </w:r>
            <w:r w:rsidRPr="00661CE2">
              <w:rPr>
                <w:rFonts w:ascii="Arial" w:hAnsi="Arial" w:cs="Arial"/>
                <w:sz w:val="24"/>
                <w:szCs w:val="24"/>
              </w:rPr>
              <w:lastRenderedPageBreak/>
              <w:t xml:space="preserve">funciones </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lastRenderedPageBreak/>
              <w:t xml:space="preserve">Conoce el UMC, funciones y </w:t>
            </w:r>
            <w:r w:rsidRPr="00661CE2">
              <w:rPr>
                <w:rFonts w:ascii="Arial" w:hAnsi="Arial" w:cs="Arial"/>
                <w:sz w:val="24"/>
                <w:szCs w:val="24"/>
              </w:rPr>
              <w:lastRenderedPageBreak/>
              <w:t>localización</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lastRenderedPageBreak/>
              <w:t>Conocimientos generales de FV</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Arabia Saudita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20</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45</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59.1</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65.5</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37</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9.1</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Bulgaria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21</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30.1</w:t>
            </w:r>
          </w:p>
        </w:tc>
        <w:tc>
          <w:tcPr>
            <w:tcW w:w="141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19.4</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Cabo Verde República de</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rPr>
                <w:rFonts w:ascii="Arial" w:hAnsi="Arial" w:cs="Arial"/>
                <w:sz w:val="24"/>
                <w:szCs w:val="24"/>
                <w:vertAlign w:val="superscript"/>
              </w:rPr>
            </w:pPr>
            <w:r w:rsidRPr="00321DC2">
              <w:rPr>
                <w:rFonts w:ascii="Arial" w:hAnsi="Arial" w:cs="Arial"/>
                <w:sz w:val="24"/>
                <w:szCs w:val="24"/>
                <w:vertAlign w:val="superscript"/>
              </w:rPr>
              <w:t>22</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67.5</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75.1</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10906">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EE4239">
              <w:rPr>
                <w:rFonts w:ascii="Arial" w:hAnsi="Arial" w:cs="Arial"/>
                <w:sz w:val="24"/>
                <w:szCs w:val="24"/>
              </w:rPr>
              <w:t>NA</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EE4239">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Camerún</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23</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85</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22</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10906">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46</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E3C4B">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China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24</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69.5</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F5C3E">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10906">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BB34A1">
              <w:rPr>
                <w:rFonts w:ascii="Arial" w:hAnsi="Arial" w:cs="Arial"/>
                <w:sz w:val="24"/>
                <w:szCs w:val="24"/>
              </w:rPr>
              <w:t>NA</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E3C4B">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Chipre</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25</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12</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F5C3E">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10906">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BB34A1">
              <w:rPr>
                <w:rFonts w:ascii="Arial" w:hAnsi="Arial" w:cs="Arial"/>
                <w:sz w:val="24"/>
                <w:szCs w:val="24"/>
              </w:rPr>
              <w:t>NA</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E3C4B">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val="restart"/>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India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26</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31</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F5C3E">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10906">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51</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46</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27</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37</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F5C3E">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34- 62.5%</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21</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CA6E1D">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28</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34.8</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F5C3E">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43.6</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CA6E1D">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29</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62.4</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66.3</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44.6%</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78,2</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41.6</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30</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6857BB">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70082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B24FFA">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41</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4345F">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31</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6857BB">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70082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B24FFA">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59</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4345F">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32</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6857BB">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70082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57.8%</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47</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4345F">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33</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64.28</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70082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52.38</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4345F">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Irán</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34</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70082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98%</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71</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4345F">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 xml:space="preserve">Italia </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35</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82</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70082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6237B9">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4345F">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Japón</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36</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29</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12</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6237B9">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5.6</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34485">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Líbano</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37</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69.3</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39.9</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65.8</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4.1</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34485">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val="restart"/>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Malasia</w:t>
            </w:r>
          </w:p>
          <w:p w:rsidR="000537BD" w:rsidRPr="00661CE2" w:rsidRDefault="000537BD" w:rsidP="008F3B53">
            <w:pPr>
              <w:spacing w:after="0" w:line="36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38</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11.6</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3E65A7">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F172D">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25</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34485">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39</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60.7</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3E65A7">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F172D">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94</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434485">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val="restart"/>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Nepal</w:t>
            </w:r>
          </w:p>
          <w:p w:rsidR="000537BD" w:rsidRPr="00661CE2" w:rsidRDefault="000537BD" w:rsidP="008F3B53">
            <w:pPr>
              <w:spacing w:after="0" w:line="36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40</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87</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3E65A7">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F172D">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53</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9</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41</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3E65A7">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F172D">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35.5</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E062CB">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val="restart"/>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Nigeria</w:t>
            </w:r>
          </w:p>
          <w:p w:rsidR="000537BD" w:rsidRPr="00661CE2" w:rsidRDefault="000537BD" w:rsidP="008F3B53">
            <w:pPr>
              <w:spacing w:after="0" w:line="36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42</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80</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63</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F172D">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E062CB">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43</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18</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0F172D">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E062CB">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44</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48.5</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51.5</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A712B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Sultanato de Omán</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48</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835715">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710B8">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89</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A712B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Moderados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Turquía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49</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17.2</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835715">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710B8">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7</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A712B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Venezuela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321DC2" w:rsidRDefault="000537BD" w:rsidP="008F3B53">
            <w:pPr>
              <w:spacing w:after="0" w:line="360" w:lineRule="auto"/>
              <w:jc w:val="center"/>
              <w:rPr>
                <w:rFonts w:ascii="Arial" w:hAnsi="Arial" w:cs="Arial"/>
                <w:sz w:val="24"/>
                <w:szCs w:val="24"/>
                <w:vertAlign w:val="superscript"/>
              </w:rPr>
            </w:pPr>
            <w:r w:rsidRPr="00321DC2">
              <w:rPr>
                <w:rFonts w:ascii="Arial" w:hAnsi="Arial" w:cs="Arial"/>
                <w:sz w:val="24"/>
                <w:szCs w:val="24"/>
                <w:vertAlign w:val="superscript"/>
              </w:rPr>
              <w:t>50</w:t>
            </w:r>
          </w:p>
        </w:tc>
        <w:tc>
          <w:tcPr>
            <w:tcW w:w="1418"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74</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835715">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D710B8">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w:t>
            </w:r>
          </w:p>
        </w:tc>
        <w:tc>
          <w:tcPr>
            <w:tcW w:w="1418"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360" w:lineRule="auto"/>
              <w:jc w:val="center"/>
              <w:rPr>
                <w:rFonts w:ascii="Arial" w:hAnsi="Arial" w:cs="Arial"/>
                <w:sz w:val="24"/>
                <w:szCs w:val="24"/>
              </w:rPr>
            </w:pPr>
            <w:r w:rsidRPr="00A712B6">
              <w:rPr>
                <w:rFonts w:ascii="Arial" w:hAnsi="Arial" w:cs="Arial"/>
                <w:sz w:val="24"/>
                <w:szCs w:val="24"/>
              </w:rPr>
              <w:t>NA</w:t>
            </w:r>
          </w:p>
        </w:tc>
        <w:tc>
          <w:tcPr>
            <w:tcW w:w="141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Limitados</w:t>
            </w:r>
          </w:p>
        </w:tc>
      </w:tr>
      <w:tr w:rsidR="000537BD" w:rsidRPr="00661CE2" w:rsidTr="008F3B53">
        <w:trPr>
          <w:jc w:val="center"/>
        </w:trPr>
        <w:tc>
          <w:tcPr>
            <w:tcW w:w="1412" w:type="dxa"/>
            <w:vMerge w:val="restart"/>
            <w:tcBorders>
              <w:top w:val="single" w:sz="4" w:space="0" w:color="auto"/>
              <w:left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Pr>
                <w:rFonts w:ascii="Arial" w:hAnsi="Arial" w:cs="Arial"/>
                <w:sz w:val="24"/>
                <w:szCs w:val="24"/>
              </w:rPr>
              <w:t>Estadística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N</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20</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w:t>
            </w:r>
          </w:p>
        </w:tc>
        <w:tc>
          <w:tcPr>
            <w:tcW w:w="141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8</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23</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w:t>
            </w:r>
          </w:p>
        </w:tc>
        <w:tc>
          <w:tcPr>
            <w:tcW w:w="1417" w:type="dxa"/>
            <w:vMerge w:val="restart"/>
            <w:tcBorders>
              <w:top w:val="single" w:sz="4" w:space="0" w:color="auto"/>
              <w:left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p>
        </w:tc>
      </w:tr>
      <w:tr w:rsidR="000537BD" w:rsidRPr="00661CE2" w:rsidTr="008F3B53">
        <w:trPr>
          <w:jc w:val="center"/>
        </w:trPr>
        <w:tc>
          <w:tcPr>
            <w:tcW w:w="1412" w:type="dxa"/>
            <w:vMerge/>
            <w:tcBorders>
              <w:left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Media</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51.86</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45.93</w:t>
            </w:r>
          </w:p>
        </w:tc>
        <w:tc>
          <w:tcPr>
            <w:tcW w:w="141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30.30</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39.27</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26.42</w:t>
            </w:r>
          </w:p>
        </w:tc>
        <w:tc>
          <w:tcPr>
            <w:tcW w:w="1417" w:type="dxa"/>
            <w:vMerge/>
            <w:tcBorders>
              <w:left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p>
        </w:tc>
      </w:tr>
      <w:tr w:rsidR="000537BD" w:rsidRPr="00661CE2" w:rsidTr="008F3B53">
        <w:trPr>
          <w:jc w:val="center"/>
        </w:trPr>
        <w:tc>
          <w:tcPr>
            <w:tcW w:w="1412" w:type="dxa"/>
            <w:vMerge/>
            <w:tcBorders>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DS</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25.95</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23.12</w:t>
            </w:r>
          </w:p>
        </w:tc>
        <w:tc>
          <w:tcPr>
            <w:tcW w:w="141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33.06</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26.09</w:t>
            </w:r>
          </w:p>
        </w:tc>
        <w:tc>
          <w:tcPr>
            <w:tcW w:w="1418"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r w:rsidRPr="00661CE2">
              <w:rPr>
                <w:rFonts w:ascii="Arial" w:hAnsi="Arial" w:cs="Arial"/>
                <w:sz w:val="24"/>
                <w:szCs w:val="24"/>
              </w:rPr>
              <w:t>17.44</w:t>
            </w:r>
          </w:p>
        </w:tc>
        <w:tc>
          <w:tcPr>
            <w:tcW w:w="1417" w:type="dxa"/>
            <w:vMerge/>
            <w:tcBorders>
              <w:left w:val="single" w:sz="4" w:space="0" w:color="auto"/>
              <w:bottom w:val="single" w:sz="4" w:space="0" w:color="auto"/>
              <w:right w:val="single" w:sz="4" w:space="0" w:color="auto"/>
            </w:tcBorders>
            <w:vAlign w:val="center"/>
          </w:tcPr>
          <w:p w:rsidR="000537BD" w:rsidRPr="00661CE2" w:rsidRDefault="000537BD" w:rsidP="008F3B53">
            <w:pPr>
              <w:spacing w:after="0" w:line="360" w:lineRule="auto"/>
              <w:jc w:val="center"/>
              <w:rPr>
                <w:rFonts w:ascii="Arial" w:hAnsi="Arial" w:cs="Arial"/>
                <w:sz w:val="24"/>
                <w:szCs w:val="24"/>
              </w:rPr>
            </w:pPr>
          </w:p>
        </w:tc>
      </w:tr>
    </w:tbl>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r w:rsidRPr="00661CE2">
        <w:rPr>
          <w:rFonts w:ascii="Arial" w:hAnsi="Arial" w:cs="Arial"/>
          <w:sz w:val="24"/>
          <w:szCs w:val="24"/>
        </w:rPr>
        <w:t xml:space="preserve">*Los datos son expresados en porcentaje. </w:t>
      </w:r>
    </w:p>
    <w:p w:rsidR="000537BD" w:rsidRPr="00661CE2" w:rsidRDefault="008F3B53" w:rsidP="008F3B53">
      <w:pPr>
        <w:spacing w:line="360" w:lineRule="auto"/>
        <w:rPr>
          <w:rFonts w:ascii="Arial" w:hAnsi="Arial" w:cs="Arial"/>
          <w:sz w:val="24"/>
          <w:szCs w:val="24"/>
        </w:rPr>
      </w:pPr>
      <w:r>
        <w:rPr>
          <w:rFonts w:ascii="Arial" w:hAnsi="Arial" w:cs="Arial"/>
          <w:sz w:val="24"/>
          <w:szCs w:val="24"/>
        </w:rPr>
        <w:t>Abreviaturas: Ref.: r</w:t>
      </w:r>
      <w:r w:rsidR="000537BD" w:rsidRPr="00661CE2">
        <w:rPr>
          <w:rFonts w:ascii="Arial" w:hAnsi="Arial" w:cs="Arial"/>
          <w:sz w:val="24"/>
          <w:szCs w:val="24"/>
        </w:rPr>
        <w:t>eferencia, DS: Desviación es</w:t>
      </w:r>
      <w:r w:rsidR="000537BD">
        <w:rPr>
          <w:rFonts w:ascii="Arial" w:hAnsi="Arial" w:cs="Arial"/>
          <w:sz w:val="24"/>
          <w:szCs w:val="24"/>
        </w:rPr>
        <w:t>tándar, NA: no aplica para el estudio o no se dispone del dato.</w:t>
      </w:r>
    </w:p>
    <w:p w:rsidR="000537BD" w:rsidRPr="00661CE2" w:rsidRDefault="000537BD" w:rsidP="008F3B53">
      <w:pPr>
        <w:spacing w:line="360" w:lineRule="auto"/>
        <w:jc w:val="both"/>
        <w:rPr>
          <w:rFonts w:ascii="Arial" w:hAnsi="Arial" w:cs="Arial"/>
          <w:sz w:val="24"/>
          <w:szCs w:val="24"/>
        </w:rPr>
      </w:pPr>
    </w:p>
    <w:p w:rsidR="000537BD" w:rsidRPr="00661CE2" w:rsidRDefault="000537BD" w:rsidP="008F3B53">
      <w:pPr>
        <w:spacing w:line="360" w:lineRule="auto"/>
        <w:ind w:firstLine="709"/>
        <w:jc w:val="both"/>
        <w:rPr>
          <w:rFonts w:ascii="Arial" w:hAnsi="Arial" w:cs="Arial"/>
          <w:b/>
          <w:i/>
          <w:sz w:val="24"/>
          <w:szCs w:val="24"/>
        </w:rPr>
      </w:pPr>
      <w:r w:rsidRPr="00661CE2">
        <w:rPr>
          <w:rFonts w:ascii="Arial" w:hAnsi="Arial" w:cs="Arial"/>
          <w:b/>
          <w:i/>
          <w:sz w:val="24"/>
          <w:szCs w:val="24"/>
        </w:rPr>
        <w:t>Actitudes en Farmacovigilancia</w:t>
      </w:r>
    </w:p>
    <w:p w:rsidR="000537BD" w:rsidRPr="00661CE2" w:rsidRDefault="000537BD" w:rsidP="008F3B53">
      <w:pPr>
        <w:spacing w:line="360" w:lineRule="auto"/>
        <w:jc w:val="both"/>
        <w:rPr>
          <w:rFonts w:ascii="Arial" w:hAnsi="Arial" w:cs="Arial"/>
          <w:sz w:val="24"/>
          <w:szCs w:val="24"/>
        </w:rPr>
      </w:pP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En relación a las actitudes en FV, se observa que hasta el 66.7% (n=17) de los encuestados consideran que reportar RAM es una obligación del profesional sanitario y 85.42%% están conscientes de la necesidad de reportar RAM (n=19). Los principales agentes identificados como responsables de notificar RAM son los médicos (media 60.19%, n=11 estudios), farmacéuticos (media 66.54%, n= 15 estudios), enfermeros (media 34.73%, n=6 estudios) y otros como pacientes u odontólogos (media 41.42%, n=5 estudios). Asimismo, el 58.29% considera que todo profesional de la salud puede reportar las RAM observadas en su ámbito de trabajo.</w:t>
      </w: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r w:rsidRPr="00661CE2">
        <w:rPr>
          <w:rFonts w:ascii="Arial" w:hAnsi="Arial" w:cs="Arial"/>
          <w:sz w:val="24"/>
          <w:szCs w:val="24"/>
        </w:rPr>
        <w:t xml:space="preserve">Entre las razones más importantes por las cuales no se notifican las RAM se encuentran la falta de tiempo (media 28.51%, n=20), la ausencia de una remuneración económica por el tiempo empleado para los mismos y el trabajo extra que ello implica (media 30.57%, n=15), la creencia errónea de que los medicamentos son totalmente seguros (media 25.95%, n= 4), la incertidumbre respecto a la causalidad de la RAM (media 38.63%, n=18) y el temor a reportar RAM bien conocidas o consideradas absurdas (media 36.36%, n=7). </w:t>
      </w:r>
      <w:r w:rsidRPr="00661CE2">
        <w:rPr>
          <w:rFonts w:ascii="Arial" w:hAnsi="Arial" w:cs="Arial"/>
          <w:sz w:val="24"/>
          <w:szCs w:val="24"/>
        </w:rPr>
        <w:lastRenderedPageBreak/>
        <w:t>La tabla 3 muestra los resultados relativos a las actitudes reportadas en los estudios encontrados.</w:t>
      </w: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Pr="00661CE2" w:rsidRDefault="000537BD" w:rsidP="008F3B53">
      <w:pPr>
        <w:spacing w:line="360" w:lineRule="auto"/>
        <w:jc w:val="center"/>
        <w:rPr>
          <w:rFonts w:ascii="Arial" w:hAnsi="Arial" w:cs="Arial"/>
          <w:i/>
          <w:sz w:val="24"/>
          <w:szCs w:val="24"/>
        </w:rPr>
      </w:pPr>
      <w:r w:rsidRPr="00661CE2">
        <w:rPr>
          <w:rFonts w:ascii="Arial" w:hAnsi="Arial" w:cs="Arial"/>
          <w:i/>
          <w:sz w:val="24"/>
          <w:szCs w:val="24"/>
        </w:rPr>
        <w:t>Tabla 3: Actitudes en FV de los encuestados en los estudios publicados de 2007 al 2016</w:t>
      </w:r>
    </w:p>
    <w:tbl>
      <w:tblPr>
        <w:tblStyle w:val="Tablaconcuadrcula"/>
        <w:tblW w:w="10625" w:type="dxa"/>
        <w:jc w:val="center"/>
        <w:tblLayout w:type="fixed"/>
        <w:tblLook w:val="04A0" w:firstRow="1" w:lastRow="0" w:firstColumn="1" w:lastColumn="0" w:noHBand="0" w:noVBand="1"/>
      </w:tblPr>
      <w:tblGrid>
        <w:gridCol w:w="1412"/>
        <w:gridCol w:w="567"/>
        <w:gridCol w:w="850"/>
        <w:gridCol w:w="1277"/>
        <w:gridCol w:w="849"/>
        <w:gridCol w:w="993"/>
        <w:gridCol w:w="1134"/>
        <w:gridCol w:w="850"/>
        <w:gridCol w:w="992"/>
        <w:gridCol w:w="851"/>
        <w:gridCol w:w="850"/>
      </w:tblGrid>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País</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Ref.</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 xml:space="preserve">Falta de tiempo </w:t>
            </w:r>
          </w:p>
        </w:tc>
        <w:tc>
          <w:tcPr>
            <w:tcW w:w="127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Agentes responsables de notificar RAM</w:t>
            </w:r>
          </w:p>
          <w:p w:rsidR="000537BD" w:rsidRPr="00661CE2" w:rsidRDefault="000537BD" w:rsidP="008F3B53">
            <w:pPr>
              <w:spacing w:after="0" w:line="240" w:lineRule="auto"/>
              <w:jc w:val="center"/>
              <w:rPr>
                <w:rFonts w:ascii="Arial" w:hAnsi="Arial" w:cs="Arial"/>
                <w:sz w:val="24"/>
                <w:szCs w:val="24"/>
              </w:rPr>
            </w:pP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Reportar como obligación del profesional sanitario</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Necesidad de reportar RAM</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No hay compensación económica, trabajo extra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Un reporte de RAM no es significativo</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Inseguridad   causalidad de RAM</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Temor reportar RAM ya conocida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Medicamentos son 100% seguros</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Arabia Saudita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20</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47.4</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70.3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21.9</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5.2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2.5</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78</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95.7</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27.4</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47.7</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720359">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720359">
              <w:rPr>
                <w:rFonts w:ascii="Arial" w:hAnsi="Arial" w:cs="Arial"/>
                <w:sz w:val="24"/>
                <w:szCs w:val="24"/>
              </w:rPr>
              <w:t>NA</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Bulgaria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21</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12.2</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87</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39</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83.7</w:t>
            </w:r>
          </w:p>
        </w:tc>
        <w:tc>
          <w:tcPr>
            <w:tcW w:w="993"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E71D03">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E71D03">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E71D03">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37.4</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19</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Cabo Verde República de</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22</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03310">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29.3</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Camerún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23</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BB251D">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91</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3.6</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18,2</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China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24</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45.7</w:t>
            </w:r>
          </w:p>
        </w:tc>
        <w:tc>
          <w:tcPr>
            <w:tcW w:w="127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BB251D">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92.7</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97.6</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19.5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5.7</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89.1</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26.2</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Chipre</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8.7</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36</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39</w:t>
            </w:r>
          </w:p>
        </w:tc>
        <w:tc>
          <w:tcPr>
            <w:tcW w:w="993"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F61DA">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7.5</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A053C">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A053C">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A053C">
              <w:rPr>
                <w:rFonts w:ascii="Arial" w:hAnsi="Arial" w:cs="Arial"/>
                <w:sz w:val="24"/>
                <w:szCs w:val="24"/>
              </w:rPr>
              <w:t>NA</w:t>
            </w:r>
          </w:p>
        </w:tc>
      </w:tr>
      <w:tr w:rsidR="000537BD" w:rsidRPr="00661CE2" w:rsidTr="008F3B53">
        <w:trPr>
          <w:jc w:val="center"/>
        </w:trPr>
        <w:tc>
          <w:tcPr>
            <w:tcW w:w="1412" w:type="dxa"/>
            <w:vMerge w:val="restart"/>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India</w:t>
            </w:r>
          </w:p>
          <w:p w:rsidR="000537BD" w:rsidRPr="00661CE2" w:rsidRDefault="000537BD" w:rsidP="008F3B53">
            <w:pPr>
              <w:spacing w:after="0"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26</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T:69</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24</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95.7</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DF61DA">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2F0114">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2F0114">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2F0114">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2F0114">
              <w:rPr>
                <w:rFonts w:ascii="Arial" w:hAnsi="Arial" w:cs="Arial"/>
                <w:sz w:val="24"/>
                <w:szCs w:val="24"/>
              </w:rPr>
              <w:t>NA</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63</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83</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63</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97</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27</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35</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72105F">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72105F">
              <w:rPr>
                <w:rFonts w:ascii="Arial" w:hAnsi="Arial" w:cs="Arial"/>
                <w:sz w:val="24"/>
                <w:szCs w:val="24"/>
              </w:rPr>
              <w:t>NA</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28</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24.8</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T:24.75</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90.8</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F71DB">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F71DB">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F71DB">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F71DB">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4F71DB">
              <w:rPr>
                <w:rFonts w:ascii="Arial" w:hAnsi="Arial" w:cs="Arial"/>
                <w:sz w:val="24"/>
                <w:szCs w:val="24"/>
              </w:rPr>
              <w:t>NA</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29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23.8</w:t>
            </w:r>
          </w:p>
        </w:tc>
        <w:tc>
          <w:tcPr>
            <w:tcW w:w="127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69.3</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97</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31.7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21.8</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22.8</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0260A4">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0260A4">
              <w:rPr>
                <w:rFonts w:ascii="Arial" w:hAnsi="Arial" w:cs="Arial"/>
                <w:sz w:val="24"/>
                <w:szCs w:val="24"/>
              </w:rPr>
              <w:t>NA</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30</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22.6</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92.3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34.2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34,2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41,2</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97.3</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13</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63034">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63034">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363034">
              <w:rPr>
                <w:rFonts w:ascii="Arial" w:hAnsi="Arial" w:cs="Arial"/>
                <w:sz w:val="24"/>
                <w:szCs w:val="24"/>
              </w:rPr>
              <w:t>NA</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31</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18</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81</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C628CA">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75</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25</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E5FE8">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E5FE8">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2E1A57" w:rsidRDefault="000537BD" w:rsidP="008F3B53">
            <w:pPr>
              <w:spacing w:after="0" w:line="240" w:lineRule="auto"/>
              <w:jc w:val="center"/>
              <w:rPr>
                <w:rFonts w:ascii="Arial" w:hAnsi="Arial" w:cs="Arial"/>
                <w:sz w:val="24"/>
                <w:szCs w:val="24"/>
              </w:rPr>
            </w:pPr>
            <w:r w:rsidRPr="002E1A57">
              <w:rPr>
                <w:rFonts w:ascii="Arial" w:hAnsi="Arial" w:cs="Arial"/>
                <w:sz w:val="24"/>
                <w:szCs w:val="24"/>
              </w:rPr>
              <w:t>25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2E1A57" w:rsidRDefault="000537BD" w:rsidP="008F3B53">
            <w:pPr>
              <w:spacing w:after="0" w:line="240" w:lineRule="auto"/>
              <w:jc w:val="center"/>
              <w:rPr>
                <w:rStyle w:val="Refdenotaalpie"/>
                <w:rFonts w:ascii="Arial" w:hAnsi="Arial" w:cs="Arial"/>
                <w:sz w:val="24"/>
                <w:szCs w:val="24"/>
                <w:vertAlign w:val="baseline"/>
              </w:rPr>
            </w:pPr>
            <w:r w:rsidRPr="002E1A57">
              <w:rPr>
                <w:rStyle w:val="Refdenotaalpie"/>
                <w:rFonts w:ascii="Arial" w:hAnsi="Arial" w:cs="Arial"/>
                <w:sz w:val="24"/>
                <w:szCs w:val="24"/>
                <w:vertAlign w:val="baseline"/>
              </w:rPr>
              <w:t>20.5</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32</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C628CA">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96</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647EC">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647EC">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647EC">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4647EC">
              <w:rPr>
                <w:rFonts w:ascii="Arial" w:hAnsi="Arial" w:cs="Arial"/>
                <w:sz w:val="24"/>
                <w:szCs w:val="24"/>
              </w:rPr>
              <w:t>NA</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33</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35.7</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61.9</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28.6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30</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lastRenderedPageBreak/>
              <w:t>O: 40</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lastRenderedPageBreak/>
              <w:t>35.7</w:t>
            </w:r>
          </w:p>
        </w:tc>
        <w:tc>
          <w:tcPr>
            <w:tcW w:w="993"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3.6</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694341">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694341">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694341">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694341">
              <w:rPr>
                <w:rFonts w:ascii="Arial" w:hAnsi="Arial" w:cs="Arial"/>
                <w:sz w:val="24"/>
                <w:szCs w:val="24"/>
              </w:rPr>
              <w:t>NA</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Irán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34</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90.6</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26</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97.7</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4.2</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43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23</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Japón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36</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9.6</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13.1</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76.2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0.6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5.3</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63.9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Style w:val="Refdenotaalpie"/>
                <w:rFonts w:ascii="Arial" w:hAnsi="Arial" w:cs="Arial"/>
                <w:sz w:val="24"/>
                <w:szCs w:val="24"/>
              </w:rPr>
            </w:pPr>
            <w:r w:rsidRPr="00661CE2">
              <w:rPr>
                <w:rFonts w:ascii="Arial" w:hAnsi="Arial" w:cs="Arial"/>
                <w:sz w:val="24"/>
                <w:szCs w:val="24"/>
              </w:rPr>
              <w:t>2</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Líbano</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31.8</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91.6</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91.6</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21.8</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p>
        </w:tc>
      </w:tr>
      <w:tr w:rsidR="000537BD" w:rsidRPr="00661CE2" w:rsidTr="008F3B53">
        <w:trPr>
          <w:jc w:val="center"/>
        </w:trPr>
        <w:tc>
          <w:tcPr>
            <w:tcW w:w="1412" w:type="dxa"/>
            <w:vMerge w:val="restart"/>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Malasia</w:t>
            </w:r>
          </w:p>
          <w:p w:rsidR="000537BD" w:rsidRPr="00661CE2" w:rsidRDefault="000537BD" w:rsidP="008F3B53">
            <w:pPr>
              <w:spacing w:after="0"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38</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33</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79.8</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88</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61.5</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85.7</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39</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90.4</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90.4</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67</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12.7</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18</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p>
        </w:tc>
      </w:tr>
      <w:tr w:rsidR="000537BD" w:rsidRPr="00661CE2" w:rsidTr="008F3B53">
        <w:trPr>
          <w:jc w:val="center"/>
        </w:trPr>
        <w:tc>
          <w:tcPr>
            <w:tcW w:w="1412" w:type="dxa"/>
            <w:vMerge w:val="restart"/>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 xml:space="preserve">Nepal </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40</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80.1</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56.3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77.8</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15.6</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9F30ED">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9F30ED">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9F30ED">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9F30ED">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9F30ED">
              <w:rPr>
                <w:rFonts w:ascii="Arial" w:hAnsi="Arial" w:cs="Arial"/>
                <w:sz w:val="24"/>
                <w:szCs w:val="24"/>
              </w:rPr>
              <w:t>NA</w:t>
            </w:r>
          </w:p>
        </w:tc>
      </w:tr>
      <w:tr w:rsidR="000537BD" w:rsidRPr="00661CE2" w:rsidTr="008F3B53">
        <w:trPr>
          <w:jc w:val="center"/>
        </w:trPr>
        <w:tc>
          <w:tcPr>
            <w:tcW w:w="1412" w:type="dxa"/>
            <w:vMerge/>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41</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23.9</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67</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63.1</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55.5</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82.7</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53</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26.7</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28.3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56.1</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r>
              <w:rPr>
                <w:rFonts w:ascii="Arial" w:hAnsi="Arial" w:cs="Arial"/>
                <w:sz w:val="24"/>
                <w:szCs w:val="24"/>
              </w:rPr>
              <w:t>NA</w:t>
            </w:r>
          </w:p>
        </w:tc>
      </w:tr>
      <w:tr w:rsidR="000537BD" w:rsidRPr="00661CE2" w:rsidTr="008F3B53">
        <w:trPr>
          <w:jc w:val="center"/>
        </w:trPr>
        <w:tc>
          <w:tcPr>
            <w:tcW w:w="1412" w:type="dxa"/>
            <w:vMerge w:val="restart"/>
            <w:tcBorders>
              <w:top w:val="single" w:sz="4" w:space="0" w:color="auto"/>
              <w:left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 xml:space="preserve">Nigeria </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42</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82</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99</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07570E">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07570E">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07570E">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2E1A57" w:rsidRDefault="000537BD" w:rsidP="008F3B53">
            <w:pPr>
              <w:spacing w:after="0" w:line="240" w:lineRule="auto"/>
              <w:jc w:val="center"/>
              <w:rPr>
                <w:rFonts w:ascii="Arial" w:hAnsi="Arial" w:cs="Arial"/>
                <w:sz w:val="24"/>
                <w:szCs w:val="24"/>
              </w:rPr>
            </w:pPr>
            <w:r w:rsidRPr="0007570E">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2E1A57" w:rsidRDefault="000537BD" w:rsidP="008F3B53">
            <w:pPr>
              <w:spacing w:after="0" w:line="240" w:lineRule="auto"/>
              <w:jc w:val="center"/>
              <w:rPr>
                <w:rStyle w:val="Refdenotaalpie"/>
                <w:rFonts w:ascii="Arial" w:hAnsi="Arial" w:cs="Arial"/>
                <w:sz w:val="24"/>
                <w:szCs w:val="24"/>
                <w:vertAlign w:val="baseline"/>
              </w:rPr>
            </w:pPr>
            <w:r w:rsidRPr="002E1A57">
              <w:rPr>
                <w:rStyle w:val="Refdenotaalpie"/>
                <w:rFonts w:ascii="Arial" w:hAnsi="Arial" w:cs="Arial"/>
                <w:sz w:val="24"/>
                <w:szCs w:val="24"/>
                <w:vertAlign w:val="baseline"/>
              </w:rPr>
              <w:t>52</w:t>
            </w:r>
          </w:p>
        </w:tc>
      </w:tr>
      <w:tr w:rsidR="000537BD" w:rsidRPr="00661CE2" w:rsidTr="008F3B53">
        <w:trPr>
          <w:jc w:val="center"/>
        </w:trPr>
        <w:tc>
          <w:tcPr>
            <w:tcW w:w="1412" w:type="dxa"/>
            <w:vMerge/>
            <w:tcBorders>
              <w:left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43</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33.3</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89.9</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90</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63.3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61.6</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64.4</w:t>
            </w:r>
          </w:p>
        </w:tc>
        <w:tc>
          <w:tcPr>
            <w:tcW w:w="993"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E65DC">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18.2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37.4</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36.4</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E01A47">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E01A47">
              <w:rPr>
                <w:rFonts w:ascii="Arial" w:hAnsi="Arial" w:cs="Arial"/>
                <w:sz w:val="24"/>
                <w:szCs w:val="24"/>
              </w:rPr>
              <w:t>NA</w:t>
            </w:r>
          </w:p>
        </w:tc>
      </w:tr>
      <w:tr w:rsidR="000537BD" w:rsidRPr="00661CE2" w:rsidTr="008F3B53">
        <w:trPr>
          <w:jc w:val="center"/>
        </w:trPr>
        <w:tc>
          <w:tcPr>
            <w:tcW w:w="1412" w:type="dxa"/>
            <w:vMerge/>
            <w:tcBorders>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44</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33.3</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89.9</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63.6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63.6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61.6</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64.6</w:t>
            </w:r>
          </w:p>
        </w:tc>
        <w:tc>
          <w:tcPr>
            <w:tcW w:w="993"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E65DC">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22.2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63.6</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45.5</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E01A47">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E01A47">
              <w:rPr>
                <w:rFonts w:ascii="Arial" w:hAnsi="Arial" w:cs="Arial"/>
                <w:sz w:val="24"/>
                <w:szCs w:val="24"/>
              </w:rPr>
              <w:t>NA</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Noruega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25.7</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11.2</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77.1</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77.1</w:t>
            </w:r>
          </w:p>
        </w:tc>
        <w:tc>
          <w:tcPr>
            <w:tcW w:w="993"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E65DC">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1D19AD">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1D19AD">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47</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E01A47">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E01A47">
              <w:rPr>
                <w:rFonts w:ascii="Arial" w:hAnsi="Arial" w:cs="Arial"/>
                <w:sz w:val="24"/>
                <w:szCs w:val="24"/>
              </w:rPr>
              <w:t>NA</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Portugal</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46</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76</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90</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82</w:t>
            </w:r>
          </w:p>
        </w:tc>
        <w:tc>
          <w:tcPr>
            <w:tcW w:w="993"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8.7</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76</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E01A47">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E01A47">
              <w:rPr>
                <w:rFonts w:ascii="Arial" w:hAnsi="Arial" w:cs="Arial"/>
                <w:sz w:val="24"/>
                <w:szCs w:val="24"/>
              </w:rPr>
              <w:t>NA</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Suecia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22.5</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51.6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48.4</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5D1626">
              <w:rPr>
                <w:rFonts w:ascii="Arial" w:hAnsi="Arial" w:cs="Arial"/>
                <w:sz w:val="24"/>
                <w:szCs w:val="24"/>
              </w:rPr>
              <w:t>NA</w:t>
            </w:r>
          </w:p>
        </w:tc>
        <w:tc>
          <w:tcPr>
            <w:tcW w:w="993"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5D1626">
              <w:rPr>
                <w:rFonts w:ascii="Arial" w:hAnsi="Arial" w:cs="Arial"/>
                <w:sz w:val="24"/>
                <w:szCs w:val="24"/>
              </w:rPr>
              <w:t>NA</w:t>
            </w:r>
          </w:p>
        </w:tc>
        <w:tc>
          <w:tcPr>
            <w:tcW w:w="113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5D1626">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84689">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25.3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68.9</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Sultanato de Omán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48</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90.6</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90.6</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88.8</w:t>
            </w:r>
          </w:p>
        </w:tc>
        <w:tc>
          <w:tcPr>
            <w:tcW w:w="113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20.9</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384689">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20.9</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C67BDF">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C67BDF">
              <w:rPr>
                <w:rFonts w:ascii="Arial" w:hAnsi="Arial" w:cs="Arial"/>
                <w:sz w:val="24"/>
                <w:szCs w:val="24"/>
              </w:rPr>
              <w:t>NA</w:t>
            </w:r>
          </w:p>
        </w:tc>
      </w:tr>
      <w:tr w:rsidR="000537BD" w:rsidRPr="00661CE2" w:rsidTr="008F3B53">
        <w:trPr>
          <w:jc w:val="center"/>
        </w:trPr>
        <w:tc>
          <w:tcPr>
            <w:tcW w:w="141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Turquía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after="0" w:line="240" w:lineRule="auto"/>
              <w:jc w:val="center"/>
              <w:rPr>
                <w:rFonts w:ascii="Arial" w:hAnsi="Arial" w:cs="Arial"/>
                <w:sz w:val="24"/>
                <w:szCs w:val="24"/>
                <w:vertAlign w:val="superscript"/>
              </w:rPr>
            </w:pPr>
            <w:r w:rsidRPr="0085160B">
              <w:rPr>
                <w:rFonts w:ascii="Arial" w:hAnsi="Arial" w:cs="Arial"/>
                <w:sz w:val="24"/>
                <w:szCs w:val="24"/>
                <w:vertAlign w:val="superscript"/>
              </w:rPr>
              <w:t>49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w:t>
            </w:r>
          </w:p>
        </w:tc>
        <w:tc>
          <w:tcPr>
            <w:tcW w:w="127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95.4</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78.1</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57.5</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89.6</w:t>
            </w:r>
          </w:p>
        </w:tc>
        <w:tc>
          <w:tcPr>
            <w:tcW w:w="99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86</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NA</w:t>
            </w:r>
          </w:p>
        </w:tc>
        <w:tc>
          <w:tcPr>
            <w:tcW w:w="99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12</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Fonts w:ascii="Arial" w:hAnsi="Arial" w:cs="Arial"/>
                <w:sz w:val="24"/>
                <w:szCs w:val="24"/>
              </w:rPr>
            </w:pPr>
            <w:r w:rsidRPr="00C67BDF">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after="0" w:line="240" w:lineRule="auto"/>
              <w:jc w:val="center"/>
              <w:rPr>
                <w:rStyle w:val="Refdenotaalpie"/>
                <w:rFonts w:ascii="Arial" w:hAnsi="Arial" w:cs="Arial"/>
                <w:sz w:val="24"/>
                <w:szCs w:val="24"/>
              </w:rPr>
            </w:pPr>
            <w:r w:rsidRPr="00C67BDF">
              <w:rPr>
                <w:rFonts w:ascii="Arial" w:hAnsi="Arial" w:cs="Arial"/>
                <w:sz w:val="24"/>
                <w:szCs w:val="24"/>
              </w:rPr>
              <w:t>NA</w:t>
            </w:r>
          </w:p>
        </w:tc>
      </w:tr>
      <w:tr w:rsidR="000537BD" w:rsidRPr="00661CE2" w:rsidTr="008F3B53">
        <w:trPr>
          <w:jc w:val="center"/>
        </w:trPr>
        <w:tc>
          <w:tcPr>
            <w:tcW w:w="1412" w:type="dxa"/>
            <w:vMerge w:val="restart"/>
            <w:tcBorders>
              <w:top w:val="single" w:sz="4" w:space="0" w:color="auto"/>
              <w:left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Pr>
                <w:rFonts w:ascii="Arial" w:hAnsi="Arial" w:cs="Arial"/>
                <w:sz w:val="24"/>
                <w:szCs w:val="24"/>
              </w:rPr>
              <w:t>Estadística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N</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20</w:t>
            </w:r>
          </w:p>
        </w:tc>
        <w:tc>
          <w:tcPr>
            <w:tcW w:w="127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F:15</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11</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6</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5</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17</w:t>
            </w:r>
          </w:p>
        </w:tc>
        <w:tc>
          <w:tcPr>
            <w:tcW w:w="993"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19</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15</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13</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18</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7</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r w:rsidRPr="00661CE2">
              <w:rPr>
                <w:rFonts w:ascii="Arial" w:hAnsi="Arial" w:cs="Arial"/>
                <w:sz w:val="24"/>
                <w:szCs w:val="24"/>
              </w:rPr>
              <w:t>4</w:t>
            </w:r>
          </w:p>
        </w:tc>
      </w:tr>
      <w:tr w:rsidR="000537BD" w:rsidRPr="00661CE2" w:rsidTr="008F3B53">
        <w:trPr>
          <w:jc w:val="center"/>
        </w:trPr>
        <w:tc>
          <w:tcPr>
            <w:tcW w:w="1412" w:type="dxa"/>
            <w:vMerge/>
            <w:tcBorders>
              <w:left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Media</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28.51</w:t>
            </w:r>
          </w:p>
        </w:tc>
        <w:tc>
          <w:tcPr>
            <w:tcW w:w="127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58.29</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66.54</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M: 60.19</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E: 34.73</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41.12</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66.70</w:t>
            </w:r>
          </w:p>
        </w:tc>
        <w:tc>
          <w:tcPr>
            <w:tcW w:w="993"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85.42</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30.57</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19.82</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38.63</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36.36</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r w:rsidRPr="00661CE2">
              <w:rPr>
                <w:rFonts w:ascii="Arial" w:hAnsi="Arial" w:cs="Arial"/>
                <w:sz w:val="24"/>
                <w:szCs w:val="24"/>
              </w:rPr>
              <w:t>25.95</w:t>
            </w:r>
          </w:p>
        </w:tc>
      </w:tr>
      <w:tr w:rsidR="000537BD" w:rsidRPr="00661CE2" w:rsidTr="008F3B53">
        <w:trPr>
          <w:jc w:val="center"/>
        </w:trPr>
        <w:tc>
          <w:tcPr>
            <w:tcW w:w="1412" w:type="dxa"/>
            <w:vMerge/>
            <w:tcBorders>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DS</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18.24</w:t>
            </w:r>
          </w:p>
        </w:tc>
        <w:tc>
          <w:tcPr>
            <w:tcW w:w="127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T: 22.71</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F: 24.48</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 xml:space="preserve">M: 36.58 </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lastRenderedPageBreak/>
              <w:t>E: 31.29</w:t>
            </w:r>
          </w:p>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O: 22.20</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lastRenderedPageBreak/>
              <w:t>23.35</w:t>
            </w:r>
          </w:p>
        </w:tc>
        <w:tc>
          <w:tcPr>
            <w:tcW w:w="993"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19.88</w:t>
            </w:r>
          </w:p>
        </w:tc>
        <w:tc>
          <w:tcPr>
            <w:tcW w:w="113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19.87</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17,12</w:t>
            </w:r>
          </w:p>
        </w:tc>
        <w:tc>
          <w:tcPr>
            <w:tcW w:w="99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24.12</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Fonts w:ascii="Arial" w:hAnsi="Arial" w:cs="Arial"/>
                <w:sz w:val="24"/>
                <w:szCs w:val="24"/>
              </w:rPr>
            </w:pPr>
            <w:r w:rsidRPr="00661CE2">
              <w:rPr>
                <w:rFonts w:ascii="Arial" w:hAnsi="Arial" w:cs="Arial"/>
                <w:sz w:val="24"/>
                <w:szCs w:val="24"/>
              </w:rPr>
              <w:t>20.78</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after="0" w:line="240" w:lineRule="auto"/>
              <w:jc w:val="center"/>
              <w:rPr>
                <w:rStyle w:val="Refdenotaalpie"/>
                <w:rFonts w:ascii="Arial" w:hAnsi="Arial" w:cs="Arial"/>
                <w:sz w:val="24"/>
                <w:szCs w:val="24"/>
              </w:rPr>
            </w:pPr>
            <w:r w:rsidRPr="00661CE2">
              <w:rPr>
                <w:rFonts w:ascii="Arial" w:hAnsi="Arial" w:cs="Arial"/>
                <w:sz w:val="24"/>
                <w:szCs w:val="24"/>
              </w:rPr>
              <w:t>20.76</w:t>
            </w:r>
          </w:p>
        </w:tc>
      </w:tr>
    </w:tbl>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r w:rsidRPr="00661CE2">
        <w:rPr>
          <w:rFonts w:ascii="Arial" w:hAnsi="Arial" w:cs="Arial"/>
          <w:sz w:val="24"/>
          <w:szCs w:val="24"/>
        </w:rPr>
        <w:t>**Los datos son expresados en porcentaje. Las celdas vacías indican que el estudio no incluye esa información.</w:t>
      </w:r>
    </w:p>
    <w:p w:rsidR="000537BD" w:rsidRPr="00661CE2" w:rsidRDefault="000537BD" w:rsidP="008F3B53">
      <w:pPr>
        <w:spacing w:line="360" w:lineRule="auto"/>
        <w:rPr>
          <w:rFonts w:ascii="Arial" w:hAnsi="Arial" w:cs="Arial"/>
          <w:sz w:val="24"/>
          <w:szCs w:val="24"/>
        </w:rPr>
      </w:pPr>
      <w:r w:rsidRPr="00661CE2">
        <w:rPr>
          <w:rFonts w:ascii="Arial" w:hAnsi="Arial" w:cs="Arial"/>
          <w:sz w:val="24"/>
          <w:szCs w:val="24"/>
        </w:rPr>
        <w:t>***Abreviaturas: Ref.: Referencia, T: Todo, F: Farmacéutico, M: Médico, E: Enfermero, O: Otros</w:t>
      </w:r>
      <w:r>
        <w:rPr>
          <w:rFonts w:ascii="Arial" w:hAnsi="Arial" w:cs="Arial"/>
          <w:sz w:val="24"/>
          <w:szCs w:val="24"/>
        </w:rPr>
        <w:t>, DS: Desviación estándar, NA: no aplica para el estudio o no se dispone del dato.</w:t>
      </w:r>
    </w:p>
    <w:p w:rsidR="000537BD" w:rsidRPr="00661CE2" w:rsidRDefault="000537BD" w:rsidP="008F3B53">
      <w:pPr>
        <w:spacing w:line="360" w:lineRule="auto"/>
        <w:jc w:val="both"/>
        <w:rPr>
          <w:rFonts w:ascii="Arial" w:hAnsi="Arial" w:cs="Arial"/>
          <w:sz w:val="24"/>
          <w:szCs w:val="24"/>
        </w:rPr>
      </w:pP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Default="000537BD" w:rsidP="008F3B53">
      <w:pPr>
        <w:spacing w:line="360" w:lineRule="auto"/>
        <w:jc w:val="both"/>
        <w:rPr>
          <w:rFonts w:ascii="Arial" w:hAnsi="Arial" w:cs="Arial"/>
          <w:b/>
          <w:i/>
          <w:sz w:val="24"/>
          <w:szCs w:val="24"/>
        </w:rPr>
      </w:pPr>
      <w:r w:rsidRPr="00661CE2">
        <w:rPr>
          <w:rFonts w:ascii="Arial" w:hAnsi="Arial" w:cs="Arial"/>
          <w:b/>
          <w:i/>
          <w:sz w:val="24"/>
          <w:szCs w:val="24"/>
        </w:rPr>
        <w:t>Tendencias en el reporte de RAM</w:t>
      </w:r>
    </w:p>
    <w:p w:rsidR="000537BD" w:rsidRPr="00661CE2" w:rsidRDefault="000537BD" w:rsidP="008F3B53">
      <w:pPr>
        <w:spacing w:line="360" w:lineRule="auto"/>
        <w:jc w:val="both"/>
        <w:rPr>
          <w:rFonts w:ascii="Arial" w:hAnsi="Arial" w:cs="Arial"/>
          <w:b/>
          <w:i/>
          <w:sz w:val="24"/>
          <w:szCs w:val="24"/>
        </w:rPr>
      </w:pP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r w:rsidRPr="00661CE2">
        <w:rPr>
          <w:rFonts w:ascii="Arial" w:hAnsi="Arial" w:cs="Arial"/>
          <w:sz w:val="24"/>
          <w:szCs w:val="24"/>
        </w:rPr>
        <w:t>Si bien el 58.94% (n=19) de los encuestados sabe cómo y dónde reportar una RAM, sólo el 32.98% (n=27) ha reportado una RAM al menos una vez durante su carrera profesional. El 53.66% ha reportado o reportaría RAM leves (n=13) y el 64.15% RAM graves (n=15). El 43.24% (n=4) recibe información periódica sobre las RAM y el 58.94% (n=19) expresó su deseo de disponer de medios electrónicos para la notificar RAM y el 72.09% manifestó querer recibir retroalimentación por parte de las autoridades sanitarias en relación al llenado de los formatos (n=11). El 47.24% (n=13) declaró que el formato de notificación de RAM no está disponible en sus áreas de trabajo y el 43.04% (n=13) mostró disposición a recibir capacitación en FV para mejorar el número y calidad de los reportes de RAM. La tabla 4 muestra las tendencias encontradas en el reporte de RAM de los estudios efectuados entre 2007 y 2016.</w:t>
      </w: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Pr="00661CE2" w:rsidRDefault="000537BD" w:rsidP="008F3B53">
      <w:pPr>
        <w:spacing w:line="360" w:lineRule="auto"/>
        <w:ind w:firstLine="709"/>
        <w:jc w:val="center"/>
        <w:rPr>
          <w:rFonts w:ascii="Arial" w:hAnsi="Arial" w:cs="Arial"/>
          <w:i/>
          <w:sz w:val="24"/>
          <w:szCs w:val="24"/>
        </w:rPr>
      </w:pPr>
      <w:r w:rsidRPr="00661CE2">
        <w:rPr>
          <w:rFonts w:ascii="Arial" w:hAnsi="Arial" w:cs="Arial"/>
          <w:i/>
          <w:sz w:val="24"/>
          <w:szCs w:val="24"/>
        </w:rPr>
        <w:t>Tabla 4: Tendencias en FV y reporte de RAM de los estu</w:t>
      </w:r>
      <w:r>
        <w:rPr>
          <w:rFonts w:ascii="Arial" w:hAnsi="Arial" w:cs="Arial"/>
          <w:i/>
          <w:sz w:val="24"/>
          <w:szCs w:val="24"/>
        </w:rPr>
        <w:t>dios publicados de 2007 al 2016</w:t>
      </w:r>
    </w:p>
    <w:tbl>
      <w:tblPr>
        <w:tblStyle w:val="Tablaconcuadrcula"/>
        <w:tblW w:w="10620" w:type="dxa"/>
        <w:jc w:val="center"/>
        <w:tblLayout w:type="fixed"/>
        <w:tblLook w:val="04A0" w:firstRow="1" w:lastRow="0" w:firstColumn="1" w:lastColumn="0" w:noHBand="0" w:noVBand="1"/>
      </w:tblPr>
      <w:tblGrid>
        <w:gridCol w:w="1413"/>
        <w:gridCol w:w="567"/>
        <w:gridCol w:w="850"/>
        <w:gridCol w:w="851"/>
        <w:gridCol w:w="850"/>
        <w:gridCol w:w="851"/>
        <w:gridCol w:w="852"/>
        <w:gridCol w:w="987"/>
        <w:gridCol w:w="849"/>
        <w:gridCol w:w="856"/>
        <w:gridCol w:w="850"/>
        <w:gridCol w:w="844"/>
      </w:tblGrid>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País</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Ref.</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Ha reportado RAM</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Sabe reportar una RAM</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 xml:space="preserve">Medio electrónico para reporte </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 xml:space="preserve">Ha reportado / reportaría  RAM no </w:t>
            </w:r>
            <w:r w:rsidRPr="00661CE2">
              <w:rPr>
                <w:rFonts w:ascii="Arial" w:hAnsi="Arial" w:cs="Arial"/>
                <w:sz w:val="24"/>
                <w:szCs w:val="24"/>
              </w:rPr>
              <w:lastRenderedPageBreak/>
              <w:t>graves</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lastRenderedPageBreak/>
              <w:t>Ha reportado / reportaría RAM graves</w:t>
            </w:r>
          </w:p>
        </w:tc>
        <w:tc>
          <w:tcPr>
            <w:tcW w:w="98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 xml:space="preserve">Ha detenido /   cambiado terapia ante </w:t>
            </w:r>
            <w:r w:rsidRPr="00661CE2">
              <w:rPr>
                <w:rFonts w:ascii="Arial" w:hAnsi="Arial" w:cs="Arial"/>
                <w:sz w:val="24"/>
                <w:szCs w:val="24"/>
              </w:rPr>
              <w:lastRenderedPageBreak/>
              <w:t>una RAM</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lastRenderedPageBreak/>
              <w:t>Recibe información sobre RAM</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Formato no disponible</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La capacitación aumentaría el núme</w:t>
            </w:r>
            <w:r w:rsidRPr="00661CE2">
              <w:rPr>
                <w:rFonts w:ascii="Arial" w:hAnsi="Arial" w:cs="Arial"/>
                <w:sz w:val="24"/>
                <w:szCs w:val="24"/>
              </w:rPr>
              <w:lastRenderedPageBreak/>
              <w:t>ro de reportes</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lastRenderedPageBreak/>
              <w:t xml:space="preserve">Comunicación / retroalimentación de los </w:t>
            </w:r>
            <w:r w:rsidRPr="00661CE2">
              <w:rPr>
                <w:rFonts w:ascii="Arial" w:hAnsi="Arial" w:cs="Arial"/>
                <w:sz w:val="24"/>
                <w:szCs w:val="24"/>
              </w:rPr>
              <w:lastRenderedPageBreak/>
              <w:t>reportes</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lastRenderedPageBreak/>
              <w:t>Bulgaria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21</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40.7</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58.5</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74.8</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26.8</w:t>
            </w:r>
          </w:p>
        </w:tc>
        <w:tc>
          <w:tcPr>
            <w:tcW w:w="98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91.2</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47.2</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A1BD2">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A1BD2">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A1BD2">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Cabo Verde República de</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35.2</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836AAA">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836AAA">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836AAA">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836AAA">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836AAA">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45</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B4F8A">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B4F8A">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B4F8A">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Camerún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62.2</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22</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FA2EB8">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China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24</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14.6</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78</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7229E">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35</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30.9</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12C08">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12C0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30.5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66.7</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Chipre</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10.3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55</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7229E">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87-92</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84</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12C08">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12C0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10</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91</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83</w:t>
            </w:r>
          </w:p>
        </w:tc>
      </w:tr>
      <w:tr w:rsidR="000537BD" w:rsidRPr="00661CE2" w:rsidTr="008F3B53">
        <w:trPr>
          <w:jc w:val="center"/>
        </w:trPr>
        <w:tc>
          <w:tcPr>
            <w:tcW w:w="1413" w:type="dxa"/>
            <w:vMerge w:val="restart"/>
            <w:tcBorders>
              <w:top w:val="single" w:sz="4" w:space="0" w:color="auto"/>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 xml:space="preserve">India </w:t>
            </w:r>
          </w:p>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26</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11</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7229E">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653D5E">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653D5E">
              <w:rPr>
                <w:rFonts w:ascii="Arial" w:hAnsi="Arial" w:cs="Arial"/>
                <w:sz w:val="24"/>
                <w:szCs w:val="24"/>
              </w:rPr>
              <w:t>NA</w:t>
            </w:r>
          </w:p>
        </w:tc>
      </w:tr>
      <w:tr w:rsidR="000537BD" w:rsidRPr="00661CE2" w:rsidTr="008F3B53">
        <w:trPr>
          <w:jc w:val="center"/>
        </w:trPr>
        <w:tc>
          <w:tcPr>
            <w:tcW w:w="1413" w:type="dxa"/>
            <w:vMerge/>
            <w:tcBorders>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16</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24</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7229E">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D1534B">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100</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r>
      <w:tr w:rsidR="000537BD" w:rsidRPr="00661CE2" w:rsidTr="008F3B53">
        <w:trPr>
          <w:jc w:val="center"/>
        </w:trPr>
        <w:tc>
          <w:tcPr>
            <w:tcW w:w="1413" w:type="dxa"/>
            <w:vMerge/>
            <w:tcBorders>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28</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7.9</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55.5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40.6</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86018B">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86018B">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66.4</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86.1</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82</w:t>
            </w:r>
          </w:p>
        </w:tc>
      </w:tr>
      <w:tr w:rsidR="000537BD" w:rsidRPr="00661CE2" w:rsidTr="008F3B53">
        <w:trPr>
          <w:jc w:val="center"/>
        </w:trPr>
        <w:tc>
          <w:tcPr>
            <w:tcW w:w="1413" w:type="dxa"/>
            <w:vMerge/>
            <w:tcBorders>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29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22.8</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50</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13.9</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F229F">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F229F">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92.1</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28378C">
              <w:rPr>
                <w:rFonts w:ascii="Arial" w:hAnsi="Arial" w:cs="Arial"/>
                <w:sz w:val="24"/>
                <w:szCs w:val="24"/>
              </w:rPr>
              <w:t>NA</w:t>
            </w:r>
          </w:p>
        </w:tc>
      </w:tr>
      <w:tr w:rsidR="000537BD" w:rsidRPr="00661CE2" w:rsidTr="008F3B53">
        <w:trPr>
          <w:jc w:val="center"/>
        </w:trPr>
        <w:tc>
          <w:tcPr>
            <w:tcW w:w="1413" w:type="dxa"/>
            <w:vMerge/>
            <w:tcBorders>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30</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15</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32</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50</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56</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F229F">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F229F">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49.2</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C2E71">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28378C">
              <w:rPr>
                <w:rFonts w:ascii="Arial" w:hAnsi="Arial" w:cs="Arial"/>
                <w:sz w:val="24"/>
                <w:szCs w:val="24"/>
              </w:rPr>
              <w:t>NA</w:t>
            </w:r>
          </w:p>
        </w:tc>
      </w:tr>
      <w:tr w:rsidR="000537BD" w:rsidRPr="00661CE2" w:rsidTr="008F3B53">
        <w:trPr>
          <w:jc w:val="center"/>
        </w:trPr>
        <w:tc>
          <w:tcPr>
            <w:tcW w:w="1413" w:type="dxa"/>
            <w:vMerge/>
            <w:tcBorders>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31</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47</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80</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12</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w:t>
            </w:r>
          </w:p>
        </w:tc>
        <w:tc>
          <w:tcPr>
            <w:tcW w:w="98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30</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62.5</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C2E71">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28378C">
              <w:rPr>
                <w:rFonts w:ascii="Arial" w:hAnsi="Arial" w:cs="Arial"/>
                <w:sz w:val="24"/>
                <w:szCs w:val="24"/>
              </w:rPr>
              <w:t>NA</w:t>
            </w:r>
          </w:p>
        </w:tc>
      </w:tr>
      <w:tr w:rsidR="000537BD" w:rsidRPr="00661CE2" w:rsidTr="008F3B53">
        <w:trPr>
          <w:jc w:val="center"/>
        </w:trPr>
        <w:tc>
          <w:tcPr>
            <w:tcW w:w="1413" w:type="dxa"/>
            <w:vMerge/>
            <w:tcBorders>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18.5</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59.2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30</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2A04BE">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2A04BE">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57</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224A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4.8</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20</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28378C">
              <w:rPr>
                <w:rFonts w:ascii="Arial" w:hAnsi="Arial" w:cs="Arial"/>
                <w:sz w:val="24"/>
                <w:szCs w:val="24"/>
              </w:rPr>
              <w:t>NA</w:t>
            </w:r>
          </w:p>
        </w:tc>
      </w:tr>
      <w:tr w:rsidR="000537BD" w:rsidRPr="00661CE2" w:rsidTr="008F3B53">
        <w:trPr>
          <w:jc w:val="center"/>
        </w:trPr>
        <w:tc>
          <w:tcPr>
            <w:tcW w:w="1413" w:type="dxa"/>
            <w:vMerge/>
            <w:tcBorders>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33</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25</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44</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B5C2F">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B5C2F">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83.3</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26611">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224A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228F1">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28378C">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Irán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34</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20</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D3128">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D3128">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17</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71</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26611">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224A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23</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228F1">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28378C">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Italia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44</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76.5</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944FB0">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944FB0">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944FB0">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224A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44BF0">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78</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4D7574" w:rsidRDefault="000537BD" w:rsidP="008F3B53">
            <w:pPr>
              <w:spacing w:line="240" w:lineRule="auto"/>
              <w:jc w:val="center"/>
              <w:rPr>
                <w:rStyle w:val="Refdenotaalpie"/>
                <w:rFonts w:ascii="Arial" w:hAnsi="Arial" w:cs="Arial"/>
                <w:sz w:val="24"/>
                <w:szCs w:val="24"/>
                <w:vertAlign w:val="baseline"/>
              </w:rPr>
            </w:pPr>
            <w:r w:rsidRPr="004D7574">
              <w:rPr>
                <w:rStyle w:val="Refdenotaalpie"/>
                <w:rFonts w:ascii="Arial" w:hAnsi="Arial" w:cs="Arial"/>
                <w:sz w:val="24"/>
                <w:szCs w:val="24"/>
                <w:vertAlign w:val="baseline"/>
              </w:rPr>
              <w:t>27</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Japón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36</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30669">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30669">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30669">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30669">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30669">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30669">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4224A8">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44BF0">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99</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38.6</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Líbano</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16.3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81.8</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43086">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43086">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43086">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43086">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17</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76.2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89</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Style w:val="Refdenotaalpie"/>
                <w:rFonts w:ascii="Arial" w:hAnsi="Arial" w:cs="Arial"/>
                <w:sz w:val="24"/>
                <w:szCs w:val="24"/>
              </w:rPr>
            </w:pPr>
            <w:r>
              <w:rPr>
                <w:rFonts w:ascii="Arial" w:hAnsi="Arial" w:cs="Arial"/>
                <w:sz w:val="24"/>
                <w:szCs w:val="24"/>
              </w:rPr>
              <w:t>NA</w:t>
            </w:r>
          </w:p>
        </w:tc>
      </w:tr>
      <w:tr w:rsidR="000537BD" w:rsidRPr="00661CE2" w:rsidTr="008F3B53">
        <w:trPr>
          <w:jc w:val="center"/>
        </w:trPr>
        <w:tc>
          <w:tcPr>
            <w:tcW w:w="1413" w:type="dxa"/>
            <w:vMerge w:val="restart"/>
            <w:tcBorders>
              <w:top w:val="single" w:sz="4" w:space="0" w:color="auto"/>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Malasia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38</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12.9</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65.3</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68.3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66.3</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91.3</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74E45">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555F2">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51.9</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A0D60">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72.1</w:t>
            </w:r>
          </w:p>
        </w:tc>
      </w:tr>
      <w:tr w:rsidR="000537BD" w:rsidRPr="00661CE2" w:rsidTr="008F3B53">
        <w:trPr>
          <w:jc w:val="center"/>
        </w:trPr>
        <w:tc>
          <w:tcPr>
            <w:tcW w:w="1413" w:type="dxa"/>
            <w:vMerge/>
            <w:tcBorders>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39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50</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86.6</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80</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80</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74E45">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555F2">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87ABE">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A0D60">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B60B88">
              <w:rPr>
                <w:rFonts w:ascii="Arial" w:hAnsi="Arial" w:cs="Arial"/>
                <w:sz w:val="24"/>
                <w:szCs w:val="24"/>
              </w:rPr>
              <w:t>NA</w:t>
            </w:r>
          </w:p>
        </w:tc>
      </w:tr>
      <w:tr w:rsidR="000537BD" w:rsidRPr="00661CE2" w:rsidTr="008F3B53">
        <w:trPr>
          <w:jc w:val="center"/>
        </w:trPr>
        <w:tc>
          <w:tcPr>
            <w:tcW w:w="1413" w:type="dxa"/>
            <w:vMerge w:val="restart"/>
            <w:tcBorders>
              <w:top w:val="single" w:sz="4" w:space="0" w:color="auto"/>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Nepal</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40</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95DAF">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95DAF">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71</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74E45">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555F2">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87ABE">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A0D60">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B60B88">
              <w:rPr>
                <w:rFonts w:ascii="Arial" w:hAnsi="Arial" w:cs="Arial"/>
                <w:sz w:val="24"/>
                <w:szCs w:val="24"/>
              </w:rPr>
              <w:t>NA</w:t>
            </w:r>
          </w:p>
        </w:tc>
      </w:tr>
      <w:tr w:rsidR="000537BD" w:rsidRPr="00661CE2" w:rsidTr="008F3B53">
        <w:trPr>
          <w:jc w:val="center"/>
        </w:trPr>
        <w:tc>
          <w:tcPr>
            <w:tcW w:w="1413" w:type="dxa"/>
            <w:vMerge/>
            <w:tcBorders>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41</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41.1</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76</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20.1</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93D98">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74E45">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76</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87ABE">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A0D60">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4D7574" w:rsidRDefault="000537BD" w:rsidP="008F3B53">
            <w:pPr>
              <w:spacing w:line="240" w:lineRule="auto"/>
              <w:jc w:val="center"/>
              <w:rPr>
                <w:rStyle w:val="Refdenotaalpie"/>
                <w:rFonts w:ascii="Arial" w:hAnsi="Arial" w:cs="Arial"/>
                <w:sz w:val="24"/>
                <w:szCs w:val="24"/>
                <w:vertAlign w:val="baseline"/>
              </w:rPr>
            </w:pPr>
            <w:r w:rsidRPr="004D7574">
              <w:rPr>
                <w:rStyle w:val="Refdenotaalpie"/>
                <w:rFonts w:ascii="Arial" w:hAnsi="Arial" w:cs="Arial"/>
                <w:sz w:val="24"/>
                <w:szCs w:val="24"/>
                <w:vertAlign w:val="baseline"/>
              </w:rPr>
              <w:t>80</w:t>
            </w:r>
          </w:p>
        </w:tc>
      </w:tr>
      <w:tr w:rsidR="000537BD" w:rsidRPr="00661CE2" w:rsidTr="008F3B53">
        <w:trPr>
          <w:jc w:val="center"/>
        </w:trPr>
        <w:tc>
          <w:tcPr>
            <w:tcW w:w="1413" w:type="dxa"/>
            <w:vMerge w:val="restart"/>
            <w:tcBorders>
              <w:top w:val="single" w:sz="4" w:space="0" w:color="auto"/>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Nigeria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42</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99</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99</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67</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93D98">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74E45">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52035">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92</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A0D60">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97</w:t>
            </w:r>
          </w:p>
        </w:tc>
      </w:tr>
      <w:tr w:rsidR="000537BD" w:rsidRPr="00661CE2" w:rsidTr="008F3B53">
        <w:trPr>
          <w:jc w:val="center"/>
        </w:trPr>
        <w:tc>
          <w:tcPr>
            <w:tcW w:w="1413" w:type="dxa"/>
            <w:vMerge/>
            <w:tcBorders>
              <w:left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43</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20</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12</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D78CE">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93D98">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52035">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816AF">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A0D60">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Style w:val="Refdenotaalpie"/>
                <w:rFonts w:ascii="Arial" w:hAnsi="Arial" w:cs="Arial"/>
                <w:sz w:val="24"/>
                <w:szCs w:val="24"/>
              </w:rPr>
            </w:pPr>
            <w:r>
              <w:rPr>
                <w:rFonts w:ascii="Arial" w:hAnsi="Arial" w:cs="Arial"/>
                <w:sz w:val="24"/>
                <w:szCs w:val="24"/>
              </w:rPr>
              <w:t>NA</w:t>
            </w:r>
          </w:p>
        </w:tc>
      </w:tr>
      <w:tr w:rsidR="000537BD" w:rsidRPr="00661CE2" w:rsidTr="008F3B53">
        <w:trPr>
          <w:jc w:val="center"/>
        </w:trPr>
        <w:tc>
          <w:tcPr>
            <w:tcW w:w="1413" w:type="dxa"/>
            <w:vMerge/>
            <w:tcBorders>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44</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3305D">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3305D">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D78CE">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66</w:t>
            </w:r>
          </w:p>
        </w:tc>
        <w:tc>
          <w:tcPr>
            <w:tcW w:w="98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77.8</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52035">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816AF">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94.5</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70.4</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Noruega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45</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7</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83.6</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D78CE">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8.8</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52035">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18.7</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6C1358">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91.8</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Portugal</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46</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80</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A220C3">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ED78CE">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65</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B7B54">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52035">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9537C7">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6C1358">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Style w:val="Refdenotaalpie"/>
                <w:rFonts w:ascii="Arial" w:hAnsi="Arial" w:cs="Arial"/>
                <w:sz w:val="24"/>
                <w:szCs w:val="24"/>
              </w:rPr>
            </w:pPr>
            <w:r>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Suecia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47</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62</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84</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56.4</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51.8</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B7B54">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552035">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9537C7">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6C1358">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79</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lastRenderedPageBreak/>
              <w:t>Sultanato de Omán</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48</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69.2</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E395D">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CE395D">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86.9</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A7CC1">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A7CC1">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A7CC1">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A7CC1">
              <w:rPr>
                <w:rFonts w:ascii="Arial" w:hAnsi="Arial" w:cs="Arial"/>
                <w:sz w:val="24"/>
                <w:szCs w:val="24"/>
              </w:rPr>
              <w:t>NA</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7A7CC1">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7A7CC1">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Turquía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49</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65.3</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61</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1B541D">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47.6</w:t>
            </w:r>
          </w:p>
        </w:tc>
        <w:tc>
          <w:tcPr>
            <w:tcW w:w="852"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11</w:t>
            </w:r>
          </w:p>
        </w:tc>
        <w:tc>
          <w:tcPr>
            <w:tcW w:w="98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87.6</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82</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EF5503">
              <w:rPr>
                <w:rFonts w:ascii="Arial" w:hAnsi="Arial" w:cs="Arial"/>
                <w:sz w:val="24"/>
                <w:szCs w:val="24"/>
              </w:rPr>
              <w:t>NA</w:t>
            </w:r>
          </w:p>
        </w:tc>
      </w:tr>
      <w:tr w:rsidR="000537BD" w:rsidRPr="00661CE2" w:rsidTr="008F3B53">
        <w:trPr>
          <w:jc w:val="center"/>
        </w:trPr>
        <w:tc>
          <w:tcPr>
            <w:tcW w:w="1413"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Venezuela</w:t>
            </w:r>
          </w:p>
        </w:tc>
        <w:tc>
          <w:tcPr>
            <w:tcW w:w="567" w:type="dxa"/>
            <w:tcBorders>
              <w:top w:val="single" w:sz="4" w:space="0" w:color="auto"/>
              <w:left w:val="single" w:sz="4" w:space="0" w:color="auto"/>
              <w:bottom w:val="single" w:sz="4" w:space="0" w:color="auto"/>
              <w:right w:val="single" w:sz="4" w:space="0" w:color="auto"/>
            </w:tcBorders>
            <w:vAlign w:val="center"/>
            <w:hideMark/>
          </w:tcPr>
          <w:p w:rsidR="000537BD" w:rsidRPr="0085160B" w:rsidRDefault="000537BD" w:rsidP="008F3B53">
            <w:pPr>
              <w:spacing w:line="240" w:lineRule="auto"/>
              <w:jc w:val="center"/>
              <w:rPr>
                <w:rFonts w:ascii="Arial" w:hAnsi="Arial" w:cs="Arial"/>
                <w:sz w:val="24"/>
                <w:szCs w:val="24"/>
                <w:vertAlign w:val="superscript"/>
              </w:rPr>
            </w:pPr>
            <w:r w:rsidRPr="0085160B">
              <w:rPr>
                <w:rFonts w:ascii="Arial" w:hAnsi="Arial" w:cs="Arial"/>
                <w:sz w:val="24"/>
                <w:szCs w:val="24"/>
                <w:vertAlign w:val="superscript"/>
              </w:rPr>
              <w:t>50</w:t>
            </w:r>
          </w:p>
        </w:tc>
        <w:tc>
          <w:tcPr>
            <w:tcW w:w="850"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24.6</w:t>
            </w:r>
          </w:p>
        </w:tc>
        <w:tc>
          <w:tcPr>
            <w:tcW w:w="851"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20.9</w:t>
            </w:r>
          </w:p>
        </w:tc>
        <w:tc>
          <w:tcPr>
            <w:tcW w:w="850"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1B541D">
              <w:rPr>
                <w:rFonts w:ascii="Arial" w:hAnsi="Arial" w:cs="Arial"/>
                <w:sz w:val="24"/>
                <w:szCs w:val="24"/>
              </w:rPr>
              <w:t>NA</w:t>
            </w:r>
          </w:p>
        </w:tc>
        <w:tc>
          <w:tcPr>
            <w:tcW w:w="851"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A3E80">
              <w:rPr>
                <w:rFonts w:ascii="Arial" w:hAnsi="Arial" w:cs="Arial"/>
                <w:sz w:val="24"/>
                <w:szCs w:val="24"/>
              </w:rPr>
              <w:t>NA</w:t>
            </w:r>
          </w:p>
        </w:tc>
        <w:tc>
          <w:tcPr>
            <w:tcW w:w="852"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Fonts w:ascii="Arial" w:hAnsi="Arial" w:cs="Arial"/>
                <w:sz w:val="24"/>
                <w:szCs w:val="24"/>
              </w:rPr>
            </w:pPr>
            <w:r w:rsidRPr="003A3E80">
              <w:rPr>
                <w:rFonts w:ascii="Arial" w:hAnsi="Arial" w:cs="Arial"/>
                <w:sz w:val="24"/>
                <w:szCs w:val="24"/>
              </w:rPr>
              <w:t>NA</w:t>
            </w:r>
          </w:p>
        </w:tc>
        <w:tc>
          <w:tcPr>
            <w:tcW w:w="987"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83.7</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56" w:type="dxa"/>
            <w:tcBorders>
              <w:top w:val="single" w:sz="4" w:space="0" w:color="auto"/>
              <w:left w:val="single" w:sz="4" w:space="0" w:color="auto"/>
              <w:bottom w:val="single" w:sz="4" w:space="0" w:color="auto"/>
              <w:right w:val="single" w:sz="4" w:space="0" w:color="auto"/>
            </w:tcBorders>
            <w:vAlign w:val="center"/>
            <w:hideMark/>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97.9</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NA</w:t>
            </w:r>
          </w:p>
        </w:tc>
        <w:tc>
          <w:tcPr>
            <w:tcW w:w="844" w:type="dxa"/>
            <w:tcBorders>
              <w:top w:val="single" w:sz="4" w:space="0" w:color="auto"/>
              <w:left w:val="single" w:sz="4" w:space="0" w:color="auto"/>
              <w:bottom w:val="single" w:sz="4" w:space="0" w:color="auto"/>
              <w:right w:val="single" w:sz="4" w:space="0" w:color="auto"/>
            </w:tcBorders>
          </w:tcPr>
          <w:p w:rsidR="000537BD" w:rsidRPr="00661CE2" w:rsidRDefault="000537BD" w:rsidP="008F3B53">
            <w:pPr>
              <w:spacing w:line="240" w:lineRule="auto"/>
              <w:jc w:val="center"/>
              <w:rPr>
                <w:rStyle w:val="Refdenotaalpie"/>
                <w:rFonts w:ascii="Arial" w:hAnsi="Arial" w:cs="Arial"/>
                <w:sz w:val="24"/>
                <w:szCs w:val="24"/>
              </w:rPr>
            </w:pPr>
            <w:r w:rsidRPr="00EF5503">
              <w:rPr>
                <w:rFonts w:ascii="Arial" w:hAnsi="Arial" w:cs="Arial"/>
                <w:sz w:val="24"/>
                <w:szCs w:val="24"/>
              </w:rPr>
              <w:t>NA</w:t>
            </w:r>
          </w:p>
        </w:tc>
      </w:tr>
      <w:tr w:rsidR="000537BD" w:rsidRPr="00661CE2" w:rsidTr="008F3B53">
        <w:trPr>
          <w:jc w:val="center"/>
        </w:trPr>
        <w:tc>
          <w:tcPr>
            <w:tcW w:w="1413" w:type="dxa"/>
            <w:vMerge w:val="restart"/>
            <w:tcBorders>
              <w:top w:val="single" w:sz="4" w:space="0" w:color="auto"/>
              <w:left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Estadística</w:t>
            </w: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N</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27</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19</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13</w:t>
            </w:r>
          </w:p>
        </w:tc>
        <w:tc>
          <w:tcPr>
            <w:tcW w:w="85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15</w:t>
            </w:r>
          </w:p>
        </w:tc>
        <w:tc>
          <w:tcPr>
            <w:tcW w:w="98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w:t>
            </w:r>
          </w:p>
        </w:tc>
        <w:tc>
          <w:tcPr>
            <w:tcW w:w="856"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13</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11</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11</w:t>
            </w:r>
          </w:p>
        </w:tc>
      </w:tr>
      <w:tr w:rsidR="000537BD" w:rsidRPr="00661CE2" w:rsidTr="008F3B53">
        <w:trPr>
          <w:jc w:val="center"/>
        </w:trPr>
        <w:tc>
          <w:tcPr>
            <w:tcW w:w="1413" w:type="dxa"/>
            <w:vMerge/>
            <w:tcBorders>
              <w:left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Pr>
                <w:rFonts w:ascii="Arial" w:hAnsi="Arial" w:cs="Arial"/>
                <w:sz w:val="24"/>
                <w:szCs w:val="24"/>
              </w:rPr>
              <w:t>Media</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32.98</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58.94</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57.11</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53.62</w:t>
            </w:r>
          </w:p>
        </w:tc>
        <w:tc>
          <w:tcPr>
            <w:tcW w:w="85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53.66</w:t>
            </w:r>
          </w:p>
        </w:tc>
        <w:tc>
          <w:tcPr>
            <w:tcW w:w="98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64.15</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43.04</w:t>
            </w:r>
          </w:p>
        </w:tc>
        <w:tc>
          <w:tcPr>
            <w:tcW w:w="856"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47.24</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81.67</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72.09</w:t>
            </w:r>
          </w:p>
        </w:tc>
      </w:tr>
      <w:tr w:rsidR="000537BD" w:rsidRPr="00661CE2" w:rsidTr="008F3B53">
        <w:trPr>
          <w:jc w:val="center"/>
        </w:trPr>
        <w:tc>
          <w:tcPr>
            <w:tcW w:w="1413" w:type="dxa"/>
            <w:vMerge/>
            <w:tcBorders>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p>
        </w:tc>
        <w:tc>
          <w:tcPr>
            <w:tcW w:w="56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DS</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23.55</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26.33</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17.32</w:t>
            </w:r>
          </w:p>
        </w:tc>
        <w:tc>
          <w:tcPr>
            <w:tcW w:w="851"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26.01</w:t>
            </w:r>
          </w:p>
        </w:tc>
        <w:tc>
          <w:tcPr>
            <w:tcW w:w="852"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29.28</w:t>
            </w:r>
          </w:p>
        </w:tc>
        <w:tc>
          <w:tcPr>
            <w:tcW w:w="987"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29.73</w:t>
            </w:r>
          </w:p>
        </w:tc>
        <w:tc>
          <w:tcPr>
            <w:tcW w:w="849"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22.11</w:t>
            </w:r>
          </w:p>
        </w:tc>
        <w:tc>
          <w:tcPr>
            <w:tcW w:w="856"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33.61</w:t>
            </w:r>
          </w:p>
        </w:tc>
        <w:tc>
          <w:tcPr>
            <w:tcW w:w="850"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Fonts w:ascii="Arial" w:hAnsi="Arial" w:cs="Arial"/>
                <w:sz w:val="24"/>
                <w:szCs w:val="24"/>
              </w:rPr>
            </w:pPr>
            <w:r w:rsidRPr="00661CE2">
              <w:rPr>
                <w:rFonts w:ascii="Arial" w:hAnsi="Arial" w:cs="Arial"/>
                <w:sz w:val="24"/>
                <w:szCs w:val="24"/>
              </w:rPr>
              <w:t>22.60</w:t>
            </w:r>
          </w:p>
        </w:tc>
        <w:tc>
          <w:tcPr>
            <w:tcW w:w="844" w:type="dxa"/>
            <w:tcBorders>
              <w:top w:val="single" w:sz="4" w:space="0" w:color="auto"/>
              <w:left w:val="single" w:sz="4" w:space="0" w:color="auto"/>
              <w:bottom w:val="single" w:sz="4" w:space="0" w:color="auto"/>
              <w:right w:val="single" w:sz="4" w:space="0" w:color="auto"/>
            </w:tcBorders>
            <w:vAlign w:val="center"/>
          </w:tcPr>
          <w:p w:rsidR="000537BD" w:rsidRPr="00661CE2" w:rsidRDefault="000537BD" w:rsidP="008F3B53">
            <w:pPr>
              <w:spacing w:line="240" w:lineRule="auto"/>
              <w:jc w:val="center"/>
              <w:rPr>
                <w:rStyle w:val="Refdenotaalpie"/>
                <w:rFonts w:ascii="Arial" w:hAnsi="Arial" w:cs="Arial"/>
                <w:sz w:val="24"/>
                <w:szCs w:val="24"/>
              </w:rPr>
            </w:pPr>
            <w:r w:rsidRPr="00661CE2">
              <w:rPr>
                <w:rFonts w:ascii="Arial" w:hAnsi="Arial" w:cs="Arial"/>
                <w:sz w:val="24"/>
                <w:szCs w:val="24"/>
              </w:rPr>
              <w:t>22.34</w:t>
            </w:r>
          </w:p>
        </w:tc>
      </w:tr>
    </w:tbl>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r w:rsidRPr="00661CE2">
        <w:rPr>
          <w:rFonts w:ascii="Arial" w:hAnsi="Arial" w:cs="Arial"/>
          <w:sz w:val="24"/>
          <w:szCs w:val="24"/>
        </w:rPr>
        <w:t>****Los datos se expresan en porcentaje. Las celdas vacías indican que el estudio no incluye esa información.</w:t>
      </w:r>
    </w:p>
    <w:p w:rsidR="000537BD" w:rsidRPr="00661CE2" w:rsidRDefault="000537BD" w:rsidP="008F3B53">
      <w:pPr>
        <w:spacing w:line="360" w:lineRule="auto"/>
        <w:jc w:val="both"/>
        <w:rPr>
          <w:rFonts w:ascii="Arial" w:hAnsi="Arial" w:cs="Arial"/>
          <w:sz w:val="24"/>
          <w:szCs w:val="24"/>
        </w:rPr>
        <w:sectPr w:rsidR="000537BD" w:rsidRPr="00661CE2" w:rsidSect="008F3B53">
          <w:type w:val="continuous"/>
          <w:pgSz w:w="12240" w:h="15840"/>
          <w:pgMar w:top="1418" w:right="1418" w:bottom="1418" w:left="1418" w:header="709" w:footer="709" w:gutter="0"/>
          <w:cols w:space="708"/>
          <w:docGrid w:linePitch="360"/>
        </w:sectPr>
      </w:pPr>
      <w:r w:rsidRPr="00661CE2">
        <w:rPr>
          <w:rFonts w:ascii="Arial" w:hAnsi="Arial" w:cs="Arial"/>
          <w:sz w:val="24"/>
          <w:szCs w:val="24"/>
        </w:rPr>
        <w:t>*****Abreviaturas: Ref.: Refe</w:t>
      </w:r>
      <w:r>
        <w:rPr>
          <w:rFonts w:ascii="Arial" w:hAnsi="Arial" w:cs="Arial"/>
          <w:sz w:val="24"/>
          <w:szCs w:val="24"/>
        </w:rPr>
        <w:t>rencia, DS: Desviación estándar, NA: no aplica para el estudio o no se dispone del dato.</w:t>
      </w:r>
    </w:p>
    <w:p w:rsidR="000537BD" w:rsidRPr="00661CE2" w:rsidRDefault="000537BD" w:rsidP="008F3B53">
      <w:pPr>
        <w:spacing w:line="360" w:lineRule="auto"/>
        <w:jc w:val="both"/>
        <w:rPr>
          <w:rFonts w:ascii="Arial" w:hAnsi="Arial" w:cs="Arial"/>
          <w:b/>
          <w:sz w:val="24"/>
          <w:szCs w:val="24"/>
        </w:rPr>
        <w:sectPr w:rsidR="000537BD" w:rsidRPr="00661CE2" w:rsidSect="008F3B53">
          <w:type w:val="continuous"/>
          <w:pgSz w:w="12240" w:h="15840"/>
          <w:pgMar w:top="1418" w:right="1418" w:bottom="1418" w:left="1418" w:header="709" w:footer="709" w:gutter="0"/>
          <w:cols w:space="708"/>
          <w:docGrid w:linePitch="360"/>
        </w:sectPr>
      </w:pPr>
    </w:p>
    <w:p w:rsidR="000537BD" w:rsidRPr="00661CE2" w:rsidRDefault="000537BD" w:rsidP="008F3B53">
      <w:pPr>
        <w:spacing w:line="360" w:lineRule="auto"/>
        <w:jc w:val="both"/>
        <w:rPr>
          <w:rFonts w:ascii="Arial" w:hAnsi="Arial" w:cs="Arial"/>
          <w:b/>
          <w:sz w:val="24"/>
          <w:szCs w:val="24"/>
        </w:rPr>
      </w:pPr>
      <w:r w:rsidRPr="00661CE2">
        <w:rPr>
          <w:rFonts w:ascii="Arial" w:hAnsi="Arial" w:cs="Arial"/>
          <w:b/>
          <w:sz w:val="24"/>
          <w:szCs w:val="24"/>
        </w:rPr>
        <w:t>Conclusiones</w:t>
      </w:r>
    </w:p>
    <w:p w:rsidR="000537BD" w:rsidRPr="00661CE2" w:rsidRDefault="000537BD" w:rsidP="008F3B53">
      <w:pPr>
        <w:spacing w:line="360" w:lineRule="auto"/>
        <w:jc w:val="both"/>
        <w:rPr>
          <w:rFonts w:ascii="Arial" w:hAnsi="Arial" w:cs="Arial"/>
          <w:sz w:val="24"/>
          <w:szCs w:val="24"/>
        </w:rPr>
      </w:pP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En el mundo existen deficiencias importantes en conocimientos en el campo de la FV, como son la definición y objetivos de la FV, la existencia de centros nacionales de FV y el UMC y los estudios post-comercialización de medicamentos.</w:t>
      </w:r>
    </w:p>
    <w:p w:rsidR="000537BD" w:rsidRPr="00661CE2" w:rsidRDefault="000537BD" w:rsidP="008F3B53">
      <w:pPr>
        <w:spacing w:line="360" w:lineRule="auto"/>
        <w:jc w:val="both"/>
        <w:rPr>
          <w:rFonts w:ascii="Arial" w:hAnsi="Arial" w:cs="Arial"/>
          <w:sz w:val="24"/>
          <w:szCs w:val="24"/>
        </w:rPr>
      </w:pPr>
      <w:r w:rsidRPr="00661CE2">
        <w:rPr>
          <w:rFonts w:ascii="Arial" w:hAnsi="Arial" w:cs="Arial"/>
          <w:sz w:val="24"/>
          <w:szCs w:val="24"/>
        </w:rPr>
        <w:t xml:space="preserve">Los estudios consultados muestran que los profesionales de la salud presentan conocimientos deficientes en FV y actitudes negativas que conllevan a un bajo reporte de </w:t>
      </w:r>
      <w:r w:rsidRPr="00DD4F89">
        <w:rPr>
          <w:rFonts w:ascii="Arial" w:hAnsi="Arial" w:cs="Arial"/>
          <w:sz w:val="24"/>
          <w:szCs w:val="24"/>
        </w:rPr>
        <w:t>RAM.</w:t>
      </w:r>
      <w:r w:rsidRPr="00DD4F89">
        <w:rPr>
          <w:rFonts w:ascii="Arial" w:hAnsi="Arial" w:cs="Arial"/>
          <w:sz w:val="24"/>
          <w:szCs w:val="24"/>
          <w:vertAlign w:val="superscript"/>
        </w:rPr>
        <w:t>20-50</w:t>
      </w:r>
      <w:r w:rsidRPr="00DD4F89">
        <w:rPr>
          <w:rFonts w:ascii="Arial" w:hAnsi="Arial" w:cs="Arial"/>
          <w:color w:val="FF0000"/>
          <w:sz w:val="24"/>
          <w:szCs w:val="24"/>
        </w:rPr>
        <w:t xml:space="preserve"> </w:t>
      </w:r>
      <w:r w:rsidRPr="00661CE2">
        <w:rPr>
          <w:rFonts w:ascii="Arial" w:hAnsi="Arial" w:cs="Arial"/>
          <w:sz w:val="24"/>
          <w:szCs w:val="24"/>
        </w:rPr>
        <w:t xml:space="preserve">Los factores más importantes a considerar como causales de la falta de notificación de RAM por parte de los profesionales sanitarios son la falta de tiempo y la ausencia de remuneración económica. Otros elementos, mencionados sólo en algunos estudios, incluyen la falta de conocimiento del lugar dónde reportar o la no disponibilidad del formato de notificación, la carencia de promoción, divulgación y motivación para la notificación, la burocracia y complejidad del proceso, el miedo de los profesionales sanitarios a repercusiones legales y la aparente violación de la confidencialidad del paciente. Algunos estudios adicionales consideran que el reportar RAM no representa un aporte significativo al sistema o consideran que no es importante notificar. En aquellos casos en que sí se notifican las RAM, existe la creencia de que sólo se debe poner </w:t>
      </w:r>
      <w:r w:rsidRPr="00661CE2">
        <w:rPr>
          <w:rFonts w:ascii="Arial" w:hAnsi="Arial" w:cs="Arial"/>
          <w:sz w:val="24"/>
          <w:szCs w:val="24"/>
        </w:rPr>
        <w:lastRenderedPageBreak/>
        <w:t>atención en las graves, inesperadas o inusuales. Asimismo, es evidente que no se involucra a todos los profesionales sanitarios ni a los pacientes en la detección, reporte y monitoreo de RAM. En todos los países se identifican actitudes de complacencia, ignorancia, letargo, lucrativas, entre otras.</w:t>
      </w:r>
    </w:p>
    <w:p w:rsidR="000537BD" w:rsidRPr="00C83B4B" w:rsidRDefault="000537BD" w:rsidP="008F3B53">
      <w:pPr>
        <w:spacing w:line="360" w:lineRule="auto"/>
        <w:jc w:val="both"/>
        <w:rPr>
          <w:rFonts w:ascii="Arial" w:hAnsi="Arial" w:cs="Arial"/>
          <w:sz w:val="24"/>
          <w:szCs w:val="24"/>
        </w:rPr>
      </w:pPr>
      <w:r w:rsidRPr="00661CE2">
        <w:rPr>
          <w:rFonts w:ascii="Arial" w:hAnsi="Arial" w:cs="Arial"/>
          <w:sz w:val="24"/>
          <w:szCs w:val="24"/>
        </w:rPr>
        <w:t>Pese a la difusión de los programas de FV en todo el mundo, los estudios revelan que aún gran parte de los profesionales de la salud consideran que no es importante notificar y que esta responsabilidad es delegada particularmente a los médicos y farmacéuticos, excluyendo al personal de enfermería y otros profesionales de la salud que comparten la responsabilidad en tanto forman parte del equipo multidisciplinario de atención al paciente. Por lo tanto, es necesario implementar con mayor rigor estrategias educativas que mejoren los conocimientos y actitudes, pero que también se reflejen en un incremento en el número de reportes de RAM.</w:t>
      </w:r>
      <w:r w:rsidR="00C83B4B">
        <w:rPr>
          <w:rFonts w:ascii="Arial" w:hAnsi="Arial" w:cs="Arial"/>
          <w:sz w:val="24"/>
          <w:szCs w:val="24"/>
          <w:vertAlign w:val="superscript"/>
        </w:rPr>
        <w:t>51-59</w:t>
      </w:r>
      <w:r w:rsidRPr="00661CE2">
        <w:rPr>
          <w:rFonts w:ascii="Arial" w:hAnsi="Arial" w:cs="Arial"/>
          <w:b/>
          <w:sz w:val="24"/>
          <w:szCs w:val="24"/>
        </w:rPr>
        <w:t xml:space="preserve"> </w:t>
      </w:r>
      <w:r w:rsidRPr="00661CE2">
        <w:rPr>
          <w:rFonts w:ascii="Arial" w:hAnsi="Arial" w:cs="Arial"/>
          <w:sz w:val="24"/>
          <w:szCs w:val="24"/>
        </w:rPr>
        <w:t>Estas estrategias deben incluir la simplificación del proceso de reporte de RAM incluyendo la sencillez de los formatos, la introducción de otros medios para reportar como las plataformas digitales, el teléfono y el fax.</w:t>
      </w:r>
      <w:r>
        <w:rPr>
          <w:rFonts w:ascii="Arial" w:hAnsi="Arial" w:cs="Arial"/>
          <w:sz w:val="24"/>
          <w:szCs w:val="24"/>
        </w:rPr>
        <w:t xml:space="preserve"> Asimismo, la inclusión de la FV en los planes de estudio de licenciaturas del área de ciencias de la salud es vital. </w:t>
      </w:r>
      <w:r w:rsidR="00C83B4B">
        <w:rPr>
          <w:rFonts w:ascii="Arial" w:hAnsi="Arial" w:cs="Arial"/>
          <w:noProof/>
          <w:sz w:val="24"/>
          <w:szCs w:val="24"/>
          <w:vertAlign w:val="superscript"/>
        </w:rPr>
        <w:t>60</w:t>
      </w:r>
    </w:p>
    <w:p w:rsidR="000537BD" w:rsidRPr="00661CE2" w:rsidRDefault="000537BD" w:rsidP="008F3B53">
      <w:pPr>
        <w:spacing w:line="360" w:lineRule="auto"/>
        <w:jc w:val="both"/>
        <w:rPr>
          <w:rFonts w:ascii="Arial" w:hAnsi="Arial" w:cs="Arial"/>
          <w:b/>
          <w:sz w:val="24"/>
          <w:szCs w:val="24"/>
        </w:rPr>
      </w:pPr>
      <w:r w:rsidRPr="00661CE2">
        <w:rPr>
          <w:rFonts w:ascii="Arial" w:hAnsi="Arial" w:cs="Arial"/>
          <w:sz w:val="24"/>
          <w:szCs w:val="24"/>
        </w:rPr>
        <w:t>Es también necesario gestionar la descentralización del sistema de FV con la implementación de nuevos centros locales de FV que vuelvan más accesible a toda la comunidad. Debe entablarse una comunicación efectiva entre autoridades sanitarias y profesionales de la salud para que exista una retroalimentación oportuna sobre los procesos e información de la FV, lo que en definitiva implica un mayor apoyo del gobierno y el fortalecimiento de los centros locales, nacionales y regionales de FV. En suma, es todavía imperativo generar y promover la cultura del reporte de RAM en el mundo a través de un proceso de enseñanza-aprendizaje que construya en los profesionales conocimientos, actitudes y percepción en FV.</w:t>
      </w:r>
    </w:p>
    <w:p w:rsidR="000537BD" w:rsidRPr="00661CE2" w:rsidRDefault="000537BD" w:rsidP="008F3B53">
      <w:pPr>
        <w:spacing w:after="160" w:line="360" w:lineRule="auto"/>
        <w:rPr>
          <w:rFonts w:ascii="Arial" w:hAnsi="Arial" w:cs="Arial"/>
          <w:sz w:val="24"/>
          <w:szCs w:val="24"/>
        </w:rPr>
      </w:pPr>
      <w:r w:rsidRPr="00661CE2">
        <w:rPr>
          <w:rFonts w:ascii="Arial" w:hAnsi="Arial" w:cs="Arial"/>
          <w:sz w:val="24"/>
          <w:szCs w:val="24"/>
        </w:rPr>
        <w:br w:type="page"/>
      </w:r>
    </w:p>
    <w:p w:rsidR="000537BD" w:rsidRPr="00661CE2" w:rsidRDefault="000537BD" w:rsidP="008F3B53">
      <w:pPr>
        <w:spacing w:line="360" w:lineRule="auto"/>
        <w:jc w:val="both"/>
        <w:rPr>
          <w:rFonts w:ascii="Arial" w:hAnsi="Arial" w:cs="Arial"/>
          <w:b/>
          <w:sz w:val="24"/>
          <w:szCs w:val="24"/>
        </w:rPr>
      </w:pPr>
    </w:p>
    <w:p w:rsidR="000537BD" w:rsidRPr="008F3B53" w:rsidRDefault="000537BD" w:rsidP="008F3B53">
      <w:pPr>
        <w:spacing w:line="360" w:lineRule="auto"/>
        <w:jc w:val="both"/>
        <w:rPr>
          <w:rFonts w:ascii="Arial" w:hAnsi="Arial" w:cs="Arial"/>
          <w:b/>
          <w:sz w:val="24"/>
          <w:szCs w:val="24"/>
          <w:lang w:val="en-US"/>
        </w:rPr>
      </w:pPr>
      <w:r w:rsidRPr="008F3B53">
        <w:rPr>
          <w:rFonts w:ascii="Arial" w:hAnsi="Arial" w:cs="Arial"/>
          <w:b/>
          <w:sz w:val="24"/>
          <w:szCs w:val="24"/>
          <w:lang w:val="en-US"/>
        </w:rPr>
        <w:t>Referencias</w:t>
      </w:r>
    </w:p>
    <w:p w:rsidR="000537BD" w:rsidRPr="008F3B53" w:rsidRDefault="000537BD" w:rsidP="00097097">
      <w:pPr>
        <w:spacing w:line="360" w:lineRule="auto"/>
        <w:jc w:val="both"/>
        <w:rPr>
          <w:rFonts w:ascii="Arial" w:hAnsi="Arial" w:cs="Arial"/>
          <w:b/>
          <w:sz w:val="24"/>
          <w:szCs w:val="24"/>
          <w:lang w:val="en-US"/>
        </w:rPr>
      </w:pPr>
    </w:p>
    <w:p w:rsidR="000537BD" w:rsidRPr="00C319CD" w:rsidRDefault="00BE46F3" w:rsidP="00BE46F3">
      <w:pPr>
        <w:pStyle w:val="EndNoteBibliograph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404"/>
        </w:tabs>
        <w:spacing w:after="0" w:line="360" w:lineRule="auto"/>
        <w:jc w:val="both"/>
        <w:rPr>
          <w:rFonts w:ascii="Arial" w:hAnsi="Arial" w:cs="Arial"/>
          <w:sz w:val="24"/>
          <w:szCs w:val="24"/>
        </w:rPr>
      </w:pPr>
      <w:r w:rsidRPr="00C319CD">
        <w:rPr>
          <w:rFonts w:ascii="Arial" w:hAnsi="Arial" w:cs="Arial"/>
          <w:sz w:val="24"/>
          <w:szCs w:val="24"/>
        </w:rPr>
        <w:t>1.</w:t>
      </w:r>
      <w:r w:rsidRPr="00C319CD">
        <w:rPr>
          <w:rFonts w:ascii="Arial" w:hAnsi="Arial" w:cs="Arial"/>
          <w:sz w:val="24"/>
          <w:szCs w:val="24"/>
        </w:rPr>
        <w:tab/>
      </w:r>
      <w:r w:rsidR="00F76C4E" w:rsidRPr="00F76C4E">
        <w:rPr>
          <w:rFonts w:ascii="Arial" w:hAnsi="Arial" w:cs="Arial"/>
          <w:sz w:val="24"/>
          <w:szCs w:val="24"/>
        </w:rPr>
        <w:t>WHO Collaborating Centre for International Drug Monitoring. Viewpoint Part 1. Uppsala, Sweden: The Uppsala Monitoring Centre; 2002</w:t>
      </w:r>
      <w:r w:rsidRPr="00C319CD">
        <w:rPr>
          <w:rFonts w:ascii="Arial" w:hAnsi="Arial" w:cs="Arial"/>
          <w:sz w:val="24"/>
          <w:szCs w:val="24"/>
        </w:rPr>
        <w:t>. Acceso 5 Abril 2016.</w:t>
      </w:r>
    </w:p>
    <w:p w:rsidR="000537BD" w:rsidRPr="00097097" w:rsidRDefault="000537BD" w:rsidP="00097097">
      <w:pPr>
        <w:pStyle w:val="EndNoteBibliography"/>
        <w:spacing w:after="0" w:line="360" w:lineRule="auto"/>
        <w:jc w:val="both"/>
        <w:rPr>
          <w:rFonts w:ascii="Arial" w:hAnsi="Arial" w:cs="Arial"/>
          <w:sz w:val="24"/>
          <w:szCs w:val="24"/>
        </w:rPr>
      </w:pPr>
      <w:bookmarkStart w:id="0" w:name="_ENREF_2"/>
      <w:r w:rsidRPr="00097097">
        <w:rPr>
          <w:rFonts w:ascii="Arial" w:hAnsi="Arial" w:cs="Arial"/>
          <w:sz w:val="24"/>
          <w:szCs w:val="24"/>
        </w:rPr>
        <w:t>2.</w:t>
      </w:r>
      <w:r w:rsidRPr="00097097">
        <w:rPr>
          <w:rFonts w:ascii="Arial" w:hAnsi="Arial" w:cs="Arial"/>
          <w:sz w:val="24"/>
          <w:szCs w:val="24"/>
        </w:rPr>
        <w:tab/>
        <w:t>Van Grootheest A, De Jong-van den Berg L. The role of hospital and community pharmacists in pharmacovigilance. Research in Social and Administrative Pharmacy. 2005;1(1):126-33.</w:t>
      </w:r>
      <w:bookmarkEnd w:id="0"/>
    </w:p>
    <w:p w:rsidR="00941792" w:rsidRDefault="00BE46F3" w:rsidP="00097097">
      <w:pPr>
        <w:pStyle w:val="EndNoteBibliography"/>
        <w:spacing w:after="0" w:line="360" w:lineRule="auto"/>
        <w:jc w:val="both"/>
        <w:rPr>
          <w:rFonts w:ascii="Arial" w:hAnsi="Arial" w:cs="Arial"/>
          <w:sz w:val="24"/>
          <w:szCs w:val="24"/>
        </w:rPr>
      </w:pPr>
      <w:r w:rsidRPr="00941792">
        <w:rPr>
          <w:rFonts w:ascii="Arial" w:hAnsi="Arial" w:cs="Arial"/>
          <w:sz w:val="24"/>
          <w:szCs w:val="24"/>
        </w:rPr>
        <w:t>3.</w:t>
      </w:r>
      <w:r w:rsidRPr="00941792">
        <w:rPr>
          <w:rFonts w:ascii="Arial" w:hAnsi="Arial" w:cs="Arial"/>
          <w:sz w:val="24"/>
          <w:szCs w:val="24"/>
        </w:rPr>
        <w:tab/>
        <w:t xml:space="preserve"> </w:t>
      </w:r>
      <w:bookmarkStart w:id="1" w:name="_ENREF_4"/>
      <w:r w:rsidR="00941792" w:rsidRPr="00941792">
        <w:rPr>
          <w:rFonts w:ascii="Arial" w:hAnsi="Arial" w:cs="Arial"/>
          <w:sz w:val="24"/>
          <w:szCs w:val="24"/>
        </w:rPr>
        <w:t>Edwards IR, Biriell C. Harmonization in pharmacovigilance. Drug Safety 1994;10 (2): 93-102.</w:t>
      </w:r>
    </w:p>
    <w:p w:rsidR="000537BD" w:rsidRPr="00097097" w:rsidRDefault="000537BD" w:rsidP="00097097">
      <w:pPr>
        <w:pStyle w:val="EndNoteBibliography"/>
        <w:spacing w:after="0" w:line="360" w:lineRule="auto"/>
        <w:jc w:val="both"/>
        <w:rPr>
          <w:rFonts w:ascii="Arial" w:hAnsi="Arial" w:cs="Arial"/>
          <w:sz w:val="24"/>
          <w:szCs w:val="24"/>
        </w:rPr>
      </w:pPr>
      <w:r w:rsidRPr="00097097">
        <w:rPr>
          <w:rFonts w:ascii="Arial" w:hAnsi="Arial" w:cs="Arial"/>
          <w:sz w:val="24"/>
          <w:szCs w:val="24"/>
        </w:rPr>
        <w:t>4.</w:t>
      </w:r>
      <w:r w:rsidRPr="00097097">
        <w:rPr>
          <w:rFonts w:ascii="Arial" w:hAnsi="Arial" w:cs="Arial"/>
          <w:sz w:val="24"/>
          <w:szCs w:val="24"/>
        </w:rPr>
        <w:tab/>
        <w:t>Miller MT, Strömland K. Teratogen update: thalidomide: a review, with a focus on ocular findings and new potential uses. Teratology. 1999;60(5):306-21.</w:t>
      </w:r>
      <w:bookmarkEnd w:id="1"/>
    </w:p>
    <w:p w:rsidR="000537BD" w:rsidRPr="00097097" w:rsidRDefault="000537BD" w:rsidP="00097097">
      <w:pPr>
        <w:pStyle w:val="EndNoteBibliography"/>
        <w:spacing w:after="0" w:line="360" w:lineRule="auto"/>
        <w:jc w:val="both"/>
        <w:rPr>
          <w:rFonts w:ascii="Arial" w:hAnsi="Arial" w:cs="Arial"/>
          <w:sz w:val="24"/>
          <w:szCs w:val="24"/>
        </w:rPr>
      </w:pPr>
      <w:bookmarkStart w:id="2" w:name="_ENREF_5"/>
      <w:r w:rsidRPr="00E95B60">
        <w:rPr>
          <w:rFonts w:ascii="Arial" w:hAnsi="Arial" w:cs="Arial"/>
          <w:sz w:val="24"/>
          <w:szCs w:val="24"/>
          <w:lang w:val="es-MX"/>
        </w:rPr>
        <w:t>5.</w:t>
      </w:r>
      <w:r w:rsidRPr="00E95B60">
        <w:rPr>
          <w:rFonts w:ascii="Arial" w:hAnsi="Arial" w:cs="Arial"/>
          <w:sz w:val="24"/>
          <w:szCs w:val="24"/>
          <w:lang w:val="es-MX"/>
        </w:rPr>
        <w:tab/>
        <w:t xml:space="preserve">Lazarou J, Pomeranz BH, Corey PN. </w:t>
      </w:r>
      <w:r w:rsidRPr="00097097">
        <w:rPr>
          <w:rFonts w:ascii="Arial" w:hAnsi="Arial" w:cs="Arial"/>
          <w:sz w:val="24"/>
          <w:szCs w:val="24"/>
        </w:rPr>
        <w:t>Incidence of adverse drug reactions in hospitalized patients: a meta-analysis of prospective studies. Jama. 1998;279(15):1200-5.</w:t>
      </w:r>
      <w:bookmarkEnd w:id="2"/>
    </w:p>
    <w:p w:rsidR="000537BD" w:rsidRPr="00097097" w:rsidRDefault="000537BD" w:rsidP="00097097">
      <w:pPr>
        <w:pStyle w:val="EndNoteBibliography"/>
        <w:spacing w:after="0" w:line="360" w:lineRule="auto"/>
        <w:jc w:val="both"/>
        <w:rPr>
          <w:rFonts w:ascii="Arial" w:hAnsi="Arial" w:cs="Arial"/>
          <w:sz w:val="24"/>
          <w:szCs w:val="24"/>
        </w:rPr>
      </w:pPr>
      <w:bookmarkStart w:id="3" w:name="_ENREF_6"/>
      <w:r w:rsidRPr="00097097">
        <w:rPr>
          <w:rFonts w:ascii="Arial" w:hAnsi="Arial" w:cs="Arial"/>
          <w:sz w:val="24"/>
          <w:szCs w:val="24"/>
        </w:rPr>
        <w:t>6.</w:t>
      </w:r>
      <w:r w:rsidRPr="00097097">
        <w:rPr>
          <w:rFonts w:ascii="Arial" w:hAnsi="Arial" w:cs="Arial"/>
          <w:sz w:val="24"/>
          <w:szCs w:val="24"/>
        </w:rPr>
        <w:tab/>
        <w:t>Davis P, Lay-Yee R, Briant R, Ali W, Scott A, Schug S. Adverse events in New Zealand public hospitals I: occurrence and impact. N Z Med J. 2002;115:U271.</w:t>
      </w:r>
      <w:bookmarkEnd w:id="3"/>
    </w:p>
    <w:p w:rsidR="000537BD" w:rsidRPr="00097097" w:rsidRDefault="000537BD" w:rsidP="00097097">
      <w:pPr>
        <w:pStyle w:val="EndNoteBibliography"/>
        <w:spacing w:after="0" w:line="360" w:lineRule="auto"/>
        <w:jc w:val="both"/>
        <w:rPr>
          <w:rFonts w:ascii="Arial" w:hAnsi="Arial" w:cs="Arial"/>
          <w:sz w:val="24"/>
          <w:szCs w:val="24"/>
        </w:rPr>
      </w:pPr>
      <w:bookmarkStart w:id="4" w:name="_ENREF_7"/>
      <w:r w:rsidRPr="00097097">
        <w:rPr>
          <w:rFonts w:ascii="Arial" w:hAnsi="Arial" w:cs="Arial"/>
          <w:sz w:val="24"/>
          <w:szCs w:val="24"/>
        </w:rPr>
        <w:t>7.</w:t>
      </w:r>
      <w:r w:rsidRPr="00097097">
        <w:rPr>
          <w:rFonts w:ascii="Arial" w:hAnsi="Arial" w:cs="Arial"/>
          <w:sz w:val="24"/>
          <w:szCs w:val="24"/>
        </w:rPr>
        <w:tab/>
        <w:t>Vincent C, Neale G, Woloshynowych M. Adverse events in British hospitals: preliminary retrospective record review. Bmj. 2001;322(7285):517-9.</w:t>
      </w:r>
      <w:bookmarkEnd w:id="4"/>
    </w:p>
    <w:p w:rsidR="000537BD" w:rsidRPr="008F3B53" w:rsidRDefault="000537BD" w:rsidP="00097097">
      <w:pPr>
        <w:pStyle w:val="EndNoteBibliography"/>
        <w:spacing w:after="0" w:line="360" w:lineRule="auto"/>
        <w:jc w:val="both"/>
        <w:rPr>
          <w:rFonts w:ascii="Arial" w:hAnsi="Arial" w:cs="Arial"/>
          <w:sz w:val="24"/>
          <w:szCs w:val="24"/>
          <w:lang w:val="es-MX"/>
        </w:rPr>
      </w:pPr>
      <w:bookmarkStart w:id="5" w:name="_ENREF_8"/>
      <w:r w:rsidRPr="00097097">
        <w:rPr>
          <w:rFonts w:ascii="Arial" w:hAnsi="Arial" w:cs="Arial"/>
          <w:sz w:val="24"/>
          <w:szCs w:val="24"/>
        </w:rPr>
        <w:t>8.</w:t>
      </w:r>
      <w:r w:rsidRPr="00097097">
        <w:rPr>
          <w:rFonts w:ascii="Arial" w:hAnsi="Arial" w:cs="Arial"/>
          <w:sz w:val="24"/>
          <w:szCs w:val="24"/>
        </w:rPr>
        <w:tab/>
        <w:t xml:space="preserve">Aljadhey H, Mahmoud MA, Mayet A, Alshaikh M, Ahmed Y, Murray MD, et al. Incidence of adverse drug events in an academic hospital: a prospective cohort study. </w:t>
      </w:r>
      <w:r w:rsidRPr="008F3B53">
        <w:rPr>
          <w:rFonts w:ascii="Arial" w:hAnsi="Arial" w:cs="Arial"/>
          <w:sz w:val="24"/>
          <w:szCs w:val="24"/>
          <w:lang w:val="es-MX"/>
        </w:rPr>
        <w:t>International Journal for Quality in Health Care. 2013;25(6):648-55.</w:t>
      </w:r>
      <w:bookmarkEnd w:id="5"/>
    </w:p>
    <w:p w:rsidR="000537BD" w:rsidRPr="00097097" w:rsidRDefault="000537BD" w:rsidP="00097097">
      <w:pPr>
        <w:pStyle w:val="EndNoteBibliography"/>
        <w:spacing w:after="0" w:line="360" w:lineRule="auto"/>
        <w:jc w:val="both"/>
        <w:rPr>
          <w:rFonts w:ascii="Arial" w:hAnsi="Arial" w:cs="Arial"/>
          <w:sz w:val="24"/>
          <w:szCs w:val="24"/>
        </w:rPr>
      </w:pPr>
      <w:bookmarkStart w:id="6" w:name="_ENREF_9"/>
      <w:r w:rsidRPr="008F3B53">
        <w:rPr>
          <w:rFonts w:ascii="Arial" w:hAnsi="Arial" w:cs="Arial"/>
          <w:sz w:val="24"/>
          <w:szCs w:val="24"/>
          <w:lang w:val="es-MX"/>
        </w:rPr>
        <w:t>9.</w:t>
      </w:r>
      <w:r w:rsidRPr="008F3B53">
        <w:rPr>
          <w:rFonts w:ascii="Arial" w:hAnsi="Arial" w:cs="Arial"/>
          <w:sz w:val="24"/>
          <w:szCs w:val="24"/>
          <w:lang w:val="es-MX"/>
        </w:rPr>
        <w:tab/>
      </w:r>
      <w:bookmarkEnd w:id="6"/>
      <w:r w:rsidR="0004411A" w:rsidRPr="008F3B53">
        <w:rPr>
          <w:rFonts w:ascii="Arial" w:hAnsi="Arial" w:cs="Arial"/>
          <w:sz w:val="24"/>
          <w:szCs w:val="24"/>
          <w:lang w:val="es-MX"/>
        </w:rPr>
        <w:t xml:space="preserve">Gutiérrez-Mendoza, L. M., Torres-Montes, A., Soria-Orozco, M., Padrón-Salas, A., &amp; Ramírez-Hernández, M. E. Costos de eventos adversos graves en un Hospital Comunitario de Enseñanza en México. </w:t>
      </w:r>
      <w:r w:rsidR="0004411A">
        <w:rPr>
          <w:rFonts w:ascii="Arial" w:hAnsi="Arial" w:cs="Arial"/>
          <w:sz w:val="24"/>
          <w:szCs w:val="24"/>
        </w:rPr>
        <w:t>Cirugía y Cirujanos. 2015;</w:t>
      </w:r>
      <w:r w:rsidR="0004411A" w:rsidRPr="0004411A">
        <w:rPr>
          <w:rFonts w:ascii="Arial" w:hAnsi="Arial" w:cs="Arial"/>
          <w:sz w:val="24"/>
          <w:szCs w:val="24"/>
        </w:rPr>
        <w:t xml:space="preserve"> 83(3), 211-16.</w:t>
      </w:r>
      <w:r w:rsidR="0004411A">
        <w:rPr>
          <w:rFonts w:ascii="Arial" w:hAnsi="Arial" w:cs="Arial"/>
          <w:sz w:val="24"/>
          <w:szCs w:val="24"/>
        </w:rPr>
        <w:t xml:space="preserve"> </w:t>
      </w:r>
    </w:p>
    <w:p w:rsidR="000537BD" w:rsidRPr="00097097" w:rsidRDefault="000537BD" w:rsidP="00097097">
      <w:pPr>
        <w:pStyle w:val="EndNoteBibliography"/>
        <w:spacing w:after="0" w:line="360" w:lineRule="auto"/>
        <w:jc w:val="both"/>
        <w:rPr>
          <w:rFonts w:ascii="Arial" w:hAnsi="Arial" w:cs="Arial"/>
          <w:sz w:val="24"/>
          <w:szCs w:val="24"/>
        </w:rPr>
      </w:pPr>
      <w:bookmarkStart w:id="7" w:name="_ENREF_10"/>
      <w:r w:rsidRPr="00097097">
        <w:rPr>
          <w:rFonts w:ascii="Arial" w:hAnsi="Arial" w:cs="Arial"/>
          <w:sz w:val="24"/>
          <w:szCs w:val="24"/>
        </w:rPr>
        <w:t>10.</w:t>
      </w:r>
      <w:r w:rsidRPr="00097097">
        <w:rPr>
          <w:rFonts w:ascii="Arial" w:hAnsi="Arial" w:cs="Arial"/>
          <w:sz w:val="24"/>
          <w:szCs w:val="24"/>
        </w:rPr>
        <w:tab/>
        <w:t>Hazell L, Shakir SA. Under-reporting of adverse drug reactions. Drug safety. 2006;29(5):385-96.</w:t>
      </w:r>
      <w:bookmarkEnd w:id="7"/>
    </w:p>
    <w:p w:rsidR="000537BD" w:rsidRPr="00097097" w:rsidRDefault="000537BD" w:rsidP="00097097">
      <w:pPr>
        <w:pStyle w:val="EndNoteBibliography"/>
        <w:spacing w:after="0" w:line="360" w:lineRule="auto"/>
        <w:jc w:val="both"/>
        <w:rPr>
          <w:rFonts w:ascii="Arial" w:hAnsi="Arial" w:cs="Arial"/>
          <w:sz w:val="24"/>
          <w:szCs w:val="24"/>
        </w:rPr>
      </w:pPr>
      <w:bookmarkStart w:id="8" w:name="_ENREF_11"/>
      <w:r w:rsidRPr="00097097">
        <w:rPr>
          <w:rFonts w:ascii="Arial" w:hAnsi="Arial" w:cs="Arial"/>
          <w:sz w:val="24"/>
          <w:szCs w:val="24"/>
        </w:rPr>
        <w:t>11.</w:t>
      </w:r>
      <w:r w:rsidRPr="00097097">
        <w:rPr>
          <w:rFonts w:ascii="Arial" w:hAnsi="Arial" w:cs="Arial"/>
          <w:sz w:val="24"/>
          <w:szCs w:val="24"/>
        </w:rPr>
        <w:tab/>
        <w:t>Bäckström M, Mjörndal T, Dahlqvist R. Under</w:t>
      </w:r>
      <w:r w:rsidRPr="00097097">
        <w:rPr>
          <w:rFonts w:ascii="Cambria Math" w:hAnsi="Cambria Math" w:cs="Cambria Math"/>
          <w:sz w:val="24"/>
          <w:szCs w:val="24"/>
        </w:rPr>
        <w:t>‐</w:t>
      </w:r>
      <w:r w:rsidRPr="00097097">
        <w:rPr>
          <w:rFonts w:ascii="Arial" w:hAnsi="Arial" w:cs="Arial"/>
          <w:sz w:val="24"/>
          <w:szCs w:val="24"/>
        </w:rPr>
        <w:t>reporting of serious adverse drug reactions in Sweden. Pharmacoepidemiology and drug safety. 2004;13(7):483-7.</w:t>
      </w:r>
      <w:bookmarkEnd w:id="8"/>
    </w:p>
    <w:p w:rsidR="000537BD" w:rsidRPr="00097097" w:rsidRDefault="000537BD" w:rsidP="00097097">
      <w:pPr>
        <w:pStyle w:val="EndNoteBibliography"/>
        <w:spacing w:after="0" w:line="360" w:lineRule="auto"/>
        <w:jc w:val="both"/>
        <w:rPr>
          <w:rFonts w:ascii="Arial" w:hAnsi="Arial" w:cs="Arial"/>
          <w:sz w:val="24"/>
          <w:szCs w:val="24"/>
        </w:rPr>
      </w:pPr>
      <w:bookmarkStart w:id="9" w:name="_ENREF_12"/>
      <w:r w:rsidRPr="00097097">
        <w:rPr>
          <w:rFonts w:ascii="Arial" w:hAnsi="Arial" w:cs="Arial"/>
          <w:sz w:val="24"/>
          <w:szCs w:val="24"/>
        </w:rPr>
        <w:lastRenderedPageBreak/>
        <w:t>12.</w:t>
      </w:r>
      <w:r w:rsidRPr="00097097">
        <w:rPr>
          <w:rFonts w:ascii="Arial" w:hAnsi="Arial" w:cs="Arial"/>
          <w:sz w:val="24"/>
          <w:szCs w:val="24"/>
        </w:rPr>
        <w:tab/>
        <w:t>Agbabiaka TB, Savović J, Ernst E. Methods for causality assessment of adverse drug reactions. Drug safety. 2008;31(1):21-37.</w:t>
      </w:r>
      <w:bookmarkEnd w:id="9"/>
    </w:p>
    <w:p w:rsidR="000537BD" w:rsidRPr="00097097" w:rsidRDefault="000537BD" w:rsidP="00097097">
      <w:pPr>
        <w:pStyle w:val="EndNoteBibliography"/>
        <w:spacing w:after="0" w:line="360" w:lineRule="auto"/>
        <w:jc w:val="both"/>
        <w:rPr>
          <w:rFonts w:ascii="Arial" w:hAnsi="Arial" w:cs="Arial"/>
          <w:sz w:val="24"/>
          <w:szCs w:val="24"/>
        </w:rPr>
      </w:pPr>
      <w:bookmarkStart w:id="10" w:name="_ENREF_13"/>
      <w:r w:rsidRPr="00097097">
        <w:rPr>
          <w:rFonts w:ascii="Arial" w:hAnsi="Arial" w:cs="Arial"/>
          <w:sz w:val="24"/>
          <w:szCs w:val="24"/>
        </w:rPr>
        <w:t>13.</w:t>
      </w:r>
      <w:r w:rsidRPr="00097097">
        <w:rPr>
          <w:rFonts w:ascii="Arial" w:hAnsi="Arial" w:cs="Arial"/>
          <w:sz w:val="24"/>
          <w:szCs w:val="24"/>
        </w:rPr>
        <w:tab/>
        <w:t>Goldman SA. Limitations and strengths of spontaneous reports data. Clinical therapeutics. 1998;20:C40-C4.</w:t>
      </w:r>
      <w:bookmarkEnd w:id="10"/>
    </w:p>
    <w:p w:rsidR="000537BD" w:rsidRPr="00097097" w:rsidRDefault="000537BD" w:rsidP="00097097">
      <w:pPr>
        <w:pStyle w:val="EndNoteBibliography"/>
        <w:spacing w:after="0" w:line="360" w:lineRule="auto"/>
        <w:jc w:val="both"/>
        <w:rPr>
          <w:rFonts w:ascii="Arial" w:hAnsi="Arial" w:cs="Arial"/>
          <w:sz w:val="24"/>
          <w:szCs w:val="24"/>
        </w:rPr>
      </w:pPr>
      <w:bookmarkStart w:id="11" w:name="_ENREF_14"/>
      <w:r w:rsidRPr="00097097">
        <w:rPr>
          <w:rFonts w:ascii="Arial" w:hAnsi="Arial" w:cs="Arial"/>
          <w:sz w:val="24"/>
          <w:szCs w:val="24"/>
        </w:rPr>
        <w:t>14.</w:t>
      </w:r>
      <w:r w:rsidRPr="00097097">
        <w:rPr>
          <w:rFonts w:ascii="Arial" w:hAnsi="Arial" w:cs="Arial"/>
          <w:sz w:val="24"/>
          <w:szCs w:val="24"/>
        </w:rPr>
        <w:tab/>
        <w:t>Blenkinsopp A, Wilkie P, Wang M, Routledge PA. Patient reporting of suspected adverse drug reactions: a review of published literature and international experience. British journal of clinical pharmacology. 2007;63(2):148-56.</w:t>
      </w:r>
      <w:bookmarkEnd w:id="11"/>
    </w:p>
    <w:p w:rsidR="000537BD" w:rsidRPr="00B163A6" w:rsidRDefault="000537BD" w:rsidP="00097097">
      <w:pPr>
        <w:pStyle w:val="EndNoteBibliography"/>
        <w:spacing w:after="0" w:line="360" w:lineRule="auto"/>
        <w:jc w:val="both"/>
        <w:rPr>
          <w:rFonts w:ascii="Arial" w:hAnsi="Arial" w:cs="Arial"/>
          <w:sz w:val="24"/>
          <w:szCs w:val="24"/>
        </w:rPr>
      </w:pPr>
      <w:bookmarkStart w:id="12" w:name="_ENREF_15"/>
      <w:r w:rsidRPr="00097097">
        <w:rPr>
          <w:rFonts w:ascii="Arial" w:hAnsi="Arial" w:cs="Arial"/>
          <w:sz w:val="24"/>
          <w:szCs w:val="24"/>
        </w:rPr>
        <w:t>15.</w:t>
      </w:r>
      <w:r w:rsidRPr="00097097">
        <w:rPr>
          <w:rFonts w:ascii="Arial" w:hAnsi="Arial" w:cs="Arial"/>
          <w:sz w:val="24"/>
          <w:szCs w:val="24"/>
        </w:rPr>
        <w:tab/>
        <w:t xml:space="preserve">Matos C, van Hunsel F, Joaquim J. Are consumers ready to take part in the Pharmacovigilance System?—a Portuguese preliminary study concerning ADR reporting. </w:t>
      </w:r>
      <w:r w:rsidRPr="00B163A6">
        <w:rPr>
          <w:rFonts w:ascii="Arial" w:hAnsi="Arial" w:cs="Arial"/>
          <w:sz w:val="24"/>
          <w:szCs w:val="24"/>
        </w:rPr>
        <w:t>European journal of clinical pharmacology. 2015;71(7):883-90.</w:t>
      </w:r>
      <w:bookmarkEnd w:id="12"/>
    </w:p>
    <w:p w:rsidR="00BE46F3" w:rsidRPr="008F3B53" w:rsidRDefault="00BE46F3" w:rsidP="00097097">
      <w:pPr>
        <w:pStyle w:val="EndNoteBibliography"/>
        <w:spacing w:after="0" w:line="360" w:lineRule="auto"/>
        <w:jc w:val="both"/>
        <w:rPr>
          <w:rFonts w:ascii="Arial" w:hAnsi="Arial" w:cs="Arial"/>
          <w:sz w:val="24"/>
          <w:szCs w:val="24"/>
          <w:lang w:val="es-MX"/>
        </w:rPr>
      </w:pPr>
      <w:bookmarkStart w:id="13" w:name="_ENREF_17"/>
      <w:r w:rsidRPr="00B163A6">
        <w:rPr>
          <w:rFonts w:ascii="Arial" w:hAnsi="Arial" w:cs="Arial"/>
          <w:sz w:val="24"/>
          <w:szCs w:val="24"/>
        </w:rPr>
        <w:t>16.</w:t>
      </w:r>
      <w:r w:rsidRPr="00B163A6">
        <w:rPr>
          <w:rFonts w:ascii="Arial" w:hAnsi="Arial" w:cs="Arial"/>
          <w:sz w:val="24"/>
          <w:szCs w:val="24"/>
        </w:rPr>
        <w:tab/>
      </w:r>
      <w:r w:rsidR="00B163A6" w:rsidRPr="00B163A6">
        <w:rPr>
          <w:rFonts w:ascii="Arial" w:hAnsi="Arial" w:cs="Arial"/>
          <w:sz w:val="24"/>
          <w:szCs w:val="24"/>
        </w:rPr>
        <w:t>The World Health Organization Programme for nternational Drug Monitoring.</w:t>
      </w:r>
      <w:r w:rsidRPr="00B163A6">
        <w:rPr>
          <w:rFonts w:ascii="Arial" w:hAnsi="Arial" w:cs="Arial"/>
          <w:sz w:val="24"/>
          <w:szCs w:val="24"/>
        </w:rPr>
        <w:t xml:space="preserve"> 2016. </w:t>
      </w:r>
      <w:r w:rsidR="00B163A6" w:rsidRPr="00B163A6">
        <w:rPr>
          <w:rFonts w:ascii="Arial" w:hAnsi="Arial" w:cs="Arial"/>
          <w:sz w:val="24"/>
          <w:szCs w:val="24"/>
        </w:rPr>
        <w:t xml:space="preserve">http://www.who.int/medicines/areas/quality_safety/safety_efficacy/National_PV_Centres_Map/en/.  </w:t>
      </w:r>
      <w:r w:rsidR="00B163A6" w:rsidRPr="008F3B53">
        <w:rPr>
          <w:rFonts w:ascii="Arial" w:hAnsi="Arial" w:cs="Arial"/>
          <w:sz w:val="24"/>
          <w:szCs w:val="24"/>
          <w:lang w:val="es-MX"/>
        </w:rPr>
        <w:t>Acceso 5 Abril 2016.</w:t>
      </w:r>
    </w:p>
    <w:p w:rsidR="000537BD" w:rsidRPr="008F3B53" w:rsidRDefault="000537BD" w:rsidP="00097097">
      <w:pPr>
        <w:pStyle w:val="EndNoteBibliography"/>
        <w:spacing w:after="0" w:line="360" w:lineRule="auto"/>
        <w:jc w:val="both"/>
        <w:rPr>
          <w:rFonts w:ascii="Arial" w:hAnsi="Arial" w:cs="Arial"/>
          <w:sz w:val="24"/>
          <w:szCs w:val="24"/>
          <w:lang w:val="es-MX"/>
        </w:rPr>
      </w:pPr>
      <w:r w:rsidRPr="008F3B53">
        <w:rPr>
          <w:rFonts w:ascii="Arial" w:hAnsi="Arial" w:cs="Arial"/>
          <w:sz w:val="24"/>
          <w:szCs w:val="24"/>
          <w:lang w:val="es-MX"/>
        </w:rPr>
        <w:t>17.</w:t>
      </w:r>
      <w:r w:rsidRPr="008F3B53">
        <w:rPr>
          <w:rFonts w:ascii="Arial" w:hAnsi="Arial" w:cs="Arial"/>
          <w:sz w:val="24"/>
          <w:szCs w:val="24"/>
          <w:lang w:val="es-MX"/>
        </w:rPr>
        <w:tab/>
        <w:t>Rodríguez-Carranza R, Vidrio H, Campos-Sepúlveda E. La enseñanza de la farmacología en las escuelas de medicina. Situación actual y perspectivas. Gac Med Mex. 2008;144(6):463-72.</w:t>
      </w:r>
      <w:bookmarkEnd w:id="13"/>
    </w:p>
    <w:p w:rsidR="000537BD" w:rsidRPr="008F3B53" w:rsidRDefault="000537BD" w:rsidP="00097097">
      <w:pPr>
        <w:pStyle w:val="EndNoteBibliography"/>
        <w:spacing w:after="0" w:line="360" w:lineRule="auto"/>
        <w:jc w:val="both"/>
        <w:rPr>
          <w:rFonts w:ascii="Arial" w:hAnsi="Arial" w:cs="Arial"/>
          <w:sz w:val="24"/>
          <w:szCs w:val="24"/>
          <w:lang w:val="es-MX"/>
        </w:rPr>
      </w:pPr>
      <w:bookmarkStart w:id="14" w:name="_ENREF_18"/>
      <w:r w:rsidRPr="008F3B53">
        <w:rPr>
          <w:rFonts w:ascii="Arial" w:hAnsi="Arial" w:cs="Arial"/>
          <w:sz w:val="24"/>
          <w:szCs w:val="24"/>
          <w:lang w:val="es-MX"/>
        </w:rPr>
        <w:t>18.</w:t>
      </w:r>
      <w:r w:rsidRPr="008F3B53">
        <w:rPr>
          <w:rFonts w:ascii="Arial" w:hAnsi="Arial" w:cs="Arial"/>
          <w:sz w:val="24"/>
          <w:szCs w:val="24"/>
          <w:lang w:val="es-MX"/>
        </w:rPr>
        <w:tab/>
        <w:t>García Milián AJ, Delgado Martínez I. Promoción racional de medicamentos, una necesidad de estos tiempos. Revista Cubana de Farmacia. 2003;37(1):0-.</w:t>
      </w:r>
      <w:bookmarkEnd w:id="14"/>
    </w:p>
    <w:p w:rsidR="000537BD" w:rsidRPr="008F3B53" w:rsidRDefault="000537BD" w:rsidP="00097097">
      <w:pPr>
        <w:pStyle w:val="EndNoteBibliography"/>
        <w:spacing w:after="0" w:line="360" w:lineRule="auto"/>
        <w:jc w:val="both"/>
        <w:rPr>
          <w:rFonts w:ascii="Arial" w:hAnsi="Arial" w:cs="Arial"/>
          <w:sz w:val="24"/>
          <w:szCs w:val="24"/>
          <w:lang w:val="es-MX"/>
        </w:rPr>
      </w:pPr>
      <w:bookmarkStart w:id="15" w:name="_ENREF_19"/>
      <w:r w:rsidRPr="008F3B53">
        <w:rPr>
          <w:rFonts w:ascii="Arial" w:hAnsi="Arial" w:cs="Arial"/>
          <w:sz w:val="24"/>
          <w:szCs w:val="24"/>
          <w:lang w:val="es-MX"/>
        </w:rPr>
        <w:t>19.</w:t>
      </w:r>
      <w:r w:rsidRPr="008F3B53">
        <w:rPr>
          <w:rFonts w:ascii="Arial" w:hAnsi="Arial" w:cs="Arial"/>
          <w:sz w:val="24"/>
          <w:szCs w:val="24"/>
          <w:lang w:val="es-MX"/>
        </w:rPr>
        <w:tab/>
        <w:t>Segura O, Colombiana PFM. Farmacovigilancia desde diversas ópticas. Federación medica colombiana. 2004.</w:t>
      </w:r>
      <w:bookmarkEnd w:id="15"/>
    </w:p>
    <w:p w:rsidR="000537BD" w:rsidRPr="00097097" w:rsidRDefault="000537BD" w:rsidP="00097097">
      <w:pPr>
        <w:pStyle w:val="EndNoteBibliography"/>
        <w:spacing w:after="0" w:line="360" w:lineRule="auto"/>
        <w:jc w:val="both"/>
        <w:rPr>
          <w:rFonts w:ascii="Arial" w:hAnsi="Arial" w:cs="Arial"/>
          <w:sz w:val="24"/>
          <w:szCs w:val="24"/>
        </w:rPr>
      </w:pPr>
      <w:bookmarkStart w:id="16" w:name="_ENREF_20"/>
      <w:r w:rsidRPr="008F3B53">
        <w:rPr>
          <w:rFonts w:ascii="Arial" w:hAnsi="Arial" w:cs="Arial"/>
          <w:sz w:val="24"/>
          <w:szCs w:val="24"/>
          <w:lang w:val="es-MX"/>
        </w:rPr>
        <w:t>20.</w:t>
      </w:r>
      <w:r w:rsidRPr="008F3B53">
        <w:rPr>
          <w:rFonts w:ascii="Arial" w:hAnsi="Arial" w:cs="Arial"/>
          <w:sz w:val="24"/>
          <w:szCs w:val="24"/>
          <w:lang w:val="es-MX"/>
        </w:rPr>
        <w:tab/>
        <w:t xml:space="preserve">Alshammari TM, Alamri KK, Ghawa YA, Alohali NF, Abualkol SA, Aljadhey HS. </w:t>
      </w:r>
      <w:r w:rsidRPr="00097097">
        <w:rPr>
          <w:rFonts w:ascii="Arial" w:hAnsi="Arial" w:cs="Arial"/>
          <w:sz w:val="24"/>
          <w:szCs w:val="24"/>
        </w:rPr>
        <w:t>Knowledge and attitude of health-care professionals in hospitals towards pharmacovigilance in Saudi Arabia. International journal of clinical pharmacy. 2015;37(6):1104-10.</w:t>
      </w:r>
      <w:bookmarkEnd w:id="16"/>
    </w:p>
    <w:p w:rsidR="000537BD" w:rsidRPr="00097097" w:rsidRDefault="000537BD" w:rsidP="00097097">
      <w:pPr>
        <w:pStyle w:val="EndNoteBibliography"/>
        <w:spacing w:after="0" w:line="360" w:lineRule="auto"/>
        <w:jc w:val="both"/>
        <w:rPr>
          <w:rFonts w:ascii="Arial" w:hAnsi="Arial" w:cs="Arial"/>
          <w:sz w:val="24"/>
          <w:szCs w:val="24"/>
        </w:rPr>
      </w:pPr>
      <w:bookmarkStart w:id="17" w:name="_ENREF_21"/>
      <w:r w:rsidRPr="00097097">
        <w:rPr>
          <w:rFonts w:ascii="Arial" w:hAnsi="Arial" w:cs="Arial"/>
          <w:sz w:val="24"/>
          <w:szCs w:val="24"/>
        </w:rPr>
        <w:t>21.</w:t>
      </w:r>
      <w:r w:rsidRPr="00097097">
        <w:rPr>
          <w:rFonts w:ascii="Arial" w:hAnsi="Arial" w:cs="Arial"/>
          <w:sz w:val="24"/>
          <w:szCs w:val="24"/>
        </w:rPr>
        <w:tab/>
        <w:t>Stoynova V, Getov IN, Naseva EK, Lebanova HV, Grigorov EE. Physicians' knowledge and attitude towards adverse event reporting system and result to intervention--randomized nested trial among Bulgarian physicians. Medicinski Glasnik. 2013;10(2).</w:t>
      </w:r>
      <w:bookmarkEnd w:id="17"/>
    </w:p>
    <w:p w:rsidR="000537BD" w:rsidRPr="00097097" w:rsidRDefault="000537BD" w:rsidP="00097097">
      <w:pPr>
        <w:pStyle w:val="EndNoteBibliography"/>
        <w:spacing w:after="0" w:line="360" w:lineRule="auto"/>
        <w:jc w:val="both"/>
        <w:rPr>
          <w:rFonts w:ascii="Arial" w:hAnsi="Arial" w:cs="Arial"/>
          <w:sz w:val="24"/>
          <w:szCs w:val="24"/>
        </w:rPr>
      </w:pPr>
      <w:bookmarkStart w:id="18" w:name="_ENREF_22"/>
      <w:r w:rsidRPr="00097097">
        <w:rPr>
          <w:rFonts w:ascii="Arial" w:hAnsi="Arial" w:cs="Arial"/>
          <w:sz w:val="24"/>
          <w:szCs w:val="24"/>
        </w:rPr>
        <w:t>22.</w:t>
      </w:r>
      <w:r w:rsidRPr="00097097">
        <w:rPr>
          <w:rFonts w:ascii="Arial" w:hAnsi="Arial" w:cs="Arial"/>
          <w:sz w:val="24"/>
          <w:szCs w:val="24"/>
        </w:rPr>
        <w:tab/>
        <w:t>Reis CD, Filipe HM, Filipe H, Veiga CER, Veiga C, Martins JJ, et al. Pharmacovigilance in Cabo Verde: Measuring the Impact of Pharmacovigilance Educational Campaign o, n Consumerâ s Knowledge. Journal of Pharmacovigilance. 2016:1-8.</w:t>
      </w:r>
      <w:bookmarkEnd w:id="18"/>
    </w:p>
    <w:p w:rsidR="000537BD" w:rsidRPr="00097097" w:rsidRDefault="000537BD" w:rsidP="00097097">
      <w:pPr>
        <w:pStyle w:val="EndNoteBibliography"/>
        <w:spacing w:after="0" w:line="360" w:lineRule="auto"/>
        <w:jc w:val="both"/>
        <w:rPr>
          <w:rFonts w:ascii="Arial" w:hAnsi="Arial" w:cs="Arial"/>
          <w:sz w:val="24"/>
          <w:szCs w:val="24"/>
        </w:rPr>
      </w:pPr>
      <w:bookmarkStart w:id="19" w:name="_ENREF_23"/>
      <w:r w:rsidRPr="00097097">
        <w:rPr>
          <w:rFonts w:ascii="Arial" w:hAnsi="Arial" w:cs="Arial"/>
          <w:sz w:val="24"/>
          <w:szCs w:val="24"/>
        </w:rPr>
        <w:lastRenderedPageBreak/>
        <w:t>23.</w:t>
      </w:r>
      <w:r w:rsidRPr="00097097">
        <w:rPr>
          <w:rFonts w:ascii="Arial" w:hAnsi="Arial" w:cs="Arial"/>
          <w:sz w:val="24"/>
          <w:szCs w:val="24"/>
        </w:rPr>
        <w:tab/>
        <w:t>Nde F, Fah ABD, Simo FA, Wouessidjewe D. State of knowledge of Cameroonian drug prescribers on pharmacovigilance. Pan African Medical Journal. 2015;20(1).</w:t>
      </w:r>
      <w:bookmarkEnd w:id="19"/>
    </w:p>
    <w:p w:rsidR="000537BD" w:rsidRPr="00097097" w:rsidRDefault="000537BD" w:rsidP="00097097">
      <w:pPr>
        <w:pStyle w:val="EndNoteBibliography"/>
        <w:spacing w:after="0" w:line="360" w:lineRule="auto"/>
        <w:jc w:val="both"/>
        <w:rPr>
          <w:rFonts w:ascii="Arial" w:hAnsi="Arial" w:cs="Arial"/>
          <w:sz w:val="24"/>
          <w:szCs w:val="24"/>
        </w:rPr>
      </w:pPr>
      <w:bookmarkStart w:id="20" w:name="_ENREF_24"/>
      <w:r w:rsidRPr="00097097">
        <w:rPr>
          <w:rFonts w:ascii="Arial" w:hAnsi="Arial" w:cs="Arial"/>
          <w:sz w:val="24"/>
          <w:szCs w:val="24"/>
        </w:rPr>
        <w:t>24.</w:t>
      </w:r>
      <w:r w:rsidRPr="00097097">
        <w:rPr>
          <w:rFonts w:ascii="Arial" w:hAnsi="Arial" w:cs="Arial"/>
          <w:sz w:val="24"/>
          <w:szCs w:val="24"/>
        </w:rPr>
        <w:tab/>
        <w:t>Su C, Ji H, Su Y. Hospital pharmacists' knowledge and opinions regarding adverse drug reaction reporting in Northern China. Pharmacoepidemiology and drug safety. 2010;19(3):217-22.</w:t>
      </w:r>
      <w:bookmarkEnd w:id="20"/>
    </w:p>
    <w:p w:rsidR="000537BD" w:rsidRPr="00097097" w:rsidRDefault="000537BD" w:rsidP="00097097">
      <w:pPr>
        <w:pStyle w:val="EndNoteBibliography"/>
        <w:spacing w:after="0" w:line="360" w:lineRule="auto"/>
        <w:jc w:val="both"/>
        <w:rPr>
          <w:rFonts w:ascii="Arial" w:hAnsi="Arial" w:cs="Arial"/>
          <w:sz w:val="24"/>
          <w:szCs w:val="24"/>
        </w:rPr>
      </w:pPr>
      <w:bookmarkStart w:id="21" w:name="_ENREF_25"/>
      <w:r w:rsidRPr="00097097">
        <w:rPr>
          <w:rFonts w:ascii="Arial" w:hAnsi="Arial" w:cs="Arial"/>
          <w:sz w:val="24"/>
          <w:szCs w:val="24"/>
        </w:rPr>
        <w:t>25.</w:t>
      </w:r>
      <w:r w:rsidRPr="00097097">
        <w:rPr>
          <w:rFonts w:ascii="Arial" w:hAnsi="Arial" w:cs="Arial"/>
          <w:sz w:val="24"/>
          <w:szCs w:val="24"/>
        </w:rPr>
        <w:tab/>
        <w:t>Toklu HZ, an Soyalan M, Gültekin O, Özpolat M, AydÄ±n MD, Günay AÇ, et al. The knowledge and attitude of the healthcare professionals towards pharmacovigilance and adverse drug reaction reporting in Northern Cyprus. Journal of Pharmacovigilance. 2016.</w:t>
      </w:r>
      <w:bookmarkEnd w:id="21"/>
    </w:p>
    <w:p w:rsidR="000537BD" w:rsidRPr="00097097" w:rsidRDefault="000537BD" w:rsidP="00097097">
      <w:pPr>
        <w:pStyle w:val="EndNoteBibliography"/>
        <w:spacing w:after="0" w:line="360" w:lineRule="auto"/>
        <w:jc w:val="both"/>
        <w:rPr>
          <w:rFonts w:ascii="Arial" w:hAnsi="Arial" w:cs="Arial"/>
          <w:sz w:val="24"/>
          <w:szCs w:val="24"/>
        </w:rPr>
      </w:pPr>
      <w:bookmarkStart w:id="22" w:name="_ENREF_26"/>
      <w:r w:rsidRPr="00097097">
        <w:rPr>
          <w:rFonts w:ascii="Arial" w:hAnsi="Arial" w:cs="Arial"/>
          <w:sz w:val="24"/>
          <w:szCs w:val="24"/>
        </w:rPr>
        <w:t>26.</w:t>
      </w:r>
      <w:r w:rsidRPr="00097097">
        <w:rPr>
          <w:rFonts w:ascii="Arial" w:hAnsi="Arial" w:cs="Arial"/>
          <w:sz w:val="24"/>
          <w:szCs w:val="24"/>
        </w:rPr>
        <w:tab/>
        <w:t>Meher BR, Joshua N, Asha B, Mukherji D. A questionnaire based study to assess knowledge, attitude and practice of pharmacovigilance among undergraduate medical students in a Tertiary Care Teaching Hospital of South India. Perspectives in clinical research. 2015;6(4):217.</w:t>
      </w:r>
      <w:bookmarkEnd w:id="22"/>
    </w:p>
    <w:p w:rsidR="000537BD" w:rsidRPr="00097097" w:rsidRDefault="000537BD" w:rsidP="00097097">
      <w:pPr>
        <w:pStyle w:val="EndNoteBibliography"/>
        <w:spacing w:after="0" w:line="360" w:lineRule="auto"/>
        <w:jc w:val="both"/>
        <w:rPr>
          <w:rFonts w:ascii="Arial" w:hAnsi="Arial" w:cs="Arial"/>
          <w:sz w:val="24"/>
          <w:szCs w:val="24"/>
        </w:rPr>
      </w:pPr>
      <w:bookmarkStart w:id="23" w:name="_ENREF_27"/>
      <w:r w:rsidRPr="00097097">
        <w:rPr>
          <w:rFonts w:ascii="Arial" w:hAnsi="Arial" w:cs="Arial"/>
          <w:sz w:val="24"/>
          <w:szCs w:val="24"/>
        </w:rPr>
        <w:t>27.</w:t>
      </w:r>
      <w:r w:rsidRPr="00097097">
        <w:rPr>
          <w:rFonts w:ascii="Arial" w:hAnsi="Arial" w:cs="Arial"/>
          <w:sz w:val="24"/>
          <w:szCs w:val="24"/>
        </w:rPr>
        <w:tab/>
        <w:t>Datta S, Sengupta S. An evaluation of knowledge, attitude, and practice of adverse drug reaction reporting in a tertiary care teaching hospital of Sikkim. Perspectives in clinical research. 2015;6(4):200.</w:t>
      </w:r>
      <w:bookmarkEnd w:id="23"/>
    </w:p>
    <w:p w:rsidR="000537BD" w:rsidRPr="00097097" w:rsidRDefault="000537BD" w:rsidP="00097097">
      <w:pPr>
        <w:pStyle w:val="EndNoteBibliography"/>
        <w:spacing w:after="0" w:line="360" w:lineRule="auto"/>
        <w:jc w:val="both"/>
        <w:rPr>
          <w:rFonts w:ascii="Arial" w:hAnsi="Arial" w:cs="Arial"/>
          <w:sz w:val="24"/>
          <w:szCs w:val="24"/>
        </w:rPr>
      </w:pPr>
      <w:bookmarkStart w:id="24" w:name="_ENREF_28"/>
      <w:r w:rsidRPr="00097097">
        <w:rPr>
          <w:rFonts w:ascii="Arial" w:hAnsi="Arial" w:cs="Arial"/>
          <w:sz w:val="24"/>
          <w:szCs w:val="24"/>
        </w:rPr>
        <w:t>28.</w:t>
      </w:r>
      <w:r w:rsidRPr="00097097">
        <w:rPr>
          <w:rFonts w:ascii="Arial" w:hAnsi="Arial" w:cs="Arial"/>
          <w:sz w:val="24"/>
          <w:szCs w:val="24"/>
        </w:rPr>
        <w:tab/>
        <w:t>Upadhyaya HB, Vora MB, Nagar JG, Patel PB. Knowledge, attitude and practices toward pharmacovigilance and adverse drug reactions in postgraduate students of Tertiary Care Hospital in Gujarat. Journal of advanced pharmaceutical technology &amp; research. 2015;6(1):29.</w:t>
      </w:r>
      <w:bookmarkEnd w:id="24"/>
    </w:p>
    <w:p w:rsidR="000537BD" w:rsidRPr="00097097" w:rsidRDefault="000537BD" w:rsidP="00097097">
      <w:pPr>
        <w:pStyle w:val="EndNoteBibliography"/>
        <w:spacing w:after="0" w:line="360" w:lineRule="auto"/>
        <w:jc w:val="both"/>
        <w:rPr>
          <w:rFonts w:ascii="Arial" w:hAnsi="Arial" w:cs="Arial"/>
          <w:sz w:val="24"/>
          <w:szCs w:val="24"/>
        </w:rPr>
      </w:pPr>
      <w:bookmarkStart w:id="25" w:name="_ENREF_29"/>
      <w:r w:rsidRPr="00097097">
        <w:rPr>
          <w:rFonts w:ascii="Arial" w:hAnsi="Arial" w:cs="Arial"/>
          <w:sz w:val="24"/>
          <w:szCs w:val="24"/>
        </w:rPr>
        <w:t>29.</w:t>
      </w:r>
      <w:r w:rsidRPr="00097097">
        <w:rPr>
          <w:rFonts w:ascii="Arial" w:hAnsi="Arial" w:cs="Arial"/>
          <w:sz w:val="24"/>
          <w:szCs w:val="24"/>
        </w:rPr>
        <w:tab/>
        <w:t>Gupta SK, Nayak RP, Shivaranjani R, Vidyarthi SK. A questionnaire study on the knowledge, attitude, and the practice of pharmacovigilance among the healthcare professionals in a teaching hospital in South India. Perspectives in clinical research. 2015;6(1):45.</w:t>
      </w:r>
      <w:bookmarkEnd w:id="25"/>
    </w:p>
    <w:p w:rsidR="000537BD" w:rsidRPr="00097097" w:rsidRDefault="000537BD" w:rsidP="00097097">
      <w:pPr>
        <w:pStyle w:val="EndNoteBibliography"/>
        <w:spacing w:after="0" w:line="360" w:lineRule="auto"/>
        <w:jc w:val="both"/>
        <w:rPr>
          <w:rFonts w:ascii="Arial" w:hAnsi="Arial" w:cs="Arial"/>
          <w:sz w:val="24"/>
          <w:szCs w:val="24"/>
        </w:rPr>
      </w:pPr>
      <w:bookmarkStart w:id="26" w:name="_ENREF_30"/>
      <w:r w:rsidRPr="00097097">
        <w:rPr>
          <w:rFonts w:ascii="Arial" w:hAnsi="Arial" w:cs="Arial"/>
          <w:sz w:val="24"/>
          <w:szCs w:val="24"/>
        </w:rPr>
        <w:t>30.</w:t>
      </w:r>
      <w:r w:rsidRPr="00097097">
        <w:rPr>
          <w:rFonts w:ascii="Arial" w:hAnsi="Arial" w:cs="Arial"/>
          <w:sz w:val="24"/>
          <w:szCs w:val="24"/>
        </w:rPr>
        <w:tab/>
        <w:t>Desai CK, Iyer G, Panchal J, Shah S, Dikshit R. An evaluation of knowledge, attitude, and practice of adverse drug reaction reporting among prescribers at a tertiary care hospital. Perspectives in Clinical research. 2011;2(4):129.</w:t>
      </w:r>
      <w:bookmarkEnd w:id="26"/>
    </w:p>
    <w:p w:rsidR="000537BD" w:rsidRPr="00097097" w:rsidRDefault="000537BD" w:rsidP="00097097">
      <w:pPr>
        <w:pStyle w:val="EndNoteBibliography"/>
        <w:spacing w:after="0" w:line="360" w:lineRule="auto"/>
        <w:jc w:val="both"/>
        <w:rPr>
          <w:rFonts w:ascii="Arial" w:hAnsi="Arial" w:cs="Arial"/>
          <w:sz w:val="24"/>
          <w:szCs w:val="24"/>
        </w:rPr>
      </w:pPr>
      <w:bookmarkStart w:id="27" w:name="_ENREF_31"/>
      <w:r w:rsidRPr="00097097">
        <w:rPr>
          <w:rFonts w:ascii="Arial" w:hAnsi="Arial" w:cs="Arial"/>
          <w:sz w:val="24"/>
          <w:szCs w:val="24"/>
        </w:rPr>
        <w:t>31.</w:t>
      </w:r>
      <w:r w:rsidRPr="00097097">
        <w:rPr>
          <w:rFonts w:ascii="Arial" w:hAnsi="Arial" w:cs="Arial"/>
          <w:sz w:val="24"/>
          <w:szCs w:val="24"/>
        </w:rPr>
        <w:tab/>
        <w:t>Ahmad A, Patel I, Balkrishnan R, Mohanta G, Manna P. An evaluation of knowledge, attitude and practice of Indian pharmacists towards adverse drug reaction reporting: A pilot study. Perspectives in clinical research. 2013;4(4):204.</w:t>
      </w:r>
      <w:bookmarkEnd w:id="27"/>
    </w:p>
    <w:p w:rsidR="000537BD" w:rsidRPr="00097097" w:rsidRDefault="000537BD" w:rsidP="00097097">
      <w:pPr>
        <w:pStyle w:val="EndNoteBibliography"/>
        <w:spacing w:after="0" w:line="360" w:lineRule="auto"/>
        <w:jc w:val="both"/>
        <w:rPr>
          <w:rFonts w:ascii="Arial" w:hAnsi="Arial" w:cs="Arial"/>
          <w:sz w:val="24"/>
          <w:szCs w:val="24"/>
        </w:rPr>
      </w:pPr>
      <w:bookmarkStart w:id="28" w:name="_ENREF_32"/>
      <w:r w:rsidRPr="00097097">
        <w:rPr>
          <w:rFonts w:ascii="Arial" w:hAnsi="Arial" w:cs="Arial"/>
          <w:sz w:val="24"/>
          <w:szCs w:val="24"/>
        </w:rPr>
        <w:lastRenderedPageBreak/>
        <w:t>32.</w:t>
      </w:r>
      <w:r w:rsidRPr="00097097">
        <w:rPr>
          <w:rFonts w:ascii="Arial" w:hAnsi="Arial" w:cs="Arial"/>
          <w:sz w:val="24"/>
          <w:szCs w:val="24"/>
        </w:rPr>
        <w:tab/>
        <w:t>Kharkar M, Bowalekar S. Knowledge, attitude and perception/practices (KAP) of medical practitioners in India towards adverse drug reaction (ADR) reporting. Perspectives in clinical research. 2012;3(3):90.</w:t>
      </w:r>
      <w:bookmarkEnd w:id="28"/>
    </w:p>
    <w:p w:rsidR="000537BD" w:rsidRPr="00097097" w:rsidRDefault="000537BD" w:rsidP="00097097">
      <w:pPr>
        <w:pStyle w:val="EndNoteBibliography"/>
        <w:spacing w:after="0" w:line="360" w:lineRule="auto"/>
        <w:jc w:val="both"/>
        <w:rPr>
          <w:rFonts w:ascii="Arial" w:hAnsi="Arial" w:cs="Arial"/>
          <w:sz w:val="24"/>
          <w:szCs w:val="24"/>
        </w:rPr>
      </w:pPr>
      <w:bookmarkStart w:id="29" w:name="_ENREF_33"/>
      <w:r w:rsidRPr="00097097">
        <w:rPr>
          <w:rFonts w:ascii="Arial" w:hAnsi="Arial" w:cs="Arial"/>
          <w:sz w:val="24"/>
          <w:szCs w:val="24"/>
        </w:rPr>
        <w:t>33.</w:t>
      </w:r>
      <w:r w:rsidRPr="00097097">
        <w:rPr>
          <w:rFonts w:ascii="Arial" w:hAnsi="Arial" w:cs="Arial"/>
          <w:sz w:val="24"/>
          <w:szCs w:val="24"/>
        </w:rPr>
        <w:tab/>
        <w:t>Pimpalkhute S, Jaiswal K, Sontakke S, Bajait C, Gaikwad A. Evaluation of awareness about pharmacovigilance and adverse drug reaction monitoring in resident doctors of a tertiary care teaching hospital. Indian journal of medical sciences. 2012;66(3/4):55.</w:t>
      </w:r>
      <w:bookmarkEnd w:id="29"/>
    </w:p>
    <w:p w:rsidR="000537BD" w:rsidRPr="00097097" w:rsidRDefault="000537BD" w:rsidP="00097097">
      <w:pPr>
        <w:pStyle w:val="EndNoteBibliography"/>
        <w:spacing w:after="0" w:line="360" w:lineRule="auto"/>
        <w:jc w:val="both"/>
        <w:rPr>
          <w:rFonts w:ascii="Arial" w:hAnsi="Arial" w:cs="Arial"/>
          <w:sz w:val="24"/>
          <w:szCs w:val="24"/>
        </w:rPr>
      </w:pPr>
      <w:bookmarkStart w:id="30" w:name="_ENREF_34"/>
      <w:r w:rsidRPr="00097097">
        <w:rPr>
          <w:rFonts w:ascii="Arial" w:hAnsi="Arial" w:cs="Arial"/>
          <w:sz w:val="24"/>
          <w:szCs w:val="24"/>
        </w:rPr>
        <w:t>34.</w:t>
      </w:r>
      <w:r w:rsidRPr="00097097">
        <w:rPr>
          <w:rFonts w:ascii="Arial" w:hAnsi="Arial" w:cs="Arial"/>
          <w:sz w:val="24"/>
          <w:szCs w:val="24"/>
        </w:rPr>
        <w:tab/>
        <w:t>Vessal G, Mardani Z, Mollai M. Knowledge, attitudes, and perceptions of pharmacists to adverse drug reaction reporting in Iran. Pharmacy world &amp; science. 2009;31(2):183-7.</w:t>
      </w:r>
      <w:bookmarkEnd w:id="30"/>
    </w:p>
    <w:p w:rsidR="000537BD" w:rsidRPr="00097097" w:rsidRDefault="000537BD" w:rsidP="00097097">
      <w:pPr>
        <w:pStyle w:val="EndNoteBibliography"/>
        <w:spacing w:after="0" w:line="360" w:lineRule="auto"/>
        <w:jc w:val="both"/>
        <w:rPr>
          <w:rFonts w:ascii="Arial" w:hAnsi="Arial" w:cs="Arial"/>
          <w:sz w:val="24"/>
          <w:szCs w:val="24"/>
        </w:rPr>
      </w:pPr>
      <w:bookmarkStart w:id="31" w:name="_ENREF_35"/>
      <w:r w:rsidRPr="00097097">
        <w:rPr>
          <w:rFonts w:ascii="Arial" w:hAnsi="Arial" w:cs="Arial"/>
          <w:sz w:val="24"/>
          <w:szCs w:val="24"/>
        </w:rPr>
        <w:t>35.</w:t>
      </w:r>
      <w:r w:rsidRPr="00097097">
        <w:rPr>
          <w:rFonts w:ascii="Arial" w:hAnsi="Arial" w:cs="Arial"/>
          <w:sz w:val="24"/>
          <w:szCs w:val="24"/>
        </w:rPr>
        <w:tab/>
        <w:t>Pellegrino P, Carnovale C, Cattaneo D, Perrone V, Antoniazzi S, Pozzi M, et al. Pharmacovigilance knowledge in family paediatricians. A survey study in Italy. Health policy. 2013;113(1):216-20.</w:t>
      </w:r>
      <w:bookmarkEnd w:id="31"/>
    </w:p>
    <w:p w:rsidR="000537BD" w:rsidRPr="00097097" w:rsidRDefault="000537BD" w:rsidP="00097097">
      <w:pPr>
        <w:pStyle w:val="EndNoteBibliography"/>
        <w:spacing w:after="0" w:line="360" w:lineRule="auto"/>
        <w:jc w:val="both"/>
        <w:rPr>
          <w:rFonts w:ascii="Arial" w:hAnsi="Arial" w:cs="Arial"/>
          <w:sz w:val="24"/>
          <w:szCs w:val="24"/>
        </w:rPr>
      </w:pPr>
      <w:bookmarkStart w:id="32" w:name="_ENREF_36"/>
      <w:r w:rsidRPr="00097097">
        <w:rPr>
          <w:rFonts w:ascii="Arial" w:hAnsi="Arial" w:cs="Arial"/>
          <w:sz w:val="24"/>
          <w:szCs w:val="24"/>
        </w:rPr>
        <w:t>36.</w:t>
      </w:r>
      <w:r w:rsidRPr="00097097">
        <w:rPr>
          <w:rFonts w:ascii="Arial" w:hAnsi="Arial" w:cs="Arial"/>
          <w:sz w:val="24"/>
          <w:szCs w:val="24"/>
        </w:rPr>
        <w:tab/>
        <w:t>Obara T, Yamaguchi H, Iida Y, Satoh M, Sakai T, Aoki Y, et al. Knowledge of and Perspectives on Pharmacovigilance among Pharmacists in the Miyagi and Hokkaido Regions of Japan. Journal of Pharmacovigilance. 2016.</w:t>
      </w:r>
      <w:bookmarkEnd w:id="32"/>
    </w:p>
    <w:p w:rsidR="000537BD" w:rsidRPr="00097097" w:rsidRDefault="000537BD" w:rsidP="00097097">
      <w:pPr>
        <w:pStyle w:val="EndNoteBibliography"/>
        <w:spacing w:after="0" w:line="360" w:lineRule="auto"/>
        <w:jc w:val="both"/>
        <w:rPr>
          <w:rFonts w:ascii="Arial" w:hAnsi="Arial" w:cs="Arial"/>
          <w:sz w:val="24"/>
          <w:szCs w:val="24"/>
        </w:rPr>
      </w:pPr>
      <w:bookmarkStart w:id="33" w:name="_ENREF_37"/>
      <w:r w:rsidRPr="00097097">
        <w:rPr>
          <w:rFonts w:ascii="Arial" w:hAnsi="Arial" w:cs="Arial"/>
          <w:sz w:val="24"/>
          <w:szCs w:val="24"/>
        </w:rPr>
        <w:t>37.</w:t>
      </w:r>
      <w:r w:rsidRPr="00097097">
        <w:rPr>
          <w:rFonts w:ascii="Arial" w:hAnsi="Arial" w:cs="Arial"/>
          <w:sz w:val="24"/>
          <w:szCs w:val="24"/>
        </w:rPr>
        <w:tab/>
        <w:t>Sanaa A, Amal A-H, Samar R, Naïm M, Mayssam B, Ghinwa K, et al. Awareness and Perception of National Pharmacovigilance Center among Lebanese Medical Staff. Journal of Pharmacovigilance. 2016.</w:t>
      </w:r>
      <w:bookmarkEnd w:id="33"/>
    </w:p>
    <w:p w:rsidR="000537BD" w:rsidRPr="00097097" w:rsidRDefault="000537BD" w:rsidP="00097097">
      <w:pPr>
        <w:pStyle w:val="EndNoteBibliography"/>
        <w:spacing w:after="0" w:line="360" w:lineRule="auto"/>
        <w:jc w:val="both"/>
        <w:rPr>
          <w:rFonts w:ascii="Arial" w:hAnsi="Arial" w:cs="Arial"/>
          <w:sz w:val="24"/>
          <w:szCs w:val="24"/>
        </w:rPr>
      </w:pPr>
      <w:bookmarkStart w:id="34" w:name="_ENREF_38"/>
      <w:r w:rsidRPr="00097097">
        <w:rPr>
          <w:rFonts w:ascii="Arial" w:hAnsi="Arial" w:cs="Arial"/>
          <w:sz w:val="24"/>
          <w:szCs w:val="24"/>
        </w:rPr>
        <w:t>38.</w:t>
      </w:r>
      <w:r w:rsidRPr="00097097">
        <w:rPr>
          <w:rFonts w:ascii="Arial" w:hAnsi="Arial" w:cs="Arial"/>
          <w:sz w:val="24"/>
          <w:szCs w:val="24"/>
        </w:rPr>
        <w:tab/>
        <w:t>Elkalmi RM, Hassali MA, Ibrahim MIM, Jamshed SQ, Al-lela OQB. Community pharmacists’ attitudes, perceptions, and barriers toward adverse drug reaction reporting in Malaysia: a quantitative insight. Journal of patient safety. 2014;10(2):81-7.</w:t>
      </w:r>
      <w:bookmarkEnd w:id="34"/>
    </w:p>
    <w:p w:rsidR="000537BD" w:rsidRPr="00097097" w:rsidRDefault="000537BD" w:rsidP="00097097">
      <w:pPr>
        <w:pStyle w:val="EndNoteBibliography"/>
        <w:spacing w:after="0" w:line="360" w:lineRule="auto"/>
        <w:jc w:val="both"/>
        <w:rPr>
          <w:rFonts w:ascii="Arial" w:hAnsi="Arial" w:cs="Arial"/>
          <w:sz w:val="24"/>
          <w:szCs w:val="24"/>
        </w:rPr>
      </w:pPr>
      <w:bookmarkStart w:id="35" w:name="_ENREF_39"/>
      <w:r w:rsidRPr="00097097">
        <w:rPr>
          <w:rFonts w:ascii="Arial" w:hAnsi="Arial" w:cs="Arial"/>
          <w:sz w:val="24"/>
          <w:szCs w:val="24"/>
        </w:rPr>
        <w:t>39.</w:t>
      </w:r>
      <w:r w:rsidRPr="00097097">
        <w:rPr>
          <w:rFonts w:ascii="Arial" w:hAnsi="Arial" w:cs="Arial"/>
          <w:sz w:val="24"/>
          <w:szCs w:val="24"/>
        </w:rPr>
        <w:tab/>
        <w:t>Elkalmi RM, Hassali MA, Ibrahim MIM, Widodo RT, Efan QM, Hadi MA. Pharmacy students’ knowledge and perceptions about pharmacovigilance in Malaysian public universities. American journal of pharmaceutical education. 2011;75(5):96.</w:t>
      </w:r>
      <w:bookmarkEnd w:id="35"/>
    </w:p>
    <w:p w:rsidR="000537BD" w:rsidRPr="00097097" w:rsidRDefault="000537BD" w:rsidP="00097097">
      <w:pPr>
        <w:pStyle w:val="EndNoteBibliography"/>
        <w:spacing w:after="0" w:line="360" w:lineRule="auto"/>
        <w:jc w:val="both"/>
        <w:rPr>
          <w:rFonts w:ascii="Arial" w:hAnsi="Arial" w:cs="Arial"/>
          <w:sz w:val="24"/>
          <w:szCs w:val="24"/>
        </w:rPr>
      </w:pPr>
      <w:bookmarkStart w:id="36" w:name="_ENREF_40"/>
      <w:r w:rsidRPr="00097097">
        <w:rPr>
          <w:rFonts w:ascii="Arial" w:hAnsi="Arial" w:cs="Arial"/>
          <w:sz w:val="24"/>
          <w:szCs w:val="24"/>
        </w:rPr>
        <w:t>40.</w:t>
      </w:r>
      <w:r w:rsidRPr="00097097">
        <w:rPr>
          <w:rFonts w:ascii="Arial" w:hAnsi="Arial" w:cs="Arial"/>
          <w:sz w:val="24"/>
          <w:szCs w:val="24"/>
        </w:rPr>
        <w:tab/>
        <w:t>KC S, Tragulpiankit P, Edwards IR, Gorsanan S. Knowledge about adverse drug reactions reporting among healthcare professionals in Nepal. International Journal of Risk &amp; Safety in Medicine. 2013;25(1):1-16.</w:t>
      </w:r>
      <w:bookmarkEnd w:id="36"/>
    </w:p>
    <w:p w:rsidR="000537BD" w:rsidRPr="00097097" w:rsidRDefault="000537BD" w:rsidP="00097097">
      <w:pPr>
        <w:pStyle w:val="EndNoteBibliography"/>
        <w:spacing w:after="0" w:line="360" w:lineRule="auto"/>
        <w:jc w:val="both"/>
        <w:rPr>
          <w:rFonts w:ascii="Arial" w:hAnsi="Arial" w:cs="Arial"/>
          <w:sz w:val="24"/>
          <w:szCs w:val="24"/>
        </w:rPr>
      </w:pPr>
      <w:bookmarkStart w:id="37" w:name="_ENREF_41"/>
      <w:r w:rsidRPr="00097097">
        <w:rPr>
          <w:rFonts w:ascii="Arial" w:hAnsi="Arial" w:cs="Arial"/>
          <w:sz w:val="24"/>
          <w:szCs w:val="24"/>
        </w:rPr>
        <w:t>41.</w:t>
      </w:r>
      <w:r w:rsidRPr="00097097">
        <w:rPr>
          <w:rFonts w:ascii="Arial" w:hAnsi="Arial" w:cs="Arial"/>
          <w:sz w:val="24"/>
          <w:szCs w:val="24"/>
        </w:rPr>
        <w:tab/>
        <w:t>Santosh K, Tragulpiankit P, Gorsanan S, Edwards IR. Attitudes among healthcare professionals to the reporting of adverse drug reactions in Nepal. BMC Pharmacology and Toxicology. 2013;14(1):16.</w:t>
      </w:r>
      <w:bookmarkEnd w:id="37"/>
    </w:p>
    <w:p w:rsidR="000537BD" w:rsidRPr="00097097" w:rsidRDefault="000537BD" w:rsidP="00097097">
      <w:pPr>
        <w:pStyle w:val="EndNoteBibliography"/>
        <w:spacing w:after="0" w:line="360" w:lineRule="auto"/>
        <w:jc w:val="both"/>
        <w:rPr>
          <w:rFonts w:ascii="Arial" w:hAnsi="Arial" w:cs="Arial"/>
          <w:sz w:val="24"/>
          <w:szCs w:val="24"/>
        </w:rPr>
      </w:pPr>
      <w:bookmarkStart w:id="38" w:name="_ENREF_42"/>
      <w:r w:rsidRPr="00097097">
        <w:rPr>
          <w:rFonts w:ascii="Arial" w:hAnsi="Arial" w:cs="Arial"/>
          <w:sz w:val="24"/>
          <w:szCs w:val="24"/>
        </w:rPr>
        <w:lastRenderedPageBreak/>
        <w:t>42.</w:t>
      </w:r>
      <w:r w:rsidRPr="00097097">
        <w:rPr>
          <w:rFonts w:ascii="Arial" w:hAnsi="Arial" w:cs="Arial"/>
          <w:sz w:val="24"/>
          <w:szCs w:val="24"/>
        </w:rPr>
        <w:tab/>
        <w:t>Abubakar AR, Chedi BA, Mohammed KG, Haque M. Perception of Nigerian medical students on adverse drug reaction reporting. Journal of advanced pharmaceutical technology &amp; research. 2015;6(4):154.</w:t>
      </w:r>
      <w:bookmarkEnd w:id="38"/>
    </w:p>
    <w:p w:rsidR="000537BD" w:rsidRPr="00097097" w:rsidRDefault="000537BD" w:rsidP="00097097">
      <w:pPr>
        <w:pStyle w:val="EndNoteBibliography"/>
        <w:spacing w:after="0" w:line="360" w:lineRule="auto"/>
        <w:jc w:val="both"/>
        <w:rPr>
          <w:rFonts w:ascii="Arial" w:hAnsi="Arial" w:cs="Arial"/>
          <w:sz w:val="24"/>
          <w:szCs w:val="24"/>
        </w:rPr>
      </w:pPr>
      <w:bookmarkStart w:id="39" w:name="_ENREF_43"/>
      <w:r w:rsidRPr="00097097">
        <w:rPr>
          <w:rFonts w:ascii="Arial" w:hAnsi="Arial" w:cs="Arial"/>
          <w:sz w:val="24"/>
          <w:szCs w:val="24"/>
        </w:rPr>
        <w:t>43.</w:t>
      </w:r>
      <w:r w:rsidRPr="00097097">
        <w:rPr>
          <w:rFonts w:ascii="Arial" w:hAnsi="Arial" w:cs="Arial"/>
          <w:sz w:val="24"/>
          <w:szCs w:val="24"/>
        </w:rPr>
        <w:tab/>
        <w:t>Oreagba I, Ogunleye O, Olayemi S. The knowledge, perceptions and practice of pharmacovigilance amongst community pharmacists in Lagos state, south west Nigeria. Pharmacoepidemiology and drug safety. 2011;20(1):30-5.</w:t>
      </w:r>
      <w:bookmarkEnd w:id="39"/>
    </w:p>
    <w:p w:rsidR="000537BD" w:rsidRPr="00097097" w:rsidRDefault="000537BD" w:rsidP="00097097">
      <w:pPr>
        <w:pStyle w:val="EndNoteBibliography"/>
        <w:spacing w:after="0" w:line="360" w:lineRule="auto"/>
        <w:jc w:val="both"/>
        <w:rPr>
          <w:rFonts w:ascii="Arial" w:hAnsi="Arial" w:cs="Arial"/>
          <w:sz w:val="24"/>
          <w:szCs w:val="24"/>
        </w:rPr>
      </w:pPr>
      <w:bookmarkStart w:id="40" w:name="_ENREF_44"/>
      <w:r w:rsidRPr="00097097">
        <w:rPr>
          <w:rFonts w:ascii="Arial" w:hAnsi="Arial" w:cs="Arial"/>
          <w:sz w:val="24"/>
          <w:szCs w:val="24"/>
        </w:rPr>
        <w:t>44.</w:t>
      </w:r>
      <w:r w:rsidRPr="00097097">
        <w:rPr>
          <w:rFonts w:ascii="Arial" w:hAnsi="Arial" w:cs="Arial"/>
          <w:sz w:val="24"/>
          <w:szCs w:val="24"/>
        </w:rPr>
        <w:tab/>
        <w:t>Oshikoya KA, Awobusuyi JO. Perceptions of doctors to adverse drug reaction reporting in a teaching hospital in Lagos, Nigeria. BMC Clinical Pharmacology. 2009;9(1):14.</w:t>
      </w:r>
      <w:bookmarkEnd w:id="40"/>
    </w:p>
    <w:p w:rsidR="000537BD" w:rsidRPr="00097097" w:rsidRDefault="000537BD" w:rsidP="00097097">
      <w:pPr>
        <w:pStyle w:val="EndNoteBibliography"/>
        <w:spacing w:after="0" w:line="360" w:lineRule="auto"/>
        <w:jc w:val="both"/>
        <w:rPr>
          <w:rFonts w:ascii="Arial" w:hAnsi="Arial" w:cs="Arial"/>
          <w:sz w:val="24"/>
          <w:szCs w:val="24"/>
        </w:rPr>
      </w:pPr>
      <w:bookmarkStart w:id="41" w:name="_ENREF_45"/>
      <w:r w:rsidRPr="00097097">
        <w:rPr>
          <w:rFonts w:ascii="Arial" w:hAnsi="Arial" w:cs="Arial"/>
          <w:sz w:val="24"/>
          <w:szCs w:val="24"/>
        </w:rPr>
        <w:t>45.</w:t>
      </w:r>
      <w:r w:rsidRPr="00097097">
        <w:rPr>
          <w:rFonts w:ascii="Arial" w:hAnsi="Arial" w:cs="Arial"/>
          <w:sz w:val="24"/>
          <w:szCs w:val="24"/>
        </w:rPr>
        <w:tab/>
        <w:t>Granas AG, Buajordet M, Stenberg</w:t>
      </w:r>
      <w:r w:rsidRPr="00097097">
        <w:rPr>
          <w:rFonts w:ascii="Cambria Math" w:hAnsi="Cambria Math" w:cs="Cambria Math"/>
          <w:sz w:val="24"/>
          <w:szCs w:val="24"/>
        </w:rPr>
        <w:t>‐</w:t>
      </w:r>
      <w:r w:rsidRPr="00097097">
        <w:rPr>
          <w:rFonts w:ascii="Arial" w:hAnsi="Arial" w:cs="Arial"/>
          <w:sz w:val="24"/>
          <w:szCs w:val="24"/>
        </w:rPr>
        <w:t>Nilsen H, Harg P, Horn AM. Pharmacists' attitudes towards the reporting of suspected adverse drug reactions in Norway. Pharmacoepidemiology and drug safety. 2007;16(4):429-34.</w:t>
      </w:r>
      <w:bookmarkEnd w:id="41"/>
    </w:p>
    <w:p w:rsidR="000537BD" w:rsidRPr="00097097" w:rsidRDefault="000537BD" w:rsidP="00097097">
      <w:pPr>
        <w:pStyle w:val="EndNoteBibliography"/>
        <w:spacing w:after="0" w:line="360" w:lineRule="auto"/>
        <w:jc w:val="both"/>
        <w:rPr>
          <w:rFonts w:ascii="Arial" w:hAnsi="Arial" w:cs="Arial"/>
          <w:sz w:val="24"/>
          <w:szCs w:val="24"/>
        </w:rPr>
      </w:pPr>
      <w:bookmarkStart w:id="42" w:name="_ENREF_46"/>
      <w:r w:rsidRPr="00097097">
        <w:rPr>
          <w:rFonts w:ascii="Arial" w:hAnsi="Arial" w:cs="Arial"/>
          <w:sz w:val="24"/>
          <w:szCs w:val="24"/>
        </w:rPr>
        <w:t>46.</w:t>
      </w:r>
      <w:r w:rsidRPr="00097097">
        <w:rPr>
          <w:rFonts w:ascii="Arial" w:hAnsi="Arial" w:cs="Arial"/>
          <w:sz w:val="24"/>
          <w:szCs w:val="24"/>
        </w:rPr>
        <w:tab/>
        <w:t>dos Santos Pernas SI, Herdeiro MT, Lopez-Gonzalez E, e Silva OAdC, Figueiras A. Attitudes of Portuguese health professionals toward adverse drug reaction reporting. International journal of clinical pharmacy. 2012;34(5):693-8.</w:t>
      </w:r>
      <w:bookmarkEnd w:id="42"/>
    </w:p>
    <w:p w:rsidR="000537BD" w:rsidRPr="00097097" w:rsidRDefault="000537BD" w:rsidP="00097097">
      <w:pPr>
        <w:pStyle w:val="EndNoteBibliography"/>
        <w:spacing w:after="0" w:line="360" w:lineRule="auto"/>
        <w:jc w:val="both"/>
        <w:rPr>
          <w:rFonts w:ascii="Arial" w:hAnsi="Arial" w:cs="Arial"/>
          <w:sz w:val="24"/>
          <w:szCs w:val="24"/>
        </w:rPr>
      </w:pPr>
      <w:bookmarkStart w:id="43" w:name="_ENREF_47"/>
      <w:r w:rsidRPr="00097097">
        <w:rPr>
          <w:rFonts w:ascii="Arial" w:hAnsi="Arial" w:cs="Arial"/>
          <w:sz w:val="24"/>
          <w:szCs w:val="24"/>
        </w:rPr>
        <w:t>47.</w:t>
      </w:r>
      <w:r w:rsidRPr="00097097">
        <w:rPr>
          <w:rFonts w:ascii="Arial" w:hAnsi="Arial" w:cs="Arial"/>
          <w:sz w:val="24"/>
          <w:szCs w:val="24"/>
        </w:rPr>
        <w:tab/>
        <w:t>Ekman E, Bäckström M. Attitudes among hospital physicians to the reporting of adverse drug reactions in Sweden. European journal of clinical pharmacology. 2009;65(1):43-6.</w:t>
      </w:r>
      <w:bookmarkEnd w:id="43"/>
    </w:p>
    <w:p w:rsidR="000537BD" w:rsidRPr="00097097" w:rsidRDefault="000537BD" w:rsidP="00097097">
      <w:pPr>
        <w:pStyle w:val="EndNoteBibliography"/>
        <w:spacing w:after="0" w:line="360" w:lineRule="auto"/>
        <w:jc w:val="both"/>
        <w:rPr>
          <w:rFonts w:ascii="Arial" w:hAnsi="Arial" w:cs="Arial"/>
          <w:sz w:val="24"/>
          <w:szCs w:val="24"/>
        </w:rPr>
      </w:pPr>
      <w:bookmarkStart w:id="44" w:name="_ENREF_48"/>
      <w:r w:rsidRPr="00097097">
        <w:rPr>
          <w:rFonts w:ascii="Arial" w:hAnsi="Arial" w:cs="Arial"/>
          <w:sz w:val="24"/>
          <w:szCs w:val="24"/>
        </w:rPr>
        <w:t>48.</w:t>
      </w:r>
      <w:r w:rsidRPr="00097097">
        <w:rPr>
          <w:rFonts w:ascii="Arial" w:hAnsi="Arial" w:cs="Arial"/>
          <w:sz w:val="24"/>
          <w:szCs w:val="24"/>
        </w:rPr>
        <w:tab/>
        <w:t>Jose J, Jimmy B, Al-</w:t>
      </w:r>
      <w:bookmarkStart w:id="45" w:name="_GoBack"/>
      <w:bookmarkEnd w:id="45"/>
      <w:r w:rsidRPr="00097097">
        <w:rPr>
          <w:rFonts w:ascii="Arial" w:hAnsi="Arial" w:cs="Arial"/>
          <w:sz w:val="24"/>
          <w:szCs w:val="24"/>
        </w:rPr>
        <w:t>Ghailani ASH, Al Majali MA. A cross sectional pilot study on assessing the knowledge, attitude and behavior of community pharmacists to adverse drug reaction related aspects in the Sultanate of Oman. Saudi Pharmaceutical Journal. 2014;22(2):163-9.</w:t>
      </w:r>
      <w:bookmarkEnd w:id="44"/>
    </w:p>
    <w:p w:rsidR="000537BD" w:rsidRPr="00097097" w:rsidRDefault="000537BD" w:rsidP="00097097">
      <w:pPr>
        <w:pStyle w:val="EndNoteBibliography"/>
        <w:spacing w:after="0" w:line="360" w:lineRule="auto"/>
        <w:jc w:val="both"/>
        <w:rPr>
          <w:rFonts w:ascii="Arial" w:hAnsi="Arial" w:cs="Arial"/>
          <w:sz w:val="24"/>
          <w:szCs w:val="24"/>
        </w:rPr>
      </w:pPr>
      <w:bookmarkStart w:id="46" w:name="_ENREF_49"/>
      <w:r w:rsidRPr="00097097">
        <w:rPr>
          <w:rFonts w:ascii="Arial" w:hAnsi="Arial" w:cs="Arial"/>
          <w:sz w:val="24"/>
          <w:szCs w:val="24"/>
        </w:rPr>
        <w:t>49.</w:t>
      </w:r>
      <w:r w:rsidRPr="00097097">
        <w:rPr>
          <w:rFonts w:ascii="Arial" w:hAnsi="Arial" w:cs="Arial"/>
          <w:sz w:val="24"/>
          <w:szCs w:val="24"/>
        </w:rPr>
        <w:tab/>
        <w:t>Toklu HZ, Uysal MK. The knowledge and attitude of the Turkish community pharmacists toward pharmacovigilance in the Kadikoy district of Istanbul. Pharmacy world &amp; science. 2008;30(5):556-62.</w:t>
      </w:r>
      <w:bookmarkEnd w:id="46"/>
    </w:p>
    <w:p w:rsidR="000537BD" w:rsidRPr="008F3B53" w:rsidRDefault="00E95B60" w:rsidP="00097097">
      <w:pPr>
        <w:pStyle w:val="EndNoteBibliography"/>
        <w:spacing w:after="0" w:line="360" w:lineRule="auto"/>
        <w:jc w:val="both"/>
        <w:rPr>
          <w:rFonts w:ascii="Arial" w:hAnsi="Arial" w:cs="Arial"/>
          <w:sz w:val="24"/>
          <w:szCs w:val="24"/>
          <w:lang w:val="es-MX"/>
        </w:rPr>
      </w:pPr>
      <w:bookmarkStart w:id="47" w:name="_ENREF_50"/>
      <w:r>
        <w:rPr>
          <w:rFonts w:ascii="Arial" w:hAnsi="Arial" w:cs="Arial"/>
          <w:sz w:val="24"/>
          <w:szCs w:val="24"/>
        </w:rPr>
        <w:t>50.</w:t>
      </w:r>
      <w:r>
        <w:rPr>
          <w:rFonts w:ascii="Arial" w:hAnsi="Arial" w:cs="Arial"/>
          <w:sz w:val="24"/>
          <w:szCs w:val="24"/>
        </w:rPr>
        <w:tab/>
        <w:t>Pérez-</w:t>
      </w:r>
      <w:r w:rsidR="000537BD" w:rsidRPr="00E95B60">
        <w:rPr>
          <w:rFonts w:ascii="Arial" w:hAnsi="Arial" w:cs="Arial"/>
          <w:sz w:val="24"/>
          <w:szCs w:val="24"/>
        </w:rPr>
        <w:t>García</w:t>
      </w:r>
      <w:r w:rsidR="000537BD" w:rsidRPr="00097097">
        <w:rPr>
          <w:rFonts w:ascii="Arial" w:hAnsi="Arial" w:cs="Arial"/>
          <w:sz w:val="24"/>
          <w:szCs w:val="24"/>
        </w:rPr>
        <w:t xml:space="preserve"> M, Figueras A. The lack of knowledge about the voluntary reporting system of adverse drug reactions as a major cause of underreporting: direct survey among health professionals. </w:t>
      </w:r>
      <w:r w:rsidR="000537BD" w:rsidRPr="008F3B53">
        <w:rPr>
          <w:rFonts w:ascii="Arial" w:hAnsi="Arial" w:cs="Arial"/>
          <w:sz w:val="24"/>
          <w:szCs w:val="24"/>
          <w:lang w:val="es-MX"/>
        </w:rPr>
        <w:t>Pharmacoepidemiology and drug safety. 2011;20(12):1295-302.</w:t>
      </w:r>
      <w:bookmarkEnd w:id="47"/>
    </w:p>
    <w:p w:rsidR="000537BD" w:rsidRPr="00097097" w:rsidRDefault="000537BD" w:rsidP="00097097">
      <w:pPr>
        <w:pStyle w:val="EndNoteBibliography"/>
        <w:spacing w:after="0" w:line="360" w:lineRule="auto"/>
        <w:jc w:val="both"/>
        <w:rPr>
          <w:rFonts w:ascii="Arial" w:hAnsi="Arial" w:cs="Arial"/>
          <w:sz w:val="24"/>
          <w:szCs w:val="24"/>
        </w:rPr>
      </w:pPr>
      <w:bookmarkStart w:id="48" w:name="_ENREF_51"/>
      <w:r w:rsidRPr="008F3B53">
        <w:rPr>
          <w:rFonts w:ascii="Arial" w:hAnsi="Arial" w:cs="Arial"/>
          <w:sz w:val="24"/>
          <w:szCs w:val="24"/>
          <w:lang w:val="es-MX"/>
        </w:rPr>
        <w:t>51.</w:t>
      </w:r>
      <w:r w:rsidRPr="008F3B53">
        <w:rPr>
          <w:rFonts w:ascii="Arial" w:hAnsi="Arial" w:cs="Arial"/>
          <w:sz w:val="24"/>
          <w:szCs w:val="24"/>
          <w:lang w:val="es-MX"/>
        </w:rPr>
        <w:tab/>
        <w:t xml:space="preserve">Pedrós C, Vallano A, Cereza G, Mendoza-Aran G, Agustí A, Aguilera C, et al. </w:t>
      </w:r>
      <w:r w:rsidRPr="00097097">
        <w:rPr>
          <w:rFonts w:ascii="Arial" w:hAnsi="Arial" w:cs="Arial"/>
          <w:sz w:val="24"/>
          <w:szCs w:val="24"/>
        </w:rPr>
        <w:t>An intervention to improve spontaneous adverse drug reaction reporting by hospital physicians. Drug safety. 2009;32(1):77-83.</w:t>
      </w:r>
      <w:bookmarkEnd w:id="48"/>
    </w:p>
    <w:p w:rsidR="000537BD" w:rsidRPr="00097097" w:rsidRDefault="000537BD" w:rsidP="00097097">
      <w:pPr>
        <w:pStyle w:val="EndNoteBibliography"/>
        <w:spacing w:after="0" w:line="360" w:lineRule="auto"/>
        <w:jc w:val="both"/>
        <w:rPr>
          <w:rFonts w:ascii="Arial" w:hAnsi="Arial" w:cs="Arial"/>
          <w:sz w:val="24"/>
          <w:szCs w:val="24"/>
        </w:rPr>
      </w:pPr>
      <w:bookmarkStart w:id="49" w:name="_ENREF_52"/>
      <w:r w:rsidRPr="00097097">
        <w:rPr>
          <w:rFonts w:ascii="Arial" w:hAnsi="Arial" w:cs="Arial"/>
          <w:sz w:val="24"/>
          <w:szCs w:val="24"/>
        </w:rPr>
        <w:lastRenderedPageBreak/>
        <w:t>52.</w:t>
      </w:r>
      <w:r w:rsidRPr="00097097">
        <w:rPr>
          <w:rFonts w:ascii="Arial" w:hAnsi="Arial" w:cs="Arial"/>
          <w:sz w:val="24"/>
          <w:szCs w:val="24"/>
        </w:rPr>
        <w:tab/>
        <w:t>Figueiras A, Herdeiro MT, Polˇnia J, Gestal-Otero JJ. An educational intervention to improve physician reporting of adverse drug reactions: a cluster-randomized controlled trial. Jama. 2006;296(9):1086-93.</w:t>
      </w:r>
      <w:bookmarkEnd w:id="49"/>
    </w:p>
    <w:p w:rsidR="000537BD" w:rsidRPr="00097097" w:rsidRDefault="000537BD" w:rsidP="00097097">
      <w:pPr>
        <w:pStyle w:val="EndNoteBibliography"/>
        <w:spacing w:after="0" w:line="360" w:lineRule="auto"/>
        <w:jc w:val="both"/>
        <w:rPr>
          <w:rFonts w:ascii="Arial" w:hAnsi="Arial" w:cs="Arial"/>
          <w:sz w:val="24"/>
          <w:szCs w:val="24"/>
        </w:rPr>
      </w:pPr>
      <w:bookmarkStart w:id="50" w:name="_ENREF_53"/>
      <w:r w:rsidRPr="00097097">
        <w:rPr>
          <w:rFonts w:ascii="Arial" w:hAnsi="Arial" w:cs="Arial"/>
          <w:sz w:val="24"/>
          <w:szCs w:val="24"/>
        </w:rPr>
        <w:t>53.</w:t>
      </w:r>
      <w:r w:rsidRPr="00097097">
        <w:rPr>
          <w:rFonts w:ascii="Arial" w:hAnsi="Arial" w:cs="Arial"/>
          <w:sz w:val="24"/>
          <w:szCs w:val="24"/>
        </w:rPr>
        <w:tab/>
        <w:t>Castel JM, Figueras A, Pedrós C, Laporte J-R, Capella D. Stimulating adverse drug reaction reporting. Drug safety. 2003;26(14):1049-55.</w:t>
      </w:r>
      <w:bookmarkEnd w:id="50"/>
    </w:p>
    <w:p w:rsidR="000537BD" w:rsidRPr="00097097" w:rsidRDefault="000537BD" w:rsidP="00097097">
      <w:pPr>
        <w:pStyle w:val="EndNoteBibliography"/>
        <w:spacing w:after="0" w:line="360" w:lineRule="auto"/>
        <w:jc w:val="both"/>
        <w:rPr>
          <w:rFonts w:ascii="Arial" w:hAnsi="Arial" w:cs="Arial"/>
          <w:sz w:val="24"/>
          <w:szCs w:val="24"/>
        </w:rPr>
      </w:pPr>
      <w:bookmarkStart w:id="51" w:name="_ENREF_54"/>
      <w:r w:rsidRPr="00097097">
        <w:rPr>
          <w:rFonts w:ascii="Arial" w:hAnsi="Arial" w:cs="Arial"/>
          <w:sz w:val="24"/>
          <w:szCs w:val="24"/>
        </w:rPr>
        <w:t>54.</w:t>
      </w:r>
      <w:r w:rsidRPr="00097097">
        <w:rPr>
          <w:rFonts w:ascii="Arial" w:hAnsi="Arial" w:cs="Arial"/>
          <w:sz w:val="24"/>
          <w:szCs w:val="24"/>
        </w:rPr>
        <w:tab/>
        <w:t>Johansson M-L, Brunlöf G, Edward C, Wallerstedt SM. Effects of e-mails containing ADR information and a current case report on ADR reporting rate and quality of reports. European journal of clinical pharmacology. 2009;65(5):511-4.</w:t>
      </w:r>
      <w:bookmarkEnd w:id="51"/>
    </w:p>
    <w:p w:rsidR="000537BD" w:rsidRPr="00097097" w:rsidRDefault="000537BD" w:rsidP="00097097">
      <w:pPr>
        <w:pStyle w:val="EndNoteBibliography"/>
        <w:spacing w:after="0" w:line="360" w:lineRule="auto"/>
        <w:jc w:val="both"/>
        <w:rPr>
          <w:rFonts w:ascii="Arial" w:hAnsi="Arial" w:cs="Arial"/>
          <w:sz w:val="24"/>
          <w:szCs w:val="24"/>
        </w:rPr>
      </w:pPr>
      <w:bookmarkStart w:id="52" w:name="_ENREF_55"/>
      <w:r w:rsidRPr="00097097">
        <w:rPr>
          <w:rFonts w:ascii="Arial" w:hAnsi="Arial" w:cs="Arial"/>
          <w:sz w:val="24"/>
          <w:szCs w:val="24"/>
        </w:rPr>
        <w:t>55.</w:t>
      </w:r>
      <w:r w:rsidRPr="00097097">
        <w:rPr>
          <w:rFonts w:ascii="Arial" w:hAnsi="Arial" w:cs="Arial"/>
          <w:sz w:val="24"/>
          <w:szCs w:val="24"/>
        </w:rPr>
        <w:tab/>
        <w:t>Jha N, Rathore DS, Shankar PR, Gyawali S, Alshakka M, Bhandary S. An educational intervention’s effect on healthcare professionals’ attitudes towards pharmacovigilance. The Australasian medical journal. 2014;7(12):478.</w:t>
      </w:r>
      <w:bookmarkEnd w:id="52"/>
    </w:p>
    <w:p w:rsidR="000537BD" w:rsidRPr="00097097" w:rsidRDefault="000537BD" w:rsidP="00097097">
      <w:pPr>
        <w:pStyle w:val="EndNoteBibliography"/>
        <w:spacing w:after="0" w:line="360" w:lineRule="auto"/>
        <w:jc w:val="both"/>
        <w:rPr>
          <w:rFonts w:ascii="Arial" w:hAnsi="Arial" w:cs="Arial"/>
          <w:sz w:val="24"/>
          <w:szCs w:val="24"/>
        </w:rPr>
      </w:pPr>
      <w:bookmarkStart w:id="53" w:name="_ENREF_56"/>
      <w:r w:rsidRPr="00097097">
        <w:rPr>
          <w:rFonts w:ascii="Arial" w:hAnsi="Arial" w:cs="Arial"/>
          <w:sz w:val="24"/>
          <w:szCs w:val="24"/>
        </w:rPr>
        <w:t>56.</w:t>
      </w:r>
      <w:r w:rsidRPr="00097097">
        <w:rPr>
          <w:rFonts w:ascii="Arial" w:hAnsi="Arial" w:cs="Arial"/>
          <w:sz w:val="24"/>
          <w:szCs w:val="24"/>
        </w:rPr>
        <w:tab/>
        <w:t>Bisht M, Singh S, Dhasmana D. Effect of educational intervention on adverse drug reporting by physicians: a cross-sectional study. ISRN pharmacology. 2014;2014.</w:t>
      </w:r>
      <w:bookmarkEnd w:id="53"/>
    </w:p>
    <w:p w:rsidR="000537BD" w:rsidRPr="00097097" w:rsidRDefault="000537BD" w:rsidP="00097097">
      <w:pPr>
        <w:pStyle w:val="EndNoteBibliography"/>
        <w:spacing w:after="0" w:line="360" w:lineRule="auto"/>
        <w:jc w:val="both"/>
        <w:rPr>
          <w:rFonts w:ascii="Arial" w:hAnsi="Arial" w:cs="Arial"/>
          <w:sz w:val="24"/>
          <w:szCs w:val="24"/>
        </w:rPr>
      </w:pPr>
      <w:bookmarkStart w:id="54" w:name="_ENREF_57"/>
      <w:r w:rsidRPr="00097097">
        <w:rPr>
          <w:rFonts w:ascii="Arial" w:hAnsi="Arial" w:cs="Arial"/>
          <w:sz w:val="24"/>
          <w:szCs w:val="24"/>
        </w:rPr>
        <w:t>57.</w:t>
      </w:r>
      <w:r w:rsidRPr="00097097">
        <w:rPr>
          <w:rFonts w:ascii="Arial" w:hAnsi="Arial" w:cs="Arial"/>
          <w:sz w:val="24"/>
          <w:szCs w:val="24"/>
        </w:rPr>
        <w:tab/>
        <w:t>Biagi C, Montanaro N, Buccellato E, Roberto G, Vaccheri A, Motola D. Underreporting in pharmacovigilance: an intervention for Italian GPs (Emilia–Romagna region). European journal of clinical pharmacology. 2013;69(2):237-44.</w:t>
      </w:r>
      <w:bookmarkEnd w:id="54"/>
    </w:p>
    <w:p w:rsidR="000537BD" w:rsidRPr="00097097" w:rsidRDefault="000537BD" w:rsidP="00097097">
      <w:pPr>
        <w:pStyle w:val="EndNoteBibliography"/>
        <w:spacing w:after="0" w:line="360" w:lineRule="auto"/>
        <w:jc w:val="both"/>
        <w:rPr>
          <w:rFonts w:ascii="Arial" w:hAnsi="Arial" w:cs="Arial"/>
          <w:sz w:val="24"/>
          <w:szCs w:val="24"/>
        </w:rPr>
      </w:pPr>
      <w:bookmarkStart w:id="55" w:name="_ENREF_58"/>
      <w:r w:rsidRPr="00097097">
        <w:rPr>
          <w:rFonts w:ascii="Arial" w:hAnsi="Arial" w:cs="Arial"/>
          <w:sz w:val="24"/>
          <w:szCs w:val="24"/>
        </w:rPr>
        <w:t>58.</w:t>
      </w:r>
      <w:r w:rsidRPr="00097097">
        <w:rPr>
          <w:rFonts w:ascii="Arial" w:hAnsi="Arial" w:cs="Arial"/>
          <w:sz w:val="24"/>
          <w:szCs w:val="24"/>
        </w:rPr>
        <w:tab/>
        <w:t>Osakwe A, Oreagba I, Adewunmi AJ, Adekoya A, Fajolu I. Impact of training on Nigerian healthcare professionals' knowledge and practice of pharmacovigilance. International Journal of Risk &amp; Safety in Medicine. 2013;25(4):219-27.</w:t>
      </w:r>
      <w:bookmarkEnd w:id="55"/>
    </w:p>
    <w:p w:rsidR="000537BD" w:rsidRPr="00097097" w:rsidRDefault="000537BD" w:rsidP="00097097">
      <w:pPr>
        <w:pStyle w:val="EndNoteBibliography"/>
        <w:spacing w:after="0" w:line="360" w:lineRule="auto"/>
        <w:jc w:val="both"/>
        <w:rPr>
          <w:rFonts w:ascii="Arial" w:hAnsi="Arial" w:cs="Arial"/>
          <w:sz w:val="24"/>
          <w:szCs w:val="24"/>
        </w:rPr>
      </w:pPr>
      <w:bookmarkStart w:id="56" w:name="_ENREF_59"/>
      <w:r w:rsidRPr="00097097">
        <w:rPr>
          <w:rFonts w:ascii="Arial" w:hAnsi="Arial" w:cs="Arial"/>
          <w:sz w:val="24"/>
          <w:szCs w:val="24"/>
        </w:rPr>
        <w:t>59.</w:t>
      </w:r>
      <w:r w:rsidRPr="00097097">
        <w:rPr>
          <w:rFonts w:ascii="Arial" w:hAnsi="Arial" w:cs="Arial"/>
          <w:sz w:val="24"/>
          <w:szCs w:val="24"/>
        </w:rPr>
        <w:tab/>
        <w:t>Fang H, Lin X, Zhang J, Hong Z, Sugiyama K, Nozaki T, et al. Multifaceted interventions for improving spontaneous reporting of adverse drug reactions in a general hospital in China. BMC Pharmacology and Toxicology. 2017;18(1):49.</w:t>
      </w:r>
      <w:bookmarkEnd w:id="56"/>
    </w:p>
    <w:p w:rsidR="000537BD" w:rsidRPr="00097097" w:rsidRDefault="000537BD" w:rsidP="00097097">
      <w:pPr>
        <w:pStyle w:val="EndNoteBibliography"/>
        <w:spacing w:line="360" w:lineRule="auto"/>
        <w:jc w:val="both"/>
        <w:rPr>
          <w:rFonts w:ascii="Arial" w:hAnsi="Arial" w:cs="Arial"/>
          <w:sz w:val="24"/>
          <w:szCs w:val="24"/>
        </w:rPr>
      </w:pPr>
      <w:bookmarkStart w:id="57" w:name="_ENREF_60"/>
      <w:r w:rsidRPr="00097097">
        <w:rPr>
          <w:rFonts w:ascii="Arial" w:hAnsi="Arial" w:cs="Arial"/>
          <w:sz w:val="24"/>
          <w:szCs w:val="24"/>
        </w:rPr>
        <w:t>60.</w:t>
      </w:r>
      <w:r w:rsidRPr="00097097">
        <w:rPr>
          <w:rFonts w:ascii="Arial" w:hAnsi="Arial" w:cs="Arial"/>
          <w:sz w:val="24"/>
          <w:szCs w:val="24"/>
        </w:rPr>
        <w:tab/>
        <w:t>Hartman J, Härmark L, van Puijenbroek E. A global view of undergraduate education in pharmacovigilance. European Journal of Clinical Pharmacology. 2017:1-9.</w:t>
      </w:r>
      <w:bookmarkEnd w:id="57"/>
      <w:r w:rsidR="0004411A">
        <w:rPr>
          <w:rFonts w:ascii="Arial" w:hAnsi="Arial" w:cs="Arial"/>
          <w:sz w:val="24"/>
          <w:szCs w:val="24"/>
        </w:rPr>
        <w:t xml:space="preserve"> </w:t>
      </w:r>
    </w:p>
    <w:p w:rsidR="000537BD" w:rsidRPr="00097097" w:rsidRDefault="000537BD" w:rsidP="00097097">
      <w:pPr>
        <w:spacing w:line="360" w:lineRule="auto"/>
        <w:jc w:val="both"/>
        <w:rPr>
          <w:rFonts w:ascii="Arial" w:hAnsi="Arial" w:cs="Arial"/>
          <w:sz w:val="24"/>
          <w:szCs w:val="24"/>
        </w:rPr>
      </w:pPr>
    </w:p>
    <w:p w:rsidR="008F3B53" w:rsidRPr="00097097" w:rsidRDefault="008F3B53" w:rsidP="00097097">
      <w:pPr>
        <w:spacing w:line="360" w:lineRule="auto"/>
        <w:jc w:val="both"/>
        <w:rPr>
          <w:rFonts w:ascii="Arial" w:hAnsi="Arial" w:cs="Arial"/>
          <w:sz w:val="24"/>
          <w:szCs w:val="24"/>
        </w:rPr>
      </w:pPr>
    </w:p>
    <w:sectPr w:rsidR="008F3B53" w:rsidRPr="00097097" w:rsidSect="008F3B53">
      <w:type w:val="continuous"/>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6A03" w:rsidRDefault="00936A03">
      <w:pPr>
        <w:spacing w:after="0" w:line="240" w:lineRule="auto"/>
      </w:pPr>
      <w:r>
        <w:separator/>
      </w:r>
    </w:p>
  </w:endnote>
  <w:endnote w:type="continuationSeparator" w:id="0">
    <w:p w:rsidR="00936A03" w:rsidRDefault="00936A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3B53" w:rsidRDefault="008F3B53" w:rsidP="008F3B53">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8F3B53" w:rsidRDefault="008F3B5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3B53" w:rsidRDefault="008F3B53" w:rsidP="008F3B53">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36A0C">
      <w:rPr>
        <w:rStyle w:val="Nmerodepgina"/>
        <w:noProof/>
      </w:rPr>
      <w:t>23</w:t>
    </w:r>
    <w:r>
      <w:rPr>
        <w:rStyle w:val="Nmerodepgina"/>
      </w:rPr>
      <w:fldChar w:fldCharType="end"/>
    </w:r>
  </w:p>
  <w:p w:rsidR="008F3B53" w:rsidRDefault="008F3B5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6A03" w:rsidRDefault="00936A03">
      <w:pPr>
        <w:spacing w:after="0" w:line="240" w:lineRule="auto"/>
      </w:pPr>
      <w:r>
        <w:separator/>
      </w:r>
    </w:p>
  </w:footnote>
  <w:footnote w:type="continuationSeparator" w:id="0">
    <w:p w:rsidR="00936A03" w:rsidRDefault="00936A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A641C8"/>
    <w:multiLevelType w:val="hybridMultilevel"/>
    <w:tmpl w:val="AD1C915E"/>
    <w:lvl w:ilvl="0" w:tplc="5C7C85AC">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528253F"/>
    <w:multiLevelType w:val="hybridMultilevel"/>
    <w:tmpl w:val="54885C6E"/>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35C61BF6"/>
    <w:multiLevelType w:val="hybridMultilevel"/>
    <w:tmpl w:val="B4629538"/>
    <w:lvl w:ilvl="0" w:tplc="2AC08138">
      <w:start w:val="1"/>
      <w:numFmt w:val="decimal"/>
      <w:lvlText w:val="%1."/>
      <w:lvlJc w:val="left"/>
      <w:pPr>
        <w:ind w:left="720" w:hanging="360"/>
      </w:pPr>
      <w:rPr>
        <w:rFonts w:hint="default"/>
        <w:sz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56D504B9"/>
    <w:multiLevelType w:val="hybridMultilevel"/>
    <w:tmpl w:val="CA92D15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5D6B11E0"/>
    <w:multiLevelType w:val="hybridMultilevel"/>
    <w:tmpl w:val="FE70C1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0537BD"/>
    <w:rsid w:val="00015438"/>
    <w:rsid w:val="0004411A"/>
    <w:rsid w:val="000537BD"/>
    <w:rsid w:val="00097097"/>
    <w:rsid w:val="00736A0C"/>
    <w:rsid w:val="008F3B53"/>
    <w:rsid w:val="00936A03"/>
    <w:rsid w:val="00941792"/>
    <w:rsid w:val="00A80DF4"/>
    <w:rsid w:val="00B163A6"/>
    <w:rsid w:val="00BE46F3"/>
    <w:rsid w:val="00C319CD"/>
    <w:rsid w:val="00C83B4B"/>
    <w:rsid w:val="00E7729C"/>
    <w:rsid w:val="00E95B60"/>
    <w:rsid w:val="00F76C4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DA03D9-80DE-4F3A-8313-AD477E2C9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37BD"/>
    <w:pPr>
      <w:spacing w:after="120" w:line="264" w:lineRule="auto"/>
    </w:pPr>
    <w:rPr>
      <w:rFonts w:eastAsiaTheme="minorEastAsia"/>
      <w:sz w:val="20"/>
      <w:szCs w:val="20"/>
    </w:rPr>
  </w:style>
  <w:style w:type="paragraph" w:styleId="Ttulo1">
    <w:name w:val="heading 1"/>
    <w:basedOn w:val="Normal"/>
    <w:next w:val="Normal"/>
    <w:link w:val="Ttulo1Car"/>
    <w:uiPriority w:val="9"/>
    <w:qFormat/>
    <w:rsid w:val="000537BD"/>
    <w:pPr>
      <w:keepNext/>
      <w:keepLines/>
      <w:spacing w:before="320" w:after="0" w:line="240" w:lineRule="auto"/>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0537BD"/>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Ttulo3">
    <w:name w:val="heading 3"/>
    <w:basedOn w:val="Normal"/>
    <w:next w:val="Normal"/>
    <w:link w:val="Ttulo3Car"/>
    <w:uiPriority w:val="9"/>
    <w:semiHidden/>
    <w:unhideWhenUsed/>
    <w:qFormat/>
    <w:rsid w:val="000537BD"/>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Ttulo4">
    <w:name w:val="heading 4"/>
    <w:basedOn w:val="Normal"/>
    <w:next w:val="Normal"/>
    <w:link w:val="Ttulo4Car"/>
    <w:uiPriority w:val="9"/>
    <w:semiHidden/>
    <w:unhideWhenUsed/>
    <w:qFormat/>
    <w:rsid w:val="000537BD"/>
    <w:pPr>
      <w:keepNext/>
      <w:keepLines/>
      <w:spacing w:before="40" w:after="0"/>
      <w:outlineLvl w:val="3"/>
    </w:pPr>
    <w:rPr>
      <w:rFonts w:asciiTheme="majorHAnsi" w:eastAsiaTheme="majorEastAsia" w:hAnsiTheme="majorHAnsi" w:cstheme="majorBidi"/>
      <w:sz w:val="22"/>
      <w:szCs w:val="22"/>
    </w:rPr>
  </w:style>
  <w:style w:type="paragraph" w:styleId="Ttulo5">
    <w:name w:val="heading 5"/>
    <w:basedOn w:val="Normal"/>
    <w:next w:val="Normal"/>
    <w:link w:val="Ttulo5Car"/>
    <w:uiPriority w:val="9"/>
    <w:semiHidden/>
    <w:unhideWhenUsed/>
    <w:qFormat/>
    <w:rsid w:val="000537BD"/>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Ttulo6">
    <w:name w:val="heading 6"/>
    <w:basedOn w:val="Normal"/>
    <w:next w:val="Normal"/>
    <w:link w:val="Ttulo6Car"/>
    <w:uiPriority w:val="9"/>
    <w:semiHidden/>
    <w:unhideWhenUsed/>
    <w:qFormat/>
    <w:rsid w:val="000537BD"/>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Ttulo7">
    <w:name w:val="heading 7"/>
    <w:basedOn w:val="Normal"/>
    <w:next w:val="Normal"/>
    <w:link w:val="Ttulo7Car"/>
    <w:uiPriority w:val="9"/>
    <w:semiHidden/>
    <w:unhideWhenUsed/>
    <w:qFormat/>
    <w:rsid w:val="000537BD"/>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Ttulo8">
    <w:name w:val="heading 8"/>
    <w:basedOn w:val="Normal"/>
    <w:next w:val="Normal"/>
    <w:link w:val="Ttulo8Car"/>
    <w:uiPriority w:val="9"/>
    <w:semiHidden/>
    <w:unhideWhenUsed/>
    <w:qFormat/>
    <w:rsid w:val="000537BD"/>
    <w:pPr>
      <w:keepNext/>
      <w:keepLines/>
      <w:spacing w:before="40" w:after="0"/>
      <w:outlineLvl w:val="7"/>
    </w:pPr>
    <w:rPr>
      <w:rFonts w:asciiTheme="majorHAnsi" w:eastAsiaTheme="majorEastAsia" w:hAnsiTheme="majorHAnsi" w:cstheme="majorBidi"/>
      <w:b/>
      <w:bCs/>
      <w:color w:val="44546A" w:themeColor="text2"/>
    </w:rPr>
  </w:style>
  <w:style w:type="paragraph" w:styleId="Ttulo9">
    <w:name w:val="heading 9"/>
    <w:basedOn w:val="Normal"/>
    <w:next w:val="Normal"/>
    <w:link w:val="Ttulo9Car"/>
    <w:uiPriority w:val="9"/>
    <w:semiHidden/>
    <w:unhideWhenUsed/>
    <w:qFormat/>
    <w:rsid w:val="000537BD"/>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537BD"/>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semiHidden/>
    <w:rsid w:val="000537BD"/>
    <w:rPr>
      <w:rFonts w:asciiTheme="majorHAnsi" w:eastAsiaTheme="majorEastAsia" w:hAnsiTheme="majorHAnsi" w:cstheme="majorBidi"/>
      <w:color w:val="404040" w:themeColor="text1" w:themeTint="BF"/>
      <w:sz w:val="28"/>
      <w:szCs w:val="28"/>
    </w:rPr>
  </w:style>
  <w:style w:type="character" w:customStyle="1" w:styleId="Ttulo3Car">
    <w:name w:val="Título 3 Car"/>
    <w:basedOn w:val="Fuentedeprrafopredeter"/>
    <w:link w:val="Ttulo3"/>
    <w:uiPriority w:val="9"/>
    <w:semiHidden/>
    <w:rsid w:val="000537BD"/>
    <w:rPr>
      <w:rFonts w:asciiTheme="majorHAnsi" w:eastAsiaTheme="majorEastAsia" w:hAnsiTheme="majorHAnsi" w:cstheme="majorBidi"/>
      <w:color w:val="44546A" w:themeColor="text2"/>
      <w:sz w:val="24"/>
      <w:szCs w:val="24"/>
    </w:rPr>
  </w:style>
  <w:style w:type="character" w:customStyle="1" w:styleId="Ttulo4Car">
    <w:name w:val="Título 4 Car"/>
    <w:basedOn w:val="Fuentedeprrafopredeter"/>
    <w:link w:val="Ttulo4"/>
    <w:uiPriority w:val="9"/>
    <w:semiHidden/>
    <w:rsid w:val="000537BD"/>
    <w:rPr>
      <w:rFonts w:asciiTheme="majorHAnsi" w:eastAsiaTheme="majorEastAsia" w:hAnsiTheme="majorHAnsi" w:cstheme="majorBidi"/>
    </w:rPr>
  </w:style>
  <w:style w:type="character" w:customStyle="1" w:styleId="Ttulo5Car">
    <w:name w:val="Título 5 Car"/>
    <w:basedOn w:val="Fuentedeprrafopredeter"/>
    <w:link w:val="Ttulo5"/>
    <w:uiPriority w:val="9"/>
    <w:semiHidden/>
    <w:rsid w:val="000537BD"/>
    <w:rPr>
      <w:rFonts w:asciiTheme="majorHAnsi" w:eastAsiaTheme="majorEastAsia" w:hAnsiTheme="majorHAnsi" w:cstheme="majorBidi"/>
      <w:color w:val="44546A" w:themeColor="text2"/>
    </w:rPr>
  </w:style>
  <w:style w:type="character" w:customStyle="1" w:styleId="Ttulo6Car">
    <w:name w:val="Título 6 Car"/>
    <w:basedOn w:val="Fuentedeprrafopredeter"/>
    <w:link w:val="Ttulo6"/>
    <w:uiPriority w:val="9"/>
    <w:semiHidden/>
    <w:rsid w:val="000537BD"/>
    <w:rPr>
      <w:rFonts w:asciiTheme="majorHAnsi" w:eastAsiaTheme="majorEastAsia" w:hAnsiTheme="majorHAnsi" w:cstheme="majorBidi"/>
      <w:i/>
      <w:iCs/>
      <w:color w:val="44546A" w:themeColor="text2"/>
      <w:sz w:val="21"/>
      <w:szCs w:val="21"/>
    </w:rPr>
  </w:style>
  <w:style w:type="character" w:customStyle="1" w:styleId="Ttulo7Car">
    <w:name w:val="Título 7 Car"/>
    <w:basedOn w:val="Fuentedeprrafopredeter"/>
    <w:link w:val="Ttulo7"/>
    <w:uiPriority w:val="9"/>
    <w:semiHidden/>
    <w:rsid w:val="000537BD"/>
    <w:rPr>
      <w:rFonts w:asciiTheme="majorHAnsi" w:eastAsiaTheme="majorEastAsia" w:hAnsiTheme="majorHAnsi" w:cstheme="majorBidi"/>
      <w:i/>
      <w:iCs/>
      <w:color w:val="1F4E79" w:themeColor="accent1" w:themeShade="80"/>
      <w:sz w:val="21"/>
      <w:szCs w:val="21"/>
    </w:rPr>
  </w:style>
  <w:style w:type="character" w:customStyle="1" w:styleId="Ttulo8Car">
    <w:name w:val="Título 8 Car"/>
    <w:basedOn w:val="Fuentedeprrafopredeter"/>
    <w:link w:val="Ttulo8"/>
    <w:uiPriority w:val="9"/>
    <w:semiHidden/>
    <w:rsid w:val="000537BD"/>
    <w:rPr>
      <w:rFonts w:asciiTheme="majorHAnsi" w:eastAsiaTheme="majorEastAsia" w:hAnsiTheme="majorHAnsi" w:cstheme="majorBidi"/>
      <w:b/>
      <w:bCs/>
      <w:color w:val="44546A" w:themeColor="text2"/>
      <w:sz w:val="20"/>
      <w:szCs w:val="20"/>
    </w:rPr>
  </w:style>
  <w:style w:type="character" w:customStyle="1" w:styleId="Ttulo9Car">
    <w:name w:val="Título 9 Car"/>
    <w:basedOn w:val="Fuentedeprrafopredeter"/>
    <w:link w:val="Ttulo9"/>
    <w:uiPriority w:val="9"/>
    <w:semiHidden/>
    <w:rsid w:val="000537BD"/>
    <w:rPr>
      <w:rFonts w:asciiTheme="majorHAnsi" w:eastAsiaTheme="majorEastAsia" w:hAnsiTheme="majorHAnsi" w:cstheme="majorBidi"/>
      <w:b/>
      <w:bCs/>
      <w:i/>
      <w:iCs/>
      <w:color w:val="44546A" w:themeColor="text2"/>
      <w:sz w:val="20"/>
      <w:szCs w:val="20"/>
    </w:rPr>
  </w:style>
  <w:style w:type="table" w:styleId="Tablaconcuadrcula">
    <w:name w:val="Table Grid"/>
    <w:basedOn w:val="Tablanormal"/>
    <w:uiPriority w:val="39"/>
    <w:rsid w:val="000537BD"/>
    <w:pPr>
      <w:spacing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rsid w:val="000537BD"/>
    <w:pPr>
      <w:spacing w:after="0" w:line="240" w:lineRule="auto"/>
    </w:pPr>
  </w:style>
  <w:style w:type="character" w:customStyle="1" w:styleId="TextonotapieCar">
    <w:name w:val="Texto nota pie Car"/>
    <w:basedOn w:val="Fuentedeprrafopredeter"/>
    <w:link w:val="Textonotapie"/>
    <w:uiPriority w:val="99"/>
    <w:rsid w:val="000537BD"/>
    <w:rPr>
      <w:rFonts w:eastAsiaTheme="minorEastAsia"/>
      <w:sz w:val="20"/>
      <w:szCs w:val="20"/>
    </w:rPr>
  </w:style>
  <w:style w:type="character" w:styleId="Refdenotaalpie">
    <w:name w:val="footnote reference"/>
    <w:basedOn w:val="Fuentedeprrafopredeter"/>
    <w:uiPriority w:val="99"/>
    <w:semiHidden/>
    <w:unhideWhenUsed/>
    <w:rsid w:val="000537BD"/>
    <w:rPr>
      <w:vertAlign w:val="superscript"/>
    </w:rPr>
  </w:style>
  <w:style w:type="character" w:customStyle="1" w:styleId="apple-converted-space">
    <w:name w:val="apple-converted-space"/>
    <w:basedOn w:val="Fuentedeprrafopredeter"/>
    <w:rsid w:val="000537BD"/>
  </w:style>
  <w:style w:type="character" w:styleId="Hipervnculo">
    <w:name w:val="Hyperlink"/>
    <w:basedOn w:val="Fuentedeprrafopredeter"/>
    <w:uiPriority w:val="99"/>
    <w:unhideWhenUsed/>
    <w:rsid w:val="000537BD"/>
    <w:rPr>
      <w:color w:val="0563C1" w:themeColor="hyperlink"/>
      <w:u w:val="single"/>
    </w:rPr>
  </w:style>
  <w:style w:type="paragraph" w:customStyle="1" w:styleId="Default">
    <w:name w:val="Default"/>
    <w:rsid w:val="000537BD"/>
    <w:pPr>
      <w:autoSpaceDE w:val="0"/>
      <w:autoSpaceDN w:val="0"/>
      <w:adjustRightInd w:val="0"/>
      <w:spacing w:after="0" w:line="240" w:lineRule="auto"/>
    </w:pPr>
    <w:rPr>
      <w:rFonts w:ascii="Tahoma" w:eastAsiaTheme="minorEastAsia" w:hAnsi="Tahoma" w:cs="Tahoma"/>
      <w:color w:val="000000"/>
      <w:sz w:val="24"/>
      <w:szCs w:val="24"/>
    </w:rPr>
  </w:style>
  <w:style w:type="paragraph" w:styleId="Bibliografa">
    <w:name w:val="Bibliography"/>
    <w:basedOn w:val="Normal"/>
    <w:next w:val="Normal"/>
    <w:uiPriority w:val="37"/>
    <w:semiHidden/>
    <w:unhideWhenUsed/>
    <w:rsid w:val="000537BD"/>
  </w:style>
  <w:style w:type="paragraph" w:styleId="Prrafodelista">
    <w:name w:val="List Paragraph"/>
    <w:basedOn w:val="Normal"/>
    <w:uiPriority w:val="34"/>
    <w:qFormat/>
    <w:rsid w:val="000537BD"/>
    <w:pPr>
      <w:ind w:left="720"/>
      <w:contextualSpacing/>
    </w:pPr>
  </w:style>
  <w:style w:type="paragraph" w:styleId="Descripcin">
    <w:name w:val="caption"/>
    <w:basedOn w:val="Normal"/>
    <w:next w:val="Normal"/>
    <w:uiPriority w:val="35"/>
    <w:semiHidden/>
    <w:unhideWhenUsed/>
    <w:qFormat/>
    <w:rsid w:val="000537BD"/>
    <w:pPr>
      <w:spacing w:line="240" w:lineRule="auto"/>
    </w:pPr>
    <w:rPr>
      <w:b/>
      <w:bCs/>
      <w:smallCaps/>
      <w:color w:val="595959" w:themeColor="text1" w:themeTint="A6"/>
      <w:spacing w:val="6"/>
    </w:rPr>
  </w:style>
  <w:style w:type="paragraph" w:styleId="Puesto">
    <w:name w:val="Title"/>
    <w:basedOn w:val="Normal"/>
    <w:next w:val="Normal"/>
    <w:link w:val="PuestoCar"/>
    <w:uiPriority w:val="10"/>
    <w:qFormat/>
    <w:rsid w:val="000537BD"/>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PuestoCar">
    <w:name w:val="Puesto Car"/>
    <w:basedOn w:val="Fuentedeprrafopredeter"/>
    <w:link w:val="Puesto"/>
    <w:uiPriority w:val="10"/>
    <w:rsid w:val="000537BD"/>
    <w:rPr>
      <w:rFonts w:asciiTheme="majorHAnsi" w:eastAsiaTheme="majorEastAsia" w:hAnsiTheme="majorHAnsi" w:cstheme="majorBidi"/>
      <w:color w:val="5B9BD5" w:themeColor="accent1"/>
      <w:spacing w:val="-10"/>
      <w:sz w:val="56"/>
      <w:szCs w:val="56"/>
    </w:rPr>
  </w:style>
  <w:style w:type="paragraph" w:styleId="Subttulo">
    <w:name w:val="Subtitle"/>
    <w:basedOn w:val="Normal"/>
    <w:next w:val="Normal"/>
    <w:link w:val="SubttuloCar"/>
    <w:uiPriority w:val="11"/>
    <w:qFormat/>
    <w:rsid w:val="000537BD"/>
    <w:pPr>
      <w:numPr>
        <w:ilvl w:val="1"/>
      </w:numPr>
      <w:spacing w:line="240" w:lineRule="auto"/>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0537BD"/>
    <w:rPr>
      <w:rFonts w:asciiTheme="majorHAnsi" w:eastAsiaTheme="majorEastAsia" w:hAnsiTheme="majorHAnsi" w:cstheme="majorBidi"/>
      <w:sz w:val="24"/>
      <w:szCs w:val="24"/>
    </w:rPr>
  </w:style>
  <w:style w:type="character" w:styleId="Textoennegrita">
    <w:name w:val="Strong"/>
    <w:basedOn w:val="Fuentedeprrafopredeter"/>
    <w:uiPriority w:val="22"/>
    <w:qFormat/>
    <w:rsid w:val="000537BD"/>
    <w:rPr>
      <w:b/>
      <w:bCs/>
    </w:rPr>
  </w:style>
  <w:style w:type="character" w:styleId="nfasis">
    <w:name w:val="Emphasis"/>
    <w:basedOn w:val="Fuentedeprrafopredeter"/>
    <w:uiPriority w:val="20"/>
    <w:qFormat/>
    <w:rsid w:val="000537BD"/>
    <w:rPr>
      <w:i/>
      <w:iCs/>
    </w:rPr>
  </w:style>
  <w:style w:type="paragraph" w:styleId="Sinespaciado">
    <w:name w:val="No Spacing"/>
    <w:uiPriority w:val="1"/>
    <w:qFormat/>
    <w:rsid w:val="000537BD"/>
    <w:pPr>
      <w:spacing w:after="0" w:line="240" w:lineRule="auto"/>
    </w:pPr>
    <w:rPr>
      <w:rFonts w:eastAsiaTheme="minorEastAsia"/>
      <w:sz w:val="20"/>
      <w:szCs w:val="20"/>
    </w:rPr>
  </w:style>
  <w:style w:type="paragraph" w:styleId="Cita">
    <w:name w:val="Quote"/>
    <w:basedOn w:val="Normal"/>
    <w:next w:val="Normal"/>
    <w:link w:val="CitaCar"/>
    <w:uiPriority w:val="29"/>
    <w:qFormat/>
    <w:rsid w:val="000537BD"/>
    <w:pPr>
      <w:spacing w:before="160"/>
      <w:ind w:left="720" w:right="720"/>
    </w:pPr>
    <w:rPr>
      <w:i/>
      <w:iCs/>
      <w:color w:val="404040" w:themeColor="text1" w:themeTint="BF"/>
    </w:rPr>
  </w:style>
  <w:style w:type="character" w:customStyle="1" w:styleId="CitaCar">
    <w:name w:val="Cita Car"/>
    <w:basedOn w:val="Fuentedeprrafopredeter"/>
    <w:link w:val="Cita"/>
    <w:uiPriority w:val="29"/>
    <w:rsid w:val="000537BD"/>
    <w:rPr>
      <w:rFonts w:eastAsiaTheme="minorEastAsia"/>
      <w:i/>
      <w:iCs/>
      <w:color w:val="404040" w:themeColor="text1" w:themeTint="BF"/>
      <w:sz w:val="20"/>
      <w:szCs w:val="20"/>
    </w:rPr>
  </w:style>
  <w:style w:type="paragraph" w:styleId="Citadestacada">
    <w:name w:val="Intense Quote"/>
    <w:basedOn w:val="Normal"/>
    <w:next w:val="Normal"/>
    <w:link w:val="CitadestacadaCar"/>
    <w:uiPriority w:val="30"/>
    <w:qFormat/>
    <w:rsid w:val="000537BD"/>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CitadestacadaCar">
    <w:name w:val="Cita destacada Car"/>
    <w:basedOn w:val="Fuentedeprrafopredeter"/>
    <w:link w:val="Citadestacada"/>
    <w:uiPriority w:val="30"/>
    <w:rsid w:val="000537BD"/>
    <w:rPr>
      <w:rFonts w:asciiTheme="majorHAnsi" w:eastAsiaTheme="majorEastAsia" w:hAnsiTheme="majorHAnsi" w:cstheme="majorBidi"/>
      <w:color w:val="5B9BD5" w:themeColor="accent1"/>
      <w:sz w:val="28"/>
      <w:szCs w:val="28"/>
    </w:rPr>
  </w:style>
  <w:style w:type="character" w:styleId="nfasissutil">
    <w:name w:val="Subtle Emphasis"/>
    <w:basedOn w:val="Fuentedeprrafopredeter"/>
    <w:uiPriority w:val="19"/>
    <w:qFormat/>
    <w:rsid w:val="000537BD"/>
    <w:rPr>
      <w:i/>
      <w:iCs/>
      <w:color w:val="404040" w:themeColor="text1" w:themeTint="BF"/>
    </w:rPr>
  </w:style>
  <w:style w:type="character" w:styleId="nfasisintenso">
    <w:name w:val="Intense Emphasis"/>
    <w:basedOn w:val="Fuentedeprrafopredeter"/>
    <w:uiPriority w:val="21"/>
    <w:qFormat/>
    <w:rsid w:val="000537BD"/>
    <w:rPr>
      <w:b/>
      <w:bCs/>
      <w:i/>
      <w:iCs/>
    </w:rPr>
  </w:style>
  <w:style w:type="character" w:styleId="Referenciasutil">
    <w:name w:val="Subtle Reference"/>
    <w:basedOn w:val="Fuentedeprrafopredeter"/>
    <w:uiPriority w:val="31"/>
    <w:qFormat/>
    <w:rsid w:val="000537BD"/>
    <w:rPr>
      <w:smallCaps/>
      <w:color w:val="404040" w:themeColor="text1" w:themeTint="BF"/>
      <w:u w:val="single" w:color="7F7F7F" w:themeColor="text1" w:themeTint="80"/>
    </w:rPr>
  </w:style>
  <w:style w:type="character" w:styleId="Referenciaintensa">
    <w:name w:val="Intense Reference"/>
    <w:basedOn w:val="Fuentedeprrafopredeter"/>
    <w:uiPriority w:val="32"/>
    <w:qFormat/>
    <w:rsid w:val="000537BD"/>
    <w:rPr>
      <w:b/>
      <w:bCs/>
      <w:smallCaps/>
      <w:spacing w:val="5"/>
      <w:u w:val="single"/>
    </w:rPr>
  </w:style>
  <w:style w:type="character" w:styleId="Ttulodellibro">
    <w:name w:val="Book Title"/>
    <w:basedOn w:val="Fuentedeprrafopredeter"/>
    <w:uiPriority w:val="33"/>
    <w:qFormat/>
    <w:rsid w:val="000537BD"/>
    <w:rPr>
      <w:b/>
      <w:bCs/>
      <w:smallCaps/>
    </w:rPr>
  </w:style>
  <w:style w:type="paragraph" w:styleId="TtulodeTDC">
    <w:name w:val="TOC Heading"/>
    <w:basedOn w:val="Ttulo1"/>
    <w:next w:val="Normal"/>
    <w:uiPriority w:val="39"/>
    <w:semiHidden/>
    <w:unhideWhenUsed/>
    <w:qFormat/>
    <w:rsid w:val="000537BD"/>
    <w:pPr>
      <w:outlineLvl w:val="9"/>
    </w:pPr>
  </w:style>
  <w:style w:type="paragraph" w:styleId="Piedepgina">
    <w:name w:val="footer"/>
    <w:basedOn w:val="Normal"/>
    <w:link w:val="PiedepginaCar"/>
    <w:uiPriority w:val="99"/>
    <w:unhideWhenUsed/>
    <w:rsid w:val="000537B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537BD"/>
    <w:rPr>
      <w:rFonts w:eastAsiaTheme="minorEastAsia"/>
      <w:sz w:val="20"/>
      <w:szCs w:val="20"/>
    </w:rPr>
  </w:style>
  <w:style w:type="character" w:styleId="Nmerodepgina">
    <w:name w:val="page number"/>
    <w:basedOn w:val="Fuentedeprrafopredeter"/>
    <w:uiPriority w:val="99"/>
    <w:semiHidden/>
    <w:unhideWhenUsed/>
    <w:rsid w:val="000537BD"/>
  </w:style>
  <w:style w:type="paragraph" w:customStyle="1" w:styleId="EndNoteBibliographyTitle">
    <w:name w:val="EndNote Bibliography Title"/>
    <w:basedOn w:val="Normal"/>
    <w:link w:val="EndNoteBibliographyTitleCar"/>
    <w:rsid w:val="000537BD"/>
    <w:pPr>
      <w:spacing w:after="0"/>
      <w:jc w:val="center"/>
    </w:pPr>
    <w:rPr>
      <w:rFonts w:ascii="Calibri" w:hAnsi="Calibri" w:cs="Calibri"/>
      <w:noProof/>
      <w:lang w:val="en-US"/>
    </w:rPr>
  </w:style>
  <w:style w:type="character" w:customStyle="1" w:styleId="EndNoteBibliographyTitleCar">
    <w:name w:val="EndNote Bibliography Title Car"/>
    <w:basedOn w:val="Fuentedeprrafopredeter"/>
    <w:link w:val="EndNoteBibliographyTitle"/>
    <w:rsid w:val="000537BD"/>
    <w:rPr>
      <w:rFonts w:ascii="Calibri" w:eastAsiaTheme="minorEastAsia" w:hAnsi="Calibri" w:cs="Calibri"/>
      <w:noProof/>
      <w:sz w:val="20"/>
      <w:szCs w:val="20"/>
      <w:lang w:val="en-US"/>
    </w:rPr>
  </w:style>
  <w:style w:type="paragraph" w:customStyle="1" w:styleId="EndNoteBibliography">
    <w:name w:val="EndNote Bibliography"/>
    <w:basedOn w:val="Normal"/>
    <w:link w:val="EndNoteBibliographyCar"/>
    <w:rsid w:val="000537BD"/>
    <w:pPr>
      <w:spacing w:line="240" w:lineRule="auto"/>
    </w:pPr>
    <w:rPr>
      <w:rFonts w:ascii="Calibri" w:hAnsi="Calibri" w:cs="Calibri"/>
      <w:noProof/>
      <w:lang w:val="en-US"/>
    </w:rPr>
  </w:style>
  <w:style w:type="character" w:customStyle="1" w:styleId="EndNoteBibliographyCar">
    <w:name w:val="EndNote Bibliography Car"/>
    <w:basedOn w:val="Fuentedeprrafopredeter"/>
    <w:link w:val="EndNoteBibliography"/>
    <w:rsid w:val="000537BD"/>
    <w:rPr>
      <w:rFonts w:ascii="Calibri" w:eastAsiaTheme="minorEastAsia" w:hAnsi="Calibri" w:cs="Calibri"/>
      <w:noProof/>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5781</Words>
  <Characters>31799</Characters>
  <Application>Microsoft Office Word</Application>
  <DocSecurity>0</DocSecurity>
  <Lines>264</Lines>
  <Paragraphs>75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37505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JESUS MM</dc:creator>
  <cp:keywords/>
  <dc:description/>
  <cp:lastModifiedBy>USUARIO</cp:lastModifiedBy>
  <cp:revision>2</cp:revision>
  <dcterms:created xsi:type="dcterms:W3CDTF">2017-07-14T18:15:00Z</dcterms:created>
  <dcterms:modified xsi:type="dcterms:W3CDTF">2017-07-14T18:15:00Z</dcterms:modified>
</cp:coreProperties>
</file>